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879" w:rsidRPr="001113AE" w:rsidRDefault="003B0F67" w:rsidP="009A405B">
      <w:pPr>
        <w:autoSpaceDE w:val="0"/>
        <w:autoSpaceDN w:val="0"/>
        <w:adjustRightInd w:val="0"/>
        <w:spacing w:before="3200"/>
        <w:jc w:val="center"/>
        <w:rPr>
          <w:rFonts w:ascii="Arial" w:hAnsi="Arial" w:cs="Arial"/>
          <w:b/>
          <w:sz w:val="44"/>
          <w:szCs w:val="44"/>
        </w:rPr>
      </w:pPr>
      <w:r w:rsidRPr="001113AE">
        <w:rPr>
          <w:rFonts w:ascii="Arial" w:hAnsi="Arial" w:cs="Arial"/>
          <w:b/>
          <w:sz w:val="44"/>
          <w:szCs w:val="44"/>
        </w:rPr>
        <w:t>Submission</w:t>
      </w:r>
    </w:p>
    <w:p w:rsidR="00BF58F2" w:rsidRPr="001113AE" w:rsidRDefault="003B0F67" w:rsidP="008043E9">
      <w:pPr>
        <w:autoSpaceDE w:val="0"/>
        <w:autoSpaceDN w:val="0"/>
        <w:adjustRightInd w:val="0"/>
        <w:spacing w:before="480" w:after="240"/>
        <w:jc w:val="center"/>
        <w:rPr>
          <w:rFonts w:ascii="Arial" w:hAnsi="Arial" w:cs="Arial"/>
          <w:b/>
          <w:sz w:val="44"/>
          <w:szCs w:val="44"/>
        </w:rPr>
      </w:pPr>
      <w:r w:rsidRPr="001113AE">
        <w:rPr>
          <w:rFonts w:ascii="Arial" w:hAnsi="Arial" w:cs="Arial"/>
          <w:b/>
          <w:sz w:val="44"/>
          <w:szCs w:val="44"/>
        </w:rPr>
        <w:t>to</w:t>
      </w:r>
    </w:p>
    <w:p w:rsidR="00BF58F2" w:rsidRPr="001113AE" w:rsidRDefault="00DA3C1A" w:rsidP="008043E9">
      <w:pPr>
        <w:autoSpaceDE w:val="0"/>
        <w:autoSpaceDN w:val="0"/>
        <w:adjustRightInd w:val="0"/>
        <w:spacing w:before="480" w:after="240"/>
        <w:jc w:val="center"/>
        <w:rPr>
          <w:rFonts w:ascii="Arial" w:hAnsi="Arial" w:cs="Arial"/>
          <w:b/>
          <w:sz w:val="44"/>
          <w:szCs w:val="44"/>
        </w:rPr>
      </w:pPr>
      <w:r w:rsidRPr="001113AE">
        <w:rPr>
          <w:rFonts w:ascii="Arial" w:hAnsi="Arial" w:cs="Arial"/>
          <w:b/>
          <w:sz w:val="44"/>
          <w:szCs w:val="44"/>
        </w:rPr>
        <w:t>Department of Justice and Attorney-General</w:t>
      </w:r>
    </w:p>
    <w:p w:rsidR="001811B9" w:rsidRPr="001113AE" w:rsidRDefault="00DA3C1A" w:rsidP="008043E9">
      <w:pPr>
        <w:autoSpaceDE w:val="0"/>
        <w:autoSpaceDN w:val="0"/>
        <w:adjustRightInd w:val="0"/>
        <w:spacing w:before="720" w:after="240"/>
        <w:jc w:val="center"/>
        <w:rPr>
          <w:rFonts w:ascii="Arial" w:hAnsi="Arial" w:cs="Arial"/>
          <w:b/>
          <w:sz w:val="44"/>
          <w:szCs w:val="44"/>
        </w:rPr>
      </w:pPr>
      <w:r w:rsidRPr="001113AE">
        <w:rPr>
          <w:rFonts w:ascii="Arial" w:hAnsi="Arial" w:cs="Arial"/>
          <w:b/>
          <w:sz w:val="44"/>
          <w:szCs w:val="44"/>
        </w:rPr>
        <w:t>Review of the</w:t>
      </w:r>
      <w:r w:rsidR="003B0F67" w:rsidRPr="001113AE">
        <w:rPr>
          <w:rFonts w:ascii="Arial" w:hAnsi="Arial" w:cs="Arial"/>
          <w:b/>
          <w:sz w:val="44"/>
          <w:szCs w:val="44"/>
        </w:rPr>
        <w:t xml:space="preserve"> </w:t>
      </w:r>
      <w:r w:rsidRPr="001113AE">
        <w:rPr>
          <w:rFonts w:ascii="Arial" w:hAnsi="Arial" w:cs="Arial"/>
          <w:b/>
          <w:i/>
          <w:sz w:val="44"/>
          <w:szCs w:val="44"/>
        </w:rPr>
        <w:t>Queensland Civil and Administrative Tribunal</w:t>
      </w:r>
      <w:r w:rsidR="003B0F67" w:rsidRPr="001113AE">
        <w:rPr>
          <w:rFonts w:ascii="Arial" w:hAnsi="Arial" w:cs="Arial"/>
          <w:b/>
          <w:i/>
          <w:sz w:val="44"/>
          <w:szCs w:val="44"/>
        </w:rPr>
        <w:t xml:space="preserve"> </w:t>
      </w:r>
      <w:r w:rsidR="00827B7D">
        <w:rPr>
          <w:rFonts w:ascii="Arial" w:hAnsi="Arial" w:cs="Arial"/>
          <w:b/>
          <w:i/>
          <w:sz w:val="44"/>
          <w:szCs w:val="44"/>
        </w:rPr>
        <w:t xml:space="preserve">Act </w:t>
      </w:r>
      <w:r w:rsidR="003B0F67" w:rsidRPr="001113AE">
        <w:rPr>
          <w:rFonts w:ascii="Arial" w:hAnsi="Arial" w:cs="Arial"/>
          <w:b/>
          <w:i/>
          <w:sz w:val="44"/>
          <w:szCs w:val="44"/>
        </w:rPr>
        <w:t>20</w:t>
      </w:r>
      <w:r w:rsidRPr="001113AE">
        <w:rPr>
          <w:rFonts w:ascii="Arial" w:hAnsi="Arial" w:cs="Arial"/>
          <w:b/>
          <w:i/>
          <w:sz w:val="44"/>
          <w:szCs w:val="44"/>
        </w:rPr>
        <w:t>09</w:t>
      </w:r>
    </w:p>
    <w:p w:rsidR="00CE17C0" w:rsidRPr="001113AE" w:rsidRDefault="00CE17C0" w:rsidP="009A405B">
      <w:pPr>
        <w:pStyle w:val="NormalWeb"/>
        <w:pageBreakBefore/>
        <w:spacing w:before="120" w:beforeAutospacing="0" w:after="120" w:afterAutospacing="0" w:line="360" w:lineRule="auto"/>
        <w:jc w:val="both"/>
        <w:rPr>
          <w:rFonts w:ascii="Arial" w:hAnsi="Arial" w:cs="Arial"/>
          <w:b/>
          <w:color w:val="000000"/>
          <w:sz w:val="28"/>
          <w:szCs w:val="28"/>
          <w:lang w:val="en-AU"/>
        </w:rPr>
      </w:pPr>
      <w:r w:rsidRPr="001113AE">
        <w:rPr>
          <w:rFonts w:ascii="Arial" w:hAnsi="Arial" w:cs="Arial"/>
          <w:b/>
          <w:sz w:val="28"/>
          <w:szCs w:val="28"/>
          <w:lang w:val="en-AU"/>
        </w:rPr>
        <w:t>Introduction</w:t>
      </w:r>
    </w:p>
    <w:p w:rsidR="00D001DD" w:rsidRPr="001113AE" w:rsidRDefault="00D001DD" w:rsidP="00D001DD">
      <w:pPr>
        <w:pStyle w:val="NormalWeb"/>
        <w:numPr>
          <w:ilvl w:val="0"/>
          <w:numId w:val="2"/>
        </w:numPr>
        <w:spacing w:before="240" w:beforeAutospacing="0" w:after="240" w:afterAutospacing="0" w:line="360" w:lineRule="auto"/>
        <w:ind w:left="567" w:hanging="567"/>
        <w:jc w:val="both"/>
        <w:rPr>
          <w:rFonts w:ascii="Arial" w:hAnsi="Arial" w:cs="Arial"/>
          <w:color w:val="000000"/>
          <w:lang w:val="en-AU"/>
        </w:rPr>
      </w:pPr>
      <w:r w:rsidRPr="001113AE">
        <w:rPr>
          <w:rFonts w:ascii="Arial" w:hAnsi="Arial" w:cs="Arial"/>
          <w:color w:val="000000"/>
          <w:lang w:val="en-AU"/>
        </w:rPr>
        <w:t xml:space="preserve">The Anti-Discrimination Commission Queensland (Commission) is an independent statutory authority established under the Queensland </w:t>
      </w:r>
      <w:r w:rsidRPr="001113AE">
        <w:rPr>
          <w:rStyle w:val="HTMLCite"/>
          <w:rFonts w:ascii="Arial" w:hAnsi="Arial" w:cs="Arial"/>
          <w:color w:val="000000"/>
          <w:lang w:val="en-AU"/>
        </w:rPr>
        <w:t>Anti-Discrimination Act 1991</w:t>
      </w:r>
      <w:r w:rsidRPr="001113AE">
        <w:rPr>
          <w:rFonts w:ascii="Arial" w:hAnsi="Arial" w:cs="Arial"/>
          <w:color w:val="000000"/>
          <w:lang w:val="en-AU"/>
        </w:rPr>
        <w:t xml:space="preserve"> (AD Act).</w:t>
      </w:r>
    </w:p>
    <w:p w:rsidR="00D10CB0" w:rsidRPr="001113AE" w:rsidRDefault="00D001DD" w:rsidP="003018EE">
      <w:pPr>
        <w:pStyle w:val="NormalWeb"/>
        <w:numPr>
          <w:ilvl w:val="0"/>
          <w:numId w:val="2"/>
        </w:numPr>
        <w:spacing w:before="240" w:beforeAutospacing="0" w:after="120" w:afterAutospacing="0" w:line="360" w:lineRule="auto"/>
        <w:ind w:left="567" w:hanging="567"/>
        <w:jc w:val="both"/>
        <w:rPr>
          <w:rFonts w:ascii="Arial" w:hAnsi="Arial" w:cs="Arial"/>
          <w:color w:val="000000"/>
          <w:lang w:val="en-AU"/>
        </w:rPr>
      </w:pPr>
      <w:r w:rsidRPr="001113AE">
        <w:rPr>
          <w:rFonts w:ascii="Arial" w:hAnsi="Arial" w:cs="Arial"/>
          <w:color w:val="000000"/>
          <w:lang w:val="en-AU"/>
        </w:rPr>
        <w:t>The functions of the Commission include promoting an understanding, acceptance and public discussion of human rights in Queensland, as well as inquiring into and where possible effecting conciliation of complaints of contraventions of the AD Act</w:t>
      </w:r>
      <w:r w:rsidR="001B582B" w:rsidRPr="001113AE">
        <w:rPr>
          <w:rFonts w:ascii="Arial" w:hAnsi="Arial" w:cs="Arial"/>
          <w:color w:val="000000"/>
          <w:lang w:val="en-AU"/>
        </w:rPr>
        <w:t xml:space="preserve"> and </w:t>
      </w:r>
      <w:r w:rsidR="001F1CBB">
        <w:rPr>
          <w:rFonts w:ascii="Arial" w:hAnsi="Arial" w:cs="Arial"/>
          <w:color w:val="000000"/>
          <w:lang w:val="en-AU"/>
        </w:rPr>
        <w:t xml:space="preserve">whistle-blower </w:t>
      </w:r>
      <w:r w:rsidR="001B582B" w:rsidRPr="001113AE">
        <w:rPr>
          <w:rFonts w:ascii="Arial" w:hAnsi="Arial" w:cs="Arial"/>
          <w:color w:val="000000"/>
          <w:lang w:val="en-AU"/>
        </w:rPr>
        <w:t>reprisal</w:t>
      </w:r>
      <w:r w:rsidRPr="001113AE">
        <w:rPr>
          <w:rFonts w:ascii="Arial" w:hAnsi="Arial" w:cs="Arial"/>
          <w:color w:val="000000"/>
          <w:lang w:val="en-AU"/>
        </w:rPr>
        <w:t xml:space="preserve">.  </w:t>
      </w:r>
    </w:p>
    <w:p w:rsidR="00D62562" w:rsidRPr="001113AE" w:rsidRDefault="001F1CBB" w:rsidP="00D62562">
      <w:pPr>
        <w:pStyle w:val="NormalWeb"/>
        <w:numPr>
          <w:ilvl w:val="0"/>
          <w:numId w:val="2"/>
        </w:numPr>
        <w:spacing w:before="240" w:beforeAutospacing="0" w:after="120" w:afterAutospacing="0" w:line="360" w:lineRule="auto"/>
        <w:ind w:left="567" w:hanging="567"/>
        <w:jc w:val="both"/>
        <w:rPr>
          <w:rFonts w:ascii="Arial" w:hAnsi="Arial" w:cs="Arial"/>
          <w:color w:val="000000"/>
          <w:lang w:val="en-AU"/>
        </w:rPr>
      </w:pPr>
      <w:r>
        <w:rPr>
          <w:rFonts w:ascii="Arial" w:hAnsi="Arial" w:cs="Arial"/>
          <w:color w:val="000000"/>
          <w:lang w:val="en-AU"/>
        </w:rPr>
        <w:t>Complaint matters</w:t>
      </w:r>
      <w:r w:rsidR="00D62562" w:rsidRPr="001113AE">
        <w:rPr>
          <w:rFonts w:ascii="Arial" w:hAnsi="Arial" w:cs="Arial"/>
          <w:color w:val="000000"/>
          <w:lang w:val="en-AU"/>
        </w:rPr>
        <w:t xml:space="preserve"> include:</w:t>
      </w:r>
    </w:p>
    <w:p w:rsidR="00D62562" w:rsidRPr="001113AE" w:rsidRDefault="00D62562" w:rsidP="00D62562">
      <w:pPr>
        <w:pStyle w:val="NormalWeb"/>
        <w:numPr>
          <w:ilvl w:val="1"/>
          <w:numId w:val="2"/>
        </w:numPr>
        <w:spacing w:before="120" w:beforeAutospacing="0" w:after="120" w:afterAutospacing="0" w:line="360" w:lineRule="auto"/>
        <w:ind w:hanging="448"/>
        <w:jc w:val="both"/>
        <w:rPr>
          <w:rFonts w:ascii="Arial" w:hAnsi="Arial" w:cs="Arial"/>
          <w:color w:val="000000"/>
          <w:lang w:val="en-AU"/>
        </w:rPr>
      </w:pPr>
      <w:r w:rsidRPr="001113AE">
        <w:rPr>
          <w:rFonts w:ascii="Arial" w:hAnsi="Arial" w:cs="Arial"/>
          <w:color w:val="000000"/>
          <w:lang w:val="en-AU"/>
        </w:rPr>
        <w:t>discrimination on the basis of any of the 16 protected attributes;</w:t>
      </w:r>
      <w:r w:rsidRPr="001113AE">
        <w:rPr>
          <w:rStyle w:val="FootnoteReference"/>
          <w:rFonts w:ascii="Arial" w:hAnsi="Arial" w:cs="Arial"/>
          <w:color w:val="000000"/>
          <w:lang w:val="en-AU"/>
        </w:rPr>
        <w:footnoteReference w:id="1"/>
      </w:r>
    </w:p>
    <w:p w:rsidR="00D62562" w:rsidRPr="001113AE" w:rsidRDefault="00D62562" w:rsidP="00D62562">
      <w:pPr>
        <w:pStyle w:val="NormalWeb"/>
        <w:numPr>
          <w:ilvl w:val="1"/>
          <w:numId w:val="2"/>
        </w:numPr>
        <w:spacing w:before="120" w:beforeAutospacing="0" w:after="120" w:afterAutospacing="0" w:line="360" w:lineRule="auto"/>
        <w:ind w:hanging="448"/>
        <w:jc w:val="both"/>
        <w:rPr>
          <w:rFonts w:ascii="Arial" w:hAnsi="Arial" w:cs="Arial"/>
          <w:color w:val="000000"/>
          <w:lang w:val="en-AU"/>
        </w:rPr>
      </w:pPr>
      <w:r w:rsidRPr="001113AE">
        <w:rPr>
          <w:rFonts w:ascii="Arial" w:hAnsi="Arial" w:cs="Arial"/>
          <w:color w:val="000000"/>
          <w:lang w:val="en-AU"/>
        </w:rPr>
        <w:t>sexual harassment;</w:t>
      </w:r>
      <w:r w:rsidRPr="001113AE">
        <w:rPr>
          <w:rStyle w:val="FootnoteReference"/>
          <w:rFonts w:ascii="Arial" w:hAnsi="Arial" w:cs="Arial"/>
          <w:color w:val="000000"/>
          <w:lang w:val="en-AU"/>
        </w:rPr>
        <w:footnoteReference w:id="2"/>
      </w:r>
    </w:p>
    <w:p w:rsidR="00D62562" w:rsidRPr="001113AE" w:rsidRDefault="00D62562" w:rsidP="00D62562">
      <w:pPr>
        <w:pStyle w:val="NormalWeb"/>
        <w:numPr>
          <w:ilvl w:val="1"/>
          <w:numId w:val="2"/>
        </w:numPr>
        <w:spacing w:before="120" w:beforeAutospacing="0" w:after="120" w:afterAutospacing="0" w:line="360" w:lineRule="auto"/>
        <w:ind w:hanging="448"/>
        <w:jc w:val="both"/>
        <w:rPr>
          <w:rFonts w:ascii="Arial" w:hAnsi="Arial" w:cs="Arial"/>
          <w:color w:val="000000"/>
          <w:lang w:val="en-AU"/>
        </w:rPr>
      </w:pPr>
      <w:r w:rsidRPr="001113AE">
        <w:rPr>
          <w:rFonts w:ascii="Arial" w:hAnsi="Arial" w:cs="Arial"/>
          <w:color w:val="000000"/>
          <w:lang w:val="en-AU"/>
        </w:rPr>
        <w:t>vilification on the basis of race, religion, sexuality or gender identity;</w:t>
      </w:r>
      <w:r w:rsidRPr="001113AE">
        <w:rPr>
          <w:rStyle w:val="FootnoteReference"/>
          <w:rFonts w:ascii="Arial" w:hAnsi="Arial" w:cs="Arial"/>
          <w:color w:val="000000"/>
          <w:lang w:val="en-AU"/>
        </w:rPr>
        <w:footnoteReference w:id="3"/>
      </w:r>
    </w:p>
    <w:p w:rsidR="00D62562" w:rsidRPr="001113AE" w:rsidRDefault="00D62562" w:rsidP="00D62562">
      <w:pPr>
        <w:pStyle w:val="NormalWeb"/>
        <w:numPr>
          <w:ilvl w:val="1"/>
          <w:numId w:val="2"/>
        </w:numPr>
        <w:spacing w:before="120" w:beforeAutospacing="0" w:after="120" w:afterAutospacing="0" w:line="360" w:lineRule="auto"/>
        <w:ind w:hanging="448"/>
        <w:jc w:val="both"/>
        <w:rPr>
          <w:rFonts w:ascii="Arial" w:hAnsi="Arial" w:cs="Arial"/>
          <w:color w:val="000000"/>
          <w:lang w:val="en-AU"/>
        </w:rPr>
      </w:pPr>
      <w:r w:rsidRPr="001113AE">
        <w:rPr>
          <w:rFonts w:ascii="Arial" w:hAnsi="Arial" w:cs="Arial"/>
          <w:color w:val="000000"/>
          <w:lang w:val="en-AU"/>
        </w:rPr>
        <w:t>victimisation;</w:t>
      </w:r>
      <w:r w:rsidRPr="001113AE">
        <w:rPr>
          <w:rStyle w:val="FootnoteReference"/>
          <w:rFonts w:ascii="Arial" w:hAnsi="Arial" w:cs="Arial"/>
          <w:color w:val="000000"/>
          <w:lang w:val="en-AU"/>
        </w:rPr>
        <w:footnoteReference w:id="4"/>
      </w:r>
    </w:p>
    <w:p w:rsidR="00D62562" w:rsidRPr="001113AE" w:rsidRDefault="00D62562" w:rsidP="00D62562">
      <w:pPr>
        <w:pStyle w:val="NormalWeb"/>
        <w:numPr>
          <w:ilvl w:val="1"/>
          <w:numId w:val="2"/>
        </w:numPr>
        <w:spacing w:before="120" w:beforeAutospacing="0" w:after="120" w:afterAutospacing="0" w:line="360" w:lineRule="auto"/>
        <w:ind w:hanging="448"/>
        <w:jc w:val="both"/>
        <w:rPr>
          <w:rFonts w:ascii="Arial" w:hAnsi="Arial" w:cs="Arial"/>
          <w:color w:val="000000"/>
          <w:lang w:val="en-AU"/>
        </w:rPr>
      </w:pPr>
      <w:r w:rsidRPr="001113AE">
        <w:rPr>
          <w:rFonts w:ascii="Arial" w:hAnsi="Arial" w:cs="Arial"/>
          <w:color w:val="000000"/>
          <w:lang w:val="en-AU"/>
        </w:rPr>
        <w:t>unlawful requests for information;</w:t>
      </w:r>
      <w:r w:rsidRPr="001113AE">
        <w:rPr>
          <w:rStyle w:val="FootnoteReference"/>
          <w:rFonts w:ascii="Arial" w:hAnsi="Arial" w:cs="Arial"/>
          <w:color w:val="000000"/>
          <w:lang w:val="en-AU"/>
        </w:rPr>
        <w:footnoteReference w:id="5"/>
      </w:r>
    </w:p>
    <w:p w:rsidR="00D62562" w:rsidRPr="001113AE" w:rsidRDefault="00D62562" w:rsidP="00D62562">
      <w:pPr>
        <w:pStyle w:val="NormalWeb"/>
        <w:numPr>
          <w:ilvl w:val="1"/>
          <w:numId w:val="2"/>
        </w:numPr>
        <w:spacing w:before="120" w:beforeAutospacing="0" w:after="120" w:afterAutospacing="0" w:line="360" w:lineRule="auto"/>
        <w:ind w:hanging="448"/>
        <w:jc w:val="both"/>
        <w:rPr>
          <w:rFonts w:ascii="Arial" w:hAnsi="Arial" w:cs="Arial"/>
          <w:color w:val="000000"/>
          <w:lang w:val="en-AU"/>
        </w:rPr>
      </w:pPr>
      <w:r w:rsidRPr="001113AE">
        <w:rPr>
          <w:rFonts w:ascii="Arial" w:hAnsi="Arial" w:cs="Arial"/>
          <w:color w:val="000000"/>
          <w:lang w:val="en-AU"/>
        </w:rPr>
        <w:t>requesting or encouraging a contravention of the AD Act;</w:t>
      </w:r>
      <w:r w:rsidRPr="001113AE">
        <w:rPr>
          <w:rStyle w:val="FootnoteReference"/>
          <w:rFonts w:ascii="Arial" w:hAnsi="Arial" w:cs="Arial"/>
          <w:color w:val="000000"/>
          <w:lang w:val="en-AU"/>
        </w:rPr>
        <w:footnoteReference w:id="6"/>
      </w:r>
    </w:p>
    <w:p w:rsidR="00D62562" w:rsidRPr="001113AE" w:rsidRDefault="00D62562" w:rsidP="00D62562">
      <w:pPr>
        <w:pStyle w:val="NormalWeb"/>
        <w:numPr>
          <w:ilvl w:val="1"/>
          <w:numId w:val="2"/>
        </w:numPr>
        <w:spacing w:before="120" w:beforeAutospacing="0" w:after="240" w:afterAutospacing="0" w:line="360" w:lineRule="auto"/>
        <w:ind w:hanging="448"/>
        <w:jc w:val="both"/>
        <w:rPr>
          <w:rFonts w:ascii="Arial" w:hAnsi="Arial" w:cs="Arial"/>
          <w:color w:val="000000"/>
          <w:lang w:val="en-AU"/>
        </w:rPr>
      </w:pPr>
      <w:r w:rsidRPr="001113AE">
        <w:rPr>
          <w:rFonts w:ascii="Arial" w:hAnsi="Arial" w:cs="Arial"/>
          <w:color w:val="000000"/>
          <w:lang w:val="en-AU"/>
        </w:rPr>
        <w:t>reprisal for making a public interest disclosure (whistle-blower reprisal).</w:t>
      </w:r>
      <w:r w:rsidRPr="001113AE">
        <w:rPr>
          <w:rStyle w:val="FootnoteReference"/>
          <w:rFonts w:ascii="Arial" w:hAnsi="Arial" w:cs="Arial"/>
          <w:color w:val="000000"/>
          <w:lang w:val="en-AU"/>
        </w:rPr>
        <w:footnoteReference w:id="7"/>
      </w:r>
    </w:p>
    <w:p w:rsidR="00D001DD" w:rsidRPr="001113AE" w:rsidRDefault="00D001DD" w:rsidP="003018EE">
      <w:pPr>
        <w:pStyle w:val="NormalWeb"/>
        <w:numPr>
          <w:ilvl w:val="0"/>
          <w:numId w:val="2"/>
        </w:numPr>
        <w:spacing w:before="240" w:beforeAutospacing="0" w:after="120" w:afterAutospacing="0" w:line="360" w:lineRule="auto"/>
        <w:ind w:left="567" w:hanging="567"/>
        <w:jc w:val="both"/>
        <w:rPr>
          <w:rFonts w:ascii="Arial" w:hAnsi="Arial" w:cs="Arial"/>
          <w:color w:val="000000"/>
          <w:lang w:val="en-AU"/>
        </w:rPr>
      </w:pPr>
      <w:r w:rsidRPr="001113AE">
        <w:rPr>
          <w:rFonts w:ascii="Arial" w:hAnsi="Arial" w:cs="Arial"/>
          <w:color w:val="000000"/>
          <w:lang w:val="en-AU"/>
        </w:rPr>
        <w:t>Complaints that are not resolved through conciliation can be referred to the Queensland Civil and Administrative Tribunal (QCAT) for hearing and determination.</w:t>
      </w:r>
      <w:r w:rsidR="003018EE" w:rsidRPr="001113AE">
        <w:rPr>
          <w:rFonts w:ascii="Arial" w:hAnsi="Arial" w:cs="Arial"/>
          <w:color w:val="000000"/>
          <w:lang w:val="en-AU"/>
        </w:rPr>
        <w:t xml:space="preserve">  The number of complaints referred to the tribunal has been:</w:t>
      </w:r>
    </w:p>
    <w:p w:rsidR="003018EE" w:rsidRPr="001113AE" w:rsidRDefault="003018EE" w:rsidP="003018EE">
      <w:pPr>
        <w:pStyle w:val="NormalWeb"/>
        <w:numPr>
          <w:ilvl w:val="1"/>
          <w:numId w:val="2"/>
        </w:numPr>
        <w:spacing w:before="120" w:beforeAutospacing="0" w:after="120" w:afterAutospacing="0" w:line="360" w:lineRule="auto"/>
        <w:ind w:hanging="448"/>
        <w:jc w:val="both"/>
        <w:rPr>
          <w:rFonts w:ascii="Arial" w:hAnsi="Arial" w:cs="Arial"/>
          <w:color w:val="000000"/>
          <w:lang w:val="en-AU"/>
        </w:rPr>
      </w:pPr>
      <w:r w:rsidRPr="001113AE">
        <w:rPr>
          <w:rFonts w:ascii="Arial" w:hAnsi="Arial" w:cs="Arial"/>
          <w:color w:val="000000"/>
          <w:lang w:val="en-AU"/>
        </w:rPr>
        <w:t>118 – for the financial  period 2011 to 2012; and</w:t>
      </w:r>
    </w:p>
    <w:p w:rsidR="003018EE" w:rsidRPr="001113AE" w:rsidRDefault="003018EE" w:rsidP="003018EE">
      <w:pPr>
        <w:pStyle w:val="NormalWeb"/>
        <w:numPr>
          <w:ilvl w:val="1"/>
          <w:numId w:val="2"/>
        </w:numPr>
        <w:spacing w:before="120" w:beforeAutospacing="0" w:after="120" w:afterAutospacing="0" w:line="360" w:lineRule="auto"/>
        <w:ind w:hanging="448"/>
        <w:jc w:val="both"/>
        <w:rPr>
          <w:rFonts w:ascii="Arial" w:hAnsi="Arial" w:cs="Arial"/>
          <w:color w:val="000000"/>
          <w:lang w:val="en-AU"/>
        </w:rPr>
      </w:pPr>
      <w:r w:rsidRPr="001113AE">
        <w:rPr>
          <w:rFonts w:ascii="Arial" w:hAnsi="Arial" w:cs="Arial"/>
          <w:color w:val="000000"/>
          <w:lang w:val="en-AU"/>
        </w:rPr>
        <w:t>112 – for the financial period 2010 to 2011.</w:t>
      </w:r>
    </w:p>
    <w:p w:rsidR="003018EE" w:rsidRPr="001113AE" w:rsidRDefault="006E194B" w:rsidP="003018EE">
      <w:pPr>
        <w:pStyle w:val="NormalWeb"/>
        <w:numPr>
          <w:ilvl w:val="0"/>
          <w:numId w:val="2"/>
        </w:numPr>
        <w:spacing w:before="240" w:beforeAutospacing="0" w:after="120" w:afterAutospacing="0" w:line="360" w:lineRule="auto"/>
        <w:ind w:left="567" w:hanging="567"/>
        <w:jc w:val="both"/>
        <w:rPr>
          <w:rFonts w:ascii="Arial" w:hAnsi="Arial" w:cs="Arial"/>
          <w:color w:val="000000"/>
          <w:lang w:val="en-AU"/>
        </w:rPr>
      </w:pPr>
      <w:r w:rsidRPr="001113AE">
        <w:rPr>
          <w:rFonts w:ascii="Arial" w:hAnsi="Arial" w:cs="Arial"/>
          <w:color w:val="000000"/>
          <w:lang w:val="en-AU"/>
        </w:rPr>
        <w:lastRenderedPageBreak/>
        <w:t xml:space="preserve">The functions of </w:t>
      </w:r>
      <w:r w:rsidR="003018EE" w:rsidRPr="001113AE">
        <w:rPr>
          <w:rFonts w:ascii="Arial" w:hAnsi="Arial" w:cs="Arial"/>
          <w:color w:val="000000"/>
          <w:lang w:val="en-AU"/>
        </w:rPr>
        <w:t>the tribunal under the AD Act include:</w:t>
      </w:r>
    </w:p>
    <w:p w:rsidR="003018EE" w:rsidRPr="001113AE" w:rsidRDefault="006E194B" w:rsidP="003018EE">
      <w:pPr>
        <w:pStyle w:val="NormalWeb"/>
        <w:numPr>
          <w:ilvl w:val="1"/>
          <w:numId w:val="2"/>
        </w:numPr>
        <w:spacing w:before="120" w:beforeAutospacing="0" w:after="120" w:afterAutospacing="0" w:line="360" w:lineRule="auto"/>
        <w:ind w:hanging="448"/>
        <w:jc w:val="both"/>
        <w:rPr>
          <w:rFonts w:ascii="Arial" w:hAnsi="Arial" w:cs="Arial"/>
          <w:color w:val="000000"/>
          <w:lang w:val="en-AU"/>
        </w:rPr>
      </w:pPr>
      <w:r w:rsidRPr="001113AE">
        <w:rPr>
          <w:rFonts w:ascii="Arial" w:hAnsi="Arial" w:cs="Arial"/>
          <w:color w:val="000000"/>
          <w:lang w:val="en-AU"/>
        </w:rPr>
        <w:t xml:space="preserve">hearing and determining </w:t>
      </w:r>
      <w:r w:rsidR="003018EE" w:rsidRPr="001113AE">
        <w:rPr>
          <w:rFonts w:ascii="Arial" w:hAnsi="Arial" w:cs="Arial"/>
          <w:color w:val="000000"/>
          <w:lang w:val="en-AU"/>
        </w:rPr>
        <w:t>complaints referred by the Commissioner;</w:t>
      </w:r>
      <w:r w:rsidR="003018EE" w:rsidRPr="001113AE">
        <w:rPr>
          <w:rStyle w:val="FootnoteReference"/>
          <w:rFonts w:ascii="Arial" w:hAnsi="Arial" w:cs="Arial"/>
          <w:color w:val="000000"/>
          <w:lang w:val="en-AU"/>
        </w:rPr>
        <w:footnoteReference w:id="8"/>
      </w:r>
    </w:p>
    <w:p w:rsidR="003018EE" w:rsidRPr="001113AE" w:rsidRDefault="006E194B" w:rsidP="003018EE">
      <w:pPr>
        <w:pStyle w:val="NormalWeb"/>
        <w:numPr>
          <w:ilvl w:val="1"/>
          <w:numId w:val="2"/>
        </w:numPr>
        <w:spacing w:before="120" w:beforeAutospacing="0" w:after="120" w:afterAutospacing="0" w:line="360" w:lineRule="auto"/>
        <w:ind w:hanging="448"/>
        <w:jc w:val="both"/>
        <w:rPr>
          <w:rFonts w:ascii="Arial" w:hAnsi="Arial" w:cs="Arial"/>
          <w:color w:val="000000"/>
          <w:lang w:val="en-AU"/>
        </w:rPr>
      </w:pPr>
      <w:r w:rsidRPr="001113AE">
        <w:rPr>
          <w:rFonts w:ascii="Arial" w:hAnsi="Arial" w:cs="Arial"/>
          <w:color w:val="000000"/>
          <w:lang w:val="en-AU"/>
        </w:rPr>
        <w:t xml:space="preserve">hearing and determining </w:t>
      </w:r>
      <w:r w:rsidR="003018EE" w:rsidRPr="001113AE">
        <w:rPr>
          <w:rFonts w:ascii="Arial" w:hAnsi="Arial" w:cs="Arial"/>
          <w:color w:val="000000"/>
          <w:lang w:val="en-AU"/>
        </w:rPr>
        <w:t>applications for exemptions;</w:t>
      </w:r>
      <w:r w:rsidR="003018EE" w:rsidRPr="001113AE">
        <w:rPr>
          <w:rStyle w:val="FootnoteReference"/>
          <w:rFonts w:ascii="Arial" w:hAnsi="Arial" w:cs="Arial"/>
          <w:color w:val="000000"/>
          <w:lang w:val="en-AU"/>
        </w:rPr>
        <w:footnoteReference w:id="9"/>
      </w:r>
    </w:p>
    <w:p w:rsidR="003018EE" w:rsidRPr="001113AE" w:rsidRDefault="006E194B" w:rsidP="003018EE">
      <w:pPr>
        <w:pStyle w:val="NormalWeb"/>
        <w:numPr>
          <w:ilvl w:val="1"/>
          <w:numId w:val="2"/>
        </w:numPr>
        <w:spacing w:before="120" w:beforeAutospacing="0" w:after="120" w:afterAutospacing="0" w:line="360" w:lineRule="auto"/>
        <w:ind w:hanging="448"/>
        <w:jc w:val="both"/>
        <w:rPr>
          <w:rFonts w:ascii="Arial" w:hAnsi="Arial" w:cs="Arial"/>
          <w:color w:val="000000"/>
          <w:lang w:val="en-AU"/>
        </w:rPr>
      </w:pPr>
      <w:r w:rsidRPr="001113AE">
        <w:rPr>
          <w:rFonts w:ascii="Arial" w:hAnsi="Arial" w:cs="Arial"/>
          <w:color w:val="000000"/>
          <w:lang w:val="en-AU"/>
        </w:rPr>
        <w:t xml:space="preserve">hearing and determining </w:t>
      </w:r>
      <w:r w:rsidR="003018EE" w:rsidRPr="001113AE">
        <w:rPr>
          <w:rFonts w:ascii="Arial" w:hAnsi="Arial" w:cs="Arial"/>
          <w:color w:val="000000"/>
          <w:lang w:val="en-AU"/>
        </w:rPr>
        <w:t>applications for interim orders before referral of a complaint;</w:t>
      </w:r>
      <w:r w:rsidR="003018EE" w:rsidRPr="001113AE">
        <w:rPr>
          <w:rStyle w:val="FootnoteReference"/>
          <w:rFonts w:ascii="Arial" w:hAnsi="Arial" w:cs="Arial"/>
          <w:color w:val="000000"/>
          <w:lang w:val="en-AU"/>
        </w:rPr>
        <w:footnoteReference w:id="10"/>
      </w:r>
    </w:p>
    <w:p w:rsidR="003018EE" w:rsidRPr="001113AE" w:rsidRDefault="006E194B" w:rsidP="003018EE">
      <w:pPr>
        <w:pStyle w:val="NormalWeb"/>
        <w:numPr>
          <w:ilvl w:val="1"/>
          <w:numId w:val="2"/>
        </w:numPr>
        <w:spacing w:before="120" w:beforeAutospacing="0" w:after="120" w:afterAutospacing="0" w:line="360" w:lineRule="auto"/>
        <w:ind w:hanging="448"/>
        <w:jc w:val="both"/>
        <w:rPr>
          <w:rFonts w:ascii="Arial" w:hAnsi="Arial" w:cs="Arial"/>
          <w:color w:val="000000"/>
          <w:lang w:val="en-AU"/>
        </w:rPr>
      </w:pPr>
      <w:r w:rsidRPr="001113AE">
        <w:rPr>
          <w:rFonts w:ascii="Arial" w:hAnsi="Arial" w:cs="Arial"/>
          <w:color w:val="000000"/>
          <w:lang w:val="en-AU"/>
        </w:rPr>
        <w:t xml:space="preserve">considering </w:t>
      </w:r>
      <w:r w:rsidR="003018EE" w:rsidRPr="001113AE">
        <w:rPr>
          <w:rFonts w:ascii="Arial" w:hAnsi="Arial" w:cs="Arial"/>
          <w:color w:val="000000"/>
          <w:lang w:val="en-AU"/>
        </w:rPr>
        <w:t>applications for review of a decision that a complainant has lost interest;</w:t>
      </w:r>
      <w:r w:rsidR="003018EE" w:rsidRPr="001113AE">
        <w:rPr>
          <w:rStyle w:val="FootnoteReference"/>
          <w:rFonts w:ascii="Arial" w:hAnsi="Arial" w:cs="Arial"/>
          <w:color w:val="000000"/>
          <w:lang w:val="en-AU"/>
        </w:rPr>
        <w:footnoteReference w:id="11"/>
      </w:r>
      <w:r w:rsidR="003018EE" w:rsidRPr="001113AE">
        <w:rPr>
          <w:rFonts w:ascii="Arial" w:hAnsi="Arial" w:cs="Arial"/>
          <w:color w:val="000000"/>
          <w:lang w:val="en-AU"/>
        </w:rPr>
        <w:t xml:space="preserve"> and</w:t>
      </w:r>
    </w:p>
    <w:p w:rsidR="003018EE" w:rsidRPr="001113AE" w:rsidRDefault="006E194B" w:rsidP="003018EE">
      <w:pPr>
        <w:pStyle w:val="NormalWeb"/>
        <w:numPr>
          <w:ilvl w:val="1"/>
          <w:numId w:val="2"/>
        </w:numPr>
        <w:spacing w:before="120" w:beforeAutospacing="0" w:after="120" w:afterAutospacing="0" w:line="360" w:lineRule="auto"/>
        <w:ind w:hanging="448"/>
        <w:jc w:val="both"/>
        <w:rPr>
          <w:rFonts w:ascii="Arial" w:hAnsi="Arial" w:cs="Arial"/>
          <w:color w:val="000000"/>
          <w:lang w:val="en-AU"/>
        </w:rPr>
      </w:pPr>
      <w:r w:rsidRPr="001113AE">
        <w:rPr>
          <w:rFonts w:ascii="Arial" w:hAnsi="Arial" w:cs="Arial"/>
          <w:color w:val="000000"/>
          <w:lang w:val="en-AU"/>
        </w:rPr>
        <w:t xml:space="preserve">providing </w:t>
      </w:r>
      <w:r w:rsidR="003018EE" w:rsidRPr="001113AE">
        <w:rPr>
          <w:rFonts w:ascii="Arial" w:hAnsi="Arial" w:cs="Arial"/>
          <w:color w:val="000000"/>
          <w:lang w:val="en-AU"/>
        </w:rPr>
        <w:t>opinions</w:t>
      </w:r>
      <w:r w:rsidRPr="001113AE">
        <w:rPr>
          <w:rFonts w:ascii="Arial" w:hAnsi="Arial" w:cs="Arial"/>
          <w:color w:val="000000"/>
          <w:lang w:val="en-AU"/>
        </w:rPr>
        <w:t xml:space="preserve"> about the application of the Act</w:t>
      </w:r>
      <w:r w:rsidR="003018EE" w:rsidRPr="001113AE">
        <w:rPr>
          <w:rFonts w:ascii="Arial" w:hAnsi="Arial" w:cs="Arial"/>
          <w:color w:val="000000"/>
          <w:lang w:val="en-AU"/>
        </w:rPr>
        <w:t>.</w:t>
      </w:r>
      <w:r w:rsidR="00721149" w:rsidRPr="001113AE">
        <w:rPr>
          <w:rStyle w:val="FootnoteReference"/>
          <w:rFonts w:ascii="Arial" w:hAnsi="Arial" w:cs="Arial"/>
          <w:color w:val="000000"/>
          <w:lang w:val="en-AU"/>
        </w:rPr>
        <w:footnoteReference w:id="12"/>
      </w:r>
    </w:p>
    <w:p w:rsidR="003018EE" w:rsidRPr="001113AE" w:rsidRDefault="00AF2774" w:rsidP="00D001DD">
      <w:pPr>
        <w:pStyle w:val="NormalWeb"/>
        <w:numPr>
          <w:ilvl w:val="0"/>
          <w:numId w:val="2"/>
        </w:numPr>
        <w:spacing w:before="240" w:beforeAutospacing="0" w:after="240" w:afterAutospacing="0" w:line="360" w:lineRule="auto"/>
        <w:ind w:left="567" w:hanging="567"/>
        <w:jc w:val="both"/>
        <w:rPr>
          <w:rFonts w:ascii="Arial" w:hAnsi="Arial" w:cs="Arial"/>
          <w:color w:val="000000"/>
          <w:lang w:val="en-AU"/>
        </w:rPr>
      </w:pPr>
      <w:r>
        <w:rPr>
          <w:rFonts w:ascii="Arial" w:hAnsi="Arial" w:cs="Arial"/>
          <w:color w:val="000000"/>
          <w:lang w:val="en-AU"/>
        </w:rPr>
        <w:t>This submission focuses on aspects of the terms of reference that impact on the tribunal’s jurisdiction under, and the objects of, the AD Act.</w:t>
      </w:r>
    </w:p>
    <w:p w:rsidR="0010281E" w:rsidRPr="001113AE" w:rsidRDefault="00F401C5" w:rsidP="0046334B">
      <w:pPr>
        <w:pStyle w:val="NormalWeb"/>
        <w:keepNext/>
        <w:spacing w:before="480" w:beforeAutospacing="0" w:after="120" w:afterAutospacing="0" w:line="360" w:lineRule="auto"/>
        <w:jc w:val="both"/>
        <w:rPr>
          <w:rFonts w:ascii="Arial" w:hAnsi="Arial" w:cs="Arial"/>
          <w:b/>
          <w:color w:val="000000"/>
          <w:sz w:val="28"/>
          <w:szCs w:val="28"/>
          <w:lang w:val="en-AU"/>
        </w:rPr>
      </w:pPr>
      <w:r>
        <w:rPr>
          <w:rFonts w:ascii="Arial" w:hAnsi="Arial" w:cs="Arial"/>
          <w:b/>
          <w:sz w:val="28"/>
          <w:szCs w:val="28"/>
          <w:lang w:val="en-AU"/>
        </w:rPr>
        <w:t>R</w:t>
      </w:r>
      <w:r w:rsidR="00936FF8" w:rsidRPr="001113AE">
        <w:rPr>
          <w:rFonts w:ascii="Arial" w:hAnsi="Arial" w:cs="Arial"/>
          <w:b/>
          <w:sz w:val="28"/>
          <w:szCs w:val="28"/>
          <w:lang w:val="en-AU"/>
        </w:rPr>
        <w:t>ecommendations</w:t>
      </w:r>
    </w:p>
    <w:p w:rsidR="0010281E" w:rsidRPr="001113AE" w:rsidRDefault="00A16BA9" w:rsidP="00721149">
      <w:pPr>
        <w:pStyle w:val="NormalWeb"/>
        <w:numPr>
          <w:ilvl w:val="0"/>
          <w:numId w:val="2"/>
        </w:numPr>
        <w:spacing w:before="240" w:beforeAutospacing="0" w:after="240" w:afterAutospacing="0" w:line="360" w:lineRule="auto"/>
        <w:ind w:left="567" w:hanging="567"/>
        <w:jc w:val="both"/>
        <w:rPr>
          <w:rFonts w:ascii="Arial" w:hAnsi="Arial" w:cs="Arial"/>
          <w:color w:val="000000"/>
          <w:lang w:val="en-AU"/>
        </w:rPr>
      </w:pPr>
      <w:r w:rsidRPr="001113AE">
        <w:rPr>
          <w:rFonts w:ascii="Arial" w:hAnsi="Arial" w:cs="Arial"/>
          <w:color w:val="000000"/>
          <w:lang w:val="en-AU"/>
        </w:rPr>
        <w:t>In this submission, the Commission outlines and makes the following recommendations:</w:t>
      </w:r>
    </w:p>
    <w:p w:rsidR="009A405B" w:rsidRPr="009A405B" w:rsidRDefault="009A405B" w:rsidP="009A405B">
      <w:pPr>
        <w:pStyle w:val="NormalWeb"/>
        <w:numPr>
          <w:ilvl w:val="0"/>
          <w:numId w:val="7"/>
        </w:numPr>
        <w:spacing w:before="120" w:beforeAutospacing="0" w:after="120" w:afterAutospacing="0" w:line="360" w:lineRule="auto"/>
        <w:ind w:left="1701" w:right="1104" w:hanging="567"/>
        <w:jc w:val="both"/>
        <w:rPr>
          <w:rFonts w:ascii="Arial" w:hAnsi="Arial" w:cs="Arial"/>
          <w:lang w:val="en-AU"/>
        </w:rPr>
      </w:pPr>
      <w:r w:rsidRPr="009A405B">
        <w:rPr>
          <w:rFonts w:ascii="Arial" w:hAnsi="Arial" w:cs="Arial"/>
          <w:color w:val="000000"/>
          <w:lang w:val="en-AU"/>
        </w:rPr>
        <w:t>That no amendment is necessary to the objects of the QCAT Act and functions of the tribunal.</w:t>
      </w:r>
    </w:p>
    <w:p w:rsidR="009A405B" w:rsidRPr="009A405B" w:rsidRDefault="009A405B" w:rsidP="009A405B">
      <w:pPr>
        <w:pStyle w:val="NormalWeb"/>
        <w:numPr>
          <w:ilvl w:val="0"/>
          <w:numId w:val="7"/>
        </w:numPr>
        <w:spacing w:before="120" w:beforeAutospacing="0" w:after="120" w:afterAutospacing="0" w:line="360" w:lineRule="auto"/>
        <w:ind w:left="1701" w:right="1104" w:hanging="567"/>
        <w:jc w:val="both"/>
        <w:rPr>
          <w:rFonts w:ascii="Arial" w:hAnsi="Arial" w:cs="Arial"/>
          <w:lang w:val="en-AU"/>
        </w:rPr>
      </w:pPr>
      <w:r w:rsidRPr="009A405B">
        <w:rPr>
          <w:rFonts w:ascii="Arial" w:hAnsi="Arial" w:cs="Arial"/>
          <w:color w:val="000000"/>
          <w:lang w:val="en-AU"/>
        </w:rPr>
        <w:t>That the distinction between legally qualified members and other members be retained.</w:t>
      </w:r>
    </w:p>
    <w:p w:rsidR="009A405B" w:rsidRPr="009A405B" w:rsidRDefault="009A405B" w:rsidP="009A405B">
      <w:pPr>
        <w:pStyle w:val="NormalWeb"/>
        <w:numPr>
          <w:ilvl w:val="0"/>
          <w:numId w:val="7"/>
        </w:numPr>
        <w:spacing w:before="120" w:beforeAutospacing="0" w:after="120" w:afterAutospacing="0" w:line="360" w:lineRule="auto"/>
        <w:ind w:left="1701" w:right="1104" w:hanging="567"/>
        <w:jc w:val="both"/>
        <w:rPr>
          <w:rFonts w:ascii="Arial" w:hAnsi="Arial" w:cs="Arial"/>
          <w:lang w:val="en-AU"/>
        </w:rPr>
      </w:pPr>
      <w:r w:rsidRPr="009A405B">
        <w:rPr>
          <w:rFonts w:ascii="Arial" w:hAnsi="Arial" w:cs="Arial"/>
          <w:color w:val="000000"/>
          <w:lang w:val="en-AU"/>
        </w:rPr>
        <w:t xml:space="preserve">That section 176 of the </w:t>
      </w:r>
      <w:r w:rsidRPr="009A405B">
        <w:rPr>
          <w:rFonts w:ascii="Arial" w:hAnsi="Arial" w:cs="Arial"/>
          <w:i/>
          <w:color w:val="000000"/>
          <w:lang w:val="en-AU"/>
        </w:rPr>
        <w:t xml:space="preserve">Anti-Discrimination Act 1991 </w:t>
      </w:r>
      <w:proofErr w:type="gramStart"/>
      <w:r w:rsidRPr="009A405B">
        <w:rPr>
          <w:rFonts w:ascii="Arial" w:hAnsi="Arial" w:cs="Arial"/>
          <w:color w:val="000000"/>
          <w:lang w:val="en-AU"/>
        </w:rPr>
        <w:t>be</w:t>
      </w:r>
      <w:proofErr w:type="gramEnd"/>
      <w:r w:rsidRPr="009A405B">
        <w:rPr>
          <w:rFonts w:ascii="Arial" w:hAnsi="Arial" w:cs="Arial"/>
          <w:color w:val="000000"/>
          <w:lang w:val="en-AU"/>
        </w:rPr>
        <w:t xml:space="preserve"> amended to clarify whether, for matters under the Anti-Discrimination Act other than opinions, the tribunal must be constituted by 1 or more legally qualified members, or at least one legally qualified member.</w:t>
      </w:r>
    </w:p>
    <w:p w:rsidR="009A405B" w:rsidRPr="009A405B" w:rsidRDefault="009A405B" w:rsidP="009A405B">
      <w:pPr>
        <w:pStyle w:val="NormalWeb"/>
        <w:numPr>
          <w:ilvl w:val="0"/>
          <w:numId w:val="7"/>
        </w:numPr>
        <w:spacing w:before="120" w:beforeAutospacing="0" w:after="120" w:afterAutospacing="0" w:line="360" w:lineRule="auto"/>
        <w:ind w:left="1701" w:right="1104" w:hanging="567"/>
        <w:jc w:val="both"/>
        <w:rPr>
          <w:rFonts w:ascii="Arial" w:hAnsi="Arial" w:cs="Arial"/>
          <w:lang w:val="en-AU"/>
        </w:rPr>
      </w:pPr>
      <w:r w:rsidRPr="009A405B">
        <w:rPr>
          <w:rFonts w:ascii="Arial" w:hAnsi="Arial" w:cs="Arial"/>
          <w:color w:val="000000"/>
          <w:lang w:val="en-AU"/>
        </w:rPr>
        <w:t xml:space="preserve">That section 228A of the </w:t>
      </w:r>
      <w:r w:rsidRPr="009A405B">
        <w:rPr>
          <w:rFonts w:ascii="Arial" w:hAnsi="Arial" w:cs="Arial"/>
          <w:i/>
          <w:color w:val="000000"/>
          <w:lang w:val="en-AU"/>
        </w:rPr>
        <w:t>Anti-Discrimination Act 1991</w:t>
      </w:r>
      <w:r w:rsidRPr="009A405B">
        <w:rPr>
          <w:rFonts w:ascii="Arial" w:hAnsi="Arial" w:cs="Arial"/>
          <w:color w:val="000000"/>
          <w:lang w:val="en-AU"/>
        </w:rPr>
        <w:t xml:space="preserve"> </w:t>
      </w:r>
      <w:proofErr w:type="gramStart"/>
      <w:r w:rsidRPr="009A405B">
        <w:rPr>
          <w:rFonts w:ascii="Arial" w:hAnsi="Arial" w:cs="Arial"/>
          <w:color w:val="000000"/>
          <w:lang w:val="en-AU"/>
        </w:rPr>
        <w:t>be</w:t>
      </w:r>
      <w:proofErr w:type="gramEnd"/>
      <w:r w:rsidRPr="009A405B">
        <w:rPr>
          <w:rFonts w:ascii="Arial" w:hAnsi="Arial" w:cs="Arial"/>
          <w:color w:val="000000"/>
          <w:lang w:val="en-AU"/>
        </w:rPr>
        <w:t xml:space="preserve"> amended to clarify that for the purpose of considering a request to provide an opinion the tribunal must be constituted by a judicial member.</w:t>
      </w:r>
    </w:p>
    <w:p w:rsidR="009A405B" w:rsidRPr="009A405B" w:rsidRDefault="009A405B" w:rsidP="009A405B">
      <w:pPr>
        <w:pStyle w:val="NormalWeb"/>
        <w:numPr>
          <w:ilvl w:val="0"/>
          <w:numId w:val="7"/>
        </w:numPr>
        <w:spacing w:before="120" w:beforeAutospacing="0" w:after="120" w:afterAutospacing="0" w:line="360" w:lineRule="auto"/>
        <w:ind w:left="1701" w:right="1104" w:hanging="567"/>
        <w:jc w:val="both"/>
        <w:rPr>
          <w:rFonts w:ascii="Arial" w:hAnsi="Arial" w:cs="Arial"/>
          <w:lang w:val="en-AU"/>
        </w:rPr>
      </w:pPr>
      <w:r w:rsidRPr="009A405B">
        <w:rPr>
          <w:rFonts w:ascii="Arial" w:hAnsi="Arial" w:cs="Arial"/>
          <w:color w:val="000000"/>
          <w:lang w:val="en-AU"/>
        </w:rPr>
        <w:t xml:space="preserve">That section 70 of the </w:t>
      </w:r>
      <w:r w:rsidRPr="009A405B">
        <w:rPr>
          <w:rFonts w:ascii="Arial" w:hAnsi="Arial" w:cs="Arial"/>
          <w:i/>
          <w:color w:val="000000"/>
          <w:lang w:val="en-AU"/>
        </w:rPr>
        <w:t xml:space="preserve">Queensland Civil and Administrative Tribunal Act 2009 </w:t>
      </w:r>
      <w:proofErr w:type="gramStart"/>
      <w:r w:rsidRPr="009A405B">
        <w:rPr>
          <w:rFonts w:ascii="Arial" w:hAnsi="Arial" w:cs="Arial"/>
          <w:color w:val="000000"/>
          <w:lang w:val="en-AU"/>
        </w:rPr>
        <w:t>be</w:t>
      </w:r>
      <w:proofErr w:type="gramEnd"/>
      <w:r w:rsidRPr="009A405B">
        <w:rPr>
          <w:rFonts w:ascii="Arial" w:hAnsi="Arial" w:cs="Arial"/>
          <w:color w:val="000000"/>
          <w:lang w:val="en-AU"/>
        </w:rPr>
        <w:t xml:space="preserve"> amended to provide that for matters under the </w:t>
      </w:r>
      <w:r w:rsidRPr="009A405B">
        <w:rPr>
          <w:rFonts w:ascii="Arial" w:hAnsi="Arial" w:cs="Arial"/>
          <w:i/>
          <w:color w:val="000000"/>
          <w:lang w:val="en-AU"/>
        </w:rPr>
        <w:t>Anti-Discrimination Act 1991</w:t>
      </w:r>
      <w:r w:rsidRPr="009A405B">
        <w:rPr>
          <w:rFonts w:ascii="Arial" w:hAnsi="Arial" w:cs="Arial"/>
          <w:color w:val="000000"/>
          <w:lang w:val="en-AU"/>
        </w:rPr>
        <w:t xml:space="preserve"> a compulsory conference must be heard by a legally qualified member.</w:t>
      </w:r>
    </w:p>
    <w:p w:rsidR="009A405B" w:rsidRPr="009A405B" w:rsidRDefault="009A405B" w:rsidP="009A405B">
      <w:pPr>
        <w:pStyle w:val="NormalWeb"/>
        <w:numPr>
          <w:ilvl w:val="0"/>
          <w:numId w:val="7"/>
        </w:numPr>
        <w:spacing w:before="120" w:beforeAutospacing="0" w:after="120" w:afterAutospacing="0" w:line="360" w:lineRule="auto"/>
        <w:ind w:left="1701" w:right="1104" w:hanging="567"/>
        <w:jc w:val="both"/>
        <w:rPr>
          <w:rFonts w:ascii="Arial" w:hAnsi="Arial" w:cs="Arial"/>
          <w:lang w:val="en-AU"/>
        </w:rPr>
      </w:pPr>
      <w:r w:rsidRPr="009A405B">
        <w:rPr>
          <w:rFonts w:ascii="Arial" w:hAnsi="Arial" w:cs="Arial"/>
          <w:color w:val="000000"/>
          <w:lang w:val="en-AU"/>
        </w:rPr>
        <w:t>That no amendment is necessary to the specialist powers and procedures for matters under the Anti-Discrimination Act jurisdiction of the tribunal.</w:t>
      </w:r>
    </w:p>
    <w:p w:rsidR="009A405B" w:rsidRPr="009A405B" w:rsidRDefault="009A405B" w:rsidP="009A405B">
      <w:pPr>
        <w:pStyle w:val="NormalWeb"/>
        <w:numPr>
          <w:ilvl w:val="0"/>
          <w:numId w:val="7"/>
        </w:numPr>
        <w:spacing w:before="120" w:beforeAutospacing="0" w:after="120" w:afterAutospacing="0" w:line="360" w:lineRule="auto"/>
        <w:ind w:left="1701" w:right="1104" w:hanging="567"/>
        <w:jc w:val="both"/>
        <w:rPr>
          <w:rFonts w:ascii="Arial" w:hAnsi="Arial" w:cs="Arial"/>
          <w:lang w:val="en-AU"/>
        </w:rPr>
      </w:pPr>
      <w:r w:rsidRPr="009A405B">
        <w:rPr>
          <w:rFonts w:ascii="Arial" w:hAnsi="Arial" w:cs="Arial"/>
          <w:color w:val="000000"/>
          <w:lang w:val="en-AU"/>
        </w:rPr>
        <w:t>That if legal representation is to be as of right in the human rights jurisdictions, appropriate measures should to be adopted to ensure equality of access to justice.</w:t>
      </w:r>
    </w:p>
    <w:p w:rsidR="009A405B" w:rsidRPr="009A405B" w:rsidRDefault="009A405B" w:rsidP="009A405B">
      <w:pPr>
        <w:pStyle w:val="NormalWeb"/>
        <w:numPr>
          <w:ilvl w:val="0"/>
          <w:numId w:val="7"/>
        </w:numPr>
        <w:spacing w:before="120" w:beforeAutospacing="0" w:after="120" w:afterAutospacing="0" w:line="360" w:lineRule="auto"/>
        <w:ind w:left="1701" w:right="1104" w:hanging="567"/>
        <w:jc w:val="both"/>
        <w:rPr>
          <w:rFonts w:ascii="Arial" w:hAnsi="Arial" w:cs="Arial"/>
          <w:lang w:val="en-AU"/>
        </w:rPr>
      </w:pPr>
      <w:r w:rsidRPr="009A405B">
        <w:rPr>
          <w:rFonts w:ascii="Arial" w:hAnsi="Arial" w:cs="Arial"/>
          <w:color w:val="000000"/>
          <w:lang w:val="en-AU"/>
        </w:rPr>
        <w:t>That the judicial leadership structure of QCAT be retained.</w:t>
      </w:r>
    </w:p>
    <w:p w:rsidR="009A405B" w:rsidRPr="009A405B" w:rsidRDefault="009A405B" w:rsidP="009A405B">
      <w:pPr>
        <w:pStyle w:val="NormalWeb"/>
        <w:numPr>
          <w:ilvl w:val="0"/>
          <w:numId w:val="7"/>
        </w:numPr>
        <w:spacing w:before="120" w:beforeAutospacing="0" w:after="120" w:afterAutospacing="0" w:line="360" w:lineRule="auto"/>
        <w:ind w:left="1701" w:right="1104" w:hanging="567"/>
        <w:jc w:val="both"/>
        <w:rPr>
          <w:rFonts w:ascii="Arial" w:hAnsi="Arial" w:cs="Arial"/>
          <w:lang w:val="en-AU"/>
        </w:rPr>
      </w:pPr>
      <w:r w:rsidRPr="009A405B">
        <w:rPr>
          <w:rFonts w:ascii="Arial" w:hAnsi="Arial" w:cs="Arial"/>
          <w:color w:val="000000"/>
          <w:lang w:val="en-AU"/>
        </w:rPr>
        <w:t>That the internal appeals mechanism be retained.</w:t>
      </w:r>
    </w:p>
    <w:p w:rsidR="00CE17C0" w:rsidRPr="001113AE" w:rsidRDefault="0079752D" w:rsidP="0046334B">
      <w:pPr>
        <w:pStyle w:val="NormalWeb"/>
        <w:keepNext/>
        <w:spacing w:before="480" w:beforeAutospacing="0" w:after="120" w:afterAutospacing="0" w:line="360" w:lineRule="auto"/>
        <w:jc w:val="both"/>
        <w:rPr>
          <w:rFonts w:ascii="Arial" w:hAnsi="Arial" w:cs="Arial"/>
          <w:b/>
          <w:color w:val="000000"/>
          <w:sz w:val="28"/>
          <w:szCs w:val="28"/>
          <w:lang w:val="en-AU"/>
        </w:rPr>
      </w:pPr>
      <w:r w:rsidRPr="001113AE">
        <w:rPr>
          <w:rFonts w:ascii="Arial" w:hAnsi="Arial" w:cs="Arial"/>
          <w:b/>
          <w:color w:val="000000"/>
          <w:sz w:val="28"/>
          <w:szCs w:val="28"/>
          <w:lang w:val="en-AU"/>
        </w:rPr>
        <w:t xml:space="preserve">Objects </w:t>
      </w:r>
      <w:r w:rsidR="00DA3C1A" w:rsidRPr="001113AE">
        <w:rPr>
          <w:rFonts w:ascii="Arial" w:hAnsi="Arial" w:cs="Arial"/>
          <w:b/>
          <w:color w:val="000000"/>
          <w:sz w:val="28"/>
          <w:szCs w:val="28"/>
          <w:lang w:val="en-AU"/>
        </w:rPr>
        <w:t>of the Act</w:t>
      </w:r>
    </w:p>
    <w:p w:rsidR="0011398B" w:rsidRPr="001113AE" w:rsidRDefault="00027E14" w:rsidP="003844D1">
      <w:pPr>
        <w:pStyle w:val="NormalWeb"/>
        <w:numPr>
          <w:ilvl w:val="0"/>
          <w:numId w:val="2"/>
        </w:numPr>
        <w:spacing w:before="120" w:beforeAutospacing="0" w:after="240" w:afterAutospacing="0" w:line="360" w:lineRule="auto"/>
        <w:ind w:left="567" w:hanging="567"/>
        <w:jc w:val="both"/>
        <w:rPr>
          <w:rFonts w:ascii="Arial" w:hAnsi="Arial" w:cs="Arial"/>
          <w:color w:val="000000"/>
          <w:lang w:val="en-AU"/>
        </w:rPr>
      </w:pPr>
      <w:r w:rsidRPr="001113AE">
        <w:rPr>
          <w:rFonts w:ascii="Arial" w:hAnsi="Arial" w:cs="Arial"/>
          <w:color w:val="000000"/>
          <w:lang w:val="en-AU"/>
        </w:rPr>
        <w:t xml:space="preserve">The </w:t>
      </w:r>
      <w:r w:rsidR="00733E47" w:rsidRPr="001113AE">
        <w:rPr>
          <w:rFonts w:ascii="Arial" w:hAnsi="Arial" w:cs="Arial"/>
          <w:i/>
          <w:color w:val="000000"/>
          <w:lang w:val="en-AU"/>
        </w:rPr>
        <w:t xml:space="preserve">Queensland Civil and Administrative Tribunal Act 2009 </w:t>
      </w:r>
      <w:r w:rsidR="00733E47" w:rsidRPr="001113AE">
        <w:rPr>
          <w:rFonts w:ascii="Arial" w:hAnsi="Arial" w:cs="Arial"/>
          <w:color w:val="000000"/>
          <w:lang w:val="en-AU"/>
        </w:rPr>
        <w:t>(</w:t>
      </w:r>
      <w:r w:rsidRPr="001113AE">
        <w:rPr>
          <w:rFonts w:ascii="Arial" w:hAnsi="Arial" w:cs="Arial"/>
          <w:color w:val="000000"/>
          <w:lang w:val="en-AU"/>
        </w:rPr>
        <w:t>QCAT Act</w:t>
      </w:r>
      <w:r w:rsidR="00733E47" w:rsidRPr="001113AE">
        <w:rPr>
          <w:rFonts w:ascii="Arial" w:hAnsi="Arial" w:cs="Arial"/>
          <w:color w:val="000000"/>
          <w:lang w:val="en-AU"/>
        </w:rPr>
        <w:t>)</w:t>
      </w:r>
      <w:r w:rsidRPr="001113AE">
        <w:rPr>
          <w:rFonts w:ascii="Arial" w:hAnsi="Arial" w:cs="Arial"/>
          <w:color w:val="000000"/>
          <w:lang w:val="en-AU"/>
        </w:rPr>
        <w:t xml:space="preserve"> sets out the objects of the Act and the functions of the tribunal relating to the objects</w:t>
      </w:r>
      <w:r w:rsidR="00386CB6" w:rsidRPr="001113AE">
        <w:rPr>
          <w:rFonts w:ascii="Arial" w:hAnsi="Arial" w:cs="Arial"/>
          <w:color w:val="000000"/>
          <w:lang w:val="en-AU"/>
        </w:rPr>
        <w:t>.</w:t>
      </w:r>
      <w:r w:rsidR="00193143" w:rsidRPr="001113AE">
        <w:rPr>
          <w:rFonts w:ascii="Arial" w:hAnsi="Arial" w:cs="Arial"/>
          <w:color w:val="000000"/>
          <w:lang w:val="en-AU"/>
        </w:rPr>
        <w:t xml:space="preserve">  </w:t>
      </w:r>
    </w:p>
    <w:p w:rsidR="00792BCB" w:rsidRPr="001113AE" w:rsidRDefault="00027E14" w:rsidP="004F4A3D">
      <w:pPr>
        <w:pStyle w:val="NormalWeb"/>
        <w:numPr>
          <w:ilvl w:val="0"/>
          <w:numId w:val="2"/>
        </w:numPr>
        <w:spacing w:before="120" w:beforeAutospacing="0" w:after="120" w:afterAutospacing="0" w:line="360" w:lineRule="auto"/>
        <w:ind w:left="567" w:hanging="567"/>
        <w:jc w:val="both"/>
        <w:rPr>
          <w:rFonts w:ascii="Arial" w:hAnsi="Arial" w:cs="Arial"/>
          <w:color w:val="000000"/>
          <w:lang w:val="en-AU"/>
        </w:rPr>
      </w:pPr>
      <w:r w:rsidRPr="001113AE">
        <w:rPr>
          <w:rFonts w:ascii="Arial" w:hAnsi="Arial" w:cs="Arial"/>
          <w:color w:val="000000"/>
          <w:lang w:val="en-AU"/>
        </w:rPr>
        <w:t xml:space="preserve">The objects of the </w:t>
      </w:r>
      <w:r w:rsidR="00733E47" w:rsidRPr="001113AE">
        <w:rPr>
          <w:rFonts w:ascii="Arial" w:hAnsi="Arial" w:cs="Arial"/>
          <w:color w:val="000000"/>
          <w:lang w:val="en-AU"/>
        </w:rPr>
        <w:t xml:space="preserve">QCAT </w:t>
      </w:r>
      <w:r w:rsidRPr="001113AE">
        <w:rPr>
          <w:rFonts w:ascii="Arial" w:hAnsi="Arial" w:cs="Arial"/>
          <w:color w:val="000000"/>
          <w:lang w:val="en-AU"/>
        </w:rPr>
        <w:t>Act are:</w:t>
      </w:r>
    </w:p>
    <w:p w:rsidR="00027E14" w:rsidRPr="001113AE" w:rsidRDefault="00027E14" w:rsidP="00561B6B">
      <w:pPr>
        <w:pStyle w:val="NormalWeb"/>
        <w:numPr>
          <w:ilvl w:val="1"/>
          <w:numId w:val="2"/>
        </w:numPr>
        <w:spacing w:before="120" w:beforeAutospacing="0" w:after="120" w:afterAutospacing="0"/>
        <w:ind w:left="1701" w:right="680" w:hanging="624"/>
        <w:jc w:val="both"/>
        <w:rPr>
          <w:rFonts w:ascii="Arial" w:hAnsi="Arial" w:cs="Arial"/>
          <w:color w:val="000000"/>
          <w:sz w:val="22"/>
          <w:szCs w:val="22"/>
          <w:lang w:val="en-AU"/>
        </w:rPr>
      </w:pPr>
      <w:r w:rsidRPr="001113AE">
        <w:rPr>
          <w:rFonts w:ascii="Arial" w:hAnsi="Arial" w:cs="Arial"/>
          <w:color w:val="000000"/>
          <w:sz w:val="22"/>
          <w:szCs w:val="22"/>
          <w:lang w:val="en-AU"/>
        </w:rPr>
        <w:t>to establish an independent tribunal to deal with the matters it is empowered to deal with under this Act or an enabling Act;</w:t>
      </w:r>
    </w:p>
    <w:p w:rsidR="00027E14" w:rsidRPr="001113AE" w:rsidRDefault="00027E14" w:rsidP="00561B6B">
      <w:pPr>
        <w:pStyle w:val="NormalWeb"/>
        <w:numPr>
          <w:ilvl w:val="1"/>
          <w:numId w:val="2"/>
        </w:numPr>
        <w:spacing w:before="120" w:beforeAutospacing="0" w:after="120" w:afterAutospacing="0"/>
        <w:ind w:left="1701" w:right="680" w:hanging="624"/>
        <w:jc w:val="both"/>
        <w:rPr>
          <w:rFonts w:ascii="Arial" w:hAnsi="Arial" w:cs="Arial"/>
          <w:color w:val="000000"/>
          <w:sz w:val="22"/>
          <w:szCs w:val="22"/>
          <w:lang w:val="en-AU"/>
        </w:rPr>
      </w:pPr>
      <w:r w:rsidRPr="001113AE">
        <w:rPr>
          <w:rFonts w:ascii="Arial" w:hAnsi="Arial" w:cs="Arial"/>
          <w:color w:val="000000"/>
          <w:sz w:val="22"/>
          <w:szCs w:val="22"/>
          <w:lang w:val="en-AU"/>
        </w:rPr>
        <w:t>to have the tribunal deal with matters in a way that is accessible, fair, just, economical, informal and quick; and</w:t>
      </w:r>
    </w:p>
    <w:p w:rsidR="00027E14" w:rsidRPr="001113AE" w:rsidRDefault="00027E14" w:rsidP="00561B6B">
      <w:pPr>
        <w:pStyle w:val="NormalWeb"/>
        <w:numPr>
          <w:ilvl w:val="1"/>
          <w:numId w:val="2"/>
        </w:numPr>
        <w:spacing w:before="120" w:beforeAutospacing="0" w:after="120" w:afterAutospacing="0"/>
        <w:ind w:left="1701" w:right="680" w:hanging="624"/>
        <w:jc w:val="both"/>
        <w:rPr>
          <w:rFonts w:ascii="Arial" w:hAnsi="Arial" w:cs="Arial"/>
          <w:color w:val="000000"/>
          <w:sz w:val="22"/>
          <w:szCs w:val="22"/>
          <w:lang w:val="en-AU"/>
        </w:rPr>
      </w:pPr>
      <w:r w:rsidRPr="001113AE">
        <w:rPr>
          <w:rFonts w:ascii="Arial" w:hAnsi="Arial" w:cs="Arial"/>
          <w:color w:val="000000"/>
          <w:sz w:val="22"/>
          <w:szCs w:val="22"/>
          <w:lang w:val="en-AU"/>
        </w:rPr>
        <w:t xml:space="preserve">to promote the quality and consistency of tribunal decisions; </w:t>
      </w:r>
      <w:r w:rsidR="004F4A3D" w:rsidRPr="001113AE">
        <w:rPr>
          <w:rFonts w:ascii="Arial" w:hAnsi="Arial" w:cs="Arial"/>
          <w:color w:val="000000"/>
          <w:sz w:val="22"/>
          <w:szCs w:val="22"/>
          <w:lang w:val="en-AU"/>
        </w:rPr>
        <w:t>and</w:t>
      </w:r>
    </w:p>
    <w:p w:rsidR="004F4A3D" w:rsidRPr="001113AE" w:rsidRDefault="004F4A3D" w:rsidP="00561B6B">
      <w:pPr>
        <w:pStyle w:val="NormalWeb"/>
        <w:numPr>
          <w:ilvl w:val="1"/>
          <w:numId w:val="2"/>
        </w:numPr>
        <w:spacing w:before="120" w:beforeAutospacing="0" w:after="120" w:afterAutospacing="0"/>
        <w:ind w:left="1701" w:right="680" w:hanging="624"/>
        <w:jc w:val="both"/>
        <w:rPr>
          <w:rFonts w:ascii="Arial" w:hAnsi="Arial" w:cs="Arial"/>
          <w:color w:val="000000"/>
          <w:sz w:val="22"/>
          <w:szCs w:val="22"/>
          <w:lang w:val="en-AU"/>
        </w:rPr>
      </w:pPr>
      <w:r w:rsidRPr="001113AE">
        <w:rPr>
          <w:rFonts w:ascii="Arial" w:hAnsi="Arial" w:cs="Arial"/>
          <w:color w:val="000000"/>
          <w:sz w:val="22"/>
          <w:szCs w:val="22"/>
          <w:lang w:val="en-AU"/>
        </w:rPr>
        <w:t>to enhance the quality and consistency of decisions by decision-makers; and</w:t>
      </w:r>
    </w:p>
    <w:p w:rsidR="004F4A3D" w:rsidRPr="001113AE" w:rsidRDefault="004F4A3D" w:rsidP="00561B6B">
      <w:pPr>
        <w:pStyle w:val="NormalWeb"/>
        <w:numPr>
          <w:ilvl w:val="1"/>
          <w:numId w:val="2"/>
        </w:numPr>
        <w:spacing w:before="120" w:beforeAutospacing="0" w:after="120" w:afterAutospacing="0"/>
        <w:ind w:left="1701" w:right="680" w:hanging="624"/>
        <w:jc w:val="both"/>
        <w:rPr>
          <w:rFonts w:ascii="Arial" w:hAnsi="Arial" w:cs="Arial"/>
          <w:color w:val="000000"/>
          <w:sz w:val="22"/>
          <w:szCs w:val="22"/>
          <w:lang w:val="en-AU"/>
        </w:rPr>
      </w:pPr>
      <w:r w:rsidRPr="001113AE">
        <w:rPr>
          <w:rFonts w:ascii="Arial" w:hAnsi="Arial" w:cs="Arial"/>
          <w:color w:val="000000"/>
          <w:sz w:val="22"/>
          <w:szCs w:val="22"/>
          <w:lang w:val="en-AU"/>
        </w:rPr>
        <w:lastRenderedPageBreak/>
        <w:t>to enhance the openness and accountability of public administration.</w:t>
      </w:r>
      <w:r w:rsidRPr="001113AE">
        <w:rPr>
          <w:rStyle w:val="FootnoteReference"/>
          <w:rFonts w:ascii="Arial" w:hAnsi="Arial" w:cs="Arial"/>
          <w:color w:val="000000"/>
          <w:sz w:val="22"/>
          <w:szCs w:val="22"/>
          <w:lang w:val="en-AU"/>
        </w:rPr>
        <w:footnoteReference w:id="13"/>
      </w:r>
    </w:p>
    <w:p w:rsidR="00027E14" w:rsidRPr="001113AE" w:rsidRDefault="00027E14" w:rsidP="004F4A3D">
      <w:pPr>
        <w:pStyle w:val="NormalWeb"/>
        <w:numPr>
          <w:ilvl w:val="0"/>
          <w:numId w:val="2"/>
        </w:numPr>
        <w:spacing w:before="240" w:beforeAutospacing="0" w:after="120" w:afterAutospacing="0" w:line="360" w:lineRule="auto"/>
        <w:ind w:left="567" w:hanging="567"/>
        <w:jc w:val="both"/>
        <w:rPr>
          <w:rFonts w:ascii="Arial" w:hAnsi="Arial" w:cs="Arial"/>
          <w:color w:val="000000"/>
          <w:lang w:val="en-AU"/>
        </w:rPr>
      </w:pPr>
      <w:r w:rsidRPr="001113AE">
        <w:rPr>
          <w:rFonts w:ascii="Arial" w:hAnsi="Arial" w:cs="Arial"/>
          <w:color w:val="000000"/>
          <w:lang w:val="en-AU"/>
        </w:rPr>
        <w:t xml:space="preserve">To achieve the objects the </w:t>
      </w:r>
      <w:r w:rsidR="00733E47" w:rsidRPr="001113AE">
        <w:rPr>
          <w:rFonts w:ascii="Arial" w:hAnsi="Arial" w:cs="Arial"/>
          <w:color w:val="000000"/>
          <w:lang w:val="en-AU"/>
        </w:rPr>
        <w:t xml:space="preserve">QCAT </w:t>
      </w:r>
      <w:r w:rsidRPr="001113AE">
        <w:rPr>
          <w:rFonts w:ascii="Arial" w:hAnsi="Arial" w:cs="Arial"/>
          <w:color w:val="000000"/>
          <w:lang w:val="en-AU"/>
        </w:rPr>
        <w:t>Act requires the tribunal to:</w:t>
      </w:r>
    </w:p>
    <w:p w:rsidR="00027E14" w:rsidRPr="001113AE" w:rsidRDefault="004F4A3D" w:rsidP="00561B6B">
      <w:pPr>
        <w:pStyle w:val="NormalWeb"/>
        <w:numPr>
          <w:ilvl w:val="1"/>
          <w:numId w:val="2"/>
        </w:numPr>
        <w:spacing w:before="120" w:beforeAutospacing="0" w:after="120" w:afterAutospacing="0"/>
        <w:ind w:left="1701" w:right="680" w:hanging="624"/>
        <w:jc w:val="both"/>
        <w:rPr>
          <w:rFonts w:ascii="Arial" w:hAnsi="Arial" w:cs="Arial"/>
          <w:color w:val="000000"/>
          <w:sz w:val="22"/>
          <w:szCs w:val="22"/>
          <w:lang w:val="en-AU"/>
        </w:rPr>
      </w:pPr>
      <w:r w:rsidRPr="001113AE">
        <w:rPr>
          <w:rFonts w:ascii="Arial" w:hAnsi="Arial" w:cs="Arial"/>
          <w:color w:val="000000"/>
          <w:sz w:val="22"/>
          <w:szCs w:val="22"/>
          <w:lang w:val="en-AU"/>
        </w:rPr>
        <w:t>facilitate access to its services throughout Queensland; and</w:t>
      </w:r>
    </w:p>
    <w:p w:rsidR="004F4A3D" w:rsidRPr="001113AE" w:rsidRDefault="004F4A3D" w:rsidP="00561B6B">
      <w:pPr>
        <w:pStyle w:val="NormalWeb"/>
        <w:numPr>
          <w:ilvl w:val="1"/>
          <w:numId w:val="2"/>
        </w:numPr>
        <w:spacing w:before="120" w:beforeAutospacing="0" w:after="120" w:afterAutospacing="0"/>
        <w:ind w:left="1701" w:right="680" w:hanging="624"/>
        <w:jc w:val="both"/>
        <w:rPr>
          <w:rFonts w:ascii="Arial" w:hAnsi="Arial" w:cs="Arial"/>
          <w:color w:val="000000"/>
          <w:sz w:val="22"/>
          <w:szCs w:val="22"/>
          <w:lang w:val="en-AU"/>
        </w:rPr>
      </w:pPr>
      <w:r w:rsidRPr="001113AE">
        <w:rPr>
          <w:rFonts w:ascii="Arial" w:hAnsi="Arial" w:cs="Arial"/>
          <w:color w:val="000000"/>
          <w:sz w:val="22"/>
          <w:szCs w:val="22"/>
          <w:lang w:val="en-AU"/>
        </w:rPr>
        <w:t xml:space="preserve">encourage the early and economical resolution of disputes before the tribunal, including, if appropriate, through alternative resolution processes; and </w:t>
      </w:r>
    </w:p>
    <w:p w:rsidR="004F4A3D" w:rsidRPr="001113AE" w:rsidRDefault="004F4A3D" w:rsidP="00561B6B">
      <w:pPr>
        <w:pStyle w:val="NormalWeb"/>
        <w:numPr>
          <w:ilvl w:val="1"/>
          <w:numId w:val="2"/>
        </w:numPr>
        <w:spacing w:before="120" w:beforeAutospacing="0" w:after="120" w:afterAutospacing="0"/>
        <w:ind w:left="1701" w:right="680" w:hanging="624"/>
        <w:jc w:val="both"/>
        <w:rPr>
          <w:rFonts w:ascii="Arial" w:hAnsi="Arial" w:cs="Arial"/>
          <w:color w:val="000000"/>
          <w:sz w:val="22"/>
          <w:szCs w:val="22"/>
          <w:lang w:val="en-AU"/>
        </w:rPr>
      </w:pPr>
      <w:r w:rsidRPr="001113AE">
        <w:rPr>
          <w:rFonts w:ascii="Arial" w:hAnsi="Arial" w:cs="Arial"/>
          <w:color w:val="000000"/>
          <w:sz w:val="22"/>
          <w:szCs w:val="22"/>
          <w:lang w:val="en-AU"/>
        </w:rPr>
        <w:t>ensure proceedings are conducted in an informal way that minimises costs to parties, and is as quick as is consistent with achieving justice; and</w:t>
      </w:r>
    </w:p>
    <w:p w:rsidR="004F4A3D" w:rsidRPr="001113AE" w:rsidRDefault="004F4A3D" w:rsidP="00561B6B">
      <w:pPr>
        <w:pStyle w:val="NormalWeb"/>
        <w:numPr>
          <w:ilvl w:val="1"/>
          <w:numId w:val="2"/>
        </w:numPr>
        <w:spacing w:before="120" w:beforeAutospacing="0" w:after="120" w:afterAutospacing="0"/>
        <w:ind w:left="1701" w:right="680" w:hanging="624"/>
        <w:jc w:val="both"/>
        <w:rPr>
          <w:rFonts w:ascii="Arial" w:hAnsi="Arial" w:cs="Arial"/>
          <w:color w:val="000000"/>
          <w:sz w:val="22"/>
          <w:szCs w:val="22"/>
          <w:lang w:val="en-AU"/>
        </w:rPr>
      </w:pPr>
      <w:r w:rsidRPr="001113AE">
        <w:rPr>
          <w:rFonts w:ascii="Arial" w:hAnsi="Arial" w:cs="Arial"/>
          <w:color w:val="000000"/>
          <w:sz w:val="22"/>
          <w:szCs w:val="22"/>
          <w:lang w:val="en-AU"/>
        </w:rPr>
        <w:t>ensure like cases are treated alike; and</w:t>
      </w:r>
    </w:p>
    <w:p w:rsidR="004F4A3D" w:rsidRPr="001113AE" w:rsidRDefault="004F4A3D" w:rsidP="00561B6B">
      <w:pPr>
        <w:pStyle w:val="NormalWeb"/>
        <w:numPr>
          <w:ilvl w:val="1"/>
          <w:numId w:val="2"/>
        </w:numPr>
        <w:spacing w:before="120" w:beforeAutospacing="0" w:after="120" w:afterAutospacing="0"/>
        <w:ind w:left="1701" w:right="680" w:hanging="624"/>
        <w:jc w:val="both"/>
        <w:rPr>
          <w:rFonts w:ascii="Arial" w:hAnsi="Arial" w:cs="Arial"/>
          <w:color w:val="000000"/>
          <w:sz w:val="22"/>
          <w:szCs w:val="22"/>
          <w:lang w:val="en-AU"/>
        </w:rPr>
      </w:pPr>
      <w:r w:rsidRPr="001113AE">
        <w:rPr>
          <w:rFonts w:ascii="Arial" w:hAnsi="Arial" w:cs="Arial"/>
          <w:color w:val="000000"/>
          <w:sz w:val="22"/>
          <w:szCs w:val="22"/>
          <w:lang w:val="en-AU"/>
        </w:rPr>
        <w:t>ensure the tribunal is accessible and responsive to the diverse needs of person who use the tribunal; and</w:t>
      </w:r>
    </w:p>
    <w:p w:rsidR="004F4A3D" w:rsidRPr="001113AE" w:rsidRDefault="004F4A3D" w:rsidP="00561B6B">
      <w:pPr>
        <w:pStyle w:val="NormalWeb"/>
        <w:numPr>
          <w:ilvl w:val="1"/>
          <w:numId w:val="2"/>
        </w:numPr>
        <w:spacing w:before="120" w:beforeAutospacing="0" w:after="120" w:afterAutospacing="0"/>
        <w:ind w:left="1701" w:right="680" w:hanging="624"/>
        <w:jc w:val="both"/>
        <w:rPr>
          <w:rFonts w:ascii="Arial" w:hAnsi="Arial" w:cs="Arial"/>
          <w:color w:val="000000"/>
          <w:sz w:val="22"/>
          <w:szCs w:val="22"/>
          <w:lang w:val="en-AU"/>
        </w:rPr>
      </w:pPr>
      <w:r w:rsidRPr="001113AE">
        <w:rPr>
          <w:rFonts w:ascii="Arial" w:hAnsi="Arial" w:cs="Arial"/>
          <w:color w:val="000000"/>
          <w:sz w:val="22"/>
          <w:szCs w:val="22"/>
          <w:lang w:val="en-AU"/>
        </w:rPr>
        <w:t>maintain specialist knowledge, expertise and experience of members and adjudicators; and</w:t>
      </w:r>
    </w:p>
    <w:p w:rsidR="004F4A3D" w:rsidRPr="001113AE" w:rsidRDefault="004F4A3D" w:rsidP="00561B6B">
      <w:pPr>
        <w:pStyle w:val="NormalWeb"/>
        <w:numPr>
          <w:ilvl w:val="1"/>
          <w:numId w:val="2"/>
        </w:numPr>
        <w:spacing w:before="120" w:beforeAutospacing="0" w:after="120" w:afterAutospacing="0"/>
        <w:ind w:left="1701" w:right="680" w:hanging="624"/>
        <w:jc w:val="both"/>
        <w:rPr>
          <w:rFonts w:ascii="Arial" w:hAnsi="Arial" w:cs="Arial"/>
          <w:color w:val="000000"/>
          <w:sz w:val="22"/>
          <w:szCs w:val="22"/>
          <w:lang w:val="en-AU"/>
        </w:rPr>
      </w:pPr>
      <w:r w:rsidRPr="001113AE">
        <w:rPr>
          <w:rFonts w:ascii="Arial" w:hAnsi="Arial" w:cs="Arial"/>
          <w:color w:val="000000"/>
          <w:sz w:val="22"/>
          <w:szCs w:val="22"/>
          <w:lang w:val="en-AU"/>
        </w:rPr>
        <w:t xml:space="preserve">encourage members and adjudicators to act in a way that promotes the collegiate nature of the tribunal; and </w:t>
      </w:r>
    </w:p>
    <w:p w:rsidR="004F4A3D" w:rsidRPr="001113AE" w:rsidRDefault="004F4A3D" w:rsidP="00561B6B">
      <w:pPr>
        <w:pStyle w:val="NormalWeb"/>
        <w:numPr>
          <w:ilvl w:val="1"/>
          <w:numId w:val="2"/>
        </w:numPr>
        <w:spacing w:before="120" w:beforeAutospacing="0" w:after="120" w:afterAutospacing="0"/>
        <w:ind w:left="1701" w:right="680" w:hanging="624"/>
        <w:jc w:val="both"/>
        <w:rPr>
          <w:rFonts w:ascii="Arial" w:hAnsi="Arial" w:cs="Arial"/>
          <w:color w:val="000000"/>
          <w:sz w:val="22"/>
          <w:szCs w:val="22"/>
          <w:lang w:val="en-AU"/>
        </w:rPr>
      </w:pPr>
      <w:r w:rsidRPr="001113AE">
        <w:rPr>
          <w:rFonts w:ascii="Arial" w:hAnsi="Arial" w:cs="Arial"/>
          <w:color w:val="000000"/>
          <w:sz w:val="22"/>
          <w:szCs w:val="22"/>
          <w:lang w:val="en-AU"/>
        </w:rPr>
        <w:t>maintain a cohesive organisational structure.</w:t>
      </w:r>
      <w:r w:rsidRPr="001113AE">
        <w:rPr>
          <w:rStyle w:val="FootnoteReference"/>
          <w:rFonts w:ascii="Arial" w:hAnsi="Arial" w:cs="Arial"/>
          <w:color w:val="000000"/>
          <w:sz w:val="22"/>
          <w:szCs w:val="22"/>
          <w:lang w:val="en-AU"/>
        </w:rPr>
        <w:footnoteReference w:id="14"/>
      </w:r>
    </w:p>
    <w:p w:rsidR="004F4A3D" w:rsidRDefault="00733E47" w:rsidP="00733E47">
      <w:pPr>
        <w:pStyle w:val="NormalWeb"/>
        <w:numPr>
          <w:ilvl w:val="0"/>
          <w:numId w:val="2"/>
        </w:numPr>
        <w:spacing w:before="240" w:beforeAutospacing="0" w:after="120" w:afterAutospacing="0" w:line="360" w:lineRule="auto"/>
        <w:ind w:left="567" w:hanging="567"/>
        <w:jc w:val="both"/>
        <w:rPr>
          <w:rFonts w:ascii="Arial" w:hAnsi="Arial" w:cs="Arial"/>
          <w:color w:val="000000"/>
          <w:lang w:val="en-AU"/>
        </w:rPr>
      </w:pPr>
      <w:r w:rsidRPr="001113AE">
        <w:rPr>
          <w:rFonts w:ascii="Arial" w:hAnsi="Arial" w:cs="Arial"/>
          <w:color w:val="000000"/>
          <w:lang w:val="en-AU"/>
        </w:rPr>
        <w:t>The Commission considers the objects of the QCAT Act, and the functions of the tribunal relating to the objects, are still valid, and do not require amendment.</w:t>
      </w:r>
    </w:p>
    <w:p w:rsidR="008043E9" w:rsidRPr="001113AE" w:rsidRDefault="008043E9" w:rsidP="008043E9">
      <w:pPr>
        <w:pStyle w:val="NormalWeb"/>
        <w:pBdr>
          <w:top w:val="single" w:sz="4" w:space="1" w:color="auto"/>
          <w:left w:val="single" w:sz="4" w:space="4" w:color="auto"/>
          <w:bottom w:val="single" w:sz="4" w:space="1" w:color="auto"/>
          <w:right w:val="single" w:sz="4" w:space="4" w:color="auto"/>
        </w:pBdr>
        <w:spacing w:before="240" w:beforeAutospacing="0" w:after="240" w:afterAutospacing="0" w:line="360" w:lineRule="auto"/>
        <w:jc w:val="both"/>
        <w:rPr>
          <w:rFonts w:ascii="Arial" w:hAnsi="Arial" w:cs="Arial"/>
          <w:color w:val="000000"/>
          <w:lang w:val="en-AU"/>
        </w:rPr>
      </w:pPr>
      <w:r w:rsidRPr="001113AE">
        <w:rPr>
          <w:rFonts w:ascii="Arial" w:hAnsi="Arial" w:cs="Arial"/>
          <w:b/>
          <w:color w:val="000000"/>
          <w:lang w:val="en-AU"/>
        </w:rPr>
        <w:t>Recommendation I</w:t>
      </w:r>
      <w:r w:rsidRPr="001113AE">
        <w:rPr>
          <w:rFonts w:ascii="Arial" w:hAnsi="Arial" w:cs="Arial"/>
          <w:color w:val="000000"/>
          <w:lang w:val="en-AU"/>
        </w:rPr>
        <w:t xml:space="preserve">:  </w:t>
      </w:r>
      <w:r>
        <w:rPr>
          <w:rFonts w:ascii="Arial" w:hAnsi="Arial" w:cs="Arial"/>
          <w:color w:val="000000"/>
          <w:lang w:val="en-AU"/>
        </w:rPr>
        <w:t>That no amendment is necessary to the objects of the QCAT Act and functions of the tribunal.</w:t>
      </w:r>
    </w:p>
    <w:p w:rsidR="0072352C" w:rsidRPr="001113AE" w:rsidRDefault="00DA3C1A" w:rsidP="0014059B">
      <w:pPr>
        <w:pStyle w:val="NormalWeb"/>
        <w:keepNext/>
        <w:spacing w:before="480" w:beforeAutospacing="0" w:after="120" w:afterAutospacing="0" w:line="360" w:lineRule="auto"/>
        <w:jc w:val="both"/>
        <w:rPr>
          <w:rFonts w:ascii="Arial" w:hAnsi="Arial" w:cs="Arial"/>
          <w:b/>
          <w:color w:val="000000"/>
          <w:sz w:val="28"/>
          <w:szCs w:val="28"/>
          <w:lang w:val="en-AU"/>
        </w:rPr>
      </w:pPr>
      <w:r w:rsidRPr="001113AE">
        <w:rPr>
          <w:rFonts w:ascii="Arial" w:hAnsi="Arial" w:cs="Arial"/>
          <w:b/>
          <w:sz w:val="28"/>
          <w:szCs w:val="28"/>
          <w:lang w:val="en-AU"/>
        </w:rPr>
        <w:t>Distinction between legally qualified members and other members</w:t>
      </w:r>
    </w:p>
    <w:p w:rsidR="00776F23" w:rsidRPr="001113AE" w:rsidRDefault="00F1062D" w:rsidP="00C44204">
      <w:pPr>
        <w:pStyle w:val="NormalWeb"/>
        <w:numPr>
          <w:ilvl w:val="0"/>
          <w:numId w:val="2"/>
        </w:numPr>
        <w:spacing w:before="120" w:beforeAutospacing="0" w:after="240" w:afterAutospacing="0" w:line="360" w:lineRule="auto"/>
        <w:ind w:left="567" w:hanging="567"/>
        <w:jc w:val="both"/>
        <w:rPr>
          <w:rFonts w:ascii="Arial" w:hAnsi="Arial" w:cs="Arial"/>
          <w:color w:val="000000"/>
          <w:lang w:val="en-AU"/>
        </w:rPr>
      </w:pPr>
      <w:r>
        <w:rPr>
          <w:rFonts w:ascii="Arial" w:hAnsi="Arial" w:cs="Arial"/>
          <w:color w:val="000000"/>
          <w:lang w:val="en-AU"/>
        </w:rPr>
        <w:t>The Commission considers the distinction between legally qualified members and other members should be maintained.</w:t>
      </w:r>
    </w:p>
    <w:p w:rsidR="00AF7D83" w:rsidRPr="001113AE" w:rsidRDefault="00F1062D" w:rsidP="004F4A3D">
      <w:pPr>
        <w:pStyle w:val="NormalWeb"/>
        <w:numPr>
          <w:ilvl w:val="0"/>
          <w:numId w:val="2"/>
        </w:numPr>
        <w:spacing w:before="240" w:beforeAutospacing="0" w:after="120" w:afterAutospacing="0" w:line="360" w:lineRule="auto"/>
        <w:ind w:left="567" w:hanging="567"/>
        <w:jc w:val="both"/>
        <w:rPr>
          <w:rFonts w:ascii="Arial" w:hAnsi="Arial" w:cs="Arial"/>
          <w:color w:val="000000"/>
          <w:lang w:val="en-AU"/>
        </w:rPr>
      </w:pPr>
      <w:r>
        <w:rPr>
          <w:rFonts w:ascii="Arial" w:hAnsi="Arial" w:cs="Arial"/>
          <w:color w:val="000000"/>
          <w:lang w:val="en-AU"/>
        </w:rPr>
        <w:t xml:space="preserve">This issue is inextricably related to the issues of the constitution of the tribunal and the leadership structure, both of which are </w:t>
      </w:r>
      <w:r w:rsidR="00F401C5">
        <w:rPr>
          <w:rFonts w:ascii="Arial" w:hAnsi="Arial" w:cs="Arial"/>
          <w:color w:val="000000"/>
          <w:lang w:val="en-AU"/>
        </w:rPr>
        <w:t>discussed</w:t>
      </w:r>
      <w:r>
        <w:rPr>
          <w:rFonts w:ascii="Arial" w:hAnsi="Arial" w:cs="Arial"/>
          <w:color w:val="000000"/>
          <w:lang w:val="en-AU"/>
        </w:rPr>
        <w:t xml:space="preserve"> below.</w:t>
      </w:r>
    </w:p>
    <w:p w:rsidR="00FA1962" w:rsidRPr="001113AE" w:rsidRDefault="009B1170" w:rsidP="00FA1962">
      <w:pPr>
        <w:pStyle w:val="NormalWeb"/>
        <w:pBdr>
          <w:top w:val="single" w:sz="4" w:space="1" w:color="auto"/>
          <w:left w:val="single" w:sz="4" w:space="4" w:color="auto"/>
          <w:bottom w:val="single" w:sz="4" w:space="1" w:color="auto"/>
          <w:right w:val="single" w:sz="4" w:space="4" w:color="auto"/>
        </w:pBdr>
        <w:spacing w:before="240" w:beforeAutospacing="0" w:after="240" w:afterAutospacing="0" w:line="360" w:lineRule="auto"/>
        <w:jc w:val="both"/>
        <w:rPr>
          <w:rFonts w:ascii="Arial" w:hAnsi="Arial" w:cs="Arial"/>
          <w:color w:val="000000"/>
          <w:lang w:val="en-AU"/>
        </w:rPr>
      </w:pPr>
      <w:r w:rsidRPr="001113AE">
        <w:rPr>
          <w:rFonts w:ascii="Arial" w:hAnsi="Arial" w:cs="Arial"/>
          <w:b/>
          <w:color w:val="000000"/>
          <w:lang w:val="en-AU"/>
        </w:rPr>
        <w:t xml:space="preserve">Recommendation </w:t>
      </w:r>
      <w:r w:rsidR="0077476E" w:rsidRPr="001113AE">
        <w:rPr>
          <w:rFonts w:ascii="Arial" w:hAnsi="Arial" w:cs="Arial"/>
          <w:b/>
          <w:color w:val="000000"/>
          <w:lang w:val="en-AU"/>
        </w:rPr>
        <w:t>I</w:t>
      </w:r>
      <w:r w:rsidR="008043E9">
        <w:rPr>
          <w:rFonts w:ascii="Arial" w:hAnsi="Arial" w:cs="Arial"/>
          <w:b/>
          <w:color w:val="000000"/>
          <w:lang w:val="en-AU"/>
        </w:rPr>
        <w:t>I</w:t>
      </w:r>
      <w:r w:rsidR="00FA1962" w:rsidRPr="001113AE">
        <w:rPr>
          <w:rFonts w:ascii="Arial" w:hAnsi="Arial" w:cs="Arial"/>
          <w:color w:val="000000"/>
          <w:lang w:val="en-AU"/>
        </w:rPr>
        <w:t xml:space="preserve">:  </w:t>
      </w:r>
      <w:r w:rsidR="00F1062D">
        <w:rPr>
          <w:rFonts w:ascii="Arial" w:hAnsi="Arial" w:cs="Arial"/>
          <w:color w:val="000000"/>
          <w:lang w:val="en-AU"/>
        </w:rPr>
        <w:t>That the distinction between legally qualified members and other members be retained.</w:t>
      </w:r>
    </w:p>
    <w:p w:rsidR="002A0911" w:rsidRPr="001113AE" w:rsidRDefault="00DA3C1A" w:rsidP="0014059B">
      <w:pPr>
        <w:pStyle w:val="NormalWeb"/>
        <w:keepNext/>
        <w:spacing w:before="480" w:beforeAutospacing="0" w:after="120" w:afterAutospacing="0" w:line="360" w:lineRule="auto"/>
        <w:jc w:val="both"/>
        <w:rPr>
          <w:rFonts w:ascii="Arial" w:hAnsi="Arial" w:cs="Arial"/>
          <w:b/>
          <w:sz w:val="28"/>
          <w:szCs w:val="28"/>
          <w:lang w:val="en-AU"/>
        </w:rPr>
      </w:pPr>
      <w:r w:rsidRPr="001113AE">
        <w:rPr>
          <w:rFonts w:ascii="Arial" w:hAnsi="Arial" w:cs="Arial"/>
          <w:b/>
          <w:sz w:val="28"/>
          <w:szCs w:val="28"/>
          <w:lang w:val="en-AU"/>
        </w:rPr>
        <w:lastRenderedPageBreak/>
        <w:t>Constitution of the tribunal</w:t>
      </w:r>
    </w:p>
    <w:p w:rsidR="00DE7B6D" w:rsidRPr="001113AE" w:rsidRDefault="005751E2" w:rsidP="00FF49FA">
      <w:pPr>
        <w:pStyle w:val="NormalWeb"/>
        <w:numPr>
          <w:ilvl w:val="0"/>
          <w:numId w:val="2"/>
        </w:numPr>
        <w:spacing w:before="120" w:beforeAutospacing="0" w:after="240" w:afterAutospacing="0" w:line="360" w:lineRule="auto"/>
        <w:ind w:left="567" w:hanging="567"/>
        <w:jc w:val="both"/>
        <w:rPr>
          <w:rFonts w:ascii="Arial" w:hAnsi="Arial" w:cs="Arial"/>
          <w:lang w:val="en-AU"/>
        </w:rPr>
      </w:pPr>
      <w:r w:rsidRPr="001113AE">
        <w:rPr>
          <w:rFonts w:ascii="Arial" w:hAnsi="Arial" w:cs="Arial"/>
          <w:color w:val="000000"/>
          <w:lang w:val="en-AU"/>
        </w:rPr>
        <w:t xml:space="preserve">Before the commencement of QCAT, tribunal functions under the AD Act were </w:t>
      </w:r>
      <w:r w:rsidR="00561B6B" w:rsidRPr="001113AE">
        <w:rPr>
          <w:rFonts w:ascii="Arial" w:hAnsi="Arial" w:cs="Arial"/>
          <w:color w:val="000000"/>
          <w:lang w:val="en-AU"/>
        </w:rPr>
        <w:t>performed</w:t>
      </w:r>
      <w:r w:rsidRPr="001113AE">
        <w:rPr>
          <w:rFonts w:ascii="Arial" w:hAnsi="Arial" w:cs="Arial"/>
          <w:color w:val="000000"/>
          <w:lang w:val="en-AU"/>
        </w:rPr>
        <w:t xml:space="preserve"> by the Anti-Discrimination Tribunal (ADT).  The ADT was established under the AD Act and was comprised of members</w:t>
      </w:r>
      <w:r w:rsidR="000F027C" w:rsidRPr="001113AE">
        <w:rPr>
          <w:rFonts w:ascii="Arial" w:hAnsi="Arial" w:cs="Arial"/>
          <w:color w:val="000000"/>
          <w:lang w:val="en-AU"/>
        </w:rPr>
        <w:t xml:space="preserve">, one of which was </w:t>
      </w:r>
      <w:r w:rsidRPr="001113AE">
        <w:rPr>
          <w:rFonts w:ascii="Arial" w:hAnsi="Arial" w:cs="Arial"/>
          <w:color w:val="000000"/>
          <w:lang w:val="en-AU"/>
        </w:rPr>
        <w:t>president, appointed by the Governor in Council.</w:t>
      </w:r>
      <w:r w:rsidR="000F027C" w:rsidRPr="001113AE">
        <w:rPr>
          <w:rFonts w:ascii="Arial" w:hAnsi="Arial" w:cs="Arial"/>
          <w:color w:val="000000"/>
          <w:lang w:val="en-AU"/>
        </w:rPr>
        <w:t xml:space="preserve">  </w:t>
      </w:r>
    </w:p>
    <w:p w:rsidR="009271C1" w:rsidRPr="001113AE" w:rsidRDefault="000F027C" w:rsidP="00FF49FA">
      <w:pPr>
        <w:pStyle w:val="NormalWeb"/>
        <w:numPr>
          <w:ilvl w:val="0"/>
          <w:numId w:val="2"/>
        </w:numPr>
        <w:spacing w:before="240" w:beforeAutospacing="0" w:after="120" w:afterAutospacing="0" w:line="360" w:lineRule="auto"/>
        <w:ind w:left="567" w:hanging="567"/>
        <w:jc w:val="both"/>
        <w:rPr>
          <w:rFonts w:ascii="Arial" w:hAnsi="Arial" w:cs="Arial"/>
          <w:lang w:val="en-AU"/>
        </w:rPr>
      </w:pPr>
      <w:r w:rsidRPr="001113AE">
        <w:rPr>
          <w:rFonts w:ascii="Arial" w:hAnsi="Arial" w:cs="Arial"/>
          <w:lang w:val="en-AU"/>
        </w:rPr>
        <w:t>As regards qualifications of members, the AD Act provided:</w:t>
      </w:r>
    </w:p>
    <w:p w:rsidR="000F027C" w:rsidRPr="001113AE" w:rsidRDefault="000F027C" w:rsidP="00FF49FA">
      <w:pPr>
        <w:pStyle w:val="NormalWeb"/>
        <w:spacing w:before="0" w:beforeAutospacing="0" w:after="120" w:afterAutospacing="0"/>
        <w:ind w:left="1077" w:right="680"/>
        <w:jc w:val="both"/>
        <w:rPr>
          <w:rFonts w:ascii="Arial" w:hAnsi="Arial" w:cs="Arial"/>
          <w:sz w:val="22"/>
          <w:szCs w:val="22"/>
          <w:lang w:val="en-AU"/>
        </w:rPr>
      </w:pPr>
      <w:r w:rsidRPr="001113AE">
        <w:rPr>
          <w:rFonts w:ascii="Arial" w:hAnsi="Arial" w:cs="Arial"/>
          <w:sz w:val="22"/>
          <w:szCs w:val="22"/>
          <w:lang w:val="en-AU"/>
        </w:rPr>
        <w:t>A person is not eligible for appointment as a member unless the person is a barrister, solicitor, barrister and solicitor or legal practitioner of not less than 5 years standing, of the High Court or the Supreme Court of the State or another State.</w:t>
      </w:r>
      <w:r w:rsidRPr="001113AE">
        <w:rPr>
          <w:rStyle w:val="FootnoteReference"/>
          <w:rFonts w:ascii="Arial" w:hAnsi="Arial" w:cs="Arial"/>
          <w:sz w:val="22"/>
          <w:szCs w:val="22"/>
          <w:lang w:val="en-AU"/>
        </w:rPr>
        <w:footnoteReference w:id="15"/>
      </w:r>
    </w:p>
    <w:p w:rsidR="000F027C" w:rsidRPr="001113AE" w:rsidRDefault="000F027C" w:rsidP="004F4A3D">
      <w:pPr>
        <w:pStyle w:val="NormalWeb"/>
        <w:numPr>
          <w:ilvl w:val="0"/>
          <w:numId w:val="2"/>
        </w:numPr>
        <w:spacing w:before="240" w:beforeAutospacing="0" w:after="120" w:afterAutospacing="0" w:line="360" w:lineRule="auto"/>
        <w:ind w:left="567" w:hanging="567"/>
        <w:jc w:val="both"/>
        <w:rPr>
          <w:rFonts w:ascii="Arial" w:hAnsi="Arial" w:cs="Arial"/>
          <w:lang w:val="en-AU"/>
        </w:rPr>
      </w:pPr>
      <w:r w:rsidRPr="001113AE">
        <w:rPr>
          <w:rFonts w:ascii="Arial" w:hAnsi="Arial" w:cs="Arial"/>
          <w:lang w:val="en-AU"/>
        </w:rPr>
        <w:t>It was also a requirement that members be appointed on a part-time basis.</w:t>
      </w:r>
      <w:r w:rsidRPr="001113AE">
        <w:rPr>
          <w:rStyle w:val="FootnoteReference"/>
          <w:rFonts w:ascii="Arial" w:hAnsi="Arial" w:cs="Arial"/>
          <w:lang w:val="en-AU"/>
        </w:rPr>
        <w:footnoteReference w:id="16"/>
      </w:r>
      <w:r w:rsidRPr="001113AE">
        <w:rPr>
          <w:rFonts w:ascii="Arial" w:hAnsi="Arial" w:cs="Arial"/>
          <w:lang w:val="en-AU"/>
        </w:rPr>
        <w:t xml:space="preserve">  Consequently, members of the ADT were mostly practising barristers, and a few were </w:t>
      </w:r>
      <w:r w:rsidR="00561B6B" w:rsidRPr="001113AE">
        <w:rPr>
          <w:rFonts w:ascii="Arial" w:hAnsi="Arial" w:cs="Arial"/>
          <w:lang w:val="en-AU"/>
        </w:rPr>
        <w:t xml:space="preserve">practising </w:t>
      </w:r>
      <w:r w:rsidRPr="001113AE">
        <w:rPr>
          <w:rFonts w:ascii="Arial" w:hAnsi="Arial" w:cs="Arial"/>
          <w:lang w:val="en-AU"/>
        </w:rPr>
        <w:t>solicitors.</w:t>
      </w:r>
    </w:p>
    <w:p w:rsidR="000A4349" w:rsidRPr="001113AE" w:rsidRDefault="000A4349" w:rsidP="004F4A3D">
      <w:pPr>
        <w:pStyle w:val="NormalWeb"/>
        <w:numPr>
          <w:ilvl w:val="0"/>
          <w:numId w:val="2"/>
        </w:numPr>
        <w:spacing w:before="240" w:beforeAutospacing="0" w:after="120" w:afterAutospacing="0" w:line="360" w:lineRule="auto"/>
        <w:ind w:left="567" w:hanging="567"/>
        <w:jc w:val="both"/>
        <w:rPr>
          <w:rFonts w:ascii="Arial" w:hAnsi="Arial" w:cs="Arial"/>
          <w:lang w:val="en-AU"/>
        </w:rPr>
      </w:pPr>
      <w:r w:rsidRPr="001113AE">
        <w:rPr>
          <w:rFonts w:ascii="Arial" w:hAnsi="Arial" w:cs="Arial"/>
          <w:lang w:val="en-AU"/>
        </w:rPr>
        <w:t>The AD A</w:t>
      </w:r>
      <w:r w:rsidR="004D07AE" w:rsidRPr="001113AE">
        <w:rPr>
          <w:rFonts w:ascii="Arial" w:hAnsi="Arial" w:cs="Arial"/>
          <w:lang w:val="en-AU"/>
        </w:rPr>
        <w:t>ct provided that the tribunal is constituted by 1 member of the tribunal for the purpose of conducting a hearing.</w:t>
      </w:r>
      <w:r w:rsidR="0048245B" w:rsidRPr="001113AE">
        <w:rPr>
          <w:rStyle w:val="FootnoteReference"/>
          <w:rFonts w:ascii="Arial" w:hAnsi="Arial" w:cs="Arial"/>
          <w:lang w:val="en-AU"/>
        </w:rPr>
        <w:footnoteReference w:id="17"/>
      </w:r>
      <w:r w:rsidR="00E223B1" w:rsidRPr="001113AE">
        <w:rPr>
          <w:rFonts w:ascii="Arial" w:hAnsi="Arial" w:cs="Arial"/>
          <w:lang w:val="en-AU"/>
        </w:rPr>
        <w:t xml:space="preserve">  </w:t>
      </w:r>
      <w:r w:rsidR="00087C82" w:rsidRPr="001113AE">
        <w:rPr>
          <w:rFonts w:ascii="Arial" w:hAnsi="Arial" w:cs="Arial"/>
          <w:lang w:val="en-AU"/>
        </w:rPr>
        <w:t>In practice, a</w:t>
      </w:r>
      <w:r w:rsidR="00E223B1" w:rsidRPr="001113AE">
        <w:rPr>
          <w:rFonts w:ascii="Arial" w:hAnsi="Arial" w:cs="Arial"/>
          <w:lang w:val="en-AU"/>
        </w:rPr>
        <w:t>ll hearings were conducted by 1 member only.</w:t>
      </w:r>
    </w:p>
    <w:p w:rsidR="00C610C6" w:rsidRPr="001113AE" w:rsidRDefault="00E223B1" w:rsidP="004F4A3D">
      <w:pPr>
        <w:pStyle w:val="NormalWeb"/>
        <w:numPr>
          <w:ilvl w:val="0"/>
          <w:numId w:val="2"/>
        </w:numPr>
        <w:spacing w:before="240" w:beforeAutospacing="0" w:after="120" w:afterAutospacing="0" w:line="360" w:lineRule="auto"/>
        <w:ind w:left="567" w:hanging="567"/>
        <w:jc w:val="both"/>
        <w:rPr>
          <w:rFonts w:ascii="Arial" w:hAnsi="Arial" w:cs="Arial"/>
          <w:lang w:val="en-AU"/>
        </w:rPr>
      </w:pPr>
      <w:r w:rsidRPr="001113AE">
        <w:rPr>
          <w:rFonts w:ascii="Arial" w:hAnsi="Arial" w:cs="Arial"/>
          <w:lang w:val="en-AU"/>
        </w:rPr>
        <w:t>With the introduction of QCAT, it was the Commission</w:t>
      </w:r>
      <w:r w:rsidR="00373402">
        <w:rPr>
          <w:rFonts w:ascii="Arial" w:hAnsi="Arial" w:cs="Arial"/>
          <w:lang w:val="en-AU"/>
        </w:rPr>
        <w:t>’s</w:t>
      </w:r>
      <w:r w:rsidRPr="001113AE">
        <w:rPr>
          <w:rFonts w:ascii="Arial" w:hAnsi="Arial" w:cs="Arial"/>
          <w:lang w:val="en-AU"/>
        </w:rPr>
        <w:t xml:space="preserve"> </w:t>
      </w:r>
      <w:r w:rsidR="00373402">
        <w:rPr>
          <w:rFonts w:ascii="Arial" w:hAnsi="Arial" w:cs="Arial"/>
          <w:lang w:val="en-AU"/>
        </w:rPr>
        <w:t xml:space="preserve">view </w:t>
      </w:r>
      <w:r w:rsidRPr="001113AE">
        <w:rPr>
          <w:rFonts w:ascii="Arial" w:hAnsi="Arial" w:cs="Arial"/>
          <w:lang w:val="en-AU"/>
        </w:rPr>
        <w:t>that, for the functions under the AD Act</w:t>
      </w:r>
      <w:r w:rsidR="002951A8" w:rsidRPr="001113AE">
        <w:rPr>
          <w:rFonts w:ascii="Arial" w:hAnsi="Arial" w:cs="Arial"/>
          <w:lang w:val="en-AU"/>
        </w:rPr>
        <w:t xml:space="preserve"> other than providing opinions</w:t>
      </w:r>
      <w:r w:rsidRPr="001113AE">
        <w:rPr>
          <w:rFonts w:ascii="Arial" w:hAnsi="Arial" w:cs="Arial"/>
          <w:lang w:val="en-AU"/>
        </w:rPr>
        <w:t xml:space="preserve">, QCAT be constituted in the same way as the ADT had been constituted.  </w:t>
      </w:r>
      <w:r w:rsidR="00373402">
        <w:rPr>
          <w:rFonts w:ascii="Arial" w:hAnsi="Arial" w:cs="Arial"/>
          <w:lang w:val="en-AU"/>
        </w:rPr>
        <w:t>S</w:t>
      </w:r>
      <w:r w:rsidRPr="001113AE">
        <w:rPr>
          <w:rFonts w:ascii="Arial" w:hAnsi="Arial" w:cs="Arial"/>
          <w:lang w:val="en-AU"/>
        </w:rPr>
        <w:t>ection 176 of the AD Act was amended to provide that for matters other than providing an opinion, QCAT is to be constituted by 1 </w:t>
      </w:r>
      <w:r w:rsidR="002951A8" w:rsidRPr="001113AE">
        <w:rPr>
          <w:rFonts w:ascii="Arial" w:hAnsi="Arial" w:cs="Arial"/>
          <w:lang w:val="en-AU"/>
        </w:rPr>
        <w:t>‘</w:t>
      </w:r>
      <w:r w:rsidRPr="001113AE">
        <w:rPr>
          <w:rFonts w:ascii="Arial" w:hAnsi="Arial" w:cs="Arial"/>
          <w:lang w:val="en-AU"/>
        </w:rPr>
        <w:t>legally qualified member</w:t>
      </w:r>
      <w:r w:rsidR="00C610C6" w:rsidRPr="001113AE">
        <w:rPr>
          <w:rFonts w:ascii="Arial" w:hAnsi="Arial" w:cs="Arial"/>
          <w:lang w:val="en-AU"/>
        </w:rPr>
        <w:t>’</w:t>
      </w:r>
      <w:r w:rsidRPr="001113AE">
        <w:rPr>
          <w:rFonts w:ascii="Arial" w:hAnsi="Arial" w:cs="Arial"/>
          <w:lang w:val="en-AU"/>
        </w:rPr>
        <w:t>.</w:t>
      </w:r>
      <w:r w:rsidR="00C610C6" w:rsidRPr="001113AE">
        <w:rPr>
          <w:rStyle w:val="FootnoteReference"/>
          <w:rFonts w:ascii="Arial" w:hAnsi="Arial" w:cs="Arial"/>
          <w:lang w:val="en-AU"/>
        </w:rPr>
        <w:footnoteReference w:id="18"/>
      </w:r>
      <w:r w:rsidR="0084791D" w:rsidRPr="001113AE">
        <w:rPr>
          <w:rFonts w:ascii="Arial" w:hAnsi="Arial" w:cs="Arial"/>
          <w:lang w:val="en-AU"/>
        </w:rPr>
        <w:t xml:space="preserve">  </w:t>
      </w:r>
    </w:p>
    <w:p w:rsidR="00C610C6" w:rsidRPr="001113AE" w:rsidRDefault="00C610C6" w:rsidP="004F4A3D">
      <w:pPr>
        <w:pStyle w:val="NormalWeb"/>
        <w:numPr>
          <w:ilvl w:val="0"/>
          <w:numId w:val="2"/>
        </w:numPr>
        <w:spacing w:before="240" w:beforeAutospacing="0" w:after="120" w:afterAutospacing="0" w:line="360" w:lineRule="auto"/>
        <w:ind w:left="567" w:hanging="567"/>
        <w:jc w:val="both"/>
        <w:rPr>
          <w:rFonts w:ascii="Arial" w:hAnsi="Arial" w:cs="Arial"/>
          <w:lang w:val="en-AU"/>
        </w:rPr>
      </w:pPr>
      <w:r w:rsidRPr="001113AE">
        <w:rPr>
          <w:rFonts w:ascii="Arial" w:hAnsi="Arial" w:cs="Arial"/>
          <w:lang w:val="en-AU"/>
        </w:rPr>
        <w:t>Section 176 of the AD Act</w:t>
      </w:r>
      <w:r w:rsidR="0084791D" w:rsidRPr="001113AE">
        <w:rPr>
          <w:rFonts w:ascii="Arial" w:hAnsi="Arial" w:cs="Arial"/>
          <w:lang w:val="en-AU"/>
        </w:rPr>
        <w:t xml:space="preserve"> has since been interpreted by the tribunal as </w:t>
      </w:r>
      <w:r w:rsidR="00087C82" w:rsidRPr="001113AE">
        <w:rPr>
          <w:rFonts w:ascii="Arial" w:hAnsi="Arial" w:cs="Arial"/>
          <w:lang w:val="en-AU"/>
        </w:rPr>
        <w:t>a statement of sufficiency of the constitution of the tribunal rather than a mandatory prescription of the membership of the tribunal.</w:t>
      </w:r>
      <w:r w:rsidR="00087C82" w:rsidRPr="001113AE">
        <w:rPr>
          <w:rStyle w:val="FootnoteReference"/>
          <w:rFonts w:ascii="Arial" w:hAnsi="Arial" w:cs="Arial"/>
          <w:lang w:val="en-AU"/>
        </w:rPr>
        <w:footnoteReference w:id="19"/>
      </w:r>
      <w:r w:rsidRPr="001113AE">
        <w:rPr>
          <w:rFonts w:ascii="Arial" w:hAnsi="Arial" w:cs="Arial"/>
          <w:lang w:val="en-AU"/>
        </w:rPr>
        <w:t xml:space="preserve">  </w:t>
      </w:r>
      <w:r w:rsidR="002951A8" w:rsidRPr="001113AE">
        <w:rPr>
          <w:rFonts w:ascii="Arial" w:hAnsi="Arial" w:cs="Arial"/>
          <w:lang w:val="en-AU"/>
        </w:rPr>
        <w:t xml:space="preserve">On this </w:t>
      </w:r>
      <w:r w:rsidR="002951A8" w:rsidRPr="001113AE">
        <w:rPr>
          <w:rFonts w:ascii="Arial" w:hAnsi="Arial" w:cs="Arial"/>
          <w:lang w:val="en-AU"/>
        </w:rPr>
        <w:lastRenderedPageBreak/>
        <w:t>interpretation of section 176 of the AD Act,</w:t>
      </w:r>
      <w:r w:rsidR="00087C82" w:rsidRPr="001113AE">
        <w:rPr>
          <w:rFonts w:ascii="Arial" w:hAnsi="Arial" w:cs="Arial"/>
          <w:lang w:val="en-AU"/>
        </w:rPr>
        <w:t xml:space="preserve"> for anti-discrimination matters, arguably the tribunal could be constituted by more than one member, provided one of them is a legally qualified member.</w:t>
      </w:r>
      <w:r w:rsidR="002951A8" w:rsidRPr="001113AE">
        <w:rPr>
          <w:rFonts w:ascii="Arial" w:hAnsi="Arial" w:cs="Arial"/>
          <w:lang w:val="en-AU"/>
        </w:rPr>
        <w:t xml:space="preserve">  </w:t>
      </w:r>
    </w:p>
    <w:p w:rsidR="00087C82" w:rsidRPr="001113AE" w:rsidRDefault="00C610C6" w:rsidP="004F4A3D">
      <w:pPr>
        <w:pStyle w:val="NormalWeb"/>
        <w:numPr>
          <w:ilvl w:val="0"/>
          <w:numId w:val="2"/>
        </w:numPr>
        <w:spacing w:before="240" w:beforeAutospacing="0" w:after="120" w:afterAutospacing="0" w:line="360" w:lineRule="auto"/>
        <w:ind w:left="567" w:hanging="567"/>
        <w:jc w:val="both"/>
        <w:rPr>
          <w:rFonts w:ascii="Arial" w:hAnsi="Arial" w:cs="Arial"/>
          <w:lang w:val="en-AU"/>
        </w:rPr>
      </w:pPr>
      <w:r w:rsidRPr="001113AE">
        <w:rPr>
          <w:rFonts w:ascii="Arial" w:hAnsi="Arial" w:cs="Arial"/>
          <w:lang w:val="en-AU"/>
        </w:rPr>
        <w:t xml:space="preserve">With </w:t>
      </w:r>
      <w:r w:rsidR="002951A8" w:rsidRPr="001113AE">
        <w:rPr>
          <w:rFonts w:ascii="Arial" w:hAnsi="Arial" w:cs="Arial"/>
          <w:lang w:val="en-AU"/>
        </w:rPr>
        <w:t>the AD</w:t>
      </w:r>
      <w:r w:rsidRPr="001113AE">
        <w:rPr>
          <w:rFonts w:ascii="Arial" w:hAnsi="Arial" w:cs="Arial"/>
          <w:lang w:val="en-AU"/>
        </w:rPr>
        <w:t>T, as all members were required to be barristers, solicitors or a legal practitioner of at least 5 years standing</w:t>
      </w:r>
      <w:r w:rsidR="002951A8" w:rsidRPr="001113AE">
        <w:rPr>
          <w:rFonts w:ascii="Arial" w:hAnsi="Arial" w:cs="Arial"/>
          <w:lang w:val="en-AU"/>
        </w:rPr>
        <w:t xml:space="preserve">, </w:t>
      </w:r>
      <w:r w:rsidRPr="001113AE">
        <w:rPr>
          <w:rFonts w:ascii="Arial" w:hAnsi="Arial" w:cs="Arial"/>
          <w:lang w:val="en-AU"/>
        </w:rPr>
        <w:t>if the tribunal was constituted by more than one member, all of them would have held qualifications in law.  With QCAT h</w:t>
      </w:r>
      <w:r w:rsidR="002951A8" w:rsidRPr="001113AE">
        <w:rPr>
          <w:rFonts w:ascii="Arial" w:hAnsi="Arial" w:cs="Arial"/>
          <w:lang w:val="en-AU"/>
        </w:rPr>
        <w:t>owever</w:t>
      </w:r>
      <w:r w:rsidRPr="001113AE">
        <w:rPr>
          <w:rFonts w:ascii="Arial" w:hAnsi="Arial" w:cs="Arial"/>
          <w:lang w:val="en-AU"/>
        </w:rPr>
        <w:t>,</w:t>
      </w:r>
      <w:r w:rsidR="002951A8" w:rsidRPr="001113AE">
        <w:rPr>
          <w:rFonts w:ascii="Arial" w:hAnsi="Arial" w:cs="Arial"/>
          <w:lang w:val="en-AU"/>
        </w:rPr>
        <w:t xml:space="preserve"> as not all members of QCAT </w:t>
      </w:r>
      <w:r w:rsidRPr="001113AE">
        <w:rPr>
          <w:rFonts w:ascii="Arial" w:hAnsi="Arial" w:cs="Arial"/>
          <w:lang w:val="en-AU"/>
        </w:rPr>
        <w:t>are required to hold</w:t>
      </w:r>
      <w:r w:rsidR="002951A8" w:rsidRPr="001113AE">
        <w:rPr>
          <w:rFonts w:ascii="Arial" w:hAnsi="Arial" w:cs="Arial"/>
          <w:lang w:val="en-AU"/>
        </w:rPr>
        <w:t xml:space="preserve"> qualifi</w:t>
      </w:r>
      <w:r w:rsidRPr="001113AE">
        <w:rPr>
          <w:rFonts w:ascii="Arial" w:hAnsi="Arial" w:cs="Arial"/>
          <w:lang w:val="en-AU"/>
        </w:rPr>
        <w:t xml:space="preserve">cations in law, arguably the tribunal could be constituted by members without qualifications in law, provided </w:t>
      </w:r>
      <w:r w:rsidR="0055791F" w:rsidRPr="001113AE">
        <w:rPr>
          <w:rFonts w:ascii="Arial" w:hAnsi="Arial" w:cs="Arial"/>
          <w:lang w:val="en-AU"/>
        </w:rPr>
        <w:t>at least 1 of them is a ‘legally qualified member’.</w:t>
      </w:r>
    </w:p>
    <w:p w:rsidR="00087C82" w:rsidRPr="001113AE" w:rsidRDefault="0055791F" w:rsidP="004F4A3D">
      <w:pPr>
        <w:pStyle w:val="NormalWeb"/>
        <w:numPr>
          <w:ilvl w:val="0"/>
          <w:numId w:val="2"/>
        </w:numPr>
        <w:spacing w:before="240" w:beforeAutospacing="0" w:after="120" w:afterAutospacing="0" w:line="360" w:lineRule="auto"/>
        <w:ind w:left="567" w:hanging="567"/>
        <w:jc w:val="both"/>
        <w:rPr>
          <w:rFonts w:ascii="Arial" w:hAnsi="Arial" w:cs="Arial"/>
          <w:lang w:val="en-AU"/>
        </w:rPr>
      </w:pPr>
      <w:r w:rsidRPr="001113AE">
        <w:rPr>
          <w:rFonts w:ascii="Arial" w:hAnsi="Arial" w:cs="Arial"/>
          <w:lang w:val="en-AU"/>
        </w:rPr>
        <w:t>This may not have been the intention of the legislature</w:t>
      </w:r>
      <w:r w:rsidR="00087C82" w:rsidRPr="001113AE">
        <w:rPr>
          <w:rFonts w:ascii="Arial" w:hAnsi="Arial" w:cs="Arial"/>
          <w:lang w:val="en-AU"/>
        </w:rPr>
        <w:t xml:space="preserve">.  </w:t>
      </w:r>
      <w:r w:rsidRPr="001113AE">
        <w:rPr>
          <w:rFonts w:ascii="Arial" w:hAnsi="Arial" w:cs="Arial"/>
          <w:lang w:val="en-AU"/>
        </w:rPr>
        <w:t xml:space="preserve">The Commission considers that section 176 of the AD Act should be amended to clarify </w:t>
      </w:r>
      <w:r w:rsidR="00A00E53">
        <w:rPr>
          <w:rFonts w:ascii="Arial" w:hAnsi="Arial" w:cs="Arial"/>
          <w:lang w:val="en-AU"/>
        </w:rPr>
        <w:t xml:space="preserve">whether it is intended </w:t>
      </w:r>
      <w:r w:rsidRPr="001113AE">
        <w:rPr>
          <w:rFonts w:ascii="Arial" w:hAnsi="Arial" w:cs="Arial"/>
          <w:lang w:val="en-AU"/>
        </w:rPr>
        <w:t>that for anti-discrimination matters other than opinions, the tribunal must be constituted by one or more legally qualified members</w:t>
      </w:r>
      <w:r w:rsidR="00A00E53">
        <w:rPr>
          <w:rFonts w:ascii="Arial" w:hAnsi="Arial" w:cs="Arial"/>
          <w:lang w:val="en-AU"/>
        </w:rPr>
        <w:t>, or at least one legally qualified member</w:t>
      </w:r>
      <w:r w:rsidRPr="001113AE">
        <w:rPr>
          <w:rFonts w:ascii="Arial" w:hAnsi="Arial" w:cs="Arial"/>
          <w:lang w:val="en-AU"/>
        </w:rPr>
        <w:t>.</w:t>
      </w:r>
    </w:p>
    <w:p w:rsidR="000B5555" w:rsidRPr="001113AE" w:rsidRDefault="001C2931" w:rsidP="004F4A3D">
      <w:pPr>
        <w:pStyle w:val="NormalWeb"/>
        <w:numPr>
          <w:ilvl w:val="0"/>
          <w:numId w:val="2"/>
        </w:numPr>
        <w:spacing w:before="240" w:beforeAutospacing="0" w:after="120" w:afterAutospacing="0" w:line="360" w:lineRule="auto"/>
        <w:ind w:left="567" w:hanging="567"/>
        <w:jc w:val="both"/>
        <w:rPr>
          <w:rFonts w:ascii="Arial" w:hAnsi="Arial" w:cs="Arial"/>
          <w:lang w:val="en-AU"/>
        </w:rPr>
      </w:pPr>
      <w:r w:rsidRPr="001113AE">
        <w:rPr>
          <w:rFonts w:ascii="Arial" w:hAnsi="Arial" w:cs="Arial"/>
          <w:lang w:val="en-AU"/>
        </w:rPr>
        <w:t xml:space="preserve">Chapter 8 of the AD Act provides for the function of the tribunal to provide advice about how the AD Act applies in a specific situation at the request of the Anti-Discrimination Commissioner (Commissioner).  Before QCAT, requests for opinions under this chapter were dealt with by the ADT, constituted by a single member.  There was a right of appeal, by the Commissioner or a person with a relevant interest, to the Supreme Court on a question of law.  Providing an opinion under the AD Act is similar to a ‘case stated’ </w:t>
      </w:r>
      <w:r w:rsidR="000B5555" w:rsidRPr="001113AE">
        <w:rPr>
          <w:rFonts w:ascii="Arial" w:hAnsi="Arial" w:cs="Arial"/>
          <w:lang w:val="en-AU"/>
        </w:rPr>
        <w:t>before a court</w:t>
      </w:r>
      <w:r w:rsidRPr="001113AE">
        <w:rPr>
          <w:rFonts w:ascii="Arial" w:hAnsi="Arial" w:cs="Arial"/>
          <w:lang w:val="en-AU"/>
        </w:rPr>
        <w:t>.</w:t>
      </w:r>
      <w:r w:rsidR="000B5555" w:rsidRPr="001113AE">
        <w:rPr>
          <w:rFonts w:ascii="Arial" w:hAnsi="Arial" w:cs="Arial"/>
          <w:lang w:val="en-AU"/>
        </w:rPr>
        <w:t xml:space="preserve">   An opinion can have significant consequences as it limits the right to make a complaint in certain circumstances.</w:t>
      </w:r>
      <w:r w:rsidR="000B5555" w:rsidRPr="001113AE">
        <w:rPr>
          <w:rStyle w:val="FootnoteReference"/>
          <w:rFonts w:ascii="Arial" w:hAnsi="Arial" w:cs="Arial"/>
          <w:lang w:val="en-AU"/>
        </w:rPr>
        <w:footnoteReference w:id="20"/>
      </w:r>
      <w:r w:rsidR="000B5555" w:rsidRPr="001113AE">
        <w:rPr>
          <w:rFonts w:ascii="Arial" w:hAnsi="Arial" w:cs="Arial"/>
          <w:lang w:val="en-AU"/>
        </w:rPr>
        <w:t xml:space="preserve">  </w:t>
      </w:r>
    </w:p>
    <w:p w:rsidR="00085507" w:rsidRPr="001113AE" w:rsidRDefault="000B5555" w:rsidP="004F4A3D">
      <w:pPr>
        <w:pStyle w:val="NormalWeb"/>
        <w:numPr>
          <w:ilvl w:val="0"/>
          <w:numId w:val="2"/>
        </w:numPr>
        <w:spacing w:before="240" w:beforeAutospacing="0" w:after="120" w:afterAutospacing="0" w:line="360" w:lineRule="auto"/>
        <w:ind w:left="567" w:hanging="567"/>
        <w:jc w:val="both"/>
        <w:rPr>
          <w:rFonts w:ascii="Arial" w:hAnsi="Arial" w:cs="Arial"/>
          <w:lang w:val="en-AU"/>
        </w:rPr>
      </w:pPr>
      <w:r w:rsidRPr="001113AE">
        <w:rPr>
          <w:rFonts w:ascii="Arial" w:hAnsi="Arial" w:cs="Arial"/>
          <w:lang w:val="en-AU"/>
        </w:rPr>
        <w:t>For these reasons, under QCAT, an opinion can only be provided by a judicial member.</w:t>
      </w:r>
      <w:r w:rsidR="00F77FCD" w:rsidRPr="001113AE">
        <w:rPr>
          <w:rStyle w:val="FootnoteReference"/>
          <w:rFonts w:ascii="Arial" w:hAnsi="Arial" w:cs="Arial"/>
          <w:lang w:val="en-AU"/>
        </w:rPr>
        <w:footnoteReference w:id="21"/>
      </w:r>
      <w:r w:rsidRPr="001113AE">
        <w:rPr>
          <w:rFonts w:ascii="Arial" w:hAnsi="Arial" w:cs="Arial"/>
          <w:lang w:val="en-AU"/>
        </w:rPr>
        <w:t xml:space="preserve">  This also means that under the QCAT appeal provisions, an appeal </w:t>
      </w:r>
      <w:r w:rsidR="000114C0" w:rsidRPr="001113AE">
        <w:rPr>
          <w:rFonts w:ascii="Arial" w:hAnsi="Arial" w:cs="Arial"/>
          <w:lang w:val="en-AU"/>
        </w:rPr>
        <w:t>lies with the Court of Appeal rather than the appeal tribunal.</w:t>
      </w:r>
      <w:r w:rsidR="00F77FCD" w:rsidRPr="001113AE">
        <w:rPr>
          <w:rFonts w:ascii="Arial" w:hAnsi="Arial" w:cs="Arial"/>
          <w:lang w:val="en-AU"/>
        </w:rPr>
        <w:t xml:space="preserve">  Judicial member is defined in the QCAT Act to mean a Supreme or District Court judge, or a member who is a former judge.</w:t>
      </w:r>
    </w:p>
    <w:p w:rsidR="001C2931" w:rsidRPr="001113AE" w:rsidRDefault="000114C0" w:rsidP="004F4A3D">
      <w:pPr>
        <w:pStyle w:val="NormalWeb"/>
        <w:numPr>
          <w:ilvl w:val="0"/>
          <w:numId w:val="2"/>
        </w:numPr>
        <w:spacing w:before="240" w:beforeAutospacing="0" w:after="120" w:afterAutospacing="0" w:line="360" w:lineRule="auto"/>
        <w:ind w:left="567" w:hanging="567"/>
        <w:jc w:val="both"/>
        <w:rPr>
          <w:rFonts w:ascii="Arial" w:hAnsi="Arial" w:cs="Arial"/>
          <w:lang w:val="en-AU"/>
        </w:rPr>
      </w:pPr>
      <w:r w:rsidRPr="001113AE">
        <w:rPr>
          <w:rFonts w:ascii="Arial" w:hAnsi="Arial" w:cs="Arial"/>
          <w:lang w:val="en-AU"/>
        </w:rPr>
        <w:lastRenderedPageBreak/>
        <w:t xml:space="preserve">Before QCAT, the ADT dealt with a number of requests for opinions under Chapter </w:t>
      </w:r>
      <w:r w:rsidR="00F77FCD" w:rsidRPr="001113AE">
        <w:rPr>
          <w:rFonts w:ascii="Arial" w:hAnsi="Arial" w:cs="Arial"/>
          <w:lang w:val="en-AU"/>
        </w:rPr>
        <w:t xml:space="preserve">8 </w:t>
      </w:r>
      <w:r w:rsidRPr="001113AE">
        <w:rPr>
          <w:rFonts w:ascii="Arial" w:hAnsi="Arial" w:cs="Arial"/>
          <w:lang w:val="en-AU"/>
        </w:rPr>
        <w:t>of the AD Act.  In some cases the ADT provided an opinion and in others it declined to provide an opinion.</w:t>
      </w:r>
      <w:r w:rsidR="00F77FCD" w:rsidRPr="001113AE">
        <w:rPr>
          <w:rStyle w:val="FootnoteReference"/>
          <w:rFonts w:ascii="Arial" w:hAnsi="Arial" w:cs="Arial"/>
          <w:lang w:val="en-AU"/>
        </w:rPr>
        <w:footnoteReference w:id="22"/>
      </w:r>
      <w:r w:rsidRPr="001113AE">
        <w:rPr>
          <w:rFonts w:ascii="Arial" w:hAnsi="Arial" w:cs="Arial"/>
          <w:lang w:val="en-AU"/>
        </w:rPr>
        <w:t xml:space="preserve">  There have been no requests made to QCAT by the Commissioner for an opinion.</w:t>
      </w:r>
    </w:p>
    <w:p w:rsidR="000114C0" w:rsidRPr="001113AE" w:rsidRDefault="000114C0" w:rsidP="004F4A3D">
      <w:pPr>
        <w:pStyle w:val="NormalWeb"/>
        <w:numPr>
          <w:ilvl w:val="0"/>
          <w:numId w:val="2"/>
        </w:numPr>
        <w:spacing w:before="240" w:beforeAutospacing="0" w:after="120" w:afterAutospacing="0" w:line="360" w:lineRule="auto"/>
        <w:ind w:left="567" w:hanging="567"/>
        <w:jc w:val="both"/>
        <w:rPr>
          <w:rFonts w:ascii="Arial" w:hAnsi="Arial" w:cs="Arial"/>
          <w:lang w:val="en-AU"/>
        </w:rPr>
      </w:pPr>
      <w:r w:rsidRPr="001113AE">
        <w:rPr>
          <w:rFonts w:ascii="Arial" w:hAnsi="Arial" w:cs="Arial"/>
          <w:lang w:val="en-AU"/>
        </w:rPr>
        <w:t xml:space="preserve">The Commission considers </w:t>
      </w:r>
      <w:r w:rsidR="00F77FCD" w:rsidRPr="001113AE">
        <w:rPr>
          <w:rFonts w:ascii="Arial" w:hAnsi="Arial" w:cs="Arial"/>
          <w:lang w:val="en-AU"/>
        </w:rPr>
        <w:t>that</w:t>
      </w:r>
      <w:r w:rsidRPr="001113AE">
        <w:rPr>
          <w:rFonts w:ascii="Arial" w:hAnsi="Arial" w:cs="Arial"/>
          <w:lang w:val="en-AU"/>
        </w:rPr>
        <w:t xml:space="preserve"> for the purpose of </w:t>
      </w:r>
      <w:r w:rsidR="00F77FCD" w:rsidRPr="001113AE">
        <w:rPr>
          <w:rFonts w:ascii="Arial" w:hAnsi="Arial" w:cs="Arial"/>
          <w:lang w:val="en-AU"/>
        </w:rPr>
        <w:t>considering</w:t>
      </w:r>
      <w:r w:rsidRPr="001113AE">
        <w:rPr>
          <w:rFonts w:ascii="Arial" w:hAnsi="Arial" w:cs="Arial"/>
          <w:lang w:val="en-AU"/>
        </w:rPr>
        <w:t xml:space="preserve"> an opinion under chapter 8 of the AD Act</w:t>
      </w:r>
      <w:r w:rsidR="00F77FCD" w:rsidRPr="001113AE">
        <w:rPr>
          <w:rFonts w:ascii="Arial" w:hAnsi="Arial" w:cs="Arial"/>
          <w:lang w:val="en-AU"/>
        </w:rPr>
        <w:t>, the tribunal should be constituted by a judicial member</w:t>
      </w:r>
      <w:r w:rsidRPr="001113AE">
        <w:rPr>
          <w:rFonts w:ascii="Arial" w:hAnsi="Arial" w:cs="Arial"/>
          <w:lang w:val="en-AU"/>
        </w:rPr>
        <w:t>.</w:t>
      </w:r>
      <w:r w:rsidR="00F77FCD" w:rsidRPr="001113AE">
        <w:rPr>
          <w:rFonts w:ascii="Arial" w:hAnsi="Arial" w:cs="Arial"/>
          <w:lang w:val="en-AU"/>
        </w:rPr>
        <w:t xml:space="preserve">  Section 228A of the AD Act should be amended to clarify that for considering whether to provide an opinion the tribunal should be constituted by a judicial member, as well as for providing an opinion.</w:t>
      </w:r>
    </w:p>
    <w:p w:rsidR="00085507" w:rsidRPr="001113AE" w:rsidRDefault="0052150A" w:rsidP="004F4A3D">
      <w:pPr>
        <w:pStyle w:val="NormalWeb"/>
        <w:numPr>
          <w:ilvl w:val="0"/>
          <w:numId w:val="2"/>
        </w:numPr>
        <w:spacing w:before="240" w:beforeAutospacing="0" w:after="120" w:afterAutospacing="0" w:line="360" w:lineRule="auto"/>
        <w:ind w:left="567" w:hanging="567"/>
        <w:jc w:val="both"/>
        <w:rPr>
          <w:rFonts w:ascii="Arial" w:hAnsi="Arial" w:cs="Arial"/>
          <w:lang w:val="en-AU"/>
        </w:rPr>
      </w:pPr>
      <w:r w:rsidRPr="001113AE">
        <w:rPr>
          <w:rFonts w:ascii="Arial" w:hAnsi="Arial" w:cs="Arial"/>
          <w:lang w:val="en-AU"/>
        </w:rPr>
        <w:t>QCAT’s process for dealing with complaints referred under the AD Act includes requiring the parties to attend a compulsory conference.  The purposes of a compulsory conference are:</w:t>
      </w:r>
      <w:r w:rsidRPr="001113AE">
        <w:rPr>
          <w:rStyle w:val="FootnoteReference"/>
          <w:rFonts w:ascii="Arial" w:hAnsi="Arial" w:cs="Arial"/>
          <w:lang w:val="en-AU"/>
        </w:rPr>
        <w:footnoteReference w:id="23"/>
      </w:r>
    </w:p>
    <w:p w:rsidR="0052150A" w:rsidRPr="001113AE" w:rsidRDefault="0052150A" w:rsidP="0052150A">
      <w:pPr>
        <w:pStyle w:val="NormalWeb"/>
        <w:numPr>
          <w:ilvl w:val="1"/>
          <w:numId w:val="2"/>
        </w:numPr>
        <w:spacing w:before="240" w:beforeAutospacing="0" w:after="120" w:afterAutospacing="0" w:line="360" w:lineRule="auto"/>
        <w:ind w:left="1560" w:hanging="480"/>
        <w:jc w:val="both"/>
        <w:rPr>
          <w:rFonts w:ascii="Arial" w:hAnsi="Arial" w:cs="Arial"/>
          <w:lang w:val="en-AU"/>
        </w:rPr>
      </w:pPr>
      <w:r w:rsidRPr="001113AE">
        <w:rPr>
          <w:rFonts w:ascii="Arial" w:hAnsi="Arial" w:cs="Arial"/>
          <w:lang w:val="en-AU"/>
        </w:rPr>
        <w:t>to identify and clarify the issues in dispute;</w:t>
      </w:r>
    </w:p>
    <w:p w:rsidR="0052150A" w:rsidRPr="001113AE" w:rsidRDefault="0052150A" w:rsidP="0052150A">
      <w:pPr>
        <w:pStyle w:val="NormalWeb"/>
        <w:numPr>
          <w:ilvl w:val="1"/>
          <w:numId w:val="2"/>
        </w:numPr>
        <w:spacing w:before="240" w:beforeAutospacing="0" w:after="120" w:afterAutospacing="0" w:line="360" w:lineRule="auto"/>
        <w:ind w:left="1560" w:hanging="480"/>
        <w:jc w:val="both"/>
        <w:rPr>
          <w:rFonts w:ascii="Arial" w:hAnsi="Arial" w:cs="Arial"/>
          <w:lang w:val="en-AU"/>
        </w:rPr>
      </w:pPr>
      <w:r w:rsidRPr="001113AE">
        <w:rPr>
          <w:rFonts w:ascii="Arial" w:hAnsi="Arial" w:cs="Arial"/>
          <w:lang w:val="en-AU"/>
        </w:rPr>
        <w:t xml:space="preserve">to promote a settlement of the dispute; </w:t>
      </w:r>
    </w:p>
    <w:p w:rsidR="0052150A" w:rsidRPr="001113AE" w:rsidRDefault="0052150A" w:rsidP="0052150A">
      <w:pPr>
        <w:pStyle w:val="NormalWeb"/>
        <w:numPr>
          <w:ilvl w:val="1"/>
          <w:numId w:val="2"/>
        </w:numPr>
        <w:spacing w:before="240" w:beforeAutospacing="0" w:after="120" w:afterAutospacing="0" w:line="360" w:lineRule="auto"/>
        <w:ind w:left="1560" w:hanging="480"/>
        <w:jc w:val="both"/>
        <w:rPr>
          <w:rFonts w:ascii="Arial" w:hAnsi="Arial" w:cs="Arial"/>
          <w:lang w:val="en-AU"/>
        </w:rPr>
      </w:pPr>
      <w:r w:rsidRPr="001113AE">
        <w:rPr>
          <w:rFonts w:ascii="Arial" w:hAnsi="Arial" w:cs="Arial"/>
          <w:lang w:val="en-AU"/>
        </w:rPr>
        <w:t>to identify the questions of fact and law to be decided by the tribunal;</w:t>
      </w:r>
    </w:p>
    <w:p w:rsidR="0052150A" w:rsidRPr="001113AE" w:rsidRDefault="0052150A" w:rsidP="0052150A">
      <w:pPr>
        <w:pStyle w:val="NormalWeb"/>
        <w:numPr>
          <w:ilvl w:val="1"/>
          <w:numId w:val="2"/>
        </w:numPr>
        <w:spacing w:before="240" w:beforeAutospacing="0" w:after="120" w:afterAutospacing="0" w:line="360" w:lineRule="auto"/>
        <w:ind w:left="1560" w:hanging="480"/>
        <w:jc w:val="both"/>
        <w:rPr>
          <w:rFonts w:ascii="Arial" w:hAnsi="Arial" w:cs="Arial"/>
          <w:lang w:val="en-AU"/>
        </w:rPr>
      </w:pPr>
      <w:r w:rsidRPr="001113AE">
        <w:rPr>
          <w:rFonts w:ascii="Arial" w:hAnsi="Arial" w:cs="Arial"/>
          <w:lang w:val="en-AU"/>
        </w:rPr>
        <w:t>to make orders and give directions about the conduct of the matter if it is not settled; and</w:t>
      </w:r>
    </w:p>
    <w:p w:rsidR="0052150A" w:rsidRPr="001113AE" w:rsidRDefault="0052150A" w:rsidP="0052150A">
      <w:pPr>
        <w:pStyle w:val="NormalWeb"/>
        <w:numPr>
          <w:ilvl w:val="1"/>
          <w:numId w:val="2"/>
        </w:numPr>
        <w:spacing w:before="240" w:beforeAutospacing="0" w:after="120" w:afterAutospacing="0" w:line="360" w:lineRule="auto"/>
        <w:ind w:left="1560" w:hanging="480"/>
        <w:jc w:val="both"/>
        <w:rPr>
          <w:rFonts w:ascii="Arial" w:hAnsi="Arial" w:cs="Arial"/>
          <w:lang w:val="en-AU"/>
        </w:rPr>
      </w:pPr>
      <w:r w:rsidRPr="001113AE">
        <w:rPr>
          <w:rFonts w:ascii="Arial" w:hAnsi="Arial" w:cs="Arial"/>
          <w:lang w:val="en-AU"/>
        </w:rPr>
        <w:t>to make orders and give directions appropriate to resolve the dispute.</w:t>
      </w:r>
    </w:p>
    <w:p w:rsidR="0052150A" w:rsidRPr="001113AE" w:rsidRDefault="0052150A" w:rsidP="004F4A3D">
      <w:pPr>
        <w:pStyle w:val="NormalWeb"/>
        <w:numPr>
          <w:ilvl w:val="0"/>
          <w:numId w:val="2"/>
        </w:numPr>
        <w:spacing w:before="240" w:beforeAutospacing="0" w:after="120" w:afterAutospacing="0" w:line="360" w:lineRule="auto"/>
        <w:ind w:left="567" w:hanging="567"/>
        <w:jc w:val="both"/>
        <w:rPr>
          <w:rFonts w:ascii="Arial" w:hAnsi="Arial" w:cs="Arial"/>
          <w:lang w:val="en-AU"/>
        </w:rPr>
      </w:pPr>
      <w:r w:rsidRPr="001113AE">
        <w:rPr>
          <w:rFonts w:ascii="Arial" w:hAnsi="Arial" w:cs="Arial"/>
          <w:lang w:val="en-AU"/>
        </w:rPr>
        <w:t xml:space="preserve">The compulsory conference is an important part of the dispute resolution process.  The Commission does not have available to it statistics on the number of </w:t>
      </w:r>
      <w:r w:rsidR="00005A0A" w:rsidRPr="001113AE">
        <w:rPr>
          <w:rFonts w:ascii="Arial" w:hAnsi="Arial" w:cs="Arial"/>
          <w:lang w:val="en-AU"/>
        </w:rPr>
        <w:t>complaints under the AD Act</w:t>
      </w:r>
      <w:r w:rsidRPr="001113AE">
        <w:rPr>
          <w:rFonts w:ascii="Arial" w:hAnsi="Arial" w:cs="Arial"/>
          <w:lang w:val="en-AU"/>
        </w:rPr>
        <w:t xml:space="preserve"> that are resolved at compulsory conference in QCAT.</w:t>
      </w:r>
      <w:r w:rsidR="00005A0A" w:rsidRPr="001113AE">
        <w:rPr>
          <w:rFonts w:ascii="Arial" w:hAnsi="Arial" w:cs="Arial"/>
          <w:lang w:val="en-AU"/>
        </w:rPr>
        <w:t xml:space="preserve">  Before QCAT, the percentage of matters resolved through conciliation conference at the ADT ranged from 45 to 57.</w:t>
      </w:r>
      <w:r w:rsidR="00005A0A" w:rsidRPr="001113AE">
        <w:rPr>
          <w:rStyle w:val="FootnoteReference"/>
          <w:rFonts w:ascii="Arial" w:hAnsi="Arial" w:cs="Arial"/>
          <w:lang w:val="en-AU"/>
        </w:rPr>
        <w:footnoteReference w:id="24"/>
      </w:r>
    </w:p>
    <w:p w:rsidR="00245B86" w:rsidRPr="001113AE" w:rsidRDefault="00EF5836" w:rsidP="004F4A3D">
      <w:pPr>
        <w:pStyle w:val="NormalWeb"/>
        <w:numPr>
          <w:ilvl w:val="0"/>
          <w:numId w:val="2"/>
        </w:numPr>
        <w:spacing w:before="240" w:beforeAutospacing="0" w:after="120" w:afterAutospacing="0" w:line="360" w:lineRule="auto"/>
        <w:ind w:left="567" w:hanging="567"/>
        <w:jc w:val="both"/>
        <w:rPr>
          <w:rFonts w:ascii="Arial" w:hAnsi="Arial" w:cs="Arial"/>
          <w:lang w:val="en-AU"/>
        </w:rPr>
      </w:pPr>
      <w:r w:rsidRPr="001113AE">
        <w:rPr>
          <w:rFonts w:ascii="Arial" w:hAnsi="Arial" w:cs="Arial"/>
          <w:lang w:val="en-AU"/>
        </w:rPr>
        <w:lastRenderedPageBreak/>
        <w:t xml:space="preserve">The requirement that the tribunal be constituted by a legally qualified member for hearing complaints under the AD Act recognises that complaints before the tribunal usually involve complex legal and/or factual issues, and include deciding questions of whether particular acts of omissions amount to a contravention of the AD Act.  It is therefore appropriate that compulsory conferences are conducted by a member qualified to hear a complaint, namely, a legally qualified member.  The fact that a compulsory conference is conducted by a member who would otherwise be qualified to hear the matter, should carry significant weight for the parties involved in the complaint.  </w:t>
      </w:r>
      <w:r w:rsidR="00A503DD" w:rsidRPr="001113AE">
        <w:rPr>
          <w:rFonts w:ascii="Arial" w:hAnsi="Arial" w:cs="Arial"/>
          <w:lang w:val="en-AU"/>
        </w:rPr>
        <w:t>In the event that the complaint is not resolved, the member is able to make directions to progress the matter effectively and efficiently to hearing.</w:t>
      </w:r>
      <w:r w:rsidR="008B26E6">
        <w:rPr>
          <w:rFonts w:ascii="Arial" w:hAnsi="Arial" w:cs="Arial"/>
          <w:lang w:val="en-AU"/>
        </w:rPr>
        <w:t xml:space="preserve">  If the issues are identified appropriately, the directions can ensure evidence and </w:t>
      </w:r>
      <w:r w:rsidR="00103F0C">
        <w:rPr>
          <w:rFonts w:ascii="Arial" w:hAnsi="Arial" w:cs="Arial"/>
          <w:lang w:val="en-AU"/>
        </w:rPr>
        <w:t xml:space="preserve">the </w:t>
      </w:r>
      <w:r w:rsidR="008B26E6">
        <w:rPr>
          <w:rFonts w:ascii="Arial" w:hAnsi="Arial" w:cs="Arial"/>
          <w:lang w:val="en-AU"/>
        </w:rPr>
        <w:t xml:space="preserve">hearing are confined to those issues, to aid the efficiency of the tribunal </w:t>
      </w:r>
      <w:r w:rsidR="00EE40BA">
        <w:rPr>
          <w:rFonts w:ascii="Arial" w:hAnsi="Arial" w:cs="Arial"/>
          <w:lang w:val="en-AU"/>
        </w:rPr>
        <w:t>and assist self-represented parties who may otherwise struggle with the process.</w:t>
      </w:r>
    </w:p>
    <w:p w:rsidR="00245B86" w:rsidRPr="001113AE" w:rsidRDefault="00A503DD" w:rsidP="004F4A3D">
      <w:pPr>
        <w:pStyle w:val="NormalWeb"/>
        <w:numPr>
          <w:ilvl w:val="0"/>
          <w:numId w:val="2"/>
        </w:numPr>
        <w:spacing w:before="240" w:beforeAutospacing="0" w:after="120" w:afterAutospacing="0" w:line="360" w:lineRule="auto"/>
        <w:ind w:left="567" w:hanging="567"/>
        <w:jc w:val="both"/>
        <w:rPr>
          <w:rFonts w:ascii="Arial" w:hAnsi="Arial" w:cs="Arial"/>
          <w:lang w:val="en-AU"/>
        </w:rPr>
      </w:pPr>
      <w:r w:rsidRPr="001113AE">
        <w:rPr>
          <w:rFonts w:ascii="Arial" w:hAnsi="Arial" w:cs="Arial"/>
          <w:lang w:val="en-AU"/>
        </w:rPr>
        <w:t>The QCAT Act provides that a compulsory conference must be heard by 1 of either a member, adjudicator or principal register as chosen by the president</w:t>
      </w:r>
      <w:r w:rsidR="00245B86" w:rsidRPr="001113AE">
        <w:rPr>
          <w:rFonts w:ascii="Arial" w:hAnsi="Arial" w:cs="Arial"/>
          <w:lang w:val="en-AU"/>
        </w:rPr>
        <w:t>.</w:t>
      </w:r>
      <w:r w:rsidRPr="001113AE">
        <w:rPr>
          <w:rStyle w:val="FootnoteReference"/>
          <w:rFonts w:ascii="Arial" w:hAnsi="Arial" w:cs="Arial"/>
          <w:lang w:val="en-AU"/>
        </w:rPr>
        <w:footnoteReference w:id="25"/>
      </w:r>
      <w:r w:rsidRPr="001113AE">
        <w:rPr>
          <w:rFonts w:ascii="Arial" w:hAnsi="Arial" w:cs="Arial"/>
          <w:lang w:val="en-AU"/>
        </w:rPr>
        <w:t xml:space="preserve">  This provision should be amended to provide that for matters under the AD Act, a compulsory conference must be heard by a legally qualified member.</w:t>
      </w:r>
    </w:p>
    <w:p w:rsidR="00DA22CC" w:rsidRPr="001113AE" w:rsidRDefault="00DA22CC" w:rsidP="004F4A3D">
      <w:pPr>
        <w:pStyle w:val="NormalWeb"/>
        <w:numPr>
          <w:ilvl w:val="0"/>
          <w:numId w:val="2"/>
        </w:numPr>
        <w:spacing w:before="240" w:beforeAutospacing="0" w:after="120" w:afterAutospacing="0" w:line="360" w:lineRule="auto"/>
        <w:ind w:left="567" w:hanging="567"/>
        <w:jc w:val="both"/>
        <w:rPr>
          <w:rFonts w:ascii="Arial" w:hAnsi="Arial" w:cs="Arial"/>
          <w:lang w:val="en-AU"/>
        </w:rPr>
      </w:pPr>
      <w:r w:rsidRPr="001113AE">
        <w:rPr>
          <w:rFonts w:ascii="Arial" w:hAnsi="Arial" w:cs="Arial"/>
          <w:lang w:val="en-AU"/>
        </w:rPr>
        <w:t xml:space="preserve">The President has broad responsibilities and functions.  It is not feasible to expect that the President should personally choose who is to constitute the tribunal in all matters; the task would simply be overwhelming and would not allow time for the other important functions.  The provisions in enabling Acts that specify the constitution of the tribunal in certain ways and for certain matters </w:t>
      </w:r>
      <w:r w:rsidR="00296D7B" w:rsidRPr="001113AE">
        <w:rPr>
          <w:rFonts w:ascii="Arial" w:hAnsi="Arial" w:cs="Arial"/>
          <w:lang w:val="en-AU"/>
        </w:rPr>
        <w:t>allow the President to delegate</w:t>
      </w:r>
      <w:r w:rsidRPr="001113AE">
        <w:rPr>
          <w:rFonts w:ascii="Arial" w:hAnsi="Arial" w:cs="Arial"/>
          <w:lang w:val="en-AU"/>
        </w:rPr>
        <w:t xml:space="preserve"> </w:t>
      </w:r>
      <w:r w:rsidR="00296D7B" w:rsidRPr="001113AE">
        <w:rPr>
          <w:rFonts w:ascii="Arial" w:hAnsi="Arial" w:cs="Arial"/>
          <w:lang w:val="en-AU"/>
        </w:rPr>
        <w:t>the function of choosing the constitution of the tribunal with confidence.</w:t>
      </w:r>
      <w:r w:rsidR="00296D7B" w:rsidRPr="001113AE">
        <w:rPr>
          <w:rStyle w:val="FootnoteReference"/>
          <w:rFonts w:ascii="Arial" w:hAnsi="Arial" w:cs="Arial"/>
          <w:lang w:val="en-AU"/>
        </w:rPr>
        <w:footnoteReference w:id="26"/>
      </w:r>
    </w:p>
    <w:p w:rsidR="009A6577" w:rsidRPr="001113AE" w:rsidRDefault="002A0911" w:rsidP="002A0911">
      <w:pPr>
        <w:pStyle w:val="NormalWeb"/>
        <w:pBdr>
          <w:top w:val="single" w:sz="4" w:space="1" w:color="auto"/>
          <w:left w:val="single" w:sz="4" w:space="4" w:color="auto"/>
          <w:bottom w:val="single" w:sz="4" w:space="1" w:color="auto"/>
          <w:right w:val="single" w:sz="4" w:space="4" w:color="auto"/>
        </w:pBdr>
        <w:spacing w:before="240" w:beforeAutospacing="0" w:after="240" w:afterAutospacing="0" w:line="360" w:lineRule="auto"/>
        <w:jc w:val="both"/>
        <w:rPr>
          <w:rFonts w:ascii="Arial" w:hAnsi="Arial" w:cs="Arial"/>
          <w:b/>
          <w:color w:val="000000"/>
          <w:lang w:val="en-AU"/>
        </w:rPr>
      </w:pPr>
      <w:r w:rsidRPr="001113AE">
        <w:rPr>
          <w:rFonts w:ascii="Arial" w:hAnsi="Arial" w:cs="Arial"/>
          <w:b/>
          <w:color w:val="000000"/>
          <w:lang w:val="en-AU"/>
        </w:rPr>
        <w:t xml:space="preserve">Recommendation </w:t>
      </w:r>
      <w:r w:rsidR="0014059B">
        <w:rPr>
          <w:rFonts w:ascii="Arial" w:hAnsi="Arial" w:cs="Arial"/>
          <w:b/>
          <w:color w:val="000000"/>
          <w:lang w:val="en-AU"/>
        </w:rPr>
        <w:t>II</w:t>
      </w:r>
      <w:r w:rsidR="008043E9">
        <w:rPr>
          <w:rFonts w:ascii="Arial" w:hAnsi="Arial" w:cs="Arial"/>
          <w:b/>
          <w:color w:val="000000"/>
          <w:lang w:val="en-AU"/>
        </w:rPr>
        <w:t>I</w:t>
      </w:r>
      <w:r w:rsidRPr="001113AE">
        <w:rPr>
          <w:rFonts w:ascii="Arial" w:hAnsi="Arial" w:cs="Arial"/>
          <w:color w:val="000000"/>
          <w:lang w:val="en-AU"/>
        </w:rPr>
        <w:t xml:space="preserve">:  </w:t>
      </w:r>
      <w:r w:rsidR="0055791F" w:rsidRPr="001113AE">
        <w:rPr>
          <w:rFonts w:ascii="Arial" w:hAnsi="Arial" w:cs="Arial"/>
          <w:color w:val="000000"/>
          <w:lang w:val="en-AU"/>
        </w:rPr>
        <w:t xml:space="preserve">That section 176 of the </w:t>
      </w:r>
      <w:r w:rsidR="0055791F" w:rsidRPr="001113AE">
        <w:rPr>
          <w:rFonts w:ascii="Arial" w:hAnsi="Arial" w:cs="Arial"/>
          <w:i/>
          <w:color w:val="000000"/>
          <w:lang w:val="en-AU"/>
        </w:rPr>
        <w:t xml:space="preserve">Anti-Discrimination Act 1991 </w:t>
      </w:r>
      <w:r w:rsidR="00C43186" w:rsidRPr="001113AE">
        <w:rPr>
          <w:rFonts w:ascii="Arial" w:hAnsi="Arial" w:cs="Arial"/>
          <w:color w:val="000000"/>
          <w:lang w:val="en-AU"/>
        </w:rPr>
        <w:t>be amended t</w:t>
      </w:r>
      <w:r w:rsidR="0055791F" w:rsidRPr="001113AE">
        <w:rPr>
          <w:rFonts w:ascii="Arial" w:hAnsi="Arial" w:cs="Arial"/>
          <w:color w:val="000000"/>
          <w:lang w:val="en-AU"/>
        </w:rPr>
        <w:t xml:space="preserve">o </w:t>
      </w:r>
      <w:r w:rsidR="00A00E53">
        <w:rPr>
          <w:rFonts w:ascii="Arial" w:hAnsi="Arial" w:cs="Arial"/>
          <w:color w:val="000000"/>
          <w:lang w:val="en-AU"/>
        </w:rPr>
        <w:t xml:space="preserve">clarify whether, </w:t>
      </w:r>
      <w:r w:rsidR="0055791F" w:rsidRPr="001113AE">
        <w:rPr>
          <w:rFonts w:ascii="Arial" w:hAnsi="Arial" w:cs="Arial"/>
          <w:color w:val="000000"/>
          <w:lang w:val="en-AU"/>
        </w:rPr>
        <w:t xml:space="preserve">for matters under the Anti-Discrimination Act </w:t>
      </w:r>
      <w:r w:rsidR="000E3C9C">
        <w:rPr>
          <w:rFonts w:ascii="Arial" w:hAnsi="Arial" w:cs="Arial"/>
          <w:color w:val="000000"/>
          <w:lang w:val="en-AU"/>
        </w:rPr>
        <w:t xml:space="preserve">other than </w:t>
      </w:r>
      <w:r w:rsidR="000E3C9C">
        <w:rPr>
          <w:rFonts w:ascii="Arial" w:hAnsi="Arial" w:cs="Arial"/>
          <w:color w:val="000000"/>
          <w:lang w:val="en-AU"/>
        </w:rPr>
        <w:lastRenderedPageBreak/>
        <w:t xml:space="preserve">opinions, </w:t>
      </w:r>
      <w:r w:rsidR="0055791F" w:rsidRPr="001113AE">
        <w:rPr>
          <w:rFonts w:ascii="Arial" w:hAnsi="Arial" w:cs="Arial"/>
          <w:color w:val="000000"/>
          <w:lang w:val="en-AU"/>
        </w:rPr>
        <w:t>the tribunal must be constituted by 1 or more legally qualified members</w:t>
      </w:r>
      <w:r w:rsidR="00A00E53">
        <w:rPr>
          <w:rFonts w:ascii="Arial" w:hAnsi="Arial" w:cs="Arial"/>
          <w:color w:val="000000"/>
          <w:lang w:val="en-AU"/>
        </w:rPr>
        <w:t>, or at least one legally qualified member</w:t>
      </w:r>
      <w:r w:rsidR="0055791F" w:rsidRPr="001113AE">
        <w:rPr>
          <w:rFonts w:ascii="Arial" w:hAnsi="Arial" w:cs="Arial"/>
          <w:color w:val="000000"/>
          <w:lang w:val="en-AU"/>
        </w:rPr>
        <w:t>.</w:t>
      </w:r>
    </w:p>
    <w:p w:rsidR="002A0911" w:rsidRPr="001113AE" w:rsidRDefault="009A6577" w:rsidP="002A0911">
      <w:pPr>
        <w:pStyle w:val="NormalWeb"/>
        <w:pBdr>
          <w:top w:val="single" w:sz="4" w:space="1" w:color="auto"/>
          <w:left w:val="single" w:sz="4" w:space="4" w:color="auto"/>
          <w:bottom w:val="single" w:sz="4" w:space="1" w:color="auto"/>
          <w:right w:val="single" w:sz="4" w:space="4" w:color="auto"/>
        </w:pBdr>
        <w:spacing w:before="240" w:beforeAutospacing="0" w:after="240" w:afterAutospacing="0" w:line="360" w:lineRule="auto"/>
        <w:jc w:val="both"/>
        <w:rPr>
          <w:rFonts w:ascii="Arial" w:hAnsi="Arial" w:cs="Arial"/>
          <w:color w:val="000000"/>
          <w:lang w:val="en-AU"/>
        </w:rPr>
      </w:pPr>
      <w:r w:rsidRPr="001113AE">
        <w:rPr>
          <w:rFonts w:ascii="Arial" w:hAnsi="Arial" w:cs="Arial"/>
          <w:b/>
          <w:color w:val="000000"/>
          <w:lang w:val="en-AU"/>
        </w:rPr>
        <w:t xml:space="preserve">Recommendation </w:t>
      </w:r>
      <w:r w:rsidR="0014059B">
        <w:rPr>
          <w:rFonts w:ascii="Arial" w:hAnsi="Arial" w:cs="Arial"/>
          <w:b/>
          <w:color w:val="000000"/>
          <w:lang w:val="en-AU"/>
        </w:rPr>
        <w:t>I</w:t>
      </w:r>
      <w:r w:rsidR="008043E9">
        <w:rPr>
          <w:rFonts w:ascii="Arial" w:hAnsi="Arial" w:cs="Arial"/>
          <w:b/>
          <w:color w:val="000000"/>
          <w:lang w:val="en-AU"/>
        </w:rPr>
        <w:t>V</w:t>
      </w:r>
      <w:r w:rsidRPr="001113AE">
        <w:rPr>
          <w:rFonts w:ascii="Arial" w:hAnsi="Arial" w:cs="Arial"/>
          <w:color w:val="000000"/>
          <w:lang w:val="en-AU"/>
        </w:rPr>
        <w:t xml:space="preserve">:  </w:t>
      </w:r>
      <w:r w:rsidR="00F77FCD" w:rsidRPr="001113AE">
        <w:rPr>
          <w:rFonts w:ascii="Arial" w:hAnsi="Arial" w:cs="Arial"/>
          <w:color w:val="000000"/>
          <w:lang w:val="en-AU"/>
        </w:rPr>
        <w:t xml:space="preserve">That </w:t>
      </w:r>
      <w:r w:rsidR="00930D6C" w:rsidRPr="001113AE">
        <w:rPr>
          <w:rFonts w:ascii="Arial" w:hAnsi="Arial" w:cs="Arial"/>
          <w:color w:val="000000"/>
          <w:lang w:val="en-AU"/>
        </w:rPr>
        <w:t xml:space="preserve">section 228A of the </w:t>
      </w:r>
      <w:r w:rsidR="00930D6C" w:rsidRPr="001113AE">
        <w:rPr>
          <w:rFonts w:ascii="Arial" w:hAnsi="Arial" w:cs="Arial"/>
          <w:i/>
          <w:color w:val="000000"/>
          <w:lang w:val="en-AU"/>
        </w:rPr>
        <w:t>Anti-Discrimination Act 1991</w:t>
      </w:r>
      <w:r w:rsidR="00930D6C" w:rsidRPr="001113AE">
        <w:rPr>
          <w:rFonts w:ascii="Arial" w:hAnsi="Arial" w:cs="Arial"/>
          <w:color w:val="000000"/>
          <w:lang w:val="en-AU"/>
        </w:rPr>
        <w:t xml:space="preserve"> be amended to clarify that for the purpose of considering a request to provide an opinion the tribunal must be constituted by a judicial member.</w:t>
      </w:r>
      <w:r w:rsidR="00F77FCD" w:rsidRPr="001113AE">
        <w:rPr>
          <w:rFonts w:ascii="Arial" w:hAnsi="Arial" w:cs="Arial"/>
          <w:color w:val="000000"/>
          <w:lang w:val="en-AU"/>
        </w:rPr>
        <w:t xml:space="preserve"> </w:t>
      </w:r>
    </w:p>
    <w:p w:rsidR="00930D6C" w:rsidRPr="001113AE" w:rsidRDefault="00930D6C" w:rsidP="002A0911">
      <w:pPr>
        <w:pStyle w:val="NormalWeb"/>
        <w:pBdr>
          <w:top w:val="single" w:sz="4" w:space="1" w:color="auto"/>
          <w:left w:val="single" w:sz="4" w:space="4" w:color="auto"/>
          <w:bottom w:val="single" w:sz="4" w:space="1" w:color="auto"/>
          <w:right w:val="single" w:sz="4" w:space="4" w:color="auto"/>
        </w:pBdr>
        <w:spacing w:before="240" w:beforeAutospacing="0" w:after="240" w:afterAutospacing="0" w:line="360" w:lineRule="auto"/>
        <w:jc w:val="both"/>
        <w:rPr>
          <w:rFonts w:ascii="Arial" w:hAnsi="Arial" w:cs="Arial"/>
          <w:lang w:val="en-AU"/>
        </w:rPr>
      </w:pPr>
      <w:r w:rsidRPr="001113AE">
        <w:rPr>
          <w:rFonts w:ascii="Arial" w:hAnsi="Arial" w:cs="Arial"/>
          <w:b/>
          <w:color w:val="000000"/>
          <w:lang w:val="en-AU"/>
        </w:rPr>
        <w:t>Recommendation V</w:t>
      </w:r>
      <w:r w:rsidRPr="001113AE">
        <w:rPr>
          <w:rFonts w:ascii="Arial" w:hAnsi="Arial" w:cs="Arial"/>
          <w:color w:val="000000"/>
          <w:lang w:val="en-AU"/>
        </w:rPr>
        <w:t xml:space="preserve">:  </w:t>
      </w:r>
      <w:r w:rsidR="00A503DD" w:rsidRPr="001113AE">
        <w:rPr>
          <w:rFonts w:ascii="Arial" w:hAnsi="Arial" w:cs="Arial"/>
          <w:color w:val="000000"/>
          <w:lang w:val="en-AU"/>
        </w:rPr>
        <w:t xml:space="preserve"> That section 70 of the </w:t>
      </w:r>
      <w:r w:rsidR="00A503DD" w:rsidRPr="001113AE">
        <w:rPr>
          <w:rFonts w:ascii="Arial" w:hAnsi="Arial" w:cs="Arial"/>
          <w:i/>
          <w:color w:val="000000"/>
          <w:lang w:val="en-AU"/>
        </w:rPr>
        <w:t xml:space="preserve">Queensland Civil and Administrative Tribunal Act 2009 </w:t>
      </w:r>
      <w:r w:rsidR="00A503DD" w:rsidRPr="001113AE">
        <w:rPr>
          <w:rFonts w:ascii="Arial" w:hAnsi="Arial" w:cs="Arial"/>
          <w:color w:val="000000"/>
          <w:lang w:val="en-AU"/>
        </w:rPr>
        <w:t xml:space="preserve">be amended to provide that for matters under the </w:t>
      </w:r>
      <w:r w:rsidR="00A503DD" w:rsidRPr="001113AE">
        <w:rPr>
          <w:rFonts w:ascii="Arial" w:hAnsi="Arial" w:cs="Arial"/>
          <w:i/>
          <w:color w:val="000000"/>
          <w:lang w:val="en-AU"/>
        </w:rPr>
        <w:t>Anti-Discrimination Act 1991</w:t>
      </w:r>
      <w:r w:rsidR="00A503DD" w:rsidRPr="001113AE">
        <w:rPr>
          <w:rFonts w:ascii="Arial" w:hAnsi="Arial" w:cs="Arial"/>
          <w:color w:val="000000"/>
          <w:lang w:val="en-AU"/>
        </w:rPr>
        <w:t xml:space="preserve"> a compulsory conference must be heard by a legally qualified member.</w:t>
      </w:r>
    </w:p>
    <w:p w:rsidR="002A0911" w:rsidRPr="001113AE" w:rsidRDefault="00DA3C1A" w:rsidP="00131FD0">
      <w:pPr>
        <w:pStyle w:val="NormalWeb"/>
        <w:keepNext/>
        <w:spacing w:before="480" w:beforeAutospacing="0" w:after="120" w:afterAutospacing="0" w:line="360" w:lineRule="auto"/>
        <w:jc w:val="both"/>
        <w:rPr>
          <w:rFonts w:ascii="Arial" w:hAnsi="Arial" w:cs="Arial"/>
          <w:b/>
          <w:sz w:val="28"/>
          <w:szCs w:val="28"/>
          <w:lang w:val="en-AU"/>
        </w:rPr>
      </w:pPr>
      <w:r w:rsidRPr="001113AE">
        <w:rPr>
          <w:rFonts w:ascii="Arial" w:hAnsi="Arial" w:cs="Arial"/>
          <w:b/>
          <w:sz w:val="28"/>
          <w:szCs w:val="28"/>
          <w:lang w:val="en-AU"/>
        </w:rPr>
        <w:t>Specialist procedures</w:t>
      </w:r>
    </w:p>
    <w:p w:rsidR="00A438D2" w:rsidRPr="001113AE" w:rsidRDefault="007A35FD" w:rsidP="00185644">
      <w:pPr>
        <w:pStyle w:val="NormalWeb"/>
        <w:numPr>
          <w:ilvl w:val="0"/>
          <w:numId w:val="2"/>
        </w:numPr>
        <w:spacing w:before="120" w:beforeAutospacing="0" w:after="120" w:afterAutospacing="0" w:line="360" w:lineRule="auto"/>
        <w:ind w:left="567" w:hanging="567"/>
        <w:jc w:val="both"/>
        <w:rPr>
          <w:rFonts w:ascii="Arial" w:hAnsi="Arial" w:cs="Arial"/>
          <w:lang w:val="en-AU"/>
        </w:rPr>
      </w:pPr>
      <w:r w:rsidRPr="001113AE">
        <w:rPr>
          <w:rFonts w:ascii="Arial" w:hAnsi="Arial" w:cs="Arial"/>
          <w:lang w:val="en-AU"/>
        </w:rPr>
        <w:t xml:space="preserve">The specialist </w:t>
      </w:r>
      <w:r w:rsidR="00185644" w:rsidRPr="001113AE">
        <w:rPr>
          <w:rFonts w:ascii="Arial" w:hAnsi="Arial" w:cs="Arial"/>
          <w:lang w:val="en-AU"/>
        </w:rPr>
        <w:t xml:space="preserve">powers and </w:t>
      </w:r>
      <w:r w:rsidRPr="001113AE">
        <w:rPr>
          <w:rFonts w:ascii="Arial" w:hAnsi="Arial" w:cs="Arial"/>
          <w:lang w:val="en-AU"/>
        </w:rPr>
        <w:t xml:space="preserve">procedures for matters under the AD Act are </w:t>
      </w:r>
      <w:r w:rsidR="00185644" w:rsidRPr="001113AE">
        <w:rPr>
          <w:rFonts w:ascii="Arial" w:hAnsi="Arial" w:cs="Arial"/>
          <w:lang w:val="en-AU"/>
        </w:rPr>
        <w:t>contained in the AD Act and the QCAT Rules, and are described in Appendix 1 to this submission.</w:t>
      </w:r>
    </w:p>
    <w:p w:rsidR="00BF58F2" w:rsidRPr="001113AE" w:rsidRDefault="00E1623F" w:rsidP="004F4A3D">
      <w:pPr>
        <w:pStyle w:val="NormalWeb"/>
        <w:numPr>
          <w:ilvl w:val="0"/>
          <w:numId w:val="2"/>
        </w:numPr>
        <w:spacing w:before="240" w:beforeAutospacing="0" w:after="120" w:afterAutospacing="0" w:line="360" w:lineRule="auto"/>
        <w:ind w:left="567" w:hanging="567"/>
        <w:jc w:val="both"/>
        <w:rPr>
          <w:rFonts w:ascii="Arial" w:hAnsi="Arial" w:cs="Arial"/>
          <w:lang w:val="en-AU"/>
        </w:rPr>
      </w:pPr>
      <w:r w:rsidRPr="001113AE">
        <w:rPr>
          <w:rFonts w:ascii="Arial" w:hAnsi="Arial" w:cs="Arial"/>
          <w:lang w:val="en-AU"/>
        </w:rPr>
        <w:t xml:space="preserve">The Commission examined the specialist powers and procedures in detail in consultation with the Department, before the commencement of QCAT.  As a consequence, some provisions were repealed </w:t>
      </w:r>
      <w:r w:rsidR="00312102" w:rsidRPr="001113AE">
        <w:rPr>
          <w:rFonts w:ascii="Arial" w:hAnsi="Arial" w:cs="Arial"/>
          <w:lang w:val="en-AU"/>
        </w:rPr>
        <w:t>as they were unnecessary in view of the generic QCAT Act provisions.</w:t>
      </w:r>
    </w:p>
    <w:p w:rsidR="00312102" w:rsidRPr="001113AE" w:rsidRDefault="00312102" w:rsidP="004F4A3D">
      <w:pPr>
        <w:pStyle w:val="NormalWeb"/>
        <w:numPr>
          <w:ilvl w:val="0"/>
          <w:numId w:val="2"/>
        </w:numPr>
        <w:spacing w:before="240" w:beforeAutospacing="0" w:after="120" w:afterAutospacing="0" w:line="360" w:lineRule="auto"/>
        <w:ind w:left="567" w:hanging="567"/>
        <w:jc w:val="both"/>
        <w:rPr>
          <w:rFonts w:ascii="Arial" w:hAnsi="Arial" w:cs="Arial"/>
          <w:lang w:val="en-AU"/>
        </w:rPr>
      </w:pPr>
      <w:r w:rsidRPr="001113AE">
        <w:rPr>
          <w:rFonts w:ascii="Arial" w:hAnsi="Arial" w:cs="Arial"/>
          <w:lang w:val="en-AU"/>
        </w:rPr>
        <w:t xml:space="preserve">The Commission considers the remaining specialist powers and procedures are still necessary.  Amendment could be made to some of the generic QCAT Act provisions to incorporate the specialist </w:t>
      </w:r>
      <w:r w:rsidR="000B4528" w:rsidRPr="001113AE">
        <w:rPr>
          <w:rFonts w:ascii="Arial" w:hAnsi="Arial" w:cs="Arial"/>
          <w:lang w:val="en-AU"/>
        </w:rPr>
        <w:t>provisions;</w:t>
      </w:r>
      <w:r w:rsidRPr="001113AE">
        <w:rPr>
          <w:rFonts w:ascii="Arial" w:hAnsi="Arial" w:cs="Arial"/>
          <w:lang w:val="en-AU"/>
        </w:rPr>
        <w:t xml:space="preserve"> however doing so would not reduce ‘red tape’.</w:t>
      </w:r>
    </w:p>
    <w:p w:rsidR="00EA542E" w:rsidRPr="001113AE" w:rsidRDefault="00DA22CC" w:rsidP="004F4A3D">
      <w:pPr>
        <w:pStyle w:val="NormalWeb"/>
        <w:numPr>
          <w:ilvl w:val="0"/>
          <w:numId w:val="2"/>
        </w:numPr>
        <w:spacing w:before="240" w:beforeAutospacing="0" w:after="120" w:afterAutospacing="0" w:line="360" w:lineRule="auto"/>
        <w:ind w:left="567" w:hanging="567"/>
        <w:jc w:val="both"/>
        <w:rPr>
          <w:rFonts w:ascii="Arial" w:hAnsi="Arial" w:cs="Arial"/>
          <w:lang w:val="en-AU"/>
        </w:rPr>
      </w:pPr>
      <w:r w:rsidRPr="001113AE">
        <w:rPr>
          <w:rFonts w:ascii="Arial" w:hAnsi="Arial" w:cs="Arial"/>
          <w:lang w:val="en-AU"/>
        </w:rPr>
        <w:t>If any change is proposed to the specialist powers and procedures for matters under the AD Act, the Commission would appreciate specific in depth consultation.</w:t>
      </w:r>
    </w:p>
    <w:p w:rsidR="0008676D" w:rsidRPr="001113AE" w:rsidRDefault="0008676D" w:rsidP="0008676D">
      <w:pPr>
        <w:pStyle w:val="NormalWeb"/>
        <w:pBdr>
          <w:top w:val="single" w:sz="4" w:space="1" w:color="auto"/>
          <w:left w:val="single" w:sz="4" w:space="4" w:color="auto"/>
          <w:bottom w:val="single" w:sz="4" w:space="1" w:color="auto"/>
          <w:right w:val="single" w:sz="4" w:space="4" w:color="auto"/>
        </w:pBdr>
        <w:spacing w:before="240" w:beforeAutospacing="0" w:after="240" w:afterAutospacing="0" w:line="360" w:lineRule="auto"/>
        <w:jc w:val="both"/>
        <w:rPr>
          <w:rFonts w:ascii="Arial" w:hAnsi="Arial" w:cs="Arial"/>
          <w:lang w:val="en-AU"/>
        </w:rPr>
      </w:pPr>
      <w:r w:rsidRPr="001113AE">
        <w:rPr>
          <w:rFonts w:ascii="Arial" w:hAnsi="Arial" w:cs="Arial"/>
          <w:b/>
          <w:color w:val="000000"/>
          <w:lang w:val="en-AU"/>
        </w:rPr>
        <w:t xml:space="preserve">Recommendation </w:t>
      </w:r>
      <w:r w:rsidR="0077476E" w:rsidRPr="001113AE">
        <w:rPr>
          <w:rFonts w:ascii="Arial" w:hAnsi="Arial" w:cs="Arial"/>
          <w:b/>
          <w:color w:val="000000"/>
          <w:lang w:val="en-AU"/>
        </w:rPr>
        <w:t>V</w:t>
      </w:r>
      <w:r w:rsidR="008043E9">
        <w:rPr>
          <w:rFonts w:ascii="Arial" w:hAnsi="Arial" w:cs="Arial"/>
          <w:b/>
          <w:color w:val="000000"/>
          <w:lang w:val="en-AU"/>
        </w:rPr>
        <w:t>I</w:t>
      </w:r>
      <w:r w:rsidRPr="001113AE">
        <w:rPr>
          <w:rFonts w:ascii="Arial" w:hAnsi="Arial" w:cs="Arial"/>
          <w:color w:val="000000"/>
          <w:lang w:val="en-AU"/>
        </w:rPr>
        <w:t xml:space="preserve">:  </w:t>
      </w:r>
      <w:r w:rsidR="0014059B">
        <w:rPr>
          <w:rFonts w:ascii="Arial" w:hAnsi="Arial" w:cs="Arial"/>
          <w:color w:val="000000"/>
          <w:lang w:val="en-AU"/>
        </w:rPr>
        <w:t>That n</w:t>
      </w:r>
      <w:r w:rsidR="00312102" w:rsidRPr="001113AE">
        <w:rPr>
          <w:rFonts w:ascii="Arial" w:hAnsi="Arial" w:cs="Arial"/>
          <w:color w:val="000000"/>
          <w:lang w:val="en-AU"/>
        </w:rPr>
        <w:t>o amendment is necessary to the specialist powers and procedures for matters under the Anti-Discrimination Act jurisdiction of the tribunal.</w:t>
      </w:r>
    </w:p>
    <w:p w:rsidR="002A0911" w:rsidRPr="001113AE" w:rsidRDefault="00CA1834" w:rsidP="00131FD0">
      <w:pPr>
        <w:pStyle w:val="NormalWeb"/>
        <w:keepNext/>
        <w:spacing w:before="480" w:beforeAutospacing="0" w:after="120" w:afterAutospacing="0" w:line="360" w:lineRule="auto"/>
        <w:jc w:val="both"/>
        <w:rPr>
          <w:rFonts w:ascii="Arial" w:hAnsi="Arial" w:cs="Arial"/>
          <w:b/>
          <w:sz w:val="28"/>
          <w:szCs w:val="28"/>
          <w:lang w:val="en-AU"/>
        </w:rPr>
      </w:pPr>
      <w:r w:rsidRPr="001113AE">
        <w:rPr>
          <w:rFonts w:ascii="Arial" w:hAnsi="Arial" w:cs="Arial"/>
          <w:b/>
          <w:sz w:val="28"/>
          <w:szCs w:val="28"/>
          <w:lang w:val="en-AU"/>
        </w:rPr>
        <w:lastRenderedPageBreak/>
        <w:t>Legal representation</w:t>
      </w:r>
      <w:r w:rsidR="00FF26CD">
        <w:rPr>
          <w:rFonts w:ascii="Arial" w:hAnsi="Arial" w:cs="Arial"/>
          <w:b/>
          <w:sz w:val="28"/>
          <w:szCs w:val="28"/>
          <w:lang w:val="en-AU"/>
        </w:rPr>
        <w:t xml:space="preserve"> &amp; accessibility</w:t>
      </w:r>
    </w:p>
    <w:p w:rsidR="00C44204" w:rsidRDefault="00296D7B" w:rsidP="00763B5A">
      <w:pPr>
        <w:pStyle w:val="NormalWeb"/>
        <w:numPr>
          <w:ilvl w:val="0"/>
          <w:numId w:val="2"/>
        </w:numPr>
        <w:spacing w:before="120" w:beforeAutospacing="0" w:after="240" w:afterAutospacing="0" w:line="360" w:lineRule="auto"/>
        <w:ind w:left="567" w:hanging="567"/>
        <w:jc w:val="both"/>
        <w:rPr>
          <w:rFonts w:ascii="Arial" w:hAnsi="Arial" w:cs="Arial"/>
          <w:lang w:val="en-AU"/>
        </w:rPr>
      </w:pPr>
      <w:r w:rsidRPr="001113AE">
        <w:rPr>
          <w:rFonts w:ascii="Arial" w:hAnsi="Arial" w:cs="Arial"/>
          <w:lang w:val="en-AU"/>
        </w:rPr>
        <w:t>The question of legal representation in matters under the AD Act, whether as of right or by leave, is a complex one.  QCAT has advised that in 2011-2012, legal representation was sought in 59% of anti-discrimination cases, with leave granted in 82% of those applications.</w:t>
      </w:r>
      <w:r w:rsidRPr="001113AE">
        <w:rPr>
          <w:rStyle w:val="FootnoteReference"/>
          <w:rFonts w:ascii="Arial" w:hAnsi="Arial" w:cs="Arial"/>
          <w:lang w:val="en-AU"/>
        </w:rPr>
        <w:footnoteReference w:id="27"/>
      </w:r>
      <w:r w:rsidR="00BF10B1" w:rsidRPr="001113AE">
        <w:rPr>
          <w:rFonts w:ascii="Arial" w:hAnsi="Arial" w:cs="Arial"/>
          <w:lang w:val="en-AU"/>
        </w:rPr>
        <w:t xml:space="preserve">  It is not clear what is meant by anti-discrimination cases, that is, whether it refers to the number of complaints referred, the number of complaints that proceed to hearing, the number of both complaints and other matters such as exemption applications and applications for orders before referral of a complaint.</w:t>
      </w:r>
    </w:p>
    <w:p w:rsidR="008C689B" w:rsidRPr="001113AE" w:rsidRDefault="00C57509" w:rsidP="00763B5A">
      <w:pPr>
        <w:pStyle w:val="NormalWeb"/>
        <w:numPr>
          <w:ilvl w:val="0"/>
          <w:numId w:val="2"/>
        </w:numPr>
        <w:spacing w:before="120" w:beforeAutospacing="0" w:after="240" w:afterAutospacing="0" w:line="360" w:lineRule="auto"/>
        <w:ind w:left="567" w:hanging="567"/>
        <w:jc w:val="both"/>
        <w:rPr>
          <w:rFonts w:ascii="Arial" w:hAnsi="Arial" w:cs="Arial"/>
          <w:lang w:val="en-AU"/>
        </w:rPr>
      </w:pPr>
      <w:r>
        <w:rPr>
          <w:rFonts w:ascii="Arial" w:hAnsi="Arial" w:cs="Arial"/>
          <w:lang w:val="en-AU"/>
        </w:rPr>
        <w:t>In 2011-2012 the Commission referred 118 complaints to the tribunal.  If QCAT’s statistics refer to the percentage of referred complaints, the number of applications for legal representation would be 69.  The Commission has compiled a table of the number of published decisions involving applications for representation, legal and non-legal, which appears in Appendix 2.</w:t>
      </w:r>
      <w:r>
        <w:rPr>
          <w:rStyle w:val="FootnoteReference"/>
          <w:rFonts w:ascii="Arial" w:hAnsi="Arial" w:cs="Arial"/>
          <w:lang w:val="en-AU"/>
        </w:rPr>
        <w:footnoteReference w:id="28"/>
      </w:r>
      <w:r>
        <w:rPr>
          <w:rFonts w:ascii="Arial" w:hAnsi="Arial" w:cs="Arial"/>
          <w:lang w:val="en-AU"/>
        </w:rPr>
        <w:t xml:space="preserve">  Clearly, not all applications are represented in the published decisions.</w:t>
      </w:r>
    </w:p>
    <w:p w:rsidR="00CA1834" w:rsidRPr="001113AE" w:rsidRDefault="00BF10B1" w:rsidP="004F4A3D">
      <w:pPr>
        <w:pStyle w:val="NormalWeb"/>
        <w:numPr>
          <w:ilvl w:val="0"/>
          <w:numId w:val="2"/>
        </w:numPr>
        <w:spacing w:before="240" w:beforeAutospacing="0" w:after="120" w:afterAutospacing="0" w:line="360" w:lineRule="auto"/>
        <w:ind w:left="567" w:hanging="567"/>
        <w:jc w:val="both"/>
        <w:rPr>
          <w:rFonts w:ascii="Arial" w:hAnsi="Arial" w:cs="Arial"/>
          <w:lang w:val="en-AU"/>
        </w:rPr>
      </w:pPr>
      <w:r w:rsidRPr="001113AE">
        <w:rPr>
          <w:rFonts w:ascii="Arial" w:hAnsi="Arial" w:cs="Arial"/>
          <w:lang w:val="en-AU"/>
        </w:rPr>
        <w:t>Before QCAT, the AD Act provided that a party may be represented before the tribunal by a solicitor, counsel or agent, with the leave of the tribunal.</w:t>
      </w:r>
      <w:r w:rsidR="00ED16C5" w:rsidRPr="001113AE">
        <w:rPr>
          <w:rStyle w:val="FootnoteReference"/>
          <w:rFonts w:ascii="Arial" w:hAnsi="Arial" w:cs="Arial"/>
          <w:lang w:val="en-AU"/>
        </w:rPr>
        <w:footnoteReference w:id="29"/>
      </w:r>
      <w:r w:rsidRPr="001113AE">
        <w:rPr>
          <w:rFonts w:ascii="Arial" w:hAnsi="Arial" w:cs="Arial"/>
          <w:lang w:val="en-AU"/>
        </w:rPr>
        <w:t xml:space="preserve">  In practice</w:t>
      </w:r>
      <w:r w:rsidR="00ED16C5" w:rsidRPr="001113AE">
        <w:rPr>
          <w:rFonts w:ascii="Arial" w:hAnsi="Arial" w:cs="Arial"/>
          <w:lang w:val="en-AU"/>
        </w:rPr>
        <w:t>, a non-legal representative was required to file an application and certain material for consideration of the tribunal, and legal representatives were usually granted leave.</w:t>
      </w:r>
      <w:r w:rsidR="00ED16C5" w:rsidRPr="001113AE">
        <w:rPr>
          <w:rStyle w:val="FootnoteReference"/>
          <w:rFonts w:ascii="Arial" w:hAnsi="Arial" w:cs="Arial"/>
          <w:lang w:val="en-AU"/>
        </w:rPr>
        <w:footnoteReference w:id="30"/>
      </w:r>
    </w:p>
    <w:p w:rsidR="00ED16C5" w:rsidRPr="001113AE" w:rsidRDefault="00ED16C5" w:rsidP="004F4A3D">
      <w:pPr>
        <w:pStyle w:val="NormalWeb"/>
        <w:numPr>
          <w:ilvl w:val="0"/>
          <w:numId w:val="2"/>
        </w:numPr>
        <w:spacing w:before="240" w:beforeAutospacing="0" w:after="120" w:afterAutospacing="0" w:line="360" w:lineRule="auto"/>
        <w:ind w:left="567" w:hanging="567"/>
        <w:jc w:val="both"/>
        <w:rPr>
          <w:rFonts w:ascii="Arial" w:hAnsi="Arial" w:cs="Arial"/>
          <w:lang w:val="en-AU"/>
        </w:rPr>
      </w:pPr>
      <w:r w:rsidRPr="001113AE">
        <w:rPr>
          <w:rFonts w:ascii="Arial" w:hAnsi="Arial" w:cs="Arial"/>
          <w:lang w:val="en-AU"/>
        </w:rPr>
        <w:t>For the complaint process in the Commission, a person may be represented by another person at a conciliation conference only with the permission of the Commissioner’s delegate.</w:t>
      </w:r>
      <w:r w:rsidRPr="001113AE">
        <w:rPr>
          <w:rStyle w:val="FootnoteReference"/>
          <w:rFonts w:ascii="Arial" w:hAnsi="Arial" w:cs="Arial"/>
          <w:lang w:val="en-AU"/>
        </w:rPr>
        <w:footnoteReference w:id="31"/>
      </w:r>
      <w:r w:rsidR="0064161D" w:rsidRPr="001113AE">
        <w:rPr>
          <w:rFonts w:ascii="Arial" w:hAnsi="Arial" w:cs="Arial"/>
          <w:lang w:val="en-AU"/>
        </w:rPr>
        <w:t xml:space="preserve">  Criteria for deciding permission includes whether being represented will assist and not hinder the process.  Legal representation in the Commission process is common, and generally legal representatives do assist the process, particularly where a party has special needs.</w:t>
      </w:r>
    </w:p>
    <w:p w:rsidR="0064161D" w:rsidRPr="001113AE" w:rsidRDefault="0064161D" w:rsidP="004F4A3D">
      <w:pPr>
        <w:pStyle w:val="NormalWeb"/>
        <w:numPr>
          <w:ilvl w:val="0"/>
          <w:numId w:val="2"/>
        </w:numPr>
        <w:spacing w:before="240" w:beforeAutospacing="0" w:after="120" w:afterAutospacing="0" w:line="360" w:lineRule="auto"/>
        <w:ind w:left="567" w:hanging="567"/>
        <w:jc w:val="both"/>
        <w:rPr>
          <w:rFonts w:ascii="Arial" w:hAnsi="Arial" w:cs="Arial"/>
          <w:lang w:val="en-AU"/>
        </w:rPr>
      </w:pPr>
      <w:r w:rsidRPr="001113AE">
        <w:rPr>
          <w:rFonts w:ascii="Arial" w:hAnsi="Arial" w:cs="Arial"/>
          <w:lang w:val="en-AU"/>
        </w:rPr>
        <w:lastRenderedPageBreak/>
        <w:t xml:space="preserve">It can be a challenge for parties, particularly those with special needs, where they have had legal representation in the Commission but are then </w:t>
      </w:r>
      <w:r w:rsidR="001C6E70">
        <w:rPr>
          <w:rFonts w:ascii="Arial" w:hAnsi="Arial" w:cs="Arial"/>
          <w:lang w:val="en-AU"/>
        </w:rPr>
        <w:t>un</w:t>
      </w:r>
      <w:r w:rsidRPr="001113AE">
        <w:rPr>
          <w:rFonts w:ascii="Arial" w:hAnsi="Arial" w:cs="Arial"/>
          <w:lang w:val="en-AU"/>
        </w:rPr>
        <w:t>able to obtain the leave of the tribunal to be legally represented.</w:t>
      </w:r>
    </w:p>
    <w:p w:rsidR="001113AE" w:rsidRDefault="001113AE" w:rsidP="004F4A3D">
      <w:pPr>
        <w:pStyle w:val="NormalWeb"/>
        <w:numPr>
          <w:ilvl w:val="0"/>
          <w:numId w:val="2"/>
        </w:numPr>
        <w:spacing w:before="240" w:beforeAutospacing="0" w:after="120" w:afterAutospacing="0" w:line="360" w:lineRule="auto"/>
        <w:ind w:left="567" w:hanging="567"/>
        <w:jc w:val="both"/>
        <w:rPr>
          <w:rFonts w:ascii="Arial" w:hAnsi="Arial" w:cs="Arial"/>
          <w:lang w:val="en-AU"/>
        </w:rPr>
      </w:pPr>
      <w:r w:rsidRPr="001113AE">
        <w:rPr>
          <w:rFonts w:ascii="Arial" w:hAnsi="Arial" w:cs="Arial"/>
          <w:lang w:val="en-AU"/>
        </w:rPr>
        <w:t>Whether legal representation should be as of right is largely dependent on the nature of the tribunal process</w:t>
      </w:r>
      <w:r w:rsidR="00621B5E">
        <w:rPr>
          <w:rFonts w:ascii="Arial" w:hAnsi="Arial" w:cs="Arial"/>
          <w:lang w:val="en-AU"/>
        </w:rPr>
        <w:t xml:space="preserve"> and the availability of legal assistance</w:t>
      </w:r>
      <w:r w:rsidRPr="001113AE">
        <w:rPr>
          <w:rFonts w:ascii="Arial" w:hAnsi="Arial" w:cs="Arial"/>
          <w:lang w:val="en-AU"/>
        </w:rPr>
        <w:t xml:space="preserve">.  If the process is more akin to that of a court, the need for legal representation is greater and thus the argument in favour of legal representation carries greater weight. </w:t>
      </w:r>
    </w:p>
    <w:p w:rsidR="001113AE" w:rsidRDefault="001113AE" w:rsidP="004F4A3D">
      <w:pPr>
        <w:pStyle w:val="NormalWeb"/>
        <w:numPr>
          <w:ilvl w:val="0"/>
          <w:numId w:val="2"/>
        </w:numPr>
        <w:spacing w:before="240" w:beforeAutospacing="0" w:after="120" w:afterAutospacing="0" w:line="360" w:lineRule="auto"/>
        <w:ind w:left="567" w:hanging="567"/>
        <w:jc w:val="both"/>
        <w:rPr>
          <w:rFonts w:ascii="Arial" w:hAnsi="Arial" w:cs="Arial"/>
          <w:lang w:val="en-AU"/>
        </w:rPr>
      </w:pPr>
      <w:r>
        <w:rPr>
          <w:rFonts w:ascii="Arial" w:hAnsi="Arial" w:cs="Arial"/>
          <w:lang w:val="en-AU"/>
        </w:rPr>
        <w:t xml:space="preserve">In anti-discrimination matters, complainants are usually individuals, and more complainants will be self-represented than respondents to the complaint.  </w:t>
      </w:r>
      <w:r w:rsidR="00E41E7F">
        <w:rPr>
          <w:rFonts w:ascii="Arial" w:hAnsi="Arial" w:cs="Arial"/>
          <w:lang w:val="en-AU"/>
        </w:rPr>
        <w:t>T</w:t>
      </w:r>
      <w:r w:rsidR="00621B5E">
        <w:rPr>
          <w:rFonts w:ascii="Arial" w:hAnsi="Arial" w:cs="Arial"/>
          <w:lang w:val="en-AU"/>
        </w:rPr>
        <w:t xml:space="preserve">his is born out when comparing the number of applications for legal representation made by complainants compared to the number of applications made by respondents in the Commission’s table in Appendix 2.  </w:t>
      </w:r>
      <w:r>
        <w:rPr>
          <w:rFonts w:ascii="Arial" w:hAnsi="Arial" w:cs="Arial"/>
          <w:lang w:val="en-AU"/>
        </w:rPr>
        <w:t>Respondent parties often include organisations, companies, or the State as well as individuals.  The State usually has lawyers available to assist it, whether internal or external, and companies and larger organisations often utilise lawyers in defending complaints.</w:t>
      </w:r>
    </w:p>
    <w:p w:rsidR="00C45A84" w:rsidRDefault="00C45A84" w:rsidP="004F4A3D">
      <w:pPr>
        <w:pStyle w:val="NormalWeb"/>
        <w:numPr>
          <w:ilvl w:val="0"/>
          <w:numId w:val="2"/>
        </w:numPr>
        <w:spacing w:before="240" w:beforeAutospacing="0" w:after="120" w:afterAutospacing="0" w:line="360" w:lineRule="auto"/>
        <w:ind w:left="567" w:hanging="567"/>
        <w:jc w:val="both"/>
        <w:rPr>
          <w:rFonts w:ascii="Arial" w:hAnsi="Arial" w:cs="Arial"/>
          <w:lang w:val="en-AU"/>
        </w:rPr>
      </w:pPr>
      <w:r>
        <w:rPr>
          <w:rFonts w:ascii="Arial" w:hAnsi="Arial" w:cs="Arial"/>
          <w:lang w:val="en-AU"/>
        </w:rPr>
        <w:t>It appears from published decisions of QCAT that in complaints under the AD Act, parties are required to file and serve ‘contentions’ before participating in a compulsory conference.  There are a number of published decisions made on applications to strike out a complaint or other</w:t>
      </w:r>
      <w:r w:rsidR="00421463">
        <w:rPr>
          <w:rFonts w:ascii="Arial" w:hAnsi="Arial" w:cs="Arial"/>
          <w:lang w:val="en-AU"/>
        </w:rPr>
        <w:t xml:space="preserve">wise concerning contentions, and </w:t>
      </w:r>
      <w:r w:rsidR="004F6CC2">
        <w:rPr>
          <w:rFonts w:ascii="Arial" w:hAnsi="Arial" w:cs="Arial"/>
          <w:lang w:val="en-AU"/>
        </w:rPr>
        <w:t xml:space="preserve">the decisions </w:t>
      </w:r>
      <w:r w:rsidR="00421463">
        <w:rPr>
          <w:rFonts w:ascii="Arial" w:hAnsi="Arial" w:cs="Arial"/>
          <w:lang w:val="en-AU"/>
        </w:rPr>
        <w:t>indicate that contentions are somewhat in the nature of pleadings.</w:t>
      </w:r>
    </w:p>
    <w:p w:rsidR="00C45A84" w:rsidRDefault="00C45A84" w:rsidP="004F4A3D">
      <w:pPr>
        <w:pStyle w:val="NormalWeb"/>
        <w:numPr>
          <w:ilvl w:val="0"/>
          <w:numId w:val="2"/>
        </w:numPr>
        <w:spacing w:before="240" w:beforeAutospacing="0" w:after="120" w:afterAutospacing="0" w:line="360" w:lineRule="auto"/>
        <w:ind w:left="567" w:hanging="567"/>
        <w:jc w:val="both"/>
        <w:rPr>
          <w:rFonts w:ascii="Arial" w:hAnsi="Arial" w:cs="Arial"/>
          <w:lang w:val="en-AU"/>
        </w:rPr>
      </w:pPr>
      <w:r>
        <w:rPr>
          <w:rFonts w:ascii="Arial" w:hAnsi="Arial" w:cs="Arial"/>
          <w:lang w:val="en-AU"/>
        </w:rPr>
        <w:t xml:space="preserve">For example, </w:t>
      </w:r>
      <w:r w:rsidR="00421463">
        <w:rPr>
          <w:rFonts w:ascii="Arial" w:hAnsi="Arial" w:cs="Arial"/>
          <w:lang w:val="en-AU"/>
        </w:rPr>
        <w:t>a complaint of discrimination was dismissed because the complainant had not complied with orders made by the tribunal to file and serve contentions.</w:t>
      </w:r>
      <w:r w:rsidR="003F6F09">
        <w:rPr>
          <w:rStyle w:val="FootnoteReference"/>
          <w:rFonts w:ascii="Arial" w:hAnsi="Arial" w:cs="Arial"/>
          <w:lang w:val="en-AU"/>
        </w:rPr>
        <w:footnoteReference w:id="32"/>
      </w:r>
      <w:r w:rsidR="00421463">
        <w:rPr>
          <w:rFonts w:ascii="Arial" w:hAnsi="Arial" w:cs="Arial"/>
          <w:lang w:val="en-AU"/>
        </w:rPr>
        <w:t xml:space="preserve">  The Tribunal said:</w:t>
      </w:r>
    </w:p>
    <w:p w:rsidR="003F6F09" w:rsidRDefault="003F6F09" w:rsidP="003F6F09">
      <w:pPr>
        <w:pStyle w:val="NormalWeb"/>
        <w:numPr>
          <w:ilvl w:val="0"/>
          <w:numId w:val="18"/>
        </w:numPr>
        <w:spacing w:before="120" w:beforeAutospacing="0" w:after="120" w:afterAutospacing="0" w:line="360" w:lineRule="auto"/>
        <w:ind w:left="1276" w:right="-28" w:hanging="425"/>
        <w:jc w:val="both"/>
        <w:rPr>
          <w:rFonts w:ascii="Arial" w:hAnsi="Arial" w:cs="Arial"/>
          <w:lang w:val="en-AU"/>
        </w:rPr>
      </w:pPr>
      <w:r w:rsidRPr="003F6F09">
        <w:rPr>
          <w:rFonts w:ascii="Arial" w:hAnsi="Arial" w:cs="Arial"/>
          <w:lang w:val="en-AU"/>
        </w:rPr>
        <w:t>QCAT expects parties to take active steps to engage in a proceeding</w:t>
      </w:r>
      <w:r>
        <w:rPr>
          <w:rFonts w:ascii="Arial" w:hAnsi="Arial" w:cs="Arial"/>
          <w:lang w:val="en-AU"/>
        </w:rPr>
        <w:t>;</w:t>
      </w:r>
      <w:r>
        <w:rPr>
          <w:rStyle w:val="FootnoteReference"/>
          <w:rFonts w:ascii="Arial" w:hAnsi="Arial" w:cs="Arial"/>
          <w:lang w:val="en-AU"/>
        </w:rPr>
        <w:footnoteReference w:id="33"/>
      </w:r>
    </w:p>
    <w:p w:rsidR="003F6F09" w:rsidRDefault="003F6F09" w:rsidP="003F6F09">
      <w:pPr>
        <w:pStyle w:val="NormalWeb"/>
        <w:numPr>
          <w:ilvl w:val="0"/>
          <w:numId w:val="18"/>
        </w:numPr>
        <w:spacing w:before="120" w:beforeAutospacing="0" w:after="120" w:afterAutospacing="0" w:line="360" w:lineRule="auto"/>
        <w:ind w:left="1276" w:right="-28" w:hanging="425"/>
        <w:jc w:val="both"/>
        <w:rPr>
          <w:rFonts w:ascii="Arial" w:hAnsi="Arial" w:cs="Arial"/>
          <w:lang w:val="en-AU"/>
        </w:rPr>
      </w:pPr>
      <w:r>
        <w:rPr>
          <w:rFonts w:ascii="Arial" w:hAnsi="Arial" w:cs="Arial"/>
          <w:lang w:val="en-AU"/>
        </w:rPr>
        <w:t>It is essential that the applicant set out details of the complaint at the very outset of the tribunal process;</w:t>
      </w:r>
      <w:r>
        <w:rPr>
          <w:rStyle w:val="FootnoteReference"/>
          <w:rFonts w:ascii="Arial" w:hAnsi="Arial" w:cs="Arial"/>
          <w:lang w:val="en-AU"/>
        </w:rPr>
        <w:footnoteReference w:id="34"/>
      </w:r>
    </w:p>
    <w:p w:rsidR="003F6F09" w:rsidRDefault="003F6F09" w:rsidP="003F6F09">
      <w:pPr>
        <w:pStyle w:val="NormalWeb"/>
        <w:numPr>
          <w:ilvl w:val="0"/>
          <w:numId w:val="18"/>
        </w:numPr>
        <w:spacing w:before="120" w:beforeAutospacing="0" w:after="120" w:afterAutospacing="0" w:line="360" w:lineRule="auto"/>
        <w:ind w:left="1276" w:right="-28" w:hanging="425"/>
        <w:jc w:val="both"/>
        <w:rPr>
          <w:rFonts w:ascii="Arial" w:hAnsi="Arial" w:cs="Arial"/>
          <w:lang w:val="en-AU"/>
        </w:rPr>
      </w:pPr>
      <w:r>
        <w:rPr>
          <w:rFonts w:ascii="Arial" w:hAnsi="Arial" w:cs="Arial"/>
          <w:lang w:val="en-AU"/>
        </w:rPr>
        <w:lastRenderedPageBreak/>
        <w:t>The details should identify:</w:t>
      </w:r>
    </w:p>
    <w:p w:rsidR="003F6F09" w:rsidRDefault="003F6F09" w:rsidP="003F6F09">
      <w:pPr>
        <w:pStyle w:val="NormalWeb"/>
        <w:numPr>
          <w:ilvl w:val="1"/>
          <w:numId w:val="18"/>
        </w:numPr>
        <w:spacing w:before="120" w:beforeAutospacing="0" w:after="120" w:afterAutospacing="0" w:line="360" w:lineRule="auto"/>
        <w:ind w:left="2127" w:right="-28" w:hanging="426"/>
        <w:jc w:val="both"/>
        <w:rPr>
          <w:rFonts w:ascii="Arial" w:hAnsi="Arial" w:cs="Arial"/>
          <w:lang w:val="en-AU"/>
        </w:rPr>
      </w:pPr>
      <w:r>
        <w:rPr>
          <w:rFonts w:ascii="Arial" w:hAnsi="Arial" w:cs="Arial"/>
          <w:lang w:val="en-AU"/>
        </w:rPr>
        <w:t>what facts are relied on by the applicant;</w:t>
      </w:r>
    </w:p>
    <w:p w:rsidR="003F6F09" w:rsidRDefault="003F6F09" w:rsidP="003F6F09">
      <w:pPr>
        <w:pStyle w:val="NormalWeb"/>
        <w:numPr>
          <w:ilvl w:val="1"/>
          <w:numId w:val="18"/>
        </w:numPr>
        <w:spacing w:before="120" w:beforeAutospacing="0" w:after="120" w:afterAutospacing="0" w:line="360" w:lineRule="auto"/>
        <w:ind w:left="2127" w:right="-28" w:hanging="426"/>
        <w:jc w:val="both"/>
        <w:rPr>
          <w:rFonts w:ascii="Arial" w:hAnsi="Arial" w:cs="Arial"/>
          <w:lang w:val="en-AU"/>
        </w:rPr>
      </w:pPr>
      <w:r>
        <w:rPr>
          <w:rFonts w:ascii="Arial" w:hAnsi="Arial" w:cs="Arial"/>
          <w:lang w:val="en-AU"/>
        </w:rPr>
        <w:t>what that applicant is alleging is the legal basis for the complaint;</w:t>
      </w:r>
    </w:p>
    <w:p w:rsidR="003F6F09" w:rsidRDefault="003F6F09" w:rsidP="003F6F09">
      <w:pPr>
        <w:pStyle w:val="NormalWeb"/>
        <w:numPr>
          <w:ilvl w:val="1"/>
          <w:numId w:val="18"/>
        </w:numPr>
        <w:spacing w:before="120" w:beforeAutospacing="0" w:after="120" w:afterAutospacing="0" w:line="360" w:lineRule="auto"/>
        <w:ind w:left="2127" w:right="-28" w:hanging="426"/>
        <w:jc w:val="both"/>
        <w:rPr>
          <w:rFonts w:ascii="Arial" w:hAnsi="Arial" w:cs="Arial"/>
          <w:lang w:val="en-AU"/>
        </w:rPr>
      </w:pPr>
      <w:r>
        <w:rPr>
          <w:rFonts w:ascii="Arial" w:hAnsi="Arial" w:cs="Arial"/>
          <w:lang w:val="en-AU"/>
        </w:rPr>
        <w:t>what impact the alleged contravention has had on the applicant;</w:t>
      </w:r>
    </w:p>
    <w:p w:rsidR="003F6F09" w:rsidRDefault="003F6F09" w:rsidP="003F6F09">
      <w:pPr>
        <w:pStyle w:val="NormalWeb"/>
        <w:numPr>
          <w:ilvl w:val="1"/>
          <w:numId w:val="18"/>
        </w:numPr>
        <w:spacing w:before="120" w:beforeAutospacing="0" w:after="120" w:afterAutospacing="0" w:line="360" w:lineRule="auto"/>
        <w:ind w:left="2127" w:right="-28" w:hanging="426"/>
        <w:jc w:val="both"/>
        <w:rPr>
          <w:rFonts w:ascii="Arial" w:hAnsi="Arial" w:cs="Arial"/>
          <w:lang w:val="en-AU"/>
        </w:rPr>
      </w:pPr>
      <w:r>
        <w:rPr>
          <w:rFonts w:ascii="Arial" w:hAnsi="Arial" w:cs="Arial"/>
          <w:lang w:val="en-AU"/>
        </w:rPr>
        <w:t>what outcomes the applicant is seeking from QCAT.</w:t>
      </w:r>
      <w:r>
        <w:rPr>
          <w:rStyle w:val="FootnoteReference"/>
          <w:rFonts w:ascii="Arial" w:hAnsi="Arial" w:cs="Arial"/>
          <w:lang w:val="en-AU"/>
        </w:rPr>
        <w:footnoteReference w:id="35"/>
      </w:r>
    </w:p>
    <w:p w:rsidR="003F6F09" w:rsidRDefault="00602C71" w:rsidP="003F6F09">
      <w:pPr>
        <w:pStyle w:val="NormalWeb"/>
        <w:numPr>
          <w:ilvl w:val="0"/>
          <w:numId w:val="18"/>
        </w:numPr>
        <w:spacing w:before="120" w:beforeAutospacing="0" w:after="120" w:afterAutospacing="0" w:line="360" w:lineRule="auto"/>
        <w:ind w:left="1276" w:right="-28" w:hanging="425"/>
        <w:jc w:val="both"/>
        <w:rPr>
          <w:rFonts w:ascii="Arial" w:hAnsi="Arial" w:cs="Arial"/>
          <w:lang w:val="en-AU"/>
        </w:rPr>
      </w:pPr>
      <w:r>
        <w:rPr>
          <w:rFonts w:ascii="Arial" w:hAnsi="Arial" w:cs="Arial"/>
          <w:lang w:val="en-AU"/>
        </w:rPr>
        <w:t>As to the purpose of the contentions:</w:t>
      </w:r>
      <w:r>
        <w:rPr>
          <w:rStyle w:val="FootnoteReference"/>
          <w:rFonts w:ascii="Arial" w:hAnsi="Arial" w:cs="Arial"/>
          <w:lang w:val="en-AU"/>
        </w:rPr>
        <w:footnoteReference w:id="36"/>
      </w:r>
    </w:p>
    <w:p w:rsidR="00602C71" w:rsidRDefault="00602C71" w:rsidP="00602C71">
      <w:pPr>
        <w:pStyle w:val="NormalWeb"/>
        <w:numPr>
          <w:ilvl w:val="1"/>
          <w:numId w:val="18"/>
        </w:numPr>
        <w:spacing w:before="120" w:beforeAutospacing="0" w:after="120" w:afterAutospacing="0" w:line="360" w:lineRule="auto"/>
        <w:ind w:left="2127" w:right="-28" w:hanging="426"/>
        <w:jc w:val="both"/>
        <w:rPr>
          <w:rFonts w:ascii="Arial" w:hAnsi="Arial" w:cs="Arial"/>
          <w:lang w:val="en-AU"/>
        </w:rPr>
      </w:pPr>
      <w:r>
        <w:rPr>
          <w:rFonts w:ascii="Arial" w:hAnsi="Arial" w:cs="Arial"/>
          <w:lang w:val="en-AU"/>
        </w:rPr>
        <w:t>it is not uncommon for the complaint and remedies sought to change between the initial complaint to the Commission and referral to the tribunal;</w:t>
      </w:r>
    </w:p>
    <w:p w:rsidR="00602C71" w:rsidRDefault="00602C71" w:rsidP="00602C71">
      <w:pPr>
        <w:pStyle w:val="NormalWeb"/>
        <w:numPr>
          <w:ilvl w:val="1"/>
          <w:numId w:val="18"/>
        </w:numPr>
        <w:spacing w:before="120" w:beforeAutospacing="0" w:after="120" w:afterAutospacing="0" w:line="360" w:lineRule="auto"/>
        <w:ind w:left="2127" w:right="-28" w:hanging="426"/>
        <w:jc w:val="both"/>
        <w:rPr>
          <w:rFonts w:ascii="Arial" w:hAnsi="Arial" w:cs="Arial"/>
          <w:lang w:val="en-AU"/>
        </w:rPr>
      </w:pPr>
      <w:r>
        <w:rPr>
          <w:rFonts w:ascii="Arial" w:hAnsi="Arial" w:cs="Arial"/>
          <w:lang w:val="en-AU"/>
        </w:rPr>
        <w:t>contentions enable the respondent to be informed of the particulars of the complaint and to consider whether to make an early challenge to the content.</w:t>
      </w:r>
    </w:p>
    <w:p w:rsidR="00602C71" w:rsidRDefault="00602C71" w:rsidP="00602C71">
      <w:pPr>
        <w:pStyle w:val="NormalWeb"/>
        <w:numPr>
          <w:ilvl w:val="0"/>
          <w:numId w:val="18"/>
        </w:numPr>
        <w:spacing w:before="120" w:beforeAutospacing="0" w:after="120" w:afterAutospacing="0" w:line="360" w:lineRule="auto"/>
        <w:ind w:left="1276" w:right="-28" w:hanging="425"/>
        <w:jc w:val="both"/>
        <w:rPr>
          <w:rFonts w:ascii="Arial" w:hAnsi="Arial" w:cs="Arial"/>
          <w:lang w:val="en-AU"/>
        </w:rPr>
      </w:pPr>
      <w:r>
        <w:rPr>
          <w:rFonts w:ascii="Arial" w:hAnsi="Arial" w:cs="Arial"/>
          <w:lang w:val="en-AU"/>
        </w:rPr>
        <w:t>In this case, although the factual basis of the complaint may be able to be discerned from the complaint made to the Commission, in the tribunal the applicant is required to set out in the contentions:</w:t>
      </w:r>
      <w:r w:rsidR="004F6CC2">
        <w:rPr>
          <w:rStyle w:val="FootnoteReference"/>
          <w:rFonts w:ascii="Arial" w:hAnsi="Arial" w:cs="Arial"/>
          <w:lang w:val="en-AU"/>
        </w:rPr>
        <w:footnoteReference w:id="37"/>
      </w:r>
    </w:p>
    <w:p w:rsidR="00602C71" w:rsidRDefault="00602C71" w:rsidP="00602C71">
      <w:pPr>
        <w:pStyle w:val="NormalWeb"/>
        <w:numPr>
          <w:ilvl w:val="1"/>
          <w:numId w:val="18"/>
        </w:numPr>
        <w:spacing w:before="120" w:beforeAutospacing="0" w:after="120" w:afterAutospacing="0" w:line="360" w:lineRule="auto"/>
        <w:ind w:left="2127" w:right="-28" w:hanging="426"/>
        <w:jc w:val="both"/>
        <w:rPr>
          <w:rFonts w:ascii="Arial" w:hAnsi="Arial" w:cs="Arial"/>
          <w:lang w:val="en-AU"/>
        </w:rPr>
      </w:pPr>
      <w:r>
        <w:rPr>
          <w:rFonts w:ascii="Arial" w:hAnsi="Arial" w:cs="Arial"/>
          <w:lang w:val="en-AU"/>
        </w:rPr>
        <w:t>the legal basis on which it is alleged the respondent discriminated against the applicant at work;</w:t>
      </w:r>
    </w:p>
    <w:p w:rsidR="00602C71" w:rsidRDefault="00602C71" w:rsidP="00602C71">
      <w:pPr>
        <w:pStyle w:val="NormalWeb"/>
        <w:numPr>
          <w:ilvl w:val="1"/>
          <w:numId w:val="18"/>
        </w:numPr>
        <w:spacing w:before="120" w:beforeAutospacing="0" w:after="120" w:afterAutospacing="0" w:line="360" w:lineRule="auto"/>
        <w:ind w:left="2127" w:right="-28" w:hanging="426"/>
        <w:jc w:val="both"/>
        <w:rPr>
          <w:rFonts w:ascii="Arial" w:hAnsi="Arial" w:cs="Arial"/>
          <w:lang w:val="en-AU"/>
        </w:rPr>
      </w:pPr>
      <w:r>
        <w:rPr>
          <w:rFonts w:ascii="Arial" w:hAnsi="Arial" w:cs="Arial"/>
          <w:lang w:val="en-AU"/>
        </w:rPr>
        <w:t>the impact the alleged contraventions have had on the applicant; and</w:t>
      </w:r>
    </w:p>
    <w:p w:rsidR="00602C71" w:rsidRPr="003F6F09" w:rsidRDefault="00602C71" w:rsidP="00602C71">
      <w:pPr>
        <w:pStyle w:val="NormalWeb"/>
        <w:numPr>
          <w:ilvl w:val="1"/>
          <w:numId w:val="18"/>
        </w:numPr>
        <w:spacing w:before="120" w:beforeAutospacing="0" w:after="120" w:afterAutospacing="0" w:line="360" w:lineRule="auto"/>
        <w:ind w:left="2127" w:right="-28" w:hanging="426"/>
        <w:jc w:val="both"/>
        <w:rPr>
          <w:rFonts w:ascii="Arial" w:hAnsi="Arial" w:cs="Arial"/>
          <w:lang w:val="en-AU"/>
        </w:rPr>
      </w:pPr>
      <w:r>
        <w:rPr>
          <w:rFonts w:ascii="Arial" w:hAnsi="Arial" w:cs="Arial"/>
          <w:lang w:val="en-AU"/>
        </w:rPr>
        <w:t>the outcome the applicant is seeking from QCAT.</w:t>
      </w:r>
    </w:p>
    <w:p w:rsidR="003F6F09" w:rsidRDefault="004F6CC2" w:rsidP="004F4A3D">
      <w:pPr>
        <w:pStyle w:val="NormalWeb"/>
        <w:numPr>
          <w:ilvl w:val="0"/>
          <w:numId w:val="2"/>
        </w:numPr>
        <w:spacing w:before="240" w:beforeAutospacing="0" w:after="120" w:afterAutospacing="0" w:line="360" w:lineRule="auto"/>
        <w:ind w:left="567" w:hanging="567"/>
        <w:jc w:val="both"/>
        <w:rPr>
          <w:rFonts w:ascii="Arial" w:hAnsi="Arial" w:cs="Arial"/>
          <w:lang w:val="en-AU"/>
        </w:rPr>
      </w:pPr>
      <w:r>
        <w:rPr>
          <w:rFonts w:ascii="Arial" w:hAnsi="Arial" w:cs="Arial"/>
          <w:lang w:val="en-AU"/>
        </w:rPr>
        <w:t xml:space="preserve">Dismissal of a complaint is a serious consequence.  The reasons for failure to provide contentions is not apparent from the decision above or other decisions where complaints have been dismissed for failure to comply with directions to </w:t>
      </w:r>
      <w:r w:rsidR="00621B5E">
        <w:rPr>
          <w:rFonts w:ascii="Arial" w:hAnsi="Arial" w:cs="Arial"/>
          <w:lang w:val="en-AU"/>
        </w:rPr>
        <w:t>provide</w:t>
      </w:r>
      <w:r>
        <w:rPr>
          <w:rFonts w:ascii="Arial" w:hAnsi="Arial" w:cs="Arial"/>
          <w:lang w:val="en-AU"/>
        </w:rPr>
        <w:t xml:space="preserve"> contentions.  It might be reasonable to assume </w:t>
      </w:r>
      <w:r w:rsidR="00D77D2A">
        <w:rPr>
          <w:rFonts w:ascii="Arial" w:hAnsi="Arial" w:cs="Arial"/>
          <w:lang w:val="en-AU"/>
        </w:rPr>
        <w:t xml:space="preserve">however </w:t>
      </w:r>
      <w:r>
        <w:rPr>
          <w:rFonts w:ascii="Arial" w:hAnsi="Arial" w:cs="Arial"/>
          <w:lang w:val="en-AU"/>
        </w:rPr>
        <w:t>that failure to provide contentions could arise simply bec</w:t>
      </w:r>
      <w:r w:rsidR="00F20BBF">
        <w:rPr>
          <w:rFonts w:ascii="Arial" w:hAnsi="Arial" w:cs="Arial"/>
          <w:lang w:val="en-AU"/>
        </w:rPr>
        <w:t>ause a self-represented party is</w:t>
      </w:r>
      <w:r>
        <w:rPr>
          <w:rFonts w:ascii="Arial" w:hAnsi="Arial" w:cs="Arial"/>
          <w:lang w:val="en-AU"/>
        </w:rPr>
        <w:t xml:space="preserve"> </w:t>
      </w:r>
      <w:r>
        <w:rPr>
          <w:rFonts w:ascii="Arial" w:hAnsi="Arial" w:cs="Arial"/>
          <w:lang w:val="en-AU"/>
        </w:rPr>
        <w:lastRenderedPageBreak/>
        <w:t>unable to understand or do what the tribunal expects.</w:t>
      </w:r>
      <w:r w:rsidR="0036513B">
        <w:rPr>
          <w:rFonts w:ascii="Arial" w:hAnsi="Arial" w:cs="Arial"/>
          <w:lang w:val="en-AU"/>
        </w:rPr>
        <w:t xml:space="preserve">  There are a number of published decisions where self-represented complainants have provided contentions however an application has arisen and the tribunal has decided the contentions are not satisfactory.  These decisions would suggest that self-represented complainants </w:t>
      </w:r>
      <w:r w:rsidR="00B8160F">
        <w:rPr>
          <w:rFonts w:ascii="Arial" w:hAnsi="Arial" w:cs="Arial"/>
          <w:lang w:val="en-AU"/>
        </w:rPr>
        <w:t>experience</w:t>
      </w:r>
      <w:r w:rsidR="0036513B">
        <w:rPr>
          <w:rFonts w:ascii="Arial" w:hAnsi="Arial" w:cs="Arial"/>
          <w:lang w:val="en-AU"/>
        </w:rPr>
        <w:t xml:space="preserve"> difficulty providing contentions as required by the tribunal.</w:t>
      </w:r>
      <w:r w:rsidR="0036513B">
        <w:rPr>
          <w:rStyle w:val="FootnoteReference"/>
          <w:rFonts w:ascii="Arial" w:hAnsi="Arial" w:cs="Arial"/>
          <w:lang w:val="en-AU"/>
        </w:rPr>
        <w:footnoteReference w:id="38"/>
      </w:r>
    </w:p>
    <w:p w:rsidR="00177884" w:rsidRDefault="00D77D2A" w:rsidP="004F4A3D">
      <w:pPr>
        <w:pStyle w:val="NormalWeb"/>
        <w:numPr>
          <w:ilvl w:val="0"/>
          <w:numId w:val="2"/>
        </w:numPr>
        <w:spacing w:before="240" w:beforeAutospacing="0" w:after="120" w:afterAutospacing="0" w:line="360" w:lineRule="auto"/>
        <w:ind w:left="567" w:hanging="567"/>
        <w:jc w:val="both"/>
        <w:rPr>
          <w:rFonts w:ascii="Arial" w:hAnsi="Arial" w:cs="Arial"/>
          <w:lang w:val="en-AU"/>
        </w:rPr>
      </w:pPr>
      <w:r>
        <w:rPr>
          <w:rFonts w:ascii="Arial" w:hAnsi="Arial" w:cs="Arial"/>
          <w:lang w:val="en-AU"/>
        </w:rPr>
        <w:t>In a recent decision of the tribunal, a self-represented complainant whose complaint was dismissed for failure to comply with directions to ‘set out essential elements of her complaint and her evidence in support of her complaint’ was ordered to pay the costs of the respondent.</w:t>
      </w:r>
      <w:r>
        <w:rPr>
          <w:rStyle w:val="FootnoteReference"/>
          <w:rFonts w:ascii="Arial" w:hAnsi="Arial" w:cs="Arial"/>
          <w:lang w:val="en-AU"/>
        </w:rPr>
        <w:footnoteReference w:id="39"/>
      </w:r>
      <w:r>
        <w:rPr>
          <w:rFonts w:ascii="Arial" w:hAnsi="Arial" w:cs="Arial"/>
          <w:lang w:val="en-AU"/>
        </w:rPr>
        <w:t xml:space="preserve">  This is a very </w:t>
      </w:r>
      <w:r w:rsidR="005F643D">
        <w:rPr>
          <w:rFonts w:ascii="Arial" w:hAnsi="Arial" w:cs="Arial"/>
          <w:lang w:val="en-AU"/>
        </w:rPr>
        <w:t>serious outcome, and concerning if the failure to comply with the tribunal’s directions was attributable to the difficulty of the tribunal’s process.</w:t>
      </w:r>
    </w:p>
    <w:p w:rsidR="005F643D" w:rsidRDefault="00621B5E" w:rsidP="004F4A3D">
      <w:pPr>
        <w:pStyle w:val="NormalWeb"/>
        <w:numPr>
          <w:ilvl w:val="0"/>
          <w:numId w:val="2"/>
        </w:numPr>
        <w:spacing w:before="240" w:beforeAutospacing="0" w:after="120" w:afterAutospacing="0" w:line="360" w:lineRule="auto"/>
        <w:ind w:left="567" w:hanging="567"/>
        <w:jc w:val="both"/>
        <w:rPr>
          <w:rFonts w:ascii="Arial" w:hAnsi="Arial" w:cs="Arial"/>
          <w:lang w:val="en-AU"/>
        </w:rPr>
      </w:pPr>
      <w:r w:rsidRPr="00F54A87">
        <w:rPr>
          <w:rFonts w:ascii="Arial" w:hAnsi="Arial" w:cs="Arial"/>
          <w:lang w:val="en-AU"/>
        </w:rPr>
        <w:t>If QCAT requires parties to comply with a legalistic process, then arguably legal representation should be as of right.  As more often than not a respondent is better able to afford legal representation, there is potential for an imbalance of power between parties.</w:t>
      </w:r>
      <w:r w:rsidR="00F54A87" w:rsidRPr="00F54A87">
        <w:rPr>
          <w:rFonts w:ascii="Arial" w:hAnsi="Arial" w:cs="Arial"/>
          <w:lang w:val="en-AU"/>
        </w:rPr>
        <w:t xml:space="preserve">  The potential imbalance is heightened as complainant’s bear the onus of proof.  </w:t>
      </w:r>
      <w:r w:rsidR="00523340" w:rsidRPr="00F54A87">
        <w:rPr>
          <w:rFonts w:ascii="Arial" w:hAnsi="Arial" w:cs="Arial"/>
          <w:lang w:val="en-AU"/>
        </w:rPr>
        <w:t xml:space="preserve">The QPILCH Self-representation civil law service at QCAT provides advice and assistance to </w:t>
      </w:r>
      <w:r w:rsidR="00F54A87" w:rsidRPr="00F54A87">
        <w:rPr>
          <w:rFonts w:ascii="Arial" w:hAnsi="Arial" w:cs="Arial"/>
          <w:lang w:val="en-AU"/>
        </w:rPr>
        <w:t>people with matters under the AD Act, however the service does not provide representation or act on a person’s behalf.  The Law Council of Australia has recently observed that the ‘deepening crisis of legal aid funding in Victoria was symptomatic of a national legal aid system in turmoil’.</w:t>
      </w:r>
      <w:r w:rsidR="00F54A87">
        <w:rPr>
          <w:rStyle w:val="FootnoteReference"/>
          <w:rFonts w:ascii="Arial" w:hAnsi="Arial" w:cs="Arial"/>
          <w:lang w:val="en-AU"/>
        </w:rPr>
        <w:footnoteReference w:id="40"/>
      </w:r>
      <w:r w:rsidR="00F54A87">
        <w:rPr>
          <w:rFonts w:ascii="Arial" w:hAnsi="Arial" w:cs="Arial"/>
          <w:lang w:val="en-AU"/>
        </w:rPr>
        <w:t xml:space="preserve">  </w:t>
      </w:r>
      <w:r w:rsidR="0063560C">
        <w:rPr>
          <w:rFonts w:ascii="Arial" w:hAnsi="Arial" w:cs="Arial"/>
          <w:lang w:val="en-AU"/>
        </w:rPr>
        <w:t xml:space="preserve">Even with greater funding of Legal Aid, many people who are unable to afford legal representation do not qualify for Legal Aid.  </w:t>
      </w:r>
      <w:r w:rsidR="00F54A87">
        <w:rPr>
          <w:rFonts w:ascii="Arial" w:hAnsi="Arial" w:cs="Arial"/>
          <w:lang w:val="en-AU"/>
        </w:rPr>
        <w:t>Access to justice is limited and insufficient legal assistance impacts more heavily on the more vulnerable groups, who are often parties to matters in the human rights jurisdictions of the tribunal.</w:t>
      </w:r>
    </w:p>
    <w:p w:rsidR="00F54A87" w:rsidRDefault="004B09CF" w:rsidP="004F4A3D">
      <w:pPr>
        <w:pStyle w:val="NormalWeb"/>
        <w:numPr>
          <w:ilvl w:val="0"/>
          <w:numId w:val="2"/>
        </w:numPr>
        <w:spacing w:before="240" w:beforeAutospacing="0" w:after="120" w:afterAutospacing="0" w:line="360" w:lineRule="auto"/>
        <w:ind w:left="567" w:hanging="567"/>
        <w:jc w:val="both"/>
        <w:rPr>
          <w:rFonts w:ascii="Arial" w:hAnsi="Arial" w:cs="Arial"/>
          <w:lang w:val="en-AU"/>
        </w:rPr>
      </w:pPr>
      <w:r>
        <w:rPr>
          <w:rFonts w:ascii="Arial" w:hAnsi="Arial" w:cs="Arial"/>
          <w:lang w:val="en-AU"/>
        </w:rPr>
        <w:lastRenderedPageBreak/>
        <w:t>A means of addressing imbalances between parties is for the tribunal to utilise existing powers and functions to adopt a more ‘inquisitorial’ process where necessary and appropriate.  These provisions include:</w:t>
      </w:r>
    </w:p>
    <w:p w:rsidR="004B09CF" w:rsidRDefault="004B09CF" w:rsidP="004B09CF">
      <w:pPr>
        <w:pStyle w:val="NormalWeb"/>
        <w:spacing w:before="120" w:beforeAutospacing="0" w:after="120" w:afterAutospacing="0"/>
        <w:ind w:left="720"/>
        <w:jc w:val="both"/>
        <w:rPr>
          <w:rFonts w:ascii="Arial" w:hAnsi="Arial" w:cs="Arial"/>
          <w:lang w:val="en-AU"/>
        </w:rPr>
      </w:pPr>
      <w:r>
        <w:rPr>
          <w:rFonts w:ascii="Arial" w:hAnsi="Arial" w:cs="Arial"/>
          <w:lang w:val="en-AU"/>
        </w:rPr>
        <w:t>AD Act</w:t>
      </w:r>
    </w:p>
    <w:p w:rsidR="00AD7325" w:rsidRDefault="00AD7325" w:rsidP="00AD7325">
      <w:pPr>
        <w:pStyle w:val="NormalWeb"/>
        <w:tabs>
          <w:tab w:val="left" w:pos="3261"/>
        </w:tabs>
        <w:spacing w:before="120" w:beforeAutospacing="0" w:after="120" w:afterAutospacing="0"/>
        <w:ind w:left="1434"/>
        <w:rPr>
          <w:rFonts w:ascii="Arial" w:hAnsi="Arial" w:cs="Arial"/>
          <w:lang w:val="en-AU"/>
        </w:rPr>
      </w:pPr>
      <w:proofErr w:type="gramStart"/>
      <w:r>
        <w:rPr>
          <w:rFonts w:ascii="Arial" w:hAnsi="Arial" w:cs="Arial"/>
          <w:lang w:val="en-AU"/>
        </w:rPr>
        <w:t>section</w:t>
      </w:r>
      <w:proofErr w:type="gramEnd"/>
      <w:r>
        <w:rPr>
          <w:rFonts w:ascii="Arial" w:hAnsi="Arial" w:cs="Arial"/>
          <w:lang w:val="en-AU"/>
        </w:rPr>
        <w:t xml:space="preserve"> 208</w:t>
      </w:r>
      <w:r>
        <w:rPr>
          <w:rFonts w:ascii="Arial" w:hAnsi="Arial" w:cs="Arial"/>
          <w:lang w:val="en-AU"/>
        </w:rPr>
        <w:tab/>
        <w:t>- Evaluation of evidence</w:t>
      </w:r>
    </w:p>
    <w:p w:rsidR="004B09CF" w:rsidRDefault="004B09CF" w:rsidP="00AD7325">
      <w:pPr>
        <w:pStyle w:val="NormalWeb"/>
        <w:tabs>
          <w:tab w:val="left" w:pos="3261"/>
        </w:tabs>
        <w:spacing w:before="120" w:beforeAutospacing="0" w:after="120" w:afterAutospacing="0"/>
        <w:ind w:left="717"/>
        <w:jc w:val="both"/>
        <w:rPr>
          <w:rFonts w:ascii="Arial" w:hAnsi="Arial" w:cs="Arial"/>
          <w:lang w:val="en-AU"/>
        </w:rPr>
      </w:pPr>
      <w:r>
        <w:rPr>
          <w:rFonts w:ascii="Arial" w:hAnsi="Arial" w:cs="Arial"/>
          <w:lang w:val="en-AU"/>
        </w:rPr>
        <w:t>QCAT Act</w:t>
      </w:r>
    </w:p>
    <w:p w:rsidR="00AD7325" w:rsidRDefault="00AD7325" w:rsidP="00AD7325">
      <w:pPr>
        <w:pStyle w:val="NormalWeb"/>
        <w:tabs>
          <w:tab w:val="left" w:pos="3261"/>
        </w:tabs>
        <w:spacing w:before="120" w:beforeAutospacing="0" w:after="120" w:afterAutospacing="0"/>
        <w:ind w:left="3402" w:hanging="1968"/>
        <w:rPr>
          <w:rFonts w:ascii="Arial" w:hAnsi="Arial" w:cs="Arial"/>
          <w:lang w:val="en-AU"/>
        </w:rPr>
      </w:pPr>
      <w:proofErr w:type="gramStart"/>
      <w:r>
        <w:rPr>
          <w:rFonts w:ascii="Arial" w:hAnsi="Arial" w:cs="Arial"/>
          <w:lang w:val="en-AU"/>
        </w:rPr>
        <w:t>section</w:t>
      </w:r>
      <w:proofErr w:type="gramEnd"/>
      <w:r>
        <w:rPr>
          <w:rFonts w:ascii="Arial" w:hAnsi="Arial" w:cs="Arial"/>
          <w:lang w:val="en-AU"/>
        </w:rPr>
        <w:t xml:space="preserve"> 3(b)</w:t>
      </w:r>
      <w:r>
        <w:rPr>
          <w:rFonts w:ascii="Arial" w:hAnsi="Arial" w:cs="Arial"/>
          <w:lang w:val="en-AU"/>
        </w:rPr>
        <w:tab/>
        <w:t>- Deal with matters in a way that is accessible, fair, just, economical, informal and quick</w:t>
      </w:r>
    </w:p>
    <w:p w:rsidR="00AD7325" w:rsidRDefault="00AD7325" w:rsidP="00AD7325">
      <w:pPr>
        <w:pStyle w:val="NormalWeb"/>
        <w:tabs>
          <w:tab w:val="left" w:pos="3261"/>
        </w:tabs>
        <w:spacing w:before="120" w:beforeAutospacing="0" w:after="120" w:afterAutospacing="0"/>
        <w:ind w:left="3261" w:hanging="1827"/>
        <w:rPr>
          <w:rFonts w:ascii="Arial" w:hAnsi="Arial" w:cs="Arial"/>
          <w:lang w:val="en-AU"/>
        </w:rPr>
      </w:pPr>
      <w:proofErr w:type="gramStart"/>
      <w:r>
        <w:rPr>
          <w:rFonts w:ascii="Arial" w:hAnsi="Arial" w:cs="Arial"/>
          <w:lang w:val="en-AU"/>
        </w:rPr>
        <w:t>section</w:t>
      </w:r>
      <w:proofErr w:type="gramEnd"/>
      <w:r>
        <w:rPr>
          <w:rFonts w:ascii="Arial" w:hAnsi="Arial" w:cs="Arial"/>
          <w:lang w:val="en-AU"/>
        </w:rPr>
        <w:t xml:space="preserve"> 28</w:t>
      </w:r>
      <w:r>
        <w:rPr>
          <w:rFonts w:ascii="Arial" w:hAnsi="Arial" w:cs="Arial"/>
          <w:lang w:val="en-AU"/>
        </w:rPr>
        <w:tab/>
        <w:t>- Conducting proceedings</w:t>
      </w:r>
    </w:p>
    <w:p w:rsidR="00AD7325" w:rsidRDefault="00AD7325" w:rsidP="00AD7325">
      <w:pPr>
        <w:pStyle w:val="NormalWeb"/>
        <w:tabs>
          <w:tab w:val="left" w:pos="3261"/>
        </w:tabs>
        <w:spacing w:before="120" w:beforeAutospacing="0" w:after="120" w:afterAutospacing="0"/>
        <w:ind w:left="3261" w:hanging="1827"/>
        <w:rPr>
          <w:rFonts w:ascii="Arial" w:hAnsi="Arial" w:cs="Arial"/>
          <w:lang w:val="en-AU"/>
        </w:rPr>
      </w:pPr>
      <w:r>
        <w:rPr>
          <w:rFonts w:ascii="Arial" w:hAnsi="Arial" w:cs="Arial"/>
          <w:lang w:val="en-AU"/>
        </w:rPr>
        <w:t>section29</w:t>
      </w:r>
      <w:r>
        <w:rPr>
          <w:rFonts w:ascii="Arial" w:hAnsi="Arial" w:cs="Arial"/>
          <w:lang w:val="en-AU"/>
        </w:rPr>
        <w:tab/>
        <w:t>- Ensuring proper understanding and regard</w:t>
      </w:r>
    </w:p>
    <w:p w:rsidR="00AD7325" w:rsidRDefault="00AD7325" w:rsidP="00AD7325">
      <w:pPr>
        <w:pStyle w:val="NormalWeb"/>
        <w:tabs>
          <w:tab w:val="left" w:pos="3261"/>
        </w:tabs>
        <w:spacing w:before="120" w:beforeAutospacing="0" w:after="120" w:afterAutospacing="0"/>
        <w:ind w:left="3402" w:hanging="1968"/>
        <w:rPr>
          <w:rFonts w:ascii="Arial" w:hAnsi="Arial" w:cs="Arial"/>
          <w:lang w:val="en-AU"/>
        </w:rPr>
      </w:pPr>
      <w:r>
        <w:rPr>
          <w:rFonts w:ascii="Arial" w:hAnsi="Arial" w:cs="Arial"/>
          <w:lang w:val="en-AU"/>
        </w:rPr>
        <w:t>Section 30</w:t>
      </w:r>
      <w:r>
        <w:rPr>
          <w:rFonts w:ascii="Arial" w:hAnsi="Arial" w:cs="Arial"/>
          <w:lang w:val="en-AU"/>
        </w:rPr>
        <w:tab/>
        <w:t>- Principal registrar to help parties and potential parties</w:t>
      </w:r>
    </w:p>
    <w:p w:rsidR="00E95CE8" w:rsidRDefault="00B94EB7" w:rsidP="004F4A3D">
      <w:pPr>
        <w:pStyle w:val="NormalWeb"/>
        <w:numPr>
          <w:ilvl w:val="0"/>
          <w:numId w:val="2"/>
        </w:numPr>
        <w:spacing w:before="240" w:beforeAutospacing="0" w:after="120" w:afterAutospacing="0" w:line="360" w:lineRule="auto"/>
        <w:ind w:left="567" w:hanging="567"/>
        <w:jc w:val="both"/>
        <w:rPr>
          <w:rFonts w:ascii="Arial" w:hAnsi="Arial" w:cs="Arial"/>
          <w:lang w:val="en-AU"/>
        </w:rPr>
      </w:pPr>
      <w:r>
        <w:rPr>
          <w:rFonts w:ascii="Arial" w:hAnsi="Arial" w:cs="Arial"/>
          <w:lang w:val="en-AU"/>
        </w:rPr>
        <w:t>The following comments of the Supreme Court in an appeal from a decision of the ADT, are nonetheless still valid, notwithstanding that QCAT is a court:</w:t>
      </w:r>
      <w:r w:rsidR="0028769D">
        <w:rPr>
          <w:rStyle w:val="FootnoteReference"/>
          <w:rFonts w:ascii="Arial" w:hAnsi="Arial" w:cs="Arial"/>
          <w:lang w:val="en-AU"/>
        </w:rPr>
        <w:footnoteReference w:id="41"/>
      </w:r>
    </w:p>
    <w:p w:rsidR="00B94EB7" w:rsidRDefault="00B94EB7" w:rsidP="00B94EB7">
      <w:pPr>
        <w:pStyle w:val="NormalWeb"/>
        <w:spacing w:before="240" w:beforeAutospacing="0" w:after="120" w:afterAutospacing="0"/>
        <w:ind w:left="1440" w:right="822"/>
        <w:jc w:val="both"/>
        <w:rPr>
          <w:rFonts w:ascii="Arial" w:hAnsi="Arial" w:cs="Arial"/>
          <w:sz w:val="22"/>
          <w:szCs w:val="22"/>
          <w:lang w:val="en-AU"/>
        </w:rPr>
      </w:pPr>
      <w:r>
        <w:rPr>
          <w:rFonts w:ascii="Arial" w:hAnsi="Arial" w:cs="Arial"/>
          <w:sz w:val="22"/>
          <w:szCs w:val="22"/>
          <w:lang w:val="en-AU"/>
        </w:rPr>
        <w:t>Whilst the tribunal is clearly required to comply with the requirements of procedural fairness it is important to remember that the Anti-Discrimination Tribunal is a tribunal which has been set up in a way whereby it is intended to operate differently from a court.  Section 208 clearly is the basis for the way in which the tribunal is to operate and as s208(1)(b) indicates, the tribunal may inform itself on any matter it considers appropriate which means that the tribunal is an inquisitorial tribunal and not a strictly adversarial tribunal.  The authors Bedford and Creyke in an analysis of Australian Tribunals indicated that:</w:t>
      </w:r>
    </w:p>
    <w:p w:rsidR="00B94EB7" w:rsidRPr="00B94EB7" w:rsidRDefault="00B94EB7" w:rsidP="00B94EB7">
      <w:pPr>
        <w:pStyle w:val="NormalWeb"/>
        <w:spacing w:before="240" w:beforeAutospacing="0" w:after="120" w:afterAutospacing="0"/>
        <w:ind w:left="2160" w:right="1387"/>
        <w:jc w:val="both"/>
        <w:rPr>
          <w:rFonts w:ascii="Arial" w:hAnsi="Arial" w:cs="Arial"/>
          <w:sz w:val="20"/>
          <w:szCs w:val="20"/>
          <w:lang w:val="en-AU"/>
        </w:rPr>
      </w:pPr>
      <w:r>
        <w:rPr>
          <w:rFonts w:ascii="Arial" w:hAnsi="Arial" w:cs="Arial"/>
          <w:sz w:val="20"/>
          <w:szCs w:val="20"/>
          <w:lang w:val="en-AU"/>
        </w:rPr>
        <w:t>…courts accustomed to adversarial process may fail, when reviewing their decisions, to appreciate and make due allowance for a different procedural regime imposed on tribunals.  In other words, the courts may impose standards in relation to matters of fact finding, evidence testing, and the level of natural justice which are inappropriate for tribunals required to operate at the inquisitorial end of the procedural spectrum.</w:t>
      </w:r>
    </w:p>
    <w:p w:rsidR="00BF0D30" w:rsidRDefault="00BF0D30" w:rsidP="00BF0D30">
      <w:pPr>
        <w:pStyle w:val="NormalWeb"/>
        <w:numPr>
          <w:ilvl w:val="0"/>
          <w:numId w:val="2"/>
        </w:numPr>
        <w:spacing w:before="240" w:beforeAutospacing="0" w:after="120" w:afterAutospacing="0" w:line="360" w:lineRule="auto"/>
        <w:ind w:left="567" w:hanging="567"/>
        <w:jc w:val="both"/>
        <w:rPr>
          <w:rFonts w:ascii="Arial" w:hAnsi="Arial" w:cs="Arial"/>
          <w:lang w:val="en-AU"/>
        </w:rPr>
      </w:pPr>
      <w:r>
        <w:rPr>
          <w:rFonts w:ascii="Arial" w:hAnsi="Arial" w:cs="Arial"/>
          <w:lang w:val="en-AU"/>
        </w:rPr>
        <w:t xml:space="preserve">It is encouraging to see that in an application for further directions where a self-represented complainant had filed contentions that did not set out why the alleged conduct amounted to unlawful discrimination and identify the sections of </w:t>
      </w:r>
      <w:r>
        <w:rPr>
          <w:rFonts w:ascii="Arial" w:hAnsi="Arial" w:cs="Arial"/>
          <w:lang w:val="en-AU"/>
        </w:rPr>
        <w:lastRenderedPageBreak/>
        <w:t>the AD Act on which he relied, the tribunal refused to make further orders at that stage, and said:</w:t>
      </w:r>
    </w:p>
    <w:p w:rsidR="00BF0D30" w:rsidRDefault="00BF0D30" w:rsidP="00BF0D30">
      <w:pPr>
        <w:pStyle w:val="NormalWeb"/>
        <w:spacing w:before="240" w:beforeAutospacing="0" w:after="120" w:afterAutospacing="0"/>
        <w:ind w:left="1440" w:right="822"/>
        <w:jc w:val="both"/>
        <w:rPr>
          <w:rFonts w:ascii="Arial" w:hAnsi="Arial" w:cs="Arial"/>
          <w:sz w:val="22"/>
          <w:szCs w:val="22"/>
          <w:lang w:val="en-AU"/>
        </w:rPr>
      </w:pPr>
      <w:r>
        <w:rPr>
          <w:rFonts w:ascii="Arial" w:hAnsi="Arial" w:cs="Arial"/>
          <w:sz w:val="22"/>
          <w:szCs w:val="22"/>
          <w:lang w:val="en-AU"/>
        </w:rPr>
        <w:t>As part of the requirement to be accessible, QCAT recognised that at times considerable latitude should be given to unrepresented persons who are unfamiliar with legal matters.</w:t>
      </w:r>
      <w:r>
        <w:rPr>
          <w:rStyle w:val="FootnoteReference"/>
          <w:rFonts w:ascii="Arial" w:hAnsi="Arial" w:cs="Arial"/>
          <w:sz w:val="22"/>
          <w:szCs w:val="22"/>
          <w:lang w:val="en-AU"/>
        </w:rPr>
        <w:footnoteReference w:id="42"/>
      </w:r>
    </w:p>
    <w:p w:rsidR="00BF0D30" w:rsidRPr="00B94A0E" w:rsidRDefault="00B94A0E" w:rsidP="00BF0D30">
      <w:pPr>
        <w:pStyle w:val="NormalWeb"/>
        <w:numPr>
          <w:ilvl w:val="0"/>
          <w:numId w:val="2"/>
        </w:numPr>
        <w:spacing w:before="240" w:beforeAutospacing="0" w:after="120" w:afterAutospacing="0" w:line="360" w:lineRule="auto"/>
        <w:ind w:left="567" w:hanging="567"/>
        <w:jc w:val="both"/>
        <w:rPr>
          <w:rFonts w:ascii="Arial" w:hAnsi="Arial" w:cs="Arial"/>
          <w:lang w:val="en-AU"/>
        </w:rPr>
      </w:pPr>
      <w:r w:rsidRPr="00B94A0E">
        <w:rPr>
          <w:rFonts w:ascii="Arial" w:hAnsi="Arial" w:cs="Arial"/>
          <w:lang w:val="en-AU"/>
        </w:rPr>
        <w:t>The</w:t>
      </w:r>
      <w:r>
        <w:rPr>
          <w:rFonts w:ascii="Arial" w:hAnsi="Arial" w:cs="Arial"/>
          <w:lang w:val="en-AU"/>
        </w:rPr>
        <w:t xml:space="preserve"> two-tiered</w:t>
      </w:r>
      <w:r w:rsidRPr="00B94A0E">
        <w:rPr>
          <w:rFonts w:ascii="Arial" w:hAnsi="Arial" w:cs="Arial"/>
          <w:lang w:val="en-AU"/>
        </w:rPr>
        <w:t xml:space="preserve"> process for seeking remedies for contraventions of the AD Act and whistle-blower reprisal</w:t>
      </w:r>
      <w:r>
        <w:rPr>
          <w:rFonts w:ascii="Arial" w:hAnsi="Arial" w:cs="Arial"/>
          <w:lang w:val="en-AU"/>
        </w:rPr>
        <w:t xml:space="preserve"> is intended to be accessible and informal so that parties are able to represent themselves.  The first stage of the process is the Commission stage which is relatively accessible and user friendly for self-represented parties, with the option of parties utilising legal representation.  The objectives of the tribunal are that it too should be accessible in a way that parties can represent themselves.  It would however be unrealistic not to expect the tribunal stage to be more formal than the Commission stage.  The more formal the process the greater the need for legal representation</w:t>
      </w:r>
      <w:r w:rsidR="006E7264">
        <w:rPr>
          <w:rFonts w:ascii="Arial" w:hAnsi="Arial" w:cs="Arial"/>
          <w:lang w:val="en-AU"/>
        </w:rPr>
        <w:t xml:space="preserve">.  These considerations need to be balanced in light of the objectives of </w:t>
      </w:r>
      <w:r w:rsidR="00DE768F">
        <w:rPr>
          <w:rFonts w:ascii="Arial" w:hAnsi="Arial" w:cs="Arial"/>
          <w:lang w:val="en-AU"/>
        </w:rPr>
        <w:t xml:space="preserve">the </w:t>
      </w:r>
      <w:r w:rsidR="006E7264">
        <w:rPr>
          <w:rFonts w:ascii="Arial" w:hAnsi="Arial" w:cs="Arial"/>
          <w:lang w:val="en-AU"/>
        </w:rPr>
        <w:t xml:space="preserve">jurisdiction </w:t>
      </w:r>
      <w:r w:rsidR="005B6137">
        <w:rPr>
          <w:rFonts w:ascii="Arial" w:hAnsi="Arial" w:cs="Arial"/>
          <w:lang w:val="en-AU"/>
        </w:rPr>
        <w:t xml:space="preserve">to ensure </w:t>
      </w:r>
      <w:r w:rsidR="006E7264">
        <w:rPr>
          <w:rFonts w:ascii="Arial" w:hAnsi="Arial" w:cs="Arial"/>
          <w:lang w:val="en-AU"/>
        </w:rPr>
        <w:t xml:space="preserve">that </w:t>
      </w:r>
      <w:r w:rsidR="005B6137">
        <w:rPr>
          <w:rFonts w:ascii="Arial" w:hAnsi="Arial" w:cs="Arial"/>
          <w:lang w:val="en-AU"/>
        </w:rPr>
        <w:t>access to justice is not compromised.</w:t>
      </w:r>
    </w:p>
    <w:p w:rsidR="0047618D" w:rsidRPr="001113AE" w:rsidRDefault="0047618D" w:rsidP="0047618D">
      <w:pPr>
        <w:pStyle w:val="NormalWeb"/>
        <w:pBdr>
          <w:top w:val="single" w:sz="4" w:space="1" w:color="auto"/>
          <w:left w:val="single" w:sz="4" w:space="4" w:color="auto"/>
          <w:bottom w:val="single" w:sz="4" w:space="1" w:color="auto"/>
          <w:right w:val="single" w:sz="4" w:space="4" w:color="auto"/>
        </w:pBdr>
        <w:spacing w:before="240" w:beforeAutospacing="0" w:after="240" w:afterAutospacing="0" w:line="360" w:lineRule="auto"/>
        <w:jc w:val="both"/>
        <w:rPr>
          <w:rFonts w:ascii="Arial" w:hAnsi="Arial" w:cs="Arial"/>
          <w:color w:val="000000"/>
          <w:lang w:val="en-AU"/>
        </w:rPr>
      </w:pPr>
      <w:r w:rsidRPr="001113AE">
        <w:rPr>
          <w:rFonts w:ascii="Arial" w:hAnsi="Arial" w:cs="Arial"/>
          <w:b/>
          <w:color w:val="000000"/>
          <w:lang w:val="en-AU"/>
        </w:rPr>
        <w:t xml:space="preserve">Recommendation </w:t>
      </w:r>
      <w:r w:rsidR="00852177" w:rsidRPr="001113AE">
        <w:rPr>
          <w:rFonts w:ascii="Arial" w:hAnsi="Arial" w:cs="Arial"/>
          <w:b/>
          <w:color w:val="000000"/>
          <w:lang w:val="en-AU"/>
        </w:rPr>
        <w:t>VI</w:t>
      </w:r>
      <w:r w:rsidR="008043E9">
        <w:rPr>
          <w:rFonts w:ascii="Arial" w:hAnsi="Arial" w:cs="Arial"/>
          <w:b/>
          <w:color w:val="000000"/>
          <w:lang w:val="en-AU"/>
        </w:rPr>
        <w:t>I</w:t>
      </w:r>
      <w:r w:rsidRPr="001113AE">
        <w:rPr>
          <w:rFonts w:ascii="Arial" w:hAnsi="Arial" w:cs="Arial"/>
          <w:color w:val="000000"/>
          <w:lang w:val="en-AU"/>
        </w:rPr>
        <w:t xml:space="preserve">:  </w:t>
      </w:r>
      <w:r w:rsidR="009A47CB">
        <w:rPr>
          <w:rFonts w:ascii="Arial" w:hAnsi="Arial" w:cs="Arial"/>
          <w:color w:val="000000"/>
          <w:lang w:val="en-AU"/>
        </w:rPr>
        <w:t>That if legal representation is to be as of right in the human rights jurisdictions, appropriate measures should to be adopted to ensure equality of access to justice.</w:t>
      </w:r>
    </w:p>
    <w:p w:rsidR="002A0911" w:rsidRPr="001113AE" w:rsidRDefault="00CA1834" w:rsidP="00131FD0">
      <w:pPr>
        <w:pStyle w:val="NormalWeb"/>
        <w:keepNext/>
        <w:spacing w:before="480" w:beforeAutospacing="0" w:after="120" w:afterAutospacing="0" w:line="360" w:lineRule="auto"/>
        <w:jc w:val="both"/>
        <w:rPr>
          <w:rFonts w:ascii="Arial" w:hAnsi="Arial" w:cs="Arial"/>
          <w:b/>
          <w:sz w:val="28"/>
          <w:szCs w:val="28"/>
          <w:lang w:val="en-AU"/>
        </w:rPr>
      </w:pPr>
      <w:r w:rsidRPr="001113AE">
        <w:rPr>
          <w:rFonts w:ascii="Arial" w:hAnsi="Arial" w:cs="Arial"/>
          <w:b/>
          <w:sz w:val="28"/>
          <w:szCs w:val="28"/>
          <w:lang w:val="en-AU"/>
        </w:rPr>
        <w:t>Presidential structure, independence and functions</w:t>
      </w:r>
    </w:p>
    <w:p w:rsidR="00483DF6" w:rsidRDefault="001F1CBB" w:rsidP="00483DF6">
      <w:pPr>
        <w:pStyle w:val="NormalWeb"/>
        <w:numPr>
          <w:ilvl w:val="0"/>
          <w:numId w:val="2"/>
        </w:numPr>
        <w:spacing w:before="240" w:beforeAutospacing="0" w:after="120" w:afterAutospacing="0" w:line="360" w:lineRule="auto"/>
        <w:ind w:left="567" w:hanging="567"/>
        <w:jc w:val="both"/>
        <w:rPr>
          <w:rFonts w:ascii="Arial" w:hAnsi="Arial" w:cs="Arial"/>
          <w:lang w:val="en-AU"/>
        </w:rPr>
      </w:pPr>
      <w:r>
        <w:rPr>
          <w:rFonts w:ascii="Arial" w:hAnsi="Arial" w:cs="Arial"/>
          <w:lang w:val="en-AU"/>
        </w:rPr>
        <w:t xml:space="preserve">The independence of the tribunal is a fundamental and primary objective. </w:t>
      </w:r>
      <w:r w:rsidR="005E5D4D">
        <w:rPr>
          <w:rFonts w:ascii="Arial" w:hAnsi="Arial" w:cs="Arial"/>
          <w:lang w:val="en-AU"/>
        </w:rPr>
        <w:t>Institutional independence and impartiality</w:t>
      </w:r>
      <w:r>
        <w:rPr>
          <w:rFonts w:ascii="Arial" w:hAnsi="Arial" w:cs="Arial"/>
          <w:lang w:val="en-AU"/>
        </w:rPr>
        <w:t xml:space="preserve"> was a </w:t>
      </w:r>
      <w:r w:rsidR="005E5D4D">
        <w:rPr>
          <w:rFonts w:ascii="Arial" w:hAnsi="Arial" w:cs="Arial"/>
          <w:lang w:val="en-AU"/>
        </w:rPr>
        <w:t>necessary</w:t>
      </w:r>
      <w:r>
        <w:rPr>
          <w:rFonts w:ascii="Arial" w:hAnsi="Arial" w:cs="Arial"/>
          <w:lang w:val="en-AU"/>
        </w:rPr>
        <w:t xml:space="preserve"> factor for the Court of Appeal </w:t>
      </w:r>
      <w:r w:rsidR="00BD4949">
        <w:rPr>
          <w:rFonts w:ascii="Arial" w:hAnsi="Arial" w:cs="Arial"/>
          <w:lang w:val="en-AU"/>
        </w:rPr>
        <w:t>in determining</w:t>
      </w:r>
      <w:r>
        <w:rPr>
          <w:rFonts w:ascii="Arial" w:hAnsi="Arial" w:cs="Arial"/>
          <w:lang w:val="en-AU"/>
        </w:rPr>
        <w:t xml:space="preserve"> that the tribunal is a court of the State</w:t>
      </w:r>
      <w:r w:rsidR="005E5D4D">
        <w:rPr>
          <w:rFonts w:ascii="Arial" w:hAnsi="Arial" w:cs="Arial"/>
          <w:lang w:val="en-AU"/>
        </w:rPr>
        <w:t xml:space="preserve"> within the meaning of Chapter III of the </w:t>
      </w:r>
      <w:r w:rsidR="005E5D4D" w:rsidRPr="005E5D4D">
        <w:rPr>
          <w:rFonts w:ascii="Arial" w:hAnsi="Arial" w:cs="Arial"/>
          <w:i/>
          <w:lang w:val="en-AU"/>
        </w:rPr>
        <w:t>Commonwealth</w:t>
      </w:r>
      <w:r w:rsidR="005E5D4D">
        <w:rPr>
          <w:rFonts w:ascii="Arial" w:hAnsi="Arial" w:cs="Arial"/>
          <w:lang w:val="en-AU"/>
        </w:rPr>
        <w:t xml:space="preserve"> </w:t>
      </w:r>
      <w:r w:rsidR="005E5D4D" w:rsidRPr="005E5D4D">
        <w:rPr>
          <w:rFonts w:ascii="Arial" w:hAnsi="Arial" w:cs="Arial"/>
          <w:i/>
          <w:lang w:val="en-AU"/>
        </w:rPr>
        <w:t>Constitution</w:t>
      </w:r>
      <w:r w:rsidR="007A3B90" w:rsidRPr="001113AE">
        <w:rPr>
          <w:rFonts w:ascii="Arial" w:hAnsi="Arial" w:cs="Arial"/>
          <w:lang w:val="en-AU"/>
        </w:rPr>
        <w:t>.</w:t>
      </w:r>
      <w:r w:rsidR="005E5D4D">
        <w:rPr>
          <w:rStyle w:val="FootnoteReference"/>
          <w:rFonts w:ascii="Arial" w:hAnsi="Arial" w:cs="Arial"/>
          <w:lang w:val="en-AU"/>
        </w:rPr>
        <w:footnoteReference w:id="43"/>
      </w:r>
      <w:r w:rsidR="00483DF6" w:rsidRPr="001113AE">
        <w:rPr>
          <w:rFonts w:ascii="Arial" w:hAnsi="Arial" w:cs="Arial"/>
          <w:lang w:val="en-AU"/>
        </w:rPr>
        <w:t xml:space="preserve"> </w:t>
      </w:r>
      <w:r w:rsidR="005E5D4D">
        <w:rPr>
          <w:rFonts w:ascii="Arial" w:hAnsi="Arial" w:cs="Arial"/>
          <w:lang w:val="en-AU"/>
        </w:rPr>
        <w:t xml:space="preserve"> The consequence of this finding is that the tribunal </w:t>
      </w:r>
      <w:r w:rsidR="00E71B47">
        <w:rPr>
          <w:rFonts w:ascii="Arial" w:hAnsi="Arial" w:cs="Arial"/>
          <w:lang w:val="en-AU"/>
        </w:rPr>
        <w:t>is</w:t>
      </w:r>
      <w:r w:rsidR="005E5D4D">
        <w:rPr>
          <w:rFonts w:ascii="Arial" w:hAnsi="Arial" w:cs="Arial"/>
          <w:lang w:val="en-AU"/>
        </w:rPr>
        <w:t xml:space="preserve"> vested </w:t>
      </w:r>
      <w:r w:rsidR="00E71B47">
        <w:rPr>
          <w:rFonts w:ascii="Arial" w:hAnsi="Arial" w:cs="Arial"/>
          <w:lang w:val="en-AU"/>
        </w:rPr>
        <w:t xml:space="preserve">with the </w:t>
      </w:r>
      <w:r w:rsidR="00BD4949">
        <w:rPr>
          <w:rFonts w:ascii="Arial" w:hAnsi="Arial" w:cs="Arial"/>
          <w:lang w:val="en-AU"/>
        </w:rPr>
        <w:t xml:space="preserve">power of the Commonwealth </w:t>
      </w:r>
      <w:r w:rsidR="00A117B4">
        <w:rPr>
          <w:rFonts w:ascii="Arial" w:hAnsi="Arial" w:cs="Arial"/>
          <w:lang w:val="en-AU"/>
        </w:rPr>
        <w:t>by way of</w:t>
      </w:r>
      <w:r w:rsidR="00BD4949">
        <w:rPr>
          <w:rFonts w:ascii="Arial" w:hAnsi="Arial" w:cs="Arial"/>
          <w:lang w:val="en-AU"/>
        </w:rPr>
        <w:t xml:space="preserve"> section 77 of the </w:t>
      </w:r>
      <w:r w:rsidR="00BD4949" w:rsidRPr="00BD4949">
        <w:rPr>
          <w:rFonts w:ascii="Arial" w:hAnsi="Arial" w:cs="Arial"/>
          <w:i/>
          <w:lang w:val="en-AU"/>
        </w:rPr>
        <w:t>Constitution</w:t>
      </w:r>
      <w:r w:rsidR="00BD4949">
        <w:rPr>
          <w:rFonts w:ascii="Arial" w:hAnsi="Arial" w:cs="Arial"/>
          <w:lang w:val="en-AU"/>
        </w:rPr>
        <w:t xml:space="preserve"> </w:t>
      </w:r>
      <w:r w:rsidR="00A117B4">
        <w:rPr>
          <w:rFonts w:ascii="Arial" w:hAnsi="Arial" w:cs="Arial"/>
          <w:lang w:val="en-AU"/>
        </w:rPr>
        <w:t xml:space="preserve">and section 39(2) of the </w:t>
      </w:r>
      <w:r w:rsidR="00A117B4" w:rsidRPr="00A117B4">
        <w:rPr>
          <w:rFonts w:ascii="Arial" w:hAnsi="Arial" w:cs="Arial"/>
          <w:i/>
          <w:lang w:val="en-AU"/>
        </w:rPr>
        <w:t>Judiciary Act 1903</w:t>
      </w:r>
      <w:r w:rsidR="00A117B4">
        <w:rPr>
          <w:rFonts w:ascii="Arial" w:hAnsi="Arial" w:cs="Arial"/>
          <w:lang w:val="en-AU"/>
        </w:rPr>
        <w:t xml:space="preserve"> (Cth), </w:t>
      </w:r>
      <w:r w:rsidR="00BD4949">
        <w:rPr>
          <w:rFonts w:ascii="Arial" w:hAnsi="Arial" w:cs="Arial"/>
          <w:lang w:val="en-AU"/>
        </w:rPr>
        <w:t>and is thus competent to determine matters of constitutional interpretation.</w:t>
      </w:r>
    </w:p>
    <w:p w:rsidR="00BD4949" w:rsidRDefault="00BD4949" w:rsidP="00483DF6">
      <w:pPr>
        <w:pStyle w:val="NormalWeb"/>
        <w:numPr>
          <w:ilvl w:val="0"/>
          <w:numId w:val="2"/>
        </w:numPr>
        <w:spacing w:before="240" w:beforeAutospacing="0" w:after="120" w:afterAutospacing="0" w:line="360" w:lineRule="auto"/>
        <w:ind w:left="567" w:hanging="567"/>
        <w:jc w:val="both"/>
        <w:rPr>
          <w:rFonts w:ascii="Arial" w:hAnsi="Arial" w:cs="Arial"/>
          <w:lang w:val="en-AU"/>
        </w:rPr>
      </w:pPr>
      <w:r>
        <w:rPr>
          <w:rFonts w:ascii="Arial" w:hAnsi="Arial" w:cs="Arial"/>
          <w:lang w:val="en-AU"/>
        </w:rPr>
        <w:lastRenderedPageBreak/>
        <w:t xml:space="preserve">The constitutional issue arose in a complaint of sexuality vilification under section 124A of the AD Act.  The respondent contended that section 124A of the Act was invalid on the basis that if offended the implied freedom of political communication under the </w:t>
      </w:r>
      <w:r w:rsidRPr="00BD4949">
        <w:rPr>
          <w:rFonts w:ascii="Arial" w:hAnsi="Arial" w:cs="Arial"/>
          <w:i/>
          <w:lang w:val="en-AU"/>
        </w:rPr>
        <w:t>Constitution</w:t>
      </w:r>
      <w:r>
        <w:rPr>
          <w:rFonts w:ascii="Arial" w:hAnsi="Arial" w:cs="Arial"/>
          <w:lang w:val="en-AU"/>
        </w:rPr>
        <w:t xml:space="preserve">.  The Court of Appeal determined </w:t>
      </w:r>
      <w:r w:rsidR="003A4B30">
        <w:rPr>
          <w:rFonts w:ascii="Arial" w:hAnsi="Arial" w:cs="Arial"/>
          <w:lang w:val="en-AU"/>
        </w:rPr>
        <w:t xml:space="preserve">upheld that the provision does not offend the implied freedom under the </w:t>
      </w:r>
      <w:r w:rsidR="003A4B30" w:rsidRPr="003A4B30">
        <w:rPr>
          <w:rFonts w:ascii="Arial" w:hAnsi="Arial" w:cs="Arial"/>
          <w:i/>
          <w:lang w:val="en-AU"/>
        </w:rPr>
        <w:t>Constitution</w:t>
      </w:r>
      <w:r w:rsidR="003A4B30">
        <w:rPr>
          <w:rFonts w:ascii="Arial" w:hAnsi="Arial" w:cs="Arial"/>
          <w:lang w:val="en-AU"/>
        </w:rPr>
        <w:t xml:space="preserve"> and upheld the validity of section 124A of the AD Act.  In discussing an alternate construction of Chapter III the President said:</w:t>
      </w:r>
    </w:p>
    <w:p w:rsidR="003A4B30" w:rsidRPr="003A4B30" w:rsidRDefault="003A4B30" w:rsidP="003A4B30">
      <w:pPr>
        <w:pStyle w:val="NormalWeb"/>
        <w:spacing w:before="120" w:beforeAutospacing="0" w:after="120" w:afterAutospacing="0"/>
        <w:ind w:left="1440" w:right="964"/>
        <w:jc w:val="both"/>
        <w:rPr>
          <w:rFonts w:ascii="Arial" w:hAnsi="Arial" w:cs="Arial"/>
          <w:sz w:val="22"/>
          <w:szCs w:val="22"/>
          <w:lang w:val="en-AU"/>
        </w:rPr>
      </w:pPr>
      <w:r>
        <w:rPr>
          <w:rFonts w:ascii="Arial" w:hAnsi="Arial" w:cs="Arial"/>
          <w:sz w:val="22"/>
          <w:szCs w:val="22"/>
          <w:lang w:val="en-AU"/>
        </w:rPr>
        <w:t>In the context of the present case, this would mean that any person the subject of a complaint under s124A could thwart the jurisdiction of QCAT simply by raising a constitutional issue, no matter how unmeritorious.</w:t>
      </w:r>
    </w:p>
    <w:p w:rsidR="003A4B30" w:rsidRPr="003A4B30" w:rsidRDefault="003A4B30" w:rsidP="003A4B30">
      <w:pPr>
        <w:pStyle w:val="NormalWeb"/>
        <w:numPr>
          <w:ilvl w:val="0"/>
          <w:numId w:val="2"/>
        </w:numPr>
        <w:spacing w:before="240" w:beforeAutospacing="0" w:after="120" w:afterAutospacing="0" w:line="360" w:lineRule="auto"/>
        <w:ind w:left="567" w:hanging="567"/>
        <w:jc w:val="both"/>
        <w:rPr>
          <w:rFonts w:ascii="Arial" w:hAnsi="Arial" w:cs="Arial"/>
          <w:lang w:val="en-AU"/>
        </w:rPr>
      </w:pPr>
      <w:r>
        <w:rPr>
          <w:rFonts w:ascii="Arial" w:hAnsi="Arial" w:cs="Arial"/>
          <w:lang w:val="en-AU"/>
        </w:rPr>
        <w:t xml:space="preserve">If the tribunal is to </w:t>
      </w:r>
      <w:r w:rsidR="00082E6D">
        <w:rPr>
          <w:rFonts w:ascii="Arial" w:hAnsi="Arial" w:cs="Arial"/>
          <w:lang w:val="en-AU"/>
        </w:rPr>
        <w:t xml:space="preserve">continue to </w:t>
      </w:r>
      <w:r>
        <w:rPr>
          <w:rFonts w:ascii="Arial" w:hAnsi="Arial" w:cs="Arial"/>
          <w:lang w:val="en-AU"/>
        </w:rPr>
        <w:t>be able to determine constitutional issues that might arise in the future, in any of its jurisdictions, the tribunal must maintain its status as a court of the State.  If the tribunal had to refer constitutional issues to a higher court, the objective of dealing with matters ‘in a way that is accessible, fair, just, economical, informal and quick’</w:t>
      </w:r>
      <w:r>
        <w:rPr>
          <w:rStyle w:val="FootnoteReference"/>
          <w:rFonts w:ascii="Arial" w:hAnsi="Arial" w:cs="Arial"/>
          <w:lang w:val="en-AU"/>
        </w:rPr>
        <w:footnoteReference w:id="44"/>
      </w:r>
      <w:r>
        <w:rPr>
          <w:rFonts w:ascii="Arial" w:hAnsi="Arial" w:cs="Arial"/>
          <w:lang w:val="en-AU"/>
        </w:rPr>
        <w:t xml:space="preserve"> would be somewhat thwarted.</w:t>
      </w:r>
    </w:p>
    <w:p w:rsidR="00903605" w:rsidRDefault="00483DF6" w:rsidP="00483DF6">
      <w:pPr>
        <w:pStyle w:val="NormalWeb"/>
        <w:numPr>
          <w:ilvl w:val="0"/>
          <w:numId w:val="2"/>
        </w:numPr>
        <w:spacing w:before="240" w:beforeAutospacing="0" w:after="120" w:afterAutospacing="0" w:line="360" w:lineRule="auto"/>
        <w:ind w:left="567" w:hanging="567"/>
        <w:jc w:val="both"/>
        <w:rPr>
          <w:rFonts w:ascii="Arial" w:hAnsi="Arial" w:cs="Arial"/>
          <w:lang w:val="en-AU"/>
        </w:rPr>
      </w:pPr>
      <w:r w:rsidRPr="001113AE">
        <w:rPr>
          <w:rFonts w:ascii="Arial" w:hAnsi="Arial" w:cs="Arial"/>
          <w:lang w:val="en-AU"/>
        </w:rPr>
        <w:t xml:space="preserve">The independence of </w:t>
      </w:r>
      <w:r w:rsidR="003A4B30">
        <w:rPr>
          <w:rFonts w:ascii="Arial" w:hAnsi="Arial" w:cs="Arial"/>
          <w:lang w:val="en-AU"/>
        </w:rPr>
        <w:t>the tribunal</w:t>
      </w:r>
      <w:r w:rsidRPr="001113AE">
        <w:rPr>
          <w:rFonts w:ascii="Arial" w:hAnsi="Arial" w:cs="Arial"/>
          <w:lang w:val="en-AU"/>
        </w:rPr>
        <w:t xml:space="preserve"> is </w:t>
      </w:r>
      <w:r w:rsidR="003A4B30">
        <w:rPr>
          <w:rFonts w:ascii="Arial" w:hAnsi="Arial" w:cs="Arial"/>
          <w:lang w:val="en-AU"/>
        </w:rPr>
        <w:t>essential also</w:t>
      </w:r>
      <w:r w:rsidRPr="001113AE">
        <w:rPr>
          <w:rFonts w:ascii="Arial" w:hAnsi="Arial" w:cs="Arial"/>
          <w:lang w:val="en-AU"/>
        </w:rPr>
        <w:t xml:space="preserve"> because the State of Queensland </w:t>
      </w:r>
      <w:r w:rsidR="00EA7674">
        <w:rPr>
          <w:rFonts w:ascii="Arial" w:hAnsi="Arial" w:cs="Arial"/>
          <w:lang w:val="en-AU"/>
        </w:rPr>
        <w:t>is</w:t>
      </w:r>
      <w:r w:rsidRPr="001113AE">
        <w:rPr>
          <w:rFonts w:ascii="Arial" w:hAnsi="Arial" w:cs="Arial"/>
          <w:lang w:val="en-AU"/>
        </w:rPr>
        <w:t xml:space="preserve"> a party </w:t>
      </w:r>
      <w:r w:rsidR="00EA7674">
        <w:rPr>
          <w:rFonts w:ascii="Arial" w:hAnsi="Arial" w:cs="Arial"/>
          <w:lang w:val="en-AU"/>
        </w:rPr>
        <w:t xml:space="preserve">to proceedings </w:t>
      </w:r>
      <w:r w:rsidRPr="001113AE">
        <w:rPr>
          <w:rFonts w:ascii="Arial" w:hAnsi="Arial" w:cs="Arial"/>
          <w:lang w:val="en-AU"/>
        </w:rPr>
        <w:t xml:space="preserve">in a significant number of matters before QCAT, </w:t>
      </w:r>
      <w:r w:rsidR="00EA7674">
        <w:rPr>
          <w:rFonts w:ascii="Arial" w:hAnsi="Arial" w:cs="Arial"/>
          <w:lang w:val="en-AU"/>
        </w:rPr>
        <w:t>particularly</w:t>
      </w:r>
      <w:r w:rsidRPr="001113AE">
        <w:rPr>
          <w:rFonts w:ascii="Arial" w:hAnsi="Arial" w:cs="Arial"/>
          <w:lang w:val="en-AU"/>
        </w:rPr>
        <w:t xml:space="preserve"> in the review and anti-discrimination jurisdictions.</w:t>
      </w:r>
    </w:p>
    <w:p w:rsidR="00EA7674" w:rsidRDefault="00082E6D" w:rsidP="00483DF6">
      <w:pPr>
        <w:pStyle w:val="NormalWeb"/>
        <w:numPr>
          <w:ilvl w:val="0"/>
          <w:numId w:val="2"/>
        </w:numPr>
        <w:spacing w:before="240" w:beforeAutospacing="0" w:after="120" w:afterAutospacing="0" w:line="360" w:lineRule="auto"/>
        <w:ind w:left="567" w:hanging="567"/>
        <w:jc w:val="both"/>
        <w:rPr>
          <w:rFonts w:ascii="Arial" w:hAnsi="Arial" w:cs="Arial"/>
          <w:lang w:val="en-AU"/>
        </w:rPr>
      </w:pPr>
      <w:r>
        <w:rPr>
          <w:rFonts w:ascii="Arial" w:hAnsi="Arial" w:cs="Arial"/>
          <w:lang w:val="en-AU"/>
        </w:rPr>
        <w:t>So how should the tribunal maintain or strengthen its independence and impartiality to remain a court?  The Hon Duncan Kerr S</w:t>
      </w:r>
      <w:r w:rsidR="00E90DAD">
        <w:rPr>
          <w:rFonts w:ascii="Arial" w:hAnsi="Arial" w:cs="Arial"/>
          <w:lang w:val="en-AU"/>
        </w:rPr>
        <w:t xml:space="preserve">C, MP (as His Honour then was) </w:t>
      </w:r>
      <w:r>
        <w:rPr>
          <w:rFonts w:ascii="Arial" w:hAnsi="Arial" w:cs="Arial"/>
          <w:lang w:val="en-AU"/>
        </w:rPr>
        <w:t>drew an analogy between observations of the High Court about framing a definition of judicial power and the framing of a definition of a ‘court’</w:t>
      </w:r>
      <w:r w:rsidR="007423D3">
        <w:rPr>
          <w:rFonts w:ascii="Arial" w:hAnsi="Arial" w:cs="Arial"/>
          <w:lang w:val="en-AU"/>
        </w:rPr>
        <w:t xml:space="preserve"> and cited another High Court decision</w:t>
      </w:r>
      <w:r>
        <w:rPr>
          <w:rFonts w:ascii="Arial" w:hAnsi="Arial" w:cs="Arial"/>
          <w:lang w:val="en-AU"/>
        </w:rPr>
        <w:t>.</w:t>
      </w:r>
      <w:r>
        <w:rPr>
          <w:rStyle w:val="FootnoteReference"/>
          <w:rFonts w:ascii="Arial" w:hAnsi="Arial" w:cs="Arial"/>
          <w:lang w:val="en-AU"/>
        </w:rPr>
        <w:footnoteReference w:id="45"/>
      </w:r>
      <w:r w:rsidR="00E90DAD">
        <w:rPr>
          <w:rFonts w:ascii="Arial" w:hAnsi="Arial" w:cs="Arial"/>
          <w:lang w:val="en-AU"/>
        </w:rPr>
        <w:t xml:space="preserve">  </w:t>
      </w:r>
      <w:r w:rsidR="007423D3">
        <w:rPr>
          <w:rFonts w:ascii="Arial" w:hAnsi="Arial" w:cs="Arial"/>
          <w:lang w:val="en-AU"/>
        </w:rPr>
        <w:t>H</w:t>
      </w:r>
      <w:r w:rsidR="00E90DAD">
        <w:rPr>
          <w:rFonts w:ascii="Arial" w:hAnsi="Arial" w:cs="Arial"/>
          <w:lang w:val="en-AU"/>
        </w:rPr>
        <w:t>e said</w:t>
      </w:r>
      <w:r w:rsidR="007423D3">
        <w:rPr>
          <w:rFonts w:ascii="Arial" w:hAnsi="Arial" w:cs="Arial"/>
          <w:lang w:val="en-AU"/>
        </w:rPr>
        <w:t xml:space="preserve"> (emphasis added and citation removed)</w:t>
      </w:r>
      <w:r w:rsidR="00E90DAD">
        <w:rPr>
          <w:rFonts w:ascii="Arial" w:hAnsi="Arial" w:cs="Arial"/>
          <w:lang w:val="en-AU"/>
        </w:rPr>
        <w:t>:</w:t>
      </w:r>
    </w:p>
    <w:p w:rsidR="00E90DAD" w:rsidRPr="00E90DAD" w:rsidRDefault="00E90DAD" w:rsidP="00E90DAD">
      <w:pPr>
        <w:pStyle w:val="NormalWeb"/>
        <w:spacing w:before="120" w:beforeAutospacing="0" w:after="120" w:afterAutospacing="0"/>
        <w:ind w:left="1440" w:right="964"/>
        <w:jc w:val="both"/>
        <w:rPr>
          <w:rFonts w:ascii="Arial" w:hAnsi="Arial" w:cs="Arial"/>
          <w:sz w:val="22"/>
          <w:szCs w:val="22"/>
          <w:lang w:val="en-AU"/>
        </w:rPr>
      </w:pPr>
      <w:r>
        <w:rPr>
          <w:rFonts w:ascii="Arial" w:hAnsi="Arial" w:cs="Arial"/>
          <w:sz w:val="22"/>
          <w:szCs w:val="22"/>
          <w:lang w:val="en-AU"/>
        </w:rPr>
        <w:t xml:space="preserve">Various negative and positive indicia have emerged but there appears to be broad agreement that there is ‘no identifiable hallmark by which a court…may unerringly be identified.  </w:t>
      </w:r>
      <w:r w:rsidRPr="007423D3">
        <w:rPr>
          <w:rFonts w:ascii="Arial" w:hAnsi="Arial" w:cs="Arial"/>
          <w:b/>
          <w:sz w:val="22"/>
          <w:szCs w:val="22"/>
          <w:lang w:val="en-AU"/>
        </w:rPr>
        <w:t>It is largely a matter of impression</w:t>
      </w:r>
      <w:r>
        <w:rPr>
          <w:rFonts w:ascii="Arial" w:hAnsi="Arial" w:cs="Arial"/>
          <w:sz w:val="22"/>
          <w:szCs w:val="22"/>
          <w:lang w:val="en-AU"/>
        </w:rPr>
        <w:t>’.</w:t>
      </w:r>
    </w:p>
    <w:p w:rsidR="007423D3" w:rsidRDefault="004A35CB" w:rsidP="004F4A3D">
      <w:pPr>
        <w:pStyle w:val="NormalWeb"/>
        <w:numPr>
          <w:ilvl w:val="0"/>
          <w:numId w:val="2"/>
        </w:numPr>
        <w:spacing w:before="240" w:beforeAutospacing="0" w:after="120" w:afterAutospacing="0" w:line="360" w:lineRule="auto"/>
        <w:ind w:left="567" w:hanging="567"/>
        <w:jc w:val="both"/>
        <w:rPr>
          <w:rFonts w:ascii="Arial" w:hAnsi="Arial" w:cs="Arial"/>
          <w:lang w:val="en-AU"/>
        </w:rPr>
      </w:pPr>
      <w:r>
        <w:rPr>
          <w:rFonts w:ascii="Arial" w:hAnsi="Arial" w:cs="Arial"/>
          <w:lang w:val="en-AU"/>
        </w:rPr>
        <w:lastRenderedPageBreak/>
        <w:t>The tribunal needs to have the gravitas and credibility of a court to engender the respect and confidence of the public.  A strong judicial leadership structure is a significant feature and means of achieving respect and confidence.</w:t>
      </w:r>
      <w:r w:rsidR="009477F7">
        <w:rPr>
          <w:rFonts w:ascii="Arial" w:hAnsi="Arial" w:cs="Arial"/>
          <w:lang w:val="en-AU"/>
        </w:rPr>
        <w:t xml:space="preserve">  </w:t>
      </w:r>
      <w:r w:rsidR="00AB5763">
        <w:rPr>
          <w:rFonts w:ascii="Arial" w:hAnsi="Arial" w:cs="Arial"/>
          <w:lang w:val="en-AU"/>
        </w:rPr>
        <w:t>A significant element</w:t>
      </w:r>
      <w:r w:rsidR="009477F7">
        <w:rPr>
          <w:rFonts w:ascii="Arial" w:hAnsi="Arial" w:cs="Arial"/>
          <w:lang w:val="en-AU"/>
        </w:rPr>
        <w:t xml:space="preserve"> too is that the tribun</w:t>
      </w:r>
      <w:r w:rsidR="00AB5763">
        <w:rPr>
          <w:rFonts w:ascii="Arial" w:hAnsi="Arial" w:cs="Arial"/>
          <w:lang w:val="en-AU"/>
        </w:rPr>
        <w:t>al is subject to the supervisory and appellate jurisdictions of the Supreme Court.</w:t>
      </w:r>
      <w:r w:rsidR="00AB5763">
        <w:rPr>
          <w:rStyle w:val="FootnoteReference"/>
          <w:rFonts w:ascii="Arial" w:hAnsi="Arial" w:cs="Arial"/>
          <w:lang w:val="en-AU"/>
        </w:rPr>
        <w:footnoteReference w:id="46"/>
      </w:r>
    </w:p>
    <w:p w:rsidR="00F20BBF" w:rsidRDefault="00F20BBF" w:rsidP="004F4A3D">
      <w:pPr>
        <w:pStyle w:val="NormalWeb"/>
        <w:numPr>
          <w:ilvl w:val="0"/>
          <w:numId w:val="2"/>
        </w:numPr>
        <w:spacing w:before="240" w:beforeAutospacing="0" w:after="120" w:afterAutospacing="0" w:line="360" w:lineRule="auto"/>
        <w:ind w:left="567" w:hanging="567"/>
        <w:jc w:val="both"/>
        <w:rPr>
          <w:rFonts w:ascii="Arial" w:hAnsi="Arial" w:cs="Arial"/>
          <w:lang w:val="en-AU"/>
        </w:rPr>
      </w:pPr>
      <w:r>
        <w:rPr>
          <w:rFonts w:ascii="Arial" w:hAnsi="Arial" w:cs="Arial"/>
          <w:lang w:val="en-AU"/>
        </w:rPr>
        <w:t xml:space="preserve">Members </w:t>
      </w:r>
      <w:r w:rsidR="00663AFC">
        <w:rPr>
          <w:rFonts w:ascii="Arial" w:hAnsi="Arial" w:cs="Arial"/>
          <w:lang w:val="en-AU"/>
        </w:rPr>
        <w:t xml:space="preserve">of the tribunal </w:t>
      </w:r>
      <w:r>
        <w:rPr>
          <w:rFonts w:ascii="Arial" w:hAnsi="Arial" w:cs="Arial"/>
          <w:lang w:val="en-AU"/>
        </w:rPr>
        <w:t xml:space="preserve">need to </w:t>
      </w:r>
      <w:r w:rsidR="00663AFC">
        <w:rPr>
          <w:rFonts w:ascii="Arial" w:hAnsi="Arial" w:cs="Arial"/>
          <w:lang w:val="en-AU"/>
        </w:rPr>
        <w:t>perform adjudicative functions</w:t>
      </w:r>
      <w:r>
        <w:rPr>
          <w:rFonts w:ascii="Arial" w:hAnsi="Arial" w:cs="Arial"/>
          <w:lang w:val="en-AU"/>
        </w:rPr>
        <w:t xml:space="preserve"> </w:t>
      </w:r>
      <w:r w:rsidR="00E154BE">
        <w:rPr>
          <w:rFonts w:ascii="Arial" w:hAnsi="Arial" w:cs="Arial"/>
          <w:lang w:val="en-AU"/>
        </w:rPr>
        <w:t>robustly without fear of interference of the executive.  Although the QCAT Act mandates the independence and impartiality of the tribunal,</w:t>
      </w:r>
      <w:r w:rsidR="00E154BE">
        <w:rPr>
          <w:rStyle w:val="FootnoteReference"/>
          <w:rFonts w:ascii="Arial" w:hAnsi="Arial" w:cs="Arial"/>
          <w:lang w:val="en-AU"/>
        </w:rPr>
        <w:footnoteReference w:id="47"/>
      </w:r>
      <w:r w:rsidR="00E154BE">
        <w:rPr>
          <w:rFonts w:ascii="Arial" w:hAnsi="Arial" w:cs="Arial"/>
          <w:lang w:val="en-AU"/>
        </w:rPr>
        <w:t xml:space="preserve"> members must </w:t>
      </w:r>
      <w:r w:rsidR="00010DFA">
        <w:rPr>
          <w:rFonts w:ascii="Arial" w:hAnsi="Arial" w:cs="Arial"/>
          <w:lang w:val="en-AU"/>
        </w:rPr>
        <w:t xml:space="preserve">act and </w:t>
      </w:r>
      <w:r w:rsidR="00E154BE">
        <w:rPr>
          <w:rFonts w:ascii="Arial" w:hAnsi="Arial" w:cs="Arial"/>
          <w:lang w:val="en-AU"/>
        </w:rPr>
        <w:t>be seen to act in this way.</w:t>
      </w:r>
      <w:r w:rsidR="00010DFA">
        <w:rPr>
          <w:rFonts w:ascii="Arial" w:hAnsi="Arial" w:cs="Arial"/>
          <w:lang w:val="en-AU"/>
        </w:rPr>
        <w:t xml:space="preserve">  Independence in the exercise of judicial functions is best achieved where the person adjudicating is independent</w:t>
      </w:r>
      <w:r w:rsidR="00E41E7F">
        <w:rPr>
          <w:rFonts w:ascii="Arial" w:hAnsi="Arial" w:cs="Arial"/>
          <w:lang w:val="en-AU"/>
        </w:rPr>
        <w:t xml:space="preserve"> of the executive</w:t>
      </w:r>
      <w:r w:rsidR="00010DFA">
        <w:rPr>
          <w:rFonts w:ascii="Arial" w:hAnsi="Arial" w:cs="Arial"/>
          <w:lang w:val="en-AU"/>
        </w:rPr>
        <w:t xml:space="preserve">.  Judges have independence because of their </w:t>
      </w:r>
      <w:r w:rsidR="00010DFA" w:rsidRPr="001113AE">
        <w:rPr>
          <w:rFonts w:ascii="Arial" w:hAnsi="Arial" w:cs="Arial"/>
          <w:lang w:val="en-AU"/>
        </w:rPr>
        <w:t>tenure</w:t>
      </w:r>
      <w:r w:rsidR="00010DFA">
        <w:rPr>
          <w:rFonts w:ascii="Arial" w:hAnsi="Arial" w:cs="Arial"/>
          <w:lang w:val="en-AU"/>
        </w:rPr>
        <w:t>; a</w:t>
      </w:r>
      <w:r w:rsidR="00010DFA" w:rsidRPr="001113AE">
        <w:rPr>
          <w:rFonts w:ascii="Arial" w:hAnsi="Arial" w:cs="Arial"/>
          <w:lang w:val="en-AU"/>
        </w:rPr>
        <w:t xml:space="preserve"> judge holds office indefinitely, subject only to removal for misbehavio</w:t>
      </w:r>
      <w:r w:rsidR="00010DFA">
        <w:rPr>
          <w:rFonts w:ascii="Arial" w:hAnsi="Arial" w:cs="Arial"/>
          <w:lang w:val="en-AU"/>
        </w:rPr>
        <w:t>u</w:t>
      </w:r>
      <w:r w:rsidR="00010DFA" w:rsidRPr="001113AE">
        <w:rPr>
          <w:rFonts w:ascii="Arial" w:hAnsi="Arial" w:cs="Arial"/>
          <w:lang w:val="en-AU"/>
        </w:rPr>
        <w:t>r or incapacity and retirement at age 70.</w:t>
      </w:r>
      <w:r w:rsidR="00010DFA" w:rsidRPr="001113AE">
        <w:rPr>
          <w:rStyle w:val="FootnoteReference"/>
          <w:rFonts w:ascii="Arial" w:hAnsi="Arial" w:cs="Arial"/>
          <w:lang w:val="en-AU"/>
        </w:rPr>
        <w:footnoteReference w:id="48"/>
      </w:r>
      <w:r w:rsidR="00690F07">
        <w:rPr>
          <w:rFonts w:ascii="Arial" w:hAnsi="Arial" w:cs="Arial"/>
          <w:lang w:val="en-AU"/>
        </w:rPr>
        <w:t xml:space="preserve">  The former ADT was comprised wholly of sessional members who were otherwise independent senior lawyers.</w:t>
      </w:r>
    </w:p>
    <w:p w:rsidR="00690F07" w:rsidRDefault="00663AFC" w:rsidP="004F4A3D">
      <w:pPr>
        <w:pStyle w:val="NormalWeb"/>
        <w:numPr>
          <w:ilvl w:val="0"/>
          <w:numId w:val="2"/>
        </w:numPr>
        <w:spacing w:before="240" w:beforeAutospacing="0" w:after="120" w:afterAutospacing="0" w:line="360" w:lineRule="auto"/>
        <w:ind w:left="567" w:hanging="567"/>
        <w:jc w:val="both"/>
        <w:rPr>
          <w:rFonts w:ascii="Arial" w:hAnsi="Arial" w:cs="Arial"/>
          <w:lang w:val="en-AU"/>
        </w:rPr>
      </w:pPr>
      <w:r>
        <w:rPr>
          <w:rFonts w:ascii="Arial" w:hAnsi="Arial" w:cs="Arial"/>
          <w:lang w:val="en-AU"/>
        </w:rPr>
        <w:t>The purpose and objectives of having a tribunal would be defeated if all of the judicial junctions were to be performed by judges.  Likewise there would be significant operational impediments if all of the members of the tribunal were sessional members.  There needs to be a balance in the composition of the tribunal between judicial, sessional and full time membership for fixed terms.</w:t>
      </w:r>
    </w:p>
    <w:p w:rsidR="00E23DC7" w:rsidRPr="001113AE" w:rsidRDefault="00047D5A" w:rsidP="004F4A3D">
      <w:pPr>
        <w:pStyle w:val="NormalWeb"/>
        <w:numPr>
          <w:ilvl w:val="0"/>
          <w:numId w:val="2"/>
        </w:numPr>
        <w:spacing w:before="240" w:beforeAutospacing="0" w:after="120" w:afterAutospacing="0" w:line="360" w:lineRule="auto"/>
        <w:ind w:left="567" w:hanging="567"/>
        <w:jc w:val="both"/>
        <w:rPr>
          <w:rFonts w:ascii="Arial" w:hAnsi="Arial" w:cs="Arial"/>
          <w:lang w:val="en-AU"/>
        </w:rPr>
      </w:pPr>
      <w:r w:rsidRPr="001113AE">
        <w:rPr>
          <w:rFonts w:ascii="Arial" w:hAnsi="Arial" w:cs="Arial"/>
          <w:lang w:val="en-AU"/>
        </w:rPr>
        <w:t>The objects of the QCAT Act include establishing an independent tribunal.  The Explanatory Note to the Bill states:</w:t>
      </w:r>
    </w:p>
    <w:p w:rsidR="00047D5A" w:rsidRPr="001113AE" w:rsidRDefault="00047D5A" w:rsidP="00047D5A">
      <w:pPr>
        <w:pStyle w:val="NormalWeb"/>
        <w:spacing w:before="240" w:beforeAutospacing="0" w:after="120" w:afterAutospacing="0"/>
        <w:ind w:left="1077" w:right="680"/>
        <w:jc w:val="both"/>
        <w:rPr>
          <w:rFonts w:ascii="Arial" w:hAnsi="Arial" w:cs="Arial"/>
          <w:sz w:val="22"/>
          <w:szCs w:val="22"/>
          <w:lang w:val="en-AU"/>
        </w:rPr>
      </w:pPr>
      <w:r w:rsidRPr="001113AE">
        <w:rPr>
          <w:rFonts w:ascii="Arial" w:hAnsi="Arial" w:cs="Arial"/>
          <w:sz w:val="22"/>
          <w:szCs w:val="22"/>
          <w:lang w:val="en-AU"/>
        </w:rPr>
        <w:t>The independence of QCAT will be achieved by providing for the appointment of a Supreme Court judge as president of the tribunal and by providing that the tribunal is not subject to direction of control by the executive.</w:t>
      </w:r>
      <w:r w:rsidRPr="001113AE">
        <w:rPr>
          <w:rStyle w:val="FootnoteReference"/>
          <w:rFonts w:ascii="Arial" w:hAnsi="Arial" w:cs="Arial"/>
          <w:sz w:val="22"/>
          <w:szCs w:val="22"/>
          <w:lang w:val="en-AU"/>
        </w:rPr>
        <w:footnoteReference w:id="49"/>
      </w:r>
    </w:p>
    <w:p w:rsidR="00483DF6" w:rsidRPr="001113AE" w:rsidRDefault="004C4B30" w:rsidP="004F4A3D">
      <w:pPr>
        <w:pStyle w:val="NormalWeb"/>
        <w:numPr>
          <w:ilvl w:val="0"/>
          <w:numId w:val="2"/>
        </w:numPr>
        <w:spacing w:before="240" w:beforeAutospacing="0" w:after="120" w:afterAutospacing="0" w:line="360" w:lineRule="auto"/>
        <w:ind w:left="567" w:hanging="567"/>
        <w:jc w:val="both"/>
        <w:rPr>
          <w:rFonts w:ascii="Arial" w:hAnsi="Arial" w:cs="Arial"/>
          <w:lang w:val="en-AU"/>
        </w:rPr>
      </w:pPr>
      <w:r>
        <w:rPr>
          <w:rFonts w:ascii="Arial" w:hAnsi="Arial" w:cs="Arial"/>
          <w:lang w:val="en-AU"/>
        </w:rPr>
        <w:lastRenderedPageBreak/>
        <w:t>In the interests of the independence and gravitas of the tribunal, the Commission recommends retaining the judicial leadership structure and appeals processes.</w:t>
      </w:r>
    </w:p>
    <w:p w:rsidR="0047618D" w:rsidRPr="001113AE" w:rsidRDefault="0047618D" w:rsidP="0047618D">
      <w:pPr>
        <w:pStyle w:val="NormalWeb"/>
        <w:pBdr>
          <w:top w:val="single" w:sz="4" w:space="1" w:color="auto"/>
          <w:left w:val="single" w:sz="4" w:space="4" w:color="auto"/>
          <w:bottom w:val="single" w:sz="4" w:space="1" w:color="auto"/>
          <w:right w:val="single" w:sz="4" w:space="4" w:color="auto"/>
        </w:pBdr>
        <w:spacing w:before="240" w:beforeAutospacing="0" w:after="240" w:afterAutospacing="0" w:line="360" w:lineRule="auto"/>
        <w:jc w:val="both"/>
        <w:rPr>
          <w:rFonts w:ascii="Arial" w:hAnsi="Arial" w:cs="Arial"/>
          <w:color w:val="000000"/>
          <w:lang w:val="en-AU"/>
        </w:rPr>
      </w:pPr>
      <w:r w:rsidRPr="001113AE">
        <w:rPr>
          <w:rFonts w:ascii="Arial" w:hAnsi="Arial" w:cs="Arial"/>
          <w:b/>
          <w:color w:val="000000"/>
          <w:lang w:val="en-AU"/>
        </w:rPr>
        <w:t xml:space="preserve">Recommendation </w:t>
      </w:r>
      <w:r w:rsidR="0014059B">
        <w:rPr>
          <w:rFonts w:ascii="Arial" w:hAnsi="Arial" w:cs="Arial"/>
          <w:b/>
          <w:color w:val="000000"/>
          <w:lang w:val="en-AU"/>
        </w:rPr>
        <w:t>VII</w:t>
      </w:r>
      <w:r w:rsidR="008043E9">
        <w:rPr>
          <w:rFonts w:ascii="Arial" w:hAnsi="Arial" w:cs="Arial"/>
          <w:b/>
          <w:color w:val="000000"/>
          <w:lang w:val="en-AU"/>
        </w:rPr>
        <w:t>I</w:t>
      </w:r>
      <w:r w:rsidRPr="001113AE">
        <w:rPr>
          <w:rFonts w:ascii="Arial" w:hAnsi="Arial" w:cs="Arial"/>
          <w:color w:val="000000"/>
          <w:lang w:val="en-AU"/>
        </w:rPr>
        <w:t xml:space="preserve">:  </w:t>
      </w:r>
      <w:r w:rsidR="004C4B30">
        <w:rPr>
          <w:rFonts w:ascii="Arial" w:hAnsi="Arial" w:cs="Arial"/>
          <w:color w:val="000000"/>
          <w:lang w:val="en-AU"/>
        </w:rPr>
        <w:t>That the judicial lead</w:t>
      </w:r>
      <w:r w:rsidR="00A916EF">
        <w:rPr>
          <w:rFonts w:ascii="Arial" w:hAnsi="Arial" w:cs="Arial"/>
          <w:color w:val="000000"/>
          <w:lang w:val="en-AU"/>
        </w:rPr>
        <w:t>ership structure of QCAT be re</w:t>
      </w:r>
      <w:r w:rsidR="004C4B30">
        <w:rPr>
          <w:rFonts w:ascii="Arial" w:hAnsi="Arial" w:cs="Arial"/>
          <w:color w:val="000000"/>
          <w:lang w:val="en-AU"/>
        </w:rPr>
        <w:t>tained.</w:t>
      </w:r>
    </w:p>
    <w:p w:rsidR="009B1170" w:rsidRPr="001113AE" w:rsidRDefault="00CA1834" w:rsidP="00131FD0">
      <w:pPr>
        <w:pStyle w:val="NormalWeb"/>
        <w:keepNext/>
        <w:spacing w:before="480" w:beforeAutospacing="0" w:after="120" w:afterAutospacing="0" w:line="360" w:lineRule="auto"/>
        <w:jc w:val="both"/>
        <w:rPr>
          <w:rFonts w:ascii="Arial" w:hAnsi="Arial" w:cs="Arial"/>
          <w:b/>
          <w:sz w:val="28"/>
          <w:szCs w:val="28"/>
          <w:lang w:val="en-AU"/>
        </w:rPr>
      </w:pPr>
      <w:r w:rsidRPr="001113AE">
        <w:rPr>
          <w:rFonts w:ascii="Arial" w:hAnsi="Arial" w:cs="Arial"/>
          <w:b/>
          <w:sz w:val="28"/>
          <w:szCs w:val="28"/>
          <w:lang w:val="en-AU"/>
        </w:rPr>
        <w:t>Appeals</w:t>
      </w:r>
    </w:p>
    <w:p w:rsidR="00770494" w:rsidRDefault="00770494" w:rsidP="009B1170">
      <w:pPr>
        <w:pStyle w:val="NormalWeb"/>
        <w:numPr>
          <w:ilvl w:val="0"/>
          <w:numId w:val="2"/>
        </w:numPr>
        <w:spacing w:before="240" w:beforeAutospacing="0" w:after="240" w:afterAutospacing="0" w:line="360" w:lineRule="auto"/>
        <w:ind w:left="567" w:hanging="567"/>
        <w:jc w:val="both"/>
        <w:rPr>
          <w:rFonts w:ascii="Arial" w:hAnsi="Arial" w:cs="Arial"/>
          <w:lang w:val="en-AU"/>
        </w:rPr>
      </w:pPr>
      <w:r>
        <w:rPr>
          <w:rFonts w:ascii="Arial" w:hAnsi="Arial" w:cs="Arial"/>
          <w:lang w:val="en-AU"/>
        </w:rPr>
        <w:t xml:space="preserve">In the Commission’s experience, the system of both internal and external appeals has worked well.  </w:t>
      </w:r>
    </w:p>
    <w:p w:rsidR="00373402" w:rsidRDefault="00297F2A" w:rsidP="009B1170">
      <w:pPr>
        <w:pStyle w:val="NormalWeb"/>
        <w:numPr>
          <w:ilvl w:val="0"/>
          <w:numId w:val="2"/>
        </w:numPr>
        <w:spacing w:before="240" w:beforeAutospacing="0" w:after="240" w:afterAutospacing="0" w:line="360" w:lineRule="auto"/>
        <w:ind w:left="567" w:hanging="567"/>
        <w:jc w:val="both"/>
        <w:rPr>
          <w:rFonts w:ascii="Arial" w:hAnsi="Arial" w:cs="Arial"/>
          <w:lang w:val="en-AU"/>
        </w:rPr>
      </w:pPr>
      <w:r>
        <w:rPr>
          <w:rFonts w:ascii="Arial" w:hAnsi="Arial" w:cs="Arial"/>
          <w:lang w:val="en-AU"/>
        </w:rPr>
        <w:t xml:space="preserve">In matters under the AD Act </w:t>
      </w:r>
      <w:r w:rsidR="00770494">
        <w:rPr>
          <w:rFonts w:ascii="Arial" w:hAnsi="Arial" w:cs="Arial"/>
          <w:lang w:val="en-AU"/>
        </w:rPr>
        <w:t xml:space="preserve">here have been </w:t>
      </w:r>
      <w:r>
        <w:rPr>
          <w:rFonts w:ascii="Arial" w:hAnsi="Arial" w:cs="Arial"/>
          <w:lang w:val="en-AU"/>
        </w:rPr>
        <w:t xml:space="preserve">both </w:t>
      </w:r>
      <w:r w:rsidR="00770494">
        <w:rPr>
          <w:rFonts w:ascii="Arial" w:hAnsi="Arial" w:cs="Arial"/>
          <w:lang w:val="en-AU"/>
        </w:rPr>
        <w:t xml:space="preserve">internal </w:t>
      </w:r>
      <w:r w:rsidR="00B3710A">
        <w:rPr>
          <w:rFonts w:ascii="Arial" w:hAnsi="Arial" w:cs="Arial"/>
          <w:lang w:val="en-AU"/>
        </w:rPr>
        <w:t xml:space="preserve">and </w:t>
      </w:r>
      <w:r w:rsidR="00373402">
        <w:rPr>
          <w:rFonts w:ascii="Arial" w:hAnsi="Arial" w:cs="Arial"/>
          <w:lang w:val="en-AU"/>
        </w:rPr>
        <w:t>external appeals across 4</w:t>
      </w:r>
      <w:r w:rsidR="00770494">
        <w:rPr>
          <w:rFonts w:ascii="Arial" w:hAnsi="Arial" w:cs="Arial"/>
          <w:lang w:val="en-AU"/>
        </w:rPr>
        <w:t xml:space="preserve"> types of decisions: </w:t>
      </w:r>
    </w:p>
    <w:p w:rsidR="009B1170" w:rsidRDefault="00770494" w:rsidP="00373402">
      <w:pPr>
        <w:pStyle w:val="NormalWeb"/>
        <w:numPr>
          <w:ilvl w:val="1"/>
          <w:numId w:val="2"/>
        </w:numPr>
        <w:spacing w:before="240" w:beforeAutospacing="0" w:after="240" w:afterAutospacing="0" w:line="360" w:lineRule="auto"/>
        <w:ind w:left="1701" w:hanging="621"/>
        <w:jc w:val="both"/>
        <w:rPr>
          <w:rFonts w:ascii="Arial" w:hAnsi="Arial" w:cs="Arial"/>
          <w:lang w:val="en-AU"/>
        </w:rPr>
      </w:pPr>
      <w:r>
        <w:rPr>
          <w:rFonts w:ascii="Arial" w:hAnsi="Arial" w:cs="Arial"/>
          <w:lang w:val="en-AU"/>
        </w:rPr>
        <w:t>applications for legal representatio</w:t>
      </w:r>
      <w:r w:rsidR="00373402">
        <w:rPr>
          <w:rFonts w:ascii="Arial" w:hAnsi="Arial" w:cs="Arial"/>
          <w:lang w:val="en-AU"/>
        </w:rPr>
        <w:t xml:space="preserve">n - </w:t>
      </w:r>
      <w:r>
        <w:rPr>
          <w:rFonts w:ascii="Arial" w:hAnsi="Arial" w:cs="Arial"/>
          <w:lang w:val="en-AU"/>
        </w:rPr>
        <w:t xml:space="preserve">4 appeals against decisions declining </w:t>
      </w:r>
      <w:r w:rsidR="00B3710A">
        <w:rPr>
          <w:rFonts w:ascii="Arial" w:hAnsi="Arial" w:cs="Arial"/>
          <w:lang w:val="en-AU"/>
        </w:rPr>
        <w:t>leave to be legally represented.  O</w:t>
      </w:r>
      <w:r>
        <w:rPr>
          <w:rFonts w:ascii="Arial" w:hAnsi="Arial" w:cs="Arial"/>
          <w:lang w:val="en-AU"/>
        </w:rPr>
        <w:t xml:space="preserve">f those 2 were successful, leave to appeal </w:t>
      </w:r>
      <w:r w:rsidR="00B3710A">
        <w:rPr>
          <w:rFonts w:ascii="Arial" w:hAnsi="Arial" w:cs="Arial"/>
          <w:lang w:val="en-AU"/>
        </w:rPr>
        <w:t xml:space="preserve">was </w:t>
      </w:r>
      <w:r>
        <w:rPr>
          <w:rFonts w:ascii="Arial" w:hAnsi="Arial" w:cs="Arial"/>
          <w:lang w:val="en-AU"/>
        </w:rPr>
        <w:t>not granted in 1, a</w:t>
      </w:r>
      <w:r w:rsidR="00373402">
        <w:rPr>
          <w:rFonts w:ascii="Arial" w:hAnsi="Arial" w:cs="Arial"/>
          <w:lang w:val="en-AU"/>
        </w:rPr>
        <w:t xml:space="preserve">nd the appeal </w:t>
      </w:r>
      <w:r w:rsidR="00B3710A">
        <w:rPr>
          <w:rFonts w:ascii="Arial" w:hAnsi="Arial" w:cs="Arial"/>
          <w:lang w:val="en-AU"/>
        </w:rPr>
        <w:t xml:space="preserve">was </w:t>
      </w:r>
      <w:r w:rsidR="00373402">
        <w:rPr>
          <w:rFonts w:ascii="Arial" w:hAnsi="Arial" w:cs="Arial"/>
          <w:lang w:val="en-AU"/>
        </w:rPr>
        <w:t>unsuccessful in 1;</w:t>
      </w:r>
    </w:p>
    <w:p w:rsidR="00373402" w:rsidRDefault="00373402" w:rsidP="00373402">
      <w:pPr>
        <w:pStyle w:val="NormalWeb"/>
        <w:numPr>
          <w:ilvl w:val="1"/>
          <w:numId w:val="2"/>
        </w:numPr>
        <w:spacing w:before="240" w:beforeAutospacing="0" w:after="240" w:afterAutospacing="0" w:line="360" w:lineRule="auto"/>
        <w:ind w:left="1701" w:hanging="621"/>
        <w:jc w:val="both"/>
        <w:rPr>
          <w:rFonts w:ascii="Arial" w:hAnsi="Arial" w:cs="Arial"/>
          <w:lang w:val="en-AU"/>
        </w:rPr>
      </w:pPr>
      <w:r>
        <w:rPr>
          <w:rFonts w:ascii="Arial" w:hAnsi="Arial" w:cs="Arial"/>
          <w:lang w:val="en-AU"/>
        </w:rPr>
        <w:t>decisions</w:t>
      </w:r>
      <w:r w:rsidR="00297F2A">
        <w:rPr>
          <w:rFonts w:ascii="Arial" w:hAnsi="Arial" w:cs="Arial"/>
          <w:lang w:val="en-AU"/>
        </w:rPr>
        <w:t xml:space="preserve"> on the substantive complaint</w:t>
      </w:r>
      <w:r>
        <w:rPr>
          <w:rFonts w:ascii="Arial" w:hAnsi="Arial" w:cs="Arial"/>
          <w:lang w:val="en-AU"/>
        </w:rPr>
        <w:t xml:space="preserve"> – 3 appeals, 1 yet to be decided by the appeal tribunal and 1 further appeal to the Court of Appeal, yet to be decided.</w:t>
      </w:r>
    </w:p>
    <w:p w:rsidR="00373402" w:rsidRDefault="00373402" w:rsidP="00373402">
      <w:pPr>
        <w:pStyle w:val="NormalWeb"/>
        <w:numPr>
          <w:ilvl w:val="1"/>
          <w:numId w:val="2"/>
        </w:numPr>
        <w:spacing w:before="240" w:beforeAutospacing="0" w:after="240" w:afterAutospacing="0" w:line="360" w:lineRule="auto"/>
        <w:ind w:left="1701" w:hanging="621"/>
        <w:jc w:val="both"/>
        <w:rPr>
          <w:rFonts w:ascii="Arial" w:hAnsi="Arial" w:cs="Arial"/>
          <w:lang w:val="en-AU"/>
        </w:rPr>
      </w:pPr>
      <w:r>
        <w:rPr>
          <w:rFonts w:ascii="Arial" w:hAnsi="Arial" w:cs="Arial"/>
          <w:lang w:val="en-AU"/>
        </w:rPr>
        <w:t>costs decisions –</w:t>
      </w:r>
      <w:r w:rsidR="00297F2A">
        <w:rPr>
          <w:rFonts w:ascii="Arial" w:hAnsi="Arial" w:cs="Arial"/>
          <w:lang w:val="en-AU"/>
        </w:rPr>
        <w:t xml:space="preserve"> 1 appeal, unsuccessful;</w:t>
      </w:r>
    </w:p>
    <w:p w:rsidR="00297F2A" w:rsidRPr="001113AE" w:rsidRDefault="00297F2A" w:rsidP="00373402">
      <w:pPr>
        <w:pStyle w:val="NormalWeb"/>
        <w:numPr>
          <w:ilvl w:val="1"/>
          <w:numId w:val="2"/>
        </w:numPr>
        <w:spacing w:before="240" w:beforeAutospacing="0" w:after="240" w:afterAutospacing="0" w:line="360" w:lineRule="auto"/>
        <w:ind w:left="1701" w:hanging="621"/>
        <w:jc w:val="both"/>
        <w:rPr>
          <w:rFonts w:ascii="Arial" w:hAnsi="Arial" w:cs="Arial"/>
          <w:lang w:val="en-AU"/>
        </w:rPr>
      </w:pPr>
      <w:r>
        <w:rPr>
          <w:rFonts w:ascii="Arial" w:hAnsi="Arial" w:cs="Arial"/>
          <w:lang w:val="en-AU"/>
        </w:rPr>
        <w:t>application for order protecting interests before referral of complaint (section 144 of the AD Act) – 1 appeal, successful, then further appeal to Court of Appeal, unsuccessful.</w:t>
      </w:r>
    </w:p>
    <w:p w:rsidR="009B1170" w:rsidRPr="001113AE" w:rsidRDefault="00DA569B" w:rsidP="004F4A3D">
      <w:pPr>
        <w:pStyle w:val="NormalWeb"/>
        <w:numPr>
          <w:ilvl w:val="0"/>
          <w:numId w:val="2"/>
        </w:numPr>
        <w:spacing w:before="240" w:beforeAutospacing="0" w:after="120" w:afterAutospacing="0" w:line="360" w:lineRule="auto"/>
        <w:ind w:left="567" w:hanging="567"/>
        <w:jc w:val="both"/>
        <w:rPr>
          <w:rFonts w:ascii="Arial" w:hAnsi="Arial" w:cs="Arial"/>
          <w:lang w:val="en-AU"/>
        </w:rPr>
      </w:pPr>
      <w:r>
        <w:rPr>
          <w:rFonts w:ascii="Arial" w:hAnsi="Arial" w:cs="Arial"/>
          <w:lang w:val="en-AU"/>
        </w:rPr>
        <w:t xml:space="preserve">The Commission considers the internal appeals mechanisms should be retained, as the reasons of the </w:t>
      </w:r>
      <w:r w:rsidR="00E43F11">
        <w:rPr>
          <w:rFonts w:ascii="Arial" w:hAnsi="Arial" w:cs="Arial"/>
          <w:lang w:val="en-AU"/>
        </w:rPr>
        <w:t xml:space="preserve">Independent </w:t>
      </w:r>
      <w:r>
        <w:rPr>
          <w:rFonts w:ascii="Arial" w:hAnsi="Arial" w:cs="Arial"/>
          <w:lang w:val="en-AU"/>
        </w:rPr>
        <w:t xml:space="preserve">Panel of Experts </w:t>
      </w:r>
      <w:r w:rsidR="00DB0426">
        <w:rPr>
          <w:rFonts w:ascii="Arial" w:hAnsi="Arial" w:cs="Arial"/>
          <w:lang w:val="en-AU"/>
        </w:rPr>
        <w:t>for</w:t>
      </w:r>
      <w:r>
        <w:rPr>
          <w:rFonts w:ascii="Arial" w:hAnsi="Arial" w:cs="Arial"/>
          <w:lang w:val="en-AU"/>
        </w:rPr>
        <w:t xml:space="preserve"> recommending an internal appeals mechanism </w:t>
      </w:r>
      <w:r w:rsidR="00E43F11">
        <w:rPr>
          <w:rFonts w:ascii="Arial" w:hAnsi="Arial" w:cs="Arial"/>
          <w:lang w:val="en-AU"/>
        </w:rPr>
        <w:t>remain valid.</w:t>
      </w:r>
      <w:r w:rsidR="00E43F11">
        <w:rPr>
          <w:rStyle w:val="FootnoteReference"/>
          <w:rFonts w:ascii="Arial" w:hAnsi="Arial" w:cs="Arial"/>
          <w:lang w:val="en-AU"/>
        </w:rPr>
        <w:footnoteReference w:id="50"/>
      </w:r>
    </w:p>
    <w:p w:rsidR="00E8521D" w:rsidRPr="001113AE" w:rsidRDefault="0047618D" w:rsidP="00526F4E">
      <w:pPr>
        <w:pStyle w:val="NormalWeb"/>
        <w:pBdr>
          <w:top w:val="single" w:sz="4" w:space="1" w:color="auto"/>
          <w:left w:val="single" w:sz="4" w:space="4" w:color="auto"/>
          <w:bottom w:val="single" w:sz="4" w:space="1" w:color="auto"/>
          <w:right w:val="single" w:sz="4" w:space="4" w:color="auto"/>
        </w:pBdr>
        <w:spacing w:before="240" w:beforeAutospacing="0" w:after="240" w:afterAutospacing="0" w:line="360" w:lineRule="auto"/>
        <w:jc w:val="both"/>
        <w:rPr>
          <w:rFonts w:ascii="Arial" w:hAnsi="Arial" w:cs="Arial"/>
          <w:color w:val="000000"/>
          <w:lang w:val="en-AU"/>
        </w:rPr>
      </w:pPr>
      <w:r w:rsidRPr="001113AE">
        <w:rPr>
          <w:rFonts w:ascii="Arial" w:hAnsi="Arial" w:cs="Arial"/>
          <w:b/>
          <w:color w:val="000000"/>
          <w:lang w:val="en-AU"/>
        </w:rPr>
        <w:lastRenderedPageBreak/>
        <w:t xml:space="preserve">Recommendation </w:t>
      </w:r>
      <w:r w:rsidR="008043E9">
        <w:rPr>
          <w:rFonts w:ascii="Arial" w:hAnsi="Arial" w:cs="Arial"/>
          <w:b/>
          <w:color w:val="000000"/>
          <w:lang w:val="en-AU"/>
        </w:rPr>
        <w:t>IX</w:t>
      </w:r>
      <w:r w:rsidR="009B1170" w:rsidRPr="001113AE">
        <w:rPr>
          <w:rFonts w:ascii="Arial" w:hAnsi="Arial" w:cs="Arial"/>
          <w:color w:val="000000"/>
          <w:lang w:val="en-AU"/>
        </w:rPr>
        <w:t xml:space="preserve">:  </w:t>
      </w:r>
      <w:r w:rsidR="00A916EF">
        <w:rPr>
          <w:rFonts w:ascii="Arial" w:hAnsi="Arial" w:cs="Arial"/>
          <w:color w:val="000000"/>
          <w:lang w:val="en-AU"/>
        </w:rPr>
        <w:t>That the internal appeals mechanism be retained.</w:t>
      </w:r>
    </w:p>
    <w:p w:rsidR="00037503" w:rsidRPr="00E614C3" w:rsidRDefault="00E614C3" w:rsidP="00E614C3">
      <w:pPr>
        <w:pStyle w:val="NormalWeb"/>
        <w:keepNext/>
        <w:spacing w:before="480" w:beforeAutospacing="0" w:after="120" w:afterAutospacing="0" w:line="360" w:lineRule="auto"/>
        <w:jc w:val="both"/>
        <w:rPr>
          <w:rFonts w:ascii="Arial" w:hAnsi="Arial" w:cs="Arial"/>
          <w:b/>
          <w:sz w:val="28"/>
          <w:szCs w:val="28"/>
          <w:lang w:val="en-AU"/>
        </w:rPr>
      </w:pPr>
      <w:r w:rsidRPr="00E614C3">
        <w:rPr>
          <w:rFonts w:ascii="Arial" w:hAnsi="Arial" w:cs="Arial"/>
          <w:b/>
          <w:sz w:val="28"/>
          <w:szCs w:val="28"/>
          <w:lang w:val="en-AU"/>
        </w:rPr>
        <w:t>Concluding remarks</w:t>
      </w:r>
    </w:p>
    <w:p w:rsidR="00B3710A" w:rsidRDefault="00E614C3" w:rsidP="00E614C3">
      <w:pPr>
        <w:pStyle w:val="NormalWeb"/>
        <w:numPr>
          <w:ilvl w:val="0"/>
          <w:numId w:val="2"/>
        </w:numPr>
        <w:spacing w:before="240" w:beforeAutospacing="0" w:after="120" w:afterAutospacing="0" w:line="360" w:lineRule="auto"/>
        <w:ind w:left="567" w:hanging="567"/>
        <w:jc w:val="both"/>
        <w:rPr>
          <w:rFonts w:ascii="Arial" w:hAnsi="Arial" w:cs="Arial"/>
          <w:lang w:val="en-AU"/>
        </w:rPr>
      </w:pPr>
      <w:r>
        <w:rPr>
          <w:rFonts w:ascii="Arial" w:hAnsi="Arial" w:cs="Arial"/>
          <w:lang w:val="en-AU"/>
        </w:rPr>
        <w:t xml:space="preserve">The Commission thanks the Department for the opportunity to make this submission into the review of the </w:t>
      </w:r>
      <w:r>
        <w:rPr>
          <w:rFonts w:ascii="Arial" w:hAnsi="Arial" w:cs="Arial"/>
          <w:i/>
          <w:lang w:val="en-AU"/>
        </w:rPr>
        <w:t>Queensland Civil and Administrative Tribunal Act 2009.</w:t>
      </w:r>
    </w:p>
    <w:p w:rsidR="00E614C3" w:rsidRDefault="00E614C3" w:rsidP="00E614C3">
      <w:pPr>
        <w:pStyle w:val="NormalWeb"/>
        <w:numPr>
          <w:ilvl w:val="0"/>
          <w:numId w:val="2"/>
        </w:numPr>
        <w:spacing w:before="240" w:beforeAutospacing="0" w:after="120" w:afterAutospacing="0" w:line="360" w:lineRule="auto"/>
        <w:ind w:left="567" w:hanging="567"/>
        <w:jc w:val="both"/>
        <w:rPr>
          <w:rFonts w:ascii="Arial" w:hAnsi="Arial" w:cs="Arial"/>
          <w:lang w:val="en-AU"/>
        </w:rPr>
      </w:pPr>
      <w:r>
        <w:rPr>
          <w:rFonts w:ascii="Arial" w:hAnsi="Arial" w:cs="Arial"/>
          <w:lang w:val="en-AU"/>
        </w:rPr>
        <w:t xml:space="preserve">Under the respective Acts that create them, the Anti-Discrimination Commission and QCAT are separate entities, and each performs their functions independently of the other.  </w:t>
      </w:r>
      <w:r w:rsidR="00A451D7">
        <w:rPr>
          <w:rFonts w:ascii="Arial" w:hAnsi="Arial" w:cs="Arial"/>
          <w:lang w:val="en-AU"/>
        </w:rPr>
        <w:t xml:space="preserve">Since QCAT commenced the Commission and QCAT have attempted to institute regular meetings between senior officers/members to discuss issues of interest or concern, and to problem solve through communication and dialogue.  This is </w:t>
      </w:r>
      <w:r w:rsidR="00DC4F52">
        <w:rPr>
          <w:rFonts w:ascii="Arial" w:hAnsi="Arial" w:cs="Arial"/>
          <w:lang w:val="en-AU"/>
        </w:rPr>
        <w:t>necessary</w:t>
      </w:r>
      <w:r>
        <w:rPr>
          <w:rFonts w:ascii="Arial" w:hAnsi="Arial" w:cs="Arial"/>
          <w:lang w:val="en-AU"/>
        </w:rPr>
        <w:t xml:space="preserve"> in order to ensure that the administration of the complaint handling process under the </w:t>
      </w:r>
      <w:r>
        <w:rPr>
          <w:rFonts w:ascii="Arial" w:hAnsi="Arial" w:cs="Arial"/>
          <w:i/>
          <w:lang w:val="en-AU"/>
        </w:rPr>
        <w:t xml:space="preserve">Anti-Discrimination Act 1991 </w:t>
      </w:r>
      <w:r>
        <w:rPr>
          <w:rFonts w:ascii="Arial" w:hAnsi="Arial" w:cs="Arial"/>
          <w:lang w:val="en-AU"/>
        </w:rPr>
        <w:t>is an efficient, comprehensive and coherent service to the parties involved in complaints, and to ensure that the objects of the AD Act and the QCAT Act are being realised for the benefit of the Queensland public</w:t>
      </w:r>
      <w:r w:rsidR="00A451D7">
        <w:rPr>
          <w:rFonts w:ascii="Arial" w:hAnsi="Arial" w:cs="Arial"/>
          <w:lang w:val="en-AU"/>
        </w:rPr>
        <w:t xml:space="preserve">.  </w:t>
      </w:r>
    </w:p>
    <w:p w:rsidR="00E614C3" w:rsidRDefault="00E614C3" w:rsidP="00E614C3">
      <w:pPr>
        <w:pStyle w:val="NormalWeb"/>
        <w:numPr>
          <w:ilvl w:val="0"/>
          <w:numId w:val="2"/>
        </w:numPr>
        <w:spacing w:before="240" w:beforeAutospacing="0" w:after="120" w:afterAutospacing="0" w:line="360" w:lineRule="auto"/>
        <w:ind w:left="567" w:hanging="567"/>
        <w:jc w:val="both"/>
        <w:rPr>
          <w:rFonts w:ascii="Arial" w:hAnsi="Arial" w:cs="Arial"/>
          <w:lang w:val="en-AU"/>
        </w:rPr>
      </w:pPr>
      <w:r>
        <w:rPr>
          <w:rFonts w:ascii="Arial" w:hAnsi="Arial" w:cs="Arial"/>
          <w:lang w:val="en-AU"/>
        </w:rPr>
        <w:t>While the Queensland Civil and Administrative Tribunal has been in existence and functioning for just over 3 years, it is the experience of the Commission that this communication can be an effective and efficient way of attempting to resolve administrative and other issues that may be of concern to either entity.  The Commission is keen to continue regular dialogue with QCAT into the future, and thanks the President Justice Wilson, the former Deputy President Judge Kingham, and Senior Member Endicott for their willingness to engage with the Commission to date.</w:t>
      </w:r>
    </w:p>
    <w:p w:rsidR="00E614C3" w:rsidRDefault="00E614C3" w:rsidP="00037503">
      <w:pPr>
        <w:pStyle w:val="NormalWeb"/>
        <w:spacing w:before="240" w:beforeAutospacing="0" w:after="120" w:afterAutospacing="0" w:line="360" w:lineRule="auto"/>
        <w:jc w:val="both"/>
        <w:rPr>
          <w:rFonts w:ascii="Arial" w:hAnsi="Arial" w:cs="Arial"/>
          <w:lang w:val="en-AU"/>
        </w:rPr>
      </w:pPr>
    </w:p>
    <w:p w:rsidR="00E614C3" w:rsidRPr="001113AE" w:rsidRDefault="00E614C3" w:rsidP="00037503">
      <w:pPr>
        <w:pStyle w:val="NormalWeb"/>
        <w:spacing w:before="240" w:beforeAutospacing="0" w:after="120" w:afterAutospacing="0" w:line="360" w:lineRule="auto"/>
        <w:jc w:val="both"/>
        <w:rPr>
          <w:rFonts w:ascii="Arial" w:hAnsi="Arial" w:cs="Arial"/>
          <w:lang w:val="en-AU"/>
        </w:rPr>
        <w:sectPr w:rsidR="00E614C3" w:rsidRPr="001113AE" w:rsidSect="009A405B">
          <w:headerReference w:type="even" r:id="rId9"/>
          <w:headerReference w:type="default" r:id="rId10"/>
          <w:footerReference w:type="even" r:id="rId11"/>
          <w:footerReference w:type="default" r:id="rId12"/>
          <w:headerReference w:type="first" r:id="rId13"/>
          <w:footerReference w:type="first" r:id="rId14"/>
          <w:pgSz w:w="11906" w:h="16838" w:code="9"/>
          <w:pgMar w:top="1701" w:right="1276" w:bottom="1474" w:left="1588" w:header="709" w:footer="709" w:gutter="0"/>
          <w:cols w:space="708"/>
          <w:titlePg/>
          <w:docGrid w:linePitch="360"/>
        </w:sectPr>
      </w:pPr>
    </w:p>
    <w:p w:rsidR="00037503" w:rsidRDefault="00037503" w:rsidP="00185644">
      <w:pPr>
        <w:pStyle w:val="NormalWeb"/>
        <w:spacing w:before="240" w:beforeAutospacing="0" w:after="240" w:afterAutospacing="0"/>
        <w:jc w:val="both"/>
        <w:rPr>
          <w:rFonts w:ascii="Arial" w:hAnsi="Arial" w:cs="Arial"/>
          <w:b/>
          <w:i/>
          <w:sz w:val="28"/>
          <w:szCs w:val="28"/>
          <w:lang w:val="en-AU"/>
        </w:rPr>
      </w:pPr>
      <w:r w:rsidRPr="001113AE">
        <w:rPr>
          <w:rFonts w:ascii="Arial" w:hAnsi="Arial" w:cs="Arial"/>
          <w:b/>
          <w:sz w:val="28"/>
          <w:szCs w:val="28"/>
          <w:lang w:val="en-AU"/>
        </w:rPr>
        <w:t xml:space="preserve">Specialist </w:t>
      </w:r>
      <w:r w:rsidR="007F777E" w:rsidRPr="001113AE">
        <w:rPr>
          <w:rFonts w:ascii="Arial" w:hAnsi="Arial" w:cs="Arial"/>
          <w:b/>
          <w:sz w:val="28"/>
          <w:szCs w:val="28"/>
          <w:lang w:val="en-AU"/>
        </w:rPr>
        <w:t xml:space="preserve">powers and </w:t>
      </w:r>
      <w:r w:rsidRPr="001113AE">
        <w:rPr>
          <w:rFonts w:ascii="Arial" w:hAnsi="Arial" w:cs="Arial"/>
          <w:b/>
          <w:sz w:val="28"/>
          <w:szCs w:val="28"/>
          <w:lang w:val="en-AU"/>
        </w:rPr>
        <w:t xml:space="preserve">procedures for matters under the </w:t>
      </w:r>
      <w:r w:rsidRPr="001113AE">
        <w:rPr>
          <w:rFonts w:ascii="Arial" w:hAnsi="Arial" w:cs="Arial"/>
          <w:b/>
          <w:i/>
          <w:sz w:val="28"/>
          <w:szCs w:val="28"/>
          <w:lang w:val="en-AU"/>
        </w:rPr>
        <w:t>Anti-Discrimination Act 1991</w:t>
      </w:r>
    </w:p>
    <w:p w:rsidR="006E3B6B" w:rsidRPr="001113AE" w:rsidRDefault="006E3B6B" w:rsidP="00185644">
      <w:pPr>
        <w:pStyle w:val="NormalWeb"/>
        <w:spacing w:before="240" w:beforeAutospacing="0" w:after="240" w:afterAutospacing="0"/>
        <w:jc w:val="both"/>
        <w:rPr>
          <w:rFonts w:ascii="Arial" w:hAnsi="Arial" w:cs="Arial"/>
          <w:b/>
          <w:sz w:val="28"/>
          <w:szCs w:val="28"/>
          <w:lang w:val="en-AU"/>
        </w:rPr>
      </w:pPr>
      <w:r w:rsidRPr="001113AE">
        <w:rPr>
          <w:rFonts w:ascii="Arial" w:hAnsi="Arial" w:cs="Arial"/>
          <w:b/>
          <w:i/>
          <w:lang w:val="en-AU"/>
        </w:rPr>
        <w:t>Anti-Discrimination Act 1991</w:t>
      </w:r>
    </w:p>
    <w:tbl>
      <w:tblPr>
        <w:tblStyle w:val="TableGrid"/>
        <w:tblW w:w="0" w:type="auto"/>
        <w:tblLook w:val="04A0" w:firstRow="1" w:lastRow="0" w:firstColumn="1" w:lastColumn="0" w:noHBand="0" w:noVBand="1"/>
        <w:tblCaption w:val="List of Sections and descriptions under Anti-Discrimination Act"/>
      </w:tblPr>
      <w:tblGrid>
        <w:gridCol w:w="1554"/>
        <w:gridCol w:w="7704"/>
      </w:tblGrid>
      <w:tr w:rsidR="00037503" w:rsidRPr="001113AE" w:rsidTr="006E3B6B">
        <w:trPr>
          <w:tblHeader/>
        </w:trPr>
        <w:tc>
          <w:tcPr>
            <w:tcW w:w="1554" w:type="dxa"/>
          </w:tcPr>
          <w:p w:rsidR="00037503" w:rsidRPr="001113AE" w:rsidRDefault="00037503" w:rsidP="006E3B6B">
            <w:pPr>
              <w:pStyle w:val="NormalWeb"/>
              <w:spacing w:before="120" w:beforeAutospacing="0" w:after="120" w:afterAutospacing="0"/>
              <w:jc w:val="both"/>
              <w:rPr>
                <w:rFonts w:ascii="Arial" w:hAnsi="Arial" w:cs="Arial"/>
                <w:b/>
                <w:sz w:val="22"/>
                <w:szCs w:val="22"/>
                <w:lang w:val="en-AU"/>
              </w:rPr>
            </w:pPr>
            <w:r w:rsidRPr="001113AE">
              <w:rPr>
                <w:rFonts w:ascii="Arial" w:hAnsi="Arial" w:cs="Arial"/>
                <w:b/>
                <w:sz w:val="22"/>
                <w:szCs w:val="22"/>
                <w:lang w:val="en-AU"/>
              </w:rPr>
              <w:t>Section</w:t>
            </w:r>
          </w:p>
        </w:tc>
        <w:tc>
          <w:tcPr>
            <w:tcW w:w="7704" w:type="dxa"/>
          </w:tcPr>
          <w:p w:rsidR="00037503" w:rsidRPr="001113AE" w:rsidRDefault="00037503" w:rsidP="006E3B6B">
            <w:pPr>
              <w:pStyle w:val="NormalWeb"/>
              <w:spacing w:before="120" w:beforeAutospacing="0" w:after="120" w:afterAutospacing="0"/>
              <w:jc w:val="both"/>
              <w:rPr>
                <w:rFonts w:ascii="Arial" w:hAnsi="Arial" w:cs="Arial"/>
                <w:b/>
                <w:sz w:val="22"/>
                <w:szCs w:val="22"/>
                <w:lang w:val="en-AU"/>
              </w:rPr>
            </w:pPr>
            <w:r w:rsidRPr="001113AE">
              <w:rPr>
                <w:rFonts w:ascii="Arial" w:hAnsi="Arial" w:cs="Arial"/>
                <w:b/>
                <w:sz w:val="22"/>
                <w:szCs w:val="22"/>
                <w:lang w:val="en-AU"/>
              </w:rPr>
              <w:t>Description</w:t>
            </w:r>
          </w:p>
        </w:tc>
      </w:tr>
      <w:tr w:rsidR="00037503" w:rsidRPr="001113AE" w:rsidTr="007F777E">
        <w:tc>
          <w:tcPr>
            <w:tcW w:w="1554" w:type="dxa"/>
          </w:tcPr>
          <w:p w:rsidR="00037503" w:rsidRPr="001113AE" w:rsidRDefault="007F777E"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113</w:t>
            </w:r>
          </w:p>
        </w:tc>
        <w:tc>
          <w:tcPr>
            <w:tcW w:w="7704" w:type="dxa"/>
          </w:tcPr>
          <w:p w:rsidR="00037503" w:rsidRPr="001113AE" w:rsidRDefault="007F777E"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Application for exemption</w:t>
            </w:r>
          </w:p>
        </w:tc>
      </w:tr>
      <w:tr w:rsidR="00037503" w:rsidRPr="001113AE" w:rsidTr="007F777E">
        <w:tc>
          <w:tcPr>
            <w:tcW w:w="1554" w:type="dxa"/>
          </w:tcPr>
          <w:p w:rsidR="00037503" w:rsidRPr="001113AE" w:rsidRDefault="007F777E"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113A</w:t>
            </w:r>
          </w:p>
        </w:tc>
        <w:tc>
          <w:tcPr>
            <w:tcW w:w="7704" w:type="dxa"/>
          </w:tcPr>
          <w:p w:rsidR="00037503" w:rsidRPr="001113AE" w:rsidRDefault="007F777E"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Appeal from decision on exemption application</w:t>
            </w:r>
          </w:p>
        </w:tc>
      </w:tr>
      <w:tr w:rsidR="007F777E" w:rsidRPr="001113AE" w:rsidTr="007F777E">
        <w:tc>
          <w:tcPr>
            <w:tcW w:w="1554" w:type="dxa"/>
          </w:tcPr>
          <w:p w:rsidR="007F777E" w:rsidRPr="001113AE" w:rsidRDefault="007F777E"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144</w:t>
            </w:r>
          </w:p>
        </w:tc>
        <w:tc>
          <w:tcPr>
            <w:tcW w:w="7704" w:type="dxa"/>
          </w:tcPr>
          <w:p w:rsidR="007F777E" w:rsidRPr="001113AE" w:rsidRDefault="007F777E"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Applications for orders protecting a complainant’s interests before referral to the tribunal</w:t>
            </w:r>
          </w:p>
        </w:tc>
      </w:tr>
      <w:tr w:rsidR="007F777E" w:rsidRPr="001113AE" w:rsidTr="007F777E">
        <w:tc>
          <w:tcPr>
            <w:tcW w:w="1554" w:type="dxa"/>
          </w:tcPr>
          <w:p w:rsidR="007F777E" w:rsidRPr="001113AE" w:rsidRDefault="007F777E"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174A</w:t>
            </w:r>
          </w:p>
        </w:tc>
        <w:tc>
          <w:tcPr>
            <w:tcW w:w="7704" w:type="dxa"/>
          </w:tcPr>
          <w:p w:rsidR="007F777E" w:rsidRPr="001113AE" w:rsidRDefault="007F777E"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Tribunal’s functions</w:t>
            </w:r>
          </w:p>
        </w:tc>
      </w:tr>
      <w:tr w:rsidR="007F777E" w:rsidRPr="001113AE" w:rsidTr="007F777E">
        <w:tc>
          <w:tcPr>
            <w:tcW w:w="1554" w:type="dxa"/>
          </w:tcPr>
          <w:p w:rsidR="007F777E" w:rsidRPr="001113AE" w:rsidRDefault="007F777E"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175</w:t>
            </w:r>
          </w:p>
        </w:tc>
        <w:tc>
          <w:tcPr>
            <w:tcW w:w="7704" w:type="dxa"/>
          </w:tcPr>
          <w:p w:rsidR="007F777E" w:rsidRPr="001113AE" w:rsidRDefault="007F777E"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Time limit on referred complaints</w:t>
            </w:r>
          </w:p>
        </w:tc>
      </w:tr>
      <w:tr w:rsidR="007F777E" w:rsidRPr="001113AE" w:rsidTr="007F777E">
        <w:tc>
          <w:tcPr>
            <w:tcW w:w="1554" w:type="dxa"/>
          </w:tcPr>
          <w:p w:rsidR="007F777E" w:rsidRPr="001113AE" w:rsidRDefault="007F777E"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176</w:t>
            </w:r>
          </w:p>
        </w:tc>
        <w:tc>
          <w:tcPr>
            <w:tcW w:w="7704" w:type="dxa"/>
          </w:tcPr>
          <w:p w:rsidR="007F777E" w:rsidRPr="001113AE" w:rsidRDefault="007F777E"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Constitution of tribunal</w:t>
            </w:r>
          </w:p>
        </w:tc>
      </w:tr>
      <w:tr w:rsidR="007F777E" w:rsidRPr="001113AE" w:rsidTr="007F777E">
        <w:tc>
          <w:tcPr>
            <w:tcW w:w="1554" w:type="dxa"/>
          </w:tcPr>
          <w:p w:rsidR="007F777E" w:rsidRPr="001113AE" w:rsidRDefault="007F777E"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177</w:t>
            </w:r>
          </w:p>
        </w:tc>
        <w:tc>
          <w:tcPr>
            <w:tcW w:w="7704" w:type="dxa"/>
          </w:tcPr>
          <w:p w:rsidR="007F777E" w:rsidRPr="001113AE" w:rsidRDefault="007F777E"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Tribunal may join a person as a party</w:t>
            </w:r>
          </w:p>
        </w:tc>
      </w:tr>
      <w:tr w:rsidR="007F777E" w:rsidRPr="001113AE" w:rsidTr="007F777E">
        <w:tc>
          <w:tcPr>
            <w:tcW w:w="1554" w:type="dxa"/>
          </w:tcPr>
          <w:p w:rsidR="007F777E" w:rsidRPr="001113AE" w:rsidRDefault="007F777E"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178</w:t>
            </w:r>
          </w:p>
        </w:tc>
        <w:tc>
          <w:tcPr>
            <w:tcW w:w="7704" w:type="dxa"/>
          </w:tcPr>
          <w:p w:rsidR="007F777E" w:rsidRPr="001113AE" w:rsidRDefault="007F777E"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Complaints may be amended</w:t>
            </w:r>
          </w:p>
        </w:tc>
      </w:tr>
      <w:tr w:rsidR="007F777E" w:rsidRPr="001113AE" w:rsidTr="007F777E">
        <w:tc>
          <w:tcPr>
            <w:tcW w:w="1554" w:type="dxa"/>
          </w:tcPr>
          <w:p w:rsidR="007F777E" w:rsidRPr="001113AE" w:rsidRDefault="007F777E"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185</w:t>
            </w:r>
          </w:p>
        </w:tc>
        <w:tc>
          <w:tcPr>
            <w:tcW w:w="7704" w:type="dxa"/>
          </w:tcPr>
          <w:p w:rsidR="007F777E" w:rsidRPr="001113AE" w:rsidRDefault="007F777E"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Solicitor or counsel assisting the tribunal</w:t>
            </w:r>
          </w:p>
        </w:tc>
      </w:tr>
      <w:tr w:rsidR="007F777E" w:rsidRPr="001113AE" w:rsidTr="007F777E">
        <w:tc>
          <w:tcPr>
            <w:tcW w:w="1554" w:type="dxa"/>
          </w:tcPr>
          <w:p w:rsidR="007F777E" w:rsidRPr="001113AE" w:rsidRDefault="007F777E"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186</w:t>
            </w:r>
          </w:p>
        </w:tc>
        <w:tc>
          <w:tcPr>
            <w:tcW w:w="7704" w:type="dxa"/>
          </w:tcPr>
          <w:p w:rsidR="007F777E" w:rsidRPr="001113AE" w:rsidRDefault="007F777E"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Officer assisting the tribunal</w:t>
            </w:r>
          </w:p>
        </w:tc>
      </w:tr>
      <w:tr w:rsidR="007F777E" w:rsidRPr="001113AE" w:rsidTr="007F777E">
        <w:tc>
          <w:tcPr>
            <w:tcW w:w="1554" w:type="dxa"/>
          </w:tcPr>
          <w:p w:rsidR="007F777E" w:rsidRPr="001113AE" w:rsidRDefault="007F777E"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189</w:t>
            </w:r>
          </w:p>
        </w:tc>
        <w:tc>
          <w:tcPr>
            <w:tcW w:w="7704" w:type="dxa"/>
          </w:tcPr>
          <w:p w:rsidR="007F777E" w:rsidRPr="001113AE" w:rsidRDefault="007F777E"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Resolution before tribunal order</w:t>
            </w:r>
          </w:p>
        </w:tc>
      </w:tr>
      <w:tr w:rsidR="007F777E" w:rsidRPr="001113AE" w:rsidTr="007F777E">
        <w:tc>
          <w:tcPr>
            <w:tcW w:w="1554" w:type="dxa"/>
          </w:tcPr>
          <w:p w:rsidR="007F777E" w:rsidRPr="001113AE" w:rsidRDefault="007F777E"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191</w:t>
            </w:r>
          </w:p>
        </w:tc>
        <w:tc>
          <w:tcPr>
            <w:tcW w:w="7704" w:type="dxa"/>
          </w:tcPr>
          <w:p w:rsidR="007F777E" w:rsidRPr="001113AE" w:rsidRDefault="007F777E"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Anonymity</w:t>
            </w:r>
          </w:p>
        </w:tc>
      </w:tr>
      <w:tr w:rsidR="007F777E" w:rsidRPr="001113AE" w:rsidTr="007F777E">
        <w:tc>
          <w:tcPr>
            <w:tcW w:w="1554" w:type="dxa"/>
          </w:tcPr>
          <w:p w:rsidR="007F777E" w:rsidRPr="001113AE" w:rsidRDefault="007F777E"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193</w:t>
            </w:r>
          </w:p>
        </w:tc>
        <w:tc>
          <w:tcPr>
            <w:tcW w:w="7704" w:type="dxa"/>
          </w:tcPr>
          <w:p w:rsidR="007F777E" w:rsidRPr="001113AE" w:rsidRDefault="007F777E"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Complainant may withdraw complaint</w:t>
            </w:r>
          </w:p>
        </w:tc>
      </w:tr>
      <w:tr w:rsidR="007F777E" w:rsidRPr="001113AE" w:rsidTr="007F777E">
        <w:tc>
          <w:tcPr>
            <w:tcW w:w="1554" w:type="dxa"/>
          </w:tcPr>
          <w:p w:rsidR="007F777E" w:rsidRPr="001113AE" w:rsidRDefault="007F777E"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194-200</w:t>
            </w:r>
          </w:p>
        </w:tc>
        <w:tc>
          <w:tcPr>
            <w:tcW w:w="7704" w:type="dxa"/>
          </w:tcPr>
          <w:p w:rsidR="007F777E" w:rsidRPr="001113AE" w:rsidRDefault="007F777E"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Representative complaints</w:t>
            </w:r>
          </w:p>
        </w:tc>
      </w:tr>
      <w:tr w:rsidR="007F777E" w:rsidRPr="001113AE" w:rsidTr="007F777E">
        <w:tc>
          <w:tcPr>
            <w:tcW w:w="1554" w:type="dxa"/>
          </w:tcPr>
          <w:p w:rsidR="007F777E" w:rsidRPr="001113AE" w:rsidRDefault="007F777E"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204</w:t>
            </w:r>
          </w:p>
        </w:tc>
        <w:tc>
          <w:tcPr>
            <w:tcW w:w="7704" w:type="dxa"/>
          </w:tcPr>
          <w:p w:rsidR="007F777E" w:rsidRPr="001113AE" w:rsidRDefault="007F777E"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Burden of proof – general principle</w:t>
            </w:r>
          </w:p>
        </w:tc>
      </w:tr>
      <w:tr w:rsidR="007F777E" w:rsidRPr="001113AE" w:rsidTr="007F777E">
        <w:tc>
          <w:tcPr>
            <w:tcW w:w="1554" w:type="dxa"/>
          </w:tcPr>
          <w:p w:rsidR="007F777E" w:rsidRPr="001113AE" w:rsidRDefault="007F777E"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205</w:t>
            </w:r>
          </w:p>
        </w:tc>
        <w:tc>
          <w:tcPr>
            <w:tcW w:w="7704" w:type="dxa"/>
          </w:tcPr>
          <w:p w:rsidR="007F777E" w:rsidRPr="001113AE" w:rsidRDefault="007F777E"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Burden of proof – indirect discrimination</w:t>
            </w:r>
          </w:p>
        </w:tc>
      </w:tr>
      <w:tr w:rsidR="007F777E" w:rsidRPr="001113AE" w:rsidTr="007F777E">
        <w:tc>
          <w:tcPr>
            <w:tcW w:w="1554" w:type="dxa"/>
          </w:tcPr>
          <w:p w:rsidR="007F777E" w:rsidRPr="001113AE" w:rsidRDefault="007F777E"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206</w:t>
            </w:r>
          </w:p>
        </w:tc>
        <w:tc>
          <w:tcPr>
            <w:tcW w:w="7704" w:type="dxa"/>
          </w:tcPr>
          <w:p w:rsidR="007F777E" w:rsidRPr="001113AE" w:rsidRDefault="007F777E"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Burden of proof – exemptions</w:t>
            </w:r>
          </w:p>
        </w:tc>
      </w:tr>
      <w:tr w:rsidR="007F777E" w:rsidRPr="001113AE" w:rsidTr="007F777E">
        <w:tc>
          <w:tcPr>
            <w:tcW w:w="1554" w:type="dxa"/>
          </w:tcPr>
          <w:p w:rsidR="007F777E" w:rsidRPr="001113AE" w:rsidRDefault="007F777E"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207</w:t>
            </w:r>
          </w:p>
        </w:tc>
        <w:tc>
          <w:tcPr>
            <w:tcW w:w="7704" w:type="dxa"/>
          </w:tcPr>
          <w:p w:rsidR="007F777E" w:rsidRPr="001113AE" w:rsidRDefault="007F777E"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Commissioner may provide investigation reports</w:t>
            </w:r>
          </w:p>
        </w:tc>
      </w:tr>
      <w:tr w:rsidR="007F777E" w:rsidRPr="001113AE" w:rsidTr="007F777E">
        <w:tc>
          <w:tcPr>
            <w:tcW w:w="1554" w:type="dxa"/>
          </w:tcPr>
          <w:p w:rsidR="007F777E" w:rsidRPr="001113AE" w:rsidRDefault="007F777E"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208</w:t>
            </w:r>
          </w:p>
        </w:tc>
        <w:tc>
          <w:tcPr>
            <w:tcW w:w="7704" w:type="dxa"/>
          </w:tcPr>
          <w:p w:rsidR="007F777E" w:rsidRPr="001113AE" w:rsidRDefault="007F777E"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Evaluation of evidence</w:t>
            </w:r>
          </w:p>
        </w:tc>
      </w:tr>
      <w:tr w:rsidR="007F777E" w:rsidRPr="001113AE" w:rsidTr="007F777E">
        <w:tc>
          <w:tcPr>
            <w:tcW w:w="1554" w:type="dxa"/>
          </w:tcPr>
          <w:p w:rsidR="007F777E" w:rsidRPr="001113AE" w:rsidRDefault="007676DC"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209</w:t>
            </w:r>
          </w:p>
        </w:tc>
        <w:tc>
          <w:tcPr>
            <w:tcW w:w="7704" w:type="dxa"/>
          </w:tcPr>
          <w:p w:rsidR="007F777E" w:rsidRPr="001113AE" w:rsidRDefault="007676DC"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Orders the tribunal may make if complaint is proven</w:t>
            </w:r>
          </w:p>
        </w:tc>
      </w:tr>
      <w:tr w:rsidR="007676DC" w:rsidRPr="001113AE" w:rsidTr="007F777E">
        <w:tc>
          <w:tcPr>
            <w:tcW w:w="1554" w:type="dxa"/>
          </w:tcPr>
          <w:p w:rsidR="007676DC" w:rsidRPr="001113AE" w:rsidRDefault="007676DC"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210</w:t>
            </w:r>
          </w:p>
        </w:tc>
        <w:tc>
          <w:tcPr>
            <w:tcW w:w="7704" w:type="dxa"/>
          </w:tcPr>
          <w:p w:rsidR="007676DC" w:rsidRPr="001113AE" w:rsidRDefault="007676DC"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Tribunal may dismiss complaint</w:t>
            </w:r>
          </w:p>
        </w:tc>
      </w:tr>
      <w:tr w:rsidR="007676DC" w:rsidRPr="001113AE" w:rsidTr="007F777E">
        <w:tc>
          <w:tcPr>
            <w:tcW w:w="1554" w:type="dxa"/>
          </w:tcPr>
          <w:p w:rsidR="007676DC" w:rsidRPr="001113AE" w:rsidRDefault="007676DC"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227</w:t>
            </w:r>
          </w:p>
        </w:tc>
        <w:tc>
          <w:tcPr>
            <w:tcW w:w="7704" w:type="dxa"/>
          </w:tcPr>
          <w:p w:rsidR="007676DC" w:rsidRPr="001113AE" w:rsidRDefault="007676DC"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Unincorporated association represented by committee member</w:t>
            </w:r>
          </w:p>
        </w:tc>
      </w:tr>
      <w:tr w:rsidR="007676DC" w:rsidRPr="001113AE" w:rsidTr="007F777E">
        <w:tc>
          <w:tcPr>
            <w:tcW w:w="1554" w:type="dxa"/>
          </w:tcPr>
          <w:p w:rsidR="007676DC" w:rsidRPr="001113AE" w:rsidRDefault="007676DC"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228-233</w:t>
            </w:r>
          </w:p>
        </w:tc>
        <w:tc>
          <w:tcPr>
            <w:tcW w:w="7704" w:type="dxa"/>
          </w:tcPr>
          <w:p w:rsidR="007676DC" w:rsidRPr="001113AE" w:rsidRDefault="007676DC"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Opinions</w:t>
            </w:r>
          </w:p>
        </w:tc>
      </w:tr>
      <w:tr w:rsidR="007676DC" w:rsidRPr="001113AE" w:rsidTr="007F777E">
        <w:tc>
          <w:tcPr>
            <w:tcW w:w="1554" w:type="dxa"/>
          </w:tcPr>
          <w:p w:rsidR="007676DC" w:rsidRPr="001113AE" w:rsidRDefault="007676DC"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264</w:t>
            </w:r>
          </w:p>
        </w:tc>
        <w:tc>
          <w:tcPr>
            <w:tcW w:w="7704" w:type="dxa"/>
          </w:tcPr>
          <w:p w:rsidR="007676DC" w:rsidRPr="001113AE" w:rsidRDefault="007676DC"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No communication of official information to court</w:t>
            </w:r>
          </w:p>
        </w:tc>
      </w:tr>
    </w:tbl>
    <w:p w:rsidR="00037503" w:rsidRDefault="00037503" w:rsidP="00185644">
      <w:pPr>
        <w:pStyle w:val="NormalWeb"/>
        <w:spacing w:before="0" w:beforeAutospacing="0" w:after="0" w:afterAutospacing="0" w:line="360" w:lineRule="auto"/>
        <w:jc w:val="both"/>
        <w:rPr>
          <w:rFonts w:ascii="Arial" w:hAnsi="Arial" w:cs="Arial"/>
          <w:lang w:val="en-AU"/>
        </w:rPr>
      </w:pPr>
    </w:p>
    <w:p w:rsidR="006E3B6B" w:rsidRPr="001113AE" w:rsidRDefault="006E3B6B" w:rsidP="00185644">
      <w:pPr>
        <w:pStyle w:val="NormalWeb"/>
        <w:spacing w:before="0" w:beforeAutospacing="0" w:after="0" w:afterAutospacing="0" w:line="360" w:lineRule="auto"/>
        <w:jc w:val="both"/>
        <w:rPr>
          <w:rFonts w:ascii="Arial" w:hAnsi="Arial" w:cs="Arial"/>
          <w:lang w:val="en-AU"/>
        </w:rPr>
      </w:pPr>
      <w:r w:rsidRPr="001113AE">
        <w:rPr>
          <w:rFonts w:ascii="Arial" w:hAnsi="Arial" w:cs="Arial"/>
          <w:b/>
          <w:i/>
          <w:lang w:val="en-AU"/>
        </w:rPr>
        <w:t>Queensland Civil and Administrative Tribunal Rule 2009</w:t>
      </w:r>
    </w:p>
    <w:tbl>
      <w:tblPr>
        <w:tblStyle w:val="TableGrid"/>
        <w:tblW w:w="0" w:type="auto"/>
        <w:tblLook w:val="04A0" w:firstRow="1" w:lastRow="0" w:firstColumn="1" w:lastColumn="0" w:noHBand="0" w:noVBand="1"/>
        <w:tblCaption w:val="List of sections and descriptions under QCAT Rule 2009"/>
      </w:tblPr>
      <w:tblGrid>
        <w:gridCol w:w="1554"/>
        <w:gridCol w:w="7704"/>
      </w:tblGrid>
      <w:tr w:rsidR="00037503" w:rsidRPr="001113AE" w:rsidTr="006E3B6B">
        <w:trPr>
          <w:tblHeader/>
        </w:trPr>
        <w:tc>
          <w:tcPr>
            <w:tcW w:w="1554" w:type="dxa"/>
            <w:vAlign w:val="center"/>
          </w:tcPr>
          <w:p w:rsidR="00037503" w:rsidRPr="001113AE" w:rsidRDefault="00037503" w:rsidP="006E3B6B">
            <w:pPr>
              <w:pStyle w:val="NormalWeb"/>
              <w:spacing w:before="120" w:beforeAutospacing="0" w:after="120" w:afterAutospacing="0"/>
              <w:rPr>
                <w:rFonts w:ascii="Arial" w:hAnsi="Arial" w:cs="Arial"/>
                <w:b/>
                <w:sz w:val="22"/>
                <w:szCs w:val="22"/>
                <w:lang w:val="en-AU"/>
              </w:rPr>
            </w:pPr>
            <w:r w:rsidRPr="001113AE">
              <w:rPr>
                <w:rFonts w:ascii="Arial" w:hAnsi="Arial" w:cs="Arial"/>
                <w:b/>
                <w:sz w:val="22"/>
                <w:szCs w:val="22"/>
                <w:lang w:val="en-AU"/>
              </w:rPr>
              <w:t>Section</w:t>
            </w:r>
          </w:p>
        </w:tc>
        <w:tc>
          <w:tcPr>
            <w:tcW w:w="7704" w:type="dxa"/>
            <w:vAlign w:val="center"/>
          </w:tcPr>
          <w:p w:rsidR="00037503" w:rsidRPr="001113AE" w:rsidRDefault="00037503" w:rsidP="006E3B6B">
            <w:pPr>
              <w:pStyle w:val="NormalWeb"/>
              <w:spacing w:before="120" w:beforeAutospacing="0" w:after="120" w:afterAutospacing="0"/>
              <w:rPr>
                <w:rFonts w:ascii="Arial" w:hAnsi="Arial" w:cs="Arial"/>
                <w:b/>
                <w:sz w:val="22"/>
                <w:szCs w:val="22"/>
                <w:lang w:val="en-AU"/>
              </w:rPr>
            </w:pPr>
            <w:r w:rsidRPr="001113AE">
              <w:rPr>
                <w:rFonts w:ascii="Arial" w:hAnsi="Arial" w:cs="Arial"/>
                <w:b/>
                <w:sz w:val="22"/>
                <w:szCs w:val="22"/>
                <w:lang w:val="en-AU"/>
              </w:rPr>
              <w:t>Description</w:t>
            </w:r>
          </w:p>
        </w:tc>
      </w:tr>
      <w:tr w:rsidR="007F777E" w:rsidRPr="001113AE" w:rsidTr="007F777E">
        <w:tc>
          <w:tcPr>
            <w:tcW w:w="1554" w:type="dxa"/>
          </w:tcPr>
          <w:p w:rsidR="007F777E" w:rsidRPr="001113AE" w:rsidRDefault="007676DC"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101</w:t>
            </w:r>
          </w:p>
        </w:tc>
        <w:tc>
          <w:tcPr>
            <w:tcW w:w="7704" w:type="dxa"/>
          </w:tcPr>
          <w:p w:rsidR="007F777E" w:rsidRPr="001113AE" w:rsidRDefault="00185644" w:rsidP="00185644">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Requirements for a</w:t>
            </w:r>
            <w:r w:rsidR="007676DC" w:rsidRPr="001113AE">
              <w:rPr>
                <w:rFonts w:ascii="Arial" w:hAnsi="Arial" w:cs="Arial"/>
                <w:sz w:val="22"/>
                <w:szCs w:val="22"/>
                <w:lang w:val="en-AU"/>
              </w:rPr>
              <w:t>pplication for exemption</w:t>
            </w:r>
          </w:p>
        </w:tc>
      </w:tr>
      <w:tr w:rsidR="007F777E" w:rsidRPr="001113AE" w:rsidTr="007F777E">
        <w:tc>
          <w:tcPr>
            <w:tcW w:w="1554" w:type="dxa"/>
          </w:tcPr>
          <w:p w:rsidR="007F777E" w:rsidRPr="001113AE" w:rsidRDefault="007676DC"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102</w:t>
            </w:r>
          </w:p>
        </w:tc>
        <w:tc>
          <w:tcPr>
            <w:tcW w:w="7704" w:type="dxa"/>
          </w:tcPr>
          <w:p w:rsidR="007F777E" w:rsidRPr="001113AE" w:rsidRDefault="007676DC"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Additional requirement for application for review of decision about a complaint lapsing</w:t>
            </w:r>
          </w:p>
        </w:tc>
      </w:tr>
      <w:tr w:rsidR="007676DC" w:rsidRPr="001113AE" w:rsidTr="007F777E">
        <w:tc>
          <w:tcPr>
            <w:tcW w:w="1554" w:type="dxa"/>
          </w:tcPr>
          <w:p w:rsidR="007676DC" w:rsidRPr="001113AE" w:rsidRDefault="007676DC"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lastRenderedPageBreak/>
              <w:t>103</w:t>
            </w:r>
          </w:p>
        </w:tc>
        <w:tc>
          <w:tcPr>
            <w:tcW w:w="7704" w:type="dxa"/>
          </w:tcPr>
          <w:p w:rsidR="007676DC" w:rsidRPr="001113AE" w:rsidRDefault="007676DC"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Alternative requirements about statement of address for particular complaints</w:t>
            </w:r>
          </w:p>
        </w:tc>
      </w:tr>
      <w:tr w:rsidR="007676DC" w:rsidRPr="001113AE" w:rsidTr="007F777E">
        <w:tc>
          <w:tcPr>
            <w:tcW w:w="1554" w:type="dxa"/>
          </w:tcPr>
          <w:p w:rsidR="007676DC" w:rsidRPr="001113AE" w:rsidRDefault="007676DC"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104</w:t>
            </w:r>
          </w:p>
        </w:tc>
        <w:tc>
          <w:tcPr>
            <w:tcW w:w="7704" w:type="dxa"/>
          </w:tcPr>
          <w:p w:rsidR="007676DC" w:rsidRPr="001113AE" w:rsidRDefault="007676DC"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Giving copy of application for order under section 144 of the AD Act</w:t>
            </w:r>
          </w:p>
        </w:tc>
      </w:tr>
      <w:tr w:rsidR="007676DC" w:rsidRPr="001113AE" w:rsidTr="007F777E">
        <w:tc>
          <w:tcPr>
            <w:tcW w:w="1554" w:type="dxa"/>
          </w:tcPr>
          <w:p w:rsidR="007676DC" w:rsidRPr="001113AE" w:rsidRDefault="007676DC"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105</w:t>
            </w:r>
          </w:p>
        </w:tc>
        <w:tc>
          <w:tcPr>
            <w:tcW w:w="7704" w:type="dxa"/>
          </w:tcPr>
          <w:p w:rsidR="007676DC" w:rsidRPr="001113AE" w:rsidRDefault="007676DC"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Giving copy of order under section 144 of the AD act</w:t>
            </w:r>
          </w:p>
        </w:tc>
      </w:tr>
      <w:tr w:rsidR="007676DC" w:rsidRPr="001113AE" w:rsidTr="007F777E">
        <w:tc>
          <w:tcPr>
            <w:tcW w:w="1554" w:type="dxa"/>
          </w:tcPr>
          <w:p w:rsidR="007676DC" w:rsidRPr="001113AE" w:rsidRDefault="007676DC"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106</w:t>
            </w:r>
          </w:p>
        </w:tc>
        <w:tc>
          <w:tcPr>
            <w:tcW w:w="7704" w:type="dxa"/>
          </w:tcPr>
          <w:p w:rsidR="007676DC" w:rsidRPr="001113AE" w:rsidRDefault="007676DC" w:rsidP="007676DC">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Principal registrar to give copy of reasons for decision to Anti-Discrimination Commissioner and parties</w:t>
            </w:r>
          </w:p>
        </w:tc>
      </w:tr>
      <w:tr w:rsidR="007676DC" w:rsidRPr="001113AE" w:rsidTr="007F777E">
        <w:tc>
          <w:tcPr>
            <w:tcW w:w="1554" w:type="dxa"/>
          </w:tcPr>
          <w:p w:rsidR="007676DC" w:rsidRPr="001113AE" w:rsidRDefault="007676DC" w:rsidP="007F777E">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107</w:t>
            </w:r>
          </w:p>
        </w:tc>
        <w:tc>
          <w:tcPr>
            <w:tcW w:w="7704" w:type="dxa"/>
          </w:tcPr>
          <w:p w:rsidR="007676DC" w:rsidRPr="001113AE" w:rsidRDefault="007676DC" w:rsidP="007676DC">
            <w:pPr>
              <w:pStyle w:val="NormalWeb"/>
              <w:spacing w:before="0" w:beforeAutospacing="0" w:after="120" w:afterAutospacing="0"/>
              <w:jc w:val="both"/>
              <w:rPr>
                <w:rFonts w:ascii="Arial" w:hAnsi="Arial" w:cs="Arial"/>
                <w:sz w:val="22"/>
                <w:szCs w:val="22"/>
                <w:lang w:val="en-AU"/>
              </w:rPr>
            </w:pPr>
            <w:r w:rsidRPr="001113AE">
              <w:rPr>
                <w:rFonts w:ascii="Arial" w:hAnsi="Arial" w:cs="Arial"/>
                <w:sz w:val="22"/>
                <w:szCs w:val="22"/>
                <w:lang w:val="en-AU"/>
              </w:rPr>
              <w:t>Notice of appeal against exemption application decision to Anti-Discrimination Commissioner</w:t>
            </w:r>
          </w:p>
        </w:tc>
      </w:tr>
    </w:tbl>
    <w:p w:rsidR="00C57509" w:rsidRDefault="00C57509" w:rsidP="00037503">
      <w:pPr>
        <w:pStyle w:val="NormalWeb"/>
        <w:spacing w:before="240" w:beforeAutospacing="0" w:after="120" w:afterAutospacing="0" w:line="360" w:lineRule="auto"/>
        <w:jc w:val="both"/>
        <w:rPr>
          <w:rFonts w:ascii="Arial" w:hAnsi="Arial" w:cs="Arial"/>
          <w:lang w:val="en-AU"/>
        </w:rPr>
        <w:sectPr w:rsidR="00C57509" w:rsidSect="00185644">
          <w:headerReference w:type="default" r:id="rId15"/>
          <w:footerReference w:type="default" r:id="rId16"/>
          <w:headerReference w:type="first" r:id="rId17"/>
          <w:footerReference w:type="first" r:id="rId18"/>
          <w:pgSz w:w="11906" w:h="16838" w:code="9"/>
          <w:pgMar w:top="851" w:right="1276" w:bottom="1304" w:left="1588" w:header="567" w:footer="546" w:gutter="0"/>
          <w:cols w:space="708"/>
          <w:titlePg/>
          <w:docGrid w:linePitch="360"/>
        </w:sectPr>
      </w:pPr>
    </w:p>
    <w:p w:rsidR="00C57509" w:rsidRPr="00C57509" w:rsidRDefault="00C57509" w:rsidP="006E3B6B">
      <w:pPr>
        <w:spacing w:after="360"/>
        <w:rPr>
          <w:rFonts w:ascii="Arial" w:hAnsi="Arial" w:cs="Arial"/>
          <w:b/>
          <w:sz w:val="28"/>
          <w:szCs w:val="28"/>
        </w:rPr>
      </w:pPr>
      <w:r w:rsidRPr="00C57509">
        <w:rPr>
          <w:rFonts w:ascii="Arial" w:hAnsi="Arial" w:cs="Arial"/>
          <w:b/>
          <w:sz w:val="28"/>
          <w:szCs w:val="28"/>
        </w:rPr>
        <w:lastRenderedPageBreak/>
        <w:t>Published decisions involving applications for representation at QCAT</w:t>
      </w:r>
    </w:p>
    <w:tbl>
      <w:tblPr>
        <w:tblStyle w:val="LightShading-Accent1"/>
        <w:tblW w:w="0" w:type="auto"/>
        <w:tblLook w:val="04A0" w:firstRow="1" w:lastRow="0" w:firstColumn="1" w:lastColumn="0" w:noHBand="0" w:noVBand="1"/>
        <w:tblCaption w:val="List of published decisions involving applications for representation at QCAT"/>
      </w:tblPr>
      <w:tblGrid>
        <w:gridCol w:w="1785"/>
        <w:gridCol w:w="1701"/>
        <w:gridCol w:w="1844"/>
        <w:gridCol w:w="1831"/>
        <w:gridCol w:w="1985"/>
        <w:gridCol w:w="1970"/>
        <w:gridCol w:w="1810"/>
        <w:gridCol w:w="1973"/>
      </w:tblGrid>
      <w:tr w:rsidR="00C57509" w:rsidRPr="00C57509" w:rsidTr="006E3B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85" w:type="dxa"/>
          </w:tcPr>
          <w:p w:rsidR="00C57509" w:rsidRPr="00C57509" w:rsidRDefault="00C57509" w:rsidP="00C57509">
            <w:pPr>
              <w:jc w:val="center"/>
              <w:rPr>
                <w:rFonts w:ascii="Arial" w:hAnsi="Arial" w:cs="Arial"/>
                <w:color w:val="auto"/>
              </w:rPr>
            </w:pPr>
            <w:r w:rsidRPr="00C57509">
              <w:rPr>
                <w:rFonts w:ascii="Arial" w:hAnsi="Arial" w:cs="Arial"/>
                <w:color w:val="auto"/>
              </w:rPr>
              <w:t>Year</w:t>
            </w:r>
          </w:p>
        </w:tc>
        <w:tc>
          <w:tcPr>
            <w:tcW w:w="1701" w:type="dxa"/>
          </w:tcPr>
          <w:p w:rsidR="00C57509" w:rsidRPr="00C57509" w:rsidRDefault="00C57509" w:rsidP="00C5750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C57509">
              <w:rPr>
                <w:rFonts w:ascii="Arial" w:hAnsi="Arial" w:cs="Arial"/>
                <w:color w:val="auto"/>
              </w:rPr>
              <w:t>Number</w:t>
            </w:r>
          </w:p>
        </w:tc>
        <w:tc>
          <w:tcPr>
            <w:tcW w:w="1844" w:type="dxa"/>
          </w:tcPr>
          <w:p w:rsidR="00C57509" w:rsidRPr="00C57509" w:rsidRDefault="00C57509" w:rsidP="00C5750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C57509">
              <w:rPr>
                <w:rFonts w:ascii="Arial" w:hAnsi="Arial" w:cs="Arial"/>
                <w:color w:val="auto"/>
              </w:rPr>
              <w:t>Granted</w:t>
            </w:r>
          </w:p>
        </w:tc>
        <w:tc>
          <w:tcPr>
            <w:tcW w:w="1831" w:type="dxa"/>
          </w:tcPr>
          <w:p w:rsidR="00C57509" w:rsidRPr="00C57509" w:rsidRDefault="00C57509" w:rsidP="00C5750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C57509">
              <w:rPr>
                <w:rFonts w:ascii="Arial" w:hAnsi="Arial" w:cs="Arial"/>
                <w:color w:val="auto"/>
              </w:rPr>
              <w:t>Not granted</w:t>
            </w:r>
          </w:p>
        </w:tc>
        <w:tc>
          <w:tcPr>
            <w:tcW w:w="1985" w:type="dxa"/>
          </w:tcPr>
          <w:p w:rsidR="00C57509" w:rsidRPr="00C57509" w:rsidRDefault="00C57509" w:rsidP="00C5750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C57509">
              <w:rPr>
                <w:rFonts w:ascii="Arial" w:hAnsi="Arial" w:cs="Arial"/>
                <w:color w:val="auto"/>
              </w:rPr>
              <w:t>Sought by complainant</w:t>
            </w:r>
          </w:p>
        </w:tc>
        <w:tc>
          <w:tcPr>
            <w:tcW w:w="1970" w:type="dxa"/>
          </w:tcPr>
          <w:p w:rsidR="00C57509" w:rsidRPr="00C57509" w:rsidRDefault="00C57509" w:rsidP="00C5750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C57509">
              <w:rPr>
                <w:rFonts w:ascii="Arial" w:hAnsi="Arial" w:cs="Arial"/>
                <w:color w:val="auto"/>
              </w:rPr>
              <w:t>Sought by respondent</w:t>
            </w:r>
          </w:p>
        </w:tc>
        <w:tc>
          <w:tcPr>
            <w:tcW w:w="1810" w:type="dxa"/>
          </w:tcPr>
          <w:p w:rsidR="00C57509" w:rsidRPr="00C57509" w:rsidRDefault="00C57509" w:rsidP="00C5750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C57509">
              <w:rPr>
                <w:rFonts w:ascii="Arial" w:hAnsi="Arial" w:cs="Arial"/>
                <w:color w:val="auto"/>
              </w:rPr>
              <w:t>Sought by</w:t>
            </w:r>
          </w:p>
          <w:p w:rsidR="00C57509" w:rsidRPr="00C57509" w:rsidRDefault="00C57509" w:rsidP="00C5750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C57509">
              <w:rPr>
                <w:rFonts w:ascii="Arial" w:hAnsi="Arial" w:cs="Arial"/>
                <w:color w:val="auto"/>
              </w:rPr>
              <w:t xml:space="preserve"> all parties</w:t>
            </w:r>
          </w:p>
        </w:tc>
        <w:tc>
          <w:tcPr>
            <w:tcW w:w="1973" w:type="dxa"/>
          </w:tcPr>
          <w:p w:rsidR="00C57509" w:rsidRPr="00C57509" w:rsidRDefault="00C57509" w:rsidP="00C5750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C57509">
              <w:rPr>
                <w:rFonts w:ascii="Arial" w:hAnsi="Arial" w:cs="Arial"/>
                <w:color w:val="auto"/>
              </w:rPr>
              <w:t>Respondent is State of Qld</w:t>
            </w:r>
          </w:p>
        </w:tc>
      </w:tr>
      <w:tr w:rsidR="00C57509" w:rsidRPr="00C57509" w:rsidTr="006E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Pr>
          <w:p w:rsidR="00C57509" w:rsidRPr="00C57509" w:rsidRDefault="00C57509" w:rsidP="00C57509">
            <w:pPr>
              <w:rPr>
                <w:rFonts w:ascii="Arial" w:hAnsi="Arial" w:cs="Arial"/>
                <w:color w:val="auto"/>
              </w:rPr>
            </w:pPr>
            <w:r w:rsidRPr="00C57509">
              <w:rPr>
                <w:rFonts w:ascii="Arial" w:hAnsi="Arial" w:cs="Arial"/>
                <w:color w:val="auto"/>
              </w:rPr>
              <w:t>2012</w:t>
            </w:r>
          </w:p>
        </w:tc>
        <w:tc>
          <w:tcPr>
            <w:tcW w:w="1701" w:type="dxa"/>
          </w:tcPr>
          <w:p w:rsidR="00C57509" w:rsidRPr="00C57509" w:rsidRDefault="00C57509" w:rsidP="00C575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57509">
              <w:rPr>
                <w:rFonts w:ascii="Arial" w:hAnsi="Arial" w:cs="Arial"/>
                <w:color w:val="auto"/>
              </w:rPr>
              <w:t>6</w:t>
            </w:r>
          </w:p>
        </w:tc>
        <w:tc>
          <w:tcPr>
            <w:tcW w:w="1844" w:type="dxa"/>
          </w:tcPr>
          <w:p w:rsidR="00C57509" w:rsidRPr="00C57509" w:rsidRDefault="00C57509" w:rsidP="00C575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57509">
              <w:rPr>
                <w:rFonts w:ascii="Arial" w:hAnsi="Arial" w:cs="Arial"/>
                <w:color w:val="auto"/>
              </w:rPr>
              <w:t>4</w:t>
            </w:r>
          </w:p>
        </w:tc>
        <w:tc>
          <w:tcPr>
            <w:tcW w:w="1831" w:type="dxa"/>
          </w:tcPr>
          <w:p w:rsidR="00C57509" w:rsidRPr="00C57509" w:rsidRDefault="00C57509" w:rsidP="00C575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57509">
              <w:rPr>
                <w:rFonts w:ascii="Arial" w:hAnsi="Arial" w:cs="Arial"/>
                <w:color w:val="auto"/>
              </w:rPr>
              <w:t>2</w:t>
            </w:r>
          </w:p>
        </w:tc>
        <w:tc>
          <w:tcPr>
            <w:tcW w:w="1985" w:type="dxa"/>
            <w:shd w:val="clear" w:color="auto" w:fill="FFFFFF" w:themeFill="background1"/>
          </w:tcPr>
          <w:p w:rsidR="00C57509" w:rsidRPr="00C57509" w:rsidRDefault="00C57509" w:rsidP="00C575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57509">
              <w:rPr>
                <w:rFonts w:ascii="Arial" w:hAnsi="Arial" w:cs="Arial"/>
                <w:color w:val="auto"/>
              </w:rPr>
              <w:t>1</w:t>
            </w:r>
          </w:p>
        </w:tc>
        <w:tc>
          <w:tcPr>
            <w:tcW w:w="1970" w:type="dxa"/>
            <w:shd w:val="clear" w:color="auto" w:fill="FFFFFF" w:themeFill="background1"/>
          </w:tcPr>
          <w:p w:rsidR="00C57509" w:rsidRPr="00C57509" w:rsidRDefault="00C57509" w:rsidP="00C575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57509">
              <w:rPr>
                <w:rFonts w:ascii="Arial" w:hAnsi="Arial" w:cs="Arial"/>
                <w:color w:val="auto"/>
              </w:rPr>
              <w:t>2</w:t>
            </w:r>
          </w:p>
        </w:tc>
        <w:tc>
          <w:tcPr>
            <w:tcW w:w="1810" w:type="dxa"/>
            <w:shd w:val="clear" w:color="auto" w:fill="FFFFFF" w:themeFill="background1"/>
          </w:tcPr>
          <w:p w:rsidR="00C57509" w:rsidRPr="00C57509" w:rsidRDefault="00C57509" w:rsidP="00C575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57509">
              <w:rPr>
                <w:rFonts w:ascii="Arial" w:hAnsi="Arial" w:cs="Arial"/>
                <w:color w:val="auto"/>
              </w:rPr>
              <w:t>3</w:t>
            </w:r>
          </w:p>
        </w:tc>
        <w:tc>
          <w:tcPr>
            <w:tcW w:w="1973" w:type="dxa"/>
            <w:shd w:val="clear" w:color="auto" w:fill="FFFFFF" w:themeFill="background1"/>
          </w:tcPr>
          <w:p w:rsidR="00C57509" w:rsidRPr="00C57509" w:rsidRDefault="00C57509" w:rsidP="00C575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57509">
              <w:rPr>
                <w:rFonts w:ascii="Arial" w:hAnsi="Arial" w:cs="Arial"/>
                <w:color w:val="auto"/>
              </w:rPr>
              <w:t>2</w:t>
            </w:r>
          </w:p>
        </w:tc>
      </w:tr>
      <w:tr w:rsidR="00C57509" w:rsidRPr="00C57509" w:rsidTr="006E3B6B">
        <w:tc>
          <w:tcPr>
            <w:cnfStyle w:val="001000000000" w:firstRow="0" w:lastRow="0" w:firstColumn="1" w:lastColumn="0" w:oddVBand="0" w:evenVBand="0" w:oddHBand="0" w:evenHBand="0" w:firstRowFirstColumn="0" w:firstRowLastColumn="0" w:lastRowFirstColumn="0" w:lastRowLastColumn="0"/>
            <w:tcW w:w="1785" w:type="dxa"/>
            <w:shd w:val="clear" w:color="auto" w:fill="DBE5F1" w:themeFill="accent1" w:themeFillTint="33"/>
          </w:tcPr>
          <w:p w:rsidR="00C57509" w:rsidRPr="00C57509" w:rsidRDefault="00C57509" w:rsidP="00C57509">
            <w:pPr>
              <w:rPr>
                <w:rFonts w:ascii="Arial" w:hAnsi="Arial" w:cs="Arial"/>
                <w:color w:val="auto"/>
              </w:rPr>
            </w:pPr>
            <w:r w:rsidRPr="00C57509">
              <w:rPr>
                <w:rFonts w:ascii="Arial" w:hAnsi="Arial" w:cs="Arial"/>
                <w:color w:val="auto"/>
              </w:rPr>
              <w:t>2011</w:t>
            </w:r>
          </w:p>
        </w:tc>
        <w:tc>
          <w:tcPr>
            <w:tcW w:w="1701" w:type="dxa"/>
            <w:shd w:val="clear" w:color="auto" w:fill="DBE5F1" w:themeFill="accent1" w:themeFillTint="33"/>
          </w:tcPr>
          <w:p w:rsidR="00C57509" w:rsidRPr="00C57509" w:rsidRDefault="00C57509" w:rsidP="00C575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C57509">
              <w:rPr>
                <w:rFonts w:ascii="Arial" w:hAnsi="Arial" w:cs="Arial"/>
                <w:color w:val="auto"/>
              </w:rPr>
              <w:t>13</w:t>
            </w:r>
          </w:p>
        </w:tc>
        <w:tc>
          <w:tcPr>
            <w:tcW w:w="1844" w:type="dxa"/>
            <w:shd w:val="clear" w:color="auto" w:fill="DBE5F1" w:themeFill="accent1" w:themeFillTint="33"/>
          </w:tcPr>
          <w:p w:rsidR="00C57509" w:rsidRPr="00C57509" w:rsidRDefault="00C57509" w:rsidP="00C575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C57509">
              <w:rPr>
                <w:rFonts w:ascii="Arial" w:hAnsi="Arial" w:cs="Arial"/>
                <w:color w:val="auto"/>
              </w:rPr>
              <w:t>6</w:t>
            </w:r>
          </w:p>
        </w:tc>
        <w:tc>
          <w:tcPr>
            <w:tcW w:w="1831" w:type="dxa"/>
            <w:shd w:val="clear" w:color="auto" w:fill="DBE5F1" w:themeFill="accent1" w:themeFillTint="33"/>
          </w:tcPr>
          <w:p w:rsidR="00C57509" w:rsidRPr="00C57509" w:rsidRDefault="00C57509" w:rsidP="00C575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C57509">
              <w:rPr>
                <w:rFonts w:ascii="Arial" w:hAnsi="Arial" w:cs="Arial"/>
                <w:color w:val="auto"/>
              </w:rPr>
              <w:t>7</w:t>
            </w:r>
          </w:p>
        </w:tc>
        <w:tc>
          <w:tcPr>
            <w:tcW w:w="1985" w:type="dxa"/>
            <w:shd w:val="clear" w:color="auto" w:fill="FFFFFF" w:themeFill="background1"/>
          </w:tcPr>
          <w:p w:rsidR="00C57509" w:rsidRPr="00C57509" w:rsidRDefault="00C57509" w:rsidP="00C575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C57509">
              <w:rPr>
                <w:rFonts w:ascii="Arial" w:hAnsi="Arial" w:cs="Arial"/>
                <w:color w:val="auto"/>
              </w:rPr>
              <w:t>1</w:t>
            </w:r>
          </w:p>
        </w:tc>
        <w:tc>
          <w:tcPr>
            <w:tcW w:w="1970" w:type="dxa"/>
            <w:shd w:val="clear" w:color="auto" w:fill="FFFFFF" w:themeFill="background1"/>
          </w:tcPr>
          <w:p w:rsidR="00C57509" w:rsidRPr="00C57509" w:rsidRDefault="00C57509" w:rsidP="00C575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C57509">
              <w:rPr>
                <w:rFonts w:ascii="Arial" w:hAnsi="Arial" w:cs="Arial"/>
                <w:color w:val="auto"/>
              </w:rPr>
              <w:t>9</w:t>
            </w:r>
          </w:p>
        </w:tc>
        <w:tc>
          <w:tcPr>
            <w:tcW w:w="1810" w:type="dxa"/>
            <w:shd w:val="clear" w:color="auto" w:fill="FFFFFF" w:themeFill="background1"/>
          </w:tcPr>
          <w:p w:rsidR="00C57509" w:rsidRPr="00C57509" w:rsidRDefault="00C57509" w:rsidP="00C575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C57509">
              <w:rPr>
                <w:rFonts w:ascii="Arial" w:hAnsi="Arial" w:cs="Arial"/>
                <w:color w:val="auto"/>
              </w:rPr>
              <w:t>3</w:t>
            </w:r>
          </w:p>
        </w:tc>
        <w:tc>
          <w:tcPr>
            <w:tcW w:w="1973" w:type="dxa"/>
            <w:shd w:val="clear" w:color="auto" w:fill="FFFFFF" w:themeFill="background1"/>
          </w:tcPr>
          <w:p w:rsidR="00C57509" w:rsidRPr="00C57509" w:rsidRDefault="00C57509" w:rsidP="00C575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C57509">
              <w:rPr>
                <w:rFonts w:ascii="Arial" w:hAnsi="Arial" w:cs="Arial"/>
                <w:color w:val="auto"/>
              </w:rPr>
              <w:t>6</w:t>
            </w:r>
          </w:p>
        </w:tc>
      </w:tr>
      <w:tr w:rsidR="00C57509" w:rsidRPr="00C57509" w:rsidTr="006E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Pr>
          <w:p w:rsidR="00C57509" w:rsidRPr="00C57509" w:rsidRDefault="00C57509" w:rsidP="00C57509">
            <w:pPr>
              <w:rPr>
                <w:rFonts w:ascii="Arial" w:hAnsi="Arial" w:cs="Arial"/>
                <w:color w:val="auto"/>
              </w:rPr>
            </w:pPr>
            <w:r w:rsidRPr="00C57509">
              <w:rPr>
                <w:rFonts w:ascii="Arial" w:hAnsi="Arial" w:cs="Arial"/>
                <w:color w:val="auto"/>
              </w:rPr>
              <w:t>2010</w:t>
            </w:r>
          </w:p>
        </w:tc>
        <w:tc>
          <w:tcPr>
            <w:tcW w:w="1701" w:type="dxa"/>
          </w:tcPr>
          <w:p w:rsidR="00C57509" w:rsidRPr="00C57509" w:rsidRDefault="00C57509" w:rsidP="00C575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57509">
              <w:rPr>
                <w:rFonts w:ascii="Arial" w:hAnsi="Arial" w:cs="Arial"/>
                <w:color w:val="auto"/>
              </w:rPr>
              <w:t>12</w:t>
            </w:r>
          </w:p>
        </w:tc>
        <w:tc>
          <w:tcPr>
            <w:tcW w:w="1844" w:type="dxa"/>
          </w:tcPr>
          <w:p w:rsidR="00C57509" w:rsidRPr="00C57509" w:rsidRDefault="00C57509" w:rsidP="00C575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57509">
              <w:rPr>
                <w:rFonts w:ascii="Arial" w:hAnsi="Arial" w:cs="Arial"/>
                <w:color w:val="auto"/>
              </w:rPr>
              <w:t>3</w:t>
            </w:r>
          </w:p>
        </w:tc>
        <w:tc>
          <w:tcPr>
            <w:tcW w:w="1831" w:type="dxa"/>
          </w:tcPr>
          <w:p w:rsidR="00C57509" w:rsidRPr="00C57509" w:rsidRDefault="00C57509" w:rsidP="00C575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57509">
              <w:rPr>
                <w:rFonts w:ascii="Arial" w:hAnsi="Arial" w:cs="Arial"/>
                <w:color w:val="auto"/>
              </w:rPr>
              <w:t>9</w:t>
            </w:r>
          </w:p>
        </w:tc>
        <w:tc>
          <w:tcPr>
            <w:tcW w:w="1985" w:type="dxa"/>
            <w:shd w:val="clear" w:color="auto" w:fill="FFFFFF" w:themeFill="background1"/>
          </w:tcPr>
          <w:p w:rsidR="00C57509" w:rsidRPr="00C57509" w:rsidRDefault="00C57509" w:rsidP="00C575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57509">
              <w:rPr>
                <w:rFonts w:ascii="Arial" w:hAnsi="Arial" w:cs="Arial"/>
                <w:color w:val="auto"/>
              </w:rPr>
              <w:t>2</w:t>
            </w:r>
          </w:p>
        </w:tc>
        <w:tc>
          <w:tcPr>
            <w:tcW w:w="1970" w:type="dxa"/>
            <w:shd w:val="clear" w:color="auto" w:fill="FFFFFF" w:themeFill="background1"/>
          </w:tcPr>
          <w:p w:rsidR="00C57509" w:rsidRPr="00C57509" w:rsidRDefault="00C57509" w:rsidP="00C575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57509">
              <w:rPr>
                <w:rFonts w:ascii="Arial" w:hAnsi="Arial" w:cs="Arial"/>
                <w:color w:val="auto"/>
              </w:rPr>
              <w:t>7</w:t>
            </w:r>
          </w:p>
        </w:tc>
        <w:tc>
          <w:tcPr>
            <w:tcW w:w="1810" w:type="dxa"/>
            <w:shd w:val="clear" w:color="auto" w:fill="FFFFFF" w:themeFill="background1"/>
          </w:tcPr>
          <w:p w:rsidR="00C57509" w:rsidRPr="00C57509" w:rsidRDefault="00C57509" w:rsidP="00C575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57509">
              <w:rPr>
                <w:rFonts w:ascii="Arial" w:hAnsi="Arial" w:cs="Arial"/>
                <w:color w:val="auto"/>
              </w:rPr>
              <w:t>3</w:t>
            </w:r>
          </w:p>
        </w:tc>
        <w:tc>
          <w:tcPr>
            <w:tcW w:w="1973" w:type="dxa"/>
            <w:shd w:val="clear" w:color="auto" w:fill="FFFFFF" w:themeFill="background1"/>
          </w:tcPr>
          <w:p w:rsidR="00C57509" w:rsidRPr="00C57509" w:rsidRDefault="00C57509" w:rsidP="00C575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C57509">
              <w:rPr>
                <w:rFonts w:ascii="Arial" w:hAnsi="Arial" w:cs="Arial"/>
                <w:color w:val="auto"/>
              </w:rPr>
              <w:t>3</w:t>
            </w:r>
          </w:p>
        </w:tc>
      </w:tr>
      <w:tr w:rsidR="00C57509" w:rsidRPr="00C57509" w:rsidTr="006E3B6B">
        <w:tc>
          <w:tcPr>
            <w:cnfStyle w:val="001000000000" w:firstRow="0" w:lastRow="0" w:firstColumn="1" w:lastColumn="0" w:oddVBand="0" w:evenVBand="0" w:oddHBand="0" w:evenHBand="0" w:firstRowFirstColumn="0" w:firstRowLastColumn="0" w:lastRowFirstColumn="0" w:lastRowLastColumn="0"/>
            <w:tcW w:w="1785" w:type="dxa"/>
            <w:shd w:val="clear" w:color="auto" w:fill="DBE5F1" w:themeFill="accent1" w:themeFillTint="33"/>
          </w:tcPr>
          <w:p w:rsidR="00C57509" w:rsidRPr="00C57509" w:rsidRDefault="00C57509" w:rsidP="00C57509">
            <w:pPr>
              <w:rPr>
                <w:rFonts w:ascii="Arial" w:hAnsi="Arial" w:cs="Arial"/>
                <w:color w:val="auto"/>
              </w:rPr>
            </w:pPr>
            <w:r w:rsidRPr="00C57509">
              <w:rPr>
                <w:rFonts w:ascii="Arial" w:hAnsi="Arial" w:cs="Arial"/>
                <w:color w:val="auto"/>
              </w:rPr>
              <w:t>TOTALS</w:t>
            </w:r>
          </w:p>
        </w:tc>
        <w:tc>
          <w:tcPr>
            <w:tcW w:w="1701" w:type="dxa"/>
            <w:shd w:val="clear" w:color="auto" w:fill="DBE5F1" w:themeFill="accent1" w:themeFillTint="33"/>
          </w:tcPr>
          <w:p w:rsidR="00C57509" w:rsidRPr="00C57509" w:rsidRDefault="00C57509" w:rsidP="00C57509">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C57509">
              <w:rPr>
                <w:rFonts w:ascii="Arial" w:hAnsi="Arial" w:cs="Arial"/>
                <w:b/>
                <w:color w:val="auto"/>
              </w:rPr>
              <w:t>31</w:t>
            </w:r>
          </w:p>
        </w:tc>
        <w:tc>
          <w:tcPr>
            <w:tcW w:w="1844" w:type="dxa"/>
            <w:shd w:val="clear" w:color="auto" w:fill="DBE5F1" w:themeFill="accent1" w:themeFillTint="33"/>
          </w:tcPr>
          <w:p w:rsidR="00C57509" w:rsidRPr="00C57509" w:rsidRDefault="00C57509" w:rsidP="00C57509">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C57509">
              <w:rPr>
                <w:rFonts w:ascii="Arial" w:hAnsi="Arial" w:cs="Arial"/>
                <w:b/>
                <w:color w:val="auto"/>
              </w:rPr>
              <w:t>13</w:t>
            </w:r>
          </w:p>
        </w:tc>
        <w:tc>
          <w:tcPr>
            <w:tcW w:w="1831" w:type="dxa"/>
            <w:shd w:val="clear" w:color="auto" w:fill="DBE5F1" w:themeFill="accent1" w:themeFillTint="33"/>
          </w:tcPr>
          <w:p w:rsidR="00C57509" w:rsidRPr="00C57509" w:rsidRDefault="00C57509" w:rsidP="00C57509">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C57509">
              <w:rPr>
                <w:rFonts w:ascii="Arial" w:hAnsi="Arial" w:cs="Arial"/>
                <w:b/>
                <w:color w:val="auto"/>
              </w:rPr>
              <w:t>18</w:t>
            </w:r>
          </w:p>
        </w:tc>
        <w:tc>
          <w:tcPr>
            <w:tcW w:w="1985" w:type="dxa"/>
            <w:shd w:val="clear" w:color="auto" w:fill="FFFFFF" w:themeFill="background1"/>
          </w:tcPr>
          <w:p w:rsidR="00C57509" w:rsidRPr="00C57509" w:rsidRDefault="00C57509" w:rsidP="00C57509">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C57509">
              <w:rPr>
                <w:rFonts w:ascii="Arial" w:hAnsi="Arial" w:cs="Arial"/>
                <w:b/>
                <w:color w:val="auto"/>
              </w:rPr>
              <w:t>4</w:t>
            </w:r>
          </w:p>
        </w:tc>
        <w:tc>
          <w:tcPr>
            <w:tcW w:w="1970" w:type="dxa"/>
            <w:shd w:val="clear" w:color="auto" w:fill="FFFFFF" w:themeFill="background1"/>
          </w:tcPr>
          <w:p w:rsidR="00C57509" w:rsidRPr="00C57509" w:rsidRDefault="00C57509" w:rsidP="00C57509">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C57509">
              <w:rPr>
                <w:rFonts w:ascii="Arial" w:hAnsi="Arial" w:cs="Arial"/>
                <w:b/>
                <w:color w:val="auto"/>
              </w:rPr>
              <w:t>18</w:t>
            </w:r>
          </w:p>
        </w:tc>
        <w:tc>
          <w:tcPr>
            <w:tcW w:w="1810" w:type="dxa"/>
            <w:shd w:val="clear" w:color="auto" w:fill="FFFFFF" w:themeFill="background1"/>
          </w:tcPr>
          <w:p w:rsidR="00C57509" w:rsidRPr="00C57509" w:rsidRDefault="00C57509" w:rsidP="00C57509">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C57509">
              <w:rPr>
                <w:rFonts w:ascii="Arial" w:hAnsi="Arial" w:cs="Arial"/>
                <w:b/>
                <w:color w:val="auto"/>
              </w:rPr>
              <w:t>9</w:t>
            </w:r>
          </w:p>
        </w:tc>
        <w:tc>
          <w:tcPr>
            <w:tcW w:w="1973" w:type="dxa"/>
            <w:shd w:val="clear" w:color="auto" w:fill="FFFFFF" w:themeFill="background1"/>
          </w:tcPr>
          <w:p w:rsidR="00C57509" w:rsidRPr="00C57509" w:rsidRDefault="00C57509" w:rsidP="00C57509">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C57509">
              <w:rPr>
                <w:rFonts w:ascii="Arial" w:hAnsi="Arial" w:cs="Arial"/>
                <w:b/>
                <w:color w:val="auto"/>
              </w:rPr>
              <w:t>11</w:t>
            </w:r>
          </w:p>
        </w:tc>
      </w:tr>
    </w:tbl>
    <w:p w:rsidR="00C57509" w:rsidRDefault="00C57509" w:rsidP="00C57509"/>
    <w:sectPr w:rsidR="00C57509" w:rsidSect="00C57509">
      <w:headerReference w:type="first" r:id="rId19"/>
      <w:pgSz w:w="16838" w:h="11906" w:orient="landscape" w:code="9"/>
      <w:pgMar w:top="1588" w:right="851" w:bottom="1276" w:left="1304" w:header="567"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E53" w:rsidRDefault="00A00E53">
      <w:r>
        <w:separator/>
      </w:r>
    </w:p>
  </w:endnote>
  <w:endnote w:type="continuationSeparator" w:id="0">
    <w:p w:rsidR="00A00E53" w:rsidRDefault="00A0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900726856"/>
      <w:docPartObj>
        <w:docPartGallery w:val="Page Numbers (Bottom of Page)"/>
        <w:docPartUnique/>
      </w:docPartObj>
    </w:sdtPr>
    <w:sdtEndPr>
      <w:rPr>
        <w:color w:val="808080" w:themeColor="background1" w:themeShade="80"/>
        <w:spacing w:val="60"/>
      </w:rPr>
    </w:sdtEndPr>
    <w:sdtContent>
      <w:p w:rsidR="004E21EF" w:rsidRPr="004E21EF" w:rsidRDefault="004E21EF">
        <w:pPr>
          <w:pStyle w:val="Footer"/>
          <w:pBdr>
            <w:top w:val="single" w:sz="4" w:space="1" w:color="D9D9D9" w:themeColor="background1" w:themeShade="D9"/>
          </w:pBdr>
          <w:rPr>
            <w:rFonts w:ascii="Arial" w:hAnsi="Arial" w:cs="Arial"/>
            <w:b/>
            <w:bCs/>
            <w:sz w:val="20"/>
          </w:rPr>
        </w:pPr>
        <w:r w:rsidRPr="004E21EF">
          <w:rPr>
            <w:rFonts w:ascii="Arial" w:hAnsi="Arial" w:cs="Arial"/>
            <w:sz w:val="20"/>
          </w:rPr>
          <w:fldChar w:fldCharType="begin"/>
        </w:r>
        <w:r w:rsidRPr="004E21EF">
          <w:rPr>
            <w:rFonts w:ascii="Arial" w:hAnsi="Arial" w:cs="Arial"/>
            <w:sz w:val="20"/>
          </w:rPr>
          <w:instrText xml:space="preserve"> PAGE   \* MERGEFORMAT </w:instrText>
        </w:r>
        <w:r w:rsidRPr="004E21EF">
          <w:rPr>
            <w:rFonts w:ascii="Arial" w:hAnsi="Arial" w:cs="Arial"/>
            <w:sz w:val="20"/>
          </w:rPr>
          <w:fldChar w:fldCharType="separate"/>
        </w:r>
        <w:r w:rsidRPr="004E21EF">
          <w:rPr>
            <w:rFonts w:ascii="Arial" w:hAnsi="Arial" w:cs="Arial"/>
            <w:b/>
            <w:bCs/>
            <w:noProof/>
            <w:sz w:val="20"/>
          </w:rPr>
          <w:t>2</w:t>
        </w:r>
        <w:r w:rsidRPr="004E21EF">
          <w:rPr>
            <w:rFonts w:ascii="Arial" w:hAnsi="Arial" w:cs="Arial"/>
            <w:b/>
            <w:bCs/>
            <w:noProof/>
            <w:sz w:val="20"/>
          </w:rPr>
          <w:fldChar w:fldCharType="end"/>
        </w:r>
        <w:r w:rsidRPr="004E21EF">
          <w:rPr>
            <w:rFonts w:ascii="Arial" w:hAnsi="Arial" w:cs="Arial"/>
            <w:b/>
            <w:bCs/>
            <w:sz w:val="20"/>
          </w:rPr>
          <w:t xml:space="preserve"> | </w:t>
        </w:r>
        <w:r w:rsidRPr="004E21EF">
          <w:rPr>
            <w:rFonts w:ascii="Arial" w:hAnsi="Arial" w:cs="Arial"/>
            <w:color w:val="808080" w:themeColor="background1" w:themeShade="80"/>
            <w:spacing w:val="60"/>
            <w:sz w:val="20"/>
          </w:rPr>
          <w:t>Page</w:t>
        </w:r>
      </w:p>
    </w:sdtContent>
  </w:sdt>
  <w:p w:rsidR="00A00E53" w:rsidRDefault="00A00E53" w:rsidP="001811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2039961684"/>
      <w:docPartObj>
        <w:docPartGallery w:val="Page Numbers (Bottom of Page)"/>
        <w:docPartUnique/>
      </w:docPartObj>
    </w:sdtPr>
    <w:sdtEndPr>
      <w:rPr>
        <w:color w:val="808080" w:themeColor="background1" w:themeShade="80"/>
        <w:spacing w:val="60"/>
      </w:rPr>
    </w:sdtEndPr>
    <w:sdtContent>
      <w:p w:rsidR="004E21EF" w:rsidRPr="004E21EF" w:rsidRDefault="004E21EF">
        <w:pPr>
          <w:pStyle w:val="Footer"/>
          <w:pBdr>
            <w:top w:val="single" w:sz="4" w:space="1" w:color="D9D9D9" w:themeColor="background1" w:themeShade="D9"/>
          </w:pBdr>
          <w:jc w:val="right"/>
          <w:rPr>
            <w:rFonts w:ascii="Arial" w:hAnsi="Arial" w:cs="Arial"/>
            <w:sz w:val="20"/>
          </w:rPr>
        </w:pPr>
        <w:r w:rsidRPr="004E21EF">
          <w:rPr>
            <w:rFonts w:ascii="Arial" w:hAnsi="Arial" w:cs="Arial"/>
            <w:sz w:val="20"/>
          </w:rPr>
          <w:fldChar w:fldCharType="begin"/>
        </w:r>
        <w:r w:rsidRPr="004E21EF">
          <w:rPr>
            <w:rFonts w:ascii="Arial" w:hAnsi="Arial" w:cs="Arial"/>
            <w:sz w:val="20"/>
          </w:rPr>
          <w:instrText xml:space="preserve"> PAGE   \* MERGEFORMAT </w:instrText>
        </w:r>
        <w:r w:rsidRPr="004E21EF">
          <w:rPr>
            <w:rFonts w:ascii="Arial" w:hAnsi="Arial" w:cs="Arial"/>
            <w:sz w:val="20"/>
          </w:rPr>
          <w:fldChar w:fldCharType="separate"/>
        </w:r>
        <w:r>
          <w:rPr>
            <w:rFonts w:ascii="Arial" w:hAnsi="Arial" w:cs="Arial"/>
            <w:noProof/>
            <w:sz w:val="20"/>
          </w:rPr>
          <w:t>3</w:t>
        </w:r>
        <w:r w:rsidRPr="004E21EF">
          <w:rPr>
            <w:rFonts w:ascii="Arial" w:hAnsi="Arial" w:cs="Arial"/>
            <w:noProof/>
            <w:sz w:val="20"/>
          </w:rPr>
          <w:fldChar w:fldCharType="end"/>
        </w:r>
        <w:r w:rsidRPr="004E21EF">
          <w:rPr>
            <w:rFonts w:ascii="Arial" w:hAnsi="Arial" w:cs="Arial"/>
            <w:sz w:val="20"/>
          </w:rPr>
          <w:t xml:space="preserve"> | </w:t>
        </w:r>
        <w:r w:rsidRPr="004E21EF">
          <w:rPr>
            <w:rFonts w:ascii="Arial" w:hAnsi="Arial" w:cs="Arial"/>
            <w:color w:val="808080" w:themeColor="background1" w:themeShade="80"/>
            <w:spacing w:val="60"/>
            <w:sz w:val="20"/>
          </w:rPr>
          <w:t>Page</w:t>
        </w:r>
      </w:p>
    </w:sdtContent>
  </w:sdt>
  <w:p w:rsidR="00A00E53" w:rsidRDefault="00A00E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53" w:rsidRPr="002E2341" w:rsidRDefault="00A00E53" w:rsidP="009A405B">
    <w:pPr>
      <w:autoSpaceDE w:val="0"/>
      <w:autoSpaceDN w:val="0"/>
      <w:adjustRightInd w:val="0"/>
      <w:jc w:val="center"/>
      <w:rPr>
        <w:rFonts w:ascii="Arial" w:hAnsi="Arial" w:cs="Arial"/>
      </w:rPr>
    </w:pPr>
    <w:r>
      <w:rPr>
        <w:rFonts w:ascii="Arial" w:hAnsi="Arial" w:cs="Arial"/>
        <w:b/>
        <w:sz w:val="28"/>
        <w:szCs w:val="28"/>
      </w:rPr>
      <w:t>February 2013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53" w:rsidRPr="00C57509" w:rsidRDefault="00A00E53" w:rsidP="00C5750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53" w:rsidRPr="00185644" w:rsidRDefault="00A00E53" w:rsidP="00185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E53" w:rsidRDefault="00A00E53">
      <w:r>
        <w:separator/>
      </w:r>
    </w:p>
  </w:footnote>
  <w:footnote w:type="continuationSeparator" w:id="0">
    <w:p w:rsidR="00A00E53" w:rsidRDefault="00A00E53">
      <w:r>
        <w:continuationSeparator/>
      </w:r>
    </w:p>
  </w:footnote>
  <w:footnote w:id="1">
    <w:p w:rsidR="00A00E53" w:rsidRPr="00936FF8" w:rsidRDefault="00A00E53" w:rsidP="00D62562">
      <w:pPr>
        <w:pStyle w:val="FootnoteText"/>
        <w:rPr>
          <w:rFonts w:ascii="Arial" w:hAnsi="Arial" w:cs="Arial"/>
        </w:rPr>
      </w:pPr>
      <w:r w:rsidRPr="00936FF8">
        <w:rPr>
          <w:rStyle w:val="FootnoteReference"/>
          <w:rFonts w:ascii="Arial" w:hAnsi="Arial" w:cs="Arial"/>
        </w:rPr>
        <w:footnoteRef/>
      </w:r>
      <w:r w:rsidRPr="00936FF8">
        <w:rPr>
          <w:rFonts w:ascii="Arial" w:hAnsi="Arial" w:cs="Arial"/>
        </w:rPr>
        <w:t xml:space="preserve"> </w:t>
      </w:r>
      <w:r w:rsidRPr="00936FF8">
        <w:rPr>
          <w:rFonts w:ascii="Arial" w:hAnsi="Arial" w:cs="Arial"/>
          <w:i/>
        </w:rPr>
        <w:t>Anti-Discrimination Act 1991</w:t>
      </w:r>
      <w:r w:rsidRPr="00936FF8">
        <w:rPr>
          <w:rFonts w:ascii="Arial" w:hAnsi="Arial" w:cs="Arial"/>
        </w:rPr>
        <w:t>, section 7</w:t>
      </w:r>
    </w:p>
  </w:footnote>
  <w:footnote w:id="2">
    <w:p w:rsidR="00A00E53" w:rsidRPr="00936FF8" w:rsidRDefault="00A00E53" w:rsidP="00D62562">
      <w:pPr>
        <w:pStyle w:val="FootnoteText"/>
        <w:rPr>
          <w:rFonts w:ascii="Arial" w:hAnsi="Arial" w:cs="Arial"/>
          <w:lang w:val="en-US"/>
        </w:rPr>
      </w:pPr>
      <w:r w:rsidRPr="00936FF8">
        <w:rPr>
          <w:rStyle w:val="FootnoteReference"/>
          <w:rFonts w:ascii="Arial" w:hAnsi="Arial" w:cs="Arial"/>
        </w:rPr>
        <w:footnoteRef/>
      </w:r>
      <w:r w:rsidRPr="00936FF8">
        <w:rPr>
          <w:rFonts w:ascii="Arial" w:hAnsi="Arial" w:cs="Arial"/>
        </w:rPr>
        <w:t xml:space="preserve"> </w:t>
      </w:r>
      <w:r w:rsidRPr="00936FF8">
        <w:rPr>
          <w:rFonts w:ascii="Arial" w:hAnsi="Arial" w:cs="Arial"/>
          <w:i/>
        </w:rPr>
        <w:t>Anti-Discrimination Act 1991</w:t>
      </w:r>
      <w:r w:rsidRPr="00936FF8">
        <w:rPr>
          <w:rFonts w:ascii="Arial" w:hAnsi="Arial" w:cs="Arial"/>
        </w:rPr>
        <w:t>, section 118</w:t>
      </w:r>
    </w:p>
  </w:footnote>
  <w:footnote w:id="3">
    <w:p w:rsidR="00A00E53" w:rsidRPr="00936FF8" w:rsidRDefault="00A00E53" w:rsidP="00D62562">
      <w:pPr>
        <w:pStyle w:val="FootnoteText"/>
        <w:rPr>
          <w:rFonts w:ascii="Arial" w:hAnsi="Arial" w:cs="Arial"/>
          <w:lang w:val="en-US"/>
        </w:rPr>
      </w:pPr>
      <w:r w:rsidRPr="00936FF8">
        <w:rPr>
          <w:rStyle w:val="FootnoteReference"/>
          <w:rFonts w:ascii="Arial" w:hAnsi="Arial" w:cs="Arial"/>
        </w:rPr>
        <w:footnoteRef/>
      </w:r>
      <w:r w:rsidRPr="00936FF8">
        <w:rPr>
          <w:rFonts w:ascii="Arial" w:hAnsi="Arial" w:cs="Arial"/>
        </w:rPr>
        <w:t xml:space="preserve"> </w:t>
      </w:r>
      <w:r w:rsidRPr="00936FF8">
        <w:rPr>
          <w:rFonts w:ascii="Arial" w:hAnsi="Arial" w:cs="Arial"/>
          <w:i/>
        </w:rPr>
        <w:t>Anti-Discrimination Act 1991</w:t>
      </w:r>
      <w:r w:rsidRPr="00936FF8">
        <w:rPr>
          <w:rFonts w:ascii="Arial" w:hAnsi="Arial" w:cs="Arial"/>
        </w:rPr>
        <w:t>, sections 124A &amp; 131A</w:t>
      </w:r>
    </w:p>
  </w:footnote>
  <w:footnote w:id="4">
    <w:p w:rsidR="00A00E53" w:rsidRPr="00936FF8" w:rsidRDefault="00A00E53" w:rsidP="00D62562">
      <w:pPr>
        <w:pStyle w:val="FootnoteText"/>
        <w:rPr>
          <w:rFonts w:ascii="Arial" w:hAnsi="Arial" w:cs="Arial"/>
          <w:lang w:val="en-US"/>
        </w:rPr>
      </w:pPr>
      <w:r w:rsidRPr="00936FF8">
        <w:rPr>
          <w:rStyle w:val="FootnoteReference"/>
          <w:rFonts w:ascii="Arial" w:hAnsi="Arial" w:cs="Arial"/>
        </w:rPr>
        <w:footnoteRef/>
      </w:r>
      <w:r w:rsidRPr="00936FF8">
        <w:rPr>
          <w:rFonts w:ascii="Arial" w:hAnsi="Arial" w:cs="Arial"/>
        </w:rPr>
        <w:t xml:space="preserve"> </w:t>
      </w:r>
      <w:r w:rsidRPr="00936FF8">
        <w:rPr>
          <w:rFonts w:ascii="Arial" w:hAnsi="Arial" w:cs="Arial"/>
          <w:i/>
        </w:rPr>
        <w:t>Anti-Discrimination Act 1991</w:t>
      </w:r>
      <w:r w:rsidRPr="00936FF8">
        <w:rPr>
          <w:rFonts w:ascii="Arial" w:hAnsi="Arial" w:cs="Arial"/>
        </w:rPr>
        <w:t>, section 129</w:t>
      </w:r>
    </w:p>
  </w:footnote>
  <w:footnote w:id="5">
    <w:p w:rsidR="00A00E53" w:rsidRPr="00936FF8" w:rsidRDefault="00A00E53" w:rsidP="00D62562">
      <w:pPr>
        <w:pStyle w:val="FootnoteText"/>
        <w:rPr>
          <w:rFonts w:ascii="Arial" w:hAnsi="Arial" w:cs="Arial"/>
          <w:lang w:val="en-US"/>
        </w:rPr>
      </w:pPr>
      <w:r w:rsidRPr="00936FF8">
        <w:rPr>
          <w:rStyle w:val="FootnoteReference"/>
          <w:rFonts w:ascii="Arial" w:hAnsi="Arial" w:cs="Arial"/>
        </w:rPr>
        <w:footnoteRef/>
      </w:r>
      <w:r w:rsidRPr="00936FF8">
        <w:rPr>
          <w:rFonts w:ascii="Arial" w:hAnsi="Arial" w:cs="Arial"/>
        </w:rPr>
        <w:t xml:space="preserve"> </w:t>
      </w:r>
      <w:r w:rsidRPr="00936FF8">
        <w:rPr>
          <w:rFonts w:ascii="Arial" w:hAnsi="Arial" w:cs="Arial"/>
          <w:i/>
        </w:rPr>
        <w:t>Anti-Discrimination Act 1991</w:t>
      </w:r>
      <w:r w:rsidRPr="00936FF8">
        <w:rPr>
          <w:rFonts w:ascii="Arial" w:hAnsi="Arial" w:cs="Arial"/>
        </w:rPr>
        <w:t>, section 124</w:t>
      </w:r>
    </w:p>
  </w:footnote>
  <w:footnote w:id="6">
    <w:p w:rsidR="00A00E53" w:rsidRPr="00936FF8" w:rsidRDefault="00A00E53" w:rsidP="00D62562">
      <w:pPr>
        <w:pStyle w:val="FootnoteText"/>
        <w:rPr>
          <w:rFonts w:ascii="Arial" w:hAnsi="Arial" w:cs="Arial"/>
          <w:lang w:val="en-US"/>
        </w:rPr>
      </w:pPr>
      <w:r w:rsidRPr="00936FF8">
        <w:rPr>
          <w:rStyle w:val="FootnoteReference"/>
          <w:rFonts w:ascii="Arial" w:hAnsi="Arial" w:cs="Arial"/>
        </w:rPr>
        <w:footnoteRef/>
      </w:r>
      <w:r w:rsidRPr="00936FF8">
        <w:rPr>
          <w:rFonts w:ascii="Arial" w:hAnsi="Arial" w:cs="Arial"/>
        </w:rPr>
        <w:t xml:space="preserve"> </w:t>
      </w:r>
      <w:r w:rsidRPr="00936FF8">
        <w:rPr>
          <w:rFonts w:ascii="Arial" w:hAnsi="Arial" w:cs="Arial"/>
          <w:i/>
        </w:rPr>
        <w:t>Anti-Discrimination Act 1991</w:t>
      </w:r>
      <w:r w:rsidRPr="00936FF8">
        <w:rPr>
          <w:rFonts w:ascii="Arial" w:hAnsi="Arial" w:cs="Arial"/>
        </w:rPr>
        <w:t>, section 122</w:t>
      </w:r>
    </w:p>
  </w:footnote>
  <w:footnote w:id="7">
    <w:p w:rsidR="00A00E53" w:rsidRPr="00936FF8" w:rsidRDefault="00A00E53" w:rsidP="00D62562">
      <w:pPr>
        <w:pStyle w:val="FootnoteText"/>
        <w:rPr>
          <w:rFonts w:ascii="Arial" w:hAnsi="Arial" w:cs="Arial"/>
          <w:lang w:val="en-US"/>
        </w:rPr>
      </w:pPr>
      <w:r w:rsidRPr="00936FF8">
        <w:rPr>
          <w:rStyle w:val="FootnoteReference"/>
          <w:rFonts w:ascii="Arial" w:hAnsi="Arial" w:cs="Arial"/>
        </w:rPr>
        <w:footnoteRef/>
      </w:r>
      <w:r w:rsidRPr="00936FF8">
        <w:rPr>
          <w:rFonts w:ascii="Arial" w:hAnsi="Arial" w:cs="Arial"/>
        </w:rPr>
        <w:t xml:space="preserve"> </w:t>
      </w:r>
      <w:r w:rsidRPr="00936FF8">
        <w:rPr>
          <w:rFonts w:ascii="Arial" w:hAnsi="Arial" w:cs="Arial"/>
          <w:i/>
          <w:lang w:val="en-US"/>
        </w:rPr>
        <w:t>Public Interest Disclosure 2010</w:t>
      </w:r>
      <w:r w:rsidRPr="00936FF8">
        <w:rPr>
          <w:rFonts w:ascii="Arial" w:hAnsi="Arial" w:cs="Arial"/>
          <w:lang w:val="en-US"/>
        </w:rPr>
        <w:t>, section 40</w:t>
      </w:r>
    </w:p>
  </w:footnote>
  <w:footnote w:id="8">
    <w:p w:rsidR="00A00E53" w:rsidRPr="003018EE" w:rsidRDefault="00A00E53">
      <w:pPr>
        <w:pStyle w:val="FootnoteText"/>
        <w:rPr>
          <w:lang w:val="en-US"/>
        </w:rPr>
      </w:pPr>
      <w:r>
        <w:rPr>
          <w:rStyle w:val="FootnoteReference"/>
        </w:rPr>
        <w:footnoteRef/>
      </w:r>
      <w:r>
        <w:t xml:space="preserve"> </w:t>
      </w:r>
      <w:r w:rsidRPr="00936FF8">
        <w:rPr>
          <w:rFonts w:ascii="Arial" w:hAnsi="Arial" w:cs="Arial"/>
          <w:i/>
        </w:rPr>
        <w:t>Anti-Discrimination Act 1991</w:t>
      </w:r>
      <w:r w:rsidRPr="00936FF8">
        <w:rPr>
          <w:rFonts w:ascii="Arial" w:hAnsi="Arial" w:cs="Arial"/>
        </w:rPr>
        <w:t xml:space="preserve">, section </w:t>
      </w:r>
      <w:r>
        <w:rPr>
          <w:rFonts w:ascii="Arial" w:hAnsi="Arial" w:cs="Arial"/>
        </w:rPr>
        <w:t>175</w:t>
      </w:r>
    </w:p>
  </w:footnote>
  <w:footnote w:id="9">
    <w:p w:rsidR="00A00E53" w:rsidRPr="003018EE" w:rsidRDefault="00A00E53">
      <w:pPr>
        <w:pStyle w:val="FootnoteText"/>
        <w:rPr>
          <w:lang w:val="en-US"/>
        </w:rPr>
      </w:pPr>
      <w:r>
        <w:rPr>
          <w:rStyle w:val="FootnoteReference"/>
        </w:rPr>
        <w:footnoteRef/>
      </w:r>
      <w:r>
        <w:t xml:space="preserve"> </w:t>
      </w:r>
      <w:r w:rsidRPr="00936FF8">
        <w:rPr>
          <w:rFonts w:ascii="Arial" w:hAnsi="Arial" w:cs="Arial"/>
          <w:i/>
        </w:rPr>
        <w:t>Anti-Discrimination Act 1991</w:t>
      </w:r>
      <w:r w:rsidRPr="00936FF8">
        <w:rPr>
          <w:rFonts w:ascii="Arial" w:hAnsi="Arial" w:cs="Arial"/>
        </w:rPr>
        <w:t xml:space="preserve">, section </w:t>
      </w:r>
      <w:r>
        <w:rPr>
          <w:rFonts w:ascii="Arial" w:hAnsi="Arial" w:cs="Arial"/>
        </w:rPr>
        <w:t>113</w:t>
      </w:r>
    </w:p>
  </w:footnote>
  <w:footnote w:id="10">
    <w:p w:rsidR="00A00E53" w:rsidRPr="003018EE" w:rsidRDefault="00A00E53">
      <w:pPr>
        <w:pStyle w:val="FootnoteText"/>
        <w:rPr>
          <w:lang w:val="en-US"/>
        </w:rPr>
      </w:pPr>
      <w:r>
        <w:rPr>
          <w:rStyle w:val="FootnoteReference"/>
        </w:rPr>
        <w:footnoteRef/>
      </w:r>
      <w:r>
        <w:t xml:space="preserve"> </w:t>
      </w:r>
      <w:r w:rsidRPr="00936FF8">
        <w:rPr>
          <w:rFonts w:ascii="Arial" w:hAnsi="Arial" w:cs="Arial"/>
          <w:i/>
        </w:rPr>
        <w:t>Anti-Discrimination Act 1991</w:t>
      </w:r>
      <w:r w:rsidRPr="00936FF8">
        <w:rPr>
          <w:rFonts w:ascii="Arial" w:hAnsi="Arial" w:cs="Arial"/>
        </w:rPr>
        <w:t xml:space="preserve">, section </w:t>
      </w:r>
      <w:r>
        <w:rPr>
          <w:rFonts w:ascii="Arial" w:hAnsi="Arial" w:cs="Arial"/>
        </w:rPr>
        <w:t>144</w:t>
      </w:r>
    </w:p>
  </w:footnote>
  <w:footnote w:id="11">
    <w:p w:rsidR="00A00E53" w:rsidRPr="003018EE" w:rsidRDefault="00A00E53">
      <w:pPr>
        <w:pStyle w:val="FootnoteText"/>
        <w:rPr>
          <w:lang w:val="en-US"/>
        </w:rPr>
      </w:pPr>
      <w:r>
        <w:rPr>
          <w:rStyle w:val="FootnoteReference"/>
        </w:rPr>
        <w:footnoteRef/>
      </w:r>
      <w:r>
        <w:t xml:space="preserve"> </w:t>
      </w:r>
      <w:r w:rsidRPr="00936FF8">
        <w:rPr>
          <w:rFonts w:ascii="Arial" w:hAnsi="Arial" w:cs="Arial"/>
          <w:i/>
        </w:rPr>
        <w:t>Anti-Discrimination Act 1991</w:t>
      </w:r>
      <w:r w:rsidRPr="00936FF8">
        <w:rPr>
          <w:rFonts w:ascii="Arial" w:hAnsi="Arial" w:cs="Arial"/>
        </w:rPr>
        <w:t xml:space="preserve">, section </w:t>
      </w:r>
      <w:r>
        <w:rPr>
          <w:rFonts w:ascii="Arial" w:hAnsi="Arial" w:cs="Arial"/>
        </w:rPr>
        <w:t>169</w:t>
      </w:r>
    </w:p>
  </w:footnote>
  <w:footnote w:id="12">
    <w:p w:rsidR="00A00E53" w:rsidRPr="00721149" w:rsidRDefault="00A00E53">
      <w:pPr>
        <w:pStyle w:val="FootnoteText"/>
        <w:rPr>
          <w:lang w:val="en-US"/>
        </w:rPr>
      </w:pPr>
      <w:r>
        <w:rPr>
          <w:rStyle w:val="FootnoteReference"/>
        </w:rPr>
        <w:footnoteRef/>
      </w:r>
      <w:r>
        <w:t xml:space="preserve"> </w:t>
      </w:r>
      <w:r w:rsidRPr="00936FF8">
        <w:rPr>
          <w:rFonts w:ascii="Arial" w:hAnsi="Arial" w:cs="Arial"/>
          <w:i/>
        </w:rPr>
        <w:t>Anti-Discrimination Act 1991</w:t>
      </w:r>
      <w:r w:rsidRPr="00936FF8">
        <w:rPr>
          <w:rFonts w:ascii="Arial" w:hAnsi="Arial" w:cs="Arial"/>
        </w:rPr>
        <w:t xml:space="preserve">, section </w:t>
      </w:r>
      <w:r>
        <w:rPr>
          <w:rFonts w:ascii="Arial" w:hAnsi="Arial" w:cs="Arial"/>
        </w:rPr>
        <w:t>228</w:t>
      </w:r>
    </w:p>
  </w:footnote>
  <w:footnote w:id="13">
    <w:p w:rsidR="00A00E53" w:rsidRPr="00733E47" w:rsidRDefault="00A00E53">
      <w:pPr>
        <w:pStyle w:val="FootnoteText"/>
        <w:rPr>
          <w:rFonts w:ascii="Arial" w:hAnsi="Arial" w:cs="Arial"/>
          <w:lang w:val="en-US"/>
        </w:rPr>
      </w:pPr>
      <w:r w:rsidRPr="00733E47">
        <w:rPr>
          <w:rStyle w:val="FootnoteReference"/>
          <w:rFonts w:ascii="Arial" w:hAnsi="Arial" w:cs="Arial"/>
        </w:rPr>
        <w:footnoteRef/>
      </w:r>
      <w:r w:rsidRPr="00733E47">
        <w:rPr>
          <w:rFonts w:ascii="Arial" w:hAnsi="Arial" w:cs="Arial"/>
        </w:rPr>
        <w:t xml:space="preserve"> </w:t>
      </w:r>
      <w:r>
        <w:rPr>
          <w:rFonts w:ascii="Arial" w:hAnsi="Arial" w:cs="Arial"/>
          <w:i/>
          <w:lang w:val="en-US"/>
        </w:rPr>
        <w:t>Queensland Civil and Administrative Tribunal Act 2009</w:t>
      </w:r>
      <w:r w:rsidRPr="00733E47">
        <w:rPr>
          <w:rFonts w:ascii="Arial" w:hAnsi="Arial" w:cs="Arial"/>
          <w:lang w:val="en-US"/>
        </w:rPr>
        <w:t>, section 3</w:t>
      </w:r>
    </w:p>
  </w:footnote>
  <w:footnote w:id="14">
    <w:p w:rsidR="00A00E53" w:rsidRPr="00733E47" w:rsidRDefault="00A00E53">
      <w:pPr>
        <w:pStyle w:val="FootnoteText"/>
        <w:rPr>
          <w:rFonts w:ascii="Arial" w:hAnsi="Arial" w:cs="Arial"/>
          <w:lang w:val="en-US"/>
        </w:rPr>
      </w:pPr>
      <w:r w:rsidRPr="00733E47">
        <w:rPr>
          <w:rStyle w:val="FootnoteReference"/>
          <w:rFonts w:ascii="Arial" w:hAnsi="Arial" w:cs="Arial"/>
        </w:rPr>
        <w:footnoteRef/>
      </w:r>
      <w:r w:rsidRPr="00733E47">
        <w:rPr>
          <w:rFonts w:ascii="Arial" w:hAnsi="Arial" w:cs="Arial"/>
        </w:rPr>
        <w:t xml:space="preserve"> </w:t>
      </w:r>
      <w:r>
        <w:rPr>
          <w:rFonts w:ascii="Arial" w:hAnsi="Arial" w:cs="Arial"/>
          <w:i/>
          <w:lang w:val="en-US"/>
        </w:rPr>
        <w:t>Queensland Civil and Administrative Tribunal Act 2009</w:t>
      </w:r>
      <w:r w:rsidRPr="00733E47">
        <w:rPr>
          <w:rFonts w:ascii="Arial" w:hAnsi="Arial" w:cs="Arial"/>
          <w:lang w:val="en-US"/>
        </w:rPr>
        <w:t>, section 4</w:t>
      </w:r>
    </w:p>
  </w:footnote>
  <w:footnote w:id="15">
    <w:p w:rsidR="00A00E53" w:rsidRPr="000F027C" w:rsidRDefault="00A00E53">
      <w:pPr>
        <w:pStyle w:val="FootnoteText"/>
        <w:rPr>
          <w:rFonts w:ascii="Arial" w:hAnsi="Arial" w:cs="Arial"/>
          <w:lang w:val="en-US"/>
        </w:rPr>
      </w:pPr>
      <w:r w:rsidRPr="000F027C">
        <w:rPr>
          <w:rStyle w:val="FootnoteReference"/>
          <w:rFonts w:ascii="Arial" w:hAnsi="Arial" w:cs="Arial"/>
        </w:rPr>
        <w:footnoteRef/>
      </w:r>
      <w:r w:rsidRPr="000F027C">
        <w:rPr>
          <w:rFonts w:ascii="Arial" w:hAnsi="Arial" w:cs="Arial"/>
        </w:rPr>
        <w:t xml:space="preserve"> </w:t>
      </w:r>
      <w:r>
        <w:rPr>
          <w:rFonts w:ascii="Arial" w:hAnsi="Arial" w:cs="Arial"/>
          <w:i/>
        </w:rPr>
        <w:t xml:space="preserve">Anti-Discrimination Act 1991, </w:t>
      </w:r>
      <w:r>
        <w:rPr>
          <w:rFonts w:ascii="Arial" w:hAnsi="Arial" w:cs="Arial"/>
        </w:rPr>
        <w:t>section 250(2) (now repealed).  The same eligibility qualification applied also to the registrar of the ADT.</w:t>
      </w:r>
    </w:p>
  </w:footnote>
  <w:footnote w:id="16">
    <w:p w:rsidR="00A00E53" w:rsidRPr="000F027C" w:rsidRDefault="00A00E53">
      <w:pPr>
        <w:pStyle w:val="FootnoteText"/>
        <w:rPr>
          <w:rFonts w:ascii="Arial" w:hAnsi="Arial" w:cs="Arial"/>
          <w:lang w:val="en-US"/>
        </w:rPr>
      </w:pPr>
      <w:r w:rsidRPr="000F027C">
        <w:rPr>
          <w:rStyle w:val="FootnoteReference"/>
          <w:rFonts w:ascii="Arial" w:hAnsi="Arial" w:cs="Arial"/>
        </w:rPr>
        <w:footnoteRef/>
      </w:r>
      <w:r w:rsidRPr="000F027C">
        <w:rPr>
          <w:rFonts w:ascii="Arial" w:hAnsi="Arial" w:cs="Arial"/>
        </w:rPr>
        <w:t xml:space="preserve"> </w:t>
      </w:r>
      <w:r>
        <w:rPr>
          <w:rFonts w:ascii="Arial" w:hAnsi="Arial" w:cs="Arial"/>
          <w:i/>
        </w:rPr>
        <w:t xml:space="preserve">Anti-Discrimination Act 1991, </w:t>
      </w:r>
      <w:r>
        <w:rPr>
          <w:rFonts w:ascii="Arial" w:hAnsi="Arial" w:cs="Arial"/>
        </w:rPr>
        <w:t>section 250(4) (now repealed)</w:t>
      </w:r>
    </w:p>
  </w:footnote>
  <w:footnote w:id="17">
    <w:p w:rsidR="00A00E53" w:rsidRPr="0048245B" w:rsidRDefault="00A00E53">
      <w:pPr>
        <w:pStyle w:val="FootnoteText"/>
        <w:rPr>
          <w:rFonts w:ascii="Arial" w:hAnsi="Arial" w:cs="Arial"/>
          <w:lang w:val="en-US"/>
        </w:rPr>
      </w:pPr>
      <w:r w:rsidRPr="0048245B">
        <w:rPr>
          <w:rStyle w:val="FootnoteReference"/>
          <w:rFonts w:ascii="Arial" w:hAnsi="Arial" w:cs="Arial"/>
        </w:rPr>
        <w:footnoteRef/>
      </w:r>
      <w:r w:rsidRPr="0048245B">
        <w:rPr>
          <w:rFonts w:ascii="Arial" w:hAnsi="Arial" w:cs="Arial"/>
        </w:rPr>
        <w:t xml:space="preserve"> </w:t>
      </w:r>
      <w:r>
        <w:rPr>
          <w:rFonts w:ascii="Arial" w:hAnsi="Arial" w:cs="Arial"/>
          <w:i/>
        </w:rPr>
        <w:t xml:space="preserve">Anti-Discrimination Act 1991, </w:t>
      </w:r>
      <w:r>
        <w:rPr>
          <w:rFonts w:ascii="Arial" w:hAnsi="Arial" w:cs="Arial"/>
        </w:rPr>
        <w:t>section 176 (since amended)</w:t>
      </w:r>
    </w:p>
  </w:footnote>
  <w:footnote w:id="18">
    <w:p w:rsidR="00A00E53" w:rsidRDefault="00A00E53">
      <w:pPr>
        <w:pStyle w:val="FootnoteText"/>
        <w:rPr>
          <w:rFonts w:ascii="Arial" w:hAnsi="Arial" w:cs="Arial"/>
          <w:lang w:val="en-US"/>
        </w:rPr>
      </w:pPr>
      <w:r w:rsidRPr="00C610C6">
        <w:rPr>
          <w:rStyle w:val="FootnoteReference"/>
          <w:rFonts w:ascii="Arial" w:hAnsi="Arial" w:cs="Arial"/>
        </w:rPr>
        <w:footnoteRef/>
      </w:r>
      <w:r w:rsidRPr="00C610C6">
        <w:rPr>
          <w:rFonts w:ascii="Arial" w:hAnsi="Arial" w:cs="Arial"/>
        </w:rPr>
        <w:t xml:space="preserve"> </w:t>
      </w:r>
      <w:r>
        <w:rPr>
          <w:rFonts w:ascii="Arial" w:hAnsi="Arial" w:cs="Arial"/>
        </w:rPr>
        <w:t xml:space="preserve">Defined in the </w:t>
      </w:r>
      <w:r>
        <w:rPr>
          <w:rFonts w:ascii="Arial" w:hAnsi="Arial" w:cs="Arial"/>
          <w:i/>
          <w:lang w:val="en-US"/>
        </w:rPr>
        <w:t>Queensland Civil and Administrative Tribunal Act 2009</w:t>
      </w:r>
      <w:r>
        <w:rPr>
          <w:rFonts w:ascii="Arial" w:hAnsi="Arial" w:cs="Arial"/>
          <w:lang w:val="en-US"/>
        </w:rPr>
        <w:t>, schedule 3</w:t>
      </w:r>
    </w:p>
    <w:p w:rsidR="00A00E53" w:rsidRDefault="00A00E53">
      <w:pPr>
        <w:pStyle w:val="FootnoteText"/>
        <w:rPr>
          <w:rFonts w:ascii="Arial" w:hAnsi="Arial" w:cs="Arial"/>
          <w:lang w:val="en-US"/>
        </w:rPr>
      </w:pPr>
      <w:r>
        <w:rPr>
          <w:rFonts w:ascii="Arial" w:hAnsi="Arial" w:cs="Arial"/>
          <w:b/>
          <w:i/>
          <w:lang w:val="en-US"/>
        </w:rPr>
        <w:t>legally qualified member</w:t>
      </w:r>
      <w:r>
        <w:rPr>
          <w:rFonts w:ascii="Arial" w:hAnsi="Arial" w:cs="Arial"/>
          <w:lang w:val="en-US"/>
        </w:rPr>
        <w:t xml:space="preserve"> means –</w:t>
      </w:r>
    </w:p>
    <w:p w:rsidR="00A00E53" w:rsidRPr="00C610C6" w:rsidRDefault="00A00E53" w:rsidP="00C610C6">
      <w:pPr>
        <w:pStyle w:val="FootnoteText"/>
        <w:numPr>
          <w:ilvl w:val="0"/>
          <w:numId w:val="13"/>
        </w:numPr>
        <w:rPr>
          <w:rFonts w:ascii="Arial" w:hAnsi="Arial" w:cs="Arial"/>
        </w:rPr>
      </w:pPr>
      <w:r>
        <w:rPr>
          <w:rFonts w:ascii="Arial" w:hAnsi="Arial" w:cs="Arial"/>
          <w:lang w:val="en-US"/>
        </w:rPr>
        <w:t>a judicial member; or</w:t>
      </w:r>
    </w:p>
    <w:p w:rsidR="00A00E53" w:rsidRPr="00C610C6" w:rsidRDefault="00A00E53" w:rsidP="00C610C6">
      <w:pPr>
        <w:pStyle w:val="FootnoteText"/>
        <w:numPr>
          <w:ilvl w:val="0"/>
          <w:numId w:val="13"/>
        </w:numPr>
        <w:rPr>
          <w:rFonts w:ascii="Arial" w:hAnsi="Arial" w:cs="Arial"/>
        </w:rPr>
      </w:pPr>
      <w:r>
        <w:rPr>
          <w:rFonts w:ascii="Arial" w:hAnsi="Arial" w:cs="Arial"/>
          <w:lang w:val="en-US"/>
        </w:rPr>
        <w:t>an ordinary member or supplementary member who is a magistrate; or</w:t>
      </w:r>
    </w:p>
    <w:p w:rsidR="00A00E53" w:rsidRPr="00C610C6" w:rsidRDefault="00A00E53" w:rsidP="00C610C6">
      <w:pPr>
        <w:pStyle w:val="FootnoteText"/>
        <w:numPr>
          <w:ilvl w:val="0"/>
          <w:numId w:val="13"/>
        </w:numPr>
        <w:rPr>
          <w:rFonts w:ascii="Arial" w:hAnsi="Arial" w:cs="Arial"/>
        </w:rPr>
      </w:pPr>
      <w:r>
        <w:rPr>
          <w:rFonts w:ascii="Arial" w:hAnsi="Arial" w:cs="Arial"/>
        </w:rPr>
        <w:t>a senior member or ordinary member who is an Australian lawyer of at least 6 years standing.</w:t>
      </w:r>
    </w:p>
  </w:footnote>
  <w:footnote w:id="19">
    <w:p w:rsidR="00A00E53" w:rsidRPr="00087C82" w:rsidRDefault="00A00E53">
      <w:pPr>
        <w:pStyle w:val="FootnoteText"/>
        <w:rPr>
          <w:rFonts w:ascii="Arial" w:hAnsi="Arial" w:cs="Arial"/>
          <w:lang w:val="en-US"/>
        </w:rPr>
      </w:pPr>
      <w:r w:rsidRPr="00087C82">
        <w:rPr>
          <w:rStyle w:val="FootnoteReference"/>
          <w:rFonts w:ascii="Arial" w:hAnsi="Arial" w:cs="Arial"/>
        </w:rPr>
        <w:footnoteRef/>
      </w:r>
      <w:r w:rsidRPr="00087C82">
        <w:rPr>
          <w:rFonts w:ascii="Arial" w:hAnsi="Arial" w:cs="Arial"/>
        </w:rPr>
        <w:t xml:space="preserve"> </w:t>
      </w:r>
      <w:r>
        <w:rPr>
          <w:rFonts w:ascii="Arial" w:hAnsi="Arial" w:cs="Arial"/>
          <w:i/>
        </w:rPr>
        <w:t xml:space="preserve">CH v State of Queensland </w:t>
      </w:r>
      <w:r>
        <w:rPr>
          <w:rFonts w:ascii="Arial" w:hAnsi="Arial" w:cs="Arial"/>
        </w:rPr>
        <w:t>[2012] QCAT 536 at [34]</w:t>
      </w:r>
    </w:p>
  </w:footnote>
  <w:footnote w:id="20">
    <w:p w:rsidR="00A00E53" w:rsidRPr="000B5555" w:rsidRDefault="00A00E53">
      <w:pPr>
        <w:pStyle w:val="FootnoteText"/>
        <w:rPr>
          <w:rFonts w:ascii="Arial" w:hAnsi="Arial" w:cs="Arial"/>
          <w:lang w:val="en-US"/>
        </w:rPr>
      </w:pPr>
      <w:r w:rsidRPr="000B5555">
        <w:rPr>
          <w:rStyle w:val="FootnoteReference"/>
          <w:rFonts w:ascii="Arial" w:hAnsi="Arial" w:cs="Arial"/>
        </w:rPr>
        <w:footnoteRef/>
      </w:r>
      <w:r w:rsidRPr="000B5555">
        <w:rPr>
          <w:rFonts w:ascii="Arial" w:hAnsi="Arial" w:cs="Arial"/>
        </w:rPr>
        <w:t xml:space="preserve"> </w:t>
      </w:r>
      <w:r>
        <w:rPr>
          <w:rFonts w:ascii="Arial" w:hAnsi="Arial" w:cs="Arial"/>
        </w:rPr>
        <w:t xml:space="preserve">See </w:t>
      </w:r>
      <w:r>
        <w:rPr>
          <w:rFonts w:ascii="Arial" w:hAnsi="Arial" w:cs="Arial"/>
          <w:i/>
        </w:rPr>
        <w:t xml:space="preserve">Anti-Discrimination Act 1991, </w:t>
      </w:r>
      <w:r>
        <w:rPr>
          <w:rFonts w:ascii="Arial" w:hAnsi="Arial" w:cs="Arial"/>
        </w:rPr>
        <w:t xml:space="preserve">section 231; and </w:t>
      </w:r>
      <w:r>
        <w:rPr>
          <w:rFonts w:ascii="Arial" w:hAnsi="Arial" w:cs="Arial"/>
          <w:i/>
        </w:rPr>
        <w:t xml:space="preserve">Opinion re: Pharmacist Board of Queensland </w:t>
      </w:r>
      <w:r>
        <w:rPr>
          <w:rFonts w:ascii="Arial" w:hAnsi="Arial" w:cs="Arial"/>
        </w:rPr>
        <w:t>[2008] QADT 3 at [17]</w:t>
      </w:r>
    </w:p>
  </w:footnote>
  <w:footnote w:id="21">
    <w:p w:rsidR="00A00E53" w:rsidRPr="00F77FCD" w:rsidRDefault="00A00E53">
      <w:pPr>
        <w:pStyle w:val="FootnoteText"/>
        <w:rPr>
          <w:rFonts w:ascii="Arial" w:hAnsi="Arial" w:cs="Arial"/>
        </w:rPr>
      </w:pPr>
      <w:r w:rsidRPr="00F77FCD">
        <w:rPr>
          <w:rStyle w:val="FootnoteReference"/>
          <w:rFonts w:ascii="Arial" w:hAnsi="Arial" w:cs="Arial"/>
        </w:rPr>
        <w:footnoteRef/>
      </w:r>
      <w:r w:rsidRPr="00F77FCD">
        <w:rPr>
          <w:rFonts w:ascii="Arial" w:hAnsi="Arial" w:cs="Arial"/>
        </w:rPr>
        <w:t xml:space="preserve"> </w:t>
      </w:r>
      <w:r>
        <w:rPr>
          <w:rFonts w:ascii="Arial" w:hAnsi="Arial" w:cs="Arial"/>
          <w:i/>
        </w:rPr>
        <w:t xml:space="preserve">Anti-Discrimination Act 1991, </w:t>
      </w:r>
      <w:r>
        <w:rPr>
          <w:rFonts w:ascii="Arial" w:hAnsi="Arial" w:cs="Arial"/>
        </w:rPr>
        <w:t>section 228A</w:t>
      </w:r>
    </w:p>
  </w:footnote>
  <w:footnote w:id="22">
    <w:p w:rsidR="00A00E53" w:rsidRPr="00F77FCD" w:rsidRDefault="00A00E53">
      <w:pPr>
        <w:pStyle w:val="FootnoteText"/>
        <w:rPr>
          <w:rFonts w:ascii="Arial" w:hAnsi="Arial" w:cs="Arial"/>
          <w:lang w:val="en-US"/>
        </w:rPr>
      </w:pPr>
      <w:r w:rsidRPr="00F77FCD">
        <w:rPr>
          <w:rStyle w:val="FootnoteReference"/>
          <w:rFonts w:ascii="Arial" w:hAnsi="Arial" w:cs="Arial"/>
        </w:rPr>
        <w:footnoteRef/>
      </w:r>
      <w:r w:rsidRPr="00F77FCD">
        <w:rPr>
          <w:rFonts w:ascii="Arial" w:hAnsi="Arial" w:cs="Arial"/>
        </w:rPr>
        <w:t xml:space="preserve"> </w:t>
      </w:r>
      <w:r>
        <w:rPr>
          <w:rFonts w:ascii="Arial" w:hAnsi="Arial" w:cs="Arial"/>
        </w:rPr>
        <w:t xml:space="preserve">The tribunal has a discretion whether or not to provide an opinion – </w:t>
      </w:r>
      <w:r>
        <w:rPr>
          <w:rFonts w:ascii="Arial" w:hAnsi="Arial" w:cs="Arial"/>
          <w:i/>
        </w:rPr>
        <w:t xml:space="preserve">Anti-Discrimination Act 1991, </w:t>
      </w:r>
      <w:r>
        <w:rPr>
          <w:rFonts w:ascii="Arial" w:hAnsi="Arial" w:cs="Arial"/>
        </w:rPr>
        <w:t>section 229</w:t>
      </w:r>
    </w:p>
  </w:footnote>
  <w:footnote w:id="23">
    <w:p w:rsidR="00A00E53" w:rsidRPr="0052150A" w:rsidRDefault="00A00E53">
      <w:pPr>
        <w:pStyle w:val="FootnoteText"/>
        <w:rPr>
          <w:rFonts w:ascii="Arial" w:hAnsi="Arial" w:cs="Arial"/>
          <w:lang w:val="en-US"/>
        </w:rPr>
      </w:pPr>
      <w:r w:rsidRPr="0052150A">
        <w:rPr>
          <w:rStyle w:val="FootnoteReference"/>
          <w:rFonts w:ascii="Arial" w:hAnsi="Arial" w:cs="Arial"/>
        </w:rPr>
        <w:footnoteRef/>
      </w:r>
      <w:r w:rsidRPr="0052150A">
        <w:rPr>
          <w:rFonts w:ascii="Arial" w:hAnsi="Arial" w:cs="Arial"/>
        </w:rPr>
        <w:t xml:space="preserve"> </w:t>
      </w:r>
      <w:r>
        <w:rPr>
          <w:rFonts w:ascii="Arial" w:hAnsi="Arial" w:cs="Arial"/>
          <w:i/>
        </w:rPr>
        <w:t xml:space="preserve">Queensland Civil and Administrative Tribunal Act 2009, </w:t>
      </w:r>
      <w:r>
        <w:rPr>
          <w:rFonts w:ascii="Arial" w:hAnsi="Arial" w:cs="Arial"/>
        </w:rPr>
        <w:t>section 69</w:t>
      </w:r>
    </w:p>
  </w:footnote>
  <w:footnote w:id="24">
    <w:p w:rsidR="00A00E53" w:rsidRPr="00005A0A" w:rsidRDefault="00A00E53">
      <w:pPr>
        <w:pStyle w:val="FootnoteText"/>
        <w:rPr>
          <w:rFonts w:ascii="Arial" w:hAnsi="Arial" w:cs="Arial"/>
          <w:lang w:val="en-US"/>
        </w:rPr>
      </w:pPr>
      <w:r w:rsidRPr="00005A0A">
        <w:rPr>
          <w:rStyle w:val="FootnoteReference"/>
          <w:rFonts w:ascii="Arial" w:hAnsi="Arial" w:cs="Arial"/>
        </w:rPr>
        <w:footnoteRef/>
      </w:r>
      <w:r w:rsidRPr="00005A0A">
        <w:rPr>
          <w:rFonts w:ascii="Arial" w:hAnsi="Arial" w:cs="Arial"/>
        </w:rPr>
        <w:t xml:space="preserve"> </w:t>
      </w:r>
      <w:r>
        <w:rPr>
          <w:rFonts w:ascii="Arial" w:hAnsi="Arial" w:cs="Arial"/>
        </w:rPr>
        <w:t>Anti-Discrimination Commission Queensland Annual Reports: In 2008-2009 48% of matters settled at conciliation conference; in 2007-2008 45% of matters conciliated settled at conference; in 2006-2007 57% of matters conciliated settled at conference.</w:t>
      </w:r>
    </w:p>
  </w:footnote>
  <w:footnote w:id="25">
    <w:p w:rsidR="00A00E53" w:rsidRPr="00A503DD" w:rsidRDefault="00A00E53">
      <w:pPr>
        <w:pStyle w:val="FootnoteText"/>
        <w:rPr>
          <w:rFonts w:ascii="Arial" w:hAnsi="Arial" w:cs="Arial"/>
          <w:lang w:val="en-US"/>
        </w:rPr>
      </w:pPr>
      <w:r w:rsidRPr="00A503DD">
        <w:rPr>
          <w:rStyle w:val="FootnoteReference"/>
          <w:rFonts w:ascii="Arial" w:hAnsi="Arial" w:cs="Arial"/>
        </w:rPr>
        <w:footnoteRef/>
      </w:r>
      <w:r w:rsidRPr="00A503DD">
        <w:rPr>
          <w:rFonts w:ascii="Arial" w:hAnsi="Arial" w:cs="Arial"/>
        </w:rPr>
        <w:t xml:space="preserve"> </w:t>
      </w:r>
      <w:r>
        <w:rPr>
          <w:rFonts w:ascii="Arial" w:hAnsi="Arial" w:cs="Arial"/>
          <w:i/>
        </w:rPr>
        <w:t xml:space="preserve">Queensland Civil and Administrative Tribunal Act 2009, </w:t>
      </w:r>
      <w:r>
        <w:rPr>
          <w:rFonts w:ascii="Arial" w:hAnsi="Arial" w:cs="Arial"/>
        </w:rPr>
        <w:t>section 70</w:t>
      </w:r>
    </w:p>
  </w:footnote>
  <w:footnote w:id="26">
    <w:p w:rsidR="00A00E53" w:rsidRPr="00296D7B" w:rsidRDefault="00A00E53">
      <w:pPr>
        <w:pStyle w:val="FootnoteText"/>
        <w:rPr>
          <w:rFonts w:ascii="Arial" w:hAnsi="Arial" w:cs="Arial"/>
        </w:rPr>
      </w:pPr>
      <w:r w:rsidRPr="00296D7B">
        <w:rPr>
          <w:rStyle w:val="FootnoteReference"/>
          <w:rFonts w:ascii="Arial" w:hAnsi="Arial" w:cs="Arial"/>
        </w:rPr>
        <w:footnoteRef/>
      </w:r>
      <w:r w:rsidRPr="00296D7B">
        <w:rPr>
          <w:rFonts w:ascii="Arial" w:hAnsi="Arial" w:cs="Arial"/>
        </w:rPr>
        <w:t xml:space="preserve"> </w:t>
      </w:r>
      <w:r w:rsidRPr="00296D7B">
        <w:rPr>
          <w:rFonts w:ascii="Arial" w:hAnsi="Arial" w:cs="Arial"/>
          <w:i/>
        </w:rPr>
        <w:t xml:space="preserve">Queensland Civil and Administrative Tribunal Act 2009, </w:t>
      </w:r>
      <w:r w:rsidRPr="00296D7B">
        <w:rPr>
          <w:rFonts w:ascii="Arial" w:hAnsi="Arial" w:cs="Arial"/>
        </w:rPr>
        <w:t>section 182 empowers the President to delegate functions other than adjudicating in the tribunal.</w:t>
      </w:r>
    </w:p>
  </w:footnote>
  <w:footnote w:id="27">
    <w:p w:rsidR="00A00E53" w:rsidRPr="00BF10B1" w:rsidRDefault="00A00E53">
      <w:pPr>
        <w:pStyle w:val="FootnoteText"/>
        <w:rPr>
          <w:rFonts w:ascii="Arial" w:hAnsi="Arial" w:cs="Arial"/>
        </w:rPr>
      </w:pPr>
      <w:r w:rsidRPr="00BF10B1">
        <w:rPr>
          <w:rStyle w:val="FootnoteReference"/>
          <w:rFonts w:ascii="Arial" w:hAnsi="Arial" w:cs="Arial"/>
        </w:rPr>
        <w:footnoteRef/>
      </w:r>
      <w:r w:rsidRPr="00BF10B1">
        <w:rPr>
          <w:rFonts w:ascii="Arial" w:hAnsi="Arial" w:cs="Arial"/>
        </w:rPr>
        <w:t xml:space="preserve"> QCAT News, February 2013; Proctor, February 2013 Letter to the editor from the President QCAT</w:t>
      </w:r>
    </w:p>
  </w:footnote>
  <w:footnote w:id="28">
    <w:p w:rsidR="00A00E53" w:rsidRPr="00C57509" w:rsidRDefault="00A00E53">
      <w:pPr>
        <w:pStyle w:val="FootnoteText"/>
        <w:rPr>
          <w:rFonts w:ascii="Arial" w:hAnsi="Arial" w:cs="Arial"/>
        </w:rPr>
      </w:pPr>
      <w:r w:rsidRPr="00C57509">
        <w:rPr>
          <w:rStyle w:val="FootnoteReference"/>
          <w:rFonts w:ascii="Arial" w:hAnsi="Arial" w:cs="Arial"/>
        </w:rPr>
        <w:footnoteRef/>
      </w:r>
      <w:r w:rsidRPr="00C57509">
        <w:rPr>
          <w:rFonts w:ascii="Arial" w:hAnsi="Arial" w:cs="Arial"/>
        </w:rPr>
        <w:t xml:space="preserve"> Decisions published on the Supreme Court Library website</w:t>
      </w:r>
    </w:p>
  </w:footnote>
  <w:footnote w:id="29">
    <w:p w:rsidR="00A00E53" w:rsidRPr="00ED16C5" w:rsidRDefault="00A00E53">
      <w:pPr>
        <w:pStyle w:val="FootnoteText"/>
        <w:rPr>
          <w:rFonts w:ascii="Arial" w:hAnsi="Arial" w:cs="Arial"/>
        </w:rPr>
      </w:pPr>
      <w:r w:rsidRPr="00ED16C5">
        <w:rPr>
          <w:rStyle w:val="FootnoteReference"/>
          <w:rFonts w:ascii="Arial" w:hAnsi="Arial" w:cs="Arial"/>
        </w:rPr>
        <w:footnoteRef/>
      </w:r>
      <w:r w:rsidRPr="00ED16C5">
        <w:rPr>
          <w:rFonts w:ascii="Arial" w:hAnsi="Arial" w:cs="Arial"/>
        </w:rPr>
        <w:t xml:space="preserve"> </w:t>
      </w:r>
      <w:r w:rsidRPr="00ED16C5">
        <w:rPr>
          <w:rFonts w:ascii="Arial" w:hAnsi="Arial" w:cs="Arial"/>
          <w:i/>
        </w:rPr>
        <w:t>Anti-Discrimination Act 1991</w:t>
      </w:r>
      <w:r w:rsidRPr="00ED16C5">
        <w:rPr>
          <w:rFonts w:ascii="Arial" w:hAnsi="Arial" w:cs="Arial"/>
        </w:rPr>
        <w:t>, section 187 (now repealed)</w:t>
      </w:r>
    </w:p>
  </w:footnote>
  <w:footnote w:id="30">
    <w:p w:rsidR="00A00E53" w:rsidRPr="00ED16C5" w:rsidRDefault="00A00E53">
      <w:pPr>
        <w:pStyle w:val="FootnoteText"/>
        <w:rPr>
          <w:rFonts w:ascii="Arial" w:hAnsi="Arial" w:cs="Arial"/>
          <w:lang w:val="fr-FR"/>
        </w:rPr>
      </w:pPr>
      <w:r w:rsidRPr="00ED16C5">
        <w:rPr>
          <w:rStyle w:val="FootnoteReference"/>
          <w:rFonts w:ascii="Arial" w:hAnsi="Arial" w:cs="Arial"/>
        </w:rPr>
        <w:footnoteRef/>
      </w:r>
      <w:r w:rsidRPr="00ED16C5">
        <w:rPr>
          <w:rFonts w:ascii="Arial" w:hAnsi="Arial" w:cs="Arial"/>
          <w:lang w:val="fr-FR"/>
        </w:rPr>
        <w:t xml:space="preserve"> Anti-Discrimination Tribunal Practice Direction 9 </w:t>
      </w:r>
    </w:p>
  </w:footnote>
  <w:footnote w:id="31">
    <w:p w:rsidR="00A00E53" w:rsidRPr="00ED16C5" w:rsidRDefault="00A00E53">
      <w:pPr>
        <w:pStyle w:val="FootnoteText"/>
      </w:pPr>
      <w:r>
        <w:rPr>
          <w:rStyle w:val="FootnoteReference"/>
        </w:rPr>
        <w:footnoteRef/>
      </w:r>
      <w:r>
        <w:t xml:space="preserve"> </w:t>
      </w:r>
      <w:r w:rsidRPr="00ED16C5">
        <w:rPr>
          <w:rFonts w:ascii="Arial" w:hAnsi="Arial" w:cs="Arial"/>
          <w:i/>
        </w:rPr>
        <w:t>Anti-Discrimination Act 1991</w:t>
      </w:r>
      <w:r w:rsidRPr="00ED16C5">
        <w:rPr>
          <w:rFonts w:ascii="Arial" w:hAnsi="Arial" w:cs="Arial"/>
        </w:rPr>
        <w:t>, section 1</w:t>
      </w:r>
      <w:r>
        <w:rPr>
          <w:rFonts w:ascii="Arial" w:hAnsi="Arial" w:cs="Arial"/>
        </w:rPr>
        <w:t>63</w:t>
      </w:r>
    </w:p>
  </w:footnote>
  <w:footnote w:id="32">
    <w:p w:rsidR="00A00E53" w:rsidRPr="003F6F09" w:rsidRDefault="00A00E53">
      <w:pPr>
        <w:pStyle w:val="FootnoteText"/>
        <w:rPr>
          <w:rFonts w:ascii="Arial" w:hAnsi="Arial" w:cs="Arial"/>
        </w:rPr>
      </w:pPr>
      <w:r w:rsidRPr="003F6F09">
        <w:rPr>
          <w:rStyle w:val="FootnoteReference"/>
          <w:rFonts w:ascii="Arial" w:hAnsi="Arial" w:cs="Arial"/>
        </w:rPr>
        <w:footnoteRef/>
      </w:r>
      <w:r w:rsidRPr="003F6F09">
        <w:rPr>
          <w:rFonts w:ascii="Arial" w:hAnsi="Arial" w:cs="Arial"/>
        </w:rPr>
        <w:t xml:space="preserve"> </w:t>
      </w:r>
      <w:r w:rsidRPr="003F6F09">
        <w:rPr>
          <w:rFonts w:ascii="Arial" w:hAnsi="Arial" w:cs="Arial"/>
          <w:i/>
        </w:rPr>
        <w:t xml:space="preserve">Gill v Roberts </w:t>
      </w:r>
      <w:r w:rsidRPr="003F6F09">
        <w:rPr>
          <w:rFonts w:ascii="Arial" w:hAnsi="Arial" w:cs="Arial"/>
        </w:rPr>
        <w:t>[2011] QCAT 515</w:t>
      </w:r>
    </w:p>
  </w:footnote>
  <w:footnote w:id="33">
    <w:p w:rsidR="00A00E53" w:rsidRPr="004F6CC2" w:rsidRDefault="00A00E53">
      <w:pPr>
        <w:pStyle w:val="FootnoteText"/>
        <w:rPr>
          <w:rFonts w:ascii="Arial" w:hAnsi="Arial" w:cs="Arial"/>
        </w:rPr>
      </w:pPr>
      <w:r w:rsidRPr="004F6CC2">
        <w:rPr>
          <w:rStyle w:val="FootnoteReference"/>
          <w:rFonts w:ascii="Arial" w:hAnsi="Arial" w:cs="Arial"/>
        </w:rPr>
        <w:footnoteRef/>
      </w:r>
      <w:r w:rsidRPr="004F6CC2">
        <w:rPr>
          <w:rFonts w:ascii="Arial" w:hAnsi="Arial" w:cs="Arial"/>
        </w:rPr>
        <w:t xml:space="preserve"> Ibid, at [6]</w:t>
      </w:r>
    </w:p>
  </w:footnote>
  <w:footnote w:id="34">
    <w:p w:rsidR="00A00E53" w:rsidRPr="004F6CC2" w:rsidRDefault="00A00E53">
      <w:pPr>
        <w:pStyle w:val="FootnoteText"/>
        <w:rPr>
          <w:rFonts w:ascii="Arial" w:hAnsi="Arial" w:cs="Arial"/>
        </w:rPr>
      </w:pPr>
      <w:r w:rsidRPr="004F6CC2">
        <w:rPr>
          <w:rStyle w:val="FootnoteReference"/>
          <w:rFonts w:ascii="Arial" w:hAnsi="Arial" w:cs="Arial"/>
        </w:rPr>
        <w:footnoteRef/>
      </w:r>
      <w:r w:rsidRPr="004F6CC2">
        <w:rPr>
          <w:rFonts w:ascii="Arial" w:hAnsi="Arial" w:cs="Arial"/>
        </w:rPr>
        <w:t xml:space="preserve"> Ibid, at [7]</w:t>
      </w:r>
    </w:p>
  </w:footnote>
  <w:footnote w:id="35">
    <w:p w:rsidR="00A00E53" w:rsidRPr="004F6CC2" w:rsidRDefault="00A00E53">
      <w:pPr>
        <w:pStyle w:val="FootnoteText"/>
        <w:rPr>
          <w:rFonts w:ascii="Arial" w:hAnsi="Arial" w:cs="Arial"/>
        </w:rPr>
      </w:pPr>
      <w:r w:rsidRPr="004F6CC2">
        <w:rPr>
          <w:rStyle w:val="FootnoteReference"/>
          <w:rFonts w:ascii="Arial" w:hAnsi="Arial" w:cs="Arial"/>
        </w:rPr>
        <w:footnoteRef/>
      </w:r>
      <w:r w:rsidRPr="004F6CC2">
        <w:rPr>
          <w:rFonts w:ascii="Arial" w:hAnsi="Arial" w:cs="Arial"/>
        </w:rPr>
        <w:t xml:space="preserve"> Ibid, at [7]</w:t>
      </w:r>
    </w:p>
  </w:footnote>
  <w:footnote w:id="36">
    <w:p w:rsidR="00A00E53" w:rsidRPr="004F6CC2" w:rsidRDefault="00A00E53">
      <w:pPr>
        <w:pStyle w:val="FootnoteText"/>
        <w:rPr>
          <w:rFonts w:ascii="Arial" w:hAnsi="Arial" w:cs="Arial"/>
        </w:rPr>
      </w:pPr>
      <w:r w:rsidRPr="004F6CC2">
        <w:rPr>
          <w:rStyle w:val="FootnoteReference"/>
          <w:rFonts w:ascii="Arial" w:hAnsi="Arial" w:cs="Arial"/>
        </w:rPr>
        <w:footnoteRef/>
      </w:r>
      <w:r w:rsidRPr="004F6CC2">
        <w:rPr>
          <w:rFonts w:ascii="Arial" w:hAnsi="Arial" w:cs="Arial"/>
        </w:rPr>
        <w:t xml:space="preserve"> Ibid, at [8]</w:t>
      </w:r>
    </w:p>
  </w:footnote>
  <w:footnote w:id="37">
    <w:p w:rsidR="00A00E53" w:rsidRPr="004F6CC2" w:rsidRDefault="00A00E53">
      <w:pPr>
        <w:pStyle w:val="FootnoteText"/>
        <w:rPr>
          <w:rFonts w:ascii="Arial" w:hAnsi="Arial" w:cs="Arial"/>
        </w:rPr>
      </w:pPr>
      <w:r w:rsidRPr="004F6CC2">
        <w:rPr>
          <w:rStyle w:val="FootnoteReference"/>
          <w:rFonts w:ascii="Arial" w:hAnsi="Arial" w:cs="Arial"/>
        </w:rPr>
        <w:footnoteRef/>
      </w:r>
      <w:r w:rsidRPr="004F6CC2">
        <w:rPr>
          <w:rFonts w:ascii="Arial" w:hAnsi="Arial" w:cs="Arial"/>
        </w:rPr>
        <w:t xml:space="preserve"> Ibid, at [10]</w:t>
      </w:r>
    </w:p>
  </w:footnote>
  <w:footnote w:id="38">
    <w:p w:rsidR="00A00E53" w:rsidRPr="00B8160F" w:rsidRDefault="00A00E53">
      <w:pPr>
        <w:pStyle w:val="FootnoteText"/>
        <w:rPr>
          <w:rFonts w:ascii="Arial" w:hAnsi="Arial" w:cs="Arial"/>
        </w:rPr>
      </w:pPr>
      <w:r w:rsidRPr="00B8160F">
        <w:rPr>
          <w:rStyle w:val="FootnoteReference"/>
          <w:rFonts w:ascii="Arial" w:hAnsi="Arial" w:cs="Arial"/>
        </w:rPr>
        <w:footnoteRef/>
      </w:r>
      <w:r w:rsidRPr="00B8160F">
        <w:rPr>
          <w:rFonts w:ascii="Arial" w:hAnsi="Arial" w:cs="Arial"/>
        </w:rPr>
        <w:t xml:space="preserve"> See for example, </w:t>
      </w:r>
      <w:r w:rsidRPr="00B8160F">
        <w:rPr>
          <w:rFonts w:ascii="Arial" w:hAnsi="Arial" w:cs="Arial"/>
          <w:i/>
        </w:rPr>
        <w:t xml:space="preserve">Dapontes v State of Queensland &amp; Anor </w:t>
      </w:r>
      <w:r w:rsidRPr="00B8160F">
        <w:rPr>
          <w:rFonts w:ascii="Arial" w:hAnsi="Arial" w:cs="Arial"/>
        </w:rPr>
        <w:t xml:space="preserve">[2011] QCAT 716; </w:t>
      </w:r>
      <w:r w:rsidRPr="00B8160F">
        <w:rPr>
          <w:rFonts w:ascii="Arial" w:hAnsi="Arial" w:cs="Arial"/>
          <w:i/>
        </w:rPr>
        <w:t xml:space="preserve">Dapontes v State of Queensland &amp; Anor (No. 2) </w:t>
      </w:r>
      <w:r w:rsidRPr="00B8160F">
        <w:rPr>
          <w:rFonts w:ascii="Arial" w:hAnsi="Arial" w:cs="Arial"/>
        </w:rPr>
        <w:t xml:space="preserve">[2011] QCAT 717; </w:t>
      </w:r>
      <w:r w:rsidRPr="00B8160F">
        <w:rPr>
          <w:rFonts w:ascii="Arial" w:hAnsi="Arial" w:cs="Arial"/>
          <w:i/>
        </w:rPr>
        <w:t xml:space="preserve">Dapontes v State of Queensland &amp; Anor (No. 3) </w:t>
      </w:r>
      <w:r w:rsidRPr="00B8160F">
        <w:rPr>
          <w:rFonts w:ascii="Arial" w:hAnsi="Arial" w:cs="Arial"/>
        </w:rPr>
        <w:t xml:space="preserve">[2011] QCAT 718; </w:t>
      </w:r>
      <w:r w:rsidRPr="00B8160F">
        <w:rPr>
          <w:rFonts w:ascii="Arial" w:hAnsi="Arial" w:cs="Arial"/>
          <w:i/>
        </w:rPr>
        <w:t xml:space="preserve">Aleksic v Commonwealth Bank of Australia </w:t>
      </w:r>
      <w:r w:rsidRPr="00B8160F">
        <w:rPr>
          <w:rFonts w:ascii="Arial" w:hAnsi="Arial" w:cs="Arial"/>
        </w:rPr>
        <w:t>[2011] QCAT 78</w:t>
      </w:r>
    </w:p>
  </w:footnote>
  <w:footnote w:id="39">
    <w:p w:rsidR="00A00E53" w:rsidRPr="00D77D2A" w:rsidRDefault="00A00E53">
      <w:pPr>
        <w:pStyle w:val="FootnoteText"/>
        <w:rPr>
          <w:rFonts w:ascii="Arial" w:hAnsi="Arial" w:cs="Arial"/>
        </w:rPr>
      </w:pPr>
      <w:r w:rsidRPr="00D77D2A">
        <w:rPr>
          <w:rStyle w:val="FootnoteReference"/>
          <w:rFonts w:ascii="Arial" w:hAnsi="Arial" w:cs="Arial"/>
        </w:rPr>
        <w:footnoteRef/>
      </w:r>
      <w:r w:rsidRPr="00D77D2A">
        <w:rPr>
          <w:rFonts w:ascii="Arial" w:hAnsi="Arial" w:cs="Arial"/>
        </w:rPr>
        <w:t xml:space="preserve"> </w:t>
      </w:r>
      <w:r w:rsidRPr="00D77D2A">
        <w:rPr>
          <w:rFonts w:ascii="Arial" w:hAnsi="Arial" w:cs="Arial"/>
          <w:i/>
        </w:rPr>
        <w:t xml:space="preserve">Paties v Tricare (Hostels) Pty Ltd </w:t>
      </w:r>
      <w:r w:rsidRPr="00D77D2A">
        <w:rPr>
          <w:rFonts w:ascii="Arial" w:hAnsi="Arial" w:cs="Arial"/>
        </w:rPr>
        <w:t>[2012] QCAT 696</w:t>
      </w:r>
    </w:p>
  </w:footnote>
  <w:footnote w:id="40">
    <w:p w:rsidR="00A00E53" w:rsidRPr="00F54A87" w:rsidRDefault="00A00E53">
      <w:pPr>
        <w:pStyle w:val="FootnoteText"/>
        <w:rPr>
          <w:rFonts w:ascii="Arial" w:hAnsi="Arial" w:cs="Arial"/>
        </w:rPr>
      </w:pPr>
      <w:r w:rsidRPr="00F54A87">
        <w:rPr>
          <w:rStyle w:val="FootnoteReference"/>
          <w:rFonts w:ascii="Arial" w:hAnsi="Arial" w:cs="Arial"/>
        </w:rPr>
        <w:footnoteRef/>
      </w:r>
      <w:r w:rsidRPr="00F54A87">
        <w:rPr>
          <w:rFonts w:ascii="Arial" w:hAnsi="Arial" w:cs="Arial"/>
        </w:rPr>
        <w:t xml:space="preserve"> ‘Precis’</w:t>
      </w:r>
      <w:r>
        <w:rPr>
          <w:rFonts w:ascii="Arial" w:hAnsi="Arial" w:cs="Arial"/>
        </w:rPr>
        <w:t>,</w:t>
      </w:r>
      <w:r w:rsidRPr="00F54A87">
        <w:rPr>
          <w:rFonts w:ascii="Arial" w:hAnsi="Arial" w:cs="Arial"/>
        </w:rPr>
        <w:t xml:space="preserve"> Law Council of Australia, Issue 163, 19 February 2013.</w:t>
      </w:r>
    </w:p>
  </w:footnote>
  <w:footnote w:id="41">
    <w:p w:rsidR="00A00E53" w:rsidRPr="0028769D" w:rsidRDefault="00A00E53">
      <w:pPr>
        <w:pStyle w:val="FootnoteText"/>
        <w:rPr>
          <w:rFonts w:ascii="Arial" w:hAnsi="Arial" w:cs="Arial"/>
        </w:rPr>
      </w:pPr>
      <w:r w:rsidRPr="0028769D">
        <w:rPr>
          <w:rStyle w:val="FootnoteReference"/>
          <w:rFonts w:ascii="Arial" w:hAnsi="Arial" w:cs="Arial"/>
        </w:rPr>
        <w:footnoteRef/>
      </w:r>
      <w:r w:rsidRPr="0028769D">
        <w:rPr>
          <w:rFonts w:ascii="Arial" w:hAnsi="Arial" w:cs="Arial"/>
        </w:rPr>
        <w:t xml:space="preserve"> </w:t>
      </w:r>
      <w:r>
        <w:rPr>
          <w:rFonts w:ascii="Arial" w:hAnsi="Arial" w:cs="Arial"/>
          <w:i/>
        </w:rPr>
        <w:t xml:space="preserve">State of Queensland v Mahommed </w:t>
      </w:r>
      <w:r>
        <w:rPr>
          <w:rFonts w:ascii="Arial" w:hAnsi="Arial" w:cs="Arial"/>
        </w:rPr>
        <w:t xml:space="preserve">[2007] QSC 18 at [34], and referencing Narelle Bedford and Robin Creyke: </w:t>
      </w:r>
      <w:r>
        <w:rPr>
          <w:rFonts w:ascii="Arial" w:hAnsi="Arial" w:cs="Arial"/>
          <w:i/>
        </w:rPr>
        <w:t xml:space="preserve">Inquisitorial Processes in Australian Tribunals </w:t>
      </w:r>
      <w:r>
        <w:rPr>
          <w:rFonts w:ascii="Arial" w:hAnsi="Arial" w:cs="Arial"/>
        </w:rPr>
        <w:t>2006, AIJA publication, p27</w:t>
      </w:r>
    </w:p>
  </w:footnote>
  <w:footnote w:id="42">
    <w:p w:rsidR="00A00E53" w:rsidRPr="00E95CE8" w:rsidRDefault="00A00E53" w:rsidP="00BF0D30">
      <w:pPr>
        <w:pStyle w:val="FootnoteText"/>
        <w:rPr>
          <w:rFonts w:ascii="Arial" w:hAnsi="Arial" w:cs="Arial"/>
        </w:rPr>
      </w:pPr>
      <w:r w:rsidRPr="00E95CE8">
        <w:rPr>
          <w:rStyle w:val="FootnoteReference"/>
          <w:rFonts w:ascii="Arial" w:hAnsi="Arial" w:cs="Arial"/>
        </w:rPr>
        <w:footnoteRef/>
      </w:r>
      <w:r w:rsidRPr="00E95CE8">
        <w:rPr>
          <w:rFonts w:ascii="Arial" w:hAnsi="Arial" w:cs="Arial"/>
        </w:rPr>
        <w:t xml:space="preserve"> </w:t>
      </w:r>
      <w:r w:rsidRPr="00E95CE8">
        <w:rPr>
          <w:rFonts w:ascii="Arial" w:hAnsi="Arial" w:cs="Arial"/>
          <w:i/>
        </w:rPr>
        <w:t>Cross v Rio Tinto Coal Australia Pty Ltd &amp; Ano</w:t>
      </w:r>
      <w:r w:rsidR="000B4528">
        <w:rPr>
          <w:rFonts w:ascii="Arial" w:hAnsi="Arial" w:cs="Arial"/>
          <w:i/>
        </w:rPr>
        <w:t>r</w:t>
      </w:r>
      <w:r w:rsidRPr="00E95CE8">
        <w:rPr>
          <w:rFonts w:ascii="Arial" w:hAnsi="Arial" w:cs="Arial"/>
          <w:i/>
        </w:rPr>
        <w:t xml:space="preserve"> </w:t>
      </w:r>
      <w:r w:rsidRPr="00E95CE8">
        <w:rPr>
          <w:rFonts w:ascii="Arial" w:hAnsi="Arial" w:cs="Arial"/>
        </w:rPr>
        <w:t>[2012] QCAT 370 at [6]</w:t>
      </w:r>
    </w:p>
  </w:footnote>
  <w:footnote w:id="43">
    <w:p w:rsidR="00A00E53" w:rsidRPr="005E5D4D" w:rsidRDefault="00A00E53">
      <w:pPr>
        <w:pStyle w:val="FootnoteText"/>
        <w:rPr>
          <w:rFonts w:ascii="Arial" w:hAnsi="Arial" w:cs="Arial"/>
        </w:rPr>
      </w:pPr>
      <w:r w:rsidRPr="005E5D4D">
        <w:rPr>
          <w:rStyle w:val="FootnoteReference"/>
          <w:rFonts w:ascii="Arial" w:hAnsi="Arial" w:cs="Arial"/>
        </w:rPr>
        <w:footnoteRef/>
      </w:r>
      <w:r w:rsidRPr="005E5D4D">
        <w:rPr>
          <w:rFonts w:ascii="Arial" w:hAnsi="Arial" w:cs="Arial"/>
        </w:rPr>
        <w:t xml:space="preserve"> </w:t>
      </w:r>
      <w:r w:rsidRPr="005E5D4D">
        <w:rPr>
          <w:rFonts w:ascii="Arial" w:hAnsi="Arial" w:cs="Arial"/>
          <w:i/>
        </w:rPr>
        <w:t>Owen v Menzies &amp; Ors</w:t>
      </w:r>
      <w:r w:rsidRPr="005E5D4D">
        <w:rPr>
          <w:rFonts w:ascii="Arial" w:hAnsi="Arial" w:cs="Arial"/>
        </w:rPr>
        <w:t xml:space="preserve">; </w:t>
      </w:r>
      <w:r w:rsidRPr="005E5D4D">
        <w:rPr>
          <w:rFonts w:ascii="Arial" w:hAnsi="Arial" w:cs="Arial"/>
          <w:i/>
        </w:rPr>
        <w:t>Bruce v Owen</w:t>
      </w:r>
      <w:r w:rsidRPr="005E5D4D">
        <w:rPr>
          <w:rFonts w:ascii="Arial" w:hAnsi="Arial" w:cs="Arial"/>
        </w:rPr>
        <w:t xml:space="preserve">; </w:t>
      </w:r>
      <w:r w:rsidRPr="005E5D4D">
        <w:rPr>
          <w:rFonts w:ascii="Arial" w:hAnsi="Arial" w:cs="Arial"/>
          <w:i/>
        </w:rPr>
        <w:t xml:space="preserve">Menzies v Owen </w:t>
      </w:r>
      <w:r w:rsidRPr="005E5D4D">
        <w:rPr>
          <w:rFonts w:ascii="Arial" w:hAnsi="Arial" w:cs="Arial"/>
        </w:rPr>
        <w:t>[2012] QCA 170</w:t>
      </w:r>
    </w:p>
  </w:footnote>
  <w:footnote w:id="44">
    <w:p w:rsidR="00A00E53" w:rsidRPr="003A4B30" w:rsidRDefault="00A00E53">
      <w:pPr>
        <w:pStyle w:val="FootnoteText"/>
      </w:pPr>
      <w:r>
        <w:rPr>
          <w:rStyle w:val="FootnoteReference"/>
        </w:rPr>
        <w:footnoteRef/>
      </w:r>
      <w:r>
        <w:t xml:space="preserve"> </w:t>
      </w:r>
      <w:r w:rsidRPr="003A4B30">
        <w:rPr>
          <w:rFonts w:ascii="Arial" w:hAnsi="Arial" w:cs="Arial"/>
          <w:i/>
          <w:lang w:val="en-US"/>
        </w:rPr>
        <w:t xml:space="preserve">Queensland Civil and Administrative Tribunal </w:t>
      </w:r>
      <w:r>
        <w:rPr>
          <w:rFonts w:ascii="Arial" w:hAnsi="Arial" w:cs="Arial"/>
          <w:i/>
          <w:lang w:val="en-US"/>
        </w:rPr>
        <w:t>Act</w:t>
      </w:r>
      <w:r w:rsidRPr="003A4B30">
        <w:rPr>
          <w:rFonts w:ascii="Arial" w:hAnsi="Arial" w:cs="Arial"/>
          <w:i/>
          <w:lang w:val="en-US"/>
        </w:rPr>
        <w:t xml:space="preserve"> 2009</w:t>
      </w:r>
      <w:r>
        <w:rPr>
          <w:rFonts w:ascii="Arial" w:hAnsi="Arial" w:cs="Arial"/>
          <w:i/>
          <w:lang w:val="en-US"/>
        </w:rPr>
        <w:t xml:space="preserve">, </w:t>
      </w:r>
      <w:r>
        <w:rPr>
          <w:rFonts w:ascii="Arial" w:hAnsi="Arial" w:cs="Arial"/>
          <w:lang w:val="en-US"/>
        </w:rPr>
        <w:t>section 3(b)</w:t>
      </w:r>
    </w:p>
  </w:footnote>
  <w:footnote w:id="45">
    <w:p w:rsidR="00A00E53" w:rsidRPr="00F20BBF" w:rsidRDefault="00A00E53">
      <w:pPr>
        <w:pStyle w:val="FootnoteText"/>
        <w:rPr>
          <w:rFonts w:ascii="Arial" w:hAnsi="Arial" w:cs="Arial"/>
        </w:rPr>
      </w:pPr>
      <w:r w:rsidRPr="007423D3">
        <w:rPr>
          <w:rStyle w:val="FootnoteReference"/>
          <w:rFonts w:ascii="Arial" w:hAnsi="Arial" w:cs="Arial"/>
        </w:rPr>
        <w:footnoteRef/>
      </w:r>
      <w:r w:rsidRPr="007423D3">
        <w:rPr>
          <w:rFonts w:ascii="Arial" w:hAnsi="Arial" w:cs="Arial"/>
        </w:rPr>
        <w:t xml:space="preserve"> </w:t>
      </w:r>
      <w:r w:rsidRPr="00F20BBF">
        <w:rPr>
          <w:rFonts w:ascii="Arial" w:hAnsi="Arial" w:cs="Arial"/>
        </w:rPr>
        <w:t xml:space="preserve">Duncan Kerr, ‘State Tribunals and Chapter III of the Australian Constitution’ (2007) 31 </w:t>
      </w:r>
      <w:r w:rsidRPr="00F20BBF">
        <w:rPr>
          <w:rFonts w:ascii="Arial" w:hAnsi="Arial" w:cs="Arial"/>
          <w:i/>
          <w:iCs/>
        </w:rPr>
        <w:t>Melbourne University Law Review 632.</w:t>
      </w:r>
      <w:r w:rsidRPr="00F20BBF">
        <w:rPr>
          <w:rFonts w:ascii="Arial" w:hAnsi="Arial" w:cs="Arial"/>
        </w:rPr>
        <w:t xml:space="preserve">&lt; </w:t>
      </w:r>
      <w:hyperlink r:id="rId1" w:history="1">
        <w:r w:rsidRPr="00F20BBF">
          <w:rPr>
            <w:rStyle w:val="Hyperlink"/>
            <w:rFonts w:ascii="Arial" w:hAnsi="Arial" w:cs="Arial"/>
            <w:color w:val="auto"/>
          </w:rPr>
          <w:t>http://www.austlii.edu.au/au/journals/MULR/2007/25.html</w:t>
        </w:r>
      </w:hyperlink>
      <w:r w:rsidRPr="00F20BBF">
        <w:rPr>
          <w:rFonts w:ascii="Arial" w:hAnsi="Arial" w:cs="Arial"/>
        </w:rPr>
        <w:t>&gt;</w:t>
      </w:r>
    </w:p>
  </w:footnote>
  <w:footnote w:id="46">
    <w:p w:rsidR="00A00E53" w:rsidRPr="00F20BBF" w:rsidRDefault="00A00E53">
      <w:pPr>
        <w:pStyle w:val="FootnoteText"/>
        <w:rPr>
          <w:rFonts w:ascii="Arial" w:hAnsi="Arial" w:cs="Arial"/>
        </w:rPr>
      </w:pPr>
      <w:r w:rsidRPr="00F20BBF">
        <w:rPr>
          <w:rStyle w:val="FootnoteReference"/>
          <w:rFonts w:ascii="Arial" w:hAnsi="Arial" w:cs="Arial"/>
        </w:rPr>
        <w:footnoteRef/>
      </w:r>
      <w:r w:rsidRPr="00F20BBF">
        <w:rPr>
          <w:rFonts w:ascii="Arial" w:hAnsi="Arial" w:cs="Arial"/>
        </w:rPr>
        <w:t xml:space="preserve"> See </w:t>
      </w:r>
      <w:r w:rsidRPr="00F20BBF">
        <w:rPr>
          <w:rFonts w:ascii="Arial" w:hAnsi="Arial" w:cs="Arial"/>
          <w:i/>
        </w:rPr>
        <w:t>Owen v Menzies</w:t>
      </w:r>
      <w:r w:rsidRPr="00F20BBF">
        <w:rPr>
          <w:rFonts w:ascii="Arial" w:hAnsi="Arial" w:cs="Arial"/>
        </w:rPr>
        <w:t xml:space="preserve"> at [15], [49] &amp; [54]</w:t>
      </w:r>
    </w:p>
  </w:footnote>
  <w:footnote w:id="47">
    <w:p w:rsidR="00A00E53" w:rsidRPr="00E154BE" w:rsidRDefault="00A00E53">
      <w:pPr>
        <w:pStyle w:val="FootnoteText"/>
        <w:rPr>
          <w:rFonts w:ascii="Arial" w:hAnsi="Arial" w:cs="Arial"/>
          <w:lang w:val="en-US"/>
        </w:rPr>
      </w:pPr>
      <w:r>
        <w:rPr>
          <w:rStyle w:val="FootnoteReference"/>
        </w:rPr>
        <w:footnoteRef/>
      </w:r>
      <w:r>
        <w:t xml:space="preserve"> </w:t>
      </w:r>
      <w:r w:rsidRPr="003A4B30">
        <w:rPr>
          <w:rFonts w:ascii="Arial" w:hAnsi="Arial" w:cs="Arial"/>
          <w:i/>
          <w:lang w:val="en-US"/>
        </w:rPr>
        <w:t xml:space="preserve">Queensland Civil and Administrative Tribunal </w:t>
      </w:r>
      <w:r>
        <w:rPr>
          <w:rFonts w:ascii="Arial" w:hAnsi="Arial" w:cs="Arial"/>
          <w:i/>
          <w:lang w:val="en-US"/>
        </w:rPr>
        <w:t>Act</w:t>
      </w:r>
      <w:r w:rsidRPr="003A4B30">
        <w:rPr>
          <w:rFonts w:ascii="Arial" w:hAnsi="Arial" w:cs="Arial"/>
          <w:i/>
          <w:lang w:val="en-US"/>
        </w:rPr>
        <w:t xml:space="preserve"> 2009</w:t>
      </w:r>
      <w:r>
        <w:rPr>
          <w:rFonts w:ascii="Arial" w:hAnsi="Arial" w:cs="Arial"/>
          <w:i/>
          <w:lang w:val="en-US"/>
        </w:rPr>
        <w:t xml:space="preserve">, </w:t>
      </w:r>
      <w:r w:rsidRPr="00E154BE">
        <w:rPr>
          <w:rFonts w:ascii="Arial" w:hAnsi="Arial" w:cs="Arial"/>
          <w:lang w:val="en-US"/>
        </w:rPr>
        <w:t>section 162, which provides –</w:t>
      </w:r>
    </w:p>
    <w:p w:rsidR="00A00E53" w:rsidRPr="00E154BE" w:rsidRDefault="00A00E53">
      <w:pPr>
        <w:pStyle w:val="FootnoteText"/>
        <w:rPr>
          <w:rFonts w:ascii="Arial" w:hAnsi="Arial" w:cs="Arial"/>
          <w:lang w:val="en-US"/>
        </w:rPr>
      </w:pPr>
      <w:r w:rsidRPr="00E154BE">
        <w:rPr>
          <w:rFonts w:ascii="Arial" w:hAnsi="Arial" w:cs="Arial"/>
          <w:lang w:val="en-US"/>
        </w:rPr>
        <w:t>In exercising its jurisdiction, the tribunal:</w:t>
      </w:r>
    </w:p>
    <w:p w:rsidR="00A00E53" w:rsidRPr="00E154BE" w:rsidRDefault="00A00E53" w:rsidP="00E154BE">
      <w:pPr>
        <w:pStyle w:val="FootnoteText"/>
        <w:numPr>
          <w:ilvl w:val="0"/>
          <w:numId w:val="19"/>
        </w:numPr>
      </w:pPr>
      <w:r w:rsidRPr="00E154BE">
        <w:rPr>
          <w:rFonts w:ascii="Arial" w:hAnsi="Arial" w:cs="Arial"/>
          <w:lang w:val="en-US"/>
        </w:rPr>
        <w:t>must act independently; and</w:t>
      </w:r>
    </w:p>
    <w:p w:rsidR="00A00E53" w:rsidRPr="00E154BE" w:rsidRDefault="00A00E53" w:rsidP="00E154BE">
      <w:pPr>
        <w:pStyle w:val="FootnoteText"/>
        <w:numPr>
          <w:ilvl w:val="0"/>
          <w:numId w:val="19"/>
        </w:numPr>
      </w:pPr>
      <w:r w:rsidRPr="00E154BE">
        <w:rPr>
          <w:rFonts w:ascii="Arial" w:hAnsi="Arial" w:cs="Arial"/>
          <w:lang w:val="en-US"/>
        </w:rPr>
        <w:t>is not subject to direction or control by any entity, including any Minister.</w:t>
      </w:r>
    </w:p>
  </w:footnote>
  <w:footnote w:id="48">
    <w:p w:rsidR="00A00E53" w:rsidRPr="00176EC1" w:rsidRDefault="00A00E53" w:rsidP="00010DFA">
      <w:pPr>
        <w:pStyle w:val="FootnoteText"/>
        <w:rPr>
          <w:rFonts w:ascii="Arial" w:hAnsi="Arial" w:cs="Arial"/>
          <w:lang w:val="en-US"/>
        </w:rPr>
      </w:pPr>
      <w:r w:rsidRPr="00176EC1">
        <w:rPr>
          <w:rStyle w:val="FootnoteReference"/>
          <w:rFonts w:ascii="Arial" w:hAnsi="Arial" w:cs="Arial"/>
        </w:rPr>
        <w:footnoteRef/>
      </w:r>
      <w:r w:rsidRPr="00176EC1">
        <w:rPr>
          <w:rFonts w:ascii="Arial" w:hAnsi="Arial" w:cs="Arial"/>
        </w:rPr>
        <w:t xml:space="preserve"> </w:t>
      </w:r>
      <w:r w:rsidRPr="00176EC1">
        <w:rPr>
          <w:rFonts w:ascii="Arial" w:hAnsi="Arial" w:cs="Arial"/>
          <w:i/>
          <w:lang w:val="en-US"/>
        </w:rPr>
        <w:t>Constitution of Queensland 2001</w:t>
      </w:r>
      <w:r w:rsidRPr="00176EC1">
        <w:rPr>
          <w:rFonts w:ascii="Arial" w:hAnsi="Arial" w:cs="Arial"/>
          <w:lang w:val="en-US"/>
        </w:rPr>
        <w:t xml:space="preserve">, sections 60 &amp; 61, and </w:t>
      </w:r>
      <w:r w:rsidRPr="00176EC1">
        <w:rPr>
          <w:rFonts w:ascii="Arial" w:hAnsi="Arial" w:cs="Arial"/>
          <w:i/>
          <w:lang w:val="en-US"/>
        </w:rPr>
        <w:t>Supreme Court of Queensland Act 1991</w:t>
      </w:r>
      <w:r w:rsidRPr="00176EC1">
        <w:rPr>
          <w:rFonts w:ascii="Arial" w:hAnsi="Arial" w:cs="Arial"/>
          <w:lang w:val="en-US"/>
        </w:rPr>
        <w:t>, section 21</w:t>
      </w:r>
    </w:p>
  </w:footnote>
  <w:footnote w:id="49">
    <w:p w:rsidR="00A00E53" w:rsidRPr="00047D5A" w:rsidRDefault="00A00E53">
      <w:pPr>
        <w:pStyle w:val="FootnoteText"/>
        <w:rPr>
          <w:rFonts w:ascii="Arial" w:hAnsi="Arial" w:cs="Arial"/>
          <w:lang w:val="en-US"/>
        </w:rPr>
      </w:pPr>
      <w:r w:rsidRPr="00047D5A">
        <w:rPr>
          <w:rStyle w:val="FootnoteReference"/>
          <w:rFonts w:ascii="Arial" w:hAnsi="Arial" w:cs="Arial"/>
        </w:rPr>
        <w:footnoteRef/>
      </w:r>
      <w:r w:rsidRPr="00047D5A">
        <w:rPr>
          <w:rFonts w:ascii="Arial" w:hAnsi="Arial" w:cs="Arial"/>
        </w:rPr>
        <w:t xml:space="preserve"> </w:t>
      </w:r>
      <w:r w:rsidRPr="003A4B30">
        <w:rPr>
          <w:rFonts w:ascii="Arial" w:hAnsi="Arial" w:cs="Arial"/>
          <w:i/>
          <w:lang w:val="en-US"/>
        </w:rPr>
        <w:t>Queensland Civil and Administrative Tribunal Bill 2009</w:t>
      </w:r>
      <w:r w:rsidRPr="00047D5A">
        <w:rPr>
          <w:rFonts w:ascii="Arial" w:hAnsi="Arial" w:cs="Arial"/>
          <w:lang w:val="en-US"/>
        </w:rPr>
        <w:t>, Explanatory Note, page 4</w:t>
      </w:r>
    </w:p>
  </w:footnote>
  <w:footnote w:id="50">
    <w:p w:rsidR="00A00E53" w:rsidRDefault="00A00E53">
      <w:pPr>
        <w:pStyle w:val="FootnoteText"/>
        <w:rPr>
          <w:rFonts w:ascii="Arial" w:hAnsi="Arial" w:cs="Arial"/>
        </w:rPr>
      </w:pPr>
      <w:r w:rsidRPr="00E43F11">
        <w:rPr>
          <w:rStyle w:val="FootnoteReference"/>
          <w:rFonts w:ascii="Arial" w:hAnsi="Arial" w:cs="Arial"/>
        </w:rPr>
        <w:footnoteRef/>
      </w:r>
      <w:r w:rsidRPr="00E43F11">
        <w:rPr>
          <w:rFonts w:ascii="Arial" w:hAnsi="Arial" w:cs="Arial"/>
        </w:rPr>
        <w:t xml:space="preserve"> </w:t>
      </w:r>
      <w:r>
        <w:rPr>
          <w:rFonts w:ascii="Arial" w:hAnsi="Arial" w:cs="Arial"/>
        </w:rPr>
        <w:t>The Independent Panel of Experts reasons for recommending an internal appeals mechanism as opposed to appeals to the Supreme Court were:</w:t>
      </w:r>
    </w:p>
    <w:p w:rsidR="00A00E53" w:rsidRDefault="00A00E53" w:rsidP="00E43F11">
      <w:pPr>
        <w:pStyle w:val="FootnoteText"/>
        <w:numPr>
          <w:ilvl w:val="0"/>
          <w:numId w:val="21"/>
        </w:numPr>
        <w:ind w:left="709" w:hanging="283"/>
        <w:rPr>
          <w:rFonts w:ascii="Arial" w:hAnsi="Arial" w:cs="Arial"/>
          <w:lang w:val="en-US"/>
        </w:rPr>
      </w:pPr>
      <w:r>
        <w:rPr>
          <w:rFonts w:ascii="Arial" w:hAnsi="Arial" w:cs="Arial"/>
          <w:lang w:val="en-US"/>
        </w:rPr>
        <w:t>it would support the leadership role of judicial members and provide guidance to members by way of authoritative decisions on substantive law and procedure;</w:t>
      </w:r>
    </w:p>
    <w:p w:rsidR="00A00E53" w:rsidRDefault="00A00E53" w:rsidP="00E43F11">
      <w:pPr>
        <w:pStyle w:val="FootnoteText"/>
        <w:numPr>
          <w:ilvl w:val="0"/>
          <w:numId w:val="21"/>
        </w:numPr>
        <w:ind w:left="709" w:hanging="283"/>
        <w:rPr>
          <w:rFonts w:ascii="Arial" w:hAnsi="Arial" w:cs="Arial"/>
          <w:lang w:val="en-US"/>
        </w:rPr>
      </w:pPr>
      <w:r>
        <w:rPr>
          <w:rFonts w:ascii="Arial" w:hAnsi="Arial" w:cs="Arial"/>
          <w:lang w:val="en-US"/>
        </w:rPr>
        <w:t>internal appeals would be decided more quickly and more cost effectively than in the Supreme Court;</w:t>
      </w:r>
    </w:p>
    <w:p w:rsidR="00A00E53" w:rsidRDefault="00A00E53" w:rsidP="00E43F11">
      <w:pPr>
        <w:pStyle w:val="FootnoteText"/>
        <w:numPr>
          <w:ilvl w:val="0"/>
          <w:numId w:val="21"/>
        </w:numPr>
        <w:ind w:left="709" w:hanging="283"/>
        <w:rPr>
          <w:rFonts w:ascii="Arial" w:hAnsi="Arial" w:cs="Arial"/>
          <w:lang w:val="en-US"/>
        </w:rPr>
      </w:pPr>
      <w:r>
        <w:rPr>
          <w:rFonts w:ascii="Arial" w:hAnsi="Arial" w:cs="Arial"/>
          <w:lang w:val="en-US"/>
        </w:rPr>
        <w:t>appeals would generally be heard by the same judicial members which would assist in developing a more coherent and consistent body of law;</w:t>
      </w:r>
    </w:p>
    <w:p w:rsidR="00A00E53" w:rsidRPr="00E43F11" w:rsidRDefault="00A00E53" w:rsidP="00E43F11">
      <w:pPr>
        <w:pStyle w:val="FootnoteText"/>
        <w:numPr>
          <w:ilvl w:val="0"/>
          <w:numId w:val="21"/>
        </w:numPr>
        <w:ind w:left="709" w:hanging="283"/>
        <w:rPr>
          <w:rFonts w:ascii="Arial" w:hAnsi="Arial" w:cs="Arial"/>
          <w:lang w:val="en-US"/>
        </w:rPr>
      </w:pPr>
      <w:r>
        <w:rPr>
          <w:rFonts w:ascii="Arial" w:hAnsi="Arial" w:cs="Arial"/>
          <w:lang w:val="en-US"/>
        </w:rPr>
        <w:t>it would promote consistency in tribunal procedure and quality of decision making.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1" w:type="dxa"/>
      <w:tblInd w:w="115" w:type="dxa"/>
      <w:tblBorders>
        <w:bottom w:val="single" w:sz="8" w:space="0" w:color="A6A6A6" w:themeColor="background1" w:themeShade="A6"/>
      </w:tblBorders>
      <w:tblLayout w:type="fixed"/>
      <w:tblCellMar>
        <w:top w:w="72" w:type="dxa"/>
        <w:left w:w="115" w:type="dxa"/>
        <w:bottom w:w="72" w:type="dxa"/>
        <w:right w:w="115" w:type="dxa"/>
      </w:tblCellMar>
      <w:tblLook w:val="04A0" w:firstRow="1" w:lastRow="0" w:firstColumn="1" w:lastColumn="0" w:noHBand="0" w:noVBand="1"/>
      <w:tblCaption w:val="Header - Review of the Queensland Civil and Administrative Tribunal Act 2009"/>
    </w:tblPr>
    <w:tblGrid>
      <w:gridCol w:w="9101"/>
    </w:tblGrid>
    <w:tr w:rsidR="004E21EF" w:rsidRPr="002671C7" w:rsidTr="004E21EF">
      <w:tc>
        <w:tcPr>
          <w:tcW w:w="9101" w:type="dxa"/>
          <w:vAlign w:val="bottom"/>
        </w:tcPr>
        <w:p w:rsidR="004E21EF" w:rsidRPr="00A12D4E" w:rsidRDefault="004E21EF" w:rsidP="004E21EF">
          <w:pPr>
            <w:tabs>
              <w:tab w:val="center" w:pos="4513"/>
              <w:tab w:val="right" w:pos="9026"/>
            </w:tabs>
            <w:rPr>
              <w:rFonts w:ascii="Arial" w:hAnsi="Arial" w:cs="Arial"/>
              <w:b/>
              <w:i/>
              <w:color w:val="000000"/>
              <w:sz w:val="20"/>
              <w:szCs w:val="20"/>
            </w:rPr>
          </w:pPr>
          <w:r>
            <w:rPr>
              <w:rFonts w:ascii="Arial" w:hAnsi="Arial" w:cs="Arial"/>
              <w:b/>
              <w:sz w:val="20"/>
              <w:szCs w:val="20"/>
            </w:rPr>
            <w:t xml:space="preserve">Review of the </w:t>
          </w:r>
          <w:r>
            <w:rPr>
              <w:rFonts w:ascii="Arial" w:hAnsi="Arial" w:cs="Arial"/>
              <w:b/>
              <w:i/>
              <w:sz w:val="20"/>
              <w:szCs w:val="20"/>
            </w:rPr>
            <w:t>Queensland Civil and Administrative Tribunal Act 2009</w:t>
          </w:r>
        </w:p>
      </w:tc>
    </w:tr>
  </w:tbl>
  <w:p w:rsidR="00A00E53" w:rsidRDefault="00A00E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2" w:type="pct"/>
      <w:tblInd w:w="115" w:type="dxa"/>
      <w:tblBorders>
        <w:bottom w:val="single" w:sz="8" w:space="0" w:color="A6A6A6" w:themeColor="background1" w:themeShade="A6"/>
      </w:tblBorders>
      <w:tblCellMar>
        <w:top w:w="72" w:type="dxa"/>
        <w:left w:w="115" w:type="dxa"/>
        <w:bottom w:w="72" w:type="dxa"/>
        <w:right w:w="115" w:type="dxa"/>
      </w:tblCellMar>
      <w:tblLook w:val="04A0" w:firstRow="1" w:lastRow="0" w:firstColumn="1" w:lastColumn="0" w:noHBand="0" w:noVBand="1"/>
      <w:tblCaption w:val="Header - Review of the Queensland Civil and Administrative Tribunal Act 2009"/>
    </w:tblPr>
    <w:tblGrid>
      <w:gridCol w:w="9072"/>
    </w:tblGrid>
    <w:tr w:rsidR="004E21EF" w:rsidRPr="002671C7" w:rsidTr="004E21EF">
      <w:tc>
        <w:tcPr>
          <w:tcW w:w="5000" w:type="pct"/>
          <w:vAlign w:val="bottom"/>
        </w:tcPr>
        <w:p w:rsidR="004E21EF" w:rsidRPr="00A12D4E" w:rsidRDefault="004E21EF" w:rsidP="004E21EF">
          <w:pPr>
            <w:jc w:val="right"/>
            <w:rPr>
              <w:rFonts w:ascii="Arial" w:hAnsi="Arial" w:cs="Arial"/>
              <w:b/>
              <w:i/>
              <w:color w:val="000000"/>
              <w:sz w:val="20"/>
              <w:szCs w:val="20"/>
            </w:rPr>
          </w:pPr>
          <w:bookmarkStart w:id="0" w:name="_GoBack" w:colFirst="0" w:colLast="1"/>
          <w:r>
            <w:rPr>
              <w:rFonts w:ascii="Arial" w:hAnsi="Arial" w:cs="Arial"/>
              <w:b/>
              <w:sz w:val="20"/>
              <w:szCs w:val="20"/>
            </w:rPr>
            <w:t xml:space="preserve">Review of the </w:t>
          </w:r>
          <w:r>
            <w:rPr>
              <w:rFonts w:ascii="Arial" w:hAnsi="Arial" w:cs="Arial"/>
              <w:b/>
              <w:i/>
              <w:sz w:val="20"/>
              <w:szCs w:val="20"/>
            </w:rPr>
            <w:t>Queensland Civil and Administrative Tribunal Act 2009</w:t>
          </w:r>
        </w:p>
      </w:tc>
    </w:tr>
    <w:bookmarkEnd w:id="0"/>
  </w:tbl>
  <w:p w:rsidR="00A00E53" w:rsidRPr="002671C7" w:rsidRDefault="00A00E53" w:rsidP="002671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53" w:rsidRPr="002671C7" w:rsidRDefault="00A00E53" w:rsidP="0064509D">
    <w:pPr>
      <w:pStyle w:val="Header"/>
      <w:jc w:val="center"/>
    </w:pPr>
    <w:r>
      <w:rPr>
        <w:noProof/>
      </w:rPr>
      <w:drawing>
        <wp:inline distT="0" distB="0" distL="0" distR="0" wp14:anchorId="02A36FD7" wp14:editId="53064194">
          <wp:extent cx="4524375" cy="647700"/>
          <wp:effectExtent l="0" t="0" r="9525" b="0"/>
          <wp:docPr id="3" name="Picture 3" descr="CMYK ADCQ" title="ADC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ADC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4375" cy="6477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53" w:rsidRPr="00185644" w:rsidRDefault="00A00E53" w:rsidP="0018564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53" w:rsidRPr="007676DC" w:rsidRDefault="00A00E53" w:rsidP="007676DC">
    <w:pPr>
      <w:pStyle w:val="NormalWeb"/>
      <w:spacing w:before="240" w:beforeAutospacing="0" w:after="120" w:afterAutospacing="0" w:line="360" w:lineRule="auto"/>
      <w:jc w:val="both"/>
      <w:rPr>
        <w:rFonts w:ascii="Arial" w:hAnsi="Arial" w:cs="Arial"/>
        <w:b/>
        <w:sz w:val="28"/>
        <w:szCs w:val="28"/>
        <w:lang w:val="en-AU"/>
      </w:rPr>
    </w:pPr>
    <w:r>
      <w:rPr>
        <w:rFonts w:ascii="Arial" w:hAnsi="Arial" w:cs="Arial"/>
        <w:b/>
        <w:sz w:val="28"/>
        <w:szCs w:val="28"/>
        <w:lang w:val="en-AU"/>
      </w:rPr>
      <w:t>Appendix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53" w:rsidRPr="007676DC" w:rsidRDefault="00A00E53" w:rsidP="007676DC">
    <w:pPr>
      <w:pStyle w:val="NormalWeb"/>
      <w:spacing w:before="240" w:beforeAutospacing="0" w:after="120" w:afterAutospacing="0" w:line="360" w:lineRule="auto"/>
      <w:jc w:val="both"/>
      <w:rPr>
        <w:rFonts w:ascii="Arial" w:hAnsi="Arial" w:cs="Arial"/>
        <w:b/>
        <w:sz w:val="28"/>
        <w:szCs w:val="28"/>
        <w:lang w:val="en-AU"/>
      </w:rPr>
    </w:pPr>
    <w:r>
      <w:rPr>
        <w:rFonts w:ascii="Arial" w:hAnsi="Arial" w:cs="Arial"/>
        <w:b/>
        <w:sz w:val="28"/>
        <w:szCs w:val="28"/>
        <w:lang w:val="en-AU"/>
      </w:rPr>
      <w:t>Appendix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3315"/>
    <w:multiLevelType w:val="hybridMultilevel"/>
    <w:tmpl w:val="DCB82254"/>
    <w:lvl w:ilvl="0" w:tplc="285E0F30">
      <w:start w:val="2"/>
      <w:numFmt w:val="lowerRoman"/>
      <w:lvlText w:val="(%1)"/>
      <w:lvlJc w:val="right"/>
      <w:pPr>
        <w:ind w:left="237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3F722E"/>
    <w:multiLevelType w:val="multilevel"/>
    <w:tmpl w:val="287C8E8A"/>
    <w:lvl w:ilvl="0">
      <w:start w:val="64"/>
      <w:numFmt w:val="decimal"/>
      <w:lvlText w:val="%1."/>
      <w:lvlJc w:val="left"/>
      <w:pPr>
        <w:tabs>
          <w:tab w:val="num" w:pos="1353"/>
        </w:tabs>
        <w:ind w:left="1353" w:hanging="360"/>
      </w:pPr>
      <w:rPr>
        <w:rFonts w:hint="default"/>
      </w:rPr>
    </w:lvl>
    <w:lvl w:ilvl="1">
      <w:start w:val="1"/>
      <w:numFmt w:val="lowerLetter"/>
      <w:lvlText w:val="(%2)"/>
      <w:lvlJc w:val="left"/>
      <w:pPr>
        <w:ind w:left="2073" w:hanging="360"/>
      </w:pPr>
      <w:rPr>
        <w:rFonts w:ascii="Arial" w:hAnsi="Arial" w:hint="default"/>
        <w:b w:val="0"/>
        <w:i w:val="0"/>
        <w:sz w:val="22"/>
      </w:rPr>
    </w:lvl>
    <w:lvl w:ilvl="2">
      <w:start w:val="1"/>
      <w:numFmt w:val="decimal"/>
      <w:lvlText w:val="%3."/>
      <w:lvlJc w:val="left"/>
      <w:pPr>
        <w:tabs>
          <w:tab w:val="num" w:pos="2793"/>
        </w:tabs>
        <w:ind w:left="2793" w:hanging="360"/>
      </w:pPr>
      <w:rPr>
        <w:rFonts w:hint="default"/>
      </w:rPr>
    </w:lvl>
    <w:lvl w:ilvl="3">
      <w:start w:val="1"/>
      <w:numFmt w:val="decimal"/>
      <w:lvlText w:val="%4."/>
      <w:lvlJc w:val="left"/>
      <w:pPr>
        <w:tabs>
          <w:tab w:val="num" w:pos="3513"/>
        </w:tabs>
        <w:ind w:left="3513" w:hanging="360"/>
      </w:pPr>
      <w:rPr>
        <w:rFonts w:hint="default"/>
      </w:rPr>
    </w:lvl>
    <w:lvl w:ilvl="4">
      <w:start w:val="1"/>
      <w:numFmt w:val="decimal"/>
      <w:lvlText w:val="%5."/>
      <w:lvlJc w:val="left"/>
      <w:pPr>
        <w:tabs>
          <w:tab w:val="num" w:pos="4233"/>
        </w:tabs>
        <w:ind w:left="4233" w:hanging="360"/>
      </w:pPr>
      <w:rPr>
        <w:rFonts w:hint="default"/>
      </w:rPr>
    </w:lvl>
    <w:lvl w:ilvl="5">
      <w:start w:val="1"/>
      <w:numFmt w:val="decimal"/>
      <w:lvlText w:val="%6."/>
      <w:lvlJc w:val="left"/>
      <w:pPr>
        <w:tabs>
          <w:tab w:val="num" w:pos="4953"/>
        </w:tabs>
        <w:ind w:left="4953" w:hanging="360"/>
      </w:pPr>
      <w:rPr>
        <w:rFonts w:hint="default"/>
      </w:rPr>
    </w:lvl>
    <w:lvl w:ilvl="6">
      <w:start w:val="1"/>
      <w:numFmt w:val="decimal"/>
      <w:lvlText w:val="%7."/>
      <w:lvlJc w:val="left"/>
      <w:pPr>
        <w:tabs>
          <w:tab w:val="num" w:pos="5673"/>
        </w:tabs>
        <w:ind w:left="5673" w:hanging="360"/>
      </w:pPr>
      <w:rPr>
        <w:rFonts w:hint="default"/>
      </w:rPr>
    </w:lvl>
    <w:lvl w:ilvl="7">
      <w:start w:val="1"/>
      <w:numFmt w:val="decimal"/>
      <w:lvlText w:val="%8."/>
      <w:lvlJc w:val="left"/>
      <w:pPr>
        <w:tabs>
          <w:tab w:val="num" w:pos="6393"/>
        </w:tabs>
        <w:ind w:left="6393" w:hanging="360"/>
      </w:pPr>
      <w:rPr>
        <w:rFonts w:hint="default"/>
      </w:rPr>
    </w:lvl>
    <w:lvl w:ilvl="8">
      <w:start w:val="1"/>
      <w:numFmt w:val="decimal"/>
      <w:lvlText w:val="%9."/>
      <w:lvlJc w:val="left"/>
      <w:pPr>
        <w:tabs>
          <w:tab w:val="num" w:pos="7113"/>
        </w:tabs>
        <w:ind w:left="7113" w:hanging="360"/>
      </w:pPr>
      <w:rPr>
        <w:rFonts w:hint="default"/>
      </w:rPr>
    </w:lvl>
  </w:abstractNum>
  <w:abstractNum w:abstractNumId="2">
    <w:nsid w:val="10DE4577"/>
    <w:multiLevelType w:val="hybridMultilevel"/>
    <w:tmpl w:val="1B526A0A"/>
    <w:lvl w:ilvl="0" w:tplc="B992AE66">
      <w:start w:val="1"/>
      <w:numFmt w:val="decimal"/>
      <w:lvlText w:val="%1."/>
      <w:lvlJc w:val="left"/>
      <w:pPr>
        <w:ind w:left="720" w:hanging="360"/>
      </w:pPr>
      <w:rPr>
        <w:sz w:val="24"/>
        <w:szCs w:val="24"/>
      </w:rPr>
    </w:lvl>
    <w:lvl w:ilvl="1" w:tplc="854C4EFA">
      <w:start w:val="1"/>
      <w:numFmt w:val="lowerLetter"/>
      <w:lvlText w:val="(%2)"/>
      <w:lvlJc w:val="left"/>
      <w:pPr>
        <w:ind w:left="1440" w:hanging="360"/>
      </w:pPr>
      <w:rPr>
        <w:rFonts w:ascii="Arial" w:hAnsi="Arial" w:hint="default"/>
        <w:b w:val="0"/>
        <w:i w:val="0"/>
        <w:sz w:val="22"/>
      </w:rPr>
    </w:lvl>
    <w:lvl w:ilvl="2" w:tplc="29D67B2A">
      <w:start w:val="1"/>
      <w:numFmt w:val="upperLetter"/>
      <w:lvlText w:val="(%3)"/>
      <w:lvlJc w:val="left"/>
      <w:pPr>
        <w:ind w:left="2370" w:hanging="39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3252449"/>
    <w:multiLevelType w:val="hybridMultilevel"/>
    <w:tmpl w:val="6F06CD7C"/>
    <w:lvl w:ilvl="0" w:tplc="0C090001">
      <w:start w:val="1"/>
      <w:numFmt w:val="bullet"/>
      <w:lvlText w:val=""/>
      <w:lvlJc w:val="left"/>
      <w:pPr>
        <w:ind w:left="720" w:hanging="360"/>
      </w:pPr>
      <w:rPr>
        <w:rFonts w:ascii="Symbol" w:hAnsi="Symbol" w:hint="default"/>
        <w:sz w:val="24"/>
        <w:szCs w:val="24"/>
      </w:rPr>
    </w:lvl>
    <w:lvl w:ilvl="1" w:tplc="854C4EFA">
      <w:start w:val="1"/>
      <w:numFmt w:val="lowerLetter"/>
      <w:lvlText w:val="(%2)"/>
      <w:lvlJc w:val="left"/>
      <w:pPr>
        <w:ind w:left="1440" w:hanging="360"/>
      </w:pPr>
      <w:rPr>
        <w:rFonts w:ascii="Arial" w:hAnsi="Arial" w:hint="default"/>
        <w:b w:val="0"/>
        <w:i w:val="0"/>
        <w:sz w:val="22"/>
      </w:rPr>
    </w:lvl>
    <w:lvl w:ilvl="2" w:tplc="29D67B2A">
      <w:start w:val="1"/>
      <w:numFmt w:val="upperLetter"/>
      <w:lvlText w:val="(%3)"/>
      <w:lvlJc w:val="left"/>
      <w:pPr>
        <w:ind w:left="2370" w:hanging="39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E40295"/>
    <w:multiLevelType w:val="hybridMultilevel"/>
    <w:tmpl w:val="5A8C3CB4"/>
    <w:lvl w:ilvl="0" w:tplc="B992AE66">
      <w:start w:val="1"/>
      <w:numFmt w:val="decimal"/>
      <w:lvlText w:val="%1."/>
      <w:lvlJc w:val="left"/>
      <w:pPr>
        <w:ind w:left="720" w:hanging="360"/>
      </w:pPr>
      <w:rPr>
        <w:sz w:val="24"/>
        <w:szCs w:val="24"/>
      </w:rPr>
    </w:lvl>
    <w:lvl w:ilvl="1" w:tplc="854C4EFA">
      <w:start w:val="1"/>
      <w:numFmt w:val="lowerLetter"/>
      <w:lvlText w:val="(%2)"/>
      <w:lvlJc w:val="left"/>
      <w:pPr>
        <w:ind w:left="1440" w:hanging="360"/>
      </w:pPr>
      <w:rPr>
        <w:rFonts w:ascii="Arial" w:hAnsi="Arial" w:hint="default"/>
        <w:b w:val="0"/>
        <w:i w:val="0"/>
        <w:sz w:val="22"/>
      </w:rPr>
    </w:lvl>
    <w:lvl w:ilvl="2" w:tplc="58A2A2D6">
      <w:start w:val="1"/>
      <w:numFmt w:val="lowerRoman"/>
      <w:lvlText w:val="(%3)"/>
      <w:lvlJc w:val="right"/>
      <w:pPr>
        <w:ind w:left="2370" w:hanging="39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1E222C9"/>
    <w:multiLevelType w:val="hybridMultilevel"/>
    <w:tmpl w:val="8A50BFB0"/>
    <w:lvl w:ilvl="0" w:tplc="CBCCD748">
      <w:start w:val="1"/>
      <w:numFmt w:val="bullet"/>
      <w:lvlText w:val=""/>
      <w:lvlJc w:val="left"/>
      <w:pPr>
        <w:ind w:left="1440" w:hanging="360"/>
      </w:pPr>
      <w:rPr>
        <w:rFonts w:ascii="Symbol" w:hAnsi="Symbol"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228212D2"/>
    <w:multiLevelType w:val="hybridMultilevel"/>
    <w:tmpl w:val="50901DFA"/>
    <w:lvl w:ilvl="0" w:tplc="1B84EB7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nsid w:val="25D8183C"/>
    <w:multiLevelType w:val="hybridMultilevel"/>
    <w:tmpl w:val="D7AA4D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27202C6B"/>
    <w:multiLevelType w:val="hybridMultilevel"/>
    <w:tmpl w:val="7D56E744"/>
    <w:lvl w:ilvl="0" w:tplc="8206ACD8">
      <w:start w:val="1"/>
      <w:numFmt w:val="lowerRoman"/>
      <w:lvlText w:val="(%1)"/>
      <w:lvlJc w:val="righ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50530FB"/>
    <w:multiLevelType w:val="hybridMultilevel"/>
    <w:tmpl w:val="C1BCFEE6"/>
    <w:lvl w:ilvl="0" w:tplc="373699C6">
      <w:start w:val="1"/>
      <w:numFmt w:val="lowerLetter"/>
      <w:lvlText w:val="(%1)"/>
      <w:lvlJc w:val="left"/>
      <w:pPr>
        <w:ind w:left="720" w:hanging="360"/>
      </w:pPr>
      <w:rPr>
        <w:rFonts w:ascii="Arial" w:hAnsi="Arial" w:cs="Arial"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9877F81"/>
    <w:multiLevelType w:val="hybridMultilevel"/>
    <w:tmpl w:val="C6F41C0C"/>
    <w:lvl w:ilvl="0" w:tplc="C5C0F6DA">
      <w:start w:val="1"/>
      <w:numFmt w:val="upperRoman"/>
      <w:lvlText w:val="%1."/>
      <w:lvlJc w:val="left"/>
      <w:pPr>
        <w:ind w:left="1548" w:hanging="360"/>
      </w:pPr>
      <w:rPr>
        <w:rFonts w:hint="default"/>
      </w:rPr>
    </w:lvl>
    <w:lvl w:ilvl="1" w:tplc="0C090019" w:tentative="1">
      <w:start w:val="1"/>
      <w:numFmt w:val="lowerLetter"/>
      <w:lvlText w:val="%2."/>
      <w:lvlJc w:val="left"/>
      <w:pPr>
        <w:ind w:left="2268" w:hanging="360"/>
      </w:pPr>
    </w:lvl>
    <w:lvl w:ilvl="2" w:tplc="0C09001B" w:tentative="1">
      <w:start w:val="1"/>
      <w:numFmt w:val="lowerRoman"/>
      <w:lvlText w:val="%3."/>
      <w:lvlJc w:val="right"/>
      <w:pPr>
        <w:ind w:left="2988" w:hanging="180"/>
      </w:pPr>
    </w:lvl>
    <w:lvl w:ilvl="3" w:tplc="0C09000F" w:tentative="1">
      <w:start w:val="1"/>
      <w:numFmt w:val="decimal"/>
      <w:lvlText w:val="%4."/>
      <w:lvlJc w:val="left"/>
      <w:pPr>
        <w:ind w:left="3708" w:hanging="360"/>
      </w:pPr>
    </w:lvl>
    <w:lvl w:ilvl="4" w:tplc="0C090019" w:tentative="1">
      <w:start w:val="1"/>
      <w:numFmt w:val="lowerLetter"/>
      <w:lvlText w:val="%5."/>
      <w:lvlJc w:val="left"/>
      <w:pPr>
        <w:ind w:left="4428" w:hanging="360"/>
      </w:pPr>
    </w:lvl>
    <w:lvl w:ilvl="5" w:tplc="0C09001B" w:tentative="1">
      <w:start w:val="1"/>
      <w:numFmt w:val="lowerRoman"/>
      <w:lvlText w:val="%6."/>
      <w:lvlJc w:val="right"/>
      <w:pPr>
        <w:ind w:left="5148" w:hanging="180"/>
      </w:pPr>
    </w:lvl>
    <w:lvl w:ilvl="6" w:tplc="0C09000F" w:tentative="1">
      <w:start w:val="1"/>
      <w:numFmt w:val="decimal"/>
      <w:lvlText w:val="%7."/>
      <w:lvlJc w:val="left"/>
      <w:pPr>
        <w:ind w:left="5868" w:hanging="360"/>
      </w:pPr>
    </w:lvl>
    <w:lvl w:ilvl="7" w:tplc="0C090019" w:tentative="1">
      <w:start w:val="1"/>
      <w:numFmt w:val="lowerLetter"/>
      <w:lvlText w:val="%8."/>
      <w:lvlJc w:val="left"/>
      <w:pPr>
        <w:ind w:left="6588" w:hanging="360"/>
      </w:pPr>
    </w:lvl>
    <w:lvl w:ilvl="8" w:tplc="0C09001B" w:tentative="1">
      <w:start w:val="1"/>
      <w:numFmt w:val="lowerRoman"/>
      <w:lvlText w:val="%9."/>
      <w:lvlJc w:val="right"/>
      <w:pPr>
        <w:ind w:left="7308" w:hanging="180"/>
      </w:pPr>
    </w:lvl>
  </w:abstractNum>
  <w:abstractNum w:abstractNumId="11">
    <w:nsid w:val="50662F95"/>
    <w:multiLevelType w:val="hybridMultilevel"/>
    <w:tmpl w:val="52D648E8"/>
    <w:lvl w:ilvl="0" w:tplc="58A2A2D6">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37333F4"/>
    <w:multiLevelType w:val="hybridMultilevel"/>
    <w:tmpl w:val="16FE7182"/>
    <w:lvl w:ilvl="0" w:tplc="1B3413E2">
      <w:start w:val="1"/>
      <w:numFmt w:val="bullet"/>
      <w:lvlText w:val=""/>
      <w:lvlJc w:val="left"/>
      <w:pPr>
        <w:ind w:left="1854"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A5110B4"/>
    <w:multiLevelType w:val="hybridMultilevel"/>
    <w:tmpl w:val="8F8426EC"/>
    <w:lvl w:ilvl="0" w:tplc="93A825C6">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5F7E391C"/>
    <w:multiLevelType w:val="hybridMultilevel"/>
    <w:tmpl w:val="E0022F36"/>
    <w:lvl w:ilvl="0" w:tplc="D7AEDE8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1E134E1"/>
    <w:multiLevelType w:val="hybridMultilevel"/>
    <w:tmpl w:val="B8DAF814"/>
    <w:lvl w:ilvl="0" w:tplc="7CC870F4">
      <w:start w:val="1"/>
      <w:numFmt w:val="bullet"/>
      <w:lvlText w:val=""/>
      <w:lvlJc w:val="left"/>
      <w:pPr>
        <w:ind w:left="1854" w:hanging="360"/>
      </w:pPr>
      <w:rPr>
        <w:rFonts w:ascii="Symbol" w:hAnsi="Symbol" w:hint="default"/>
        <w:sz w:val="20"/>
      </w:rPr>
    </w:lvl>
    <w:lvl w:ilvl="1" w:tplc="509CD99C">
      <w:start w:val="1"/>
      <w:numFmt w:val="bullet"/>
      <w:lvlText w:val=""/>
      <w:lvlJc w:val="left"/>
      <w:pPr>
        <w:ind w:left="2574" w:hanging="360"/>
      </w:pPr>
      <w:rPr>
        <w:rFonts w:ascii="Symbol" w:hAnsi="Symbol" w:hint="default"/>
      </w:rPr>
    </w:lvl>
    <w:lvl w:ilvl="2" w:tplc="BB0C2E9E">
      <w:numFmt w:val="bullet"/>
      <w:lvlText w:val="-"/>
      <w:lvlJc w:val="left"/>
      <w:pPr>
        <w:ind w:left="3294" w:hanging="360"/>
      </w:pPr>
      <w:rPr>
        <w:rFonts w:ascii="Arial" w:eastAsia="Times New Roman" w:hAnsi="Arial" w:cs="Arial"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6">
    <w:nsid w:val="672A1274"/>
    <w:multiLevelType w:val="multilevel"/>
    <w:tmpl w:val="93C6913C"/>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ascii="Times" w:hAnsi="Times" w:hint="default"/>
        <w:sz w:val="22"/>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498"/>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upperRoman"/>
      <w:lvlText w:val="(%6)"/>
      <w:lvlJc w:val="left"/>
      <w:pPr>
        <w:tabs>
          <w:tab w:val="num" w:pos="3915"/>
        </w:tabs>
        <w:ind w:left="3544" w:hanging="709"/>
      </w:pPr>
      <w:rPr>
        <w:rFonts w:hint="default"/>
      </w:rPr>
    </w:lvl>
    <w:lvl w:ilvl="6">
      <w:start w:val="1"/>
      <w:numFmt w:val="decimal"/>
      <w:lvlText w:val="%7"/>
      <w:lvlJc w:val="left"/>
      <w:pPr>
        <w:tabs>
          <w:tab w:val="num" w:pos="4253"/>
        </w:tabs>
        <w:ind w:left="4253" w:hanging="709"/>
      </w:pPr>
      <w:rPr>
        <w:rFonts w:hint="default"/>
      </w:rPr>
    </w:lvl>
    <w:lvl w:ilvl="7">
      <w:start w:val="1"/>
      <w:numFmt w:val="upperLetter"/>
      <w:lvlText w:val="%8."/>
      <w:lvlJc w:val="left"/>
      <w:pPr>
        <w:tabs>
          <w:tab w:val="num" w:pos="4961"/>
        </w:tabs>
        <w:ind w:left="4961" w:hanging="708"/>
      </w:pPr>
      <w:rPr>
        <w:rFonts w:hint="default"/>
      </w:rPr>
    </w:lvl>
    <w:lvl w:ilvl="8">
      <w:start w:val="1"/>
      <w:numFmt w:val="decimal"/>
      <w:lvlText w:val="%1.%2.%3.%4.%5.%6.%7.%8.%9."/>
      <w:lvlJc w:val="left"/>
      <w:pPr>
        <w:tabs>
          <w:tab w:val="num" w:pos="6761"/>
        </w:tabs>
        <w:ind w:left="5670" w:hanging="709"/>
      </w:pPr>
      <w:rPr>
        <w:rFonts w:hint="default"/>
      </w:rPr>
    </w:lvl>
  </w:abstractNum>
  <w:abstractNum w:abstractNumId="17">
    <w:nsid w:val="69EA7824"/>
    <w:multiLevelType w:val="hybridMultilevel"/>
    <w:tmpl w:val="91C84BD2"/>
    <w:lvl w:ilvl="0" w:tplc="B992AE66">
      <w:start w:val="1"/>
      <w:numFmt w:val="decimal"/>
      <w:lvlText w:val="%1."/>
      <w:lvlJc w:val="left"/>
      <w:pPr>
        <w:ind w:left="720" w:hanging="360"/>
      </w:pPr>
      <w:rPr>
        <w:sz w:val="24"/>
        <w:szCs w:val="24"/>
      </w:rPr>
    </w:lvl>
    <w:lvl w:ilvl="1" w:tplc="58A2A2D6">
      <w:start w:val="1"/>
      <w:numFmt w:val="lowerRoman"/>
      <w:lvlText w:val="(%2)"/>
      <w:lvlJc w:val="right"/>
      <w:pPr>
        <w:ind w:left="1440" w:hanging="360"/>
      </w:pPr>
      <w:rPr>
        <w:rFonts w:hint="default"/>
        <w:b w:val="0"/>
        <w:i w:val="0"/>
        <w:sz w:val="22"/>
      </w:rPr>
    </w:lvl>
    <w:lvl w:ilvl="2" w:tplc="29D67B2A">
      <w:start w:val="1"/>
      <w:numFmt w:val="upperLetter"/>
      <w:lvlText w:val="(%3)"/>
      <w:lvlJc w:val="left"/>
      <w:pPr>
        <w:ind w:left="2370" w:hanging="39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D826EC9"/>
    <w:multiLevelType w:val="hybridMultilevel"/>
    <w:tmpl w:val="662648EA"/>
    <w:lvl w:ilvl="0" w:tplc="B5806C4E">
      <w:start w:val="1"/>
      <w:numFmt w:val="bullet"/>
      <w:lvlText w:val=""/>
      <w:lvlJc w:val="left"/>
      <w:pPr>
        <w:ind w:left="2160" w:hanging="360"/>
      </w:pPr>
      <w:rPr>
        <w:rFonts w:ascii="Symbol" w:hAnsi="Symbol" w:hint="default"/>
        <w:sz w:val="20"/>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nsid w:val="6ED528A2"/>
    <w:multiLevelType w:val="hybridMultilevel"/>
    <w:tmpl w:val="1E7E4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34F77C5"/>
    <w:multiLevelType w:val="hybridMultilevel"/>
    <w:tmpl w:val="B77A35D6"/>
    <w:lvl w:ilvl="0" w:tplc="B616EC5A">
      <w:start w:val="135"/>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2"/>
  </w:num>
  <w:num w:numId="3">
    <w:abstractNumId w:val="20"/>
  </w:num>
  <w:num w:numId="4">
    <w:abstractNumId w:val="1"/>
  </w:num>
  <w:num w:numId="5">
    <w:abstractNumId w:val="7"/>
  </w:num>
  <w:num w:numId="6">
    <w:abstractNumId w:val="6"/>
  </w:num>
  <w:num w:numId="7">
    <w:abstractNumId w:val="10"/>
  </w:num>
  <w:num w:numId="8">
    <w:abstractNumId w:val="13"/>
  </w:num>
  <w:num w:numId="9">
    <w:abstractNumId w:val="11"/>
  </w:num>
  <w:num w:numId="10">
    <w:abstractNumId w:val="17"/>
  </w:num>
  <w:num w:numId="11">
    <w:abstractNumId w:val="19"/>
  </w:num>
  <w:num w:numId="12">
    <w:abstractNumId w:val="3"/>
  </w:num>
  <w:num w:numId="13">
    <w:abstractNumId w:val="14"/>
  </w:num>
  <w:num w:numId="14">
    <w:abstractNumId w:val="18"/>
  </w:num>
  <w:num w:numId="15">
    <w:abstractNumId w:val="4"/>
  </w:num>
  <w:num w:numId="16">
    <w:abstractNumId w:val="0"/>
  </w:num>
  <w:num w:numId="17">
    <w:abstractNumId w:val="8"/>
  </w:num>
  <w:num w:numId="18">
    <w:abstractNumId w:val="15"/>
  </w:num>
  <w:num w:numId="19">
    <w:abstractNumId w:val="9"/>
  </w:num>
  <w:num w:numId="20">
    <w:abstractNumId w:val="5"/>
  </w:num>
  <w:num w:numId="2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A9"/>
    <w:rsid w:val="00005715"/>
    <w:rsid w:val="00005A0A"/>
    <w:rsid w:val="00006DC7"/>
    <w:rsid w:val="0001012E"/>
    <w:rsid w:val="000102FB"/>
    <w:rsid w:val="00010DFA"/>
    <w:rsid w:val="0001107C"/>
    <w:rsid w:val="000114C0"/>
    <w:rsid w:val="000116F3"/>
    <w:rsid w:val="00017B8B"/>
    <w:rsid w:val="000215EF"/>
    <w:rsid w:val="00026C2A"/>
    <w:rsid w:val="00027E14"/>
    <w:rsid w:val="00033A8B"/>
    <w:rsid w:val="00034641"/>
    <w:rsid w:val="00037503"/>
    <w:rsid w:val="00042FB6"/>
    <w:rsid w:val="0004762B"/>
    <w:rsid w:val="00047D5A"/>
    <w:rsid w:val="0005257E"/>
    <w:rsid w:val="00060BFB"/>
    <w:rsid w:val="00062E90"/>
    <w:rsid w:val="0006453B"/>
    <w:rsid w:val="0006650B"/>
    <w:rsid w:val="00070794"/>
    <w:rsid w:val="00082E6D"/>
    <w:rsid w:val="00085507"/>
    <w:rsid w:val="0008676D"/>
    <w:rsid w:val="00087C82"/>
    <w:rsid w:val="0009051C"/>
    <w:rsid w:val="000923B4"/>
    <w:rsid w:val="0009438A"/>
    <w:rsid w:val="0009487F"/>
    <w:rsid w:val="00094CDA"/>
    <w:rsid w:val="000955CA"/>
    <w:rsid w:val="0009748A"/>
    <w:rsid w:val="000A028F"/>
    <w:rsid w:val="000A0941"/>
    <w:rsid w:val="000A4349"/>
    <w:rsid w:val="000A68BE"/>
    <w:rsid w:val="000A7A04"/>
    <w:rsid w:val="000B4528"/>
    <w:rsid w:val="000B5555"/>
    <w:rsid w:val="000B5D9E"/>
    <w:rsid w:val="000B7DE2"/>
    <w:rsid w:val="000C0356"/>
    <w:rsid w:val="000C170A"/>
    <w:rsid w:val="000C443A"/>
    <w:rsid w:val="000C471C"/>
    <w:rsid w:val="000C4764"/>
    <w:rsid w:val="000D1590"/>
    <w:rsid w:val="000D2137"/>
    <w:rsid w:val="000D468A"/>
    <w:rsid w:val="000D577A"/>
    <w:rsid w:val="000D703C"/>
    <w:rsid w:val="000E0027"/>
    <w:rsid w:val="000E3C9C"/>
    <w:rsid w:val="000E4806"/>
    <w:rsid w:val="000E6B4E"/>
    <w:rsid w:val="000F027C"/>
    <w:rsid w:val="000F1F01"/>
    <w:rsid w:val="00100BA2"/>
    <w:rsid w:val="0010204E"/>
    <w:rsid w:val="0010281E"/>
    <w:rsid w:val="00103F0C"/>
    <w:rsid w:val="0010667A"/>
    <w:rsid w:val="001077B4"/>
    <w:rsid w:val="001113AE"/>
    <w:rsid w:val="0011398B"/>
    <w:rsid w:val="00114DCB"/>
    <w:rsid w:val="00116845"/>
    <w:rsid w:val="00117B22"/>
    <w:rsid w:val="00122AA0"/>
    <w:rsid w:val="001315F3"/>
    <w:rsid w:val="00131FD0"/>
    <w:rsid w:val="00136642"/>
    <w:rsid w:val="0014059B"/>
    <w:rsid w:val="001439F0"/>
    <w:rsid w:val="00144C0E"/>
    <w:rsid w:val="00145197"/>
    <w:rsid w:val="00146D67"/>
    <w:rsid w:val="001521C6"/>
    <w:rsid w:val="00152C8B"/>
    <w:rsid w:val="001548FD"/>
    <w:rsid w:val="001560BF"/>
    <w:rsid w:val="0016012F"/>
    <w:rsid w:val="00162D05"/>
    <w:rsid w:val="00162F99"/>
    <w:rsid w:val="001633AF"/>
    <w:rsid w:val="001672EA"/>
    <w:rsid w:val="00167FCE"/>
    <w:rsid w:val="00170356"/>
    <w:rsid w:val="001730A7"/>
    <w:rsid w:val="00176EC1"/>
    <w:rsid w:val="00177884"/>
    <w:rsid w:val="00177907"/>
    <w:rsid w:val="00177F8B"/>
    <w:rsid w:val="001811B9"/>
    <w:rsid w:val="00185644"/>
    <w:rsid w:val="001878D7"/>
    <w:rsid w:val="0019074F"/>
    <w:rsid w:val="00190CE3"/>
    <w:rsid w:val="00191E14"/>
    <w:rsid w:val="00193143"/>
    <w:rsid w:val="00193D90"/>
    <w:rsid w:val="0019445D"/>
    <w:rsid w:val="0019563D"/>
    <w:rsid w:val="001961EC"/>
    <w:rsid w:val="001A0D63"/>
    <w:rsid w:val="001A63C1"/>
    <w:rsid w:val="001B1044"/>
    <w:rsid w:val="001B1EEE"/>
    <w:rsid w:val="001B3484"/>
    <w:rsid w:val="001B582B"/>
    <w:rsid w:val="001C0014"/>
    <w:rsid w:val="001C0670"/>
    <w:rsid w:val="001C12FB"/>
    <w:rsid w:val="001C2931"/>
    <w:rsid w:val="001C3D9B"/>
    <w:rsid w:val="001C582D"/>
    <w:rsid w:val="001C6E70"/>
    <w:rsid w:val="001E17DF"/>
    <w:rsid w:val="001E45E0"/>
    <w:rsid w:val="001F1CBB"/>
    <w:rsid w:val="001F5E47"/>
    <w:rsid w:val="001F6693"/>
    <w:rsid w:val="00200CD9"/>
    <w:rsid w:val="002020CD"/>
    <w:rsid w:val="00204BF1"/>
    <w:rsid w:val="0020575F"/>
    <w:rsid w:val="00206167"/>
    <w:rsid w:val="00216BAB"/>
    <w:rsid w:val="002247EE"/>
    <w:rsid w:val="00225589"/>
    <w:rsid w:val="0023102E"/>
    <w:rsid w:val="002347FF"/>
    <w:rsid w:val="00241501"/>
    <w:rsid w:val="002417D3"/>
    <w:rsid w:val="00245B86"/>
    <w:rsid w:val="0025013B"/>
    <w:rsid w:val="00256721"/>
    <w:rsid w:val="00260D45"/>
    <w:rsid w:val="002671C7"/>
    <w:rsid w:val="00270F1C"/>
    <w:rsid w:val="002723B3"/>
    <w:rsid w:val="002731DA"/>
    <w:rsid w:val="0027378A"/>
    <w:rsid w:val="00274D6A"/>
    <w:rsid w:val="00275F18"/>
    <w:rsid w:val="00276554"/>
    <w:rsid w:val="0028137B"/>
    <w:rsid w:val="00281A81"/>
    <w:rsid w:val="00281CB7"/>
    <w:rsid w:val="00284090"/>
    <w:rsid w:val="0028769D"/>
    <w:rsid w:val="002951A8"/>
    <w:rsid w:val="00296D7B"/>
    <w:rsid w:val="00297F2A"/>
    <w:rsid w:val="002A0529"/>
    <w:rsid w:val="002A0911"/>
    <w:rsid w:val="002A155C"/>
    <w:rsid w:val="002A2C36"/>
    <w:rsid w:val="002A2D51"/>
    <w:rsid w:val="002A54A2"/>
    <w:rsid w:val="002B2DF7"/>
    <w:rsid w:val="002B3C94"/>
    <w:rsid w:val="002B7CD3"/>
    <w:rsid w:val="002C0648"/>
    <w:rsid w:val="002C0FCA"/>
    <w:rsid w:val="002C4AF4"/>
    <w:rsid w:val="002C66B3"/>
    <w:rsid w:val="002C79C0"/>
    <w:rsid w:val="002D0858"/>
    <w:rsid w:val="002D1C4B"/>
    <w:rsid w:val="002D3074"/>
    <w:rsid w:val="002D5CF8"/>
    <w:rsid w:val="002D6864"/>
    <w:rsid w:val="002E0D75"/>
    <w:rsid w:val="002E2341"/>
    <w:rsid w:val="002E48C7"/>
    <w:rsid w:val="002E5D90"/>
    <w:rsid w:val="002E7F41"/>
    <w:rsid w:val="002F20DE"/>
    <w:rsid w:val="002F3D0B"/>
    <w:rsid w:val="002F6B7E"/>
    <w:rsid w:val="002F71A9"/>
    <w:rsid w:val="003018EE"/>
    <w:rsid w:val="0030192D"/>
    <w:rsid w:val="00301E4D"/>
    <w:rsid w:val="00303766"/>
    <w:rsid w:val="00304382"/>
    <w:rsid w:val="003063BE"/>
    <w:rsid w:val="00306C25"/>
    <w:rsid w:val="003108C3"/>
    <w:rsid w:val="00312102"/>
    <w:rsid w:val="003124EF"/>
    <w:rsid w:val="003156AF"/>
    <w:rsid w:val="00317E09"/>
    <w:rsid w:val="00320592"/>
    <w:rsid w:val="00320DCB"/>
    <w:rsid w:val="0032443C"/>
    <w:rsid w:val="003257A0"/>
    <w:rsid w:val="003318BE"/>
    <w:rsid w:val="00334A83"/>
    <w:rsid w:val="00342098"/>
    <w:rsid w:val="00344975"/>
    <w:rsid w:val="00344BFB"/>
    <w:rsid w:val="00345260"/>
    <w:rsid w:val="00345DFB"/>
    <w:rsid w:val="003517D4"/>
    <w:rsid w:val="00355D33"/>
    <w:rsid w:val="00356DE8"/>
    <w:rsid w:val="00362104"/>
    <w:rsid w:val="00362F75"/>
    <w:rsid w:val="0036513B"/>
    <w:rsid w:val="003703A6"/>
    <w:rsid w:val="00370D69"/>
    <w:rsid w:val="00373040"/>
    <w:rsid w:val="00373402"/>
    <w:rsid w:val="00375DD6"/>
    <w:rsid w:val="00376D71"/>
    <w:rsid w:val="00376E60"/>
    <w:rsid w:val="003832FE"/>
    <w:rsid w:val="0038337A"/>
    <w:rsid w:val="003844D1"/>
    <w:rsid w:val="00384924"/>
    <w:rsid w:val="00386CB6"/>
    <w:rsid w:val="00391316"/>
    <w:rsid w:val="003A1B11"/>
    <w:rsid w:val="003A4B30"/>
    <w:rsid w:val="003A6B67"/>
    <w:rsid w:val="003A6CA8"/>
    <w:rsid w:val="003A76C7"/>
    <w:rsid w:val="003B0F67"/>
    <w:rsid w:val="003B4868"/>
    <w:rsid w:val="003B59AE"/>
    <w:rsid w:val="003B7781"/>
    <w:rsid w:val="003B7D31"/>
    <w:rsid w:val="003C2555"/>
    <w:rsid w:val="003C3534"/>
    <w:rsid w:val="003C55C5"/>
    <w:rsid w:val="003D1585"/>
    <w:rsid w:val="003D18B4"/>
    <w:rsid w:val="003D375A"/>
    <w:rsid w:val="003D44F6"/>
    <w:rsid w:val="003E0F1B"/>
    <w:rsid w:val="003E1D97"/>
    <w:rsid w:val="003E5639"/>
    <w:rsid w:val="003E7E9C"/>
    <w:rsid w:val="003F0117"/>
    <w:rsid w:val="003F24FE"/>
    <w:rsid w:val="003F6F09"/>
    <w:rsid w:val="003F7D62"/>
    <w:rsid w:val="003F7FFD"/>
    <w:rsid w:val="004008CA"/>
    <w:rsid w:val="00401BEC"/>
    <w:rsid w:val="00405741"/>
    <w:rsid w:val="004103B8"/>
    <w:rsid w:val="004103BA"/>
    <w:rsid w:val="00411C6A"/>
    <w:rsid w:val="00413AF7"/>
    <w:rsid w:val="00414833"/>
    <w:rsid w:val="0041623D"/>
    <w:rsid w:val="00421463"/>
    <w:rsid w:val="00422353"/>
    <w:rsid w:val="00424286"/>
    <w:rsid w:val="00424B4C"/>
    <w:rsid w:val="00430488"/>
    <w:rsid w:val="004327C0"/>
    <w:rsid w:val="0043381D"/>
    <w:rsid w:val="004445F8"/>
    <w:rsid w:val="004478DA"/>
    <w:rsid w:val="00450F22"/>
    <w:rsid w:val="004538FA"/>
    <w:rsid w:val="00454F8C"/>
    <w:rsid w:val="004562BB"/>
    <w:rsid w:val="004569C8"/>
    <w:rsid w:val="00457EA3"/>
    <w:rsid w:val="00460762"/>
    <w:rsid w:val="00461A05"/>
    <w:rsid w:val="00461DA0"/>
    <w:rsid w:val="00462C5D"/>
    <w:rsid w:val="0046334B"/>
    <w:rsid w:val="00466C9F"/>
    <w:rsid w:val="00474EF8"/>
    <w:rsid w:val="00475D96"/>
    <w:rsid w:val="0047618D"/>
    <w:rsid w:val="00476478"/>
    <w:rsid w:val="00481F8E"/>
    <w:rsid w:val="0048245B"/>
    <w:rsid w:val="00483DF6"/>
    <w:rsid w:val="00493AA5"/>
    <w:rsid w:val="00495B66"/>
    <w:rsid w:val="00496AB8"/>
    <w:rsid w:val="0049735F"/>
    <w:rsid w:val="004A35CB"/>
    <w:rsid w:val="004A67B0"/>
    <w:rsid w:val="004A7318"/>
    <w:rsid w:val="004B09CF"/>
    <w:rsid w:val="004B3BF9"/>
    <w:rsid w:val="004C0AF8"/>
    <w:rsid w:val="004C378D"/>
    <w:rsid w:val="004C4B30"/>
    <w:rsid w:val="004C5C58"/>
    <w:rsid w:val="004C7143"/>
    <w:rsid w:val="004D07AE"/>
    <w:rsid w:val="004D4F0F"/>
    <w:rsid w:val="004D7BBA"/>
    <w:rsid w:val="004E21EF"/>
    <w:rsid w:val="004E269A"/>
    <w:rsid w:val="004E2745"/>
    <w:rsid w:val="004E2C23"/>
    <w:rsid w:val="004E2D90"/>
    <w:rsid w:val="004F0F8A"/>
    <w:rsid w:val="004F2D60"/>
    <w:rsid w:val="004F3994"/>
    <w:rsid w:val="004F46BA"/>
    <w:rsid w:val="004F4A3D"/>
    <w:rsid w:val="004F5078"/>
    <w:rsid w:val="004F6CC2"/>
    <w:rsid w:val="005045AC"/>
    <w:rsid w:val="0052150A"/>
    <w:rsid w:val="00523340"/>
    <w:rsid w:val="00523B23"/>
    <w:rsid w:val="00524111"/>
    <w:rsid w:val="0052672A"/>
    <w:rsid w:val="00526F4E"/>
    <w:rsid w:val="00527DF6"/>
    <w:rsid w:val="005307CB"/>
    <w:rsid w:val="00532B9E"/>
    <w:rsid w:val="0053520F"/>
    <w:rsid w:val="00537DE7"/>
    <w:rsid w:val="00550201"/>
    <w:rsid w:val="0055468A"/>
    <w:rsid w:val="0055791F"/>
    <w:rsid w:val="00557AF6"/>
    <w:rsid w:val="00561B6B"/>
    <w:rsid w:val="0056683A"/>
    <w:rsid w:val="00566B7C"/>
    <w:rsid w:val="0056726F"/>
    <w:rsid w:val="005717DC"/>
    <w:rsid w:val="005751E2"/>
    <w:rsid w:val="00576B3A"/>
    <w:rsid w:val="0057712E"/>
    <w:rsid w:val="00577777"/>
    <w:rsid w:val="00577A95"/>
    <w:rsid w:val="00581659"/>
    <w:rsid w:val="00587A9F"/>
    <w:rsid w:val="00587CF3"/>
    <w:rsid w:val="00594599"/>
    <w:rsid w:val="005A0707"/>
    <w:rsid w:val="005A2191"/>
    <w:rsid w:val="005A2ECB"/>
    <w:rsid w:val="005A31F3"/>
    <w:rsid w:val="005B1BCE"/>
    <w:rsid w:val="005B51EA"/>
    <w:rsid w:val="005B6137"/>
    <w:rsid w:val="005B7867"/>
    <w:rsid w:val="005C33A0"/>
    <w:rsid w:val="005C4564"/>
    <w:rsid w:val="005C4C39"/>
    <w:rsid w:val="005C58BF"/>
    <w:rsid w:val="005D40B4"/>
    <w:rsid w:val="005D59EC"/>
    <w:rsid w:val="005E0F90"/>
    <w:rsid w:val="005E2DAF"/>
    <w:rsid w:val="005E5D4D"/>
    <w:rsid w:val="005E7080"/>
    <w:rsid w:val="005F07D5"/>
    <w:rsid w:val="005F0AB1"/>
    <w:rsid w:val="005F3302"/>
    <w:rsid w:val="005F625D"/>
    <w:rsid w:val="005F643D"/>
    <w:rsid w:val="006003DB"/>
    <w:rsid w:val="00602C71"/>
    <w:rsid w:val="006030C3"/>
    <w:rsid w:val="00604B51"/>
    <w:rsid w:val="006068F5"/>
    <w:rsid w:val="00611491"/>
    <w:rsid w:val="0061208F"/>
    <w:rsid w:val="006131EC"/>
    <w:rsid w:val="00621B5E"/>
    <w:rsid w:val="00622231"/>
    <w:rsid w:val="00627275"/>
    <w:rsid w:val="0063560C"/>
    <w:rsid w:val="0064161D"/>
    <w:rsid w:val="00643C9E"/>
    <w:rsid w:val="0064509D"/>
    <w:rsid w:val="00651224"/>
    <w:rsid w:val="0065244D"/>
    <w:rsid w:val="00653569"/>
    <w:rsid w:val="00655100"/>
    <w:rsid w:val="006607F2"/>
    <w:rsid w:val="006609DC"/>
    <w:rsid w:val="00660A0F"/>
    <w:rsid w:val="00661759"/>
    <w:rsid w:val="00663AFC"/>
    <w:rsid w:val="00672160"/>
    <w:rsid w:val="006757CD"/>
    <w:rsid w:val="0068143E"/>
    <w:rsid w:val="0068187D"/>
    <w:rsid w:val="00683308"/>
    <w:rsid w:val="00683F37"/>
    <w:rsid w:val="0068452B"/>
    <w:rsid w:val="00686568"/>
    <w:rsid w:val="00690F07"/>
    <w:rsid w:val="006959E5"/>
    <w:rsid w:val="00697DA7"/>
    <w:rsid w:val="006A4AE4"/>
    <w:rsid w:val="006A5CE7"/>
    <w:rsid w:val="006A681B"/>
    <w:rsid w:val="006B3900"/>
    <w:rsid w:val="006B3E9B"/>
    <w:rsid w:val="006B545C"/>
    <w:rsid w:val="006C285C"/>
    <w:rsid w:val="006C4F5D"/>
    <w:rsid w:val="006D01BE"/>
    <w:rsid w:val="006D04FF"/>
    <w:rsid w:val="006D0687"/>
    <w:rsid w:val="006D1D58"/>
    <w:rsid w:val="006D324F"/>
    <w:rsid w:val="006D3751"/>
    <w:rsid w:val="006D3F9A"/>
    <w:rsid w:val="006D7648"/>
    <w:rsid w:val="006E10E5"/>
    <w:rsid w:val="006E194B"/>
    <w:rsid w:val="006E1EF2"/>
    <w:rsid w:val="006E3B6B"/>
    <w:rsid w:val="006E4AF2"/>
    <w:rsid w:val="006E559E"/>
    <w:rsid w:val="006E7264"/>
    <w:rsid w:val="006E78AE"/>
    <w:rsid w:val="006F0A19"/>
    <w:rsid w:val="006F0E69"/>
    <w:rsid w:val="006F1E47"/>
    <w:rsid w:val="006F3DC3"/>
    <w:rsid w:val="006F3FDE"/>
    <w:rsid w:val="006F4824"/>
    <w:rsid w:val="006F56AE"/>
    <w:rsid w:val="006F6C1A"/>
    <w:rsid w:val="007014ED"/>
    <w:rsid w:val="0070229F"/>
    <w:rsid w:val="007031FE"/>
    <w:rsid w:val="007103FE"/>
    <w:rsid w:val="00710623"/>
    <w:rsid w:val="00710AAD"/>
    <w:rsid w:val="00710CEC"/>
    <w:rsid w:val="007205B4"/>
    <w:rsid w:val="00721149"/>
    <w:rsid w:val="00721223"/>
    <w:rsid w:val="0072352C"/>
    <w:rsid w:val="00723ED0"/>
    <w:rsid w:val="00725B1A"/>
    <w:rsid w:val="007336A0"/>
    <w:rsid w:val="00733E47"/>
    <w:rsid w:val="00735E23"/>
    <w:rsid w:val="00736576"/>
    <w:rsid w:val="00737E0A"/>
    <w:rsid w:val="00741055"/>
    <w:rsid w:val="007423D3"/>
    <w:rsid w:val="00744347"/>
    <w:rsid w:val="0075353C"/>
    <w:rsid w:val="007560C9"/>
    <w:rsid w:val="00763B5A"/>
    <w:rsid w:val="0076454E"/>
    <w:rsid w:val="007676DC"/>
    <w:rsid w:val="00770494"/>
    <w:rsid w:val="00772111"/>
    <w:rsid w:val="0077411C"/>
    <w:rsid w:val="007744E7"/>
    <w:rsid w:val="0077476E"/>
    <w:rsid w:val="00776F23"/>
    <w:rsid w:val="00777234"/>
    <w:rsid w:val="00777C50"/>
    <w:rsid w:val="007835A2"/>
    <w:rsid w:val="00784E5C"/>
    <w:rsid w:val="00785408"/>
    <w:rsid w:val="00785D97"/>
    <w:rsid w:val="0079213A"/>
    <w:rsid w:val="00792BCB"/>
    <w:rsid w:val="00792E37"/>
    <w:rsid w:val="0079752D"/>
    <w:rsid w:val="007A1745"/>
    <w:rsid w:val="007A35FD"/>
    <w:rsid w:val="007A3B90"/>
    <w:rsid w:val="007A6B71"/>
    <w:rsid w:val="007B0B38"/>
    <w:rsid w:val="007B7B8C"/>
    <w:rsid w:val="007C5ED7"/>
    <w:rsid w:val="007C6096"/>
    <w:rsid w:val="007D22A1"/>
    <w:rsid w:val="007D285A"/>
    <w:rsid w:val="007D598F"/>
    <w:rsid w:val="007D75E3"/>
    <w:rsid w:val="007D76C7"/>
    <w:rsid w:val="007E57D1"/>
    <w:rsid w:val="007E64CB"/>
    <w:rsid w:val="007F2139"/>
    <w:rsid w:val="007F2F62"/>
    <w:rsid w:val="007F58DD"/>
    <w:rsid w:val="007F6445"/>
    <w:rsid w:val="007F6A76"/>
    <w:rsid w:val="007F777E"/>
    <w:rsid w:val="008029A8"/>
    <w:rsid w:val="008041B3"/>
    <w:rsid w:val="008043E9"/>
    <w:rsid w:val="008115F0"/>
    <w:rsid w:val="008126F9"/>
    <w:rsid w:val="0081650A"/>
    <w:rsid w:val="008166F7"/>
    <w:rsid w:val="00820CC2"/>
    <w:rsid w:val="00822E80"/>
    <w:rsid w:val="00824D6A"/>
    <w:rsid w:val="008253D2"/>
    <w:rsid w:val="00827B7D"/>
    <w:rsid w:val="00835B42"/>
    <w:rsid w:val="008361E5"/>
    <w:rsid w:val="00841EC2"/>
    <w:rsid w:val="00842F8D"/>
    <w:rsid w:val="00843177"/>
    <w:rsid w:val="008441A6"/>
    <w:rsid w:val="0084791D"/>
    <w:rsid w:val="00847AA5"/>
    <w:rsid w:val="00850DCC"/>
    <w:rsid w:val="00852177"/>
    <w:rsid w:val="00855B35"/>
    <w:rsid w:val="00855EC9"/>
    <w:rsid w:val="008566F8"/>
    <w:rsid w:val="008727AA"/>
    <w:rsid w:val="00873E78"/>
    <w:rsid w:val="00874724"/>
    <w:rsid w:val="008753DF"/>
    <w:rsid w:val="00877A99"/>
    <w:rsid w:val="00883C86"/>
    <w:rsid w:val="00890D99"/>
    <w:rsid w:val="008911AB"/>
    <w:rsid w:val="00893C07"/>
    <w:rsid w:val="008943AD"/>
    <w:rsid w:val="0089499C"/>
    <w:rsid w:val="00895515"/>
    <w:rsid w:val="00895C8F"/>
    <w:rsid w:val="008A2480"/>
    <w:rsid w:val="008A375B"/>
    <w:rsid w:val="008A4382"/>
    <w:rsid w:val="008A464E"/>
    <w:rsid w:val="008A61C5"/>
    <w:rsid w:val="008A76D5"/>
    <w:rsid w:val="008A7E46"/>
    <w:rsid w:val="008B05DF"/>
    <w:rsid w:val="008B0657"/>
    <w:rsid w:val="008B068F"/>
    <w:rsid w:val="008B26E6"/>
    <w:rsid w:val="008B2DDF"/>
    <w:rsid w:val="008B560F"/>
    <w:rsid w:val="008B7B86"/>
    <w:rsid w:val="008C5938"/>
    <w:rsid w:val="008C689B"/>
    <w:rsid w:val="008C7559"/>
    <w:rsid w:val="008D09AB"/>
    <w:rsid w:val="008D09DB"/>
    <w:rsid w:val="008D4625"/>
    <w:rsid w:val="008E2791"/>
    <w:rsid w:val="008F3788"/>
    <w:rsid w:val="008F500B"/>
    <w:rsid w:val="008F53FF"/>
    <w:rsid w:val="008F605E"/>
    <w:rsid w:val="00903605"/>
    <w:rsid w:val="00903E21"/>
    <w:rsid w:val="009069A4"/>
    <w:rsid w:val="00906E3F"/>
    <w:rsid w:val="009106E1"/>
    <w:rsid w:val="009110B0"/>
    <w:rsid w:val="00913724"/>
    <w:rsid w:val="0092101B"/>
    <w:rsid w:val="00922878"/>
    <w:rsid w:val="009271C1"/>
    <w:rsid w:val="00930D6C"/>
    <w:rsid w:val="00932250"/>
    <w:rsid w:val="009325F5"/>
    <w:rsid w:val="00935399"/>
    <w:rsid w:val="00935836"/>
    <w:rsid w:val="00936EF9"/>
    <w:rsid w:val="00936FF8"/>
    <w:rsid w:val="00940C8F"/>
    <w:rsid w:val="00943047"/>
    <w:rsid w:val="0094620D"/>
    <w:rsid w:val="009477F7"/>
    <w:rsid w:val="00950004"/>
    <w:rsid w:val="009502FD"/>
    <w:rsid w:val="009540A3"/>
    <w:rsid w:val="009571B2"/>
    <w:rsid w:val="0095789B"/>
    <w:rsid w:val="0096032D"/>
    <w:rsid w:val="00960C95"/>
    <w:rsid w:val="009648DC"/>
    <w:rsid w:val="00964A2B"/>
    <w:rsid w:val="00964CC3"/>
    <w:rsid w:val="00965741"/>
    <w:rsid w:val="009728DB"/>
    <w:rsid w:val="00974089"/>
    <w:rsid w:val="009774E5"/>
    <w:rsid w:val="009832F8"/>
    <w:rsid w:val="00983947"/>
    <w:rsid w:val="00987011"/>
    <w:rsid w:val="00990029"/>
    <w:rsid w:val="00992FF2"/>
    <w:rsid w:val="00994727"/>
    <w:rsid w:val="00997D3E"/>
    <w:rsid w:val="009A03B1"/>
    <w:rsid w:val="009A405B"/>
    <w:rsid w:val="009A47CB"/>
    <w:rsid w:val="009A51E8"/>
    <w:rsid w:val="009A6577"/>
    <w:rsid w:val="009A6689"/>
    <w:rsid w:val="009B1170"/>
    <w:rsid w:val="009B279D"/>
    <w:rsid w:val="009B36D8"/>
    <w:rsid w:val="009B47EF"/>
    <w:rsid w:val="009B6C9C"/>
    <w:rsid w:val="009B7615"/>
    <w:rsid w:val="009B774E"/>
    <w:rsid w:val="009C722C"/>
    <w:rsid w:val="009C73DD"/>
    <w:rsid w:val="009C76F7"/>
    <w:rsid w:val="009D5343"/>
    <w:rsid w:val="009D58E6"/>
    <w:rsid w:val="009D5AA7"/>
    <w:rsid w:val="009D5B88"/>
    <w:rsid w:val="009E0EC8"/>
    <w:rsid w:val="009E1F5B"/>
    <w:rsid w:val="009E2A26"/>
    <w:rsid w:val="009E3949"/>
    <w:rsid w:val="009E4121"/>
    <w:rsid w:val="009E6D1D"/>
    <w:rsid w:val="009E7053"/>
    <w:rsid w:val="009E7471"/>
    <w:rsid w:val="009E75CE"/>
    <w:rsid w:val="009E76CD"/>
    <w:rsid w:val="009F0D1C"/>
    <w:rsid w:val="009F1555"/>
    <w:rsid w:val="009F2C1F"/>
    <w:rsid w:val="009F4D9C"/>
    <w:rsid w:val="009F5653"/>
    <w:rsid w:val="009F7E03"/>
    <w:rsid w:val="00A00E53"/>
    <w:rsid w:val="00A02800"/>
    <w:rsid w:val="00A117B4"/>
    <w:rsid w:val="00A11B96"/>
    <w:rsid w:val="00A12D4E"/>
    <w:rsid w:val="00A13550"/>
    <w:rsid w:val="00A1451D"/>
    <w:rsid w:val="00A16BA9"/>
    <w:rsid w:val="00A22259"/>
    <w:rsid w:val="00A22BA0"/>
    <w:rsid w:val="00A24B7D"/>
    <w:rsid w:val="00A3708A"/>
    <w:rsid w:val="00A37268"/>
    <w:rsid w:val="00A37AD5"/>
    <w:rsid w:val="00A438D2"/>
    <w:rsid w:val="00A451D7"/>
    <w:rsid w:val="00A47E3B"/>
    <w:rsid w:val="00A503DD"/>
    <w:rsid w:val="00A506CC"/>
    <w:rsid w:val="00A5145B"/>
    <w:rsid w:val="00A52639"/>
    <w:rsid w:val="00A56901"/>
    <w:rsid w:val="00A60A96"/>
    <w:rsid w:val="00A63DAB"/>
    <w:rsid w:val="00A65577"/>
    <w:rsid w:val="00A65B46"/>
    <w:rsid w:val="00A65E59"/>
    <w:rsid w:val="00A667DC"/>
    <w:rsid w:val="00A6712F"/>
    <w:rsid w:val="00A74A19"/>
    <w:rsid w:val="00A823B9"/>
    <w:rsid w:val="00A865CB"/>
    <w:rsid w:val="00A916EF"/>
    <w:rsid w:val="00AA06CB"/>
    <w:rsid w:val="00AA3254"/>
    <w:rsid w:val="00AA788E"/>
    <w:rsid w:val="00AB07E1"/>
    <w:rsid w:val="00AB1952"/>
    <w:rsid w:val="00AB238C"/>
    <w:rsid w:val="00AB5763"/>
    <w:rsid w:val="00AB6C3B"/>
    <w:rsid w:val="00AC48C3"/>
    <w:rsid w:val="00AC7BA3"/>
    <w:rsid w:val="00AD3C2B"/>
    <w:rsid w:val="00AD4A4C"/>
    <w:rsid w:val="00AD7325"/>
    <w:rsid w:val="00AE07E3"/>
    <w:rsid w:val="00AE27EE"/>
    <w:rsid w:val="00AF1A6F"/>
    <w:rsid w:val="00AF2774"/>
    <w:rsid w:val="00AF4006"/>
    <w:rsid w:val="00AF7D83"/>
    <w:rsid w:val="00B031F0"/>
    <w:rsid w:val="00B04DBA"/>
    <w:rsid w:val="00B05094"/>
    <w:rsid w:val="00B06270"/>
    <w:rsid w:val="00B075B6"/>
    <w:rsid w:val="00B07B0C"/>
    <w:rsid w:val="00B16A8D"/>
    <w:rsid w:val="00B227BA"/>
    <w:rsid w:val="00B2774B"/>
    <w:rsid w:val="00B27DE7"/>
    <w:rsid w:val="00B32C02"/>
    <w:rsid w:val="00B34CC3"/>
    <w:rsid w:val="00B35015"/>
    <w:rsid w:val="00B36373"/>
    <w:rsid w:val="00B3710A"/>
    <w:rsid w:val="00B3757E"/>
    <w:rsid w:val="00B40342"/>
    <w:rsid w:val="00B41626"/>
    <w:rsid w:val="00B42770"/>
    <w:rsid w:val="00B44AA4"/>
    <w:rsid w:val="00B44BB4"/>
    <w:rsid w:val="00B4513B"/>
    <w:rsid w:val="00B472E6"/>
    <w:rsid w:val="00B613BE"/>
    <w:rsid w:val="00B63E27"/>
    <w:rsid w:val="00B659E2"/>
    <w:rsid w:val="00B660A4"/>
    <w:rsid w:val="00B71556"/>
    <w:rsid w:val="00B7686D"/>
    <w:rsid w:val="00B8160F"/>
    <w:rsid w:val="00B81D88"/>
    <w:rsid w:val="00B83847"/>
    <w:rsid w:val="00B91C1F"/>
    <w:rsid w:val="00B91FBD"/>
    <w:rsid w:val="00B92C80"/>
    <w:rsid w:val="00B94A0E"/>
    <w:rsid w:val="00B94EB7"/>
    <w:rsid w:val="00B95781"/>
    <w:rsid w:val="00B96F44"/>
    <w:rsid w:val="00BA1D88"/>
    <w:rsid w:val="00BA2181"/>
    <w:rsid w:val="00BB318D"/>
    <w:rsid w:val="00BB3E31"/>
    <w:rsid w:val="00BB46F3"/>
    <w:rsid w:val="00BB4B2E"/>
    <w:rsid w:val="00BB5BFB"/>
    <w:rsid w:val="00BB64EE"/>
    <w:rsid w:val="00BC171F"/>
    <w:rsid w:val="00BC239A"/>
    <w:rsid w:val="00BC2C4D"/>
    <w:rsid w:val="00BC533A"/>
    <w:rsid w:val="00BD352A"/>
    <w:rsid w:val="00BD3790"/>
    <w:rsid w:val="00BD4949"/>
    <w:rsid w:val="00BD6D6E"/>
    <w:rsid w:val="00BD6DB2"/>
    <w:rsid w:val="00BD6DF4"/>
    <w:rsid w:val="00BE0624"/>
    <w:rsid w:val="00BE26F6"/>
    <w:rsid w:val="00BE3749"/>
    <w:rsid w:val="00BE4438"/>
    <w:rsid w:val="00BE53A9"/>
    <w:rsid w:val="00BE5C42"/>
    <w:rsid w:val="00BE7D1C"/>
    <w:rsid w:val="00BF0D30"/>
    <w:rsid w:val="00BF10B1"/>
    <w:rsid w:val="00BF54E3"/>
    <w:rsid w:val="00BF58F2"/>
    <w:rsid w:val="00C01D61"/>
    <w:rsid w:val="00C051CE"/>
    <w:rsid w:val="00C062A9"/>
    <w:rsid w:val="00C0756E"/>
    <w:rsid w:val="00C10E5D"/>
    <w:rsid w:val="00C11C45"/>
    <w:rsid w:val="00C13A76"/>
    <w:rsid w:val="00C13AAE"/>
    <w:rsid w:val="00C14330"/>
    <w:rsid w:val="00C1589F"/>
    <w:rsid w:val="00C215D5"/>
    <w:rsid w:val="00C22224"/>
    <w:rsid w:val="00C30719"/>
    <w:rsid w:val="00C314FD"/>
    <w:rsid w:val="00C343A0"/>
    <w:rsid w:val="00C36ACC"/>
    <w:rsid w:val="00C37B6F"/>
    <w:rsid w:val="00C403A4"/>
    <w:rsid w:val="00C409A2"/>
    <w:rsid w:val="00C43186"/>
    <w:rsid w:val="00C43942"/>
    <w:rsid w:val="00C44204"/>
    <w:rsid w:val="00C45A84"/>
    <w:rsid w:val="00C523EE"/>
    <w:rsid w:val="00C541DB"/>
    <w:rsid w:val="00C57509"/>
    <w:rsid w:val="00C610C6"/>
    <w:rsid w:val="00C70AA0"/>
    <w:rsid w:val="00C74EBB"/>
    <w:rsid w:val="00C825BC"/>
    <w:rsid w:val="00C83979"/>
    <w:rsid w:val="00C8624B"/>
    <w:rsid w:val="00CA1834"/>
    <w:rsid w:val="00CB5AC0"/>
    <w:rsid w:val="00CB7386"/>
    <w:rsid w:val="00CC049D"/>
    <w:rsid w:val="00CC257F"/>
    <w:rsid w:val="00CC3CB9"/>
    <w:rsid w:val="00CC6188"/>
    <w:rsid w:val="00CC7C60"/>
    <w:rsid w:val="00CD01BE"/>
    <w:rsid w:val="00CE17C0"/>
    <w:rsid w:val="00CE2CD4"/>
    <w:rsid w:val="00CE44DE"/>
    <w:rsid w:val="00CE60AA"/>
    <w:rsid w:val="00CF53FF"/>
    <w:rsid w:val="00D001DD"/>
    <w:rsid w:val="00D00672"/>
    <w:rsid w:val="00D00C16"/>
    <w:rsid w:val="00D03083"/>
    <w:rsid w:val="00D050B1"/>
    <w:rsid w:val="00D069D2"/>
    <w:rsid w:val="00D10CB0"/>
    <w:rsid w:val="00D15107"/>
    <w:rsid w:val="00D15180"/>
    <w:rsid w:val="00D15E7E"/>
    <w:rsid w:val="00D232A0"/>
    <w:rsid w:val="00D23DFF"/>
    <w:rsid w:val="00D313D1"/>
    <w:rsid w:val="00D43AA5"/>
    <w:rsid w:val="00D4409D"/>
    <w:rsid w:val="00D454A3"/>
    <w:rsid w:val="00D55393"/>
    <w:rsid w:val="00D57CB4"/>
    <w:rsid w:val="00D62562"/>
    <w:rsid w:val="00D66DA4"/>
    <w:rsid w:val="00D66FA6"/>
    <w:rsid w:val="00D777CA"/>
    <w:rsid w:val="00D77D2A"/>
    <w:rsid w:val="00D8192C"/>
    <w:rsid w:val="00D81BF8"/>
    <w:rsid w:val="00D85243"/>
    <w:rsid w:val="00D852B6"/>
    <w:rsid w:val="00D852F0"/>
    <w:rsid w:val="00D8582C"/>
    <w:rsid w:val="00D91720"/>
    <w:rsid w:val="00D9539C"/>
    <w:rsid w:val="00D95B5F"/>
    <w:rsid w:val="00D96040"/>
    <w:rsid w:val="00D96D64"/>
    <w:rsid w:val="00D976C6"/>
    <w:rsid w:val="00DA22CC"/>
    <w:rsid w:val="00DA3C1A"/>
    <w:rsid w:val="00DA484F"/>
    <w:rsid w:val="00DA569B"/>
    <w:rsid w:val="00DA68D7"/>
    <w:rsid w:val="00DA77F3"/>
    <w:rsid w:val="00DB0426"/>
    <w:rsid w:val="00DB2CA4"/>
    <w:rsid w:val="00DB2DDE"/>
    <w:rsid w:val="00DB3CE8"/>
    <w:rsid w:val="00DB65C8"/>
    <w:rsid w:val="00DB6DEB"/>
    <w:rsid w:val="00DB7444"/>
    <w:rsid w:val="00DB7D44"/>
    <w:rsid w:val="00DC18ED"/>
    <w:rsid w:val="00DC4E88"/>
    <w:rsid w:val="00DC4F52"/>
    <w:rsid w:val="00DC581D"/>
    <w:rsid w:val="00DC6C6D"/>
    <w:rsid w:val="00DC7202"/>
    <w:rsid w:val="00DD0CB8"/>
    <w:rsid w:val="00DD1BE7"/>
    <w:rsid w:val="00DD3F77"/>
    <w:rsid w:val="00DE1D92"/>
    <w:rsid w:val="00DE4A34"/>
    <w:rsid w:val="00DE768F"/>
    <w:rsid w:val="00DE7B6D"/>
    <w:rsid w:val="00DF30AA"/>
    <w:rsid w:val="00E05C92"/>
    <w:rsid w:val="00E110F3"/>
    <w:rsid w:val="00E153C1"/>
    <w:rsid w:val="00E154BE"/>
    <w:rsid w:val="00E1623F"/>
    <w:rsid w:val="00E17B1A"/>
    <w:rsid w:val="00E223B1"/>
    <w:rsid w:val="00E23DC7"/>
    <w:rsid w:val="00E258E8"/>
    <w:rsid w:val="00E31F9D"/>
    <w:rsid w:val="00E33D08"/>
    <w:rsid w:val="00E378D7"/>
    <w:rsid w:val="00E41E7F"/>
    <w:rsid w:val="00E42BFE"/>
    <w:rsid w:val="00E432CF"/>
    <w:rsid w:val="00E43F11"/>
    <w:rsid w:val="00E442CC"/>
    <w:rsid w:val="00E44971"/>
    <w:rsid w:val="00E54C76"/>
    <w:rsid w:val="00E55F38"/>
    <w:rsid w:val="00E60CC7"/>
    <w:rsid w:val="00E614C3"/>
    <w:rsid w:val="00E61F9D"/>
    <w:rsid w:val="00E6313A"/>
    <w:rsid w:val="00E63D6F"/>
    <w:rsid w:val="00E709F9"/>
    <w:rsid w:val="00E71B47"/>
    <w:rsid w:val="00E71BB2"/>
    <w:rsid w:val="00E733C6"/>
    <w:rsid w:val="00E80FD6"/>
    <w:rsid w:val="00E84205"/>
    <w:rsid w:val="00E84430"/>
    <w:rsid w:val="00E8521D"/>
    <w:rsid w:val="00E861A4"/>
    <w:rsid w:val="00E90DAD"/>
    <w:rsid w:val="00E95CE8"/>
    <w:rsid w:val="00E9635D"/>
    <w:rsid w:val="00EA0402"/>
    <w:rsid w:val="00EA197A"/>
    <w:rsid w:val="00EA46AC"/>
    <w:rsid w:val="00EA542E"/>
    <w:rsid w:val="00EA5E59"/>
    <w:rsid w:val="00EA7674"/>
    <w:rsid w:val="00EB76F2"/>
    <w:rsid w:val="00EC1879"/>
    <w:rsid w:val="00EC475C"/>
    <w:rsid w:val="00EC6C09"/>
    <w:rsid w:val="00ED16C5"/>
    <w:rsid w:val="00ED2B52"/>
    <w:rsid w:val="00ED45DE"/>
    <w:rsid w:val="00EE40BA"/>
    <w:rsid w:val="00EF03DA"/>
    <w:rsid w:val="00EF20EE"/>
    <w:rsid w:val="00EF4020"/>
    <w:rsid w:val="00EF5836"/>
    <w:rsid w:val="00F003EC"/>
    <w:rsid w:val="00F01B11"/>
    <w:rsid w:val="00F027C1"/>
    <w:rsid w:val="00F03614"/>
    <w:rsid w:val="00F039D1"/>
    <w:rsid w:val="00F03E23"/>
    <w:rsid w:val="00F0604F"/>
    <w:rsid w:val="00F1062D"/>
    <w:rsid w:val="00F12C71"/>
    <w:rsid w:val="00F13A57"/>
    <w:rsid w:val="00F151B9"/>
    <w:rsid w:val="00F200EC"/>
    <w:rsid w:val="00F20BBF"/>
    <w:rsid w:val="00F252A0"/>
    <w:rsid w:val="00F25E95"/>
    <w:rsid w:val="00F27340"/>
    <w:rsid w:val="00F30847"/>
    <w:rsid w:val="00F3413D"/>
    <w:rsid w:val="00F34B20"/>
    <w:rsid w:val="00F353E1"/>
    <w:rsid w:val="00F401C5"/>
    <w:rsid w:val="00F40682"/>
    <w:rsid w:val="00F4584B"/>
    <w:rsid w:val="00F45AE0"/>
    <w:rsid w:val="00F50C7C"/>
    <w:rsid w:val="00F53B4A"/>
    <w:rsid w:val="00F53C9E"/>
    <w:rsid w:val="00F54A87"/>
    <w:rsid w:val="00F55B80"/>
    <w:rsid w:val="00F5614A"/>
    <w:rsid w:val="00F613E8"/>
    <w:rsid w:val="00F657BF"/>
    <w:rsid w:val="00F6769A"/>
    <w:rsid w:val="00F71218"/>
    <w:rsid w:val="00F747A9"/>
    <w:rsid w:val="00F75163"/>
    <w:rsid w:val="00F77FCD"/>
    <w:rsid w:val="00F82143"/>
    <w:rsid w:val="00F82E7E"/>
    <w:rsid w:val="00F86DDE"/>
    <w:rsid w:val="00F87852"/>
    <w:rsid w:val="00F906CE"/>
    <w:rsid w:val="00F9109B"/>
    <w:rsid w:val="00FA0BD5"/>
    <w:rsid w:val="00FA14E7"/>
    <w:rsid w:val="00FA1962"/>
    <w:rsid w:val="00FA61ED"/>
    <w:rsid w:val="00FB1BE3"/>
    <w:rsid w:val="00FB388D"/>
    <w:rsid w:val="00FB4B2D"/>
    <w:rsid w:val="00FB5D1E"/>
    <w:rsid w:val="00FC1014"/>
    <w:rsid w:val="00FC420F"/>
    <w:rsid w:val="00FC4A0B"/>
    <w:rsid w:val="00FC58E3"/>
    <w:rsid w:val="00FC6940"/>
    <w:rsid w:val="00FC6D5C"/>
    <w:rsid w:val="00FD014A"/>
    <w:rsid w:val="00FD0380"/>
    <w:rsid w:val="00FD15CF"/>
    <w:rsid w:val="00FD4F36"/>
    <w:rsid w:val="00FD6250"/>
    <w:rsid w:val="00FD6D38"/>
    <w:rsid w:val="00FE1739"/>
    <w:rsid w:val="00FE41F3"/>
    <w:rsid w:val="00FE6170"/>
    <w:rsid w:val="00FE6BBC"/>
    <w:rsid w:val="00FF26CD"/>
    <w:rsid w:val="00FF49FA"/>
    <w:rsid w:val="00FF4ABE"/>
    <w:rsid w:val="00FF4C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9E7471"/>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9E7471"/>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9E7471"/>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9E7471"/>
    <w:pPr>
      <w:keepNext/>
      <w:numPr>
        <w:ilvl w:val="3"/>
        <w:numId w:val="1"/>
      </w:numPr>
      <w:spacing w:before="240" w:after="60"/>
      <w:outlineLvl w:val="3"/>
    </w:pPr>
    <w:rPr>
      <w:b/>
      <w:bCs/>
      <w:sz w:val="28"/>
      <w:szCs w:val="28"/>
    </w:rPr>
  </w:style>
  <w:style w:type="paragraph" w:styleId="Heading5">
    <w:name w:val="heading 5"/>
    <w:basedOn w:val="Normal"/>
    <w:next w:val="Normal"/>
    <w:qFormat/>
    <w:rsid w:val="009E7471"/>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3AF7"/>
    <w:pPr>
      <w:tabs>
        <w:tab w:val="center" w:pos="4153"/>
        <w:tab w:val="right" w:pos="8306"/>
      </w:tabs>
    </w:pPr>
  </w:style>
  <w:style w:type="paragraph" w:styleId="Footer">
    <w:name w:val="footer"/>
    <w:basedOn w:val="Normal"/>
    <w:link w:val="FooterChar"/>
    <w:uiPriority w:val="99"/>
    <w:rsid w:val="00413AF7"/>
    <w:pPr>
      <w:tabs>
        <w:tab w:val="center" w:pos="4153"/>
        <w:tab w:val="right" w:pos="8306"/>
      </w:tabs>
    </w:pPr>
  </w:style>
  <w:style w:type="paragraph" w:styleId="BalloonText">
    <w:name w:val="Balloon Text"/>
    <w:basedOn w:val="Normal"/>
    <w:semiHidden/>
    <w:rsid w:val="001A63C1"/>
    <w:rPr>
      <w:rFonts w:ascii="Tahoma" w:hAnsi="Tahoma" w:cs="Tahoma"/>
      <w:sz w:val="16"/>
      <w:szCs w:val="16"/>
    </w:rPr>
  </w:style>
  <w:style w:type="paragraph" w:styleId="FootnoteText">
    <w:name w:val="footnote text"/>
    <w:basedOn w:val="Normal"/>
    <w:link w:val="FootnoteTextChar"/>
    <w:rsid w:val="004C5C58"/>
    <w:rPr>
      <w:sz w:val="20"/>
      <w:szCs w:val="20"/>
    </w:rPr>
  </w:style>
  <w:style w:type="character" w:styleId="FootnoteReference">
    <w:name w:val="footnote reference"/>
    <w:rsid w:val="004C5C58"/>
    <w:rPr>
      <w:vertAlign w:val="superscript"/>
    </w:rPr>
  </w:style>
  <w:style w:type="character" w:styleId="Hyperlink">
    <w:name w:val="Hyperlink"/>
    <w:uiPriority w:val="99"/>
    <w:rsid w:val="00193D90"/>
    <w:rPr>
      <w:color w:val="0000FF"/>
      <w:u w:val="single"/>
    </w:rPr>
  </w:style>
  <w:style w:type="paragraph" w:styleId="NormalWeb">
    <w:name w:val="Normal (Web)"/>
    <w:basedOn w:val="Normal"/>
    <w:uiPriority w:val="99"/>
    <w:rsid w:val="00A56901"/>
    <w:pPr>
      <w:spacing w:before="100" w:beforeAutospacing="1" w:after="100" w:afterAutospacing="1"/>
    </w:pPr>
    <w:rPr>
      <w:lang w:val="en-US" w:eastAsia="en-US"/>
    </w:rPr>
  </w:style>
  <w:style w:type="paragraph" w:styleId="HTMLPreformatted">
    <w:name w:val="HTML Preformatted"/>
    <w:basedOn w:val="Normal"/>
    <w:rsid w:val="00A56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customStyle="1" w:styleId="Style12ptBoldUnderlineBefore12ptAfter12pt">
    <w:name w:val="Style 12 pt Bold Underline Before:  12 pt After:  12 pt"/>
    <w:basedOn w:val="Normal"/>
    <w:rsid w:val="00A56901"/>
    <w:pPr>
      <w:spacing w:before="240" w:after="240"/>
    </w:pPr>
    <w:rPr>
      <w:rFonts w:ascii="Arial" w:hAnsi="Arial"/>
      <w:b/>
      <w:bCs/>
      <w:szCs w:val="20"/>
    </w:rPr>
  </w:style>
  <w:style w:type="character" w:customStyle="1" w:styleId="FooterChar">
    <w:name w:val="Footer Char"/>
    <w:link w:val="Footer"/>
    <w:uiPriority w:val="99"/>
    <w:rsid w:val="001811B9"/>
    <w:rPr>
      <w:sz w:val="24"/>
      <w:szCs w:val="24"/>
    </w:rPr>
  </w:style>
  <w:style w:type="character" w:customStyle="1" w:styleId="HeaderChar">
    <w:name w:val="Header Char"/>
    <w:link w:val="Header"/>
    <w:uiPriority w:val="99"/>
    <w:rsid w:val="001811B9"/>
    <w:rPr>
      <w:sz w:val="24"/>
      <w:szCs w:val="24"/>
    </w:rPr>
  </w:style>
  <w:style w:type="character" w:styleId="HTMLCite">
    <w:name w:val="HTML Cite"/>
    <w:uiPriority w:val="99"/>
    <w:unhideWhenUsed/>
    <w:rsid w:val="00005715"/>
    <w:rPr>
      <w:i/>
      <w:iCs/>
    </w:rPr>
  </w:style>
  <w:style w:type="character" w:customStyle="1" w:styleId="FootnoteTextChar">
    <w:name w:val="Footnote Text Char"/>
    <w:link w:val="FootnoteText"/>
    <w:rsid w:val="00005715"/>
  </w:style>
  <w:style w:type="paragraph" w:styleId="EndnoteText">
    <w:name w:val="endnote text"/>
    <w:basedOn w:val="Normal"/>
    <w:link w:val="EndnoteTextChar"/>
    <w:rsid w:val="00784E5C"/>
    <w:rPr>
      <w:rFonts w:ascii="Calibri" w:eastAsia="Calibri" w:hAnsi="Calibri" w:cs="Calibri"/>
      <w:sz w:val="20"/>
      <w:szCs w:val="20"/>
    </w:rPr>
  </w:style>
  <w:style w:type="character" w:customStyle="1" w:styleId="EndnoteTextChar">
    <w:name w:val="Endnote Text Char"/>
    <w:link w:val="EndnoteText"/>
    <w:rsid w:val="00784E5C"/>
    <w:rPr>
      <w:rFonts w:ascii="Calibri" w:eastAsia="Calibri" w:hAnsi="Calibri" w:cs="Calibri"/>
    </w:rPr>
  </w:style>
  <w:style w:type="character" w:styleId="EndnoteReference">
    <w:name w:val="endnote reference"/>
    <w:rsid w:val="00784E5C"/>
    <w:rPr>
      <w:vertAlign w:val="superscript"/>
    </w:rPr>
  </w:style>
  <w:style w:type="paragraph" w:styleId="ListParagraph">
    <w:name w:val="List Paragraph"/>
    <w:basedOn w:val="Normal"/>
    <w:uiPriority w:val="34"/>
    <w:qFormat/>
    <w:rsid w:val="002020CD"/>
    <w:pPr>
      <w:ind w:left="720"/>
      <w:contextualSpacing/>
    </w:pPr>
  </w:style>
  <w:style w:type="table" w:styleId="TableGrid">
    <w:name w:val="Table Grid"/>
    <w:basedOn w:val="TableNormal"/>
    <w:rsid w:val="00162D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D66FA6"/>
    <w:rPr>
      <w:sz w:val="16"/>
      <w:szCs w:val="16"/>
    </w:rPr>
  </w:style>
  <w:style w:type="paragraph" w:styleId="CommentText">
    <w:name w:val="annotation text"/>
    <w:basedOn w:val="Normal"/>
    <w:link w:val="CommentTextChar"/>
    <w:rsid w:val="00D66FA6"/>
    <w:rPr>
      <w:sz w:val="20"/>
      <w:szCs w:val="20"/>
    </w:rPr>
  </w:style>
  <w:style w:type="character" w:customStyle="1" w:styleId="CommentTextChar">
    <w:name w:val="Comment Text Char"/>
    <w:basedOn w:val="DefaultParagraphFont"/>
    <w:link w:val="CommentText"/>
    <w:rsid w:val="00D66FA6"/>
  </w:style>
  <w:style w:type="paragraph" w:styleId="CommentSubject">
    <w:name w:val="annotation subject"/>
    <w:basedOn w:val="CommentText"/>
    <w:next w:val="CommentText"/>
    <w:link w:val="CommentSubjectChar"/>
    <w:rsid w:val="00D66FA6"/>
    <w:rPr>
      <w:b/>
      <w:bCs/>
    </w:rPr>
  </w:style>
  <w:style w:type="character" w:customStyle="1" w:styleId="CommentSubjectChar">
    <w:name w:val="Comment Subject Char"/>
    <w:basedOn w:val="CommentTextChar"/>
    <w:link w:val="CommentSubject"/>
    <w:rsid w:val="00D66FA6"/>
    <w:rPr>
      <w:b/>
      <w:bCs/>
    </w:rPr>
  </w:style>
  <w:style w:type="table" w:styleId="LightShading-Accent1">
    <w:name w:val="Light Shading Accent 1"/>
    <w:basedOn w:val="TableNormal"/>
    <w:uiPriority w:val="60"/>
    <w:rsid w:val="00C57509"/>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9E7471"/>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9E7471"/>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9E7471"/>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9E7471"/>
    <w:pPr>
      <w:keepNext/>
      <w:numPr>
        <w:ilvl w:val="3"/>
        <w:numId w:val="1"/>
      </w:numPr>
      <w:spacing w:before="240" w:after="60"/>
      <w:outlineLvl w:val="3"/>
    </w:pPr>
    <w:rPr>
      <w:b/>
      <w:bCs/>
      <w:sz w:val="28"/>
      <w:szCs w:val="28"/>
    </w:rPr>
  </w:style>
  <w:style w:type="paragraph" w:styleId="Heading5">
    <w:name w:val="heading 5"/>
    <w:basedOn w:val="Normal"/>
    <w:next w:val="Normal"/>
    <w:qFormat/>
    <w:rsid w:val="009E7471"/>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3AF7"/>
    <w:pPr>
      <w:tabs>
        <w:tab w:val="center" w:pos="4153"/>
        <w:tab w:val="right" w:pos="8306"/>
      </w:tabs>
    </w:pPr>
  </w:style>
  <w:style w:type="paragraph" w:styleId="Footer">
    <w:name w:val="footer"/>
    <w:basedOn w:val="Normal"/>
    <w:link w:val="FooterChar"/>
    <w:uiPriority w:val="99"/>
    <w:rsid w:val="00413AF7"/>
    <w:pPr>
      <w:tabs>
        <w:tab w:val="center" w:pos="4153"/>
        <w:tab w:val="right" w:pos="8306"/>
      </w:tabs>
    </w:pPr>
  </w:style>
  <w:style w:type="paragraph" w:styleId="BalloonText">
    <w:name w:val="Balloon Text"/>
    <w:basedOn w:val="Normal"/>
    <w:semiHidden/>
    <w:rsid w:val="001A63C1"/>
    <w:rPr>
      <w:rFonts w:ascii="Tahoma" w:hAnsi="Tahoma" w:cs="Tahoma"/>
      <w:sz w:val="16"/>
      <w:szCs w:val="16"/>
    </w:rPr>
  </w:style>
  <w:style w:type="paragraph" w:styleId="FootnoteText">
    <w:name w:val="footnote text"/>
    <w:basedOn w:val="Normal"/>
    <w:link w:val="FootnoteTextChar"/>
    <w:rsid w:val="004C5C58"/>
    <w:rPr>
      <w:sz w:val="20"/>
      <w:szCs w:val="20"/>
    </w:rPr>
  </w:style>
  <w:style w:type="character" w:styleId="FootnoteReference">
    <w:name w:val="footnote reference"/>
    <w:rsid w:val="004C5C58"/>
    <w:rPr>
      <w:vertAlign w:val="superscript"/>
    </w:rPr>
  </w:style>
  <w:style w:type="character" w:styleId="Hyperlink">
    <w:name w:val="Hyperlink"/>
    <w:uiPriority w:val="99"/>
    <w:rsid w:val="00193D90"/>
    <w:rPr>
      <w:color w:val="0000FF"/>
      <w:u w:val="single"/>
    </w:rPr>
  </w:style>
  <w:style w:type="paragraph" w:styleId="NormalWeb">
    <w:name w:val="Normal (Web)"/>
    <w:basedOn w:val="Normal"/>
    <w:uiPriority w:val="99"/>
    <w:rsid w:val="00A56901"/>
    <w:pPr>
      <w:spacing w:before="100" w:beforeAutospacing="1" w:after="100" w:afterAutospacing="1"/>
    </w:pPr>
    <w:rPr>
      <w:lang w:val="en-US" w:eastAsia="en-US"/>
    </w:rPr>
  </w:style>
  <w:style w:type="paragraph" w:styleId="HTMLPreformatted">
    <w:name w:val="HTML Preformatted"/>
    <w:basedOn w:val="Normal"/>
    <w:rsid w:val="00A56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customStyle="1" w:styleId="Style12ptBoldUnderlineBefore12ptAfter12pt">
    <w:name w:val="Style 12 pt Bold Underline Before:  12 pt After:  12 pt"/>
    <w:basedOn w:val="Normal"/>
    <w:rsid w:val="00A56901"/>
    <w:pPr>
      <w:spacing w:before="240" w:after="240"/>
    </w:pPr>
    <w:rPr>
      <w:rFonts w:ascii="Arial" w:hAnsi="Arial"/>
      <w:b/>
      <w:bCs/>
      <w:szCs w:val="20"/>
    </w:rPr>
  </w:style>
  <w:style w:type="character" w:customStyle="1" w:styleId="FooterChar">
    <w:name w:val="Footer Char"/>
    <w:link w:val="Footer"/>
    <w:uiPriority w:val="99"/>
    <w:rsid w:val="001811B9"/>
    <w:rPr>
      <w:sz w:val="24"/>
      <w:szCs w:val="24"/>
    </w:rPr>
  </w:style>
  <w:style w:type="character" w:customStyle="1" w:styleId="HeaderChar">
    <w:name w:val="Header Char"/>
    <w:link w:val="Header"/>
    <w:uiPriority w:val="99"/>
    <w:rsid w:val="001811B9"/>
    <w:rPr>
      <w:sz w:val="24"/>
      <w:szCs w:val="24"/>
    </w:rPr>
  </w:style>
  <w:style w:type="character" w:styleId="HTMLCite">
    <w:name w:val="HTML Cite"/>
    <w:uiPriority w:val="99"/>
    <w:unhideWhenUsed/>
    <w:rsid w:val="00005715"/>
    <w:rPr>
      <w:i/>
      <w:iCs/>
    </w:rPr>
  </w:style>
  <w:style w:type="character" w:customStyle="1" w:styleId="FootnoteTextChar">
    <w:name w:val="Footnote Text Char"/>
    <w:link w:val="FootnoteText"/>
    <w:rsid w:val="00005715"/>
  </w:style>
  <w:style w:type="paragraph" w:styleId="EndnoteText">
    <w:name w:val="endnote text"/>
    <w:basedOn w:val="Normal"/>
    <w:link w:val="EndnoteTextChar"/>
    <w:rsid w:val="00784E5C"/>
    <w:rPr>
      <w:rFonts w:ascii="Calibri" w:eastAsia="Calibri" w:hAnsi="Calibri" w:cs="Calibri"/>
      <w:sz w:val="20"/>
      <w:szCs w:val="20"/>
    </w:rPr>
  </w:style>
  <w:style w:type="character" w:customStyle="1" w:styleId="EndnoteTextChar">
    <w:name w:val="Endnote Text Char"/>
    <w:link w:val="EndnoteText"/>
    <w:rsid w:val="00784E5C"/>
    <w:rPr>
      <w:rFonts w:ascii="Calibri" w:eastAsia="Calibri" w:hAnsi="Calibri" w:cs="Calibri"/>
    </w:rPr>
  </w:style>
  <w:style w:type="character" w:styleId="EndnoteReference">
    <w:name w:val="endnote reference"/>
    <w:rsid w:val="00784E5C"/>
    <w:rPr>
      <w:vertAlign w:val="superscript"/>
    </w:rPr>
  </w:style>
  <w:style w:type="paragraph" w:styleId="ListParagraph">
    <w:name w:val="List Paragraph"/>
    <w:basedOn w:val="Normal"/>
    <w:uiPriority w:val="34"/>
    <w:qFormat/>
    <w:rsid w:val="002020CD"/>
    <w:pPr>
      <w:ind w:left="720"/>
      <w:contextualSpacing/>
    </w:pPr>
  </w:style>
  <w:style w:type="table" w:styleId="TableGrid">
    <w:name w:val="Table Grid"/>
    <w:basedOn w:val="TableNormal"/>
    <w:rsid w:val="00162D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D66FA6"/>
    <w:rPr>
      <w:sz w:val="16"/>
      <w:szCs w:val="16"/>
    </w:rPr>
  </w:style>
  <w:style w:type="paragraph" w:styleId="CommentText">
    <w:name w:val="annotation text"/>
    <w:basedOn w:val="Normal"/>
    <w:link w:val="CommentTextChar"/>
    <w:rsid w:val="00D66FA6"/>
    <w:rPr>
      <w:sz w:val="20"/>
      <w:szCs w:val="20"/>
    </w:rPr>
  </w:style>
  <w:style w:type="character" w:customStyle="1" w:styleId="CommentTextChar">
    <w:name w:val="Comment Text Char"/>
    <w:basedOn w:val="DefaultParagraphFont"/>
    <w:link w:val="CommentText"/>
    <w:rsid w:val="00D66FA6"/>
  </w:style>
  <w:style w:type="paragraph" w:styleId="CommentSubject">
    <w:name w:val="annotation subject"/>
    <w:basedOn w:val="CommentText"/>
    <w:next w:val="CommentText"/>
    <w:link w:val="CommentSubjectChar"/>
    <w:rsid w:val="00D66FA6"/>
    <w:rPr>
      <w:b/>
      <w:bCs/>
    </w:rPr>
  </w:style>
  <w:style w:type="character" w:customStyle="1" w:styleId="CommentSubjectChar">
    <w:name w:val="Comment Subject Char"/>
    <w:basedOn w:val="CommentTextChar"/>
    <w:link w:val="CommentSubject"/>
    <w:rsid w:val="00D66FA6"/>
    <w:rPr>
      <w:b/>
      <w:bCs/>
    </w:rPr>
  </w:style>
  <w:style w:type="table" w:styleId="LightShading-Accent1">
    <w:name w:val="Light Shading Accent 1"/>
    <w:basedOn w:val="TableNormal"/>
    <w:uiPriority w:val="60"/>
    <w:rsid w:val="00C57509"/>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7975">
      <w:bodyDiv w:val="1"/>
      <w:marLeft w:val="0"/>
      <w:marRight w:val="0"/>
      <w:marTop w:val="0"/>
      <w:marBottom w:val="0"/>
      <w:divBdr>
        <w:top w:val="none" w:sz="0" w:space="0" w:color="auto"/>
        <w:left w:val="none" w:sz="0" w:space="0" w:color="auto"/>
        <w:bottom w:val="none" w:sz="0" w:space="0" w:color="auto"/>
        <w:right w:val="none" w:sz="0" w:space="0" w:color="auto"/>
      </w:divBdr>
    </w:div>
    <w:div w:id="218175513">
      <w:bodyDiv w:val="1"/>
      <w:marLeft w:val="0"/>
      <w:marRight w:val="0"/>
      <w:marTop w:val="0"/>
      <w:marBottom w:val="0"/>
      <w:divBdr>
        <w:top w:val="none" w:sz="0" w:space="0" w:color="auto"/>
        <w:left w:val="none" w:sz="0" w:space="0" w:color="auto"/>
        <w:bottom w:val="none" w:sz="0" w:space="0" w:color="auto"/>
        <w:right w:val="none" w:sz="0" w:space="0" w:color="auto"/>
      </w:divBdr>
      <w:divsChild>
        <w:div w:id="2013336594">
          <w:marLeft w:val="0"/>
          <w:marRight w:val="0"/>
          <w:marTop w:val="0"/>
          <w:marBottom w:val="0"/>
          <w:divBdr>
            <w:top w:val="none" w:sz="0" w:space="0" w:color="auto"/>
            <w:left w:val="none" w:sz="0" w:space="0" w:color="auto"/>
            <w:bottom w:val="none" w:sz="0" w:space="0" w:color="auto"/>
            <w:right w:val="none" w:sz="0" w:space="0" w:color="auto"/>
          </w:divBdr>
          <w:divsChild>
            <w:div w:id="777063178">
              <w:marLeft w:val="0"/>
              <w:marRight w:val="0"/>
              <w:marTop w:val="0"/>
              <w:marBottom w:val="0"/>
              <w:divBdr>
                <w:top w:val="none" w:sz="0" w:space="0" w:color="auto"/>
                <w:left w:val="none" w:sz="0" w:space="0" w:color="auto"/>
                <w:bottom w:val="none" w:sz="0" w:space="0" w:color="auto"/>
                <w:right w:val="none" w:sz="0" w:space="0" w:color="auto"/>
              </w:divBdr>
              <w:divsChild>
                <w:div w:id="1970236692">
                  <w:marLeft w:val="1"/>
                  <w:marRight w:val="0"/>
                  <w:marTop w:val="0"/>
                  <w:marBottom w:val="0"/>
                  <w:divBdr>
                    <w:top w:val="none" w:sz="0" w:space="0" w:color="auto"/>
                    <w:left w:val="none" w:sz="0" w:space="0" w:color="auto"/>
                    <w:bottom w:val="none" w:sz="0" w:space="0" w:color="auto"/>
                    <w:right w:val="none" w:sz="0" w:space="0" w:color="auto"/>
                  </w:divBdr>
                  <w:divsChild>
                    <w:div w:id="1070885538">
                      <w:marLeft w:val="0"/>
                      <w:marRight w:val="0"/>
                      <w:marTop w:val="0"/>
                      <w:marBottom w:val="0"/>
                      <w:divBdr>
                        <w:top w:val="none" w:sz="0" w:space="0" w:color="auto"/>
                        <w:left w:val="none" w:sz="0" w:space="0" w:color="auto"/>
                        <w:bottom w:val="none" w:sz="0" w:space="0" w:color="auto"/>
                        <w:right w:val="none" w:sz="0" w:space="0" w:color="auto"/>
                      </w:divBdr>
                      <w:divsChild>
                        <w:div w:id="64692445">
                          <w:marLeft w:val="0"/>
                          <w:marRight w:val="0"/>
                          <w:marTop w:val="0"/>
                          <w:marBottom w:val="0"/>
                          <w:divBdr>
                            <w:top w:val="none" w:sz="0" w:space="0" w:color="auto"/>
                            <w:left w:val="none" w:sz="0" w:space="0" w:color="auto"/>
                            <w:bottom w:val="none" w:sz="0" w:space="0" w:color="auto"/>
                            <w:right w:val="none" w:sz="0" w:space="0" w:color="auto"/>
                          </w:divBdr>
                          <w:divsChild>
                            <w:div w:id="1199974189">
                              <w:marLeft w:val="150"/>
                              <w:marRight w:val="150"/>
                              <w:marTop w:val="0"/>
                              <w:marBottom w:val="2"/>
                              <w:divBdr>
                                <w:top w:val="none" w:sz="0" w:space="0" w:color="auto"/>
                                <w:left w:val="none" w:sz="0" w:space="0" w:color="auto"/>
                                <w:bottom w:val="none" w:sz="0" w:space="0" w:color="auto"/>
                                <w:right w:val="none" w:sz="0" w:space="0" w:color="auto"/>
                              </w:divBdr>
                              <w:divsChild>
                                <w:div w:id="975834338">
                                  <w:marLeft w:val="0"/>
                                  <w:marRight w:val="0"/>
                                  <w:marTop w:val="0"/>
                                  <w:marBottom w:val="0"/>
                                  <w:divBdr>
                                    <w:top w:val="none" w:sz="0" w:space="0" w:color="auto"/>
                                    <w:left w:val="none" w:sz="0" w:space="0" w:color="auto"/>
                                    <w:bottom w:val="none" w:sz="0" w:space="0" w:color="auto"/>
                                    <w:right w:val="none" w:sz="0" w:space="0" w:color="auto"/>
                                  </w:divBdr>
                                  <w:divsChild>
                                    <w:div w:id="1477140335">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austlii.edu.au/au/journals/MULR/2007/25.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F47BB-A8E7-4E92-973E-62C6D8D07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CC74E1BB</Template>
  <TotalTime>17</TotalTime>
  <Pages>23</Pages>
  <Words>5386</Words>
  <Characters>28308</Characters>
  <Application>Microsoft Office Word</Application>
  <DocSecurity>0</DocSecurity>
  <Lines>235</Lines>
  <Paragraphs>67</Paragraphs>
  <ScaleCrop>false</ScaleCrop>
  <HeadingPairs>
    <vt:vector size="2" baseType="variant">
      <vt:variant>
        <vt:lpstr>Title</vt:lpstr>
      </vt:variant>
      <vt:variant>
        <vt:i4>1</vt:i4>
      </vt:variant>
    </vt:vector>
  </HeadingPairs>
  <TitlesOfParts>
    <vt:vector size="1" baseType="lpstr">
      <vt:lpstr>Sexual orientation and sex and/or gender identity, Discussion Paper</vt:lpstr>
    </vt:vector>
  </TitlesOfParts>
  <Company>ADCQ</Company>
  <LinksUpToDate>false</LinksUpToDate>
  <CharactersWithSpaces>33627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orientation and sex and/or gender identity, Discussion Paper</dc:title>
  <dc:creator>balljx</dc:creator>
  <cp:lastModifiedBy>Coral Logan</cp:lastModifiedBy>
  <cp:revision>10</cp:revision>
  <cp:lastPrinted>2013-02-25T00:30:00Z</cp:lastPrinted>
  <dcterms:created xsi:type="dcterms:W3CDTF">2013-02-25T03:03:00Z</dcterms:created>
  <dcterms:modified xsi:type="dcterms:W3CDTF">2013-07-25T02:25:00Z</dcterms:modified>
</cp:coreProperties>
</file>