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9E1C" w14:textId="77777777" w:rsidR="006704FD" w:rsidRDefault="00863F6A" w:rsidP="003E19E6">
      <w:r>
        <w:rPr>
          <w:noProof/>
          <w:lang w:eastAsia="en-AU"/>
        </w:rPr>
        <w:drawing>
          <wp:inline distT="0" distB="0" distL="0" distR="0" wp14:anchorId="3D31FEF7" wp14:editId="420F0E97">
            <wp:extent cx="2038350" cy="81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HRC-logo-rgb (for digital u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0549" cy="818766"/>
                    </a:xfrm>
                    <a:prstGeom prst="rect">
                      <a:avLst/>
                    </a:prstGeom>
                  </pic:spPr>
                </pic:pic>
              </a:graphicData>
            </a:graphic>
          </wp:inline>
        </w:drawing>
      </w:r>
      <w:r w:rsidR="006704FD" w:rsidRPr="003E19E6">
        <w:t xml:space="preserve"> </w:t>
      </w:r>
    </w:p>
    <w:p w14:paraId="609456E3" w14:textId="618007C2" w:rsidR="00863F6A" w:rsidRDefault="00863F6A" w:rsidP="006B59F8">
      <w:pPr>
        <w:pStyle w:val="Heading1"/>
        <w:spacing w:after="240"/>
      </w:pPr>
      <w:r>
        <w:t>Annual Snapshot 2021</w:t>
      </w:r>
      <w:r w:rsidR="00416E9C">
        <w:t>-22</w:t>
      </w:r>
    </w:p>
    <w:p w14:paraId="35D61D94" w14:textId="6792A207" w:rsidR="00863F6A" w:rsidRDefault="00863F6A" w:rsidP="003E19E6">
      <w:r>
        <w:t>This document is a text summary of the information presented in the Queensland Human Rights Commission’s 2021</w:t>
      </w:r>
      <w:r w:rsidR="00416E9C">
        <w:t>-22</w:t>
      </w:r>
      <w:r>
        <w:t xml:space="preserve"> Annual Snapshot infographic. </w:t>
      </w:r>
    </w:p>
    <w:p w14:paraId="72398BCE" w14:textId="77777777" w:rsidR="00863F6A" w:rsidRDefault="00863F6A" w:rsidP="006B59F8">
      <w:pPr>
        <w:pStyle w:val="Heading2"/>
        <w:spacing w:after="240"/>
      </w:pPr>
      <w:r>
        <w:t>Enquiries</w:t>
      </w:r>
    </w:p>
    <w:p w14:paraId="24B56442" w14:textId="45BF4199" w:rsidR="00863F6A" w:rsidRDefault="00916867" w:rsidP="003E19E6">
      <w:r>
        <w:t>6405</w:t>
      </w:r>
      <w:r w:rsidR="00863F6A">
        <w:t xml:space="preserve"> enquiries were received in 2021</w:t>
      </w:r>
      <w:r>
        <w:t>-21</w:t>
      </w:r>
      <w:r w:rsidR="00863F6A">
        <w:t xml:space="preserve">. This is an increase of </w:t>
      </w:r>
      <w:r>
        <w:t>9</w:t>
      </w:r>
      <w:r w:rsidR="00863F6A">
        <w:t>% from the previous year, and over 12</w:t>
      </w:r>
      <w:r>
        <w:t>5</w:t>
      </w:r>
      <w:r w:rsidR="00863F6A">
        <w:t xml:space="preserve">% </w:t>
      </w:r>
      <w:r>
        <w:t>in three years</w:t>
      </w:r>
      <w:r w:rsidR="00863F6A">
        <w:t xml:space="preserve">. </w:t>
      </w:r>
    </w:p>
    <w:p w14:paraId="5DD40CB8" w14:textId="4E5EFB50" w:rsidR="00863F6A" w:rsidRDefault="00863F6A" w:rsidP="003E19E6">
      <w:r>
        <w:t>7</w:t>
      </w:r>
      <w:r w:rsidR="00916867">
        <w:t>6</w:t>
      </w:r>
      <w:r>
        <w:t xml:space="preserve">% of enquiries came through calls to our general enquiry line. </w:t>
      </w:r>
      <w:r w:rsidR="00916867">
        <w:t xml:space="preserve">29% of all enquiries were COVID-related. </w:t>
      </w:r>
    </w:p>
    <w:p w14:paraId="2AF8D965" w14:textId="77777777" w:rsidR="00863F6A" w:rsidRDefault="00863F6A" w:rsidP="006B59F8">
      <w:pPr>
        <w:pStyle w:val="Heading2"/>
        <w:spacing w:after="240"/>
      </w:pPr>
      <w:r>
        <w:t xml:space="preserve">Complaints </w:t>
      </w:r>
    </w:p>
    <w:p w14:paraId="27B8B668" w14:textId="7D92D8D8" w:rsidR="00863F6A" w:rsidRDefault="007867E9" w:rsidP="006B59F8">
      <w:r>
        <w:t>1870</w:t>
      </w:r>
      <w:r w:rsidR="00863F6A">
        <w:t xml:space="preserve"> complaints were received in 2021</w:t>
      </w:r>
      <w:r>
        <w:t>-22</w:t>
      </w:r>
      <w:r w:rsidR="00863F6A">
        <w:t xml:space="preserve">. This is an increase of </w:t>
      </w:r>
      <w:r>
        <w:t>24</w:t>
      </w:r>
      <w:r w:rsidR="00863F6A">
        <w:t>% from 2</w:t>
      </w:r>
      <w:r>
        <w:t>0</w:t>
      </w:r>
      <w:r w:rsidR="00863F6A">
        <w:t>20</w:t>
      </w:r>
      <w:r>
        <w:t>-21</w:t>
      </w:r>
      <w:r w:rsidR="00863F6A">
        <w:t>.</w:t>
      </w:r>
    </w:p>
    <w:p w14:paraId="6258FF36" w14:textId="397E3307" w:rsidR="007867E9" w:rsidRDefault="007867E9" w:rsidP="006B59F8">
      <w:r>
        <w:t xml:space="preserve">36% of the complaints we dealt with this year were COVID-related. </w:t>
      </w:r>
    </w:p>
    <w:p w14:paraId="39787434" w14:textId="5C00A312" w:rsidR="007867E9" w:rsidRDefault="007867E9" w:rsidP="006B59F8">
      <w:r>
        <w:t xml:space="preserve">Of the complaints we were able to deal with: </w:t>
      </w:r>
    </w:p>
    <w:p w14:paraId="1F7CD0B8" w14:textId="281D91BD" w:rsidR="007867E9" w:rsidRDefault="007867E9" w:rsidP="007867E9">
      <w:pPr>
        <w:pStyle w:val="ListParagraph"/>
        <w:numPr>
          <w:ilvl w:val="0"/>
          <w:numId w:val="5"/>
        </w:numPr>
      </w:pPr>
      <w:r>
        <w:t xml:space="preserve">86% included allegations of discrimination </w:t>
      </w:r>
    </w:p>
    <w:p w14:paraId="116CD887" w14:textId="08A5A72C" w:rsidR="007867E9" w:rsidRDefault="007867E9" w:rsidP="007867E9">
      <w:pPr>
        <w:pStyle w:val="ListParagraph"/>
        <w:numPr>
          <w:ilvl w:val="0"/>
          <w:numId w:val="5"/>
        </w:numPr>
      </w:pPr>
      <w:r>
        <w:t>35% involved alleged human rights breaches</w:t>
      </w:r>
    </w:p>
    <w:p w14:paraId="560AE633" w14:textId="5AB0D499" w:rsidR="007867E9" w:rsidRDefault="007867E9" w:rsidP="007867E9">
      <w:pPr>
        <w:pStyle w:val="ListParagraph"/>
        <w:numPr>
          <w:ilvl w:val="0"/>
          <w:numId w:val="5"/>
        </w:numPr>
      </w:pPr>
      <w:r>
        <w:t>11% were about sexual harassment</w:t>
      </w:r>
    </w:p>
    <w:p w14:paraId="4CD8E86B" w14:textId="70D03A86" w:rsidR="007867E9" w:rsidRDefault="007867E9" w:rsidP="007867E9">
      <w:pPr>
        <w:pStyle w:val="ListParagraph"/>
        <w:numPr>
          <w:ilvl w:val="0"/>
          <w:numId w:val="5"/>
        </w:numPr>
      </w:pPr>
      <w:r>
        <w:t>60% of discrimination complaints were about disability discrimination</w:t>
      </w:r>
    </w:p>
    <w:p w14:paraId="7F6208C2" w14:textId="7D50519E" w:rsidR="007867E9" w:rsidRDefault="007867E9" w:rsidP="007867E9">
      <w:pPr>
        <w:pStyle w:val="ListParagraph"/>
        <w:numPr>
          <w:ilvl w:val="0"/>
          <w:numId w:val="5"/>
        </w:numPr>
      </w:pPr>
      <w:r>
        <w:t>40% of discrimination complaints and 74% of sexual harassment complaints were about work</w:t>
      </w:r>
    </w:p>
    <w:p w14:paraId="4EE02FFF" w14:textId="656428A3" w:rsidR="00F94258" w:rsidRDefault="00F94258" w:rsidP="00B33AA1">
      <w:pPr>
        <w:autoSpaceDE w:val="0"/>
        <w:autoSpaceDN w:val="0"/>
        <w:adjustRightInd w:val="0"/>
        <w:spacing w:line="240" w:lineRule="auto"/>
        <w:rPr>
          <w:rFonts w:cs="Arial"/>
        </w:rPr>
      </w:pPr>
      <w:r w:rsidRPr="00F94258">
        <w:rPr>
          <w:rFonts w:cs="Arial"/>
        </w:rPr>
        <w:t>We finalised 1568 complaints this year, up from 1145 last year. A</w:t>
      </w:r>
      <w:r>
        <w:rPr>
          <w:rFonts w:cs="Arial"/>
        </w:rPr>
        <w:t xml:space="preserve"> </w:t>
      </w:r>
      <w:r w:rsidRPr="00F94258">
        <w:rPr>
          <w:rFonts w:cs="Arial"/>
        </w:rPr>
        <w:t>finalised complaint is one which has been dealt with to conclusion,</w:t>
      </w:r>
      <w:r w:rsidR="00B33AA1">
        <w:rPr>
          <w:rFonts w:cs="Arial"/>
        </w:rPr>
        <w:t xml:space="preserve"> </w:t>
      </w:r>
      <w:r w:rsidRPr="00F94258">
        <w:rPr>
          <w:rFonts w:cs="Arial"/>
        </w:rPr>
        <w:t>either through our dispute resolution process or through rejection and</w:t>
      </w:r>
      <w:r w:rsidR="00B33AA1">
        <w:rPr>
          <w:rFonts w:cs="Arial"/>
        </w:rPr>
        <w:t xml:space="preserve"> </w:t>
      </w:r>
      <w:r w:rsidRPr="00F94258">
        <w:rPr>
          <w:rFonts w:cs="Arial"/>
        </w:rPr>
        <w:t>closure of the complaint file.</w:t>
      </w:r>
    </w:p>
    <w:p w14:paraId="7780AB36" w14:textId="251C4AEF" w:rsidR="00F94258" w:rsidRPr="00F94258" w:rsidRDefault="00F94258" w:rsidP="00B33AA1">
      <w:pPr>
        <w:autoSpaceDE w:val="0"/>
        <w:autoSpaceDN w:val="0"/>
        <w:adjustRightInd w:val="0"/>
        <w:spacing w:line="240" w:lineRule="auto"/>
      </w:pPr>
      <w:r w:rsidRPr="00F94258">
        <w:rPr>
          <w:rFonts w:cs="Arial"/>
        </w:rPr>
        <w:t>Despite the increase in finalised complaints, over 600 complaints</w:t>
      </w:r>
      <w:r w:rsidR="00B33AA1">
        <w:rPr>
          <w:rFonts w:cs="Arial"/>
        </w:rPr>
        <w:t xml:space="preserve"> </w:t>
      </w:r>
      <w:r w:rsidRPr="00F94258">
        <w:rPr>
          <w:rFonts w:cs="Arial"/>
        </w:rPr>
        <w:t>remained awaiting assessment as at 30 June 2022. A further 300 were</w:t>
      </w:r>
      <w:r w:rsidR="00B33AA1">
        <w:rPr>
          <w:rFonts w:cs="Arial"/>
        </w:rPr>
        <w:t xml:space="preserve"> </w:t>
      </w:r>
      <w:r w:rsidRPr="00F94258">
        <w:rPr>
          <w:rFonts w:cs="Arial"/>
        </w:rPr>
        <w:t>still in progress. As a result, many of the complaints we finalised this</w:t>
      </w:r>
      <w:r w:rsidR="00B33AA1">
        <w:rPr>
          <w:rFonts w:cs="Arial"/>
        </w:rPr>
        <w:t xml:space="preserve"> </w:t>
      </w:r>
      <w:r w:rsidRPr="00F94258">
        <w:rPr>
          <w:rFonts w:cs="Arial"/>
        </w:rPr>
        <w:t>year were lodged in 2020-21.</w:t>
      </w:r>
      <w:r w:rsidRPr="00F94258">
        <w:t>Of these categories, complaints awaiting assessment and those assessed but not accepted were the largest growing in 2021</w:t>
      </w:r>
      <w:r w:rsidR="00B33AA1">
        <w:t>-22</w:t>
      </w:r>
      <w:r w:rsidRPr="00F94258">
        <w:t xml:space="preserve">. </w:t>
      </w:r>
    </w:p>
    <w:p w14:paraId="0588BC3D" w14:textId="16CF83C3" w:rsidR="00863F6A" w:rsidRDefault="00CC59A1" w:rsidP="00B33AA1">
      <w:r>
        <w:t>As at 30 June 202</w:t>
      </w:r>
      <w:r w:rsidR="00B33AA1">
        <w:t>2</w:t>
      </w:r>
      <w:r>
        <w:t>, complaint outcomes in 2021</w:t>
      </w:r>
      <w:r w:rsidR="00B33AA1">
        <w:t>-22</w:t>
      </w:r>
      <w:r>
        <w:t xml:space="preserve"> were: </w:t>
      </w:r>
    </w:p>
    <w:p w14:paraId="69AA29ED" w14:textId="510FC2E3" w:rsidR="00CC59A1" w:rsidRDefault="00CC59A1" w:rsidP="006B59F8">
      <w:pPr>
        <w:pStyle w:val="ListParagraph"/>
        <w:numPr>
          <w:ilvl w:val="0"/>
          <w:numId w:val="1"/>
        </w:numPr>
      </w:pPr>
      <w:r>
        <w:t>20</w:t>
      </w:r>
      <w:r w:rsidR="007867E9">
        <w:t>3</w:t>
      </w:r>
      <w:r>
        <w:t xml:space="preserve"> complaints had been resolved through conciliation or early intervention</w:t>
      </w:r>
      <w:r w:rsidR="009C3C27">
        <w:t>.</w:t>
      </w:r>
    </w:p>
    <w:p w14:paraId="3828FCE4" w14:textId="77777777" w:rsidR="00125A81" w:rsidRDefault="007867E9" w:rsidP="006B59F8">
      <w:pPr>
        <w:pStyle w:val="ListParagraph"/>
        <w:numPr>
          <w:ilvl w:val="0"/>
          <w:numId w:val="1"/>
        </w:numPr>
      </w:pPr>
      <w:r>
        <w:t>1</w:t>
      </w:r>
      <w:r w:rsidR="006B59F8">
        <w:t>48</w:t>
      </w:r>
      <w:r w:rsidR="00CC40DC">
        <w:t xml:space="preserve"> </w:t>
      </w:r>
      <w:r w:rsidR="009C3C27">
        <w:t>complaints had conciliation or early intervention conducted</w:t>
      </w:r>
      <w:r w:rsidR="006B59F8">
        <w:t>,</w:t>
      </w:r>
      <w:r w:rsidR="009C3C27">
        <w:t xml:space="preserve"> but the parties were not able to reach an agreement</w:t>
      </w:r>
      <w:r w:rsidR="00125A81">
        <w:t xml:space="preserve"> and the complaint was referred </w:t>
      </w:r>
      <w:r w:rsidR="006B59F8">
        <w:t xml:space="preserve">to a tribunal for a hearing. </w:t>
      </w:r>
    </w:p>
    <w:p w14:paraId="40176B06" w14:textId="1085D8D0" w:rsidR="00AD74F3" w:rsidRDefault="00125A81" w:rsidP="006B59F8">
      <w:pPr>
        <w:pStyle w:val="ListParagraph"/>
        <w:numPr>
          <w:ilvl w:val="0"/>
          <w:numId w:val="1"/>
        </w:numPr>
      </w:pPr>
      <w:r>
        <w:lastRenderedPageBreak/>
        <w:t xml:space="preserve">A further 167 were accepted but either withdrawn by the complainant before dispute resolution, or the parties were unable to reach an agreement but the complaint was not referred to tribunal. </w:t>
      </w:r>
    </w:p>
    <w:p w14:paraId="5D719DAB" w14:textId="4D63793A" w:rsidR="00CC59A1" w:rsidRDefault="00125A81" w:rsidP="006B59F8">
      <w:pPr>
        <w:pStyle w:val="ListParagraph"/>
        <w:numPr>
          <w:ilvl w:val="0"/>
          <w:numId w:val="1"/>
        </w:numPr>
      </w:pPr>
      <w:r>
        <w:t>1060</w:t>
      </w:r>
      <w:r w:rsidR="00CC59A1">
        <w:t xml:space="preserve"> complaints had been assessed and either found to be something we are not able to deal with, referred elsewhere, rejected, or withdrawn.</w:t>
      </w:r>
    </w:p>
    <w:p w14:paraId="0EF143B0" w14:textId="77777777" w:rsidR="006B59F8" w:rsidRDefault="00F86254" w:rsidP="008850F1">
      <w:pPr>
        <w:pStyle w:val="Heading2"/>
        <w:spacing w:after="240"/>
      </w:pPr>
      <w:r>
        <w:t xml:space="preserve">Training </w:t>
      </w:r>
    </w:p>
    <w:p w14:paraId="58BE6684" w14:textId="45328CBC" w:rsidR="00F86254" w:rsidRDefault="00F86254" w:rsidP="006B59F8">
      <w:r>
        <w:t>In 2021</w:t>
      </w:r>
      <w:r w:rsidR="00B60603">
        <w:t>-22</w:t>
      </w:r>
      <w:r>
        <w:t xml:space="preserve"> we delivered </w:t>
      </w:r>
      <w:r w:rsidR="00B60603">
        <w:t>226</w:t>
      </w:r>
      <w:r>
        <w:t xml:space="preserve"> training sessions to </w:t>
      </w:r>
      <w:r w:rsidR="00B60603">
        <w:t>3482</w:t>
      </w:r>
      <w:r>
        <w:t xml:space="preserve"> participants. </w:t>
      </w:r>
    </w:p>
    <w:p w14:paraId="1B6FBCE8" w14:textId="52361683" w:rsidR="00F86254" w:rsidRDefault="00B60603" w:rsidP="006B59F8">
      <w:r>
        <w:t xml:space="preserve">By topic, the most sessions were delivered on the Human Rights Act and on workplace inclusion and diversity, followed by sexual harassment, unconscious bias, and tailored sessions. The smallest number were about the Anti-Discrimination Act, and the sessions for advocates. </w:t>
      </w:r>
    </w:p>
    <w:p w14:paraId="000A82A6" w14:textId="12067986" w:rsidR="00B60603" w:rsidRDefault="00B60603" w:rsidP="006B59F8">
      <w:r>
        <w:t xml:space="preserve">There are 44,000 active users of our online learning products. </w:t>
      </w:r>
    </w:p>
    <w:p w14:paraId="28AED9CA" w14:textId="5905E52F" w:rsidR="008850F1" w:rsidRDefault="008850F1" w:rsidP="006B59F8">
      <w:r>
        <w:t>9</w:t>
      </w:r>
      <w:r w:rsidR="00B60603">
        <w:t>7</w:t>
      </w:r>
      <w:r>
        <w:t>% of training participants in 20</w:t>
      </w:r>
      <w:r w:rsidR="00B60603">
        <w:t>2</w:t>
      </w:r>
      <w:r>
        <w:t>1</w:t>
      </w:r>
      <w:r w:rsidR="00B60603">
        <w:t>-22</w:t>
      </w:r>
      <w:r>
        <w:t xml:space="preserve"> told us they were satisfied or very satisfied with their training. </w:t>
      </w:r>
    </w:p>
    <w:p w14:paraId="4A2E160C" w14:textId="27251355" w:rsidR="008850F1" w:rsidRDefault="002D11AC" w:rsidP="002D11AC">
      <w:pPr>
        <w:pStyle w:val="Heading2"/>
        <w:spacing w:after="240"/>
      </w:pPr>
      <w:r>
        <w:t>Also in 2021</w:t>
      </w:r>
      <w:r w:rsidR="00B60603">
        <w:t>-22</w:t>
      </w:r>
      <w:r>
        <w:t xml:space="preserve">: </w:t>
      </w:r>
    </w:p>
    <w:p w14:paraId="6510BA00" w14:textId="07E5CA22" w:rsidR="002D11AC" w:rsidRDefault="002D11AC" w:rsidP="002D11AC">
      <w:pPr>
        <w:pStyle w:val="ListParagraph"/>
        <w:numPr>
          <w:ilvl w:val="0"/>
          <w:numId w:val="4"/>
        </w:numPr>
      </w:pPr>
      <w:r>
        <w:t xml:space="preserve">We made </w:t>
      </w:r>
      <w:r w:rsidR="00B60603">
        <w:t>31</w:t>
      </w:r>
      <w:r>
        <w:t xml:space="preserve"> submissions to public consultations</w:t>
      </w:r>
    </w:p>
    <w:p w14:paraId="4DBC8491" w14:textId="7B931B7D" w:rsidR="002D11AC" w:rsidRDefault="002D11AC" w:rsidP="002D11AC">
      <w:pPr>
        <w:pStyle w:val="ListParagraph"/>
        <w:numPr>
          <w:ilvl w:val="0"/>
          <w:numId w:val="4"/>
        </w:numPr>
      </w:pPr>
      <w:r>
        <w:t xml:space="preserve">We appeared </w:t>
      </w:r>
      <w:r w:rsidR="00B60603">
        <w:t>13</w:t>
      </w:r>
      <w:r>
        <w:t xml:space="preserve"> times before parliamentary committees </w:t>
      </w:r>
    </w:p>
    <w:p w14:paraId="4990739A" w14:textId="47E5CFF8" w:rsidR="002D11AC" w:rsidRDefault="002D11AC" w:rsidP="002D11AC">
      <w:pPr>
        <w:pStyle w:val="ListParagraph"/>
        <w:numPr>
          <w:ilvl w:val="0"/>
          <w:numId w:val="4"/>
        </w:numPr>
      </w:pPr>
      <w:r>
        <w:t xml:space="preserve">We </w:t>
      </w:r>
      <w:r w:rsidR="00B60603">
        <w:t xml:space="preserve">had over 1 million views of our website </w:t>
      </w:r>
    </w:p>
    <w:p w14:paraId="45AFB1B6" w14:textId="1D0C53BE" w:rsidR="002D11AC" w:rsidRDefault="002D11AC" w:rsidP="002D11AC">
      <w:pPr>
        <w:pStyle w:val="ListParagraph"/>
        <w:numPr>
          <w:ilvl w:val="0"/>
          <w:numId w:val="4"/>
        </w:numPr>
      </w:pPr>
      <w:r>
        <w:t xml:space="preserve">We had </w:t>
      </w:r>
      <w:r w:rsidR="00B60603">
        <w:t>49</w:t>
      </w:r>
      <w:r>
        <w:t xml:space="preserve"> formal speaking engagements </w:t>
      </w:r>
    </w:p>
    <w:p w14:paraId="4CE9C278" w14:textId="77777777" w:rsidR="00B60603" w:rsidRDefault="002D11AC" w:rsidP="002D11AC">
      <w:pPr>
        <w:pStyle w:val="ListParagraph"/>
        <w:numPr>
          <w:ilvl w:val="0"/>
          <w:numId w:val="4"/>
        </w:numPr>
      </w:pPr>
      <w:r>
        <w:t xml:space="preserve">We </w:t>
      </w:r>
      <w:r w:rsidR="00B60603">
        <w:t>conducted</w:t>
      </w:r>
      <w:r>
        <w:t xml:space="preserve"> the review of Queensland’s Anti-Discrimination Act</w:t>
      </w:r>
      <w:r w:rsidR="00B60603">
        <w:t>, including:</w:t>
      </w:r>
    </w:p>
    <w:p w14:paraId="4B3744E9" w14:textId="77777777" w:rsidR="00B60603" w:rsidRDefault="00B60603" w:rsidP="00B60603">
      <w:pPr>
        <w:pStyle w:val="ListParagraph"/>
        <w:numPr>
          <w:ilvl w:val="1"/>
          <w:numId w:val="4"/>
        </w:numPr>
      </w:pPr>
      <w:r>
        <w:t xml:space="preserve">120 stakeholder consultations </w:t>
      </w:r>
    </w:p>
    <w:p w14:paraId="0394E4AC" w14:textId="77777777" w:rsidR="00B60603" w:rsidRDefault="00B60603" w:rsidP="00B60603">
      <w:pPr>
        <w:pStyle w:val="ListParagraph"/>
        <w:numPr>
          <w:ilvl w:val="1"/>
          <w:numId w:val="4"/>
        </w:numPr>
      </w:pPr>
      <w:r>
        <w:t xml:space="preserve">6 roundtables </w:t>
      </w:r>
    </w:p>
    <w:p w14:paraId="37765C36" w14:textId="77777777" w:rsidR="00B60603" w:rsidRDefault="00B60603" w:rsidP="00B60603">
      <w:pPr>
        <w:pStyle w:val="ListParagraph"/>
        <w:numPr>
          <w:ilvl w:val="1"/>
          <w:numId w:val="4"/>
        </w:numPr>
      </w:pPr>
      <w:r>
        <w:t xml:space="preserve">4 public consultations </w:t>
      </w:r>
    </w:p>
    <w:p w14:paraId="127F3426" w14:textId="77777777" w:rsidR="00B60603" w:rsidRDefault="00B60603" w:rsidP="00B60603">
      <w:pPr>
        <w:pStyle w:val="ListParagraph"/>
        <w:numPr>
          <w:ilvl w:val="1"/>
          <w:numId w:val="4"/>
        </w:numPr>
      </w:pPr>
      <w:r>
        <w:t>159 submissions</w:t>
      </w:r>
    </w:p>
    <w:p w14:paraId="004179FF" w14:textId="7886BB00" w:rsidR="002D11AC" w:rsidRDefault="00B60603" w:rsidP="00B60603">
      <w:pPr>
        <w:pStyle w:val="ListParagraph"/>
        <w:numPr>
          <w:ilvl w:val="1"/>
          <w:numId w:val="4"/>
        </w:numPr>
      </w:pPr>
      <w:r>
        <w:t xml:space="preserve">1100+ survey responses </w:t>
      </w:r>
      <w:r w:rsidR="002D11AC">
        <w:t xml:space="preserve"> </w:t>
      </w:r>
    </w:p>
    <w:p w14:paraId="6AF1EE2C" w14:textId="2D134A72" w:rsidR="002D11AC" w:rsidRDefault="002D11AC" w:rsidP="002D11AC">
      <w:pPr>
        <w:pStyle w:val="ListParagraph"/>
        <w:numPr>
          <w:ilvl w:val="0"/>
          <w:numId w:val="4"/>
        </w:numPr>
      </w:pPr>
      <w:r>
        <w:t>We had the equivalent of 4</w:t>
      </w:r>
      <w:r w:rsidR="00B60603">
        <w:t>5</w:t>
      </w:r>
      <w:r>
        <w:t xml:space="preserve"> full time staff across all teams and offices of the Commission</w:t>
      </w:r>
      <w:r w:rsidR="00B60603">
        <w:t xml:space="preserve"> as at June 2022</w:t>
      </w:r>
      <w:r>
        <w:t xml:space="preserve">. </w:t>
      </w:r>
    </w:p>
    <w:p w14:paraId="5E4AF336" w14:textId="77777777" w:rsidR="00F86254" w:rsidRDefault="00F86254" w:rsidP="006B59F8"/>
    <w:p w14:paraId="7C615620" w14:textId="77777777" w:rsidR="006B59F8" w:rsidRPr="003E19E6" w:rsidRDefault="006B59F8" w:rsidP="006B59F8"/>
    <w:sectPr w:rsidR="006B59F8" w:rsidRPr="003E19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ED5E" w14:textId="77777777" w:rsidR="002D11AC" w:rsidRDefault="002D11AC" w:rsidP="002D11AC">
      <w:pPr>
        <w:spacing w:after="0" w:line="240" w:lineRule="auto"/>
      </w:pPr>
      <w:r>
        <w:separator/>
      </w:r>
    </w:p>
  </w:endnote>
  <w:endnote w:type="continuationSeparator" w:id="0">
    <w:p w14:paraId="06757C37" w14:textId="77777777" w:rsidR="002D11AC" w:rsidRDefault="002D11AC" w:rsidP="002D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EC19" w14:textId="77777777" w:rsidR="002D11AC" w:rsidRDefault="002D11AC" w:rsidP="002D11AC">
    <w:pPr>
      <w:pStyle w:val="Footer"/>
      <w:spacing w:before="240"/>
      <w:rPr>
        <w:color w:val="767171" w:themeColor="background2" w:themeShade="80"/>
        <w:sz w:val="20"/>
        <w:szCs w:val="20"/>
        <w:lang w:val="en-US"/>
      </w:rPr>
    </w:pPr>
    <w:r>
      <w:rPr>
        <w:noProof/>
        <w:color w:val="E7E6E6" w:themeColor="background2"/>
        <w:sz w:val="20"/>
        <w:szCs w:val="20"/>
        <w:lang w:eastAsia="en-AU"/>
      </w:rPr>
      <w:drawing>
        <wp:inline distT="0" distB="0" distL="0" distR="0" wp14:anchorId="22407DC7" wp14:editId="1F260E04">
          <wp:extent cx="5731510" cy="419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bar - thin rgb.png"/>
                  <pic:cNvPicPr/>
                </pic:nvPicPr>
                <pic:blipFill>
                  <a:blip r:embed="rId1">
                    <a:extLst>
                      <a:ext uri="{28A0092B-C50C-407E-A947-70E740481C1C}">
                        <a14:useLocalDpi xmlns:a14="http://schemas.microsoft.com/office/drawing/2010/main" val="0"/>
                      </a:ext>
                    </a:extLst>
                  </a:blip>
                  <a:stretch>
                    <a:fillRect/>
                  </a:stretch>
                </pic:blipFill>
                <pic:spPr>
                  <a:xfrm>
                    <a:off x="0" y="0"/>
                    <a:ext cx="5731510" cy="41910"/>
                  </a:xfrm>
                  <a:prstGeom prst="rect">
                    <a:avLst/>
                  </a:prstGeom>
                </pic:spPr>
              </pic:pic>
            </a:graphicData>
          </a:graphic>
        </wp:inline>
      </w:drawing>
    </w:r>
  </w:p>
  <w:p w14:paraId="63056448" w14:textId="34F215AE" w:rsidR="002D11AC" w:rsidRPr="002D11AC" w:rsidRDefault="002D11AC" w:rsidP="002D11AC">
    <w:pPr>
      <w:pStyle w:val="Footer"/>
      <w:spacing w:before="240"/>
      <w:rPr>
        <w:color w:val="767171" w:themeColor="background2" w:themeShade="80"/>
        <w:sz w:val="20"/>
        <w:szCs w:val="20"/>
        <w:lang w:val="en-US"/>
      </w:rPr>
    </w:pPr>
    <w:r w:rsidRPr="002D11AC">
      <w:rPr>
        <w:color w:val="767171" w:themeColor="background2" w:themeShade="80"/>
        <w:sz w:val="20"/>
        <w:szCs w:val="20"/>
        <w:lang w:val="en-US"/>
      </w:rPr>
      <w:t>Queensland Human Rights Commission – Annual Snapshot 2021</w:t>
    </w:r>
    <w:r w:rsidR="006F4D48">
      <w:rPr>
        <w:color w:val="767171" w:themeColor="background2" w:themeShade="80"/>
        <w:sz w:val="20"/>
        <w:szCs w:val="20"/>
        <w:lang w:val="en-US"/>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8DEC" w14:textId="77777777" w:rsidR="002D11AC" w:rsidRDefault="002D11AC" w:rsidP="002D11AC">
      <w:pPr>
        <w:spacing w:after="0" w:line="240" w:lineRule="auto"/>
      </w:pPr>
      <w:r>
        <w:separator/>
      </w:r>
    </w:p>
  </w:footnote>
  <w:footnote w:type="continuationSeparator" w:id="0">
    <w:p w14:paraId="022144AE" w14:textId="77777777" w:rsidR="002D11AC" w:rsidRDefault="002D11AC" w:rsidP="002D1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0796"/>
    <w:multiLevelType w:val="hybridMultilevel"/>
    <w:tmpl w:val="8CC6E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AC1879"/>
    <w:multiLevelType w:val="hybridMultilevel"/>
    <w:tmpl w:val="1172AF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F53F26"/>
    <w:multiLevelType w:val="hybridMultilevel"/>
    <w:tmpl w:val="C40C8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2009C9"/>
    <w:multiLevelType w:val="hybridMultilevel"/>
    <w:tmpl w:val="0C08E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121522"/>
    <w:multiLevelType w:val="hybridMultilevel"/>
    <w:tmpl w:val="C0B4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6A"/>
    <w:rsid w:val="000E1D31"/>
    <w:rsid w:val="00125A81"/>
    <w:rsid w:val="00137493"/>
    <w:rsid w:val="001604E1"/>
    <w:rsid w:val="00230C50"/>
    <w:rsid w:val="00261169"/>
    <w:rsid w:val="002D11AC"/>
    <w:rsid w:val="002E4AF0"/>
    <w:rsid w:val="002E5F94"/>
    <w:rsid w:val="00325447"/>
    <w:rsid w:val="003E19E6"/>
    <w:rsid w:val="00416E9C"/>
    <w:rsid w:val="005A1B34"/>
    <w:rsid w:val="005E17CA"/>
    <w:rsid w:val="006704FD"/>
    <w:rsid w:val="006B59F8"/>
    <w:rsid w:val="006F4D48"/>
    <w:rsid w:val="00777F56"/>
    <w:rsid w:val="007867E9"/>
    <w:rsid w:val="00821BF5"/>
    <w:rsid w:val="00863F6A"/>
    <w:rsid w:val="008850F1"/>
    <w:rsid w:val="00916867"/>
    <w:rsid w:val="009C3C27"/>
    <w:rsid w:val="00AD74F3"/>
    <w:rsid w:val="00B33AA1"/>
    <w:rsid w:val="00B60603"/>
    <w:rsid w:val="00BA53C0"/>
    <w:rsid w:val="00CC40DC"/>
    <w:rsid w:val="00CC59A1"/>
    <w:rsid w:val="00CF0F8F"/>
    <w:rsid w:val="00D7464D"/>
    <w:rsid w:val="00E144FF"/>
    <w:rsid w:val="00F86254"/>
    <w:rsid w:val="00F94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1F2F4"/>
  <w15:chartTrackingRefBased/>
  <w15:docId w15:val="{6B08B94A-EFCC-4CED-B822-4D729344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AF0"/>
  </w:style>
  <w:style w:type="paragraph" w:styleId="Heading1">
    <w:name w:val="heading 1"/>
    <w:aliases w:val="Heading 1 (light blue)"/>
    <w:basedOn w:val="Normal"/>
    <w:next w:val="Normal"/>
    <w:link w:val="Heading1Char"/>
    <w:uiPriority w:val="1"/>
    <w:qFormat/>
    <w:rsid w:val="001604E1"/>
    <w:pPr>
      <w:keepNext/>
      <w:keepLines/>
      <w:spacing w:before="240" w:after="0"/>
      <w:outlineLvl w:val="0"/>
    </w:pPr>
    <w:rPr>
      <w:rFonts w:eastAsiaTheme="majorEastAsia" w:cstheme="majorBidi"/>
      <w:color w:val="347B9F"/>
      <w:sz w:val="48"/>
      <w:szCs w:val="32"/>
    </w:rPr>
  </w:style>
  <w:style w:type="paragraph" w:styleId="Heading2">
    <w:name w:val="heading 2"/>
    <w:aliases w:val="Heading 2 (light blue)"/>
    <w:basedOn w:val="Normal"/>
    <w:next w:val="Normal"/>
    <w:link w:val="Heading2Char"/>
    <w:uiPriority w:val="1"/>
    <w:unhideWhenUsed/>
    <w:qFormat/>
    <w:rsid w:val="001604E1"/>
    <w:pPr>
      <w:keepNext/>
      <w:keepLines/>
      <w:spacing w:before="40" w:after="0"/>
      <w:outlineLvl w:val="1"/>
    </w:pPr>
    <w:rPr>
      <w:rFonts w:eastAsiaTheme="majorEastAsia" w:cstheme="majorBidi"/>
      <w:color w:val="347B9F"/>
      <w:sz w:val="36"/>
      <w:szCs w:val="26"/>
    </w:rPr>
  </w:style>
  <w:style w:type="paragraph" w:styleId="Heading3">
    <w:name w:val="heading 3"/>
    <w:aliases w:val="Heading 3 (light blue)"/>
    <w:basedOn w:val="Normal"/>
    <w:next w:val="Normal"/>
    <w:link w:val="Heading3Char"/>
    <w:uiPriority w:val="1"/>
    <w:unhideWhenUsed/>
    <w:qFormat/>
    <w:rsid w:val="001604E1"/>
    <w:pPr>
      <w:keepNext/>
      <w:keepLines/>
      <w:spacing w:before="40" w:after="0"/>
      <w:outlineLvl w:val="2"/>
    </w:pPr>
    <w:rPr>
      <w:rFonts w:eastAsiaTheme="majorEastAsia" w:cstheme="majorBidi"/>
      <w:color w:val="347B9F"/>
      <w:sz w:val="28"/>
    </w:rPr>
  </w:style>
  <w:style w:type="paragraph" w:styleId="Heading4">
    <w:name w:val="heading 4"/>
    <w:basedOn w:val="Normal"/>
    <w:next w:val="Normal"/>
    <w:link w:val="Heading4Char"/>
    <w:uiPriority w:val="9"/>
    <w:unhideWhenUsed/>
    <w:rsid w:val="002E5F9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rsid w:val="002E5F94"/>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rsid w:val="002E5F94"/>
    <w:pPr>
      <w:keepNext/>
      <w:keepLines/>
      <w:spacing w:before="40" w:after="0"/>
      <w:outlineLvl w:val="5"/>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light blue) Char"/>
    <w:basedOn w:val="DefaultParagraphFont"/>
    <w:link w:val="Heading1"/>
    <w:uiPriority w:val="1"/>
    <w:rsid w:val="002E4AF0"/>
    <w:rPr>
      <w:rFonts w:eastAsiaTheme="majorEastAsia" w:cstheme="majorBidi"/>
      <w:color w:val="347B9F"/>
      <w:sz w:val="48"/>
      <w:szCs w:val="32"/>
    </w:rPr>
  </w:style>
  <w:style w:type="character" w:customStyle="1" w:styleId="Heading2Char">
    <w:name w:val="Heading 2 Char"/>
    <w:aliases w:val="Heading 2 (light blue) Char"/>
    <w:basedOn w:val="DefaultParagraphFont"/>
    <w:link w:val="Heading2"/>
    <w:uiPriority w:val="1"/>
    <w:rsid w:val="002E4AF0"/>
    <w:rPr>
      <w:rFonts w:eastAsiaTheme="majorEastAsia" w:cstheme="majorBidi"/>
      <w:color w:val="347B9F"/>
      <w:sz w:val="36"/>
      <w:szCs w:val="26"/>
    </w:rPr>
  </w:style>
  <w:style w:type="character" w:customStyle="1" w:styleId="Heading3Char">
    <w:name w:val="Heading 3 Char"/>
    <w:aliases w:val="Heading 3 (light blue) Char"/>
    <w:basedOn w:val="DefaultParagraphFont"/>
    <w:link w:val="Heading3"/>
    <w:uiPriority w:val="1"/>
    <w:rsid w:val="002E4AF0"/>
    <w:rPr>
      <w:rFonts w:eastAsiaTheme="majorEastAsia" w:cstheme="majorBidi"/>
      <w:color w:val="347B9F"/>
      <w:sz w:val="28"/>
      <w:szCs w:val="24"/>
    </w:rPr>
  </w:style>
  <w:style w:type="paragraph" w:styleId="Title">
    <w:name w:val="Title"/>
    <w:basedOn w:val="Normal"/>
    <w:next w:val="Normal"/>
    <w:link w:val="TitleChar"/>
    <w:uiPriority w:val="10"/>
    <w:rsid w:val="00BA53C0"/>
    <w:pPr>
      <w:spacing w:after="0" w:line="240" w:lineRule="auto"/>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uiPriority w:val="10"/>
    <w:rsid w:val="00BA53C0"/>
    <w:rPr>
      <w:rFonts w:eastAsiaTheme="majorEastAsia" w:cstheme="majorBidi"/>
      <w:color w:val="000000" w:themeColor="text1"/>
      <w:spacing w:val="-10"/>
      <w:kern w:val="28"/>
      <w:sz w:val="56"/>
      <w:szCs w:val="56"/>
    </w:rPr>
  </w:style>
  <w:style w:type="character" w:customStyle="1" w:styleId="Heading4Char">
    <w:name w:val="Heading 4 Char"/>
    <w:basedOn w:val="DefaultParagraphFont"/>
    <w:link w:val="Heading4"/>
    <w:uiPriority w:val="9"/>
    <w:rsid w:val="002E5F94"/>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rsid w:val="002E5F94"/>
    <w:rPr>
      <w:rFonts w:eastAsiaTheme="majorEastAsia" w:cstheme="majorBidi"/>
      <w:color w:val="2E74B5" w:themeColor="accent1" w:themeShade="BF"/>
    </w:rPr>
  </w:style>
  <w:style w:type="character" w:customStyle="1" w:styleId="Heading6Char">
    <w:name w:val="Heading 6 Char"/>
    <w:basedOn w:val="DefaultParagraphFont"/>
    <w:link w:val="Heading6"/>
    <w:uiPriority w:val="9"/>
    <w:rsid w:val="002E5F94"/>
    <w:rPr>
      <w:rFonts w:eastAsiaTheme="majorEastAsia" w:cstheme="majorBidi"/>
      <w:color w:val="1F4D78" w:themeColor="accent1" w:themeShade="7F"/>
    </w:rPr>
  </w:style>
  <w:style w:type="paragraph" w:customStyle="1" w:styleId="Heading1Black">
    <w:name w:val="Heading 1 (Black)"/>
    <w:basedOn w:val="Normal"/>
    <w:next w:val="Normal"/>
    <w:link w:val="Heading1BlackChar"/>
    <w:uiPriority w:val="3"/>
    <w:qFormat/>
    <w:rsid w:val="00CF0F8F"/>
    <w:rPr>
      <w:color w:val="000000" w:themeColor="text1"/>
      <w:sz w:val="48"/>
    </w:rPr>
  </w:style>
  <w:style w:type="character" w:customStyle="1" w:styleId="Heading1BlackChar">
    <w:name w:val="Heading 1 (Black) Char"/>
    <w:basedOn w:val="DefaultParagraphFont"/>
    <w:link w:val="Heading1Black"/>
    <w:uiPriority w:val="3"/>
    <w:rsid w:val="002E4AF0"/>
    <w:rPr>
      <w:color w:val="000000" w:themeColor="text1"/>
      <w:sz w:val="48"/>
    </w:rPr>
  </w:style>
  <w:style w:type="paragraph" w:customStyle="1" w:styleId="Heading2Black">
    <w:name w:val="Heading 2 (Black)"/>
    <w:basedOn w:val="Heading1Black"/>
    <w:next w:val="Normal"/>
    <w:link w:val="Heading2BlackChar"/>
    <w:uiPriority w:val="3"/>
    <w:qFormat/>
    <w:rsid w:val="00CF0F8F"/>
    <w:rPr>
      <w:sz w:val="36"/>
    </w:rPr>
  </w:style>
  <w:style w:type="character" w:customStyle="1" w:styleId="Heading2BlackChar">
    <w:name w:val="Heading 2 (Black) Char"/>
    <w:basedOn w:val="Heading1BlackChar"/>
    <w:link w:val="Heading2Black"/>
    <w:uiPriority w:val="3"/>
    <w:rsid w:val="002E4AF0"/>
    <w:rPr>
      <w:color w:val="000000" w:themeColor="text1"/>
      <w:sz w:val="36"/>
    </w:rPr>
  </w:style>
  <w:style w:type="paragraph" w:customStyle="1" w:styleId="Heading3Black">
    <w:name w:val="Heading 3 (Black)"/>
    <w:basedOn w:val="Heading2Black"/>
    <w:next w:val="Normal"/>
    <w:link w:val="Heading3BlackChar"/>
    <w:uiPriority w:val="3"/>
    <w:qFormat/>
    <w:rsid w:val="00CF0F8F"/>
    <w:rPr>
      <w:sz w:val="28"/>
    </w:rPr>
  </w:style>
  <w:style w:type="character" w:customStyle="1" w:styleId="Heading3BlackChar">
    <w:name w:val="Heading 3 (Black) Char"/>
    <w:basedOn w:val="Heading2BlackChar"/>
    <w:link w:val="Heading3Black"/>
    <w:uiPriority w:val="3"/>
    <w:rsid w:val="002E4AF0"/>
    <w:rPr>
      <w:color w:val="000000" w:themeColor="text1"/>
      <w:sz w:val="28"/>
    </w:rPr>
  </w:style>
  <w:style w:type="paragraph" w:styleId="Quote">
    <w:name w:val="Quote"/>
    <w:basedOn w:val="Normal"/>
    <w:next w:val="Normal"/>
    <w:link w:val="QuoteChar"/>
    <w:uiPriority w:val="5"/>
    <w:qFormat/>
    <w:rsid w:val="00BA53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5"/>
    <w:rsid w:val="002E4AF0"/>
    <w:rPr>
      <w:i/>
      <w:iCs/>
      <w:color w:val="404040" w:themeColor="text1" w:themeTint="BF"/>
    </w:rPr>
  </w:style>
  <w:style w:type="paragraph" w:customStyle="1" w:styleId="Headerfooter">
    <w:name w:val="Header/footer"/>
    <w:basedOn w:val="Normal"/>
    <w:uiPriority w:val="4"/>
    <w:qFormat/>
    <w:rsid w:val="00BA53C0"/>
    <w:rPr>
      <w:color w:val="000000" w:themeColor="text1"/>
      <w:sz w:val="20"/>
    </w:rPr>
  </w:style>
  <w:style w:type="paragraph" w:customStyle="1" w:styleId="Header1darkblue">
    <w:name w:val="Header 1 (dark blue)"/>
    <w:basedOn w:val="Heading1Black"/>
    <w:uiPriority w:val="2"/>
    <w:qFormat/>
    <w:rsid w:val="00BA53C0"/>
    <w:rPr>
      <w:color w:val="004270"/>
    </w:rPr>
  </w:style>
  <w:style w:type="paragraph" w:customStyle="1" w:styleId="Header2darkblue">
    <w:name w:val="Header 2 (dark blue)"/>
    <w:basedOn w:val="Header1darkblue"/>
    <w:uiPriority w:val="2"/>
    <w:qFormat/>
    <w:rsid w:val="00BA53C0"/>
    <w:rPr>
      <w:sz w:val="36"/>
    </w:rPr>
  </w:style>
  <w:style w:type="paragraph" w:customStyle="1" w:styleId="Header3darkblue">
    <w:name w:val="Header 3 (dark blue)"/>
    <w:basedOn w:val="Header2darkblue"/>
    <w:uiPriority w:val="2"/>
    <w:qFormat/>
    <w:rsid w:val="00BA53C0"/>
    <w:rPr>
      <w:sz w:val="28"/>
    </w:rPr>
  </w:style>
  <w:style w:type="paragraph" w:styleId="ListParagraph">
    <w:name w:val="List Paragraph"/>
    <w:basedOn w:val="Normal"/>
    <w:uiPriority w:val="7"/>
    <w:qFormat/>
    <w:rsid w:val="006B59F8"/>
    <w:pPr>
      <w:ind w:left="720"/>
      <w:contextualSpacing/>
    </w:pPr>
  </w:style>
  <w:style w:type="paragraph" w:styleId="Header">
    <w:name w:val="header"/>
    <w:basedOn w:val="Normal"/>
    <w:link w:val="HeaderChar"/>
    <w:uiPriority w:val="99"/>
    <w:unhideWhenUsed/>
    <w:rsid w:val="002D1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1AC"/>
  </w:style>
  <w:style w:type="paragraph" w:styleId="Footer">
    <w:name w:val="footer"/>
    <w:basedOn w:val="Normal"/>
    <w:link w:val="FooterChar"/>
    <w:uiPriority w:val="99"/>
    <w:unhideWhenUsed/>
    <w:rsid w:val="002D1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2</cp:revision>
  <dcterms:created xsi:type="dcterms:W3CDTF">2022-09-28T00:32:00Z</dcterms:created>
  <dcterms:modified xsi:type="dcterms:W3CDTF">2022-09-28T00:32:00Z</dcterms:modified>
</cp:coreProperties>
</file>