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A56FD" w14:textId="6E1BC5BF" w:rsidR="00042A32" w:rsidRDefault="00A578D4" w:rsidP="00042A32">
      <w:bookmarkStart w:id="0" w:name="_Toc110503437"/>
      <w:bookmarkStart w:id="1" w:name="_Toc110506629"/>
      <w:bookmarkStart w:id="2" w:name="_Toc1501804119"/>
      <w:r>
        <w:rPr>
          <w:noProof/>
        </w:rPr>
        <w:drawing>
          <wp:anchor distT="0" distB="0" distL="114300" distR="114300" simplePos="0" relativeHeight="251658244" behindDoc="1" locked="0" layoutInCell="1" allowOverlap="1" wp14:anchorId="03265621" wp14:editId="5DE27196">
            <wp:simplePos x="0" y="0"/>
            <wp:positionH relativeFrom="page">
              <wp:posOffset>0</wp:posOffset>
            </wp:positionH>
            <wp:positionV relativeFrom="paragraph">
              <wp:posOffset>-902525</wp:posOffset>
            </wp:positionV>
            <wp:extent cx="7467600" cy="10667412"/>
            <wp:effectExtent l="0" t="0" r="0" b="635"/>
            <wp:wrapNone/>
            <wp:docPr id="43" name="Picture 43" descr="Entrance to a court building - most of the focus is on the building's pillars out the front, with a blue and brass light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ntrance to a court building - most of the focus is on the building's pillars out the front, with a blue and brass light in the foreground. "/>
                    <pic:cNvPicPr/>
                  </pic:nvPicPr>
                  <pic:blipFill rotWithShape="1">
                    <a:blip r:embed="rId11" cstate="print">
                      <a:extLst>
                        <a:ext uri="{28A0092B-C50C-407E-A947-70E740481C1C}">
                          <a14:useLocalDpi xmlns:a14="http://schemas.microsoft.com/office/drawing/2010/main" val="0"/>
                        </a:ext>
                      </a:extLst>
                    </a:blip>
                    <a:srcRect l="20701" r="32634"/>
                    <a:stretch/>
                  </pic:blipFill>
                  <pic:spPr bwMode="auto">
                    <a:xfrm>
                      <a:off x="0" y="0"/>
                      <a:ext cx="7467600" cy="10667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DA3" w:rsidRPr="00CA5DA3">
        <w:rPr>
          <w:noProof/>
        </w:rPr>
        <w:drawing>
          <wp:anchor distT="0" distB="0" distL="114300" distR="114300" simplePos="0" relativeHeight="251658263" behindDoc="1" locked="0" layoutInCell="1" allowOverlap="1" wp14:anchorId="467A496F" wp14:editId="532C76FC">
            <wp:simplePos x="0" y="0"/>
            <wp:positionH relativeFrom="page">
              <wp:posOffset>7255510</wp:posOffset>
            </wp:positionH>
            <wp:positionV relativeFrom="paragraph">
              <wp:posOffset>-908685</wp:posOffset>
            </wp:positionV>
            <wp:extent cx="370687" cy="1072515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5E2D" w14:textId="4635B505" w:rsidR="00042A32" w:rsidRDefault="00042A32" w:rsidP="00042A32"/>
    <w:p w14:paraId="0B79273B" w14:textId="28AD8793" w:rsidR="00042A32" w:rsidRDefault="00042A32" w:rsidP="00042A32"/>
    <w:p w14:paraId="308387AA" w14:textId="12B7A364" w:rsidR="00042A32" w:rsidRDefault="00042A32" w:rsidP="00042A32"/>
    <w:p w14:paraId="10EAC0EF" w14:textId="6A8F769B" w:rsidR="00042A32" w:rsidRDefault="00042A32" w:rsidP="00042A32"/>
    <w:p w14:paraId="073E9133" w14:textId="00D95A28" w:rsidR="00042A32" w:rsidRDefault="00042A32" w:rsidP="00042A32"/>
    <w:p w14:paraId="0845F6AD" w14:textId="78DDC000" w:rsidR="00042A32" w:rsidRDefault="00042A32" w:rsidP="00042A32"/>
    <w:p w14:paraId="7A2B2F62" w14:textId="77777777" w:rsidR="00042A32" w:rsidRDefault="00042A32" w:rsidP="00042A32"/>
    <w:p w14:paraId="0FE9EF25" w14:textId="77777777" w:rsidR="00042A32" w:rsidRDefault="00042A32" w:rsidP="00042A32"/>
    <w:p w14:paraId="79D3CE22" w14:textId="77777777" w:rsidR="00042A32" w:rsidRDefault="00042A32" w:rsidP="00042A32"/>
    <w:p w14:paraId="58FAEB82" w14:textId="77777777" w:rsidR="00042A32" w:rsidRDefault="00042A32" w:rsidP="00042A32"/>
    <w:p w14:paraId="3332EA41" w14:textId="77777777" w:rsidR="00042A32" w:rsidRDefault="00042A32" w:rsidP="00042A32"/>
    <w:p w14:paraId="2C4DAAC1" w14:textId="77777777" w:rsidR="00042A32" w:rsidRDefault="00042A32" w:rsidP="00042A32"/>
    <w:p w14:paraId="1FCB27D4" w14:textId="77777777" w:rsidR="00042A32" w:rsidRDefault="00042A32" w:rsidP="00042A32"/>
    <w:p w14:paraId="1F7249CD" w14:textId="2287C5CB" w:rsidR="00042A32" w:rsidRDefault="00CA5DA3" w:rsidP="00042A32">
      <w:r w:rsidRPr="00CA5DA3">
        <w:rPr>
          <w:noProof/>
        </w:rPr>
        <mc:AlternateContent>
          <mc:Choice Requires="wps">
            <w:drawing>
              <wp:anchor distT="0" distB="0" distL="114300" distR="114300" simplePos="0" relativeHeight="251658253" behindDoc="1" locked="0" layoutInCell="1" allowOverlap="1" wp14:anchorId="65F6480E" wp14:editId="6BDD862C">
                <wp:simplePos x="0" y="0"/>
                <wp:positionH relativeFrom="page">
                  <wp:posOffset>-19050</wp:posOffset>
                </wp:positionH>
                <wp:positionV relativeFrom="paragraph">
                  <wp:posOffset>370205</wp:posOffset>
                </wp:positionV>
                <wp:extent cx="5372100" cy="7239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72100" cy="723900"/>
                        </a:xfrm>
                        <a:prstGeom prst="rect">
                          <a:avLst/>
                        </a:prstGeom>
                        <a:solidFill>
                          <a:srgbClr val="0042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96E6C" id="Rectangle 20" o:spid="_x0000_s1026" alt="&quot;&quot;" style="position:absolute;margin-left:-1.5pt;margin-top:29.15pt;width:423pt;height:57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" fillcolor="#004270" stroked="f" strokeweight="1pt">
                <w10:wrap anchorx="page"/>
              </v:rect>
            </w:pict>
          </mc:Fallback>
        </mc:AlternateContent>
      </w:r>
    </w:p>
    <w:bookmarkStart w:id="3" w:name="_Toc117697147"/>
    <w:bookmarkStart w:id="4" w:name="_Toc117697854"/>
    <w:p w14:paraId="28FB5E03" w14:textId="5EE8C2D8" w:rsidR="005F552A" w:rsidRDefault="00042A32" w:rsidP="0069437F">
      <w:pPr>
        <w:pStyle w:val="Sectiontitle"/>
      </w:pPr>
      <w:r w:rsidRPr="00CA5DA3">
        <w:rPr>
          <w:noProof/>
        </w:rPr>
        <mc:AlternateContent>
          <mc:Choice Requires="wps">
            <w:drawing>
              <wp:anchor distT="0" distB="0" distL="114300" distR="114300" simplePos="0" relativeHeight="251658252" behindDoc="1" locked="0" layoutInCell="1" allowOverlap="1" wp14:anchorId="00FFC6D3" wp14:editId="2C714404">
                <wp:simplePos x="0" y="0"/>
                <wp:positionH relativeFrom="page">
                  <wp:posOffset>-19050</wp:posOffset>
                </wp:positionH>
                <wp:positionV relativeFrom="paragraph">
                  <wp:posOffset>893445</wp:posOffset>
                </wp:positionV>
                <wp:extent cx="6496050" cy="72390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723900"/>
                        </a:xfrm>
                        <a:prstGeom prst="rect">
                          <a:avLst/>
                        </a:prstGeom>
                        <a:solidFill>
                          <a:srgbClr val="0042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DB0DE" id="Rectangle 19" o:spid="_x0000_s1026" alt="&quot;&quot;" style="position:absolute;margin-left:-1.5pt;margin-top:70.35pt;width:511.5pt;height:57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" fillcolor="#004270" stroked="f" strokeweight="1pt">
                <w10:wrap anchorx="page"/>
              </v:rect>
            </w:pict>
          </mc:Fallback>
        </mc:AlternateContent>
      </w:r>
      <w:r w:rsidR="0069437F">
        <w:t>Human rights in courts and tribunals</w:t>
      </w:r>
      <w:bookmarkEnd w:id="1"/>
      <w:bookmarkEnd w:id="2"/>
      <w:bookmarkEnd w:id="3"/>
      <w:bookmarkEnd w:id="4"/>
    </w:p>
    <w:p w14:paraId="0E6EC48F" w14:textId="0D66CAAC" w:rsidR="005F552A" w:rsidRDefault="005F552A">
      <w:pPr>
        <w:spacing w:after="160" w:line="259" w:lineRule="auto"/>
        <w:ind w:right="0"/>
        <w:rPr>
          <w:rFonts w:eastAsiaTheme="majorEastAsia" w:cstheme="majorBidi"/>
          <w:color w:val="347B9F"/>
          <w:sz w:val="72"/>
          <w:szCs w:val="72"/>
        </w:rPr>
      </w:pPr>
      <w:r>
        <w:br w:type="page"/>
      </w:r>
    </w:p>
    <w:p w14:paraId="34D497D4" w14:textId="77777777" w:rsidR="00EB191B" w:rsidRPr="00042A32" w:rsidRDefault="00EB191B" w:rsidP="00EB191B">
      <w:pPr>
        <w:pStyle w:val="Heading1"/>
        <w:rPr>
          <w:color w:val="004270"/>
        </w:rPr>
      </w:pPr>
      <w:bookmarkStart w:id="5" w:name="_Toc85526673"/>
      <w:bookmarkStart w:id="6" w:name="_Toc85787088"/>
      <w:bookmarkStart w:id="7" w:name="_Toc110506630"/>
      <w:bookmarkStart w:id="8" w:name="_Toc1974113933"/>
      <w:bookmarkStart w:id="9" w:name="_Toc117697148"/>
      <w:bookmarkStart w:id="10" w:name="_Toc117697855"/>
      <w:r w:rsidRPr="00042A32">
        <w:rPr>
          <w:color w:val="004270"/>
        </w:rPr>
        <w:lastRenderedPageBreak/>
        <w:t>The role of courts and tribunals</w:t>
      </w:r>
      <w:bookmarkEnd w:id="5"/>
      <w:bookmarkEnd w:id="6"/>
      <w:bookmarkEnd w:id="7"/>
      <w:bookmarkEnd w:id="8"/>
      <w:bookmarkEnd w:id="9"/>
      <w:bookmarkEnd w:id="10"/>
    </w:p>
    <w:p w14:paraId="5AD178E1" w14:textId="00AACB1E" w:rsidR="00EB191B" w:rsidRDefault="007B3546" w:rsidP="00EB191B">
      <w:pPr>
        <w:rPr>
          <w:lang w:val="en-US"/>
        </w:rPr>
      </w:pPr>
      <w:r>
        <w:rPr>
          <w:lang w:val="en-US"/>
        </w:rPr>
        <w:t>The Westminster system of government as it op</w:t>
      </w:r>
      <w:r w:rsidR="00D37907">
        <w:rPr>
          <w:lang w:val="en-US"/>
        </w:rPr>
        <w:t>e</w:t>
      </w:r>
      <w:r>
        <w:rPr>
          <w:lang w:val="en-US"/>
        </w:rPr>
        <w:t>rates</w:t>
      </w:r>
      <w:r w:rsidR="00D37907">
        <w:rPr>
          <w:lang w:val="en-US"/>
        </w:rPr>
        <w:t xml:space="preserve"> in Queensland </w:t>
      </w:r>
      <w:r w:rsidR="00465DD2">
        <w:rPr>
          <w:lang w:val="en-US"/>
        </w:rPr>
        <w:t xml:space="preserve">requires separation of the three </w:t>
      </w:r>
      <w:r w:rsidR="006C22A0">
        <w:rPr>
          <w:lang w:val="en-US"/>
        </w:rPr>
        <w:t>arms</w:t>
      </w:r>
      <w:r w:rsidR="006F1EFC">
        <w:rPr>
          <w:lang w:val="en-US"/>
        </w:rPr>
        <w:t xml:space="preserve"> of government</w:t>
      </w:r>
      <w:r w:rsidR="009F10FF">
        <w:rPr>
          <w:lang w:val="en-US"/>
        </w:rPr>
        <w:t>:</w:t>
      </w:r>
      <w:r w:rsidR="006F1EFC">
        <w:rPr>
          <w:lang w:val="en-US"/>
        </w:rPr>
        <w:t xml:space="preserve"> </w:t>
      </w:r>
      <w:r w:rsidR="00583BDD">
        <w:rPr>
          <w:lang w:val="en-US"/>
        </w:rPr>
        <w:t xml:space="preserve">the </w:t>
      </w:r>
      <w:r w:rsidR="00DF1E23">
        <w:rPr>
          <w:lang w:val="en-US"/>
        </w:rPr>
        <w:t>l</w:t>
      </w:r>
      <w:r w:rsidR="00583BDD">
        <w:rPr>
          <w:lang w:val="en-US"/>
        </w:rPr>
        <w:t>egislature (</w:t>
      </w:r>
      <w:r w:rsidR="00DF1E23">
        <w:rPr>
          <w:lang w:val="en-US"/>
        </w:rPr>
        <w:t>p</w:t>
      </w:r>
      <w:r w:rsidR="00583BDD">
        <w:rPr>
          <w:lang w:val="en-US"/>
        </w:rPr>
        <w:t xml:space="preserve">arliament), </w:t>
      </w:r>
      <w:r w:rsidR="000352E7">
        <w:rPr>
          <w:lang w:val="en-US"/>
        </w:rPr>
        <w:t xml:space="preserve">the </w:t>
      </w:r>
      <w:r w:rsidR="003B1598">
        <w:rPr>
          <w:lang w:val="en-US"/>
        </w:rPr>
        <w:t>e</w:t>
      </w:r>
      <w:r w:rsidR="000352E7">
        <w:rPr>
          <w:lang w:val="en-US"/>
        </w:rPr>
        <w:t xml:space="preserve">xecutive, and the </w:t>
      </w:r>
      <w:r w:rsidR="003B1598">
        <w:rPr>
          <w:lang w:val="en-US"/>
        </w:rPr>
        <w:t>j</w:t>
      </w:r>
      <w:r w:rsidR="000352E7">
        <w:rPr>
          <w:lang w:val="en-US"/>
        </w:rPr>
        <w:t>udiciary.</w:t>
      </w:r>
      <w:r>
        <w:rPr>
          <w:lang w:val="en-US"/>
        </w:rPr>
        <w:t xml:space="preserve"> </w:t>
      </w:r>
      <w:r w:rsidR="00FA4B70">
        <w:rPr>
          <w:lang w:val="en-US"/>
        </w:rPr>
        <w:t xml:space="preserve">However, each of these </w:t>
      </w:r>
      <w:r w:rsidR="00340CD7">
        <w:rPr>
          <w:lang w:val="en-US"/>
        </w:rPr>
        <w:t>arms</w:t>
      </w:r>
      <w:r w:rsidR="00FA4B70">
        <w:rPr>
          <w:lang w:val="en-US"/>
        </w:rPr>
        <w:t xml:space="preserve"> </w:t>
      </w:r>
      <w:r w:rsidR="00D32D36">
        <w:rPr>
          <w:lang w:val="en-US"/>
        </w:rPr>
        <w:t xml:space="preserve">is required to consider the </w:t>
      </w:r>
      <w:r w:rsidR="00D32D36" w:rsidRPr="009B69F1">
        <w:rPr>
          <w:i/>
          <w:iCs/>
          <w:lang w:val="en-US"/>
        </w:rPr>
        <w:t>Human Rights Act 2019</w:t>
      </w:r>
      <w:r w:rsidR="00E520F5">
        <w:rPr>
          <w:lang w:val="en-US"/>
        </w:rPr>
        <w:t xml:space="preserve"> when acting or making decisions. C</w:t>
      </w:r>
      <w:r w:rsidR="00EB191B" w:rsidRPr="43FC7218">
        <w:rPr>
          <w:rFonts w:eastAsia="Arial" w:cs="Arial"/>
          <w:lang w:val="en-US"/>
        </w:rPr>
        <w:t xml:space="preserve">ourts and tribunals are required to consider the </w:t>
      </w:r>
      <w:r w:rsidR="00225259">
        <w:rPr>
          <w:rFonts w:eastAsia="Arial" w:cs="Arial"/>
          <w:lang w:val="en-US"/>
        </w:rPr>
        <w:t xml:space="preserve">Act </w:t>
      </w:r>
      <w:r w:rsidR="00EB191B" w:rsidRPr="43FC7218">
        <w:rPr>
          <w:rFonts w:eastAsia="Arial" w:cs="Arial"/>
          <w:lang w:val="en-US"/>
        </w:rPr>
        <w:t>when:</w:t>
      </w:r>
    </w:p>
    <w:p w14:paraId="311739EA" w14:textId="77777777" w:rsidR="00EB191B" w:rsidRDefault="00EB191B" w:rsidP="00EB191B">
      <w:pPr>
        <w:pStyle w:val="ListParagraph"/>
        <w:rPr>
          <w:szCs w:val="22"/>
        </w:rPr>
      </w:pPr>
      <w:r w:rsidRPr="651486F3">
        <w:rPr>
          <w:szCs w:val="22"/>
        </w:rPr>
        <w:t>interpreting legislation</w:t>
      </w:r>
    </w:p>
    <w:p w14:paraId="6315883E" w14:textId="77777777" w:rsidR="00EB191B" w:rsidRDefault="00EB191B" w:rsidP="00EB191B">
      <w:pPr>
        <w:pStyle w:val="ListParagraph"/>
        <w:rPr>
          <w:szCs w:val="22"/>
        </w:rPr>
      </w:pPr>
      <w:r w:rsidRPr="651486F3">
        <w:rPr>
          <w:szCs w:val="22"/>
        </w:rPr>
        <w:t>acting in an administrative capacity</w:t>
      </w:r>
    </w:p>
    <w:p w14:paraId="4C18A23E" w14:textId="333EE11E" w:rsidR="00EB191B" w:rsidRDefault="006D1B50" w:rsidP="00EB191B">
      <w:pPr>
        <w:pStyle w:val="ListParagraph"/>
        <w:rPr>
          <w:szCs w:val="22"/>
        </w:rPr>
      </w:pPr>
      <w:r>
        <w:rPr>
          <w:szCs w:val="22"/>
        </w:rPr>
        <w:t xml:space="preserve">carrying out functions where </w:t>
      </w:r>
      <w:r w:rsidR="00EB191B" w:rsidRPr="651486F3">
        <w:rPr>
          <w:szCs w:val="22"/>
        </w:rPr>
        <w:t xml:space="preserve">human rights have ‘direct’ application, and </w:t>
      </w:r>
    </w:p>
    <w:p w14:paraId="6814F7B1" w14:textId="2B2432A0" w:rsidR="00EB191B" w:rsidRDefault="0083201B" w:rsidP="00EB191B">
      <w:pPr>
        <w:pStyle w:val="ListParagraph"/>
        <w:rPr>
          <w:szCs w:val="22"/>
        </w:rPr>
      </w:pPr>
      <w:r>
        <w:rPr>
          <w:szCs w:val="22"/>
        </w:rPr>
        <w:t xml:space="preserve">dealing with </w:t>
      </w:r>
      <w:r w:rsidR="00EF105F">
        <w:rPr>
          <w:szCs w:val="22"/>
        </w:rPr>
        <w:t xml:space="preserve">matters in which </w:t>
      </w:r>
      <w:r w:rsidR="00EB191B" w:rsidRPr="651486F3">
        <w:rPr>
          <w:szCs w:val="22"/>
        </w:rPr>
        <w:t xml:space="preserve">human rights grounds have been ‘piggy-backed’ </w:t>
      </w:r>
      <w:r w:rsidR="002D7D7F">
        <w:rPr>
          <w:szCs w:val="22"/>
        </w:rPr>
        <w:t>onto an existing cause of action</w:t>
      </w:r>
      <w:r w:rsidR="00EB191B" w:rsidRPr="651486F3">
        <w:rPr>
          <w:szCs w:val="22"/>
        </w:rPr>
        <w:t>.</w:t>
      </w:r>
    </w:p>
    <w:p w14:paraId="076F32F9" w14:textId="77777777" w:rsidR="00EB191B" w:rsidRPr="00042A32" w:rsidRDefault="00EB191B" w:rsidP="00EB191B">
      <w:pPr>
        <w:pStyle w:val="Heading2"/>
        <w:rPr>
          <w:color w:val="004270"/>
        </w:rPr>
      </w:pPr>
      <w:bookmarkStart w:id="11" w:name="_Toc84593872"/>
      <w:bookmarkStart w:id="12" w:name="_Toc85451744"/>
      <w:bookmarkStart w:id="13" w:name="_Toc85526674"/>
      <w:bookmarkStart w:id="14" w:name="_Toc85787089"/>
      <w:bookmarkStart w:id="15" w:name="_Toc110506631"/>
      <w:bookmarkStart w:id="16" w:name="_Toc117697149"/>
      <w:bookmarkStart w:id="17" w:name="_Toc117697856"/>
      <w:bookmarkStart w:id="18" w:name="_Toc215785534"/>
      <w:r w:rsidRPr="00042A32">
        <w:rPr>
          <w:color w:val="004270"/>
        </w:rPr>
        <w:t>Interpreting legislation</w:t>
      </w:r>
      <w:bookmarkEnd w:id="11"/>
      <w:bookmarkEnd w:id="12"/>
      <w:bookmarkEnd w:id="13"/>
      <w:bookmarkEnd w:id="14"/>
      <w:bookmarkEnd w:id="15"/>
      <w:bookmarkEnd w:id="16"/>
      <w:bookmarkEnd w:id="17"/>
      <w:r w:rsidRPr="00042A32">
        <w:rPr>
          <w:color w:val="004270"/>
        </w:rPr>
        <w:t xml:space="preserve"> </w:t>
      </w:r>
      <w:bookmarkEnd w:id="18"/>
    </w:p>
    <w:p w14:paraId="50031CA0" w14:textId="4E5586DF" w:rsidR="00EB191B" w:rsidRDefault="00EB191B" w:rsidP="00EB191B">
      <w:pPr>
        <w:spacing w:line="257" w:lineRule="auto"/>
      </w:pPr>
      <w:r w:rsidRPr="43FC7218">
        <w:rPr>
          <w:rFonts w:eastAsia="Arial" w:cs="Arial"/>
        </w:rPr>
        <w:t xml:space="preserve">Section 48 of the Act requires that all legislation </w:t>
      </w:r>
      <w:r w:rsidR="00626F3B">
        <w:rPr>
          <w:rFonts w:eastAsia="Arial" w:cs="Arial"/>
        </w:rPr>
        <w:t>be</w:t>
      </w:r>
      <w:r w:rsidRPr="43FC7218">
        <w:rPr>
          <w:rFonts w:eastAsia="Arial" w:cs="Arial"/>
        </w:rPr>
        <w:t xml:space="preserve"> interpreted in a way that is compatible with human rights, to the extent </w:t>
      </w:r>
      <w:r w:rsidR="004651D2">
        <w:rPr>
          <w:rFonts w:eastAsia="Arial" w:cs="Arial"/>
        </w:rPr>
        <w:t xml:space="preserve">possible </w:t>
      </w:r>
      <w:r w:rsidRPr="43FC7218">
        <w:rPr>
          <w:rFonts w:eastAsia="Arial" w:cs="Arial"/>
        </w:rPr>
        <w:t>that is consistent with the purpose of the legislation.</w:t>
      </w:r>
    </w:p>
    <w:p w14:paraId="226DF95F" w14:textId="1583104D" w:rsidR="00EB191B" w:rsidRDefault="00EB191B" w:rsidP="00EB191B">
      <w:pPr>
        <w:spacing w:line="257" w:lineRule="auto"/>
      </w:pPr>
      <w:r w:rsidRPr="43FC7218">
        <w:rPr>
          <w:rFonts w:eastAsia="Arial" w:cs="Arial"/>
        </w:rPr>
        <w:t xml:space="preserve">If legislation cannot be interpreted in a way that is compatible with human rights, it is to be interpreted in a way that is most compatible with human rights, to the extent </w:t>
      </w:r>
      <w:r w:rsidR="005F2197">
        <w:rPr>
          <w:rFonts w:eastAsia="Arial" w:cs="Arial"/>
        </w:rPr>
        <w:t xml:space="preserve">possible </w:t>
      </w:r>
      <w:r w:rsidRPr="43FC7218">
        <w:rPr>
          <w:rFonts w:eastAsia="Arial" w:cs="Arial"/>
        </w:rPr>
        <w:t>that is consistent with the purpose of the legislation.</w:t>
      </w:r>
    </w:p>
    <w:p w14:paraId="700483C8" w14:textId="64F6E46D" w:rsidR="00EB191B" w:rsidRDefault="00EB191B" w:rsidP="00EB191B">
      <w:pPr>
        <w:spacing w:line="257" w:lineRule="auto"/>
      </w:pPr>
      <w:r w:rsidRPr="04E5B0C6">
        <w:rPr>
          <w:rFonts w:eastAsia="Arial" w:cs="Arial"/>
        </w:rPr>
        <w:t xml:space="preserve">‘Compatible with human rights’ means </w:t>
      </w:r>
      <w:r w:rsidR="00DD21D6">
        <w:rPr>
          <w:rFonts w:eastAsia="Arial" w:cs="Arial"/>
        </w:rPr>
        <w:t xml:space="preserve">that </w:t>
      </w:r>
      <w:r w:rsidRPr="04E5B0C6">
        <w:rPr>
          <w:rFonts w:eastAsia="Arial" w:cs="Arial"/>
        </w:rPr>
        <w:t xml:space="preserve">the </w:t>
      </w:r>
      <w:r w:rsidR="00C754E5">
        <w:rPr>
          <w:rFonts w:eastAsia="Arial" w:cs="Arial"/>
        </w:rPr>
        <w:t>statutory</w:t>
      </w:r>
      <w:r w:rsidRPr="04E5B0C6">
        <w:rPr>
          <w:rFonts w:eastAsia="Arial" w:cs="Arial"/>
        </w:rPr>
        <w:t xml:space="preserve"> provision does not limit a human right, or limits a human right only to the extent that is reasonable and demonstrably justifiable in a free and democratic society based on human dignity, equality, and freedom. </w:t>
      </w:r>
      <w:r w:rsidR="00F90F06">
        <w:rPr>
          <w:rFonts w:eastAsia="Arial" w:cs="Arial"/>
        </w:rPr>
        <w:t>In section 13, t</w:t>
      </w:r>
      <w:r w:rsidRPr="04E5B0C6">
        <w:rPr>
          <w:rFonts w:eastAsia="Arial" w:cs="Arial"/>
        </w:rPr>
        <w:t xml:space="preserve">he Act sets out factors that may be relevant in deciding whether a limit on a human right is reasonable and justifiable. </w:t>
      </w:r>
    </w:p>
    <w:p w14:paraId="3EDBD11C" w14:textId="63DB75B2" w:rsidR="4C423452" w:rsidRDefault="4C423452" w:rsidP="04E5B0C6">
      <w:pPr>
        <w:rPr>
          <w:rFonts w:eastAsia="Arial" w:cs="Arial"/>
        </w:rPr>
      </w:pPr>
      <w:r w:rsidRPr="04E5B0C6">
        <w:rPr>
          <w:rFonts w:eastAsia="Arial" w:cs="Arial"/>
        </w:rPr>
        <w:t xml:space="preserve">In </w:t>
      </w:r>
      <w:r w:rsidR="131F23D3" w:rsidRPr="04E5B0C6">
        <w:rPr>
          <w:rFonts w:eastAsia="Arial" w:cs="Arial"/>
          <w:i/>
          <w:iCs/>
        </w:rPr>
        <w:t xml:space="preserve">BSJ </w:t>
      </w:r>
      <w:r w:rsidR="131F23D3" w:rsidRPr="04E5B0C6">
        <w:rPr>
          <w:rFonts w:eastAsia="Arial" w:cs="Arial"/>
        </w:rPr>
        <w:t>[2022] QCAT 51</w:t>
      </w:r>
      <w:r w:rsidR="7F76E162" w:rsidRPr="04E5B0C6">
        <w:rPr>
          <w:rFonts w:eastAsia="Arial" w:cs="Arial"/>
        </w:rPr>
        <w:t>,</w:t>
      </w:r>
      <w:r w:rsidR="131F23D3" w:rsidRPr="04E5B0C6">
        <w:rPr>
          <w:rFonts w:eastAsia="Arial" w:cs="Arial"/>
        </w:rPr>
        <w:t xml:space="preserve"> </w:t>
      </w:r>
      <w:r w:rsidR="5A0EE75B" w:rsidRPr="04E5B0C6">
        <w:rPr>
          <w:rFonts w:eastAsia="Arial" w:cs="Arial"/>
        </w:rPr>
        <w:t xml:space="preserve">the Queensland Civil and Administrative Tribunal (QCAT) </w:t>
      </w:r>
      <w:r w:rsidR="10C97DC6" w:rsidRPr="04E5B0C6">
        <w:rPr>
          <w:rFonts w:eastAsia="Arial" w:cs="Arial"/>
        </w:rPr>
        <w:t>was asked to consider whether a man had legal capacity to transfer property and whether there was a presumption of undue influence</w:t>
      </w:r>
      <w:r w:rsidR="2C18D90D" w:rsidRPr="04E5B0C6">
        <w:rPr>
          <w:rFonts w:eastAsia="Arial" w:cs="Arial"/>
        </w:rPr>
        <w:t xml:space="preserve"> regarding the transaction</w:t>
      </w:r>
      <w:r w:rsidR="10C97DC6" w:rsidRPr="04E5B0C6">
        <w:rPr>
          <w:rFonts w:eastAsia="Arial" w:cs="Arial"/>
        </w:rPr>
        <w:t xml:space="preserve">. </w:t>
      </w:r>
      <w:r w:rsidR="213C390D" w:rsidRPr="04E5B0C6">
        <w:rPr>
          <w:rFonts w:eastAsia="Arial" w:cs="Arial"/>
        </w:rPr>
        <w:t xml:space="preserve">In relation to section 48 of the Act, QCAT </w:t>
      </w:r>
      <w:r w:rsidR="5E7BCC54" w:rsidRPr="04E5B0C6">
        <w:rPr>
          <w:rFonts w:eastAsia="Arial" w:cs="Arial"/>
        </w:rPr>
        <w:t xml:space="preserve">adopted the approach </w:t>
      </w:r>
      <w:r w:rsidR="00F72D8C">
        <w:rPr>
          <w:rFonts w:eastAsia="Arial" w:cs="Arial"/>
        </w:rPr>
        <w:t>taken by</w:t>
      </w:r>
      <w:r w:rsidR="001B26A2">
        <w:rPr>
          <w:rFonts w:eastAsia="Arial" w:cs="Arial"/>
        </w:rPr>
        <w:t xml:space="preserve"> </w:t>
      </w:r>
      <w:r w:rsidR="5E7BCC54" w:rsidRPr="04E5B0C6">
        <w:rPr>
          <w:rFonts w:eastAsia="Arial" w:cs="Arial"/>
        </w:rPr>
        <w:t xml:space="preserve">several </w:t>
      </w:r>
      <w:r w:rsidR="00281CA6">
        <w:rPr>
          <w:rFonts w:eastAsia="Arial" w:cs="Arial"/>
        </w:rPr>
        <w:t>Justices</w:t>
      </w:r>
      <w:r w:rsidR="005A1678">
        <w:rPr>
          <w:rFonts w:eastAsia="Arial" w:cs="Arial"/>
        </w:rPr>
        <w:t xml:space="preserve"> </w:t>
      </w:r>
      <w:r w:rsidR="00C203EA">
        <w:rPr>
          <w:rFonts w:eastAsia="Arial" w:cs="Arial"/>
        </w:rPr>
        <w:t>of</w:t>
      </w:r>
      <w:r w:rsidR="5E7BCC54" w:rsidRPr="04E5B0C6">
        <w:rPr>
          <w:rFonts w:eastAsia="Arial" w:cs="Arial"/>
        </w:rPr>
        <w:t xml:space="preserve"> the High Court </w:t>
      </w:r>
      <w:r w:rsidR="00C203EA">
        <w:rPr>
          <w:rFonts w:eastAsia="Arial" w:cs="Arial"/>
        </w:rPr>
        <w:t xml:space="preserve">in the </w:t>
      </w:r>
      <w:r w:rsidR="5E7BCC54" w:rsidRPr="04E5B0C6">
        <w:rPr>
          <w:rFonts w:eastAsia="Arial" w:cs="Arial"/>
        </w:rPr>
        <w:t xml:space="preserve">decision of </w:t>
      </w:r>
      <w:proofErr w:type="spellStart"/>
      <w:r w:rsidR="5E7BCC54" w:rsidRPr="04E5B0C6">
        <w:rPr>
          <w:rFonts w:eastAsia="Arial" w:cs="Arial"/>
          <w:i/>
          <w:iCs/>
        </w:rPr>
        <w:t>Momcilovic</w:t>
      </w:r>
      <w:proofErr w:type="spellEnd"/>
      <w:r w:rsidR="5E7BCC54" w:rsidRPr="04E5B0C6">
        <w:rPr>
          <w:rFonts w:eastAsia="Arial" w:cs="Arial"/>
          <w:i/>
          <w:iCs/>
        </w:rPr>
        <w:t xml:space="preserve"> v R </w:t>
      </w:r>
      <w:r w:rsidR="5E7BCC54" w:rsidRPr="04E5B0C6">
        <w:rPr>
          <w:rFonts w:eastAsia="Arial" w:cs="Arial"/>
        </w:rPr>
        <w:t>(2011) 245 CLR 1</w:t>
      </w:r>
      <w:r w:rsidR="3A93D72E" w:rsidRPr="04E5B0C6">
        <w:rPr>
          <w:rFonts w:eastAsia="Arial" w:cs="Arial"/>
        </w:rPr>
        <w:t xml:space="preserve">, </w:t>
      </w:r>
      <w:r w:rsidR="00C2279D">
        <w:rPr>
          <w:rFonts w:eastAsia="Arial" w:cs="Arial"/>
        </w:rPr>
        <w:t xml:space="preserve">which </w:t>
      </w:r>
      <w:r w:rsidR="5E7BCC54" w:rsidRPr="04E5B0C6">
        <w:rPr>
          <w:rFonts w:eastAsia="Arial" w:cs="Arial"/>
        </w:rPr>
        <w:t>concern</w:t>
      </w:r>
      <w:r w:rsidR="00C2279D">
        <w:rPr>
          <w:rFonts w:eastAsia="Arial" w:cs="Arial"/>
        </w:rPr>
        <w:t>ed</w:t>
      </w:r>
      <w:r w:rsidR="6C642AA3" w:rsidRPr="04E5B0C6">
        <w:rPr>
          <w:rFonts w:eastAsia="Arial" w:cs="Arial"/>
        </w:rPr>
        <w:t xml:space="preserve"> </w:t>
      </w:r>
      <w:r w:rsidR="5E7BCC54" w:rsidRPr="04E5B0C6">
        <w:rPr>
          <w:rFonts w:eastAsia="Arial" w:cs="Arial"/>
        </w:rPr>
        <w:t xml:space="preserve">the equivalent Victorian legislation, </w:t>
      </w:r>
      <w:r w:rsidR="66EBD821" w:rsidRPr="04E5B0C6">
        <w:rPr>
          <w:rFonts w:eastAsia="Arial" w:cs="Arial"/>
        </w:rPr>
        <w:t xml:space="preserve">that </w:t>
      </w:r>
      <w:r w:rsidR="00AB3833">
        <w:rPr>
          <w:rFonts w:eastAsia="Arial" w:cs="Arial"/>
        </w:rPr>
        <w:t xml:space="preserve">the </w:t>
      </w:r>
      <w:r w:rsidR="66EBD821" w:rsidRPr="04E5B0C6">
        <w:rPr>
          <w:rFonts w:eastAsia="Arial" w:cs="Arial"/>
        </w:rPr>
        <w:t>section</w:t>
      </w:r>
      <w:r w:rsidR="00AB3833">
        <w:rPr>
          <w:rFonts w:eastAsia="Arial" w:cs="Arial"/>
        </w:rPr>
        <w:t xml:space="preserve"> </w:t>
      </w:r>
      <w:r w:rsidR="66EBD821" w:rsidRPr="04E5B0C6">
        <w:rPr>
          <w:rFonts w:eastAsia="Arial" w:cs="Arial"/>
        </w:rPr>
        <w:t xml:space="preserve">only applies when different </w:t>
      </w:r>
      <w:r w:rsidR="0043611A">
        <w:rPr>
          <w:rFonts w:eastAsia="Arial" w:cs="Arial"/>
        </w:rPr>
        <w:t>interpretations</w:t>
      </w:r>
      <w:r w:rsidR="0043611A" w:rsidRPr="04E5B0C6">
        <w:rPr>
          <w:rFonts w:eastAsia="Arial" w:cs="Arial"/>
        </w:rPr>
        <w:t xml:space="preserve"> </w:t>
      </w:r>
      <w:r w:rsidR="66EBD821" w:rsidRPr="04E5B0C6">
        <w:rPr>
          <w:rFonts w:eastAsia="Arial" w:cs="Arial"/>
        </w:rPr>
        <w:t xml:space="preserve">are </w:t>
      </w:r>
      <w:r w:rsidR="00D97C9E">
        <w:rPr>
          <w:rFonts w:eastAsia="Arial" w:cs="Arial"/>
        </w:rPr>
        <w:t>available based</w:t>
      </w:r>
      <w:r w:rsidR="00D97C9E" w:rsidRPr="04E5B0C6">
        <w:rPr>
          <w:rFonts w:eastAsia="Arial" w:cs="Arial"/>
        </w:rPr>
        <w:t xml:space="preserve"> </w:t>
      </w:r>
      <w:r w:rsidR="66EBD821" w:rsidRPr="04E5B0C6">
        <w:rPr>
          <w:rFonts w:eastAsia="Arial" w:cs="Arial"/>
        </w:rPr>
        <w:t xml:space="preserve">on the language of the provision being interpreted, </w:t>
      </w:r>
      <w:r w:rsidR="00014A5F">
        <w:rPr>
          <w:rFonts w:eastAsia="Arial" w:cs="Arial"/>
        </w:rPr>
        <w:t xml:space="preserve">and </w:t>
      </w:r>
      <w:r w:rsidR="66EBD821" w:rsidRPr="04E5B0C6">
        <w:rPr>
          <w:rFonts w:eastAsia="Arial" w:cs="Arial"/>
        </w:rPr>
        <w:t xml:space="preserve">having regard to the purpose of the provision. In this case, as there was no ambiguity in the definition of </w:t>
      </w:r>
      <w:r w:rsidR="00014A5F">
        <w:rPr>
          <w:rFonts w:eastAsia="Arial" w:cs="Arial"/>
        </w:rPr>
        <w:t>‘</w:t>
      </w:r>
      <w:r w:rsidR="66EBD821" w:rsidRPr="04E5B0C6">
        <w:rPr>
          <w:rFonts w:eastAsia="Arial" w:cs="Arial"/>
        </w:rPr>
        <w:t>capacity</w:t>
      </w:r>
      <w:r w:rsidR="008844B7">
        <w:rPr>
          <w:rFonts w:eastAsia="Arial" w:cs="Arial"/>
        </w:rPr>
        <w:t>’</w:t>
      </w:r>
      <w:r w:rsidR="66EBD821" w:rsidRPr="04E5B0C6">
        <w:rPr>
          <w:rFonts w:eastAsia="Arial" w:cs="Arial"/>
        </w:rPr>
        <w:t xml:space="preserve"> under the </w:t>
      </w:r>
      <w:r w:rsidR="66EBD821" w:rsidRPr="04E5B0C6">
        <w:rPr>
          <w:rFonts w:eastAsia="Arial" w:cs="Arial"/>
          <w:i/>
          <w:iCs/>
        </w:rPr>
        <w:t xml:space="preserve">Guardianship and Administration Act </w:t>
      </w:r>
      <w:r w:rsidR="66EBD821" w:rsidRPr="04E5B0C6">
        <w:rPr>
          <w:rFonts w:eastAsia="Arial" w:cs="Arial"/>
          <w:i/>
          <w:iCs/>
        </w:rPr>
        <w:lastRenderedPageBreak/>
        <w:t>2000</w:t>
      </w:r>
      <w:r w:rsidR="66EBD821" w:rsidRPr="04E5B0C6">
        <w:rPr>
          <w:rFonts w:eastAsia="Arial" w:cs="Arial"/>
        </w:rPr>
        <w:t xml:space="preserve">, or </w:t>
      </w:r>
      <w:r w:rsidR="499A37CF" w:rsidRPr="04E5B0C6">
        <w:rPr>
          <w:rFonts w:eastAsia="Arial" w:cs="Arial"/>
        </w:rPr>
        <w:t>the</w:t>
      </w:r>
      <w:r w:rsidR="66EBD821" w:rsidRPr="04E5B0C6">
        <w:rPr>
          <w:rFonts w:eastAsia="Arial" w:cs="Arial"/>
        </w:rPr>
        <w:t xml:space="preserve"> </w:t>
      </w:r>
      <w:r w:rsidR="499A37CF" w:rsidRPr="04E5B0C6">
        <w:rPr>
          <w:rFonts w:eastAsia="Arial" w:cs="Arial"/>
        </w:rPr>
        <w:t xml:space="preserve">meaning of </w:t>
      </w:r>
      <w:r w:rsidR="008844B7">
        <w:rPr>
          <w:rFonts w:eastAsia="Arial" w:cs="Arial"/>
        </w:rPr>
        <w:t>‘</w:t>
      </w:r>
      <w:r w:rsidR="499A37CF" w:rsidRPr="04E5B0C6">
        <w:rPr>
          <w:rFonts w:eastAsia="Arial" w:cs="Arial"/>
        </w:rPr>
        <w:t>undue influence</w:t>
      </w:r>
      <w:r w:rsidR="008844B7">
        <w:rPr>
          <w:rFonts w:eastAsia="Arial" w:cs="Arial"/>
        </w:rPr>
        <w:t>’</w:t>
      </w:r>
      <w:r w:rsidR="499A37CF" w:rsidRPr="04E5B0C6">
        <w:rPr>
          <w:rFonts w:eastAsia="Arial" w:cs="Arial"/>
        </w:rPr>
        <w:t xml:space="preserve"> under</w:t>
      </w:r>
      <w:r w:rsidR="66EBD821" w:rsidRPr="04E5B0C6">
        <w:rPr>
          <w:rFonts w:eastAsia="Arial" w:cs="Arial"/>
        </w:rPr>
        <w:t xml:space="preserve"> the </w:t>
      </w:r>
      <w:r w:rsidR="66EBD821" w:rsidRPr="04E5B0C6">
        <w:rPr>
          <w:rFonts w:eastAsia="Arial" w:cs="Arial"/>
          <w:i/>
          <w:iCs/>
        </w:rPr>
        <w:t xml:space="preserve">Powers of Attorney Act </w:t>
      </w:r>
      <w:r w:rsidR="5E5735D3" w:rsidRPr="04E5B0C6">
        <w:rPr>
          <w:rFonts w:eastAsia="Arial" w:cs="Arial"/>
          <w:i/>
          <w:iCs/>
        </w:rPr>
        <w:t>1998</w:t>
      </w:r>
      <w:r w:rsidR="2A14197D" w:rsidRPr="04E5B0C6">
        <w:rPr>
          <w:rFonts w:eastAsia="Arial" w:cs="Arial"/>
        </w:rPr>
        <w:t xml:space="preserve">, </w:t>
      </w:r>
      <w:r w:rsidR="0A6481B0" w:rsidRPr="04E5B0C6">
        <w:rPr>
          <w:rFonts w:eastAsia="Arial" w:cs="Arial"/>
        </w:rPr>
        <w:t xml:space="preserve">application of </w:t>
      </w:r>
      <w:r w:rsidR="2A14197D" w:rsidRPr="04E5B0C6">
        <w:rPr>
          <w:rFonts w:eastAsia="Arial" w:cs="Arial"/>
        </w:rPr>
        <w:t xml:space="preserve">section 48 did not arise. </w:t>
      </w:r>
    </w:p>
    <w:p w14:paraId="30442672" w14:textId="6C8B14C3" w:rsidR="76CE1019" w:rsidRDefault="76CE1019" w:rsidP="04E5B0C6">
      <w:pPr>
        <w:rPr>
          <w:rFonts w:eastAsia="Arial" w:cs="Arial"/>
        </w:rPr>
      </w:pPr>
      <w:r w:rsidRPr="04E5B0C6">
        <w:rPr>
          <w:rFonts w:eastAsia="Arial" w:cs="Arial"/>
        </w:rPr>
        <w:t>T</w:t>
      </w:r>
      <w:r w:rsidR="0E29824E" w:rsidRPr="04E5B0C6">
        <w:rPr>
          <w:rFonts w:eastAsia="Arial" w:cs="Arial"/>
        </w:rPr>
        <w:t xml:space="preserve">he Coroners Court </w:t>
      </w:r>
      <w:r w:rsidR="161E6705" w:rsidRPr="04E5B0C6">
        <w:rPr>
          <w:rFonts w:eastAsia="Arial" w:cs="Arial"/>
        </w:rPr>
        <w:t>has</w:t>
      </w:r>
      <w:r w:rsidR="5AB093A7" w:rsidRPr="04E5B0C6">
        <w:rPr>
          <w:rFonts w:eastAsia="Arial" w:cs="Arial"/>
        </w:rPr>
        <w:t xml:space="preserve"> </w:t>
      </w:r>
      <w:r w:rsidR="161E6705" w:rsidRPr="04E5B0C6">
        <w:rPr>
          <w:rFonts w:eastAsia="Arial" w:cs="Arial"/>
        </w:rPr>
        <w:t>ac</w:t>
      </w:r>
      <w:r w:rsidR="4ACA82D8" w:rsidRPr="04E5B0C6">
        <w:rPr>
          <w:rFonts w:eastAsia="Arial" w:cs="Arial"/>
        </w:rPr>
        <w:t xml:space="preserve">cepted </w:t>
      </w:r>
      <w:r w:rsidR="161E6705" w:rsidRPr="04E5B0C6">
        <w:rPr>
          <w:rFonts w:eastAsia="Arial" w:cs="Arial"/>
        </w:rPr>
        <w:t xml:space="preserve">that section 48 must be applied to the interpretation of section 45 of the </w:t>
      </w:r>
      <w:r w:rsidR="161E6705" w:rsidRPr="04E5B0C6">
        <w:rPr>
          <w:rFonts w:eastAsia="Arial" w:cs="Arial"/>
          <w:i/>
          <w:iCs/>
        </w:rPr>
        <w:t>Coroners Act 2003</w:t>
      </w:r>
      <w:r w:rsidR="161E6705" w:rsidRPr="04E5B0C6">
        <w:rPr>
          <w:rFonts w:eastAsia="Arial" w:cs="Arial"/>
        </w:rPr>
        <w:t xml:space="preserve">, which sets out the </w:t>
      </w:r>
      <w:r w:rsidR="6C794425" w:rsidRPr="04E5B0C6">
        <w:rPr>
          <w:rFonts w:eastAsia="Arial" w:cs="Arial"/>
        </w:rPr>
        <w:t xml:space="preserve">coroner’s </w:t>
      </w:r>
      <w:r w:rsidR="44E81E96" w:rsidRPr="04E5B0C6">
        <w:rPr>
          <w:rFonts w:eastAsia="Arial" w:cs="Arial"/>
        </w:rPr>
        <w:t>obligation</w:t>
      </w:r>
      <w:r w:rsidR="161E6705" w:rsidRPr="04E5B0C6">
        <w:rPr>
          <w:rFonts w:eastAsia="Arial" w:cs="Arial"/>
        </w:rPr>
        <w:t xml:space="preserve">s </w:t>
      </w:r>
      <w:r w:rsidR="6F2140A8" w:rsidRPr="04E5B0C6">
        <w:rPr>
          <w:rFonts w:eastAsia="Arial" w:cs="Arial"/>
        </w:rPr>
        <w:t>in relation to the scope of coronial investigations and findings.</w:t>
      </w:r>
      <w:r w:rsidR="00962F00">
        <w:rPr>
          <w:rStyle w:val="FootnoteReference"/>
          <w:rFonts w:eastAsia="Arial" w:cs="Arial"/>
        </w:rPr>
        <w:footnoteReference w:id="2"/>
      </w:r>
      <w:r w:rsidR="255EFF43" w:rsidRPr="04E5B0C6">
        <w:rPr>
          <w:rFonts w:eastAsia="Arial" w:cs="Arial"/>
        </w:rPr>
        <w:t xml:space="preserve"> </w:t>
      </w:r>
    </w:p>
    <w:p w14:paraId="5CA5A1A8" w14:textId="2018206A" w:rsidR="00EB191B" w:rsidRPr="00042A32" w:rsidRDefault="00EB191B" w:rsidP="7C9A4EA6">
      <w:pPr>
        <w:pStyle w:val="Heading3"/>
        <w:rPr>
          <w:rFonts w:eastAsia="Yu Gothic Light" w:cs="Times New Roman"/>
          <w:color w:val="004270"/>
        </w:rPr>
      </w:pPr>
      <w:bookmarkStart w:id="19" w:name="_Toc85451745"/>
      <w:bookmarkStart w:id="20" w:name="_Toc85526675"/>
      <w:bookmarkStart w:id="21" w:name="_Toc85787090"/>
      <w:bookmarkStart w:id="22" w:name="_Toc110506632"/>
      <w:bookmarkStart w:id="23" w:name="_Toc491982931"/>
      <w:r w:rsidRPr="00042A32">
        <w:rPr>
          <w:color w:val="004270"/>
        </w:rPr>
        <w:t xml:space="preserve">Declarations of </w:t>
      </w:r>
      <w:r w:rsidR="005730B5" w:rsidRPr="00042A32">
        <w:rPr>
          <w:color w:val="004270"/>
        </w:rPr>
        <w:t>I</w:t>
      </w:r>
      <w:r w:rsidRPr="00042A32">
        <w:rPr>
          <w:color w:val="004270"/>
        </w:rPr>
        <w:t>ncompatibility</w:t>
      </w:r>
      <w:bookmarkEnd w:id="19"/>
      <w:bookmarkEnd w:id="20"/>
      <w:bookmarkEnd w:id="21"/>
      <w:bookmarkEnd w:id="22"/>
      <w:r w:rsidRPr="00042A32">
        <w:rPr>
          <w:color w:val="004270"/>
        </w:rPr>
        <w:t xml:space="preserve"> </w:t>
      </w:r>
      <w:bookmarkEnd w:id="23"/>
    </w:p>
    <w:p w14:paraId="59377FD3" w14:textId="49D6FDBB" w:rsidR="00EB191B" w:rsidRDefault="00EB191B" w:rsidP="00EB191B">
      <w:r>
        <w:t xml:space="preserve">The Supreme Court or the Court of Appeal may make a </w:t>
      </w:r>
      <w:r w:rsidR="005730B5">
        <w:t>D</w:t>
      </w:r>
      <w:r>
        <w:t xml:space="preserve">eclaration of </w:t>
      </w:r>
      <w:r w:rsidR="005730B5">
        <w:t>I</w:t>
      </w:r>
      <w:r>
        <w:t xml:space="preserve">ncompatibility if the court considers that </w:t>
      </w:r>
      <w:r w:rsidR="00227F60">
        <w:t>a statutory provision</w:t>
      </w:r>
      <w:r>
        <w:t xml:space="preserve"> cannot be interpreted in a way that is compatible with human rights. The experience of other jurisdictions is that this power is </w:t>
      </w:r>
      <w:r w:rsidR="00617D88">
        <w:t xml:space="preserve">rarely </w:t>
      </w:r>
      <w:r>
        <w:t>used</w:t>
      </w:r>
      <w:r w:rsidR="00B632BD">
        <w:t>, and</w:t>
      </w:r>
      <w:r>
        <w:t xml:space="preserve"> </w:t>
      </w:r>
      <w:r w:rsidR="00431AC1">
        <w:t xml:space="preserve">Queensland’s </w:t>
      </w:r>
      <w:r w:rsidR="00617D88">
        <w:t>Supreme C</w:t>
      </w:r>
      <w:r>
        <w:t>ourt did not exercise this power in the 202</w:t>
      </w:r>
      <w:r w:rsidR="00BB5BCC">
        <w:t>1</w:t>
      </w:r>
      <w:r>
        <w:t>–2</w:t>
      </w:r>
      <w:r w:rsidR="00BB5BCC">
        <w:t>2</w:t>
      </w:r>
      <w:r>
        <w:t xml:space="preserve"> year.</w:t>
      </w:r>
    </w:p>
    <w:p w14:paraId="412F9AAB" w14:textId="77777777" w:rsidR="00EB191B" w:rsidRPr="00042A32" w:rsidRDefault="00EB191B" w:rsidP="00EB191B">
      <w:pPr>
        <w:pStyle w:val="Heading2"/>
        <w:rPr>
          <w:color w:val="004270"/>
        </w:rPr>
      </w:pPr>
      <w:bookmarkStart w:id="24" w:name="_Toc84593873"/>
      <w:bookmarkStart w:id="25" w:name="_Toc85451746"/>
      <w:bookmarkStart w:id="26" w:name="_Toc85526676"/>
      <w:bookmarkStart w:id="27" w:name="_Toc85787091"/>
      <w:bookmarkStart w:id="28" w:name="_Toc110506633"/>
      <w:bookmarkStart w:id="29" w:name="_Toc117697150"/>
      <w:bookmarkStart w:id="30" w:name="_Toc117697857"/>
      <w:bookmarkStart w:id="31" w:name="_Toc359604733"/>
      <w:r w:rsidRPr="00042A32">
        <w:rPr>
          <w:color w:val="004270"/>
        </w:rPr>
        <w:t>Acting in an administrative capacity</w:t>
      </w:r>
      <w:bookmarkEnd w:id="24"/>
      <w:bookmarkEnd w:id="25"/>
      <w:bookmarkEnd w:id="26"/>
      <w:bookmarkEnd w:id="27"/>
      <w:bookmarkEnd w:id="28"/>
      <w:bookmarkEnd w:id="29"/>
      <w:bookmarkEnd w:id="30"/>
      <w:r w:rsidRPr="00042A32">
        <w:rPr>
          <w:color w:val="004270"/>
        </w:rPr>
        <w:t xml:space="preserve"> </w:t>
      </w:r>
      <w:bookmarkEnd w:id="31"/>
    </w:p>
    <w:p w14:paraId="5A4D63DE" w14:textId="27953F0F" w:rsidR="00EB191B" w:rsidRDefault="00EB191B" w:rsidP="00EB191B">
      <w:r w:rsidRPr="43FC7218">
        <w:t>When courts and tribunals are actin</w:t>
      </w:r>
      <w:r>
        <w:t>g in an administrative capacity</w:t>
      </w:r>
      <w:r w:rsidR="00683CC8">
        <w:t>,</w:t>
      </w:r>
      <w:r>
        <w:t xml:space="preserve"> </w:t>
      </w:r>
      <w:r w:rsidRPr="43FC7218">
        <w:t>they are public entities under the Act and are required</w:t>
      </w:r>
      <w:r w:rsidR="00E45990">
        <w:t xml:space="preserve"> to</w:t>
      </w:r>
      <w:r w:rsidRPr="43FC7218">
        <w:t xml:space="preserve">: </w:t>
      </w:r>
    </w:p>
    <w:p w14:paraId="65FD1C01" w14:textId="564B7EE8" w:rsidR="00EB191B" w:rsidRDefault="00EB191B" w:rsidP="00E1244B">
      <w:pPr>
        <w:pStyle w:val="Listparagraph-123"/>
        <w:numPr>
          <w:ilvl w:val="0"/>
          <w:numId w:val="20"/>
        </w:numPr>
      </w:pPr>
      <w:r w:rsidRPr="43FC7218">
        <w:t>act and make decisions in a way that is compatible with human rights</w:t>
      </w:r>
      <w:r>
        <w:t>,</w:t>
      </w:r>
      <w:r w:rsidRPr="43FC7218">
        <w:t xml:space="preserve"> and</w:t>
      </w:r>
    </w:p>
    <w:p w14:paraId="3A2842D5" w14:textId="0EAD2D73" w:rsidR="00EB191B" w:rsidRDefault="00EB191B" w:rsidP="00E1244B">
      <w:pPr>
        <w:pStyle w:val="Listparagraph-123"/>
        <w:numPr>
          <w:ilvl w:val="0"/>
          <w:numId w:val="20"/>
        </w:numPr>
      </w:pPr>
      <w:r w:rsidRPr="43FC7218">
        <w:t>give proper consideration to human rights relevant to decision</w:t>
      </w:r>
      <w:r w:rsidR="00AF444B">
        <w:t>s they make</w:t>
      </w:r>
      <w:r w:rsidRPr="43FC7218">
        <w:t xml:space="preserve">. </w:t>
      </w:r>
    </w:p>
    <w:p w14:paraId="4449F69D" w14:textId="3E9E421B" w:rsidR="00395B8A" w:rsidRDefault="2AC86AD1" w:rsidP="00194DCC">
      <w:pPr>
        <w:spacing w:line="257" w:lineRule="auto"/>
        <w:ind w:right="1938"/>
      </w:pPr>
      <w:r>
        <w:t>In 2021</w:t>
      </w:r>
      <w:r w:rsidR="00260CC3">
        <w:t>–</w:t>
      </w:r>
      <w:r>
        <w:t>22, t</w:t>
      </w:r>
      <w:r w:rsidR="00EB191B">
        <w:t xml:space="preserve">he following Queensland </w:t>
      </w:r>
      <w:r w:rsidR="501F4556">
        <w:t xml:space="preserve">courts and </w:t>
      </w:r>
      <w:r w:rsidR="00EB191B">
        <w:t>tribunals</w:t>
      </w:r>
      <w:r w:rsidR="001B26A2">
        <w:t xml:space="preserve"> </w:t>
      </w:r>
      <w:r w:rsidR="00EB191B">
        <w:t xml:space="preserve">acknowledged </w:t>
      </w:r>
      <w:r w:rsidR="0002541C">
        <w:t xml:space="preserve">that </w:t>
      </w:r>
      <w:r w:rsidR="00EB191B">
        <w:t xml:space="preserve">they are acting in an administrative capacity and </w:t>
      </w:r>
      <w:r w:rsidR="008E0987">
        <w:t xml:space="preserve">are </w:t>
      </w:r>
      <w:r w:rsidR="00EB191B">
        <w:t xml:space="preserve">therefore a public entity with obligations under the </w:t>
      </w:r>
      <w:r w:rsidR="00EB191B" w:rsidRPr="651486F3">
        <w:rPr>
          <w:i/>
        </w:rPr>
        <w:t>Human Rights Act 2019</w:t>
      </w:r>
      <w:r w:rsidR="0002541C">
        <w:rPr>
          <w:iCs/>
        </w:rPr>
        <w:t>,</w:t>
      </w:r>
      <w:r w:rsidR="008E0987">
        <w:rPr>
          <w:i/>
        </w:rPr>
        <w:t xml:space="preserve"> </w:t>
      </w:r>
      <w:r w:rsidR="008E0987" w:rsidRPr="0061148E">
        <w:rPr>
          <w:iCs/>
        </w:rPr>
        <w:t xml:space="preserve">in the circumstances outlined </w:t>
      </w:r>
      <w:r w:rsidR="00A67219">
        <w:rPr>
          <w:iCs/>
        </w:rPr>
        <w:t xml:space="preserve">in </w:t>
      </w:r>
      <w:r w:rsidR="00194DCC">
        <w:rPr>
          <w:iCs/>
        </w:rPr>
        <w:t>Table</w:t>
      </w:r>
      <w:r w:rsidR="00A67219">
        <w:t xml:space="preserve"> </w:t>
      </w:r>
      <w:r w:rsidR="00194DCC">
        <w:rPr>
          <w:iCs/>
        </w:rPr>
        <w:t>2</w:t>
      </w:r>
      <w:r w:rsidR="009B2E98">
        <w:rPr>
          <w:iCs/>
        </w:rPr>
        <w:t>a</w:t>
      </w:r>
      <w:r w:rsidR="00EB191B">
        <w:t>.</w:t>
      </w:r>
    </w:p>
    <w:p w14:paraId="6505920A" w14:textId="77777777" w:rsidR="007572DE" w:rsidRDefault="007572DE">
      <w:pPr>
        <w:spacing w:after="160" w:line="259" w:lineRule="auto"/>
        <w:ind w:right="0"/>
        <w:rPr>
          <w:i/>
          <w:iCs/>
          <w:color w:val="000000" w:themeColor="text1"/>
          <w:sz w:val="20"/>
          <w:szCs w:val="18"/>
        </w:rPr>
      </w:pPr>
      <w:r>
        <w:br w:type="page"/>
      </w:r>
    </w:p>
    <w:p w14:paraId="3C18D370" w14:textId="05D6DC92" w:rsidR="00194DCC" w:rsidRDefault="00194DCC" w:rsidP="00194DCC">
      <w:pPr>
        <w:pStyle w:val="Caption"/>
      </w:pPr>
      <w:r w:rsidRPr="00194DCC">
        <w:lastRenderedPageBreak/>
        <w:t>Table 2</w:t>
      </w:r>
      <w:r w:rsidR="00DA6B27">
        <w:t>a</w:t>
      </w:r>
      <w:r w:rsidRPr="00194DCC">
        <w:t>: Cases</w:t>
      </w:r>
      <w:r>
        <w:t xml:space="preserve"> confirming where courts and tribunals </w:t>
      </w:r>
      <w:r w:rsidR="00FB16C2">
        <w:t xml:space="preserve">are </w:t>
      </w:r>
      <w:r>
        <w:t>acting in an administrative capacity in 2021-22</w:t>
      </w:r>
    </w:p>
    <w:tbl>
      <w:tblPr>
        <w:tblW w:w="0" w:type="auto"/>
        <w:tblBorders>
          <w:top w:val="single" w:sz="4" w:space="0" w:color="004270"/>
          <w:bottom w:val="single" w:sz="4" w:space="0" w:color="004270"/>
          <w:insideH w:val="single" w:sz="4" w:space="0" w:color="004270"/>
        </w:tblBorders>
        <w:tblLayout w:type="fixed"/>
        <w:tblLook w:val="06A0" w:firstRow="1" w:lastRow="0" w:firstColumn="1" w:lastColumn="0" w:noHBand="1" w:noVBand="1"/>
      </w:tblPr>
      <w:tblGrid>
        <w:gridCol w:w="4508"/>
        <w:gridCol w:w="4508"/>
      </w:tblGrid>
      <w:tr w:rsidR="000F15E7" w:rsidRPr="000F15E7" w14:paraId="5DB101A1" w14:textId="77777777" w:rsidTr="000F15E7">
        <w:tc>
          <w:tcPr>
            <w:tcW w:w="4508" w:type="dxa"/>
          </w:tcPr>
          <w:p w14:paraId="380A72E1" w14:textId="44A37BAA" w:rsidR="0D15CD6B" w:rsidRPr="000F15E7" w:rsidRDefault="0D15CD6B" w:rsidP="0061148E">
            <w:pPr>
              <w:pStyle w:val="Tableheading"/>
              <w:rPr>
                <w:color w:val="004270"/>
              </w:rPr>
            </w:pPr>
            <w:r w:rsidRPr="000F15E7">
              <w:rPr>
                <w:color w:val="004270"/>
              </w:rPr>
              <w:t>Subject matter</w:t>
            </w:r>
          </w:p>
        </w:tc>
        <w:tc>
          <w:tcPr>
            <w:tcW w:w="4508" w:type="dxa"/>
          </w:tcPr>
          <w:p w14:paraId="7BFABAC6" w14:textId="782CCBCD" w:rsidR="0D15CD6B" w:rsidRPr="000F15E7" w:rsidRDefault="0D15CD6B" w:rsidP="0061148E">
            <w:pPr>
              <w:pStyle w:val="Tableheading"/>
              <w:rPr>
                <w:color w:val="004270"/>
              </w:rPr>
            </w:pPr>
            <w:r w:rsidRPr="000F15E7">
              <w:rPr>
                <w:color w:val="004270"/>
              </w:rPr>
              <w:t>Case</w:t>
            </w:r>
          </w:p>
        </w:tc>
      </w:tr>
      <w:tr w:rsidR="04E5B0C6" w14:paraId="64E6854D" w14:textId="77777777" w:rsidTr="000F15E7">
        <w:tc>
          <w:tcPr>
            <w:tcW w:w="4508" w:type="dxa"/>
          </w:tcPr>
          <w:p w14:paraId="653192EF" w14:textId="7ED262EF" w:rsidR="4DF3E675" w:rsidRDefault="4DF3E675" w:rsidP="0061148E">
            <w:pPr>
              <w:pStyle w:val="Tabletext"/>
            </w:pPr>
            <w:r w:rsidRPr="04E5B0C6">
              <w:t xml:space="preserve">Coroners Court when directing or requesting </w:t>
            </w:r>
            <w:r w:rsidR="003A4400">
              <w:t>a particular</w:t>
            </w:r>
            <w:r w:rsidR="003A4400" w:rsidRPr="04E5B0C6">
              <w:t xml:space="preserve"> </w:t>
            </w:r>
            <w:r w:rsidRPr="04E5B0C6">
              <w:t xml:space="preserve">unit within the Queensland Police Service </w:t>
            </w:r>
            <w:r w:rsidR="003A4400">
              <w:t>to</w:t>
            </w:r>
            <w:r w:rsidR="003A4400" w:rsidRPr="04E5B0C6">
              <w:t xml:space="preserve"> </w:t>
            </w:r>
            <w:r w:rsidRPr="04E5B0C6">
              <w:t>be responsible for the investigation of a death in custody</w:t>
            </w:r>
          </w:p>
        </w:tc>
        <w:tc>
          <w:tcPr>
            <w:tcW w:w="4508" w:type="dxa"/>
          </w:tcPr>
          <w:p w14:paraId="6865475F" w14:textId="682A5DE9" w:rsidR="0D15CD6B" w:rsidRDefault="0D15CD6B" w:rsidP="0061148E">
            <w:pPr>
              <w:pStyle w:val="Tabletext"/>
              <w:rPr>
                <w:rFonts w:eastAsia="Arial" w:cs="Arial"/>
              </w:rPr>
            </w:pPr>
            <w:r w:rsidRPr="04E5B0C6">
              <w:rPr>
                <w:rFonts w:eastAsia="Arial" w:cs="Arial"/>
              </w:rPr>
              <w:t xml:space="preserve">Ruling in the </w:t>
            </w:r>
            <w:r w:rsidRPr="04E5B0C6">
              <w:rPr>
                <w:rFonts w:eastAsia="Arial" w:cs="Arial"/>
                <w:i/>
                <w:iCs/>
              </w:rPr>
              <w:t xml:space="preserve">Inquest into the death of </w:t>
            </w:r>
            <w:proofErr w:type="spellStart"/>
            <w:r w:rsidRPr="04E5B0C6">
              <w:rPr>
                <w:rFonts w:eastAsia="Arial" w:cs="Arial"/>
                <w:i/>
                <w:iCs/>
              </w:rPr>
              <w:t>Selesa</w:t>
            </w:r>
            <w:proofErr w:type="spellEnd"/>
            <w:r w:rsidRPr="04E5B0C6">
              <w:rPr>
                <w:rFonts w:eastAsia="Arial" w:cs="Arial"/>
                <w:i/>
                <w:iCs/>
              </w:rPr>
              <w:t xml:space="preserve"> </w:t>
            </w:r>
            <w:proofErr w:type="spellStart"/>
            <w:r w:rsidRPr="04E5B0C6">
              <w:rPr>
                <w:rFonts w:eastAsia="Arial" w:cs="Arial"/>
                <w:i/>
                <w:iCs/>
              </w:rPr>
              <w:t>Tafaifa</w:t>
            </w:r>
            <w:proofErr w:type="spellEnd"/>
            <w:r w:rsidRPr="04E5B0C6">
              <w:rPr>
                <w:rFonts w:eastAsia="Arial" w:cs="Arial"/>
                <w:i/>
                <w:iCs/>
              </w:rPr>
              <w:t xml:space="preserve"> </w:t>
            </w:r>
            <w:r w:rsidRPr="04E5B0C6">
              <w:rPr>
                <w:rFonts w:eastAsia="Arial" w:cs="Arial"/>
              </w:rPr>
              <w:t>(Coroners Court of Queensland, T Ryan, State Coroner, 20 June 2022)</w:t>
            </w:r>
          </w:p>
        </w:tc>
      </w:tr>
      <w:tr w:rsidR="04E5B0C6" w14:paraId="2C763A2A" w14:textId="77777777" w:rsidTr="000F15E7">
        <w:tc>
          <w:tcPr>
            <w:tcW w:w="4508" w:type="dxa"/>
          </w:tcPr>
          <w:p w14:paraId="22C5335F" w14:textId="4EFFAE4F" w:rsidR="7E1F81CF" w:rsidRDefault="7E1F81CF" w:rsidP="0061148E">
            <w:pPr>
              <w:pStyle w:val="Tabletext"/>
            </w:pPr>
            <w:r w:rsidRPr="04E5B0C6">
              <w:t>Land Court in relation to the c</w:t>
            </w:r>
            <w:r w:rsidR="1F2061F1" w:rsidRPr="04E5B0C6">
              <w:t>onduct of a</w:t>
            </w:r>
            <w:r w:rsidR="787B06CF" w:rsidRPr="04E5B0C6">
              <w:t xml:space="preserve"> hearing of a</w:t>
            </w:r>
            <w:r w:rsidR="1F2061F1" w:rsidRPr="04E5B0C6">
              <w:t xml:space="preserve"> mining objection </w:t>
            </w:r>
          </w:p>
        </w:tc>
        <w:tc>
          <w:tcPr>
            <w:tcW w:w="4508" w:type="dxa"/>
          </w:tcPr>
          <w:p w14:paraId="2F6263CC" w14:textId="208CE7DE" w:rsidR="514695DD" w:rsidRDefault="514695DD" w:rsidP="0061148E">
            <w:pPr>
              <w:pStyle w:val="Tabletext"/>
            </w:pPr>
            <w:r w:rsidRPr="04E5B0C6">
              <w:rPr>
                <w:i/>
                <w:iCs/>
              </w:rPr>
              <w:t>Waratah Coal Pty Ltd v Youth Verdict Ltd &amp; Ors (No 5)</w:t>
            </w:r>
            <w:r w:rsidRPr="04E5B0C6">
              <w:t xml:space="preserve"> [2022] QLC 4</w:t>
            </w:r>
          </w:p>
        </w:tc>
      </w:tr>
      <w:tr w:rsidR="04E5B0C6" w14:paraId="49106631" w14:textId="77777777" w:rsidTr="000F15E7">
        <w:tc>
          <w:tcPr>
            <w:tcW w:w="4508" w:type="dxa"/>
          </w:tcPr>
          <w:p w14:paraId="1F4B37D2" w14:textId="3C61B3D9" w:rsidR="631CDBFB" w:rsidRDefault="631CDBFB" w:rsidP="0061148E">
            <w:pPr>
              <w:pStyle w:val="Tabletext"/>
            </w:pPr>
            <w:r w:rsidRPr="04E5B0C6">
              <w:t xml:space="preserve">QCAT when deciding an exemption application under section 113 of the </w:t>
            </w:r>
            <w:r w:rsidRPr="04E5B0C6">
              <w:rPr>
                <w:i/>
                <w:iCs/>
              </w:rPr>
              <w:t>Anti-Discrimination Act 1991</w:t>
            </w:r>
          </w:p>
        </w:tc>
        <w:tc>
          <w:tcPr>
            <w:tcW w:w="4508" w:type="dxa"/>
          </w:tcPr>
          <w:p w14:paraId="5C3D5EED" w14:textId="407246D7" w:rsidR="022320D8" w:rsidRDefault="022320D8" w:rsidP="0061148E">
            <w:pPr>
              <w:pStyle w:val="Tabletext"/>
              <w:rPr>
                <w:i/>
                <w:iCs/>
              </w:rPr>
            </w:pPr>
            <w:r w:rsidRPr="04E5B0C6">
              <w:rPr>
                <w:i/>
                <w:iCs/>
              </w:rPr>
              <w:t xml:space="preserve">Sunshine Coast Regional Council </w:t>
            </w:r>
            <w:r w:rsidR="00930983">
              <w:rPr>
                <w:i/>
                <w:iCs/>
              </w:rPr>
              <w:t>(</w:t>
            </w:r>
            <w:r w:rsidRPr="04E5B0C6">
              <w:rPr>
                <w:i/>
                <w:iCs/>
              </w:rPr>
              <w:t>No 2</w:t>
            </w:r>
            <w:r w:rsidR="00930983">
              <w:rPr>
                <w:i/>
                <w:iCs/>
              </w:rPr>
              <w:t>)</w:t>
            </w:r>
            <w:r w:rsidRPr="04E5B0C6">
              <w:rPr>
                <w:i/>
                <w:iCs/>
              </w:rPr>
              <w:t xml:space="preserve"> </w:t>
            </w:r>
            <w:r w:rsidRPr="39424502">
              <w:t>[2021] QCAT 439</w:t>
            </w:r>
            <w:r w:rsidR="413DFF11" w:rsidRPr="39424502">
              <w:rPr>
                <w:i/>
                <w:iCs/>
              </w:rPr>
              <w:t xml:space="preserve">; Miami Recreational Facilities Pty Ltd </w:t>
            </w:r>
            <w:r w:rsidR="413DFF11" w:rsidRPr="39424502">
              <w:t>[2021] QCAT 378</w:t>
            </w:r>
          </w:p>
        </w:tc>
      </w:tr>
      <w:tr w:rsidR="04E5B0C6" w14:paraId="64154CCC" w14:textId="77777777" w:rsidTr="000F15E7">
        <w:tc>
          <w:tcPr>
            <w:tcW w:w="4508" w:type="dxa"/>
          </w:tcPr>
          <w:p w14:paraId="1E5CFC16" w14:textId="7B1471DB" w:rsidR="37AB3A08" w:rsidRDefault="37AB3A08" w:rsidP="0061148E">
            <w:pPr>
              <w:pStyle w:val="Tabletext"/>
            </w:pPr>
            <w:r w:rsidRPr="04E5B0C6">
              <w:t xml:space="preserve">QCAT when making an interim order for the appointment of a guardian under the </w:t>
            </w:r>
            <w:r w:rsidRPr="04E5B0C6">
              <w:rPr>
                <w:i/>
                <w:iCs/>
              </w:rPr>
              <w:t>Guardianship and Administration Act 2000</w:t>
            </w:r>
          </w:p>
        </w:tc>
        <w:tc>
          <w:tcPr>
            <w:tcW w:w="4508" w:type="dxa"/>
          </w:tcPr>
          <w:p w14:paraId="3BD21DD4" w14:textId="73C31E72" w:rsidR="37AB3A08" w:rsidRDefault="37AB3A08" w:rsidP="0061148E">
            <w:pPr>
              <w:pStyle w:val="Tabletext"/>
              <w:rPr>
                <w:i/>
                <w:iCs/>
              </w:rPr>
            </w:pPr>
            <w:r w:rsidRPr="04E5B0C6">
              <w:rPr>
                <w:i/>
                <w:iCs/>
              </w:rPr>
              <w:t xml:space="preserve">EB </w:t>
            </w:r>
            <w:r w:rsidRPr="0061148E">
              <w:t>[2021]</w:t>
            </w:r>
            <w:r w:rsidRPr="04E5B0C6">
              <w:rPr>
                <w:i/>
                <w:iCs/>
              </w:rPr>
              <w:t xml:space="preserve"> </w:t>
            </w:r>
            <w:r w:rsidRPr="39424502">
              <w:t>QCAT 434</w:t>
            </w:r>
            <w:r w:rsidR="1548AAEA" w:rsidRPr="39424502">
              <w:t xml:space="preserve">; </w:t>
            </w:r>
            <w:r w:rsidR="209071AA" w:rsidRPr="0061148E">
              <w:rPr>
                <w:i/>
              </w:rPr>
              <w:t>DP</w:t>
            </w:r>
            <w:r w:rsidR="209071AA" w:rsidRPr="39424502">
              <w:t xml:space="preserve"> [2021] QCAT 271</w:t>
            </w:r>
          </w:p>
        </w:tc>
      </w:tr>
      <w:tr w:rsidR="651486F3" w14:paraId="01382090" w14:textId="77777777" w:rsidTr="000F15E7">
        <w:tc>
          <w:tcPr>
            <w:tcW w:w="4508" w:type="dxa"/>
          </w:tcPr>
          <w:p w14:paraId="3856B71A" w14:textId="5A60D0E6" w:rsidR="1E0B3822" w:rsidRDefault="1E0B3822" w:rsidP="0061148E">
            <w:pPr>
              <w:pStyle w:val="Tabletext"/>
              <w:rPr>
                <w:rFonts w:cs="Arial"/>
              </w:rPr>
            </w:pPr>
            <w:r w:rsidRPr="651486F3">
              <w:rPr>
                <w:rFonts w:cs="Arial"/>
              </w:rPr>
              <w:t xml:space="preserve">Mental Health Court when reviewing a decision of the Mental </w:t>
            </w:r>
            <w:r w:rsidR="00964D20" w:rsidRPr="282A5531">
              <w:rPr>
                <w:rFonts w:cs="Arial"/>
              </w:rPr>
              <w:t>Health</w:t>
            </w:r>
            <w:r w:rsidRPr="651486F3">
              <w:rPr>
                <w:rFonts w:cs="Arial"/>
              </w:rPr>
              <w:t xml:space="preserve"> Review Tribunal to remove a condition from a person’s forensic order (community category)</w:t>
            </w:r>
          </w:p>
        </w:tc>
        <w:tc>
          <w:tcPr>
            <w:tcW w:w="4508" w:type="dxa"/>
          </w:tcPr>
          <w:p w14:paraId="19A645AD" w14:textId="167F146E" w:rsidR="5C12298B" w:rsidRDefault="5C12298B" w:rsidP="0061148E">
            <w:pPr>
              <w:pStyle w:val="Tabletext"/>
              <w:rPr>
                <w:rFonts w:cs="Arial"/>
                <w:i/>
                <w:iCs/>
              </w:rPr>
            </w:pPr>
            <w:r w:rsidRPr="651486F3">
              <w:rPr>
                <w:rFonts w:cs="Arial"/>
                <w:i/>
                <w:iCs/>
              </w:rPr>
              <w:t>Attorney-General for the State of Queensland v GLH</w:t>
            </w:r>
            <w:r w:rsidRPr="0061148E">
              <w:rPr>
                <w:rFonts w:cs="Arial"/>
              </w:rPr>
              <w:t xml:space="preserve"> [2021] QMHC 4</w:t>
            </w:r>
          </w:p>
        </w:tc>
      </w:tr>
    </w:tbl>
    <w:p w14:paraId="0143AC8E" w14:textId="5D8D841D" w:rsidR="000176E0" w:rsidRDefault="000176E0" w:rsidP="000176E0">
      <w:pPr>
        <w:spacing w:line="257" w:lineRule="auto"/>
        <w:ind w:right="2430"/>
      </w:pPr>
    </w:p>
    <w:p w14:paraId="3F70851C" w14:textId="72B6962C" w:rsidR="000176E0" w:rsidRDefault="00FB1B66" w:rsidP="00C65CB8">
      <w:pPr>
        <w:pStyle w:val="Caption"/>
      </w:pPr>
      <w:r>
        <w:t>Table 2b: Cases where</w:t>
      </w:r>
      <w:r w:rsidR="000176E0" w:rsidRPr="27C6306F">
        <w:t xml:space="preserve"> </w:t>
      </w:r>
      <w:r w:rsidR="7C56BEFD" w:rsidRPr="27C6306F">
        <w:t xml:space="preserve">tribunals </w:t>
      </w:r>
      <w:r w:rsidR="000176E0" w:rsidRPr="27C6306F">
        <w:t>have stated the</w:t>
      </w:r>
      <w:r w:rsidR="3186004A" w:rsidRPr="27C6306F">
        <w:t>y</w:t>
      </w:r>
      <w:r w:rsidR="000176E0" w:rsidRPr="27C6306F">
        <w:t xml:space="preserve"> are</w:t>
      </w:r>
      <w:r w:rsidR="00C73800">
        <w:t xml:space="preserve"> not</w:t>
      </w:r>
      <w:r w:rsidR="000176E0" w:rsidRPr="27C6306F">
        <w:t xml:space="preserve"> </w:t>
      </w:r>
      <w:r w:rsidR="00C65CB8">
        <w:t>acting in an administrative capacity in 2021-22</w:t>
      </w:r>
    </w:p>
    <w:tbl>
      <w:tblPr>
        <w:tblW w:w="0" w:type="auto"/>
        <w:tblBorders>
          <w:top w:val="single" w:sz="4" w:space="0" w:color="004270"/>
          <w:bottom w:val="single" w:sz="4" w:space="0" w:color="004270"/>
          <w:insideH w:val="single" w:sz="4" w:space="0" w:color="004270"/>
        </w:tblBorders>
        <w:tblLayout w:type="fixed"/>
        <w:tblLook w:val="06A0" w:firstRow="1" w:lastRow="0" w:firstColumn="1" w:lastColumn="0" w:noHBand="1" w:noVBand="1"/>
      </w:tblPr>
      <w:tblGrid>
        <w:gridCol w:w="4508"/>
        <w:gridCol w:w="4508"/>
      </w:tblGrid>
      <w:tr w:rsidR="004C2AFC" w:rsidRPr="004C2AFC" w14:paraId="3F1735E0" w14:textId="77777777" w:rsidTr="004C2AFC">
        <w:tc>
          <w:tcPr>
            <w:tcW w:w="4508" w:type="dxa"/>
          </w:tcPr>
          <w:p w14:paraId="0D969663" w14:textId="44A37BAA" w:rsidR="04E5B0C6" w:rsidRPr="004C2AFC" w:rsidRDefault="04E5B0C6" w:rsidP="004C2AFC">
            <w:pPr>
              <w:pStyle w:val="Tableheading"/>
              <w:rPr>
                <w:color w:val="004270"/>
              </w:rPr>
            </w:pPr>
            <w:r w:rsidRPr="004C2AFC">
              <w:rPr>
                <w:color w:val="004270"/>
              </w:rPr>
              <w:t>Subject matter</w:t>
            </w:r>
          </w:p>
        </w:tc>
        <w:tc>
          <w:tcPr>
            <w:tcW w:w="4508" w:type="dxa"/>
          </w:tcPr>
          <w:p w14:paraId="6B09C133" w14:textId="782CCBCD" w:rsidR="04E5B0C6" w:rsidRPr="004C2AFC" w:rsidRDefault="04E5B0C6" w:rsidP="004C2AFC">
            <w:pPr>
              <w:pStyle w:val="Tableheading"/>
              <w:rPr>
                <w:color w:val="004270"/>
              </w:rPr>
            </w:pPr>
            <w:r w:rsidRPr="004C2AFC">
              <w:rPr>
                <w:color w:val="004270"/>
              </w:rPr>
              <w:t>Case</w:t>
            </w:r>
          </w:p>
        </w:tc>
      </w:tr>
      <w:tr w:rsidR="04E5B0C6" w14:paraId="4DBBE17C" w14:textId="77777777" w:rsidTr="004C2AFC">
        <w:tc>
          <w:tcPr>
            <w:tcW w:w="4508" w:type="dxa"/>
          </w:tcPr>
          <w:p w14:paraId="3B4FC031" w14:textId="4F3AE896" w:rsidR="66025E47" w:rsidRDefault="66025E47" w:rsidP="004C2AFC">
            <w:pPr>
              <w:pStyle w:val="Tabletext"/>
            </w:pPr>
            <w:r w:rsidRPr="04E5B0C6">
              <w:t>QCAT when making a d</w:t>
            </w:r>
            <w:r w:rsidR="1CA33E5F" w:rsidRPr="04E5B0C6">
              <w:t xml:space="preserve">eclaration of capacity under the </w:t>
            </w:r>
            <w:r w:rsidR="1CA33E5F" w:rsidRPr="04E5B0C6">
              <w:rPr>
                <w:i/>
                <w:iCs/>
              </w:rPr>
              <w:t xml:space="preserve">Guardianship and Administration Act 2000 </w:t>
            </w:r>
            <w:r w:rsidR="1CA33E5F" w:rsidRPr="04E5B0C6">
              <w:t>(as opposed to the appointment of a substitute decision maker)</w:t>
            </w:r>
          </w:p>
        </w:tc>
        <w:tc>
          <w:tcPr>
            <w:tcW w:w="4508" w:type="dxa"/>
          </w:tcPr>
          <w:p w14:paraId="61C5FB1F" w14:textId="727E4C52" w:rsidR="1CA33E5F" w:rsidRDefault="1CA33E5F" w:rsidP="004C2AFC">
            <w:pPr>
              <w:pStyle w:val="Tabletext"/>
              <w:rPr>
                <w:rFonts w:eastAsia="Arial" w:cs="Arial"/>
              </w:rPr>
            </w:pPr>
            <w:r w:rsidRPr="04E5B0C6">
              <w:rPr>
                <w:i/>
                <w:iCs/>
              </w:rPr>
              <w:t>BSJ</w:t>
            </w:r>
            <w:r w:rsidRPr="04E5B0C6">
              <w:t xml:space="preserve"> [2022] QCAT 51</w:t>
            </w:r>
          </w:p>
        </w:tc>
      </w:tr>
      <w:tr w:rsidR="04E5B0C6" w14:paraId="0A6AEA38" w14:textId="77777777" w:rsidTr="004C2AFC">
        <w:tc>
          <w:tcPr>
            <w:tcW w:w="4508" w:type="dxa"/>
          </w:tcPr>
          <w:p w14:paraId="69EE3A3E" w14:textId="5370499C" w:rsidR="04E5B0C6" w:rsidRDefault="6E7D51B1" w:rsidP="004C2AFC">
            <w:pPr>
              <w:pStyle w:val="Tabletext"/>
            </w:pPr>
            <w:r w:rsidRPr="1F0ED10E">
              <w:t xml:space="preserve">QCAT when </w:t>
            </w:r>
            <w:r w:rsidR="008D7126">
              <w:t xml:space="preserve">dealing with a </w:t>
            </w:r>
            <w:r w:rsidR="0061148E" w:rsidRPr="1F0ED10E">
              <w:t>referred privacy</w:t>
            </w:r>
            <w:r w:rsidRPr="1F0ED10E">
              <w:t xml:space="preserve"> complaint under section 176 </w:t>
            </w:r>
            <w:r w:rsidR="6F21977A" w:rsidRPr="1F0ED10E">
              <w:t xml:space="preserve">of </w:t>
            </w:r>
            <w:r w:rsidRPr="1F0ED10E">
              <w:t xml:space="preserve">the </w:t>
            </w:r>
            <w:r w:rsidRPr="1F0ED10E">
              <w:rPr>
                <w:i/>
                <w:iCs/>
              </w:rPr>
              <w:t>Information Privacy Act 2009</w:t>
            </w:r>
            <w:r w:rsidRPr="1F0ED10E">
              <w:t xml:space="preserve"> </w:t>
            </w:r>
          </w:p>
        </w:tc>
        <w:tc>
          <w:tcPr>
            <w:tcW w:w="4508" w:type="dxa"/>
          </w:tcPr>
          <w:p w14:paraId="28CF9FC1" w14:textId="780093A5" w:rsidR="04E5B0C6" w:rsidRDefault="1F5288D7" w:rsidP="004C2AFC">
            <w:pPr>
              <w:pStyle w:val="Tabletext"/>
            </w:pPr>
            <w:r w:rsidRPr="1F0ED10E">
              <w:rPr>
                <w:i/>
                <w:iCs/>
              </w:rPr>
              <w:t xml:space="preserve">AA v State of Queensland (Office of Industrial Relations) </w:t>
            </w:r>
            <w:r w:rsidRPr="1F0ED10E">
              <w:t>[2021] QCAT 258</w:t>
            </w:r>
          </w:p>
        </w:tc>
      </w:tr>
    </w:tbl>
    <w:p w14:paraId="089D08A7" w14:textId="01B8CAB5" w:rsidR="04E5B0C6" w:rsidRDefault="04E5B0C6" w:rsidP="04E5B0C6">
      <w:pPr>
        <w:spacing w:line="257" w:lineRule="auto"/>
        <w:ind w:right="2430"/>
        <w:rPr>
          <w:rFonts w:eastAsia="Calibri"/>
          <w:highlight w:val="yellow"/>
        </w:rPr>
      </w:pPr>
    </w:p>
    <w:p w14:paraId="593B1553" w14:textId="77777777" w:rsidR="00893CEF" w:rsidRDefault="00893CEF">
      <w:pPr>
        <w:spacing w:after="160" w:line="259" w:lineRule="auto"/>
        <w:ind w:right="0"/>
        <w:rPr>
          <w:rFonts w:eastAsiaTheme="majorEastAsia" w:cstheme="majorBidi"/>
          <w:color w:val="004270"/>
          <w:sz w:val="36"/>
          <w:szCs w:val="26"/>
        </w:rPr>
      </w:pPr>
      <w:bookmarkStart w:id="32" w:name="_Toc84593874"/>
      <w:bookmarkStart w:id="33" w:name="_Toc85451747"/>
      <w:bookmarkStart w:id="34" w:name="_Toc85526677"/>
      <w:bookmarkStart w:id="35" w:name="_Toc85787092"/>
      <w:bookmarkStart w:id="36" w:name="_Toc110506634"/>
      <w:bookmarkStart w:id="37" w:name="_Toc1674746556"/>
      <w:r>
        <w:rPr>
          <w:color w:val="004270"/>
        </w:rPr>
        <w:br w:type="page"/>
      </w:r>
    </w:p>
    <w:p w14:paraId="4826BD3F" w14:textId="57AB146A" w:rsidR="007A3BDF" w:rsidRPr="004C2AFC" w:rsidRDefault="007A3BDF" w:rsidP="00CF3FCF">
      <w:pPr>
        <w:pStyle w:val="Heading2"/>
        <w:rPr>
          <w:color w:val="004270"/>
        </w:rPr>
      </w:pPr>
      <w:bookmarkStart w:id="38" w:name="_Toc117697151"/>
      <w:bookmarkStart w:id="39" w:name="_Toc117697858"/>
      <w:r w:rsidRPr="004C2AFC">
        <w:rPr>
          <w:color w:val="004270"/>
        </w:rPr>
        <w:lastRenderedPageBreak/>
        <w:t>Direct application</w:t>
      </w:r>
      <w:bookmarkEnd w:id="32"/>
      <w:bookmarkEnd w:id="33"/>
      <w:bookmarkEnd w:id="34"/>
      <w:bookmarkEnd w:id="35"/>
      <w:bookmarkEnd w:id="36"/>
      <w:bookmarkEnd w:id="38"/>
      <w:bookmarkEnd w:id="39"/>
      <w:r w:rsidRPr="004C2AFC">
        <w:rPr>
          <w:color w:val="004270"/>
        </w:rPr>
        <w:t xml:space="preserve"> </w:t>
      </w:r>
      <w:bookmarkEnd w:id="37"/>
    </w:p>
    <w:p w14:paraId="1136E9C3" w14:textId="77777777" w:rsidR="007A3BDF" w:rsidRDefault="007A3BDF" w:rsidP="007A3BDF">
      <w:r w:rsidRPr="43FC7218">
        <w:t xml:space="preserve">The Act imposes direct obligations on courts and tribunals to act compatibly with human rights to the extent that the court or tribunal has the function of applying or enforcing those rights. The obligation applies whether or not the court or tribunal is acting in a judicial or administrative capacity. </w:t>
      </w:r>
    </w:p>
    <w:p w14:paraId="02B2A972" w14:textId="14C68746" w:rsidR="007A3BDF" w:rsidRDefault="007A3BDF" w:rsidP="007A3BDF">
      <w:r w:rsidRPr="43FC7218">
        <w:t xml:space="preserve">The rights </w:t>
      </w:r>
      <w:r w:rsidR="0020551D">
        <w:t xml:space="preserve">most </w:t>
      </w:r>
      <w:r w:rsidR="00C81771">
        <w:t xml:space="preserve">likely to be </w:t>
      </w:r>
      <w:r w:rsidRPr="43FC7218">
        <w:t>engaged when performing judicial functions include:</w:t>
      </w:r>
    </w:p>
    <w:p w14:paraId="1B1B3875" w14:textId="672CE02C" w:rsidR="007A3BDF" w:rsidRDefault="00C8133F" w:rsidP="007A3BDF">
      <w:pPr>
        <w:pStyle w:val="ListParagraph"/>
        <w:rPr>
          <w:szCs w:val="22"/>
        </w:rPr>
      </w:pPr>
      <w:r>
        <w:rPr>
          <w:szCs w:val="22"/>
        </w:rPr>
        <w:t xml:space="preserve">recognition and </w:t>
      </w:r>
      <w:r w:rsidR="007A3BDF" w:rsidRPr="651486F3">
        <w:rPr>
          <w:szCs w:val="22"/>
        </w:rPr>
        <w:t>equality before the law</w:t>
      </w:r>
      <w:r w:rsidR="005D2A2D">
        <w:rPr>
          <w:szCs w:val="22"/>
        </w:rPr>
        <w:t xml:space="preserve"> (section 15)</w:t>
      </w:r>
    </w:p>
    <w:p w14:paraId="7E51A344" w14:textId="071664EF" w:rsidR="007A3BDF" w:rsidRDefault="007A3BDF" w:rsidP="007A3BDF">
      <w:pPr>
        <w:pStyle w:val="ListParagraph"/>
        <w:rPr>
          <w:szCs w:val="22"/>
        </w:rPr>
      </w:pPr>
      <w:r w:rsidRPr="651486F3">
        <w:rPr>
          <w:szCs w:val="22"/>
        </w:rPr>
        <w:t>fair hearing</w:t>
      </w:r>
      <w:r w:rsidR="005D2A2D">
        <w:rPr>
          <w:szCs w:val="22"/>
        </w:rPr>
        <w:t xml:space="preserve"> (</w:t>
      </w:r>
      <w:r w:rsidR="00950A5D">
        <w:rPr>
          <w:szCs w:val="22"/>
        </w:rPr>
        <w:t>section 31)</w:t>
      </w:r>
    </w:p>
    <w:p w14:paraId="1CF1527A" w14:textId="4B6209DE" w:rsidR="007A3BDF" w:rsidRDefault="007A3BDF" w:rsidP="007A3BDF">
      <w:pPr>
        <w:pStyle w:val="ListParagraph"/>
        <w:rPr>
          <w:szCs w:val="22"/>
        </w:rPr>
      </w:pPr>
      <w:r w:rsidRPr="651486F3">
        <w:rPr>
          <w:szCs w:val="22"/>
        </w:rPr>
        <w:t>rights in criminal proceedings</w:t>
      </w:r>
      <w:r w:rsidR="007B4623">
        <w:rPr>
          <w:szCs w:val="22"/>
        </w:rPr>
        <w:t xml:space="preserve"> (section 32)</w:t>
      </w:r>
      <w:r w:rsidR="570E3E68" w:rsidRPr="651486F3">
        <w:rPr>
          <w:szCs w:val="22"/>
        </w:rPr>
        <w:t>, and</w:t>
      </w:r>
    </w:p>
    <w:p w14:paraId="3EC67784" w14:textId="71AB573B" w:rsidR="5081CC1E" w:rsidRDefault="5081CC1E" w:rsidP="651486F3">
      <w:pPr>
        <w:pStyle w:val="ListParagraph"/>
        <w:rPr>
          <w:szCs w:val="22"/>
        </w:rPr>
      </w:pPr>
      <w:r w:rsidRPr="651486F3">
        <w:rPr>
          <w:rFonts w:eastAsia="Yu Mincho" w:cs="Arial"/>
          <w:szCs w:val="22"/>
        </w:rPr>
        <w:t>liberty and security</w:t>
      </w:r>
      <w:r w:rsidR="007A761B">
        <w:rPr>
          <w:rFonts w:eastAsia="Yu Mincho" w:cs="Arial"/>
          <w:szCs w:val="22"/>
        </w:rPr>
        <w:t xml:space="preserve"> of person</w:t>
      </w:r>
      <w:r w:rsidR="00341538">
        <w:rPr>
          <w:rFonts w:eastAsia="Yu Mincho" w:cs="Arial"/>
          <w:szCs w:val="22"/>
        </w:rPr>
        <w:t xml:space="preserve"> (section 29)</w:t>
      </w:r>
      <w:r w:rsidR="570E3E68" w:rsidRPr="651486F3">
        <w:rPr>
          <w:rFonts w:eastAsia="Yu Mincho" w:cs="Arial"/>
          <w:szCs w:val="22"/>
        </w:rPr>
        <w:t>.</w:t>
      </w:r>
    </w:p>
    <w:p w14:paraId="3247A9F2" w14:textId="012ACBA4" w:rsidR="440A5FB0" w:rsidRDefault="440A5FB0" w:rsidP="651486F3">
      <w:pPr>
        <w:rPr>
          <w:rFonts w:eastAsia="Calibri" w:cs="Arial"/>
        </w:rPr>
      </w:pPr>
      <w:r w:rsidRPr="651486F3">
        <w:t xml:space="preserve">In an application for a declaration of capacity, </w:t>
      </w:r>
      <w:r w:rsidR="00964D20">
        <w:t xml:space="preserve">the </w:t>
      </w:r>
      <w:r w:rsidRPr="651486F3">
        <w:t>QCAT considered th</w:t>
      </w:r>
      <w:r w:rsidR="248F6AA1" w:rsidRPr="651486F3">
        <w:t>at the</w:t>
      </w:r>
      <w:r w:rsidRPr="651486F3">
        <w:t xml:space="preserve"> right</w:t>
      </w:r>
      <w:r w:rsidR="04F32D77" w:rsidRPr="651486F3">
        <w:t>s</w:t>
      </w:r>
      <w:r w:rsidRPr="651486F3">
        <w:t xml:space="preserve"> to equality before the</w:t>
      </w:r>
      <w:r>
        <w:t xml:space="preserve"> law and </w:t>
      </w:r>
      <w:r w:rsidR="00964D20">
        <w:t>to a</w:t>
      </w:r>
      <w:r>
        <w:t xml:space="preserve"> fair hearing applied directly to Q</w:t>
      </w:r>
      <w:r w:rsidR="67D85793">
        <w:t>CAT (</w:t>
      </w:r>
      <w:r w:rsidR="20F363E5" w:rsidRPr="651486F3">
        <w:rPr>
          <w:i/>
          <w:iCs/>
        </w:rPr>
        <w:t xml:space="preserve">BSJ </w:t>
      </w:r>
      <w:r w:rsidR="20F363E5">
        <w:t>[2022] QCAT 51</w:t>
      </w:r>
      <w:r w:rsidR="56030F1C">
        <w:t>).</w:t>
      </w:r>
      <w:r w:rsidR="20F363E5">
        <w:t xml:space="preserve"> </w:t>
      </w:r>
    </w:p>
    <w:p w14:paraId="3B1EBAE7" w14:textId="77777777" w:rsidR="00CF3FCF" w:rsidRPr="00893CEF" w:rsidRDefault="00CF3FCF" w:rsidP="00CF3FCF">
      <w:pPr>
        <w:pStyle w:val="Heading2"/>
        <w:rPr>
          <w:color w:val="004270"/>
        </w:rPr>
      </w:pPr>
      <w:bookmarkStart w:id="40" w:name="_Toc84593875"/>
      <w:bookmarkStart w:id="41" w:name="_Toc85451748"/>
      <w:bookmarkStart w:id="42" w:name="_Toc85526678"/>
      <w:bookmarkStart w:id="43" w:name="_Toc85787093"/>
      <w:bookmarkStart w:id="44" w:name="_Toc110506635"/>
      <w:bookmarkStart w:id="45" w:name="_Toc1621163248"/>
      <w:bookmarkStart w:id="46" w:name="_Toc117697152"/>
      <w:bookmarkStart w:id="47" w:name="_Toc117697859"/>
      <w:r w:rsidRPr="00893CEF">
        <w:rPr>
          <w:color w:val="004270"/>
        </w:rPr>
        <w:t>Piggy-back matters</w:t>
      </w:r>
      <w:bookmarkEnd w:id="40"/>
      <w:bookmarkEnd w:id="41"/>
      <w:bookmarkEnd w:id="42"/>
      <w:bookmarkEnd w:id="43"/>
      <w:bookmarkEnd w:id="44"/>
      <w:bookmarkEnd w:id="45"/>
      <w:bookmarkEnd w:id="46"/>
      <w:bookmarkEnd w:id="47"/>
    </w:p>
    <w:p w14:paraId="24F513A6" w14:textId="05840CC8" w:rsidR="00CF3FCF" w:rsidRDefault="00CF3FCF" w:rsidP="00CF3FCF">
      <w:r>
        <w:t>There</w:t>
      </w:r>
      <w:r w:rsidRPr="43FC7218">
        <w:t xml:space="preserve"> is no standalone </w:t>
      </w:r>
      <w:r w:rsidR="00692505">
        <w:t xml:space="preserve">legal remedy </w:t>
      </w:r>
      <w:r w:rsidR="00E236D5">
        <w:t xml:space="preserve">available </w:t>
      </w:r>
      <w:r w:rsidR="00692505">
        <w:t>through the courts</w:t>
      </w:r>
      <w:r w:rsidRPr="43FC7218">
        <w:t xml:space="preserve"> for </w:t>
      </w:r>
      <w:r w:rsidR="00EF02E3">
        <w:t>an alleged</w:t>
      </w:r>
      <w:r w:rsidRPr="43FC7218">
        <w:t xml:space="preserve"> breach of human rights.</w:t>
      </w:r>
      <w:r>
        <w:t xml:space="preserve"> </w:t>
      </w:r>
      <w:r w:rsidR="00CE00DB">
        <w:t>However, h</w:t>
      </w:r>
      <w:r w:rsidRPr="43FC7218">
        <w:t xml:space="preserve">uman rights arguments can be </w:t>
      </w:r>
      <w:r w:rsidR="00950CE7">
        <w:t>added to</w:t>
      </w:r>
      <w:r w:rsidR="00320A29">
        <w:t>, or</w:t>
      </w:r>
      <w:r w:rsidRPr="43FC7218">
        <w:t xml:space="preserve"> ‘piggy</w:t>
      </w:r>
      <w:r>
        <w:t>-</w:t>
      </w:r>
      <w:r w:rsidRPr="43FC7218">
        <w:t>backed’ on</w:t>
      </w:r>
      <w:r w:rsidR="00A57CEC">
        <w:t>,</w:t>
      </w:r>
      <w:r w:rsidRPr="43FC7218">
        <w:t xml:space="preserve"> legal proceedings against a public entity that, under a different law, allege an act or decision of the public entity was unlawful. For example, an application for judicial review of a decision made by a public entity </w:t>
      </w:r>
      <w:r w:rsidR="004E07F9">
        <w:t>might</w:t>
      </w:r>
      <w:r w:rsidR="00C913C4">
        <w:t xml:space="preserve"> also</w:t>
      </w:r>
      <w:r w:rsidR="004E07F9" w:rsidRPr="43FC7218">
        <w:t xml:space="preserve"> </w:t>
      </w:r>
      <w:r w:rsidRPr="43FC7218">
        <w:t xml:space="preserve">include a </w:t>
      </w:r>
      <w:r w:rsidR="00C46BEA">
        <w:t>claim</w:t>
      </w:r>
      <w:r w:rsidR="00C46BEA" w:rsidRPr="43FC7218">
        <w:t xml:space="preserve"> </w:t>
      </w:r>
      <w:r w:rsidRPr="43FC7218">
        <w:t xml:space="preserve">that the public entity breached its section 58 obligations under the </w:t>
      </w:r>
      <w:r w:rsidRPr="43FC7218">
        <w:rPr>
          <w:i/>
        </w:rPr>
        <w:t>Human Rights Act 2019</w:t>
      </w:r>
      <w:r>
        <w:t xml:space="preserve"> </w:t>
      </w:r>
      <w:r w:rsidR="001337FE">
        <w:t>to act or make a decision in a way that is compatible with human rights</w:t>
      </w:r>
      <w:r w:rsidR="00FB0638">
        <w:t xml:space="preserve"> </w:t>
      </w:r>
      <w:r w:rsidR="00384A7B">
        <w:t xml:space="preserve">and to give proper consideration </w:t>
      </w:r>
      <w:r w:rsidR="000A5BA1">
        <w:t xml:space="preserve">to a human right relevant to the decision. </w:t>
      </w:r>
    </w:p>
    <w:p w14:paraId="68FF9813" w14:textId="5A8FB690" w:rsidR="00CF3FCF" w:rsidRDefault="00F759FD" w:rsidP="00CF3FCF">
      <w:r>
        <w:t>In these actions, a</w:t>
      </w:r>
      <w:r w:rsidR="00CF3FCF" w:rsidRPr="43FC7218">
        <w:t xml:space="preserve"> person can obtain (non-financial) relief if they successfully demonstrate a breach of section 58 of the </w:t>
      </w:r>
      <w:r w:rsidR="00CF3FCF" w:rsidRPr="43FC7218">
        <w:rPr>
          <w:i/>
        </w:rPr>
        <w:t>Human Rights Act 2019</w:t>
      </w:r>
      <w:r w:rsidR="00CF3FCF" w:rsidRPr="43FC7218">
        <w:t xml:space="preserve">, even if they are not successful in their primary </w:t>
      </w:r>
      <w:r w:rsidR="00D24E58">
        <w:t>claim</w:t>
      </w:r>
      <w:r w:rsidR="00D24E58" w:rsidRPr="43FC7218">
        <w:t xml:space="preserve"> </w:t>
      </w:r>
      <w:r w:rsidR="00CF3FCF" w:rsidRPr="43FC7218">
        <w:t xml:space="preserve">for relief. </w:t>
      </w:r>
    </w:p>
    <w:p w14:paraId="43AD73EC" w14:textId="565BA0FB" w:rsidR="67F89D69" w:rsidRDefault="67F89D69" w:rsidP="651486F3">
      <w:pPr>
        <w:rPr>
          <w:rFonts w:eastAsia="Calibri" w:cs="Arial"/>
        </w:rPr>
      </w:pPr>
      <w:r w:rsidRPr="651486F3">
        <w:rPr>
          <w:rFonts w:eastAsia="Calibri" w:cs="Arial"/>
          <w:i/>
          <w:iCs/>
        </w:rPr>
        <w:t>Owen-D'Arcy v Chief Executive of Q</w:t>
      </w:r>
      <w:r w:rsidR="12957D53" w:rsidRPr="651486F3">
        <w:rPr>
          <w:rFonts w:eastAsia="Calibri" w:cs="Arial"/>
          <w:i/>
          <w:iCs/>
        </w:rPr>
        <w:t xml:space="preserve">ueensland Corrective Services </w:t>
      </w:r>
      <w:r w:rsidRPr="651486F3">
        <w:rPr>
          <w:rFonts w:eastAsia="Calibri" w:cs="Arial"/>
        </w:rPr>
        <w:t xml:space="preserve">[2021] QSC 273 and </w:t>
      </w:r>
      <w:r w:rsidRPr="651486F3">
        <w:rPr>
          <w:rFonts w:eastAsia="Calibri" w:cs="Arial"/>
          <w:i/>
          <w:iCs/>
        </w:rPr>
        <w:t xml:space="preserve">SQH v Scott </w:t>
      </w:r>
      <w:r w:rsidRPr="651486F3">
        <w:rPr>
          <w:rFonts w:eastAsia="Calibri" w:cs="Arial"/>
        </w:rPr>
        <w:t>[2022] QSC 16 are examples of</w:t>
      </w:r>
      <w:r w:rsidR="2A57DEC8" w:rsidRPr="651486F3">
        <w:rPr>
          <w:rFonts w:eastAsia="Calibri" w:cs="Arial"/>
        </w:rPr>
        <w:t xml:space="preserve"> </w:t>
      </w:r>
      <w:r w:rsidR="30653074" w:rsidRPr="651486F3">
        <w:rPr>
          <w:rFonts w:eastAsia="Calibri" w:cs="Arial"/>
        </w:rPr>
        <w:t>matters in which human rights were piggy-backed</w:t>
      </w:r>
      <w:r w:rsidRPr="651486F3">
        <w:rPr>
          <w:rFonts w:eastAsia="Calibri" w:cs="Arial"/>
        </w:rPr>
        <w:t xml:space="preserve">, </w:t>
      </w:r>
      <w:r w:rsidR="34B86EE5" w:rsidRPr="651486F3">
        <w:rPr>
          <w:rFonts w:eastAsia="Calibri" w:cs="Arial"/>
        </w:rPr>
        <w:t xml:space="preserve">in </w:t>
      </w:r>
      <w:r w:rsidR="3216BAF5" w:rsidRPr="651486F3">
        <w:rPr>
          <w:rFonts w:eastAsia="Calibri" w:cs="Arial"/>
        </w:rPr>
        <w:t xml:space="preserve">the case of the first, </w:t>
      </w:r>
      <w:r w:rsidR="34B86EE5" w:rsidRPr="651486F3">
        <w:rPr>
          <w:rFonts w:eastAsia="Calibri" w:cs="Arial"/>
        </w:rPr>
        <w:t xml:space="preserve">to a judicial review, and </w:t>
      </w:r>
      <w:r w:rsidR="21571AE9" w:rsidRPr="651486F3">
        <w:rPr>
          <w:rFonts w:eastAsia="Calibri" w:cs="Arial"/>
        </w:rPr>
        <w:t xml:space="preserve">in </w:t>
      </w:r>
      <w:r w:rsidR="34B86EE5" w:rsidRPr="651486F3">
        <w:rPr>
          <w:rFonts w:eastAsia="Calibri" w:cs="Arial"/>
        </w:rPr>
        <w:t>the second</w:t>
      </w:r>
      <w:r w:rsidR="66F0C406" w:rsidRPr="651486F3">
        <w:rPr>
          <w:rFonts w:eastAsia="Calibri" w:cs="Arial"/>
        </w:rPr>
        <w:t xml:space="preserve">, </w:t>
      </w:r>
      <w:r w:rsidR="34B86EE5" w:rsidRPr="651486F3">
        <w:rPr>
          <w:rFonts w:eastAsia="Calibri" w:cs="Arial"/>
        </w:rPr>
        <w:t xml:space="preserve">to a statutory appeal. </w:t>
      </w:r>
    </w:p>
    <w:p w14:paraId="307A09C3" w14:textId="77777777" w:rsidR="00CF3FCF" w:rsidRPr="00893CEF" w:rsidRDefault="00CF3FCF" w:rsidP="00CF3FCF">
      <w:pPr>
        <w:pStyle w:val="Heading2"/>
        <w:rPr>
          <w:color w:val="004270"/>
        </w:rPr>
      </w:pPr>
      <w:bookmarkStart w:id="48" w:name="_Toc56451574"/>
      <w:bookmarkStart w:id="49" w:name="_Toc56452148"/>
      <w:bookmarkStart w:id="50" w:name="_Toc84593876"/>
      <w:bookmarkStart w:id="51" w:name="_Toc85451749"/>
      <w:bookmarkStart w:id="52" w:name="_Toc85526679"/>
      <w:bookmarkStart w:id="53" w:name="_Toc85787094"/>
      <w:bookmarkStart w:id="54" w:name="_Toc110506636"/>
      <w:bookmarkStart w:id="55" w:name="_Toc2087684184"/>
      <w:bookmarkStart w:id="56" w:name="_Toc117697153"/>
      <w:bookmarkStart w:id="57" w:name="_Toc117697860"/>
      <w:r w:rsidRPr="00893CEF">
        <w:rPr>
          <w:color w:val="004270"/>
        </w:rPr>
        <w:lastRenderedPageBreak/>
        <w:t>Referrals to Supreme Court</w:t>
      </w:r>
      <w:bookmarkEnd w:id="48"/>
      <w:bookmarkEnd w:id="49"/>
      <w:bookmarkEnd w:id="50"/>
      <w:bookmarkEnd w:id="51"/>
      <w:bookmarkEnd w:id="52"/>
      <w:bookmarkEnd w:id="53"/>
      <w:bookmarkEnd w:id="54"/>
      <w:bookmarkEnd w:id="55"/>
      <w:bookmarkEnd w:id="56"/>
      <w:bookmarkEnd w:id="57"/>
    </w:p>
    <w:p w14:paraId="54D55727" w14:textId="77777777" w:rsidR="00CF3FCF" w:rsidRPr="008A00EB" w:rsidRDefault="00CF3FCF" w:rsidP="00CF3FCF">
      <w:pPr>
        <w:rPr>
          <w:lang w:val="en-US"/>
        </w:rPr>
      </w:pPr>
      <w:r w:rsidRPr="43FC7218">
        <w:rPr>
          <w:lang w:val="en-US"/>
        </w:rPr>
        <w:t xml:space="preserve">If a question of law arises in a court or tribunal proceeding about the application of the </w:t>
      </w:r>
      <w:r w:rsidRPr="43FC7218">
        <w:rPr>
          <w:i/>
          <w:iCs/>
          <w:lang w:val="en-US"/>
        </w:rPr>
        <w:t>Human Rights Act 2019</w:t>
      </w:r>
      <w:r w:rsidRPr="43FC7218">
        <w:rPr>
          <w:lang w:val="en-US"/>
        </w:rPr>
        <w:t xml:space="preserve">, or statutory interpretation in accordance with the Act, it may be referred to the Supreme Court of Queensland. </w:t>
      </w:r>
    </w:p>
    <w:p w14:paraId="177D60CA" w14:textId="709762B8" w:rsidR="00CF3FCF" w:rsidRPr="008A4362" w:rsidRDefault="00CF3FCF" w:rsidP="00CF3FCF">
      <w:pPr>
        <w:rPr>
          <w:lang w:val="en-US"/>
        </w:rPr>
      </w:pPr>
      <w:r w:rsidRPr="008A4362">
        <w:rPr>
          <w:lang w:val="en-US"/>
        </w:rPr>
        <w:t xml:space="preserve">The Commission is not aware of any such referrals occurring in </w:t>
      </w:r>
      <w:r w:rsidR="00FD4A0E">
        <w:rPr>
          <w:lang w:val="en-US"/>
        </w:rPr>
        <w:t>2021-22.</w:t>
      </w:r>
    </w:p>
    <w:p w14:paraId="17E52946" w14:textId="77777777" w:rsidR="00EF7637" w:rsidRPr="00C70033" w:rsidRDefault="00EF7637" w:rsidP="00EF7637">
      <w:pPr>
        <w:pStyle w:val="Heading2"/>
        <w:rPr>
          <w:color w:val="004270"/>
        </w:rPr>
      </w:pPr>
      <w:bookmarkStart w:id="58" w:name="_Toc110506637"/>
      <w:bookmarkStart w:id="59" w:name="_Toc809722664"/>
      <w:bookmarkStart w:id="60" w:name="_Toc117697154"/>
      <w:bookmarkStart w:id="61" w:name="_Toc117697861"/>
      <w:r w:rsidRPr="00C70033">
        <w:rPr>
          <w:color w:val="004270"/>
        </w:rPr>
        <w:t>Queensland cases that have considered or mentioned the Act</w:t>
      </w:r>
      <w:bookmarkEnd w:id="58"/>
      <w:bookmarkEnd w:id="59"/>
      <w:bookmarkEnd w:id="60"/>
      <w:bookmarkEnd w:id="61"/>
    </w:p>
    <w:p w14:paraId="4D6D159B" w14:textId="28ECD8BB" w:rsidR="00EF7637" w:rsidRDefault="15428A58" w:rsidP="00EF7637">
      <w:r>
        <w:t xml:space="preserve">In the financial year ending 30 June 2022, courts and tribunals considered or mentioned the Act in </w:t>
      </w:r>
      <w:r w:rsidR="298C6404">
        <w:t>86</w:t>
      </w:r>
      <w:r>
        <w:t xml:space="preserve"> matters. </w:t>
      </w:r>
      <w:r w:rsidR="2019D453">
        <w:t>D</w:t>
      </w:r>
      <w:r>
        <w:t>etail</w:t>
      </w:r>
      <w:r w:rsidR="3B79695A">
        <w:t xml:space="preserve">s of the cause of action for each matter are </w:t>
      </w:r>
      <w:r>
        <w:t>available in Appendix A.</w:t>
      </w:r>
    </w:p>
    <w:p w14:paraId="3F7DABBB" w14:textId="60A5A1E6" w:rsidR="007C6401" w:rsidRDefault="007C6401" w:rsidP="007C6401">
      <w:pPr>
        <w:pStyle w:val="Caption"/>
      </w:pPr>
      <w:r>
        <w:t xml:space="preserve">Table </w:t>
      </w:r>
      <w:r w:rsidR="00194DCC">
        <w:t>3</w:t>
      </w:r>
      <w:r>
        <w:t>: Number of matters where courts and tribunals considered or mentioned the Human Rights Act</w:t>
      </w:r>
      <w:r w:rsidR="00EF02E3">
        <w:t>.</w:t>
      </w:r>
    </w:p>
    <w:tbl>
      <w:tblPr>
        <w:tblW w:w="0" w:type="auto"/>
        <w:tblBorders>
          <w:top w:val="single" w:sz="4" w:space="0" w:color="124370"/>
          <w:bottom w:val="single" w:sz="4" w:space="0" w:color="124370"/>
          <w:insideH w:val="single" w:sz="4" w:space="0" w:color="124370"/>
        </w:tblBorders>
        <w:tblLook w:val="04A0" w:firstRow="1" w:lastRow="0" w:firstColumn="1" w:lastColumn="0" w:noHBand="0" w:noVBand="1"/>
      </w:tblPr>
      <w:tblGrid>
        <w:gridCol w:w="6237"/>
        <w:gridCol w:w="1276"/>
      </w:tblGrid>
      <w:tr w:rsidR="00533A97" w:rsidRPr="00533A97" w14:paraId="18E595D5" w14:textId="77777777" w:rsidTr="00DB2856">
        <w:trPr>
          <w:trHeight w:val="550"/>
        </w:trPr>
        <w:tc>
          <w:tcPr>
            <w:tcW w:w="6237" w:type="dxa"/>
          </w:tcPr>
          <w:p w14:paraId="5331F2C9" w14:textId="77777777" w:rsidR="007C6401" w:rsidRPr="00533A97" w:rsidRDefault="007C6401" w:rsidP="007C6401">
            <w:pPr>
              <w:pStyle w:val="Tableheading"/>
              <w:rPr>
                <w:rFonts w:cs="Arial"/>
                <w:color w:val="004270"/>
              </w:rPr>
            </w:pPr>
            <w:r w:rsidRPr="00533A97">
              <w:rPr>
                <w:color w:val="004270"/>
              </w:rPr>
              <w:t>Court</w:t>
            </w:r>
          </w:p>
        </w:tc>
        <w:tc>
          <w:tcPr>
            <w:tcW w:w="1276" w:type="dxa"/>
          </w:tcPr>
          <w:p w14:paraId="3E3BD84B" w14:textId="77777777" w:rsidR="007C6401" w:rsidRPr="00533A97" w:rsidRDefault="007C6401" w:rsidP="007C6401">
            <w:pPr>
              <w:pStyle w:val="Tableheading"/>
              <w:rPr>
                <w:rFonts w:cs="Arial"/>
                <w:color w:val="004270"/>
              </w:rPr>
            </w:pPr>
            <w:r w:rsidRPr="00533A97">
              <w:rPr>
                <w:color w:val="004270"/>
              </w:rPr>
              <w:t>Number</w:t>
            </w:r>
          </w:p>
        </w:tc>
      </w:tr>
      <w:tr w:rsidR="1C89FEF5" w14:paraId="2CC09FE9" w14:textId="77777777" w:rsidTr="1C89FEF5">
        <w:tc>
          <w:tcPr>
            <w:tcW w:w="6237" w:type="dxa"/>
          </w:tcPr>
          <w:p w14:paraId="5A2A0BBF" w14:textId="49EB1FA5" w:rsidR="67866725" w:rsidRDefault="67866725" w:rsidP="00341538">
            <w:pPr>
              <w:pStyle w:val="Tabletext"/>
            </w:pPr>
            <w:r w:rsidRPr="1C89FEF5">
              <w:t xml:space="preserve">Federal Court of Australia </w:t>
            </w:r>
          </w:p>
        </w:tc>
        <w:tc>
          <w:tcPr>
            <w:tcW w:w="1276" w:type="dxa"/>
          </w:tcPr>
          <w:p w14:paraId="1A26A6B8" w14:textId="0696C73D" w:rsidR="67866725" w:rsidRDefault="67866725" w:rsidP="1C89FEF5">
            <w:pPr>
              <w:pStyle w:val="Tabletext"/>
              <w:rPr>
                <w:rFonts w:eastAsia="Calibri"/>
              </w:rPr>
            </w:pPr>
            <w:r w:rsidRPr="1C89FEF5">
              <w:rPr>
                <w:rFonts w:eastAsia="Calibri"/>
              </w:rPr>
              <w:t>1</w:t>
            </w:r>
          </w:p>
        </w:tc>
      </w:tr>
      <w:tr w:rsidR="1C89FEF5" w14:paraId="1DEC57D9" w14:textId="77777777" w:rsidTr="1C89FEF5">
        <w:tc>
          <w:tcPr>
            <w:tcW w:w="6237" w:type="dxa"/>
          </w:tcPr>
          <w:p w14:paraId="4FE08B2B" w14:textId="35CC04F4" w:rsidR="67866725" w:rsidRDefault="67866725" w:rsidP="1C89FEF5">
            <w:pPr>
              <w:pStyle w:val="Tabletext"/>
              <w:rPr>
                <w:rFonts w:eastAsia="Calibri"/>
              </w:rPr>
            </w:pPr>
            <w:r w:rsidRPr="1C89FEF5">
              <w:rPr>
                <w:rFonts w:eastAsia="Calibri"/>
              </w:rPr>
              <w:t>Fair Work Commission</w:t>
            </w:r>
          </w:p>
        </w:tc>
        <w:tc>
          <w:tcPr>
            <w:tcW w:w="1276" w:type="dxa"/>
          </w:tcPr>
          <w:p w14:paraId="5F24659A" w14:textId="1E6FDDD0" w:rsidR="67866725" w:rsidRDefault="67866725" w:rsidP="1C89FEF5">
            <w:pPr>
              <w:pStyle w:val="Tabletext"/>
              <w:rPr>
                <w:rFonts w:eastAsia="Calibri"/>
              </w:rPr>
            </w:pPr>
            <w:r w:rsidRPr="1C89FEF5">
              <w:rPr>
                <w:rFonts w:eastAsia="Calibri"/>
              </w:rPr>
              <w:t>2</w:t>
            </w:r>
          </w:p>
        </w:tc>
      </w:tr>
      <w:tr w:rsidR="007C6401" w14:paraId="4A686947" w14:textId="77777777" w:rsidTr="00DB2856">
        <w:tc>
          <w:tcPr>
            <w:tcW w:w="6237" w:type="dxa"/>
          </w:tcPr>
          <w:p w14:paraId="3AB1C506" w14:textId="77777777" w:rsidR="007C6401" w:rsidRPr="00705114" w:rsidRDefault="007C6401" w:rsidP="007C6401">
            <w:pPr>
              <w:pStyle w:val="Tabletext"/>
              <w:rPr>
                <w:shd w:val="clear" w:color="auto" w:fill="FFFFFF"/>
              </w:rPr>
            </w:pPr>
            <w:r>
              <w:rPr>
                <w:shd w:val="clear" w:color="auto" w:fill="FFFFFF"/>
              </w:rPr>
              <w:t>Court of Appeal Queensland</w:t>
            </w:r>
          </w:p>
        </w:tc>
        <w:tc>
          <w:tcPr>
            <w:tcW w:w="1276" w:type="dxa"/>
          </w:tcPr>
          <w:p w14:paraId="50E05D4E" w14:textId="35BED402" w:rsidR="007C6401" w:rsidRDefault="437E3951" w:rsidP="007C6401">
            <w:pPr>
              <w:pStyle w:val="Tabletext"/>
            </w:pPr>
            <w:r w:rsidRPr="1C89FEF5">
              <w:t>1</w:t>
            </w:r>
          </w:p>
        </w:tc>
      </w:tr>
      <w:tr w:rsidR="007C6401" w14:paraId="42396F4C" w14:textId="77777777" w:rsidTr="00DB2856">
        <w:tc>
          <w:tcPr>
            <w:tcW w:w="6237" w:type="dxa"/>
          </w:tcPr>
          <w:p w14:paraId="229BB0DF" w14:textId="77777777" w:rsidR="007C6401" w:rsidRDefault="007C6401" w:rsidP="007C6401">
            <w:pPr>
              <w:pStyle w:val="Tabletext"/>
            </w:pPr>
            <w:r w:rsidRPr="00705114">
              <w:rPr>
                <w:shd w:val="clear" w:color="auto" w:fill="FFFFFF"/>
              </w:rPr>
              <w:t>Supreme Court of Queensland</w:t>
            </w:r>
          </w:p>
        </w:tc>
        <w:tc>
          <w:tcPr>
            <w:tcW w:w="1276" w:type="dxa"/>
          </w:tcPr>
          <w:p w14:paraId="49DD19F4" w14:textId="78784FD8" w:rsidR="007C6401" w:rsidRDefault="437E3951" w:rsidP="007C6401">
            <w:pPr>
              <w:pStyle w:val="Tabletext"/>
            </w:pPr>
            <w:r w:rsidRPr="1C89FEF5">
              <w:t>3</w:t>
            </w:r>
          </w:p>
        </w:tc>
      </w:tr>
      <w:tr w:rsidR="007C6401" w14:paraId="1AE22535" w14:textId="77777777" w:rsidTr="00DB2856">
        <w:tc>
          <w:tcPr>
            <w:tcW w:w="6237" w:type="dxa"/>
          </w:tcPr>
          <w:p w14:paraId="306F7F4B" w14:textId="08B16161" w:rsidR="007C6401" w:rsidRPr="00705114" w:rsidRDefault="007C6401" w:rsidP="007C6401">
            <w:pPr>
              <w:pStyle w:val="Tabletext"/>
              <w:rPr>
                <w:shd w:val="clear" w:color="auto" w:fill="FFFFFF"/>
              </w:rPr>
            </w:pPr>
            <w:r w:rsidRPr="00705114">
              <w:rPr>
                <w:shd w:val="clear" w:color="auto" w:fill="FFFFFF"/>
              </w:rPr>
              <w:t>District Court of Queensland</w:t>
            </w:r>
            <w:r>
              <w:rPr>
                <w:shd w:val="clear" w:color="auto" w:fill="FFFFFF"/>
              </w:rPr>
              <w:t xml:space="preserve"> </w:t>
            </w:r>
          </w:p>
        </w:tc>
        <w:tc>
          <w:tcPr>
            <w:tcW w:w="1276" w:type="dxa"/>
          </w:tcPr>
          <w:p w14:paraId="40731B11" w14:textId="5FF293B0" w:rsidR="007C6401" w:rsidRPr="00705114" w:rsidRDefault="63DEF0BE" w:rsidP="007C6401">
            <w:pPr>
              <w:pStyle w:val="Tabletext"/>
              <w:rPr>
                <w:shd w:val="clear" w:color="auto" w:fill="FFFFFF"/>
              </w:rPr>
            </w:pPr>
            <w:r>
              <w:t>4</w:t>
            </w:r>
          </w:p>
        </w:tc>
      </w:tr>
      <w:tr w:rsidR="1C89FEF5" w14:paraId="07913DC0" w14:textId="77777777" w:rsidTr="1C89FEF5">
        <w:tc>
          <w:tcPr>
            <w:tcW w:w="6237" w:type="dxa"/>
          </w:tcPr>
          <w:p w14:paraId="2DF49327" w14:textId="69692CC8" w:rsidR="73E92371" w:rsidRDefault="73E92371" w:rsidP="1C89FEF5">
            <w:pPr>
              <w:pStyle w:val="Tabletext"/>
            </w:pPr>
            <w:r>
              <w:t>Land Court of Queensland</w:t>
            </w:r>
          </w:p>
        </w:tc>
        <w:tc>
          <w:tcPr>
            <w:tcW w:w="1276" w:type="dxa"/>
          </w:tcPr>
          <w:p w14:paraId="42D352FF" w14:textId="6DC4DCC6" w:rsidR="73E92371" w:rsidRDefault="73E92371" w:rsidP="1C89FEF5">
            <w:pPr>
              <w:pStyle w:val="Tabletext"/>
              <w:rPr>
                <w:rFonts w:eastAsia="Calibri"/>
              </w:rPr>
            </w:pPr>
            <w:r w:rsidRPr="1C89FEF5">
              <w:rPr>
                <w:rFonts w:eastAsia="Calibri"/>
              </w:rPr>
              <w:t>2</w:t>
            </w:r>
          </w:p>
        </w:tc>
      </w:tr>
      <w:tr w:rsidR="1C89FEF5" w14:paraId="0BD24BC9" w14:textId="77777777" w:rsidTr="1C89FEF5">
        <w:tc>
          <w:tcPr>
            <w:tcW w:w="6237" w:type="dxa"/>
          </w:tcPr>
          <w:p w14:paraId="2DF88EC5" w14:textId="73A2FBFB" w:rsidR="5AF0A546" w:rsidRDefault="5AF0A546" w:rsidP="1C89FEF5">
            <w:pPr>
              <w:pStyle w:val="Tabletext"/>
              <w:rPr>
                <w:rFonts w:eastAsia="Calibri"/>
              </w:rPr>
            </w:pPr>
            <w:r w:rsidRPr="1C89FEF5">
              <w:rPr>
                <w:rFonts w:eastAsia="Calibri"/>
              </w:rPr>
              <w:t>Mental Health Court Queensland</w:t>
            </w:r>
          </w:p>
        </w:tc>
        <w:tc>
          <w:tcPr>
            <w:tcW w:w="1276" w:type="dxa"/>
          </w:tcPr>
          <w:p w14:paraId="308390DE" w14:textId="6E385DBE" w:rsidR="5AF0A546" w:rsidRDefault="5AF0A546" w:rsidP="1C89FEF5">
            <w:pPr>
              <w:pStyle w:val="Tabletext"/>
              <w:rPr>
                <w:rFonts w:eastAsia="Calibri"/>
              </w:rPr>
            </w:pPr>
            <w:r w:rsidRPr="1C89FEF5">
              <w:rPr>
                <w:rFonts w:eastAsia="Calibri"/>
              </w:rPr>
              <w:t>1</w:t>
            </w:r>
          </w:p>
        </w:tc>
      </w:tr>
      <w:tr w:rsidR="007C6401" w14:paraId="40694A0B" w14:textId="77777777" w:rsidTr="00DB2856">
        <w:tc>
          <w:tcPr>
            <w:tcW w:w="6237" w:type="dxa"/>
          </w:tcPr>
          <w:p w14:paraId="70BA2769" w14:textId="77777777" w:rsidR="007C6401" w:rsidRPr="00705114" w:rsidRDefault="73E92371" w:rsidP="007C6401">
            <w:pPr>
              <w:pStyle w:val="Tabletext"/>
              <w:rPr>
                <w:shd w:val="clear" w:color="auto" w:fill="FFFFFF"/>
              </w:rPr>
            </w:pPr>
            <w:r w:rsidRPr="00705114">
              <w:rPr>
                <w:shd w:val="clear" w:color="auto" w:fill="FFFFFF"/>
              </w:rPr>
              <w:t>Coroners</w:t>
            </w:r>
            <w:r w:rsidR="007C6401">
              <w:rPr>
                <w:shd w:val="clear" w:color="auto" w:fill="FFFFFF"/>
              </w:rPr>
              <w:t xml:space="preserve"> </w:t>
            </w:r>
            <w:r w:rsidR="007C6401" w:rsidRPr="00705114">
              <w:rPr>
                <w:shd w:val="clear" w:color="auto" w:fill="FFFFFF"/>
              </w:rPr>
              <w:t>Court Queensland</w:t>
            </w:r>
          </w:p>
        </w:tc>
        <w:tc>
          <w:tcPr>
            <w:tcW w:w="1276" w:type="dxa"/>
          </w:tcPr>
          <w:p w14:paraId="3086DA16" w14:textId="3DDF8163" w:rsidR="007C6401" w:rsidRPr="00705114" w:rsidRDefault="73E92371" w:rsidP="007C6401">
            <w:pPr>
              <w:pStyle w:val="Tabletext"/>
              <w:rPr>
                <w:shd w:val="clear" w:color="auto" w:fill="FFFFFF"/>
              </w:rPr>
            </w:pPr>
            <w:r>
              <w:t>1</w:t>
            </w:r>
          </w:p>
        </w:tc>
      </w:tr>
      <w:tr w:rsidR="007C6401" w14:paraId="668FB573" w14:textId="77777777" w:rsidTr="00DB2856">
        <w:tc>
          <w:tcPr>
            <w:tcW w:w="6237" w:type="dxa"/>
          </w:tcPr>
          <w:p w14:paraId="224A6FD9" w14:textId="77777777" w:rsidR="007C6401" w:rsidRPr="00705114" w:rsidRDefault="007C6401" w:rsidP="007C6401">
            <w:pPr>
              <w:pStyle w:val="Tabletext"/>
              <w:rPr>
                <w:shd w:val="clear" w:color="auto" w:fill="FFFFFF"/>
              </w:rPr>
            </w:pPr>
            <w:r w:rsidRPr="00705114">
              <w:rPr>
                <w:shd w:val="clear" w:color="auto" w:fill="FFFFFF"/>
              </w:rPr>
              <w:t>Queensland Civil and Administrative Tribunal, Appeals</w:t>
            </w:r>
          </w:p>
        </w:tc>
        <w:tc>
          <w:tcPr>
            <w:tcW w:w="1276" w:type="dxa"/>
          </w:tcPr>
          <w:p w14:paraId="1CB1A83C" w14:textId="18B1BDA3" w:rsidR="007C6401" w:rsidRPr="00705114" w:rsidRDefault="64B3419B" w:rsidP="007C6401">
            <w:pPr>
              <w:pStyle w:val="Tabletext"/>
              <w:rPr>
                <w:shd w:val="clear" w:color="auto" w:fill="FFFFFF"/>
              </w:rPr>
            </w:pPr>
            <w:r>
              <w:t>4</w:t>
            </w:r>
          </w:p>
        </w:tc>
      </w:tr>
      <w:tr w:rsidR="007C6401" w14:paraId="74388FA0" w14:textId="77777777" w:rsidTr="00DB2856">
        <w:tc>
          <w:tcPr>
            <w:tcW w:w="6237" w:type="dxa"/>
          </w:tcPr>
          <w:p w14:paraId="3230EAB3" w14:textId="77777777" w:rsidR="007C6401" w:rsidRPr="00705114" w:rsidRDefault="007C6401" w:rsidP="007C6401">
            <w:pPr>
              <w:pStyle w:val="Tabletext"/>
              <w:rPr>
                <w:shd w:val="clear" w:color="auto" w:fill="FFFFFF"/>
              </w:rPr>
            </w:pPr>
            <w:r w:rsidRPr="00705114">
              <w:rPr>
                <w:shd w:val="clear" w:color="auto" w:fill="FFFFFF"/>
              </w:rPr>
              <w:t>Queensland Civil and Administrative Tribunal</w:t>
            </w:r>
          </w:p>
        </w:tc>
        <w:tc>
          <w:tcPr>
            <w:tcW w:w="1276" w:type="dxa"/>
          </w:tcPr>
          <w:p w14:paraId="19A89A6A" w14:textId="546B9E24" w:rsidR="007C6401" w:rsidRPr="00705114" w:rsidRDefault="674C3134" w:rsidP="007C6401">
            <w:pPr>
              <w:pStyle w:val="Tabletext"/>
              <w:rPr>
                <w:shd w:val="clear" w:color="auto" w:fill="FFFFFF"/>
              </w:rPr>
            </w:pPr>
            <w:r>
              <w:t>44</w:t>
            </w:r>
          </w:p>
        </w:tc>
      </w:tr>
      <w:tr w:rsidR="007C6401" w14:paraId="7AA0B833" w14:textId="77777777" w:rsidTr="00DB2856">
        <w:tc>
          <w:tcPr>
            <w:tcW w:w="6237" w:type="dxa"/>
          </w:tcPr>
          <w:p w14:paraId="38EAD307" w14:textId="77777777" w:rsidR="007C6401" w:rsidRPr="00705114" w:rsidRDefault="007C6401" w:rsidP="007C6401">
            <w:pPr>
              <w:pStyle w:val="Tabletext"/>
              <w:rPr>
                <w:shd w:val="clear" w:color="auto" w:fill="FFFFFF"/>
              </w:rPr>
            </w:pPr>
            <w:r w:rsidRPr="00705114">
              <w:rPr>
                <w:shd w:val="clear" w:color="auto" w:fill="FFFFFF"/>
              </w:rPr>
              <w:t xml:space="preserve">Queensland Industrial Relations Commission </w:t>
            </w:r>
          </w:p>
        </w:tc>
        <w:tc>
          <w:tcPr>
            <w:tcW w:w="1276" w:type="dxa"/>
          </w:tcPr>
          <w:p w14:paraId="23AE8E95" w14:textId="51543EC7" w:rsidR="007C6401" w:rsidRPr="00705114" w:rsidRDefault="674C3134" w:rsidP="007C6401">
            <w:pPr>
              <w:pStyle w:val="Tabletext"/>
              <w:rPr>
                <w:shd w:val="clear" w:color="auto" w:fill="FFFFFF"/>
              </w:rPr>
            </w:pPr>
            <w:r>
              <w:t>23</w:t>
            </w:r>
          </w:p>
        </w:tc>
      </w:tr>
      <w:tr w:rsidR="007C6401" w:rsidRPr="00781D2B" w14:paraId="74087F7B" w14:textId="77777777" w:rsidTr="00DB2856">
        <w:tc>
          <w:tcPr>
            <w:tcW w:w="6237" w:type="dxa"/>
          </w:tcPr>
          <w:p w14:paraId="02C78713" w14:textId="77777777" w:rsidR="007C6401" w:rsidRPr="00781D2B" w:rsidRDefault="007C6401" w:rsidP="007C6401">
            <w:pPr>
              <w:pStyle w:val="Tabletext"/>
              <w:rPr>
                <w:b/>
                <w:shd w:val="clear" w:color="auto" w:fill="FFFFFF"/>
              </w:rPr>
            </w:pPr>
            <w:r w:rsidRPr="00781D2B">
              <w:rPr>
                <w:b/>
                <w:shd w:val="clear" w:color="auto" w:fill="FFFFFF"/>
              </w:rPr>
              <w:t>Total</w:t>
            </w:r>
          </w:p>
        </w:tc>
        <w:tc>
          <w:tcPr>
            <w:tcW w:w="1276" w:type="dxa"/>
          </w:tcPr>
          <w:p w14:paraId="3B9591D6" w14:textId="2EA68226" w:rsidR="007C6401" w:rsidRPr="00781D2B" w:rsidRDefault="3AF39CEF" w:rsidP="007C6401">
            <w:pPr>
              <w:pStyle w:val="Tabletext"/>
              <w:rPr>
                <w:b/>
                <w:shd w:val="clear" w:color="auto" w:fill="FFFFFF"/>
              </w:rPr>
            </w:pPr>
            <w:r w:rsidRPr="1C89FEF5">
              <w:rPr>
                <w:b/>
                <w:bCs/>
              </w:rPr>
              <w:t>86</w:t>
            </w:r>
          </w:p>
        </w:tc>
      </w:tr>
    </w:tbl>
    <w:p w14:paraId="050F8022" w14:textId="77777777" w:rsidR="007C6401" w:rsidRDefault="007C6401" w:rsidP="007C6401">
      <w:pPr>
        <w:rPr>
          <w:color w:val="124370"/>
        </w:rPr>
      </w:pPr>
    </w:p>
    <w:p w14:paraId="64FEF32B" w14:textId="77777777" w:rsidR="00CE2E6A" w:rsidRPr="00581A01" w:rsidRDefault="00CE2E6A" w:rsidP="00FB3D03">
      <w:pPr>
        <w:pStyle w:val="Heading1"/>
        <w:rPr>
          <w:color w:val="004270"/>
        </w:rPr>
      </w:pPr>
      <w:bookmarkStart w:id="62" w:name="_Toc85526681"/>
      <w:bookmarkStart w:id="63" w:name="_Toc85787096"/>
      <w:bookmarkStart w:id="64" w:name="_Toc110506638"/>
      <w:bookmarkStart w:id="65" w:name="_Toc2067811541"/>
      <w:bookmarkStart w:id="66" w:name="_Toc117697155"/>
      <w:bookmarkStart w:id="67" w:name="_Toc117697862"/>
      <w:r w:rsidRPr="00581A01">
        <w:rPr>
          <w:color w:val="004270"/>
        </w:rPr>
        <w:lastRenderedPageBreak/>
        <w:t>Key cases</w:t>
      </w:r>
      <w:bookmarkEnd w:id="62"/>
      <w:bookmarkEnd w:id="63"/>
      <w:bookmarkEnd w:id="64"/>
      <w:bookmarkEnd w:id="65"/>
      <w:bookmarkEnd w:id="66"/>
      <w:bookmarkEnd w:id="67"/>
    </w:p>
    <w:p w14:paraId="23C3AD83" w14:textId="2113F3B5" w:rsidR="00CE2E6A" w:rsidRPr="008A00EB" w:rsidRDefault="00CE2E6A" w:rsidP="00CE2E6A">
      <w:r>
        <w:t xml:space="preserve">Queensland courts </w:t>
      </w:r>
      <w:r w:rsidR="003C623D">
        <w:t xml:space="preserve">from a range of jurisdictions </w:t>
      </w:r>
      <w:r>
        <w:t xml:space="preserve">considered the </w:t>
      </w:r>
      <w:r w:rsidRPr="00341538">
        <w:t>Human Rights Act</w:t>
      </w:r>
      <w:r w:rsidR="0093278E">
        <w:t>, and a</w:t>
      </w:r>
      <w:r>
        <w:t xml:space="preserve"> </w:t>
      </w:r>
      <w:r w:rsidR="0093278E">
        <w:t xml:space="preserve">selection </w:t>
      </w:r>
      <w:r>
        <w:t xml:space="preserve">of key cases from the reporting period are </w:t>
      </w:r>
      <w:r w:rsidR="00D82B3F">
        <w:t xml:space="preserve">summarised </w:t>
      </w:r>
      <w:r>
        <w:t>below.</w:t>
      </w:r>
    </w:p>
    <w:p w14:paraId="233551C6" w14:textId="017E535C" w:rsidR="4FBEF764" w:rsidRPr="00581A01" w:rsidRDefault="4FBEF764" w:rsidP="651486F3">
      <w:pPr>
        <w:pStyle w:val="Heading2"/>
        <w:rPr>
          <w:rFonts w:eastAsia="Yu Gothic Light" w:cs="Times New Roman"/>
          <w:color w:val="004270"/>
        </w:rPr>
      </w:pPr>
      <w:bookmarkStart w:id="68" w:name="_Toc1146581655"/>
      <w:bookmarkStart w:id="69" w:name="_Toc117697156"/>
      <w:bookmarkStart w:id="70" w:name="_Toc117697863"/>
      <w:r w:rsidRPr="00581A01">
        <w:rPr>
          <w:i/>
          <w:iCs/>
          <w:color w:val="004270"/>
        </w:rPr>
        <w:t>Owen-D'Arcy v Chief Executive</w:t>
      </w:r>
      <w:r w:rsidR="6481712C" w:rsidRPr="00581A01">
        <w:rPr>
          <w:i/>
          <w:iCs/>
          <w:color w:val="004270"/>
        </w:rPr>
        <w:t>,</w:t>
      </w:r>
      <w:r w:rsidRPr="00581A01">
        <w:rPr>
          <w:i/>
          <w:iCs/>
          <w:color w:val="004270"/>
        </w:rPr>
        <w:t xml:space="preserve"> Queensland Corrective Services</w:t>
      </w:r>
      <w:r w:rsidRPr="00581A01">
        <w:rPr>
          <w:color w:val="004270"/>
        </w:rPr>
        <w:t xml:space="preserve"> [2021] QSC 273</w:t>
      </w:r>
      <w:bookmarkEnd w:id="68"/>
      <w:bookmarkEnd w:id="69"/>
      <w:bookmarkEnd w:id="70"/>
    </w:p>
    <w:p w14:paraId="5920F4ED" w14:textId="67C9F989" w:rsidR="1D54D3BF" w:rsidRDefault="36C4DD6D" w:rsidP="651486F3">
      <w:pPr>
        <w:rPr>
          <w:rFonts w:eastAsia="Calibri" w:cs="Arial"/>
        </w:rPr>
      </w:pPr>
      <w:r w:rsidRPr="5F845E5C">
        <w:rPr>
          <w:rFonts w:eastAsia="Calibri" w:cs="Arial"/>
        </w:rPr>
        <w:t xml:space="preserve">A prisoner applied </w:t>
      </w:r>
      <w:r w:rsidR="00A26600">
        <w:rPr>
          <w:rFonts w:eastAsia="Calibri" w:cs="Arial"/>
        </w:rPr>
        <w:t xml:space="preserve">to the Supreme Court </w:t>
      </w:r>
      <w:r w:rsidRPr="5F845E5C">
        <w:rPr>
          <w:rFonts w:eastAsia="Calibri" w:cs="Arial"/>
        </w:rPr>
        <w:t xml:space="preserve">for judicial review of two related decisions to continue his solitary confinement </w:t>
      </w:r>
      <w:r w:rsidR="00B558CF">
        <w:rPr>
          <w:rFonts w:eastAsia="Calibri" w:cs="Arial"/>
        </w:rPr>
        <w:t>–</w:t>
      </w:r>
      <w:r w:rsidR="006A1BE8">
        <w:rPr>
          <w:rFonts w:eastAsia="Calibri" w:cs="Arial"/>
        </w:rPr>
        <w:t xml:space="preserve"> </w:t>
      </w:r>
      <w:r w:rsidR="006A1BE8" w:rsidRPr="5F845E5C">
        <w:rPr>
          <w:rFonts w:eastAsia="Calibri" w:cs="Arial"/>
        </w:rPr>
        <w:t xml:space="preserve">which had been ongoing </w:t>
      </w:r>
      <w:r w:rsidR="006A1BE8" w:rsidRPr="053E93F8">
        <w:rPr>
          <w:rFonts w:eastAsia="Calibri" w:cs="Arial"/>
        </w:rPr>
        <w:t>for 7 years</w:t>
      </w:r>
      <w:r w:rsidR="00B558CF">
        <w:rPr>
          <w:rFonts w:eastAsia="Calibri" w:cs="Arial"/>
        </w:rPr>
        <w:t xml:space="preserve"> –</w:t>
      </w:r>
      <w:r w:rsidRPr="5F845E5C">
        <w:rPr>
          <w:rFonts w:eastAsia="Calibri" w:cs="Arial"/>
        </w:rPr>
        <w:t xml:space="preserve"> </w:t>
      </w:r>
      <w:r w:rsidR="088BFF7B" w:rsidRPr="053E93F8">
        <w:rPr>
          <w:rFonts w:eastAsia="Calibri" w:cs="Arial"/>
        </w:rPr>
        <w:t>for a further 6 months</w:t>
      </w:r>
      <w:r w:rsidRPr="053E93F8">
        <w:rPr>
          <w:rFonts w:eastAsia="Calibri" w:cs="Arial"/>
        </w:rPr>
        <w:t>.</w:t>
      </w:r>
      <w:r w:rsidRPr="5F845E5C">
        <w:rPr>
          <w:rFonts w:eastAsia="Calibri" w:cs="Arial"/>
        </w:rPr>
        <w:t xml:space="preserve"> </w:t>
      </w:r>
      <w:r w:rsidR="005727DC">
        <w:rPr>
          <w:rFonts w:eastAsia="Calibri" w:cs="Arial"/>
        </w:rPr>
        <w:t>A</w:t>
      </w:r>
      <w:r w:rsidRPr="5F845E5C">
        <w:rPr>
          <w:rFonts w:eastAsia="Calibri" w:cs="Arial"/>
        </w:rPr>
        <w:t xml:space="preserve">lleged breaches of the respondent’s obligations under the </w:t>
      </w:r>
      <w:r w:rsidRPr="268503B3">
        <w:rPr>
          <w:rFonts w:eastAsia="Calibri" w:cs="Arial"/>
        </w:rPr>
        <w:t>Human Rights Act</w:t>
      </w:r>
      <w:r w:rsidR="005727DC">
        <w:rPr>
          <w:rFonts w:eastAsia="Calibri" w:cs="Arial"/>
        </w:rPr>
        <w:t xml:space="preserve"> were piggy-backed onto the ju</w:t>
      </w:r>
      <w:r w:rsidR="005D5F7D">
        <w:rPr>
          <w:rFonts w:eastAsia="Calibri" w:cs="Arial"/>
        </w:rPr>
        <w:t>dicial review application</w:t>
      </w:r>
      <w:r w:rsidR="0065122C">
        <w:rPr>
          <w:rFonts w:eastAsia="Calibri" w:cs="Arial"/>
        </w:rPr>
        <w:t>, and</w:t>
      </w:r>
      <w:r w:rsidRPr="5F845E5C">
        <w:rPr>
          <w:rFonts w:eastAsia="Calibri" w:cs="Arial"/>
        </w:rPr>
        <w:t xml:space="preserve"> proved central to the proceedings, as the only successful grounds involved human rights.</w:t>
      </w:r>
    </w:p>
    <w:p w14:paraId="6E8F2645" w14:textId="6635EE2F" w:rsidR="56C9F898" w:rsidRPr="00581A01" w:rsidRDefault="56C9F898" w:rsidP="651486F3">
      <w:pPr>
        <w:pStyle w:val="Heading3"/>
        <w:rPr>
          <w:rFonts w:eastAsia="Yu Gothic Light" w:cs="Times New Roman"/>
          <w:color w:val="004270"/>
        </w:rPr>
      </w:pPr>
      <w:bookmarkStart w:id="71" w:name="_Toc340506128"/>
      <w:r w:rsidRPr="00581A01">
        <w:rPr>
          <w:color w:val="004270"/>
        </w:rPr>
        <w:t>Proper consideration</w:t>
      </w:r>
      <w:bookmarkEnd w:id="71"/>
    </w:p>
    <w:p w14:paraId="103B3C63" w14:textId="395FBFC4" w:rsidR="56C9F898" w:rsidRDefault="68065307" w:rsidP="6E24F597">
      <w:pPr>
        <w:rPr>
          <w:rFonts w:eastAsia="Calibri" w:cs="Arial"/>
        </w:rPr>
      </w:pPr>
      <w:r w:rsidRPr="31E6E95C">
        <w:rPr>
          <w:rFonts w:eastAsia="Arial" w:cs="Arial"/>
        </w:rPr>
        <w:t>The</w:t>
      </w:r>
      <w:r w:rsidRPr="32D8E388">
        <w:rPr>
          <w:rFonts w:eastAsia="Arial" w:cs="Arial"/>
        </w:rPr>
        <w:t xml:space="preserve"> </w:t>
      </w:r>
      <w:r w:rsidR="00D41C09">
        <w:rPr>
          <w:rFonts w:eastAsia="Arial" w:cs="Arial"/>
        </w:rPr>
        <w:t>c</w:t>
      </w:r>
      <w:r w:rsidRPr="32D8E388">
        <w:rPr>
          <w:rFonts w:eastAsia="Arial" w:cs="Arial"/>
        </w:rPr>
        <w:t>ourt clarified what it means to give proper consideration to human rights in making a decision</w:t>
      </w:r>
      <w:r w:rsidRPr="31E6E95C">
        <w:rPr>
          <w:rFonts w:eastAsia="Arial" w:cs="Arial"/>
        </w:rPr>
        <w:t xml:space="preserve"> under the Act </w:t>
      </w:r>
      <w:r w:rsidR="00F82725">
        <w:rPr>
          <w:rFonts w:eastAsia="Arial" w:cs="Arial"/>
        </w:rPr>
        <w:t xml:space="preserve">and </w:t>
      </w:r>
      <w:r w:rsidRPr="31E6E95C">
        <w:rPr>
          <w:rFonts w:eastAsia="Arial" w:cs="Arial"/>
        </w:rPr>
        <w:t>dismiss</w:t>
      </w:r>
      <w:r w:rsidR="00F82725">
        <w:rPr>
          <w:rFonts w:eastAsia="Arial" w:cs="Arial"/>
        </w:rPr>
        <w:t>ed</w:t>
      </w:r>
      <w:r w:rsidRPr="31E6E95C">
        <w:rPr>
          <w:rFonts w:eastAsia="Arial" w:cs="Arial"/>
        </w:rPr>
        <w:t xml:space="preserve"> the idea that section 58(5) </w:t>
      </w:r>
      <w:r w:rsidR="56C9F898" w:rsidRPr="31E6E95C">
        <w:rPr>
          <w:rFonts w:eastAsia="Arial" w:cs="Arial"/>
        </w:rPr>
        <w:t>of the Act</w:t>
      </w:r>
      <w:r w:rsidRPr="31E6E95C">
        <w:rPr>
          <w:rFonts w:eastAsia="Arial" w:cs="Arial"/>
        </w:rPr>
        <w:t>, which</w:t>
      </w:r>
      <w:r w:rsidR="56C9F898" w:rsidRPr="31E6E95C">
        <w:rPr>
          <w:rFonts w:eastAsia="Arial" w:cs="Arial"/>
        </w:rPr>
        <w:t xml:space="preserve"> </w:t>
      </w:r>
      <w:r w:rsidR="5EE4E485" w:rsidRPr="31E6E95C">
        <w:rPr>
          <w:rFonts w:eastAsia="Arial" w:cs="Arial"/>
        </w:rPr>
        <w:t>is unique</w:t>
      </w:r>
      <w:r w:rsidR="29CC11B8" w:rsidRPr="31E6E95C">
        <w:rPr>
          <w:rFonts w:eastAsia="Arial" w:cs="Arial"/>
        </w:rPr>
        <w:t xml:space="preserve"> to Queensland</w:t>
      </w:r>
      <w:r w:rsidRPr="31E6E95C">
        <w:rPr>
          <w:rFonts w:eastAsia="Arial" w:cs="Arial"/>
        </w:rPr>
        <w:t>,</w:t>
      </w:r>
      <w:r w:rsidR="56C9F898" w:rsidRPr="31E6E95C">
        <w:rPr>
          <w:rFonts w:eastAsia="Arial" w:cs="Arial"/>
        </w:rPr>
        <w:t xml:space="preserve"> </w:t>
      </w:r>
      <w:r w:rsidR="56C9F898" w:rsidRPr="651486F3">
        <w:rPr>
          <w:rFonts w:eastAsia="Calibri" w:cs="Arial"/>
        </w:rPr>
        <w:t xml:space="preserve">‘codified’ the existing </w:t>
      </w:r>
      <w:r w:rsidR="69443144" w:rsidRPr="6E24F597">
        <w:rPr>
          <w:rFonts w:eastAsia="Calibri" w:cs="Arial"/>
        </w:rPr>
        <w:t xml:space="preserve">position in </w:t>
      </w:r>
      <w:r w:rsidR="56C9F898" w:rsidRPr="651486F3">
        <w:rPr>
          <w:rFonts w:eastAsia="Calibri" w:cs="Arial"/>
        </w:rPr>
        <w:t>Victorian case law</w:t>
      </w:r>
      <w:r w:rsidR="39205F3D" w:rsidRPr="13EB7295">
        <w:rPr>
          <w:rFonts w:eastAsia="Calibri" w:cs="Arial"/>
        </w:rPr>
        <w:t>.</w:t>
      </w:r>
    </w:p>
    <w:p w14:paraId="1998A490" w14:textId="7AE2E57A" w:rsidR="56C9F898" w:rsidRDefault="054CDB6F" w:rsidP="651486F3">
      <w:pPr>
        <w:rPr>
          <w:rFonts w:eastAsia="Calibri" w:cs="Arial"/>
        </w:rPr>
      </w:pPr>
      <w:r w:rsidRPr="651486F3">
        <w:rPr>
          <w:rFonts w:eastAsia="Calibri" w:cs="Arial"/>
        </w:rPr>
        <w:t>Instead</w:t>
      </w:r>
      <w:r w:rsidR="6D25ACB5" w:rsidRPr="651486F3">
        <w:rPr>
          <w:rFonts w:eastAsia="Calibri" w:cs="Arial"/>
        </w:rPr>
        <w:t xml:space="preserve">, </w:t>
      </w:r>
      <w:r w:rsidR="4DD8B55C" w:rsidRPr="07D8E02D">
        <w:rPr>
          <w:rFonts w:eastAsia="Calibri" w:cs="Arial"/>
        </w:rPr>
        <w:t xml:space="preserve">section 58(5) sets out two elements </w:t>
      </w:r>
      <w:r w:rsidR="6D25ACB5" w:rsidRPr="651486F3">
        <w:rPr>
          <w:rFonts w:eastAsia="Calibri" w:cs="Arial"/>
        </w:rPr>
        <w:t xml:space="preserve">necessary </w:t>
      </w:r>
      <w:r w:rsidR="4DD8B55C" w:rsidRPr="07D8E02D">
        <w:rPr>
          <w:rFonts w:eastAsia="Calibri" w:cs="Arial"/>
        </w:rPr>
        <w:t>to</w:t>
      </w:r>
      <w:r w:rsidR="6D25ACB5" w:rsidRPr="651486F3">
        <w:rPr>
          <w:rFonts w:eastAsia="Calibri" w:cs="Arial"/>
        </w:rPr>
        <w:t xml:space="preserve"> demonstrate that proper consideration has been given to a human right, namely:</w:t>
      </w:r>
    </w:p>
    <w:p w14:paraId="58B328DB" w14:textId="5100C64E" w:rsidR="6D25ACB5" w:rsidRDefault="6D25ACB5" w:rsidP="00FD4BC7">
      <w:pPr>
        <w:pStyle w:val="ListParagraph"/>
        <w:numPr>
          <w:ilvl w:val="0"/>
          <w:numId w:val="11"/>
        </w:numPr>
        <w:spacing w:line="300" w:lineRule="auto"/>
        <w:ind w:right="1985"/>
        <w:rPr>
          <w:szCs w:val="22"/>
        </w:rPr>
      </w:pPr>
      <w:r w:rsidRPr="651486F3">
        <w:rPr>
          <w:rFonts w:eastAsia="Calibri" w:cs="Arial"/>
          <w:szCs w:val="22"/>
        </w:rPr>
        <w:t>identif</w:t>
      </w:r>
      <w:r w:rsidR="00A61FD8">
        <w:rPr>
          <w:rFonts w:eastAsia="Calibri" w:cs="Arial"/>
          <w:szCs w:val="22"/>
        </w:rPr>
        <w:t>ying</w:t>
      </w:r>
      <w:r w:rsidRPr="651486F3">
        <w:rPr>
          <w:rFonts w:eastAsia="Calibri" w:cs="Arial"/>
          <w:szCs w:val="22"/>
        </w:rPr>
        <w:t xml:space="preserve"> </w:t>
      </w:r>
      <w:r w:rsidRPr="70473256">
        <w:rPr>
          <w:rFonts w:eastAsia="Calibri" w:cs="Arial"/>
          <w:szCs w:val="22"/>
        </w:rPr>
        <w:t>the</w:t>
      </w:r>
      <w:r w:rsidRPr="651486F3">
        <w:rPr>
          <w:rFonts w:eastAsia="Calibri" w:cs="Arial"/>
          <w:szCs w:val="22"/>
        </w:rPr>
        <w:t xml:space="preserve"> human rights </w:t>
      </w:r>
      <w:r w:rsidR="529057C6" w:rsidRPr="70473256">
        <w:rPr>
          <w:rFonts w:eastAsia="Calibri" w:cs="Arial"/>
          <w:szCs w:val="22"/>
        </w:rPr>
        <w:t xml:space="preserve">that may be </w:t>
      </w:r>
      <w:r w:rsidRPr="651486F3">
        <w:rPr>
          <w:rFonts w:eastAsia="Calibri" w:cs="Arial"/>
          <w:szCs w:val="22"/>
        </w:rPr>
        <w:t>affected</w:t>
      </w:r>
      <w:r w:rsidR="529057C6" w:rsidRPr="70473256">
        <w:rPr>
          <w:rFonts w:eastAsia="Calibri" w:cs="Arial"/>
          <w:szCs w:val="22"/>
        </w:rPr>
        <w:t xml:space="preserve"> by the decision</w:t>
      </w:r>
      <w:r w:rsidRPr="651486F3">
        <w:rPr>
          <w:rFonts w:eastAsia="Calibri" w:cs="Arial"/>
          <w:szCs w:val="22"/>
        </w:rPr>
        <w:t xml:space="preserve">; and </w:t>
      </w:r>
    </w:p>
    <w:p w14:paraId="5E346BFE" w14:textId="58FF99B1" w:rsidR="6D25ACB5" w:rsidRDefault="6D25ACB5" w:rsidP="00FD4BC7">
      <w:pPr>
        <w:pStyle w:val="ListParagraph"/>
        <w:numPr>
          <w:ilvl w:val="0"/>
          <w:numId w:val="11"/>
        </w:numPr>
        <w:rPr>
          <w:rFonts w:asciiTheme="minorHAnsi" w:hAnsiTheme="minorHAnsi"/>
          <w:szCs w:val="22"/>
        </w:rPr>
      </w:pPr>
      <w:r w:rsidRPr="08A4DAF2">
        <w:rPr>
          <w:rFonts w:eastAsia="Calibri" w:cs="Arial"/>
          <w:szCs w:val="22"/>
        </w:rPr>
        <w:t>consider</w:t>
      </w:r>
      <w:r w:rsidR="00097D9E">
        <w:rPr>
          <w:rFonts w:eastAsia="Calibri" w:cs="Arial"/>
          <w:szCs w:val="22"/>
        </w:rPr>
        <w:t>ing</w:t>
      </w:r>
      <w:r w:rsidRPr="08A4DAF2">
        <w:rPr>
          <w:rFonts w:eastAsia="Calibri" w:cs="Arial"/>
          <w:szCs w:val="22"/>
        </w:rPr>
        <w:t xml:space="preserve"> whe</w:t>
      </w:r>
      <w:r w:rsidR="565CEF24" w:rsidRPr="08A4DAF2">
        <w:rPr>
          <w:rFonts w:eastAsia="Calibri" w:cs="Arial"/>
          <w:szCs w:val="22"/>
        </w:rPr>
        <w:t>ther</w:t>
      </w:r>
      <w:r w:rsidRPr="651486F3">
        <w:rPr>
          <w:rFonts w:eastAsia="Calibri" w:cs="Arial"/>
          <w:szCs w:val="22"/>
        </w:rPr>
        <w:t xml:space="preserve"> the decision would be compatible with </w:t>
      </w:r>
      <w:r w:rsidR="008A20E3">
        <w:rPr>
          <w:rFonts w:eastAsia="Calibri" w:cs="Arial"/>
          <w:szCs w:val="22"/>
        </w:rPr>
        <w:t>human</w:t>
      </w:r>
      <w:r w:rsidRPr="651486F3">
        <w:rPr>
          <w:rFonts w:eastAsia="Calibri" w:cs="Arial"/>
          <w:szCs w:val="22"/>
        </w:rPr>
        <w:t xml:space="preserve"> rights</w:t>
      </w:r>
      <w:r w:rsidR="008A20E3">
        <w:rPr>
          <w:rFonts w:eastAsia="Calibri" w:cs="Arial"/>
          <w:szCs w:val="22"/>
        </w:rPr>
        <w:t>.</w:t>
      </w:r>
    </w:p>
    <w:p w14:paraId="3886296D" w14:textId="03EAE5D8" w:rsidR="4CCAB161" w:rsidRDefault="00A46EB7" w:rsidP="651486F3">
      <w:pPr>
        <w:rPr>
          <w:rFonts w:eastAsia="Calibri" w:cs="Arial"/>
        </w:rPr>
      </w:pPr>
      <w:r>
        <w:rPr>
          <w:rFonts w:eastAsia="Calibri" w:cs="Arial"/>
        </w:rPr>
        <w:t>Justice Martin</w:t>
      </w:r>
      <w:r w:rsidR="009D1EC0">
        <w:rPr>
          <w:rFonts w:eastAsia="Calibri" w:cs="Arial"/>
        </w:rPr>
        <w:t xml:space="preserve"> stated that </w:t>
      </w:r>
      <w:r w:rsidR="00201DAC">
        <w:rPr>
          <w:rFonts w:eastAsia="Calibri" w:cs="Arial"/>
        </w:rPr>
        <w:t>i</w:t>
      </w:r>
      <w:r w:rsidR="4CCAB161" w:rsidRPr="651486F3">
        <w:rPr>
          <w:rFonts w:eastAsia="Calibri" w:cs="Arial"/>
        </w:rPr>
        <w:t>dentif</w:t>
      </w:r>
      <w:r w:rsidR="00C11969">
        <w:rPr>
          <w:rFonts w:eastAsia="Calibri" w:cs="Arial"/>
        </w:rPr>
        <w:t>ying</w:t>
      </w:r>
      <w:r w:rsidR="4CCAB161" w:rsidRPr="651486F3">
        <w:rPr>
          <w:rFonts w:eastAsia="Calibri" w:cs="Arial"/>
        </w:rPr>
        <w:t xml:space="preserve"> </w:t>
      </w:r>
      <w:r w:rsidR="00201DAC">
        <w:rPr>
          <w:rFonts w:eastAsia="Calibri" w:cs="Arial"/>
        </w:rPr>
        <w:t>the</w:t>
      </w:r>
      <w:r w:rsidR="4CCAB161" w:rsidRPr="651486F3">
        <w:rPr>
          <w:rFonts w:eastAsia="Calibri" w:cs="Arial"/>
        </w:rPr>
        <w:t xml:space="preserve"> relevant human rights </w:t>
      </w:r>
      <w:r w:rsidR="00804C17">
        <w:rPr>
          <w:rFonts w:eastAsia="Calibri" w:cs="Arial"/>
        </w:rPr>
        <w:t>‘</w:t>
      </w:r>
      <w:r w:rsidR="4CCAB161" w:rsidRPr="651486F3">
        <w:rPr>
          <w:rFonts w:eastAsia="Calibri" w:cs="Arial"/>
        </w:rPr>
        <w:t>is an exercise that must be approached in a common sense and practical manner</w:t>
      </w:r>
      <w:r w:rsidR="00804C17">
        <w:rPr>
          <w:rFonts w:eastAsia="Calibri" w:cs="Arial"/>
        </w:rPr>
        <w:t>’</w:t>
      </w:r>
      <w:r w:rsidR="4CCAB161" w:rsidRPr="651486F3">
        <w:rPr>
          <w:rFonts w:eastAsia="Calibri" w:cs="Arial"/>
        </w:rPr>
        <w:t>.</w:t>
      </w:r>
      <w:r w:rsidR="00804C17">
        <w:rPr>
          <w:rStyle w:val="FootnoteReference"/>
          <w:rFonts w:eastAsia="Calibri" w:cs="Arial"/>
        </w:rPr>
        <w:footnoteReference w:id="3"/>
      </w:r>
    </w:p>
    <w:p w14:paraId="14C3BB58" w14:textId="3D2ABB11" w:rsidR="71C7F8DB" w:rsidRDefault="48A7AA3D" w:rsidP="651486F3">
      <w:pPr>
        <w:rPr>
          <w:rFonts w:eastAsia="Calibri" w:cs="Arial"/>
        </w:rPr>
      </w:pPr>
      <w:r w:rsidRPr="7C9A4EA6">
        <w:rPr>
          <w:rFonts w:eastAsia="Calibri" w:cs="Arial"/>
        </w:rPr>
        <w:t xml:space="preserve">In </w:t>
      </w:r>
      <w:r w:rsidR="13EA2209" w:rsidRPr="7C9A4EA6">
        <w:rPr>
          <w:rFonts w:eastAsia="Calibri" w:cs="Arial"/>
        </w:rPr>
        <w:t>this case</w:t>
      </w:r>
      <w:r w:rsidRPr="7C9A4EA6">
        <w:rPr>
          <w:rFonts w:eastAsia="Calibri" w:cs="Arial"/>
        </w:rPr>
        <w:t xml:space="preserve">, the </w:t>
      </w:r>
      <w:r w:rsidR="4A1BBAC8" w:rsidRPr="7C9A4EA6">
        <w:rPr>
          <w:rFonts w:eastAsia="Calibri" w:cs="Arial"/>
        </w:rPr>
        <w:t xml:space="preserve">decision-maker </w:t>
      </w:r>
      <w:r w:rsidRPr="7C9A4EA6">
        <w:rPr>
          <w:rFonts w:eastAsia="Calibri" w:cs="Arial"/>
        </w:rPr>
        <w:t xml:space="preserve">only referred to the </w:t>
      </w:r>
      <w:r w:rsidR="531B6027" w:rsidRPr="7C9A4EA6">
        <w:rPr>
          <w:rFonts w:eastAsia="Calibri" w:cs="Arial"/>
        </w:rPr>
        <w:t>applicant'</w:t>
      </w:r>
      <w:r w:rsidRPr="7C9A4EA6">
        <w:rPr>
          <w:rFonts w:eastAsia="Calibri" w:cs="Arial"/>
        </w:rPr>
        <w:t xml:space="preserve">s </w:t>
      </w:r>
      <w:r w:rsidR="2E55C4CC" w:rsidRPr="7C9A4EA6">
        <w:rPr>
          <w:rFonts w:eastAsia="Calibri" w:cs="Arial"/>
        </w:rPr>
        <w:t>right to peaceful assembly and freedom of association. By failing to identify the prisoner’s right to humane treatment when deprived of liberty, the respondent had failed</w:t>
      </w:r>
      <w:r w:rsidR="6D6735B9" w:rsidRPr="7C9A4EA6">
        <w:rPr>
          <w:rFonts w:eastAsia="Calibri" w:cs="Arial"/>
        </w:rPr>
        <w:t xml:space="preserve"> </w:t>
      </w:r>
      <w:r w:rsidR="2E55C4CC" w:rsidRPr="7C9A4EA6">
        <w:rPr>
          <w:rFonts w:eastAsia="Calibri" w:cs="Arial"/>
        </w:rPr>
        <w:t xml:space="preserve">to </w:t>
      </w:r>
      <w:r w:rsidR="7B872759" w:rsidRPr="7C9A4EA6">
        <w:rPr>
          <w:rFonts w:eastAsia="Calibri" w:cs="Arial"/>
        </w:rPr>
        <w:t xml:space="preserve">give </w:t>
      </w:r>
      <w:r w:rsidR="2E55C4CC" w:rsidRPr="7C9A4EA6">
        <w:rPr>
          <w:rFonts w:eastAsia="Calibri" w:cs="Arial"/>
        </w:rPr>
        <w:t>p</w:t>
      </w:r>
      <w:r w:rsidR="7581E554" w:rsidRPr="7C9A4EA6">
        <w:rPr>
          <w:rFonts w:eastAsia="Calibri" w:cs="Arial"/>
        </w:rPr>
        <w:t xml:space="preserve">roper </w:t>
      </w:r>
      <w:r w:rsidR="2E55C4CC" w:rsidRPr="7C9A4EA6">
        <w:rPr>
          <w:rFonts w:eastAsia="Calibri" w:cs="Arial"/>
        </w:rPr>
        <w:t>consider</w:t>
      </w:r>
      <w:r w:rsidR="682D570B" w:rsidRPr="7C9A4EA6">
        <w:rPr>
          <w:rFonts w:eastAsia="Calibri" w:cs="Arial"/>
        </w:rPr>
        <w:t>ation to</w:t>
      </w:r>
      <w:r w:rsidR="2E55C4CC" w:rsidRPr="7C9A4EA6">
        <w:rPr>
          <w:rFonts w:eastAsia="Calibri" w:cs="Arial"/>
        </w:rPr>
        <w:t xml:space="preserve"> human rights when making the decision.</w:t>
      </w:r>
    </w:p>
    <w:p w14:paraId="3C7B2FB2" w14:textId="500D808C" w:rsidR="78D43305" w:rsidRPr="00581A01" w:rsidRDefault="78D43305" w:rsidP="5F845E5C">
      <w:pPr>
        <w:pStyle w:val="Heading3"/>
        <w:rPr>
          <w:rFonts w:eastAsia="Yu Gothic Light" w:cs="Times New Roman"/>
          <w:color w:val="004270"/>
        </w:rPr>
      </w:pPr>
      <w:bookmarkStart w:id="72" w:name="_Toc1725746840"/>
      <w:r w:rsidRPr="00581A01">
        <w:rPr>
          <w:color w:val="004270"/>
        </w:rPr>
        <w:lastRenderedPageBreak/>
        <w:t>Compatibility</w:t>
      </w:r>
      <w:bookmarkEnd w:id="72"/>
    </w:p>
    <w:p w14:paraId="1BA529D4" w14:textId="654B43D0" w:rsidR="06C6C5BF" w:rsidRDefault="06C6C5BF" w:rsidP="5F845E5C">
      <w:pPr>
        <w:rPr>
          <w:rFonts w:eastAsia="Calibri" w:cs="Arial"/>
        </w:rPr>
      </w:pPr>
      <w:r w:rsidRPr="7C9A4EA6">
        <w:rPr>
          <w:rFonts w:eastAsia="Calibri" w:cs="Arial"/>
        </w:rPr>
        <w:t xml:space="preserve">The </w:t>
      </w:r>
      <w:r w:rsidR="00F84F29">
        <w:rPr>
          <w:rFonts w:eastAsia="Calibri" w:cs="Arial"/>
        </w:rPr>
        <w:t>c</w:t>
      </w:r>
      <w:r w:rsidRPr="7C9A4EA6">
        <w:rPr>
          <w:rFonts w:eastAsia="Calibri" w:cs="Arial"/>
        </w:rPr>
        <w:t xml:space="preserve">ourt confirmed that the applicant must first demonstrate that a right </w:t>
      </w:r>
      <w:r w:rsidR="16921E8C" w:rsidRPr="7C9A4EA6">
        <w:rPr>
          <w:rFonts w:eastAsia="Calibri" w:cs="Arial"/>
        </w:rPr>
        <w:t>has been</w:t>
      </w:r>
      <w:r w:rsidRPr="7C9A4EA6">
        <w:rPr>
          <w:rFonts w:eastAsia="Calibri" w:cs="Arial"/>
        </w:rPr>
        <w:t xml:space="preserve"> ‘engaged’ or limited. The onus then shifts to the respondent public entity to demonstrably justify the limitation. The standard of proof on the </w:t>
      </w:r>
      <w:r w:rsidR="61A6D0A5" w:rsidRPr="7C9A4EA6">
        <w:rPr>
          <w:rFonts w:eastAsia="Calibri" w:cs="Arial"/>
        </w:rPr>
        <w:t>respondent</w:t>
      </w:r>
      <w:r w:rsidRPr="7C9A4EA6">
        <w:rPr>
          <w:rFonts w:eastAsia="Calibri" w:cs="Arial"/>
        </w:rPr>
        <w:t xml:space="preserve"> is high and requires a degree of probability which is commensurate with the occasion.</w:t>
      </w:r>
    </w:p>
    <w:p w14:paraId="2BEC66D8" w14:textId="3E61A8CF" w:rsidR="50C035DC" w:rsidRDefault="50C035DC" w:rsidP="5F845E5C">
      <w:pPr>
        <w:rPr>
          <w:rFonts w:eastAsia="Calibri" w:cs="Arial"/>
        </w:rPr>
      </w:pPr>
      <w:r w:rsidRPr="7C9A4EA6">
        <w:rPr>
          <w:rFonts w:eastAsia="Calibri" w:cs="Arial"/>
        </w:rPr>
        <w:t>In this case, t</w:t>
      </w:r>
      <w:r w:rsidR="0C59F20D" w:rsidRPr="7C9A4EA6">
        <w:rPr>
          <w:rFonts w:eastAsia="Calibri" w:cs="Arial"/>
        </w:rPr>
        <w:t xml:space="preserve">he </w:t>
      </w:r>
      <w:r w:rsidR="00FA5A90">
        <w:rPr>
          <w:rFonts w:eastAsia="Calibri" w:cs="Arial"/>
        </w:rPr>
        <w:t>c</w:t>
      </w:r>
      <w:r w:rsidR="0C59F20D" w:rsidRPr="7C9A4EA6">
        <w:rPr>
          <w:rFonts w:eastAsia="Calibri" w:cs="Arial"/>
        </w:rPr>
        <w:t xml:space="preserve">ourt </w:t>
      </w:r>
      <w:r w:rsidR="60A59CBF" w:rsidRPr="7C9A4EA6">
        <w:rPr>
          <w:rFonts w:eastAsia="Calibri" w:cs="Arial"/>
        </w:rPr>
        <w:t xml:space="preserve">found there was insufficient evidence to show </w:t>
      </w:r>
      <w:r w:rsidR="003473A4">
        <w:rPr>
          <w:rFonts w:eastAsia="Calibri" w:cs="Arial"/>
        </w:rPr>
        <w:t xml:space="preserve">that </w:t>
      </w:r>
      <w:r w:rsidR="60A59CBF" w:rsidRPr="7C9A4EA6">
        <w:rPr>
          <w:rFonts w:eastAsia="Calibri" w:cs="Arial"/>
        </w:rPr>
        <w:t xml:space="preserve">the applicant had been subjected to torture, inhuman or degrading treatment. However, the applicant’s </w:t>
      </w:r>
      <w:r w:rsidR="71CBCBBB" w:rsidRPr="7C9A4EA6">
        <w:rPr>
          <w:rFonts w:eastAsia="Calibri" w:cs="Arial"/>
        </w:rPr>
        <w:t xml:space="preserve">right to humane treatment when deprived of liberty </w:t>
      </w:r>
      <w:r w:rsidR="058D1295" w:rsidRPr="7C9A4EA6">
        <w:rPr>
          <w:rFonts w:eastAsia="Calibri" w:cs="Arial"/>
        </w:rPr>
        <w:t>had been limited</w:t>
      </w:r>
      <w:r w:rsidR="4941AA97" w:rsidRPr="7C9A4EA6">
        <w:rPr>
          <w:rFonts w:eastAsia="Calibri" w:cs="Arial"/>
        </w:rPr>
        <w:t>,</w:t>
      </w:r>
      <w:r w:rsidR="058D1295" w:rsidRPr="7C9A4EA6">
        <w:rPr>
          <w:rFonts w:eastAsia="Calibri" w:cs="Arial"/>
        </w:rPr>
        <w:t xml:space="preserve"> because he had been subject to hardship beyond that experienced by </w:t>
      </w:r>
      <w:r w:rsidR="63ABEF7E" w:rsidRPr="7C9A4EA6">
        <w:rPr>
          <w:rFonts w:eastAsia="Calibri" w:cs="Arial"/>
        </w:rPr>
        <w:t xml:space="preserve">all prisoners </w:t>
      </w:r>
      <w:r w:rsidR="50C38C9E" w:rsidRPr="7C9A4EA6">
        <w:rPr>
          <w:rFonts w:eastAsia="Calibri" w:cs="Arial"/>
        </w:rPr>
        <w:t xml:space="preserve">by </w:t>
      </w:r>
      <w:r w:rsidR="058D1295" w:rsidRPr="7C9A4EA6">
        <w:rPr>
          <w:rFonts w:eastAsia="Calibri" w:cs="Arial"/>
        </w:rPr>
        <w:t xml:space="preserve">virtue of </w:t>
      </w:r>
      <w:r w:rsidR="21D5513E" w:rsidRPr="7C9A4EA6">
        <w:rPr>
          <w:rFonts w:eastAsia="Calibri" w:cs="Arial"/>
        </w:rPr>
        <w:t xml:space="preserve">their </w:t>
      </w:r>
      <w:r w:rsidR="058D1295" w:rsidRPr="7C9A4EA6">
        <w:rPr>
          <w:rFonts w:eastAsia="Calibri" w:cs="Arial"/>
        </w:rPr>
        <w:t>detention.</w:t>
      </w:r>
    </w:p>
    <w:p w14:paraId="7760C56D" w14:textId="7510BAF0" w:rsidR="6CEAF418" w:rsidRDefault="3E430DA1" w:rsidP="5F845E5C">
      <w:pPr>
        <w:rPr>
          <w:rFonts w:eastAsia="Calibri" w:cs="Arial"/>
        </w:rPr>
      </w:pPr>
      <w:r w:rsidRPr="7C9A4EA6">
        <w:rPr>
          <w:rFonts w:eastAsia="Calibri" w:cs="Arial"/>
        </w:rPr>
        <w:t xml:space="preserve">The </w:t>
      </w:r>
      <w:r w:rsidR="44368A2E" w:rsidRPr="7C9A4EA6">
        <w:rPr>
          <w:rFonts w:eastAsia="Calibri" w:cs="Arial"/>
        </w:rPr>
        <w:t xml:space="preserve">respondent </w:t>
      </w:r>
      <w:r w:rsidR="00B7336A">
        <w:rPr>
          <w:rFonts w:eastAsia="Calibri" w:cs="Arial"/>
        </w:rPr>
        <w:t>had not discharged</w:t>
      </w:r>
      <w:r w:rsidR="44368A2E" w:rsidRPr="7C9A4EA6">
        <w:rPr>
          <w:rFonts w:eastAsia="Calibri" w:cs="Arial"/>
        </w:rPr>
        <w:t xml:space="preserve"> </w:t>
      </w:r>
      <w:r w:rsidR="00D042F7">
        <w:rPr>
          <w:rFonts w:eastAsia="Calibri" w:cs="Arial"/>
        </w:rPr>
        <w:t>the</w:t>
      </w:r>
      <w:r w:rsidR="44368A2E" w:rsidRPr="7C9A4EA6">
        <w:rPr>
          <w:rFonts w:eastAsia="Calibri" w:cs="Arial"/>
        </w:rPr>
        <w:t xml:space="preserve"> onus as it </w:t>
      </w:r>
      <w:r w:rsidR="00705470">
        <w:rPr>
          <w:rFonts w:eastAsia="Calibri" w:cs="Arial"/>
        </w:rPr>
        <w:t>had</w:t>
      </w:r>
      <w:r w:rsidR="44368A2E" w:rsidRPr="7C9A4EA6">
        <w:rPr>
          <w:rFonts w:eastAsia="Calibri" w:cs="Arial"/>
        </w:rPr>
        <w:t xml:space="preserve"> not provide</w:t>
      </w:r>
      <w:r w:rsidR="00705470">
        <w:rPr>
          <w:rFonts w:eastAsia="Calibri" w:cs="Arial"/>
        </w:rPr>
        <w:t>d</w:t>
      </w:r>
      <w:r w:rsidR="44368A2E" w:rsidRPr="7C9A4EA6">
        <w:rPr>
          <w:rFonts w:eastAsia="Calibri" w:cs="Arial"/>
        </w:rPr>
        <w:t xml:space="preserve"> </w:t>
      </w:r>
      <w:r w:rsidR="01BC0BF1" w:rsidRPr="7C9A4EA6">
        <w:rPr>
          <w:rFonts w:eastAsia="Calibri" w:cs="Arial"/>
        </w:rPr>
        <w:t xml:space="preserve">any evidence </w:t>
      </w:r>
      <w:r w:rsidR="003E41A8">
        <w:rPr>
          <w:rFonts w:eastAsia="Calibri" w:cs="Arial"/>
        </w:rPr>
        <w:t>to</w:t>
      </w:r>
      <w:r w:rsidR="01BC0BF1" w:rsidRPr="7C9A4EA6">
        <w:rPr>
          <w:rFonts w:eastAsia="Calibri" w:cs="Arial"/>
        </w:rPr>
        <w:t xml:space="preserve"> </w:t>
      </w:r>
      <w:r w:rsidR="1A1306B5" w:rsidRPr="7C9A4EA6">
        <w:rPr>
          <w:rFonts w:eastAsia="Calibri" w:cs="Arial"/>
        </w:rPr>
        <w:t xml:space="preserve">support </w:t>
      </w:r>
      <w:r w:rsidR="01BC0BF1" w:rsidRPr="7C9A4EA6">
        <w:rPr>
          <w:rFonts w:eastAsia="Calibri" w:cs="Arial"/>
        </w:rPr>
        <w:t>the belief that no less restrictive way of adequately managing the applicant’s risk</w:t>
      </w:r>
      <w:r w:rsidR="623C39F6" w:rsidRPr="7C9A4EA6">
        <w:rPr>
          <w:rFonts w:eastAsia="Calibri" w:cs="Arial"/>
        </w:rPr>
        <w:t xml:space="preserve"> to others</w:t>
      </w:r>
      <w:r w:rsidR="00B230AE">
        <w:rPr>
          <w:rFonts w:eastAsia="Calibri" w:cs="Arial"/>
        </w:rPr>
        <w:t xml:space="preserve"> w</w:t>
      </w:r>
      <w:r w:rsidR="00BB650A">
        <w:rPr>
          <w:rFonts w:eastAsia="Calibri" w:cs="Arial"/>
        </w:rPr>
        <w:t>as</w:t>
      </w:r>
      <w:r w:rsidR="00B230AE">
        <w:rPr>
          <w:rFonts w:eastAsia="Calibri" w:cs="Arial"/>
        </w:rPr>
        <w:t xml:space="preserve"> available</w:t>
      </w:r>
      <w:r w:rsidR="01BC0BF1" w:rsidRPr="7C9A4EA6">
        <w:rPr>
          <w:rFonts w:eastAsia="Calibri" w:cs="Arial"/>
        </w:rPr>
        <w:t xml:space="preserve">. </w:t>
      </w:r>
      <w:r w:rsidR="6CEAF418" w:rsidRPr="7C9A4EA6">
        <w:rPr>
          <w:rFonts w:eastAsia="Calibri" w:cs="Arial"/>
        </w:rPr>
        <w:t xml:space="preserve">As the respondent had </w:t>
      </w:r>
      <w:r w:rsidR="008443C9">
        <w:rPr>
          <w:rFonts w:eastAsia="Calibri" w:cs="Arial"/>
        </w:rPr>
        <w:t>not fulfilled</w:t>
      </w:r>
      <w:r w:rsidR="008443C9" w:rsidRPr="7C9A4EA6">
        <w:rPr>
          <w:rFonts w:eastAsia="Calibri" w:cs="Arial"/>
        </w:rPr>
        <w:t xml:space="preserve"> </w:t>
      </w:r>
      <w:r w:rsidR="6CEAF418" w:rsidRPr="7C9A4EA6">
        <w:rPr>
          <w:rFonts w:eastAsia="Calibri" w:cs="Arial"/>
        </w:rPr>
        <w:t xml:space="preserve">its obligations under the Act, the </w:t>
      </w:r>
      <w:r w:rsidR="0026563E">
        <w:rPr>
          <w:rFonts w:eastAsia="Calibri" w:cs="Arial"/>
        </w:rPr>
        <w:t>c</w:t>
      </w:r>
      <w:r w:rsidR="6CEAF418" w:rsidRPr="7C9A4EA6">
        <w:rPr>
          <w:rFonts w:eastAsia="Calibri" w:cs="Arial"/>
        </w:rPr>
        <w:t xml:space="preserve">ourt concluded that the decisions were unlawful. The </w:t>
      </w:r>
      <w:r w:rsidR="5AA3FFCF" w:rsidRPr="7C9A4EA6">
        <w:rPr>
          <w:rFonts w:eastAsia="Calibri" w:cs="Arial"/>
        </w:rPr>
        <w:t xml:space="preserve">applicant was also successful on </w:t>
      </w:r>
      <w:r w:rsidR="6CEAF418" w:rsidRPr="7C9A4EA6">
        <w:rPr>
          <w:rFonts w:eastAsia="Calibri" w:cs="Arial"/>
        </w:rPr>
        <w:t>one ground of judicial review</w:t>
      </w:r>
      <w:r w:rsidR="234D4D29" w:rsidRPr="7C9A4EA6">
        <w:rPr>
          <w:rFonts w:eastAsia="Calibri" w:cs="Arial"/>
        </w:rPr>
        <w:t>:</w:t>
      </w:r>
      <w:r w:rsidR="66E19BD0" w:rsidRPr="7C9A4EA6">
        <w:rPr>
          <w:rFonts w:eastAsia="Calibri" w:cs="Arial"/>
        </w:rPr>
        <w:t xml:space="preserve"> that</w:t>
      </w:r>
      <w:r w:rsidR="14BCE95F" w:rsidRPr="7C9A4EA6">
        <w:rPr>
          <w:rFonts w:eastAsia="Calibri" w:cs="Arial"/>
        </w:rPr>
        <w:t xml:space="preserve"> the respondent failed to take into account </w:t>
      </w:r>
      <w:r w:rsidR="267B873D" w:rsidRPr="7C9A4EA6">
        <w:rPr>
          <w:rFonts w:eastAsia="Calibri" w:cs="Arial"/>
        </w:rPr>
        <w:t>a relevant consideration</w:t>
      </w:r>
      <w:r w:rsidR="43C9144B" w:rsidRPr="7C9A4EA6">
        <w:rPr>
          <w:rFonts w:eastAsia="Calibri" w:cs="Arial"/>
        </w:rPr>
        <w:t xml:space="preserve">, namely, </w:t>
      </w:r>
      <w:r w:rsidR="267B873D" w:rsidRPr="7C9A4EA6">
        <w:rPr>
          <w:rFonts w:eastAsia="Calibri" w:cs="Arial"/>
        </w:rPr>
        <w:t xml:space="preserve">the effect of the decision on the applicant’s human rights. </w:t>
      </w:r>
    </w:p>
    <w:p w14:paraId="36766F80" w14:textId="2B3164CA" w:rsidR="56568C2A" w:rsidRPr="00E15BCA" w:rsidRDefault="00857C55" w:rsidP="79A56A38">
      <w:pPr>
        <w:pStyle w:val="Heading2"/>
        <w:rPr>
          <w:color w:val="004270"/>
        </w:rPr>
      </w:pPr>
      <w:bookmarkStart w:id="73" w:name="_Toc117697157"/>
      <w:bookmarkStart w:id="74" w:name="_Toc117697864"/>
      <w:bookmarkStart w:id="75" w:name="_Toc1930753894"/>
      <w:r w:rsidRPr="00E15BCA">
        <w:rPr>
          <w:i/>
          <w:iCs/>
          <w:color w:val="004270"/>
        </w:rPr>
        <w:t>Attorney-General</w:t>
      </w:r>
      <w:r w:rsidR="00120250" w:rsidRPr="00E15BCA">
        <w:rPr>
          <w:i/>
          <w:iCs/>
          <w:color w:val="004270"/>
        </w:rPr>
        <w:t xml:space="preserve"> v GLH</w:t>
      </w:r>
      <w:r w:rsidR="00120250" w:rsidRPr="00E15BCA">
        <w:rPr>
          <w:color w:val="004270"/>
        </w:rPr>
        <w:t xml:space="preserve"> </w:t>
      </w:r>
      <w:r w:rsidR="0053000B" w:rsidRPr="00E15BCA">
        <w:rPr>
          <w:color w:val="004270"/>
        </w:rPr>
        <w:t>[2021] QMHC 4</w:t>
      </w:r>
      <w:bookmarkEnd w:id="73"/>
      <w:bookmarkEnd w:id="74"/>
      <w:r w:rsidR="0053000B" w:rsidRPr="00E15BCA">
        <w:rPr>
          <w:color w:val="004270"/>
        </w:rPr>
        <w:t xml:space="preserve"> </w:t>
      </w:r>
      <w:bookmarkEnd w:id="75"/>
    </w:p>
    <w:p w14:paraId="3BA6AE5C" w14:textId="46DACBC8" w:rsidR="56568C2A" w:rsidRDefault="50919C6F" w:rsidP="00E15BCA">
      <w:r w:rsidRPr="74303149">
        <w:t xml:space="preserve">The respondent had been the subject of a forensic order since 2004. On a review of the forensic </w:t>
      </w:r>
      <w:r w:rsidR="094CB806" w:rsidRPr="74303149">
        <w:t>order</w:t>
      </w:r>
      <w:r w:rsidRPr="74303149">
        <w:t>, the Me</w:t>
      </w:r>
      <w:r w:rsidR="44A256FA" w:rsidRPr="74303149">
        <w:t xml:space="preserve">ntal Health Review Tribunal removed a condition </w:t>
      </w:r>
      <w:r w:rsidR="56568C2A" w:rsidRPr="74303149">
        <w:t xml:space="preserve">that prevented </w:t>
      </w:r>
      <w:r w:rsidR="5F4E88E7" w:rsidRPr="74303149">
        <w:t xml:space="preserve">the respondent </w:t>
      </w:r>
      <w:r w:rsidR="56568C2A" w:rsidRPr="74303149">
        <w:t xml:space="preserve">from having unsupervised contact with children. The </w:t>
      </w:r>
      <w:r w:rsidR="414F3D02" w:rsidRPr="74303149">
        <w:t>Attorney-General appealed th</w:t>
      </w:r>
      <w:r w:rsidR="00B34CDE">
        <w:t>at</w:t>
      </w:r>
      <w:r w:rsidR="414F3D02" w:rsidRPr="74303149">
        <w:t xml:space="preserve"> decision to the Mental Health Court.</w:t>
      </w:r>
    </w:p>
    <w:p w14:paraId="0EA6225B" w14:textId="0E663C1C" w:rsidR="00CB5310" w:rsidRPr="00E15BCA" w:rsidRDefault="008F6DC8" w:rsidP="00FA5A90">
      <w:pPr>
        <w:pStyle w:val="Heading3"/>
        <w:rPr>
          <w:rFonts w:eastAsia="Calibri" w:cs="Arial"/>
          <w:color w:val="004270"/>
        </w:rPr>
      </w:pPr>
      <w:bookmarkStart w:id="76" w:name="_Toc1765910903"/>
      <w:r w:rsidRPr="00E15BCA">
        <w:rPr>
          <w:color w:val="004270"/>
        </w:rPr>
        <w:t>Unacceptable risk</w:t>
      </w:r>
      <w:bookmarkEnd w:id="76"/>
    </w:p>
    <w:p w14:paraId="67274B5C" w14:textId="187D46B9" w:rsidR="56568C2A" w:rsidRDefault="56568C2A" w:rsidP="00E15BCA">
      <w:r w:rsidRPr="7EFF5BE8">
        <w:t xml:space="preserve">The </w:t>
      </w:r>
      <w:r w:rsidR="0049579C">
        <w:t>c</w:t>
      </w:r>
      <w:r w:rsidRPr="7EFF5BE8">
        <w:t xml:space="preserve">ourt recognised the regime established by the </w:t>
      </w:r>
      <w:r w:rsidRPr="22AA52D2">
        <w:rPr>
          <w:i/>
        </w:rPr>
        <w:t xml:space="preserve">Mental Health Act </w:t>
      </w:r>
      <w:r w:rsidR="1B4AC65D" w:rsidRPr="22AA52D2">
        <w:rPr>
          <w:i/>
          <w:iCs/>
        </w:rPr>
        <w:t>2016</w:t>
      </w:r>
      <w:r w:rsidRPr="22AA52D2">
        <w:rPr>
          <w:i/>
        </w:rPr>
        <w:t xml:space="preserve"> </w:t>
      </w:r>
      <w:r w:rsidR="33ED6029" w:rsidRPr="77912A7A">
        <w:t>is</w:t>
      </w:r>
      <w:r w:rsidR="7BC8B745" w:rsidRPr="7B492F56">
        <w:rPr>
          <w:i/>
          <w:iCs/>
        </w:rPr>
        <w:t xml:space="preserve"> </w:t>
      </w:r>
      <w:r w:rsidRPr="7EFF5BE8">
        <w:t xml:space="preserve">compatible with the </w:t>
      </w:r>
      <w:r w:rsidRPr="22AA52D2">
        <w:rPr>
          <w:i/>
        </w:rPr>
        <w:t>Human Rights Act 2019</w:t>
      </w:r>
      <w:r w:rsidRPr="7EFF5BE8">
        <w:t xml:space="preserve">, and that it was necessary for the </w:t>
      </w:r>
      <w:r w:rsidR="003A7BBE">
        <w:t>c</w:t>
      </w:r>
      <w:r w:rsidRPr="7EFF5BE8">
        <w:t xml:space="preserve">ourt to consider the compatibility of its decision with human rights. </w:t>
      </w:r>
      <w:r w:rsidR="2E0D2642" w:rsidRPr="5836FFCD">
        <w:t xml:space="preserve">The </w:t>
      </w:r>
      <w:r w:rsidR="0049579C">
        <w:t>c</w:t>
      </w:r>
      <w:r w:rsidR="2E0D2642" w:rsidRPr="22AA52D2">
        <w:t>our</w:t>
      </w:r>
      <w:r w:rsidR="5972838D" w:rsidRPr="22AA52D2">
        <w:t>t</w:t>
      </w:r>
      <w:r w:rsidR="2E0D2642" w:rsidRPr="5836FFCD">
        <w:t xml:space="preserve"> also held that conditions on forensic orders that limit human rights should only be imposed to the extent necessary to reduce or maintain the risk posed by the person</w:t>
      </w:r>
      <w:r w:rsidR="0094A085" w:rsidRPr="5E8FE2D2">
        <w:t xml:space="preserve"> to a not ‘unacceptable’ level; any conditions</w:t>
      </w:r>
      <w:r w:rsidR="2E0D2642" w:rsidRPr="5836FFCD">
        <w:t xml:space="preserve"> must be prop</w:t>
      </w:r>
      <w:r w:rsidR="19B5E668" w:rsidRPr="5836FFCD">
        <w:t xml:space="preserve">ortionate or no more onerous in their limitation of human rights than required. </w:t>
      </w:r>
    </w:p>
    <w:p w14:paraId="045E03EB" w14:textId="2D0843A5" w:rsidR="56568C2A" w:rsidRDefault="3F4C0D0F" w:rsidP="00E15BCA">
      <w:pPr>
        <w:rPr>
          <w:rFonts w:eastAsia="Calibri"/>
        </w:rPr>
      </w:pPr>
      <w:r w:rsidRPr="5FC798A7">
        <w:t>I</w:t>
      </w:r>
      <w:r w:rsidR="2B95A25E" w:rsidRPr="5FC798A7">
        <w:t xml:space="preserve">n the circumstances of this case, and the expert evidence regarding risk, </w:t>
      </w:r>
      <w:r w:rsidR="161A320D" w:rsidRPr="6525316C">
        <w:t>t</w:t>
      </w:r>
      <w:r w:rsidR="56568C2A" w:rsidRPr="6525316C">
        <w:t>he</w:t>
      </w:r>
      <w:r w:rsidR="56568C2A" w:rsidRPr="5FC798A7">
        <w:t xml:space="preserve"> appeal was dismissed</w:t>
      </w:r>
      <w:r w:rsidR="00450266">
        <w:t>.</w:t>
      </w:r>
    </w:p>
    <w:p w14:paraId="19E03AD1" w14:textId="11EC9B6C" w:rsidR="28F50259" w:rsidRPr="00E15BCA" w:rsidRDefault="00FC3F8E" w:rsidP="7C9A4EA6">
      <w:pPr>
        <w:pStyle w:val="Heading2"/>
        <w:rPr>
          <w:rFonts w:eastAsia="Yu Gothic Light" w:cs="Times New Roman"/>
          <w:color w:val="004270"/>
        </w:rPr>
      </w:pPr>
      <w:bookmarkStart w:id="77" w:name="_Toc516278051"/>
      <w:bookmarkStart w:id="78" w:name="_Toc117697158"/>
      <w:bookmarkStart w:id="79" w:name="_Toc117697865"/>
      <w:r w:rsidRPr="00E15BCA">
        <w:rPr>
          <w:color w:val="004270"/>
        </w:rPr>
        <w:lastRenderedPageBreak/>
        <w:t>Inquest into the death o</w:t>
      </w:r>
      <w:r w:rsidR="00AC4A36" w:rsidRPr="00E15BCA">
        <w:rPr>
          <w:color w:val="004270"/>
        </w:rPr>
        <w:t>f</w:t>
      </w:r>
      <w:r w:rsidRPr="00E15BCA">
        <w:rPr>
          <w:color w:val="004270"/>
        </w:rPr>
        <w:t xml:space="preserve"> </w:t>
      </w:r>
      <w:proofErr w:type="spellStart"/>
      <w:r w:rsidRPr="00E15BCA">
        <w:rPr>
          <w:color w:val="004270"/>
        </w:rPr>
        <w:t>S</w:t>
      </w:r>
      <w:r w:rsidR="001821C6" w:rsidRPr="00E15BCA">
        <w:rPr>
          <w:color w:val="004270"/>
        </w:rPr>
        <w:t>elesa</w:t>
      </w:r>
      <w:proofErr w:type="spellEnd"/>
      <w:r w:rsidR="001821C6" w:rsidRPr="00E15BCA">
        <w:rPr>
          <w:color w:val="004270"/>
        </w:rPr>
        <w:t xml:space="preserve"> </w:t>
      </w:r>
      <w:proofErr w:type="spellStart"/>
      <w:r w:rsidR="001821C6" w:rsidRPr="00E15BCA">
        <w:rPr>
          <w:color w:val="004270"/>
        </w:rPr>
        <w:t>Tafaifa</w:t>
      </w:r>
      <w:bookmarkEnd w:id="77"/>
      <w:bookmarkEnd w:id="78"/>
      <w:bookmarkEnd w:id="79"/>
      <w:proofErr w:type="spellEnd"/>
    </w:p>
    <w:p w14:paraId="623F747F" w14:textId="77777777" w:rsidR="00643EA4" w:rsidRDefault="320AC59E" w:rsidP="7C9A4EA6">
      <w:pPr>
        <w:rPr>
          <w:rFonts w:eastAsia="Arial" w:cs="Arial"/>
        </w:rPr>
      </w:pPr>
      <w:r w:rsidRPr="7C9A4EA6">
        <w:rPr>
          <w:rFonts w:eastAsia="Arial" w:cs="Arial"/>
        </w:rPr>
        <w:t>T</w:t>
      </w:r>
      <w:r w:rsidR="3443D1D5" w:rsidRPr="7C9A4EA6">
        <w:rPr>
          <w:rFonts w:eastAsia="Arial" w:cs="Arial"/>
        </w:rPr>
        <w:t xml:space="preserve">he Coroner was asked to rule on the conduct of a police coronial investigation into the death of a woman in custody. </w:t>
      </w:r>
    </w:p>
    <w:p w14:paraId="38ECDD64" w14:textId="3D1335D5" w:rsidR="00F6100C" w:rsidRDefault="3443D1D5" w:rsidP="7C9A4EA6">
      <w:pPr>
        <w:rPr>
          <w:rFonts w:eastAsia="Arial" w:cs="Arial"/>
        </w:rPr>
      </w:pPr>
      <w:r w:rsidRPr="7C9A4EA6">
        <w:rPr>
          <w:rFonts w:eastAsia="Arial" w:cs="Arial"/>
        </w:rPr>
        <w:t xml:space="preserve">The </w:t>
      </w:r>
      <w:r w:rsidR="3A2D6675" w:rsidRPr="7C9A4EA6">
        <w:rPr>
          <w:rFonts w:eastAsia="Arial" w:cs="Arial"/>
        </w:rPr>
        <w:t xml:space="preserve">Queensland Police Service </w:t>
      </w:r>
      <w:r w:rsidRPr="7C9A4EA6">
        <w:rPr>
          <w:rFonts w:eastAsia="Arial" w:cs="Arial"/>
        </w:rPr>
        <w:t xml:space="preserve">unit </w:t>
      </w:r>
      <w:r w:rsidR="5925F225" w:rsidRPr="7C9A4EA6">
        <w:rPr>
          <w:rFonts w:eastAsia="Arial" w:cs="Arial"/>
        </w:rPr>
        <w:t xml:space="preserve">that </w:t>
      </w:r>
      <w:r w:rsidRPr="7C9A4EA6">
        <w:rPr>
          <w:rFonts w:eastAsia="Arial" w:cs="Arial"/>
        </w:rPr>
        <w:t>would normally carry out such</w:t>
      </w:r>
      <w:r w:rsidR="0B0BE3A9" w:rsidRPr="7C9A4EA6">
        <w:rPr>
          <w:rFonts w:eastAsia="Arial" w:cs="Arial"/>
        </w:rPr>
        <w:t xml:space="preserve"> an investigation had been investigating and prosecuting the deceased for criminal charges against Queensland Corrective </w:t>
      </w:r>
      <w:r w:rsidR="051B464D" w:rsidRPr="7C9A4EA6">
        <w:rPr>
          <w:rFonts w:eastAsia="Arial" w:cs="Arial"/>
        </w:rPr>
        <w:t>S</w:t>
      </w:r>
      <w:r w:rsidR="0B0BE3A9" w:rsidRPr="7C9A4EA6">
        <w:rPr>
          <w:rFonts w:eastAsia="Arial" w:cs="Arial"/>
        </w:rPr>
        <w:t>ervices employees. The deceased’s family opposed the investigation by that unit because of conflict</w:t>
      </w:r>
      <w:r w:rsidR="007A5800" w:rsidRPr="7C9A4EA6">
        <w:rPr>
          <w:rFonts w:eastAsia="Arial" w:cs="Arial"/>
        </w:rPr>
        <w:t>-of-interest</w:t>
      </w:r>
      <w:r w:rsidR="0B0BE3A9" w:rsidRPr="7C9A4EA6">
        <w:rPr>
          <w:rFonts w:eastAsia="Arial" w:cs="Arial"/>
        </w:rPr>
        <w:t xml:space="preserve"> issues </w:t>
      </w:r>
      <w:r w:rsidR="00F6100C">
        <w:rPr>
          <w:rFonts w:eastAsia="Arial" w:cs="Arial"/>
        </w:rPr>
        <w:t xml:space="preserve">that </w:t>
      </w:r>
      <w:r w:rsidR="0B0BE3A9" w:rsidRPr="7C9A4EA6">
        <w:rPr>
          <w:rFonts w:eastAsia="Arial" w:cs="Arial"/>
        </w:rPr>
        <w:t>ar</w:t>
      </w:r>
      <w:r w:rsidR="00F6100C">
        <w:rPr>
          <w:rFonts w:eastAsia="Arial" w:cs="Arial"/>
        </w:rPr>
        <w:t>ose</w:t>
      </w:r>
      <w:r w:rsidR="0B0BE3A9" w:rsidRPr="7C9A4EA6">
        <w:rPr>
          <w:rFonts w:eastAsia="Arial" w:cs="Arial"/>
        </w:rPr>
        <w:t xml:space="preserve">. </w:t>
      </w:r>
    </w:p>
    <w:p w14:paraId="72F60C48" w14:textId="081A0B85" w:rsidR="320AC59E" w:rsidRDefault="2EE59FB5" w:rsidP="7C9A4EA6">
      <w:pPr>
        <w:rPr>
          <w:rFonts w:eastAsia="Arial" w:cs="Arial"/>
        </w:rPr>
      </w:pPr>
      <w:r w:rsidRPr="7C9A4EA6">
        <w:rPr>
          <w:rFonts w:eastAsia="Arial" w:cs="Arial"/>
        </w:rPr>
        <w:t xml:space="preserve">The Coroner, acting as a public entity and </w:t>
      </w:r>
      <w:r w:rsidR="7CFFAE31" w:rsidRPr="7C9A4EA6">
        <w:rPr>
          <w:rFonts w:eastAsia="Arial" w:cs="Arial"/>
        </w:rPr>
        <w:t>interpreting legislation compatibly with human rights</w:t>
      </w:r>
      <w:r w:rsidR="29033B73" w:rsidRPr="7C9A4EA6">
        <w:rPr>
          <w:rFonts w:eastAsia="Arial" w:cs="Arial"/>
        </w:rPr>
        <w:t xml:space="preserve">, </w:t>
      </w:r>
      <w:r w:rsidR="00B05E64">
        <w:rPr>
          <w:rFonts w:eastAsia="Arial" w:cs="Arial"/>
        </w:rPr>
        <w:t>took into account</w:t>
      </w:r>
      <w:r w:rsidR="00246C66">
        <w:rPr>
          <w:rFonts w:eastAsia="Arial" w:cs="Arial"/>
        </w:rPr>
        <w:t xml:space="preserve"> a person’s </w:t>
      </w:r>
      <w:r w:rsidR="29033B73" w:rsidRPr="00501692">
        <w:rPr>
          <w:rFonts w:eastAsia="Arial" w:cs="Arial"/>
          <w:bCs/>
        </w:rPr>
        <w:t>right to life</w:t>
      </w:r>
      <w:r w:rsidR="29033B73" w:rsidRPr="264B7539">
        <w:rPr>
          <w:rFonts w:eastAsia="Arial" w:cs="Arial"/>
          <w:b/>
        </w:rPr>
        <w:t xml:space="preserve"> </w:t>
      </w:r>
      <w:r w:rsidR="006E3375">
        <w:rPr>
          <w:rFonts w:eastAsia="Arial" w:cs="Arial"/>
        </w:rPr>
        <w:t>and</w:t>
      </w:r>
      <w:r w:rsidR="29033B73" w:rsidRPr="7C9A4EA6">
        <w:rPr>
          <w:rFonts w:eastAsia="Arial" w:cs="Arial"/>
        </w:rPr>
        <w:t xml:space="preserve"> determine</w:t>
      </w:r>
      <w:r w:rsidR="006E3375">
        <w:rPr>
          <w:rFonts w:eastAsia="Arial" w:cs="Arial"/>
        </w:rPr>
        <w:t>d</w:t>
      </w:r>
      <w:r w:rsidR="29033B73" w:rsidRPr="7C9A4EA6">
        <w:rPr>
          <w:rFonts w:eastAsia="Arial" w:cs="Arial"/>
        </w:rPr>
        <w:t xml:space="preserve"> that another unit w</w:t>
      </w:r>
      <w:r w:rsidR="5BC446E8" w:rsidRPr="7C9A4EA6">
        <w:rPr>
          <w:rFonts w:eastAsia="Arial" w:cs="Arial"/>
        </w:rPr>
        <w:t>it</w:t>
      </w:r>
      <w:r w:rsidR="29033B73" w:rsidRPr="7C9A4EA6">
        <w:rPr>
          <w:rFonts w:eastAsia="Arial" w:cs="Arial"/>
        </w:rPr>
        <w:t xml:space="preserve">hin </w:t>
      </w:r>
      <w:r w:rsidR="28F59F4A" w:rsidRPr="7C9A4EA6">
        <w:rPr>
          <w:rFonts w:eastAsia="Arial" w:cs="Arial"/>
        </w:rPr>
        <w:t xml:space="preserve">the Queensland Police Service </w:t>
      </w:r>
      <w:r w:rsidR="00292432">
        <w:rPr>
          <w:rFonts w:eastAsia="Arial" w:cs="Arial"/>
        </w:rPr>
        <w:t xml:space="preserve">should </w:t>
      </w:r>
      <w:r w:rsidR="28F59F4A" w:rsidRPr="7C9A4EA6">
        <w:rPr>
          <w:rFonts w:eastAsia="Arial" w:cs="Arial"/>
        </w:rPr>
        <w:t>finalise the investigation.</w:t>
      </w:r>
      <w:r w:rsidR="00CA30BE">
        <w:rPr>
          <w:rStyle w:val="FootnoteReference"/>
          <w:rFonts w:eastAsia="Arial" w:cs="Arial"/>
        </w:rPr>
        <w:footnoteReference w:id="4"/>
      </w:r>
      <w:r w:rsidR="28F59F4A" w:rsidRPr="7C9A4EA6">
        <w:rPr>
          <w:rFonts w:eastAsia="Arial" w:cs="Arial"/>
        </w:rPr>
        <w:t xml:space="preserve"> </w:t>
      </w:r>
    </w:p>
    <w:p w14:paraId="14C62D16" w14:textId="2D3E4F88" w:rsidR="00A675E2" w:rsidRPr="00E15BCA" w:rsidRDefault="00A675E2" w:rsidP="00501692">
      <w:pPr>
        <w:pStyle w:val="Heading2"/>
        <w:rPr>
          <w:color w:val="004270"/>
        </w:rPr>
      </w:pPr>
      <w:bookmarkStart w:id="80" w:name="_Toc1713949679"/>
      <w:bookmarkStart w:id="81" w:name="_Toc117697159"/>
      <w:bookmarkStart w:id="82" w:name="_Toc117697866"/>
      <w:r w:rsidRPr="00E15BCA">
        <w:rPr>
          <w:i/>
          <w:iCs/>
          <w:color w:val="004270"/>
        </w:rPr>
        <w:t xml:space="preserve">Waratah Coal </w:t>
      </w:r>
      <w:r w:rsidR="001E1093" w:rsidRPr="00E15BCA">
        <w:rPr>
          <w:i/>
          <w:iCs/>
          <w:color w:val="004270"/>
        </w:rPr>
        <w:t>v Youth Verdict</w:t>
      </w:r>
      <w:r w:rsidR="00A54650" w:rsidRPr="00E15BCA">
        <w:rPr>
          <w:i/>
          <w:iCs/>
          <w:color w:val="004270"/>
        </w:rPr>
        <w:t xml:space="preserve"> </w:t>
      </w:r>
      <w:r w:rsidR="00B63372" w:rsidRPr="00E15BCA">
        <w:rPr>
          <w:i/>
          <w:iCs/>
          <w:color w:val="004270"/>
        </w:rPr>
        <w:t>(No 5)</w:t>
      </w:r>
      <w:r w:rsidR="00A54650" w:rsidRPr="00E15BCA">
        <w:rPr>
          <w:color w:val="004270"/>
        </w:rPr>
        <w:t xml:space="preserve"> </w:t>
      </w:r>
      <w:r w:rsidR="009E731C" w:rsidRPr="00E15BCA">
        <w:rPr>
          <w:color w:val="004270"/>
        </w:rPr>
        <w:t>[2022] QLC 4</w:t>
      </w:r>
      <w:bookmarkEnd w:id="80"/>
      <w:bookmarkEnd w:id="81"/>
      <w:bookmarkEnd w:id="82"/>
    </w:p>
    <w:p w14:paraId="523C130F" w14:textId="14156E1E" w:rsidR="00880758" w:rsidRDefault="761C1609" w:rsidP="7C9A4EA6">
      <w:pPr>
        <w:rPr>
          <w:rFonts w:eastAsia="Calibri" w:cs="Arial"/>
        </w:rPr>
      </w:pPr>
      <w:r w:rsidRPr="7C9A4EA6">
        <w:rPr>
          <w:rFonts w:eastAsia="Calibri" w:cs="Arial"/>
        </w:rPr>
        <w:t xml:space="preserve">Objectors to a mining lease proposed </w:t>
      </w:r>
      <w:r w:rsidR="00705983">
        <w:rPr>
          <w:rFonts w:eastAsia="Calibri" w:cs="Arial"/>
        </w:rPr>
        <w:t xml:space="preserve">that </w:t>
      </w:r>
      <w:r w:rsidRPr="7C9A4EA6">
        <w:rPr>
          <w:rFonts w:eastAsia="Calibri" w:cs="Arial"/>
        </w:rPr>
        <w:t xml:space="preserve">the Land Court take </w:t>
      </w:r>
      <w:r w:rsidR="00665974">
        <w:rPr>
          <w:rFonts w:eastAsia="Calibri" w:cs="Arial"/>
        </w:rPr>
        <w:t>‘</w:t>
      </w:r>
      <w:r w:rsidRPr="7C9A4EA6">
        <w:rPr>
          <w:rFonts w:eastAsia="Calibri" w:cs="Arial"/>
        </w:rPr>
        <w:t>on country</w:t>
      </w:r>
      <w:r w:rsidR="00665974">
        <w:rPr>
          <w:rFonts w:eastAsia="Calibri" w:cs="Arial"/>
        </w:rPr>
        <w:t>’</w:t>
      </w:r>
      <w:r w:rsidRPr="7C9A4EA6">
        <w:rPr>
          <w:rFonts w:eastAsia="Calibri" w:cs="Arial"/>
        </w:rPr>
        <w:t xml:space="preserve"> evidence from four </w:t>
      </w:r>
      <w:r w:rsidR="00CA30BE">
        <w:rPr>
          <w:rFonts w:eastAsia="Calibri" w:cs="Arial"/>
        </w:rPr>
        <w:t>F</w:t>
      </w:r>
      <w:r w:rsidRPr="7C9A4EA6">
        <w:rPr>
          <w:rFonts w:eastAsia="Calibri" w:cs="Arial"/>
        </w:rPr>
        <w:t xml:space="preserve">irst </w:t>
      </w:r>
      <w:r w:rsidR="00CA30BE">
        <w:rPr>
          <w:rFonts w:eastAsia="Calibri" w:cs="Arial"/>
        </w:rPr>
        <w:t>N</w:t>
      </w:r>
      <w:r w:rsidRPr="7C9A4EA6">
        <w:rPr>
          <w:rFonts w:eastAsia="Calibri" w:cs="Arial"/>
        </w:rPr>
        <w:t xml:space="preserve">ations witnesses. </w:t>
      </w:r>
    </w:p>
    <w:p w14:paraId="3F424FA1" w14:textId="5FF2D466" w:rsidR="761C1609" w:rsidRDefault="761C1609" w:rsidP="7C9A4EA6">
      <w:pPr>
        <w:rPr>
          <w:rFonts w:eastAsia="Calibri" w:cs="Arial"/>
        </w:rPr>
      </w:pPr>
      <w:r w:rsidRPr="7C9A4EA6">
        <w:rPr>
          <w:rFonts w:eastAsia="Calibri" w:cs="Arial"/>
        </w:rPr>
        <w:t xml:space="preserve">The </w:t>
      </w:r>
      <w:r w:rsidR="004A4129">
        <w:rPr>
          <w:rFonts w:eastAsia="Calibri" w:cs="Arial"/>
        </w:rPr>
        <w:t>c</w:t>
      </w:r>
      <w:r w:rsidRPr="7C9A4EA6">
        <w:rPr>
          <w:rFonts w:eastAsia="Calibri" w:cs="Arial"/>
        </w:rPr>
        <w:t xml:space="preserve">ourt </w:t>
      </w:r>
      <w:r w:rsidRPr="00501692">
        <w:rPr>
          <w:rFonts w:eastAsia="Calibri" w:cs="Arial"/>
        </w:rPr>
        <w:t>acknowl</w:t>
      </w:r>
      <w:r w:rsidR="61B78348" w:rsidRPr="00501692">
        <w:rPr>
          <w:rFonts w:eastAsia="Calibri" w:cs="Arial"/>
        </w:rPr>
        <w:t>e</w:t>
      </w:r>
      <w:r w:rsidRPr="00501692">
        <w:rPr>
          <w:rFonts w:eastAsia="Calibri" w:cs="Arial"/>
        </w:rPr>
        <w:t>dged that it is unlawf</w:t>
      </w:r>
      <w:r w:rsidR="02EE0564" w:rsidRPr="00501692">
        <w:rPr>
          <w:rFonts w:eastAsia="Calibri" w:cs="Arial"/>
        </w:rPr>
        <w:t>u</w:t>
      </w:r>
      <w:r w:rsidRPr="00501692">
        <w:rPr>
          <w:rFonts w:eastAsia="Calibri" w:cs="Arial"/>
        </w:rPr>
        <w:t xml:space="preserve">l for the </w:t>
      </w:r>
      <w:r w:rsidR="004A4129" w:rsidRPr="00501692">
        <w:rPr>
          <w:rFonts w:eastAsia="Calibri" w:cs="Arial"/>
        </w:rPr>
        <w:t>c</w:t>
      </w:r>
      <w:r w:rsidRPr="00501692">
        <w:rPr>
          <w:rFonts w:eastAsia="Calibri" w:cs="Arial"/>
        </w:rPr>
        <w:t>ourt to conduct a hearing in a way that is incompat</w:t>
      </w:r>
      <w:r w:rsidR="7A887F51" w:rsidRPr="00501692">
        <w:rPr>
          <w:rFonts w:eastAsia="Calibri" w:cs="Arial"/>
        </w:rPr>
        <w:t xml:space="preserve">ible with human rights. </w:t>
      </w:r>
      <w:r w:rsidR="4F8C2460" w:rsidRPr="00501692">
        <w:rPr>
          <w:rFonts w:eastAsia="Calibri" w:cs="Arial"/>
        </w:rPr>
        <w:t>Refusing the</w:t>
      </w:r>
      <w:r w:rsidR="001B26A2">
        <w:rPr>
          <w:rFonts w:eastAsia="Calibri" w:cs="Arial"/>
        </w:rPr>
        <w:t xml:space="preserve"> </w:t>
      </w:r>
      <w:r w:rsidR="4F8C2460" w:rsidRPr="00501692">
        <w:rPr>
          <w:rFonts w:eastAsia="Calibri" w:cs="Arial"/>
        </w:rPr>
        <w:t>application would limit the</w:t>
      </w:r>
      <w:r w:rsidR="005E0F36" w:rsidRPr="00501692">
        <w:rPr>
          <w:rFonts w:eastAsia="Calibri" w:cs="Arial"/>
        </w:rPr>
        <w:t xml:space="preserve"> witnesses’</w:t>
      </w:r>
      <w:r w:rsidR="4F8C2460" w:rsidRPr="00501692">
        <w:rPr>
          <w:rFonts w:eastAsia="Calibri" w:cs="Arial"/>
        </w:rPr>
        <w:t xml:space="preserve"> ability to enjoy and maintain their cultural heritage, specifically </w:t>
      </w:r>
      <w:r w:rsidR="007247FD" w:rsidRPr="00501692">
        <w:rPr>
          <w:rFonts w:eastAsia="Calibri" w:cs="Arial"/>
        </w:rPr>
        <w:t xml:space="preserve">the way in which </w:t>
      </w:r>
      <w:r w:rsidR="4F8C2460" w:rsidRPr="00501692">
        <w:rPr>
          <w:rFonts w:eastAsia="Calibri" w:cs="Arial"/>
        </w:rPr>
        <w:t xml:space="preserve">traditional knowledge is imparted, as protected by section 28(2)(a) of the Act. The </w:t>
      </w:r>
      <w:r w:rsidR="002146F2" w:rsidRPr="00501692">
        <w:rPr>
          <w:rFonts w:eastAsia="Calibri" w:cs="Arial"/>
        </w:rPr>
        <w:t>c</w:t>
      </w:r>
      <w:r w:rsidR="4F8C2460" w:rsidRPr="00501692">
        <w:rPr>
          <w:rFonts w:eastAsia="Calibri" w:cs="Arial"/>
        </w:rPr>
        <w:t xml:space="preserve">ourt granted the application, </w:t>
      </w:r>
      <w:r w:rsidR="14136DD4" w:rsidRPr="00501692">
        <w:rPr>
          <w:rFonts w:eastAsia="Calibri" w:cs="Arial"/>
        </w:rPr>
        <w:t>noting</w:t>
      </w:r>
      <w:r w:rsidR="14136DD4" w:rsidRPr="7C9A4EA6">
        <w:rPr>
          <w:rFonts w:eastAsia="Calibri" w:cs="Arial"/>
        </w:rPr>
        <w:t xml:space="preserve"> that the inconvenience and cost of </w:t>
      </w:r>
      <w:r w:rsidR="00630BC6">
        <w:rPr>
          <w:rFonts w:eastAsia="Calibri" w:cs="Arial"/>
        </w:rPr>
        <w:t>an ‘on country’ hearing</w:t>
      </w:r>
      <w:r w:rsidR="00630BC6" w:rsidRPr="7C9A4EA6">
        <w:rPr>
          <w:rFonts w:eastAsia="Calibri" w:cs="Arial"/>
        </w:rPr>
        <w:t xml:space="preserve"> </w:t>
      </w:r>
      <w:r w:rsidR="14136DD4" w:rsidRPr="7C9A4EA6">
        <w:rPr>
          <w:rFonts w:eastAsia="Calibri" w:cs="Arial"/>
        </w:rPr>
        <w:t xml:space="preserve">did not justify </w:t>
      </w:r>
      <w:r w:rsidR="00587195">
        <w:rPr>
          <w:rFonts w:eastAsia="Calibri" w:cs="Arial"/>
        </w:rPr>
        <w:t xml:space="preserve">the </w:t>
      </w:r>
      <w:r w:rsidR="14136DD4" w:rsidRPr="7C9A4EA6">
        <w:rPr>
          <w:rFonts w:eastAsia="Calibri" w:cs="Arial"/>
        </w:rPr>
        <w:t xml:space="preserve">limitation of rights </w:t>
      </w:r>
      <w:r w:rsidR="00DA0BEE">
        <w:rPr>
          <w:rFonts w:eastAsia="Calibri" w:cs="Arial"/>
        </w:rPr>
        <w:t xml:space="preserve">which would result </w:t>
      </w:r>
      <w:r w:rsidR="14136DD4" w:rsidRPr="7C9A4EA6">
        <w:rPr>
          <w:rFonts w:eastAsia="Calibri" w:cs="Arial"/>
        </w:rPr>
        <w:t>if the witnesses were confined to witness statements.</w:t>
      </w:r>
      <w:r w:rsidR="00E4278E">
        <w:rPr>
          <w:rStyle w:val="FootnoteReference"/>
          <w:rFonts w:eastAsia="Calibri" w:cs="Arial"/>
        </w:rPr>
        <w:footnoteReference w:id="5"/>
      </w:r>
      <w:r w:rsidR="14136DD4" w:rsidRPr="7C9A4EA6">
        <w:rPr>
          <w:rFonts w:eastAsia="Calibri" w:cs="Arial"/>
        </w:rPr>
        <w:t xml:space="preserve"> </w:t>
      </w:r>
    </w:p>
    <w:p w14:paraId="7CB2BFC7" w14:textId="796F9F55" w:rsidR="00232393" w:rsidRPr="0067745F" w:rsidRDefault="00232393" w:rsidP="00501692">
      <w:pPr>
        <w:pStyle w:val="Heading2"/>
        <w:rPr>
          <w:color w:val="004270"/>
        </w:rPr>
      </w:pPr>
      <w:bookmarkStart w:id="83" w:name="_Toc263777529"/>
      <w:bookmarkStart w:id="84" w:name="_Toc117697160"/>
      <w:bookmarkStart w:id="85" w:name="_Toc117697867"/>
      <w:r w:rsidRPr="0067745F">
        <w:rPr>
          <w:i/>
          <w:iCs/>
          <w:color w:val="004270"/>
        </w:rPr>
        <w:t>SQH v Scott</w:t>
      </w:r>
      <w:r w:rsidR="00C076C6" w:rsidRPr="0067745F">
        <w:rPr>
          <w:color w:val="004270"/>
        </w:rPr>
        <w:t xml:space="preserve"> [2022] QSC 16</w:t>
      </w:r>
      <w:bookmarkEnd w:id="83"/>
      <w:bookmarkEnd w:id="84"/>
      <w:bookmarkEnd w:id="85"/>
    </w:p>
    <w:p w14:paraId="4B550CE2" w14:textId="66A209CB" w:rsidR="007E4D54" w:rsidRDefault="52F23CF3" w:rsidP="0BDF0BAD">
      <w:pPr>
        <w:rPr>
          <w:rFonts w:eastAsia="Calibri" w:cs="Arial"/>
        </w:rPr>
      </w:pPr>
      <w:r w:rsidRPr="264B7539">
        <w:rPr>
          <w:rFonts w:eastAsia="Calibri" w:cs="Arial"/>
        </w:rPr>
        <w:t xml:space="preserve">The Crime and Corruption Commission required a person to answer a question that allegedly touched on charges against them and could </w:t>
      </w:r>
      <w:r w:rsidR="00F222C8">
        <w:rPr>
          <w:rFonts w:eastAsia="Calibri" w:cs="Arial"/>
        </w:rPr>
        <w:t xml:space="preserve">have an </w:t>
      </w:r>
      <w:r w:rsidRPr="264B7539">
        <w:rPr>
          <w:rFonts w:eastAsia="Calibri" w:cs="Arial"/>
        </w:rPr>
        <w:t xml:space="preserve">impact on their receiving a fair trial. </w:t>
      </w:r>
    </w:p>
    <w:p w14:paraId="591D13EC" w14:textId="79B826DA" w:rsidR="7C9A4EA6" w:rsidRDefault="00D976C0" w:rsidP="0BDF0BAD">
      <w:pPr>
        <w:rPr>
          <w:rFonts w:eastAsia="Calibri" w:cs="Arial"/>
        </w:rPr>
      </w:pPr>
      <w:r>
        <w:rPr>
          <w:rFonts w:eastAsia="Calibri" w:cs="Arial"/>
        </w:rPr>
        <w:t>T</w:t>
      </w:r>
      <w:r w:rsidR="52F23CF3" w:rsidRPr="264B7539">
        <w:rPr>
          <w:rFonts w:eastAsia="Calibri" w:cs="Arial"/>
        </w:rPr>
        <w:t>he person</w:t>
      </w:r>
      <w:r>
        <w:rPr>
          <w:rFonts w:eastAsia="Calibri" w:cs="Arial"/>
        </w:rPr>
        <w:t xml:space="preserve"> sought leave to appeal the decision </w:t>
      </w:r>
      <w:r w:rsidR="00B866AC">
        <w:rPr>
          <w:rFonts w:eastAsia="Calibri" w:cs="Arial"/>
        </w:rPr>
        <w:t>under the Crime and Corruption Act</w:t>
      </w:r>
      <w:r w:rsidR="52F23CF3" w:rsidRPr="59D5CA66">
        <w:rPr>
          <w:rFonts w:eastAsia="Calibri" w:cs="Arial"/>
        </w:rPr>
        <w:t xml:space="preserve"> </w:t>
      </w:r>
      <w:r w:rsidR="00B866AC">
        <w:rPr>
          <w:rFonts w:eastAsia="Calibri" w:cs="Arial"/>
        </w:rPr>
        <w:t>and</w:t>
      </w:r>
      <w:r w:rsidR="036A5741" w:rsidRPr="00CB1CAD">
        <w:rPr>
          <w:rFonts w:eastAsia="Calibri" w:cs="Arial"/>
        </w:rPr>
        <w:t xml:space="preserve"> p</w:t>
      </w:r>
      <w:r w:rsidR="036A5741" w:rsidRPr="00501692">
        <w:rPr>
          <w:rFonts w:eastAsia="Calibri" w:cs="Arial"/>
        </w:rPr>
        <w:t>iggy</w:t>
      </w:r>
      <w:r w:rsidR="00DE7539" w:rsidRPr="00501692">
        <w:rPr>
          <w:rFonts w:eastAsia="Calibri" w:cs="Arial"/>
        </w:rPr>
        <w:t>-</w:t>
      </w:r>
      <w:r w:rsidR="036A5741" w:rsidRPr="00501692">
        <w:rPr>
          <w:rFonts w:eastAsia="Calibri" w:cs="Arial"/>
        </w:rPr>
        <w:t>backed</w:t>
      </w:r>
      <w:r w:rsidR="00B866AC" w:rsidRPr="00501692">
        <w:rPr>
          <w:rFonts w:eastAsia="Calibri" w:cs="Arial"/>
        </w:rPr>
        <w:t xml:space="preserve"> a human rights claim</w:t>
      </w:r>
      <w:r w:rsidR="00B60105" w:rsidRPr="00501692">
        <w:rPr>
          <w:rFonts w:eastAsia="Calibri" w:cs="Arial"/>
        </w:rPr>
        <w:t>.</w:t>
      </w:r>
      <w:r w:rsidR="52F23CF3" w:rsidRPr="00501692">
        <w:rPr>
          <w:rFonts w:eastAsia="Calibri" w:cs="Arial"/>
        </w:rPr>
        <w:t xml:space="preserve"> </w:t>
      </w:r>
      <w:r w:rsidR="00B60105" w:rsidRPr="00501692">
        <w:rPr>
          <w:rFonts w:eastAsia="Calibri" w:cs="Arial"/>
        </w:rPr>
        <w:t>T</w:t>
      </w:r>
      <w:r w:rsidR="52F23CF3" w:rsidRPr="00501692">
        <w:rPr>
          <w:rFonts w:eastAsia="Calibri" w:cs="Arial"/>
        </w:rPr>
        <w:t xml:space="preserve">he court found that while the person’s right to </w:t>
      </w:r>
      <w:r w:rsidR="00DF47D3" w:rsidRPr="00501692">
        <w:rPr>
          <w:rFonts w:eastAsia="Calibri" w:cs="Arial"/>
        </w:rPr>
        <w:t>a</w:t>
      </w:r>
      <w:r w:rsidR="52F23CF3" w:rsidRPr="00501692">
        <w:rPr>
          <w:rFonts w:eastAsia="Calibri" w:cs="Arial"/>
        </w:rPr>
        <w:t xml:space="preserve"> fair </w:t>
      </w:r>
      <w:r w:rsidR="001D41F1" w:rsidRPr="00501692">
        <w:rPr>
          <w:rFonts w:eastAsia="Calibri" w:cs="Arial"/>
        </w:rPr>
        <w:t xml:space="preserve">hearing </w:t>
      </w:r>
      <w:r w:rsidR="52F23CF3" w:rsidRPr="00501692">
        <w:rPr>
          <w:rFonts w:eastAsia="Calibri" w:cs="Arial"/>
        </w:rPr>
        <w:t xml:space="preserve">and right against self-incrimination </w:t>
      </w:r>
      <w:r w:rsidR="001A2C72">
        <w:rPr>
          <w:rFonts w:eastAsia="Calibri" w:cs="Arial"/>
        </w:rPr>
        <w:t xml:space="preserve">(that is, the right not to be compelled to testify against themselves or confess guilt) </w:t>
      </w:r>
      <w:r w:rsidR="52F23CF3" w:rsidRPr="00501692">
        <w:rPr>
          <w:rFonts w:eastAsia="Calibri" w:cs="Arial"/>
        </w:rPr>
        <w:t>had been engaged, the limit was</w:t>
      </w:r>
      <w:r w:rsidR="52F23CF3" w:rsidRPr="264B7539">
        <w:rPr>
          <w:rFonts w:eastAsia="Calibri" w:cs="Arial"/>
        </w:rPr>
        <w:t xml:space="preserve"> justified. </w:t>
      </w:r>
      <w:r w:rsidR="52F23CF3" w:rsidRPr="264B7539">
        <w:rPr>
          <w:rFonts w:eastAsia="Calibri" w:cs="Arial"/>
        </w:rPr>
        <w:lastRenderedPageBreak/>
        <w:t>This included because of the protections in place under the legislative scheme</w:t>
      </w:r>
      <w:r w:rsidR="00511261">
        <w:rPr>
          <w:rFonts w:eastAsia="Calibri" w:cs="Arial"/>
        </w:rPr>
        <w:t>,</w:t>
      </w:r>
      <w:r w:rsidR="52F23CF3" w:rsidRPr="264B7539">
        <w:rPr>
          <w:rFonts w:eastAsia="Calibri" w:cs="Arial"/>
        </w:rPr>
        <w:t xml:space="preserve"> such as direct use immunity and confidentiality in respect of the identity of the witness and any evidence given. A further protective order required limited disclosure of the evidence to prevent it from being given to the prosecution.</w:t>
      </w:r>
      <w:r w:rsidR="008F238B">
        <w:rPr>
          <w:rStyle w:val="FootnoteReference"/>
          <w:rFonts w:eastAsia="Calibri" w:cs="Arial"/>
        </w:rPr>
        <w:footnoteReference w:id="6"/>
      </w:r>
      <w:r w:rsidR="52F23CF3" w:rsidRPr="264B7539">
        <w:rPr>
          <w:rFonts w:eastAsia="Calibri" w:cs="Arial"/>
        </w:rPr>
        <w:t xml:space="preserve"> </w:t>
      </w:r>
    </w:p>
    <w:p w14:paraId="0A93ECFB" w14:textId="3318040F" w:rsidR="00391A20" w:rsidRPr="0067745F" w:rsidRDefault="00391A20" w:rsidP="001A2C72">
      <w:pPr>
        <w:pStyle w:val="Heading2"/>
        <w:rPr>
          <w:color w:val="004270"/>
        </w:rPr>
      </w:pPr>
      <w:bookmarkStart w:id="86" w:name="_Toc87345953"/>
      <w:bookmarkStart w:id="87" w:name="_Toc117697161"/>
      <w:bookmarkStart w:id="88" w:name="_Toc117697868"/>
      <w:r w:rsidRPr="0067745F">
        <w:rPr>
          <w:i/>
          <w:iCs/>
          <w:color w:val="004270"/>
        </w:rPr>
        <w:t>Miami Recreational Facilities</w:t>
      </w:r>
      <w:r w:rsidR="00FB4E3F" w:rsidRPr="0067745F">
        <w:rPr>
          <w:i/>
          <w:iCs/>
          <w:color w:val="004270"/>
        </w:rPr>
        <w:t xml:space="preserve"> </w:t>
      </w:r>
      <w:r w:rsidR="00FB4E3F" w:rsidRPr="0067745F">
        <w:rPr>
          <w:color w:val="004270"/>
        </w:rPr>
        <w:t xml:space="preserve">[2021] </w:t>
      </w:r>
      <w:r w:rsidR="00951449" w:rsidRPr="0067745F">
        <w:rPr>
          <w:color w:val="004270"/>
        </w:rPr>
        <w:t>QCAT 378</w:t>
      </w:r>
      <w:bookmarkEnd w:id="86"/>
      <w:bookmarkEnd w:id="87"/>
      <w:bookmarkEnd w:id="88"/>
    </w:p>
    <w:p w14:paraId="1D5369AD" w14:textId="77777777" w:rsidR="0096418E" w:rsidRDefault="4D7EFFD8" w:rsidP="72A8F38A">
      <w:pPr>
        <w:rPr>
          <w:rFonts w:eastAsia="Calibri" w:cs="Arial"/>
        </w:rPr>
      </w:pPr>
      <w:r w:rsidRPr="72A8F38A">
        <w:rPr>
          <w:rFonts w:eastAsia="Calibri" w:cs="Arial"/>
        </w:rPr>
        <w:t xml:space="preserve">The Miami Retirement Village applied for a renewal of an exemption previously granted under section 113 of the </w:t>
      </w:r>
      <w:r w:rsidRPr="72A8F38A">
        <w:rPr>
          <w:rFonts w:eastAsia="Calibri" w:cs="Arial"/>
          <w:i/>
          <w:iCs/>
        </w:rPr>
        <w:t xml:space="preserve">Anti-Discrimination Act 1991 </w:t>
      </w:r>
      <w:r w:rsidRPr="72A8F38A">
        <w:rPr>
          <w:rFonts w:eastAsia="Calibri" w:cs="Arial"/>
        </w:rPr>
        <w:t>(</w:t>
      </w:r>
      <w:r w:rsidR="00F36049">
        <w:rPr>
          <w:rFonts w:eastAsia="Calibri" w:cs="Arial"/>
        </w:rPr>
        <w:t>Anti-Discrimination Act</w:t>
      </w:r>
      <w:r w:rsidRPr="72A8F38A">
        <w:rPr>
          <w:rFonts w:eastAsia="Calibri" w:cs="Arial"/>
        </w:rPr>
        <w:t xml:space="preserve">) for it to restrict accommodation and services in a residential complex to people over 50 years old. </w:t>
      </w:r>
    </w:p>
    <w:p w14:paraId="4E14E0E1" w14:textId="10A3BCFD" w:rsidR="4D7EFFD8" w:rsidRDefault="606F3C90" w:rsidP="72A8F38A">
      <w:pPr>
        <w:rPr>
          <w:rFonts w:eastAsia="Calibri" w:cs="Arial"/>
        </w:rPr>
      </w:pPr>
      <w:r w:rsidRPr="2070D0A5">
        <w:rPr>
          <w:rFonts w:eastAsia="Calibri" w:cs="Arial"/>
        </w:rPr>
        <w:t xml:space="preserve">When deciding exemption applications, the tribunal is acting in an administrative capacity and is a public entity. </w:t>
      </w:r>
      <w:r w:rsidRPr="30039256">
        <w:rPr>
          <w:rFonts w:eastAsia="Calibri" w:cs="Arial"/>
        </w:rPr>
        <w:t xml:space="preserve">The tribunal identified the </w:t>
      </w:r>
      <w:r w:rsidRPr="001A2C72">
        <w:rPr>
          <w:rFonts w:eastAsia="Calibri" w:cs="Arial"/>
        </w:rPr>
        <w:t>right to equality</w:t>
      </w:r>
      <w:r w:rsidR="0017BD65" w:rsidRPr="001A2C72">
        <w:rPr>
          <w:rFonts w:eastAsia="Calibri" w:cs="Arial"/>
        </w:rPr>
        <w:t xml:space="preserve"> </w:t>
      </w:r>
      <w:r w:rsidR="00D35858" w:rsidRPr="001A2C72">
        <w:rPr>
          <w:rFonts w:eastAsia="Calibri" w:cs="Arial"/>
        </w:rPr>
        <w:t>before the law</w:t>
      </w:r>
      <w:r w:rsidR="0017BD65" w:rsidRPr="001A2C72">
        <w:rPr>
          <w:rFonts w:eastAsia="Calibri" w:cs="Arial"/>
        </w:rPr>
        <w:t xml:space="preserve"> </w:t>
      </w:r>
      <w:r w:rsidR="46E32579" w:rsidRPr="001A2C72">
        <w:rPr>
          <w:rFonts w:eastAsia="Calibri" w:cs="Arial"/>
        </w:rPr>
        <w:t>as potentially limited by its decision,</w:t>
      </w:r>
      <w:r w:rsidR="46E32579" w:rsidRPr="30039256">
        <w:rPr>
          <w:rFonts w:eastAsia="Calibri" w:cs="Arial"/>
        </w:rPr>
        <w:t xml:space="preserve"> </w:t>
      </w:r>
      <w:r w:rsidR="46E32579" w:rsidRPr="6F2CC080">
        <w:rPr>
          <w:rFonts w:eastAsia="Calibri" w:cs="Arial"/>
        </w:rPr>
        <w:t xml:space="preserve">and that the factors set out in section 13 of the </w:t>
      </w:r>
      <w:r w:rsidR="00655027">
        <w:rPr>
          <w:rFonts w:eastAsia="Calibri" w:cs="Arial"/>
        </w:rPr>
        <w:t xml:space="preserve">Human </w:t>
      </w:r>
      <w:r w:rsidR="00655027" w:rsidRPr="35A732B4">
        <w:rPr>
          <w:rFonts w:eastAsia="Calibri" w:cs="Arial"/>
        </w:rPr>
        <w:t>Rights</w:t>
      </w:r>
      <w:r w:rsidR="7DF74E7B">
        <w:rPr>
          <w:rFonts w:eastAsia="Calibri" w:cs="Arial"/>
        </w:rPr>
        <w:t xml:space="preserve"> </w:t>
      </w:r>
      <w:r w:rsidR="46E32579" w:rsidRPr="6F2CC080">
        <w:rPr>
          <w:rFonts w:eastAsia="Calibri" w:cs="Arial"/>
        </w:rPr>
        <w:t>Act to assess proportionality should be considered</w:t>
      </w:r>
      <w:r w:rsidR="00740CBE">
        <w:rPr>
          <w:rFonts w:eastAsia="Calibri" w:cs="Arial"/>
        </w:rPr>
        <w:t>,</w:t>
      </w:r>
      <w:r w:rsidR="46E32579" w:rsidRPr="6F2CC080">
        <w:rPr>
          <w:rFonts w:eastAsia="Calibri" w:cs="Arial"/>
        </w:rPr>
        <w:t xml:space="preserve"> along with the aims and objects of the </w:t>
      </w:r>
      <w:r w:rsidR="00655027">
        <w:rPr>
          <w:rFonts w:eastAsia="Calibri" w:cs="Arial"/>
        </w:rPr>
        <w:t>Anti-Discrimination</w:t>
      </w:r>
      <w:r w:rsidR="00655027" w:rsidRPr="6F2CC080">
        <w:rPr>
          <w:rFonts w:eastAsia="Calibri" w:cs="Arial"/>
        </w:rPr>
        <w:t xml:space="preserve"> </w:t>
      </w:r>
      <w:r w:rsidR="46E32579" w:rsidRPr="6F2CC080">
        <w:rPr>
          <w:rFonts w:eastAsia="Calibri" w:cs="Arial"/>
        </w:rPr>
        <w:t xml:space="preserve">Act. </w:t>
      </w:r>
      <w:r w:rsidR="1B40D3CD" w:rsidRPr="20E29245">
        <w:rPr>
          <w:rFonts w:eastAsia="Calibri" w:cs="Arial"/>
        </w:rPr>
        <w:t>On balance, with emphasis on the</w:t>
      </w:r>
      <w:r w:rsidR="1B40D3CD" w:rsidRPr="15CDD93F">
        <w:rPr>
          <w:rFonts w:eastAsia="Calibri" w:cs="Arial"/>
        </w:rPr>
        <w:t xml:space="preserve"> short</w:t>
      </w:r>
      <w:r w:rsidR="00655027" w:rsidRPr="15CDD93F">
        <w:rPr>
          <w:rFonts w:eastAsia="Calibri" w:cs="Arial"/>
        </w:rPr>
        <w:t>-term</w:t>
      </w:r>
      <w:r w:rsidR="1B40D3CD" w:rsidRPr="20E29245">
        <w:rPr>
          <w:rFonts w:eastAsia="Calibri" w:cs="Arial"/>
        </w:rPr>
        <w:t xml:space="preserve"> effect of ending the exemption</w:t>
      </w:r>
      <w:r w:rsidR="1B40D3CD" w:rsidRPr="15CDD93F">
        <w:rPr>
          <w:rFonts w:eastAsia="Calibri" w:cs="Arial"/>
        </w:rPr>
        <w:t xml:space="preserve">, </w:t>
      </w:r>
      <w:r w:rsidR="11E836C2" w:rsidRPr="47F636EC">
        <w:rPr>
          <w:rFonts w:eastAsia="Calibri" w:cs="Arial"/>
        </w:rPr>
        <w:t>renewal of the exemption was found to reasonably and justifiably limit the right to equality.</w:t>
      </w:r>
      <w:r w:rsidR="00655027">
        <w:rPr>
          <w:rStyle w:val="FootnoteReference"/>
          <w:rFonts w:eastAsia="Calibri" w:cs="Arial"/>
        </w:rPr>
        <w:footnoteReference w:id="7"/>
      </w:r>
      <w:r w:rsidR="11E836C2" w:rsidRPr="47F636EC">
        <w:rPr>
          <w:rFonts w:eastAsia="Calibri" w:cs="Arial"/>
        </w:rPr>
        <w:t xml:space="preserve"> </w:t>
      </w:r>
    </w:p>
    <w:p w14:paraId="48EF07E8" w14:textId="627CAC7A" w:rsidR="002B50D2" w:rsidRPr="0067745F" w:rsidRDefault="002B50D2" w:rsidP="004B59B3">
      <w:pPr>
        <w:pStyle w:val="Heading2"/>
        <w:rPr>
          <w:color w:val="004270"/>
        </w:rPr>
      </w:pPr>
      <w:bookmarkStart w:id="89" w:name="_Toc510983071"/>
      <w:bookmarkStart w:id="90" w:name="_Toc117697162"/>
      <w:bookmarkStart w:id="91" w:name="_Toc117697869"/>
      <w:r w:rsidRPr="0067745F">
        <w:rPr>
          <w:i/>
          <w:iCs/>
          <w:color w:val="004270"/>
        </w:rPr>
        <w:t>Sunshine Coast Regional Council (No 2)</w:t>
      </w:r>
      <w:r w:rsidRPr="0067745F">
        <w:rPr>
          <w:color w:val="004270"/>
        </w:rPr>
        <w:t xml:space="preserve"> [2021] QCAT </w:t>
      </w:r>
      <w:r w:rsidR="003E2AE2" w:rsidRPr="0067745F">
        <w:rPr>
          <w:color w:val="004270"/>
        </w:rPr>
        <w:t>439</w:t>
      </w:r>
      <w:bookmarkEnd w:id="89"/>
      <w:bookmarkEnd w:id="90"/>
      <w:bookmarkEnd w:id="91"/>
    </w:p>
    <w:p w14:paraId="36F60955" w14:textId="115C3670" w:rsidR="00D062C2" w:rsidRDefault="4D7EFFD8" w:rsidP="7C9A4EA6">
      <w:pPr>
        <w:rPr>
          <w:rFonts w:eastAsia="Calibri" w:cs="Arial"/>
        </w:rPr>
      </w:pPr>
      <w:r w:rsidRPr="16E0B8DC">
        <w:rPr>
          <w:rFonts w:eastAsia="Calibri" w:cs="Arial"/>
        </w:rPr>
        <w:t xml:space="preserve">In another </w:t>
      </w:r>
      <w:r w:rsidRPr="72A8F38A">
        <w:rPr>
          <w:rFonts w:eastAsia="Calibri" w:cs="Arial"/>
        </w:rPr>
        <w:t>exemption application</w:t>
      </w:r>
      <w:r w:rsidR="00B00BA1">
        <w:rPr>
          <w:rFonts w:eastAsia="Calibri" w:cs="Arial"/>
        </w:rPr>
        <w:t xml:space="preserve"> under the Anti-Discrimination Act</w:t>
      </w:r>
      <w:r w:rsidRPr="72A8F38A">
        <w:rPr>
          <w:rFonts w:eastAsia="Calibri" w:cs="Arial"/>
        </w:rPr>
        <w:t>, t</w:t>
      </w:r>
      <w:r w:rsidR="2111494A" w:rsidRPr="72A8F38A">
        <w:rPr>
          <w:rFonts w:eastAsia="Calibri" w:cs="Arial"/>
        </w:rPr>
        <w:t xml:space="preserve">he </w:t>
      </w:r>
      <w:r w:rsidR="6F6A0AE1" w:rsidRPr="4E150826">
        <w:rPr>
          <w:rFonts w:eastAsia="Calibri" w:cs="Arial"/>
        </w:rPr>
        <w:t xml:space="preserve">Sunshine Coast Regional Council </w:t>
      </w:r>
      <w:r w:rsidR="3EDB94D0" w:rsidRPr="72A8F38A">
        <w:rPr>
          <w:rFonts w:eastAsia="Calibri" w:cs="Arial"/>
        </w:rPr>
        <w:t>sought</w:t>
      </w:r>
      <w:r w:rsidR="0E9BF79D" w:rsidRPr="4E150826">
        <w:rPr>
          <w:rFonts w:eastAsia="Calibri" w:cs="Arial"/>
        </w:rPr>
        <w:t xml:space="preserve"> </w:t>
      </w:r>
      <w:r w:rsidR="00734F52">
        <w:rPr>
          <w:rFonts w:eastAsia="Calibri" w:cs="Arial"/>
        </w:rPr>
        <w:t xml:space="preserve">an exemption </w:t>
      </w:r>
      <w:r w:rsidR="6F6A0AE1" w:rsidRPr="4E150826">
        <w:rPr>
          <w:rFonts w:eastAsia="Calibri" w:cs="Arial"/>
        </w:rPr>
        <w:t xml:space="preserve">to allow </w:t>
      </w:r>
      <w:r w:rsidR="00620205">
        <w:rPr>
          <w:rFonts w:eastAsia="Calibri" w:cs="Arial"/>
        </w:rPr>
        <w:t>it</w:t>
      </w:r>
      <w:r w:rsidR="6F6A0AE1" w:rsidRPr="4E150826">
        <w:rPr>
          <w:rFonts w:eastAsia="Calibri" w:cs="Arial"/>
        </w:rPr>
        <w:t xml:space="preserve"> to restrict the grant of permits </w:t>
      </w:r>
      <w:r w:rsidR="004140D1" w:rsidRPr="4E150826">
        <w:rPr>
          <w:rFonts w:eastAsia="Calibri" w:cs="Arial"/>
        </w:rPr>
        <w:t xml:space="preserve">solely to Aboriginal people and Torres Strait Islander people </w:t>
      </w:r>
      <w:r w:rsidR="6F6A0AE1" w:rsidRPr="4E150826">
        <w:rPr>
          <w:rFonts w:eastAsia="Calibri" w:cs="Arial"/>
        </w:rPr>
        <w:t>for the commercial activity of Indigenous tourism on Council</w:t>
      </w:r>
      <w:r w:rsidR="0063647C">
        <w:rPr>
          <w:rFonts w:eastAsia="Calibri" w:cs="Arial"/>
        </w:rPr>
        <w:t>-</w:t>
      </w:r>
      <w:r w:rsidR="6F6A0AE1" w:rsidRPr="4E150826">
        <w:rPr>
          <w:rFonts w:eastAsia="Calibri" w:cs="Arial"/>
        </w:rPr>
        <w:t>controlled land</w:t>
      </w:r>
      <w:r w:rsidR="1118E7C0" w:rsidRPr="4E150826">
        <w:rPr>
          <w:rFonts w:eastAsia="Calibri" w:cs="Arial"/>
        </w:rPr>
        <w:t xml:space="preserve">. </w:t>
      </w:r>
    </w:p>
    <w:p w14:paraId="7A1F67D2" w14:textId="46F096CF" w:rsidR="003A741B" w:rsidRDefault="1118E7C0" w:rsidP="0017166D">
      <w:r w:rsidRPr="6E396D84">
        <w:t>The tribunal concluded that it was not necessary to grant an exemption</w:t>
      </w:r>
      <w:r w:rsidR="007303C1">
        <w:t>,</w:t>
      </w:r>
      <w:r w:rsidRPr="6E396D84">
        <w:t xml:space="preserve"> as the </w:t>
      </w:r>
      <w:r w:rsidR="000143D8" w:rsidRPr="6E396D84">
        <w:t>existing ‘</w:t>
      </w:r>
      <w:r w:rsidR="008132E7" w:rsidRPr="6E396D84">
        <w:t xml:space="preserve">welfare measures’ </w:t>
      </w:r>
      <w:r w:rsidR="003A741B">
        <w:t>provision</w:t>
      </w:r>
      <w:r w:rsidRPr="6E396D84">
        <w:t xml:space="preserve"> under s</w:t>
      </w:r>
      <w:r w:rsidR="6FC4EF4F" w:rsidRPr="6E396D84">
        <w:t>ection</w:t>
      </w:r>
      <w:r w:rsidRPr="6E396D84">
        <w:t xml:space="preserve"> 104 of the </w:t>
      </w:r>
      <w:r w:rsidR="00F36049">
        <w:t xml:space="preserve">Anti-Discrimination </w:t>
      </w:r>
      <w:r w:rsidRPr="6E396D84">
        <w:t>Act would apply.</w:t>
      </w:r>
      <w:r w:rsidR="409C6658" w:rsidRPr="6E396D84">
        <w:t xml:space="preserve"> </w:t>
      </w:r>
    </w:p>
    <w:p w14:paraId="46667F78" w14:textId="655CBB32" w:rsidR="123B2CCA" w:rsidRDefault="409C6658" w:rsidP="0017166D">
      <w:pPr>
        <w:rPr>
          <w:rFonts w:eastAsia="Calibri"/>
        </w:rPr>
      </w:pPr>
      <w:r w:rsidRPr="6E396D84">
        <w:t xml:space="preserve">Before reaching this conclusion, the tribunal considered if it could interpret </w:t>
      </w:r>
      <w:r w:rsidRPr="6820C368">
        <w:t>s</w:t>
      </w:r>
      <w:r w:rsidR="0C69908E" w:rsidRPr="6820C368">
        <w:t>ection</w:t>
      </w:r>
      <w:r w:rsidRPr="6E396D84">
        <w:t xml:space="preserve"> 104 compatibly with the </w:t>
      </w:r>
      <w:r w:rsidRPr="004B59B3">
        <w:rPr>
          <w:bCs/>
        </w:rPr>
        <w:t xml:space="preserve">right to equality </w:t>
      </w:r>
      <w:r w:rsidR="00C5066A" w:rsidRPr="004B59B3">
        <w:rPr>
          <w:bCs/>
        </w:rPr>
        <w:t>before the law</w:t>
      </w:r>
      <w:r w:rsidRPr="6820C368">
        <w:rPr>
          <w:b/>
        </w:rPr>
        <w:t xml:space="preserve"> </w:t>
      </w:r>
      <w:r w:rsidRPr="6E396D84">
        <w:t xml:space="preserve">of non-Indigenous people under the </w:t>
      </w:r>
      <w:r w:rsidR="00907AFD">
        <w:t>Human Rights</w:t>
      </w:r>
      <w:r w:rsidR="00907AFD" w:rsidRPr="6820C368">
        <w:t xml:space="preserve"> </w:t>
      </w:r>
      <w:r w:rsidRPr="6820C368">
        <w:t>Act</w:t>
      </w:r>
      <w:r w:rsidRPr="6E396D84">
        <w:rPr>
          <w:i/>
        </w:rPr>
        <w:t xml:space="preserve">. </w:t>
      </w:r>
      <w:r w:rsidR="09A5545D" w:rsidRPr="6E396D84">
        <w:t>The tribunal concluded that the limitation of the human right to equal treatment under the law could be justified</w:t>
      </w:r>
      <w:r w:rsidR="09A5545D" w:rsidRPr="6F54D124">
        <w:t>.</w:t>
      </w:r>
      <w:r w:rsidR="09A5545D" w:rsidRPr="6E396D84">
        <w:t xml:space="preserve"> The proposed policy </w:t>
      </w:r>
      <w:r w:rsidR="008F7A4A">
        <w:t>to restrict the grant of permits</w:t>
      </w:r>
      <w:r w:rsidR="007D5E27">
        <w:t xml:space="preserve"> </w:t>
      </w:r>
      <w:r w:rsidR="00367D59">
        <w:t xml:space="preserve">in the way outlined </w:t>
      </w:r>
      <w:r w:rsidR="09A5545D" w:rsidRPr="6E396D84">
        <w:t xml:space="preserve">may also </w:t>
      </w:r>
      <w:r w:rsidR="00187E66">
        <w:t>align with</w:t>
      </w:r>
      <w:r w:rsidR="09A5545D" w:rsidRPr="6E396D84">
        <w:t xml:space="preserve"> </w:t>
      </w:r>
      <w:r w:rsidR="09A5545D" w:rsidRPr="25D363FF">
        <w:t>s</w:t>
      </w:r>
      <w:r w:rsidR="116E0D65" w:rsidRPr="25D363FF">
        <w:t>ection</w:t>
      </w:r>
      <w:r w:rsidR="09A5545D" w:rsidRPr="6E396D84">
        <w:t xml:space="preserve"> 15(5) of the </w:t>
      </w:r>
      <w:r w:rsidR="00907AFD">
        <w:lastRenderedPageBreak/>
        <w:t>Human Rights</w:t>
      </w:r>
      <w:r w:rsidR="00907AFD" w:rsidRPr="6E396D84">
        <w:t xml:space="preserve"> </w:t>
      </w:r>
      <w:r w:rsidR="09A5545D" w:rsidRPr="6E396D84">
        <w:t>Act as a ‘special measure’. Section 104</w:t>
      </w:r>
      <w:r w:rsidR="55EB16D1" w:rsidRPr="6E396D84">
        <w:t xml:space="preserve"> </w:t>
      </w:r>
      <w:r w:rsidR="22B0EEB1" w:rsidRPr="6E396D84">
        <w:t xml:space="preserve">of the </w:t>
      </w:r>
      <w:r w:rsidR="00D50F0F">
        <w:t>Anti-Discrimination</w:t>
      </w:r>
      <w:r w:rsidR="00D50F0F" w:rsidRPr="6E396D84">
        <w:t xml:space="preserve"> </w:t>
      </w:r>
      <w:r w:rsidR="22B0EEB1" w:rsidRPr="6E396D84">
        <w:t>Act</w:t>
      </w:r>
      <w:r w:rsidR="09A5545D" w:rsidRPr="6E396D84">
        <w:t xml:space="preserve"> would al</w:t>
      </w:r>
      <w:r w:rsidR="0BFB7823" w:rsidRPr="6E396D84">
        <w:t xml:space="preserve">so amount to </w:t>
      </w:r>
      <w:r w:rsidR="00B859BB">
        <w:t xml:space="preserve">a </w:t>
      </w:r>
      <w:r w:rsidR="0BFB7823" w:rsidRPr="6E396D84">
        <w:t xml:space="preserve">justification of the Council </w:t>
      </w:r>
      <w:r w:rsidR="00B859BB">
        <w:t>policy should</w:t>
      </w:r>
      <w:r w:rsidR="0BFB7823" w:rsidRPr="6E396D84">
        <w:t xml:space="preserve"> any complaint made against it under the HR Act.</w:t>
      </w:r>
      <w:r w:rsidR="00D50F0F">
        <w:rPr>
          <w:rStyle w:val="FootnoteReference"/>
          <w:rFonts w:eastAsia="Arial" w:cs="Arial"/>
          <w:sz w:val="21"/>
          <w:szCs w:val="21"/>
        </w:rPr>
        <w:footnoteReference w:id="8"/>
      </w:r>
    </w:p>
    <w:p w14:paraId="09440063" w14:textId="77777777" w:rsidR="00E7228C" w:rsidRPr="0017166D" w:rsidRDefault="00E7228C" w:rsidP="00CE2603">
      <w:pPr>
        <w:pStyle w:val="Heading2"/>
        <w:rPr>
          <w:color w:val="004270"/>
        </w:rPr>
      </w:pPr>
      <w:bookmarkStart w:id="92" w:name="_Toc1652723486"/>
      <w:bookmarkStart w:id="93" w:name="_Toc117697163"/>
      <w:bookmarkStart w:id="94" w:name="_Toc117697870"/>
      <w:r w:rsidRPr="0017166D">
        <w:rPr>
          <w:i/>
          <w:iCs/>
          <w:color w:val="004270"/>
        </w:rPr>
        <w:t>EB</w:t>
      </w:r>
      <w:r w:rsidRPr="0017166D">
        <w:rPr>
          <w:color w:val="004270"/>
        </w:rPr>
        <w:t xml:space="preserve"> [2021] QCAT 434</w:t>
      </w:r>
      <w:bookmarkEnd w:id="92"/>
      <w:bookmarkEnd w:id="93"/>
      <w:bookmarkEnd w:id="94"/>
    </w:p>
    <w:p w14:paraId="16BB11C9" w14:textId="02E666CC" w:rsidR="00DE3CEE" w:rsidRDefault="123B2CCA" w:rsidP="0017166D">
      <w:r w:rsidRPr="6E396D84">
        <w:t xml:space="preserve">The </w:t>
      </w:r>
      <w:r w:rsidR="4DDD6879" w:rsidRPr="6E396D84">
        <w:t>Queensland Civil and Administrative Tribunal</w:t>
      </w:r>
      <w:r w:rsidRPr="6E396D84">
        <w:t xml:space="preserve"> granted an interim order for the appointment of a guardian </w:t>
      </w:r>
      <w:r w:rsidR="00F900CA">
        <w:t>for</w:t>
      </w:r>
      <w:r w:rsidR="00F900CA" w:rsidRPr="6E396D84">
        <w:t xml:space="preserve"> </w:t>
      </w:r>
      <w:r w:rsidRPr="6E396D84">
        <w:t>a woman with severe dementia</w:t>
      </w:r>
      <w:r w:rsidR="00B859BB">
        <w:t>,</w:t>
      </w:r>
      <w:r w:rsidRPr="6E396D84">
        <w:t xml:space="preserve"> but </w:t>
      </w:r>
      <w:r w:rsidR="00E12247">
        <w:t>r</w:t>
      </w:r>
      <w:r w:rsidR="002D1E7C">
        <w:t>e</w:t>
      </w:r>
      <w:r w:rsidR="00746866">
        <w:t>f</w:t>
      </w:r>
      <w:r w:rsidR="00E12247">
        <w:t>used</w:t>
      </w:r>
      <w:r w:rsidR="00E12247" w:rsidRPr="6E396D84">
        <w:t xml:space="preserve"> </w:t>
      </w:r>
      <w:r w:rsidRPr="6E396D84">
        <w:t xml:space="preserve">an interim </w:t>
      </w:r>
      <w:r w:rsidR="00746866">
        <w:t>order</w:t>
      </w:r>
      <w:r w:rsidR="00746866" w:rsidRPr="6E396D84">
        <w:t xml:space="preserve"> </w:t>
      </w:r>
      <w:r w:rsidRPr="6E396D84">
        <w:t xml:space="preserve">for </w:t>
      </w:r>
      <w:r w:rsidR="00F900CA">
        <w:t xml:space="preserve">the </w:t>
      </w:r>
      <w:r w:rsidRPr="6E396D84">
        <w:t xml:space="preserve">appointment of an administrator. </w:t>
      </w:r>
    </w:p>
    <w:p w14:paraId="760A9070" w14:textId="6F4CB1B3" w:rsidR="123B2CCA" w:rsidRDefault="08AFBD18" w:rsidP="0017166D">
      <w:r w:rsidRPr="6E396D84">
        <w:t>I</w:t>
      </w:r>
      <w:r w:rsidR="319CDB29" w:rsidRPr="6E396D84">
        <w:t>n</w:t>
      </w:r>
      <w:r w:rsidR="123B2CCA" w:rsidRPr="6E396D84">
        <w:t xml:space="preserve"> making its decision, the tribunal </w:t>
      </w:r>
      <w:r w:rsidR="7FC0E50B" w:rsidRPr="6E396D84">
        <w:t xml:space="preserve">acknowledged its obligations as a public entity </w:t>
      </w:r>
      <w:r w:rsidR="00866131">
        <w:t>to</w:t>
      </w:r>
      <w:r w:rsidR="7FC0E50B" w:rsidRPr="6E396D84">
        <w:t xml:space="preserve"> interpret legislation</w:t>
      </w:r>
      <w:r w:rsidR="123B2CCA" w:rsidRPr="6E396D84">
        <w:t xml:space="preserve"> compatibly with human rights. </w:t>
      </w:r>
      <w:r w:rsidR="1504D1E4" w:rsidRPr="6E396D84">
        <w:t>The</w:t>
      </w:r>
      <w:r w:rsidR="7FC0E50B" w:rsidRPr="6E396D84">
        <w:t xml:space="preserve"> </w:t>
      </w:r>
      <w:r w:rsidR="1504D1E4" w:rsidRPr="6E396D84">
        <w:t>tribunal considered the woman’s</w:t>
      </w:r>
      <w:r w:rsidR="123B2CCA" w:rsidRPr="6E396D84">
        <w:t xml:space="preserve"> </w:t>
      </w:r>
      <w:r w:rsidR="123B2CCA" w:rsidRPr="00CE2603">
        <w:t>rights to freedom of movement</w:t>
      </w:r>
      <w:r w:rsidR="7FC0E50B" w:rsidRPr="00CE2603">
        <w:t xml:space="preserve">, </w:t>
      </w:r>
      <w:r w:rsidR="123B2CCA" w:rsidRPr="00CE2603">
        <w:t>privacy and reputation</w:t>
      </w:r>
      <w:r w:rsidR="4EBD18A7" w:rsidRPr="00CE2603">
        <w:t xml:space="preserve">, and </w:t>
      </w:r>
      <w:r w:rsidR="123B2CCA" w:rsidRPr="00CE2603">
        <w:t>fair hearing</w:t>
      </w:r>
      <w:r w:rsidR="4EBD18A7" w:rsidRPr="00CE2603">
        <w:t>.</w:t>
      </w:r>
      <w:r w:rsidR="123B2CCA" w:rsidRPr="00CE2603">
        <w:t xml:space="preserve"> The urgent nature of the application, and immediacy of the purpose to protect the woman from</w:t>
      </w:r>
      <w:r w:rsidR="123B2CCA" w:rsidRPr="6E396D84">
        <w:t xml:space="preserve"> the risk of harm justified limit</w:t>
      </w:r>
      <w:r w:rsidR="00FA2706">
        <w:t>ing</w:t>
      </w:r>
      <w:r w:rsidR="123B2CCA" w:rsidRPr="6E396D84">
        <w:t xml:space="preserve"> her right to a fair hearing on a short-term basis, and limits on </w:t>
      </w:r>
      <w:r w:rsidR="00D75C12">
        <w:t xml:space="preserve">her </w:t>
      </w:r>
      <w:r w:rsidR="123B2CCA" w:rsidRPr="6E396D84">
        <w:t>rights of free movement and privacy</w:t>
      </w:r>
      <w:r w:rsidR="71509BA6" w:rsidRPr="6E396D84">
        <w:t>,</w:t>
      </w:r>
      <w:r w:rsidR="123B2CCA" w:rsidRPr="6E396D84">
        <w:t xml:space="preserve"> until the matter </w:t>
      </w:r>
      <w:r w:rsidR="00FA2706">
        <w:t>is</w:t>
      </w:r>
      <w:r w:rsidR="123B2CCA" w:rsidRPr="6E396D84">
        <w:t xml:space="preserve"> heard.</w:t>
      </w:r>
      <w:r w:rsidR="003416E5">
        <w:rPr>
          <w:rStyle w:val="FootnoteReference"/>
          <w:rFonts w:eastAsia="Arial" w:cs="Arial"/>
          <w:sz w:val="21"/>
          <w:szCs w:val="21"/>
        </w:rPr>
        <w:footnoteReference w:id="9"/>
      </w:r>
      <w:r w:rsidR="123B2CCA" w:rsidRPr="6E396D84">
        <w:t xml:space="preserve"> </w:t>
      </w:r>
    </w:p>
    <w:p w14:paraId="3BA299A1" w14:textId="77777777" w:rsidR="004F5A90" w:rsidRPr="0017166D" w:rsidRDefault="004F5A90" w:rsidP="00D17411">
      <w:pPr>
        <w:pStyle w:val="Heading1"/>
        <w:rPr>
          <w:color w:val="004270"/>
        </w:rPr>
      </w:pPr>
      <w:bookmarkStart w:id="95" w:name="_Toc84593879"/>
      <w:bookmarkStart w:id="96" w:name="_Toc85451757"/>
      <w:bookmarkStart w:id="97" w:name="_Toc85526687"/>
      <w:bookmarkStart w:id="98" w:name="_Toc85787102"/>
      <w:bookmarkStart w:id="99" w:name="_Toc110506641"/>
      <w:bookmarkStart w:id="100" w:name="_Toc202992737"/>
      <w:bookmarkStart w:id="101" w:name="_Toc117697164"/>
      <w:bookmarkStart w:id="102" w:name="_Toc117697871"/>
      <w:r w:rsidRPr="0017166D">
        <w:rPr>
          <w:color w:val="004270"/>
        </w:rPr>
        <w:t>Interventions</w:t>
      </w:r>
      <w:bookmarkEnd w:id="95"/>
      <w:bookmarkEnd w:id="96"/>
      <w:bookmarkEnd w:id="97"/>
      <w:bookmarkEnd w:id="98"/>
      <w:bookmarkEnd w:id="99"/>
      <w:bookmarkEnd w:id="100"/>
      <w:bookmarkEnd w:id="101"/>
      <w:bookmarkEnd w:id="102"/>
    </w:p>
    <w:p w14:paraId="384D7849" w14:textId="0E30ECC3" w:rsidR="00595A2F" w:rsidRDefault="00595A2F" w:rsidP="00595A2F">
      <w:r w:rsidRPr="43FC7218">
        <w:rPr>
          <w:lang w:val="en-US"/>
        </w:rPr>
        <w:t xml:space="preserve">The Attorney-General and the Queensland Human Rights Commission </w:t>
      </w:r>
      <w:r w:rsidR="00FC4F13">
        <w:rPr>
          <w:lang w:val="en-US"/>
        </w:rPr>
        <w:t>may</w:t>
      </w:r>
      <w:r w:rsidRPr="43FC7218">
        <w:rPr>
          <w:lang w:val="en-US"/>
        </w:rPr>
        <w:t xml:space="preserve"> intervene in proceedings before a court </w:t>
      </w:r>
      <w:r>
        <w:rPr>
          <w:lang w:val="en-US"/>
        </w:rPr>
        <w:t>or</w:t>
      </w:r>
      <w:r w:rsidRPr="43FC7218">
        <w:rPr>
          <w:lang w:val="en-US"/>
        </w:rPr>
        <w:t xml:space="preserve"> tribunal </w:t>
      </w:r>
      <w:r w:rsidR="00720D3E">
        <w:rPr>
          <w:lang w:val="en-US"/>
        </w:rPr>
        <w:t xml:space="preserve">in which </w:t>
      </w:r>
      <w:r w:rsidRPr="43FC7218">
        <w:rPr>
          <w:lang w:val="en-US"/>
        </w:rPr>
        <w:t xml:space="preserve">a question of law about the application of the </w:t>
      </w:r>
      <w:r>
        <w:rPr>
          <w:lang w:val="en-US"/>
        </w:rPr>
        <w:t xml:space="preserve">Human Rights </w:t>
      </w:r>
      <w:r w:rsidRPr="43FC7218">
        <w:rPr>
          <w:lang w:val="en-US"/>
        </w:rPr>
        <w:t>Act</w:t>
      </w:r>
      <w:r w:rsidR="00720D3E">
        <w:rPr>
          <w:lang w:val="en-US"/>
        </w:rPr>
        <w:t xml:space="preserve"> arises</w:t>
      </w:r>
      <w:r w:rsidRPr="43FC7218">
        <w:rPr>
          <w:lang w:val="en-US"/>
        </w:rPr>
        <w:t>, or a question about how legislation is to be interpreted in accordance with the Act.</w:t>
      </w:r>
    </w:p>
    <w:p w14:paraId="1F0F6ACB" w14:textId="46C5FFE9" w:rsidR="000D7CB2" w:rsidRPr="0017166D" w:rsidRDefault="000D7CB2" w:rsidP="00A70E21">
      <w:pPr>
        <w:pStyle w:val="Heading2"/>
        <w:rPr>
          <w:color w:val="004270"/>
        </w:rPr>
      </w:pPr>
      <w:bookmarkStart w:id="103" w:name="_Toc84593880"/>
      <w:bookmarkStart w:id="104" w:name="_Toc85451758"/>
      <w:bookmarkStart w:id="105" w:name="_Toc85526688"/>
      <w:bookmarkStart w:id="106" w:name="_Toc85787103"/>
      <w:bookmarkStart w:id="107" w:name="_Toc110506642"/>
      <w:bookmarkStart w:id="108" w:name="_Toc117697165"/>
      <w:bookmarkStart w:id="109" w:name="_Toc117697872"/>
      <w:bookmarkStart w:id="110" w:name="_Toc36032933"/>
      <w:r w:rsidRPr="0017166D">
        <w:rPr>
          <w:color w:val="004270"/>
        </w:rPr>
        <w:t>Commission notifications</w:t>
      </w:r>
      <w:bookmarkEnd w:id="103"/>
      <w:bookmarkEnd w:id="104"/>
      <w:bookmarkEnd w:id="105"/>
      <w:bookmarkEnd w:id="106"/>
      <w:bookmarkEnd w:id="107"/>
      <w:bookmarkEnd w:id="108"/>
      <w:bookmarkEnd w:id="109"/>
      <w:r w:rsidRPr="0017166D">
        <w:rPr>
          <w:color w:val="004270"/>
        </w:rPr>
        <w:t xml:space="preserve"> </w:t>
      </w:r>
      <w:bookmarkEnd w:id="110"/>
    </w:p>
    <w:p w14:paraId="2D80A545" w14:textId="766EAB52" w:rsidR="000D7CB2" w:rsidRDefault="000D7CB2" w:rsidP="000D7CB2">
      <w:pPr>
        <w:rPr>
          <w:lang w:val="en"/>
        </w:rPr>
      </w:pPr>
      <w:r w:rsidRPr="43FC7218">
        <w:rPr>
          <w:lang w:val="en"/>
        </w:rPr>
        <w:t xml:space="preserve">For proceedings </w:t>
      </w:r>
      <w:r w:rsidR="0000229A">
        <w:rPr>
          <w:lang w:val="en"/>
        </w:rPr>
        <w:t>in</w:t>
      </w:r>
      <w:r w:rsidR="0000229A" w:rsidRPr="43FC7218">
        <w:rPr>
          <w:lang w:val="en"/>
        </w:rPr>
        <w:t xml:space="preserve"> </w:t>
      </w:r>
      <w:r w:rsidRPr="43FC7218">
        <w:rPr>
          <w:lang w:val="en"/>
        </w:rPr>
        <w:t>the Supreme Court or District Court in which</w:t>
      </w:r>
      <w:r w:rsidR="009E2646">
        <w:rPr>
          <w:lang w:val="en"/>
        </w:rPr>
        <w:t xml:space="preserve"> a question of law arises that relates to the application of the Act or the interpretation of a statutory provision</w:t>
      </w:r>
      <w:r w:rsidRPr="43FC7218">
        <w:rPr>
          <w:lang w:val="en"/>
        </w:rPr>
        <w:t xml:space="preserve">, parties must give notice in the approved form under section 52 of the </w:t>
      </w:r>
      <w:r w:rsidRPr="43FC7218">
        <w:rPr>
          <w:i/>
          <w:lang w:val="en"/>
        </w:rPr>
        <w:t>Human Rights Act 2019</w:t>
      </w:r>
      <w:r w:rsidRPr="43FC7218">
        <w:rPr>
          <w:lang w:val="en"/>
        </w:rPr>
        <w:t xml:space="preserve"> to the Attorney-General and the Queensland Human Rights Commission. The Commission also receives notifications of proceedings </w:t>
      </w:r>
      <w:r w:rsidR="6CBBE764" w:rsidRPr="18777BED">
        <w:rPr>
          <w:lang w:val="en"/>
        </w:rPr>
        <w:t>that are not required under section 52 of the Act.</w:t>
      </w:r>
    </w:p>
    <w:p w14:paraId="5F0954A0" w14:textId="644E7FC4" w:rsidR="000D7CB2" w:rsidRDefault="000D7CB2" w:rsidP="3ACC95D7">
      <w:pPr>
        <w:rPr>
          <w:lang w:val="en"/>
        </w:rPr>
      </w:pPr>
      <w:r w:rsidRPr="43FC7218">
        <w:rPr>
          <w:lang w:val="en"/>
        </w:rPr>
        <w:lastRenderedPageBreak/>
        <w:t>In 202</w:t>
      </w:r>
      <w:r>
        <w:rPr>
          <w:lang w:val="en"/>
        </w:rPr>
        <w:t>1</w:t>
      </w:r>
      <w:r w:rsidR="00871367">
        <w:rPr>
          <w:lang w:val="en"/>
        </w:rPr>
        <w:t>–</w:t>
      </w:r>
      <w:r w:rsidRPr="43FC7218">
        <w:rPr>
          <w:lang w:val="en"/>
        </w:rPr>
        <w:t>2</w:t>
      </w:r>
      <w:r>
        <w:rPr>
          <w:lang w:val="en"/>
        </w:rPr>
        <w:t>2</w:t>
      </w:r>
      <w:r w:rsidRPr="43FC7218">
        <w:rPr>
          <w:lang w:val="en"/>
        </w:rPr>
        <w:t xml:space="preserve">, the Commission received </w:t>
      </w:r>
      <w:r w:rsidR="6383FCE8" w:rsidRPr="0889A078">
        <w:rPr>
          <w:lang w:val="en"/>
        </w:rPr>
        <w:t xml:space="preserve">27 </w:t>
      </w:r>
      <w:r w:rsidR="1DCC393C" w:rsidRPr="2CD6F2C6">
        <w:rPr>
          <w:lang w:val="en"/>
        </w:rPr>
        <w:t>notifications</w:t>
      </w:r>
      <w:r w:rsidRPr="43FC7218">
        <w:rPr>
          <w:lang w:val="en"/>
        </w:rPr>
        <w:t xml:space="preserve"> or requests to intervene under the </w:t>
      </w:r>
      <w:r w:rsidRPr="4690365F">
        <w:rPr>
          <w:lang w:val="en"/>
        </w:rPr>
        <w:t>Human Rights Act.</w:t>
      </w:r>
      <w:r w:rsidRPr="43FC7218">
        <w:rPr>
          <w:lang w:val="en"/>
        </w:rPr>
        <w:t xml:space="preserve"> Of those, </w:t>
      </w:r>
      <w:r w:rsidR="3BF6A498" w:rsidRPr="0889A078">
        <w:rPr>
          <w:lang w:val="en"/>
        </w:rPr>
        <w:t>23</w:t>
      </w:r>
      <w:r w:rsidRPr="0889A078">
        <w:rPr>
          <w:lang w:val="en"/>
        </w:rPr>
        <w:t xml:space="preserve"> </w:t>
      </w:r>
      <w:r w:rsidRPr="43FC7218">
        <w:rPr>
          <w:lang w:val="en"/>
        </w:rPr>
        <w:t>were notices under section 52 of the</w:t>
      </w:r>
      <w:r>
        <w:rPr>
          <w:lang w:val="en"/>
        </w:rPr>
        <w:t xml:space="preserve"> Act. </w:t>
      </w:r>
    </w:p>
    <w:p w14:paraId="6C9380BD" w14:textId="5FE1D24C" w:rsidR="23D70255" w:rsidRPr="00F7068E" w:rsidRDefault="23D70255" w:rsidP="116FC0E1">
      <w:pPr>
        <w:pStyle w:val="Heading2"/>
        <w:rPr>
          <w:rFonts w:eastAsia="Yu Gothic Light" w:cs="Times New Roman"/>
          <w:color w:val="004270"/>
        </w:rPr>
      </w:pPr>
      <w:bookmarkStart w:id="111" w:name="_Toc354556638"/>
      <w:bookmarkStart w:id="112" w:name="_Toc117697166"/>
      <w:bookmarkStart w:id="113" w:name="_Toc117697873"/>
      <w:r w:rsidRPr="00F7068E">
        <w:rPr>
          <w:color w:val="004270"/>
        </w:rPr>
        <w:t>Commission interventions</w:t>
      </w:r>
      <w:bookmarkEnd w:id="111"/>
      <w:bookmarkEnd w:id="112"/>
      <w:bookmarkEnd w:id="113"/>
    </w:p>
    <w:p w14:paraId="359151D3" w14:textId="6663CE91" w:rsidR="000D7CB2" w:rsidRDefault="443C94D7" w:rsidP="053E93F8">
      <w:pPr>
        <w:rPr>
          <w:lang w:val="en"/>
        </w:rPr>
      </w:pPr>
      <w:r w:rsidRPr="3ACC95D7">
        <w:rPr>
          <w:lang w:val="en"/>
        </w:rPr>
        <w:t xml:space="preserve">The Commission intervened in two matters before the Coroners Court and eight matters in the Supreme Court. </w:t>
      </w:r>
    </w:p>
    <w:p w14:paraId="2AF339A7" w14:textId="06FE65CA" w:rsidR="000D7CB2" w:rsidRDefault="1F7EA149" w:rsidP="053E93F8">
      <w:pPr>
        <w:rPr>
          <w:lang w:val="en"/>
        </w:rPr>
      </w:pPr>
      <w:r w:rsidRPr="7D65A9CA">
        <w:rPr>
          <w:lang w:val="en"/>
        </w:rPr>
        <w:t xml:space="preserve">All the matters in the Supreme Court </w:t>
      </w:r>
      <w:r w:rsidR="00026EF9">
        <w:rPr>
          <w:lang w:val="en"/>
        </w:rPr>
        <w:t>were</w:t>
      </w:r>
      <w:r w:rsidR="00026EF9" w:rsidRPr="7D65A9CA">
        <w:rPr>
          <w:lang w:val="en"/>
        </w:rPr>
        <w:t xml:space="preserve"> </w:t>
      </w:r>
      <w:r w:rsidRPr="7D65A9CA">
        <w:rPr>
          <w:lang w:val="en"/>
        </w:rPr>
        <w:t xml:space="preserve">applications for judicial review of mandatory requirements for vaccination against COVID-19. </w:t>
      </w:r>
      <w:r w:rsidR="1071CDCE" w:rsidRPr="053E93F8">
        <w:rPr>
          <w:lang w:val="en"/>
        </w:rPr>
        <w:t xml:space="preserve">The Commission </w:t>
      </w:r>
      <w:r w:rsidR="2D515E53" w:rsidRPr="053E93F8">
        <w:rPr>
          <w:lang w:val="en"/>
        </w:rPr>
        <w:t xml:space="preserve">(and the Attorney-General) </w:t>
      </w:r>
      <w:r w:rsidR="1071CDCE" w:rsidRPr="053E93F8">
        <w:rPr>
          <w:lang w:val="en"/>
        </w:rPr>
        <w:t>withdrew from one of the matters when the applicant abandoned their human rights grounds</w:t>
      </w:r>
      <w:r w:rsidR="00EB73C5">
        <w:rPr>
          <w:lang w:val="en"/>
        </w:rPr>
        <w:t>, and t</w:t>
      </w:r>
      <w:r w:rsidR="004F0E1A">
        <w:rPr>
          <w:lang w:val="en"/>
        </w:rPr>
        <w:t xml:space="preserve">he other seven matters </w:t>
      </w:r>
      <w:r w:rsidR="00312437">
        <w:rPr>
          <w:lang w:val="en"/>
        </w:rPr>
        <w:t>are in progress</w:t>
      </w:r>
      <w:r w:rsidR="00CD69C0">
        <w:rPr>
          <w:lang w:val="en"/>
        </w:rPr>
        <w:t>, with no deci</w:t>
      </w:r>
      <w:r w:rsidR="00367836">
        <w:rPr>
          <w:lang w:val="en"/>
        </w:rPr>
        <w:t>sions handed down at the time of writing.</w:t>
      </w:r>
    </w:p>
    <w:p w14:paraId="02E9A359" w14:textId="450F63F8" w:rsidR="000D7CB2" w:rsidRDefault="1F7EA149" w:rsidP="18AA2105">
      <w:pPr>
        <w:rPr>
          <w:rFonts w:eastAsia="Arial" w:cs="Arial"/>
        </w:rPr>
      </w:pPr>
      <w:r w:rsidRPr="7D65A9CA">
        <w:rPr>
          <w:lang w:val="en"/>
        </w:rPr>
        <w:t xml:space="preserve">One Coroners Court matter is an inquiry into a death in custody, and the other is an inquiry into the deaths </w:t>
      </w:r>
      <w:r w:rsidR="378E22C5" w:rsidRPr="116FC0E1">
        <w:rPr>
          <w:lang w:val="en"/>
        </w:rPr>
        <w:t>o</w:t>
      </w:r>
      <w:r w:rsidR="11FDA649" w:rsidRPr="116FC0E1">
        <w:rPr>
          <w:lang w:val="en"/>
        </w:rPr>
        <w:t>f</w:t>
      </w:r>
      <w:r w:rsidRPr="7D65A9CA">
        <w:rPr>
          <w:lang w:val="en"/>
        </w:rPr>
        <w:t xml:space="preserve"> three women who died from complications associated with rheumatic heart disease. </w:t>
      </w:r>
      <w:r w:rsidR="443C94D7" w:rsidRPr="3ACC95D7">
        <w:rPr>
          <w:lang w:val="en"/>
        </w:rPr>
        <w:t>Only one interim decision has been handed down in relation to these matters.</w:t>
      </w:r>
      <w:r w:rsidR="00DE4F3C">
        <w:rPr>
          <w:rStyle w:val="FootnoteReference"/>
          <w:lang w:val="en"/>
        </w:rPr>
        <w:footnoteReference w:id="10"/>
      </w:r>
      <w:r w:rsidR="443C94D7" w:rsidRPr="3ACC95D7">
        <w:rPr>
          <w:lang w:val="en"/>
        </w:rPr>
        <w:t xml:space="preserve"> </w:t>
      </w:r>
    </w:p>
    <w:p w14:paraId="50C00542" w14:textId="1FB429C9" w:rsidR="000D7CB2" w:rsidRDefault="2D310B4E" w:rsidP="66D0CF12">
      <w:pPr>
        <w:rPr>
          <w:rFonts w:eastAsia="Calibri" w:cs="Arial"/>
          <w:lang w:val="en"/>
        </w:rPr>
      </w:pPr>
      <w:r w:rsidRPr="50BA1007">
        <w:rPr>
          <w:rFonts w:eastAsia="Arial" w:cs="Arial"/>
          <w:lang w:val="en"/>
        </w:rPr>
        <w:t xml:space="preserve">During the </w:t>
      </w:r>
      <w:r w:rsidR="00E43DB5">
        <w:rPr>
          <w:rFonts w:eastAsia="Arial" w:cs="Arial"/>
          <w:lang w:val="en"/>
        </w:rPr>
        <w:t xml:space="preserve">reporting </w:t>
      </w:r>
      <w:r w:rsidRPr="50BA1007">
        <w:rPr>
          <w:rFonts w:eastAsia="Arial" w:cs="Arial"/>
          <w:lang w:val="en"/>
        </w:rPr>
        <w:t>period</w:t>
      </w:r>
      <w:r w:rsidR="004B7E03">
        <w:rPr>
          <w:rFonts w:eastAsia="Arial" w:cs="Arial"/>
          <w:lang w:val="en"/>
        </w:rPr>
        <w:t>,</w:t>
      </w:r>
      <w:r w:rsidRPr="50BA1007">
        <w:rPr>
          <w:rFonts w:eastAsia="Arial" w:cs="Arial"/>
          <w:lang w:val="en"/>
        </w:rPr>
        <w:t xml:space="preserve"> three decisions </w:t>
      </w:r>
      <w:r w:rsidR="008C1E4D" w:rsidRPr="50BA1007">
        <w:rPr>
          <w:rFonts w:eastAsia="Arial" w:cs="Arial"/>
          <w:lang w:val="en"/>
        </w:rPr>
        <w:t xml:space="preserve">in which </w:t>
      </w:r>
      <w:r w:rsidR="008C1E4D">
        <w:rPr>
          <w:rFonts w:eastAsia="Arial" w:cs="Arial"/>
          <w:lang w:val="en"/>
        </w:rPr>
        <w:t>the Commission</w:t>
      </w:r>
      <w:r w:rsidR="008C1E4D" w:rsidRPr="50BA1007">
        <w:rPr>
          <w:rFonts w:eastAsia="Arial" w:cs="Arial"/>
          <w:lang w:val="en"/>
        </w:rPr>
        <w:t xml:space="preserve"> intervened</w:t>
      </w:r>
      <w:r w:rsidR="008C1E4D">
        <w:rPr>
          <w:rFonts w:eastAsia="Arial" w:cs="Arial"/>
          <w:lang w:val="en"/>
        </w:rPr>
        <w:t xml:space="preserve"> that were </w:t>
      </w:r>
      <w:r w:rsidR="00CA7D87">
        <w:rPr>
          <w:rFonts w:eastAsia="Arial" w:cs="Arial"/>
          <w:lang w:val="en"/>
        </w:rPr>
        <w:t xml:space="preserve">mentioned in last year’s report </w:t>
      </w:r>
      <w:r w:rsidR="00E43DB5">
        <w:rPr>
          <w:rFonts w:eastAsia="Arial" w:cs="Arial"/>
          <w:lang w:val="en"/>
        </w:rPr>
        <w:t>we</w:t>
      </w:r>
      <w:r w:rsidR="001350D8">
        <w:rPr>
          <w:rFonts w:eastAsia="Arial" w:cs="Arial"/>
          <w:lang w:val="en"/>
        </w:rPr>
        <w:t xml:space="preserve">re </w:t>
      </w:r>
      <w:r w:rsidR="007A5C1B" w:rsidRPr="50BA1007">
        <w:rPr>
          <w:rFonts w:eastAsia="Arial" w:cs="Arial"/>
          <w:lang w:val="en"/>
        </w:rPr>
        <w:t>delivered.</w:t>
      </w:r>
      <w:r w:rsidRPr="50BA1007">
        <w:rPr>
          <w:rFonts w:eastAsia="Arial" w:cs="Arial"/>
          <w:lang w:val="en"/>
        </w:rPr>
        <w:t xml:space="preserve"> These </w:t>
      </w:r>
      <w:r w:rsidR="009876C1">
        <w:rPr>
          <w:rFonts w:eastAsia="Arial" w:cs="Arial"/>
          <w:lang w:val="en"/>
        </w:rPr>
        <w:t>were</w:t>
      </w:r>
      <w:r w:rsidRPr="50BA1007">
        <w:rPr>
          <w:rFonts w:eastAsia="Arial" w:cs="Arial"/>
          <w:lang w:val="en"/>
        </w:rPr>
        <w:t xml:space="preserve">: </w:t>
      </w:r>
    </w:p>
    <w:p w14:paraId="375FB8A3" w14:textId="50459197" w:rsidR="000D7CB2" w:rsidRDefault="2D310B4E" w:rsidP="00FD4BC7">
      <w:pPr>
        <w:pStyle w:val="ListParagraph"/>
        <w:numPr>
          <w:ilvl w:val="0"/>
          <w:numId w:val="13"/>
        </w:numPr>
        <w:rPr>
          <w:szCs w:val="22"/>
          <w:lang w:val="en"/>
        </w:rPr>
      </w:pPr>
      <w:r w:rsidRPr="7015C9C9">
        <w:rPr>
          <w:rFonts w:eastAsia="Arial" w:cs="Arial"/>
          <w:i/>
          <w:szCs w:val="22"/>
          <w:lang w:val="en"/>
        </w:rPr>
        <w:t xml:space="preserve">SQH v Scott </w:t>
      </w:r>
      <w:r w:rsidRPr="19831A9E">
        <w:rPr>
          <w:rFonts w:eastAsia="Arial" w:cs="Arial"/>
          <w:szCs w:val="22"/>
          <w:lang w:val="en"/>
        </w:rPr>
        <w:t xml:space="preserve">[2022] QSC 16 (4 March 2022) </w:t>
      </w:r>
    </w:p>
    <w:p w14:paraId="50F5B0AB" w14:textId="50459197" w:rsidR="000D7CB2" w:rsidRDefault="2D310B4E" w:rsidP="00FD4BC7">
      <w:pPr>
        <w:pStyle w:val="ListParagraph"/>
        <w:numPr>
          <w:ilvl w:val="0"/>
          <w:numId w:val="13"/>
        </w:numPr>
        <w:rPr>
          <w:szCs w:val="22"/>
          <w:lang w:val="en"/>
        </w:rPr>
      </w:pPr>
      <w:r w:rsidRPr="7015C9C9">
        <w:rPr>
          <w:rFonts w:eastAsia="Arial" w:cs="Arial"/>
          <w:i/>
          <w:szCs w:val="22"/>
          <w:lang w:val="en"/>
        </w:rPr>
        <w:t xml:space="preserve">Owen-D’Arcy v Chief Executive, Queensland Corrective Services </w:t>
      </w:r>
      <w:r w:rsidRPr="19831A9E">
        <w:rPr>
          <w:rFonts w:eastAsia="Arial" w:cs="Arial"/>
          <w:szCs w:val="22"/>
          <w:lang w:val="en"/>
        </w:rPr>
        <w:t xml:space="preserve">[2021] QSC 273 (22 October 2021) </w:t>
      </w:r>
    </w:p>
    <w:p w14:paraId="3B511265" w14:textId="7932DFC2" w:rsidR="000D7CB2" w:rsidRDefault="2D310B4E" w:rsidP="00FD4BC7">
      <w:pPr>
        <w:pStyle w:val="ListParagraph"/>
        <w:numPr>
          <w:ilvl w:val="0"/>
          <w:numId w:val="13"/>
        </w:numPr>
        <w:rPr>
          <w:szCs w:val="22"/>
          <w:lang w:val="en"/>
        </w:rPr>
      </w:pPr>
      <w:r w:rsidRPr="7015C9C9">
        <w:rPr>
          <w:rFonts w:eastAsia="Arial" w:cs="Arial"/>
          <w:i/>
          <w:szCs w:val="22"/>
          <w:lang w:val="en"/>
        </w:rPr>
        <w:t xml:space="preserve">Attorney-General for the State of Queensland v GLH </w:t>
      </w:r>
      <w:r w:rsidRPr="19831A9E">
        <w:rPr>
          <w:rFonts w:eastAsia="Arial" w:cs="Arial"/>
          <w:szCs w:val="22"/>
          <w:lang w:val="en"/>
        </w:rPr>
        <w:t>[2021] QMHC 4 (</w:t>
      </w:r>
      <w:r w:rsidR="66223591" w:rsidRPr="37DA292A">
        <w:rPr>
          <w:rFonts w:eastAsia="Arial" w:cs="Arial"/>
          <w:szCs w:val="22"/>
          <w:lang w:val="en"/>
        </w:rPr>
        <w:t xml:space="preserve">delivered </w:t>
      </w:r>
      <w:r w:rsidRPr="19831A9E">
        <w:rPr>
          <w:rFonts w:eastAsia="Arial" w:cs="Arial"/>
          <w:szCs w:val="22"/>
          <w:lang w:val="en"/>
        </w:rPr>
        <w:t>21 June 2021</w:t>
      </w:r>
      <w:r w:rsidR="48F0C8BA" w:rsidRPr="37DA292A">
        <w:rPr>
          <w:rFonts w:eastAsia="Arial" w:cs="Arial"/>
          <w:szCs w:val="22"/>
          <w:lang w:val="en"/>
        </w:rPr>
        <w:t xml:space="preserve"> </w:t>
      </w:r>
      <w:r w:rsidR="48F0C8BA" w:rsidRPr="37DA292A">
        <w:rPr>
          <w:rFonts w:eastAsia="Arial" w:cs="Arial"/>
          <w:i/>
          <w:szCs w:val="22"/>
          <w:lang w:val="en"/>
        </w:rPr>
        <w:t>ex tempore</w:t>
      </w:r>
      <w:r w:rsidR="28C99AA2" w:rsidRPr="1A6D66C9">
        <w:rPr>
          <w:rFonts w:eastAsia="Arial" w:cs="Arial"/>
          <w:szCs w:val="22"/>
          <w:lang w:val="en"/>
        </w:rPr>
        <w:t xml:space="preserve">, published </w:t>
      </w:r>
      <w:r w:rsidR="28C99AA2" w:rsidRPr="1A6D66C9">
        <w:rPr>
          <w:rFonts w:eastAsia="Arial" w:cs="Arial"/>
          <w:iCs w:val="0"/>
          <w:szCs w:val="22"/>
          <w:lang w:val="en"/>
        </w:rPr>
        <w:t>October 2021</w:t>
      </w:r>
      <w:r w:rsidRPr="37DA292A">
        <w:rPr>
          <w:rFonts w:eastAsia="Arial" w:cs="Arial"/>
          <w:szCs w:val="22"/>
          <w:lang w:val="en"/>
        </w:rPr>
        <w:t>)</w:t>
      </w:r>
      <w:r w:rsidR="008C1E4D">
        <w:rPr>
          <w:rFonts w:eastAsia="Arial" w:cs="Arial"/>
          <w:szCs w:val="22"/>
          <w:lang w:val="en"/>
        </w:rPr>
        <w:t>.</w:t>
      </w:r>
      <w:r w:rsidR="64A21CAA" w:rsidRPr="37DA292A">
        <w:rPr>
          <w:rFonts w:eastAsia="Arial" w:cs="Arial"/>
          <w:szCs w:val="22"/>
          <w:lang w:val="en"/>
        </w:rPr>
        <w:t xml:space="preserve"> </w:t>
      </w:r>
    </w:p>
    <w:p w14:paraId="42866BCD" w14:textId="77777777" w:rsidR="005568E3" w:rsidRPr="00EE5A6C" w:rsidRDefault="005568E3" w:rsidP="005568E3">
      <w:pPr>
        <w:pStyle w:val="Heading2"/>
        <w:rPr>
          <w:color w:val="004270"/>
        </w:rPr>
      </w:pPr>
      <w:bookmarkStart w:id="114" w:name="_Toc56451580"/>
      <w:bookmarkStart w:id="115" w:name="_Toc56452154"/>
      <w:bookmarkStart w:id="116" w:name="_Toc84593882"/>
      <w:bookmarkStart w:id="117" w:name="_Toc85451760"/>
      <w:bookmarkStart w:id="118" w:name="_Toc85526690"/>
      <w:bookmarkStart w:id="119" w:name="_Toc85787105"/>
      <w:bookmarkStart w:id="120" w:name="_Toc110506643"/>
      <w:bookmarkStart w:id="121" w:name="_Toc1602629298"/>
      <w:bookmarkStart w:id="122" w:name="_Toc117697167"/>
      <w:bookmarkStart w:id="123" w:name="_Toc117697874"/>
      <w:r w:rsidRPr="00EE5A6C">
        <w:rPr>
          <w:color w:val="004270"/>
        </w:rPr>
        <w:t>Attorney-General interventions</w:t>
      </w:r>
      <w:bookmarkEnd w:id="114"/>
      <w:bookmarkEnd w:id="115"/>
      <w:bookmarkEnd w:id="116"/>
      <w:bookmarkEnd w:id="117"/>
      <w:bookmarkEnd w:id="118"/>
      <w:bookmarkEnd w:id="119"/>
      <w:bookmarkEnd w:id="120"/>
      <w:bookmarkEnd w:id="121"/>
      <w:bookmarkEnd w:id="122"/>
      <w:bookmarkEnd w:id="123"/>
    </w:p>
    <w:p w14:paraId="6E0428E3" w14:textId="5C7EB6D6" w:rsidR="64C5BC81" w:rsidRDefault="64C5BC81" w:rsidP="053E93F8">
      <w:pPr>
        <w:rPr>
          <w:rFonts w:eastAsia="Calibri" w:cs="Arial"/>
        </w:rPr>
      </w:pPr>
      <w:r w:rsidRPr="053E93F8">
        <w:rPr>
          <w:rFonts w:eastAsia="Calibri" w:cs="Arial"/>
        </w:rPr>
        <w:t>During 2021</w:t>
      </w:r>
      <w:r w:rsidR="008C1E4D">
        <w:rPr>
          <w:rFonts w:eastAsia="Calibri" w:cs="Arial"/>
        </w:rPr>
        <w:t>–</w:t>
      </w:r>
      <w:r w:rsidRPr="053E93F8">
        <w:rPr>
          <w:rFonts w:eastAsia="Calibri" w:cs="Arial"/>
        </w:rPr>
        <w:t>22, the Attorney-General intervened in 10 proceedings</w:t>
      </w:r>
      <w:r w:rsidR="3A6F382B" w:rsidRPr="053E93F8">
        <w:rPr>
          <w:rFonts w:eastAsia="Calibri" w:cs="Arial"/>
        </w:rPr>
        <w:t xml:space="preserve"> under the Human Rights Act</w:t>
      </w:r>
      <w:r w:rsidR="6687B970" w:rsidRPr="053E93F8">
        <w:rPr>
          <w:rFonts w:eastAsia="Calibri" w:cs="Arial"/>
        </w:rPr>
        <w:t>:</w:t>
      </w:r>
      <w:r w:rsidRPr="053E93F8">
        <w:rPr>
          <w:rFonts w:eastAsia="Calibri" w:cs="Arial"/>
        </w:rPr>
        <w:t xml:space="preserve"> </w:t>
      </w:r>
    </w:p>
    <w:p w14:paraId="51B95D10" w14:textId="52E91525" w:rsidR="5791B0C3" w:rsidRDefault="5791B0C3" w:rsidP="0016741B">
      <w:pPr>
        <w:pStyle w:val="ListParagraph"/>
        <w:numPr>
          <w:ilvl w:val="0"/>
          <w:numId w:val="17"/>
        </w:numPr>
        <w:rPr>
          <w:szCs w:val="22"/>
        </w:rPr>
      </w:pPr>
      <w:r w:rsidRPr="053E93F8">
        <w:rPr>
          <w:rFonts w:eastAsia="Yu Mincho" w:cs="Arial"/>
          <w:szCs w:val="22"/>
        </w:rPr>
        <w:t>Eight of those matters are before the Supreme Court and are the same vaccination matters that the Commission has intervened in.</w:t>
      </w:r>
    </w:p>
    <w:p w14:paraId="49F9A8EA" w14:textId="04390D2F" w:rsidR="5791B0C3" w:rsidRDefault="5791B0C3" w:rsidP="0016741B">
      <w:pPr>
        <w:pStyle w:val="ListParagraph"/>
        <w:numPr>
          <w:ilvl w:val="0"/>
          <w:numId w:val="17"/>
        </w:numPr>
        <w:rPr>
          <w:szCs w:val="22"/>
        </w:rPr>
      </w:pPr>
      <w:r w:rsidRPr="053E93F8">
        <w:rPr>
          <w:rFonts w:eastAsia="Yu Mincho" w:cs="Arial"/>
          <w:szCs w:val="22"/>
        </w:rPr>
        <w:t>One matter is subject to publication restrictions</w:t>
      </w:r>
      <w:r w:rsidR="002C2DCE">
        <w:rPr>
          <w:rFonts w:eastAsia="Yu Mincho" w:cs="Arial"/>
          <w:szCs w:val="22"/>
        </w:rPr>
        <w:t>.</w:t>
      </w:r>
    </w:p>
    <w:p w14:paraId="478F337E" w14:textId="6FDD9F22" w:rsidR="5791B0C3" w:rsidRDefault="5791B0C3" w:rsidP="0016741B">
      <w:pPr>
        <w:pStyle w:val="ListParagraph"/>
        <w:numPr>
          <w:ilvl w:val="0"/>
          <w:numId w:val="17"/>
        </w:numPr>
        <w:rPr>
          <w:szCs w:val="22"/>
        </w:rPr>
      </w:pPr>
      <w:r w:rsidRPr="053E93F8">
        <w:rPr>
          <w:rFonts w:eastAsia="Yu Mincho" w:cs="Arial"/>
          <w:szCs w:val="22"/>
        </w:rPr>
        <w:t xml:space="preserve">One matter is ongoing. </w:t>
      </w:r>
    </w:p>
    <w:p w14:paraId="089BB19B" w14:textId="098B3592" w:rsidR="5791B0C3" w:rsidRDefault="5791B0C3" w:rsidP="053E93F8">
      <w:pPr>
        <w:rPr>
          <w:rFonts w:eastAsia="Calibri" w:cs="Arial"/>
          <w:lang w:val="en"/>
        </w:rPr>
      </w:pPr>
      <w:r w:rsidRPr="053E93F8">
        <w:rPr>
          <w:rFonts w:eastAsia="Yu Mincho" w:cs="Arial"/>
          <w:color w:val="000000" w:themeColor="text1"/>
        </w:rPr>
        <w:lastRenderedPageBreak/>
        <w:t xml:space="preserve">The Attorney-General also intervened in the matters of </w:t>
      </w:r>
      <w:r w:rsidRPr="053E93F8">
        <w:rPr>
          <w:rFonts w:eastAsia="Arial" w:cs="Arial"/>
          <w:i/>
          <w:iCs/>
          <w:lang w:val="en"/>
        </w:rPr>
        <w:t xml:space="preserve">SQH v Scott </w:t>
      </w:r>
      <w:r w:rsidRPr="053E93F8">
        <w:rPr>
          <w:rFonts w:eastAsia="Arial" w:cs="Arial"/>
          <w:lang w:val="en"/>
        </w:rPr>
        <w:t xml:space="preserve">[2022] QSC 16 and </w:t>
      </w:r>
      <w:r w:rsidRPr="053E93F8">
        <w:rPr>
          <w:rFonts w:eastAsia="Arial" w:cs="Arial"/>
          <w:i/>
          <w:iCs/>
          <w:lang w:val="en"/>
        </w:rPr>
        <w:t xml:space="preserve">Owen-D’Arcy v Chief Executive, Queensland Corrective Services </w:t>
      </w:r>
      <w:r w:rsidRPr="053E93F8">
        <w:rPr>
          <w:rFonts w:eastAsia="Arial" w:cs="Arial"/>
          <w:lang w:val="en"/>
        </w:rPr>
        <w:t xml:space="preserve">[2021] QSC 273 in which judgments were delivered during the reporting period. </w:t>
      </w:r>
    </w:p>
    <w:p w14:paraId="7903CB72" w14:textId="715BBCA6" w:rsidR="5791B0C3" w:rsidRDefault="5791B0C3" w:rsidP="053E93F8">
      <w:pPr>
        <w:rPr>
          <w:rFonts w:eastAsia="Arial" w:cs="Arial"/>
          <w:lang w:val="en"/>
        </w:rPr>
      </w:pPr>
      <w:r w:rsidRPr="053E93F8">
        <w:rPr>
          <w:rFonts w:eastAsia="Arial" w:cs="Arial"/>
          <w:lang w:val="en"/>
        </w:rPr>
        <w:t xml:space="preserve">A decision was also handed down in </w:t>
      </w:r>
      <w:r w:rsidRPr="053E93F8">
        <w:rPr>
          <w:rFonts w:eastAsia="Arial" w:cs="Arial"/>
          <w:i/>
          <w:iCs/>
          <w:lang w:val="en"/>
        </w:rPr>
        <w:t>TRKJ v Director of Public Prosecutions (Qld)</w:t>
      </w:r>
      <w:r w:rsidRPr="053E93F8">
        <w:rPr>
          <w:rFonts w:eastAsia="Arial" w:cs="Arial"/>
          <w:lang w:val="en"/>
        </w:rPr>
        <w:t xml:space="preserve"> [2021] QSC 297 in which the Supreme Court accepted submissions made on behalf of the Attorney-General</w:t>
      </w:r>
      <w:r w:rsidR="001C4AB6">
        <w:rPr>
          <w:rFonts w:eastAsia="Arial" w:cs="Arial"/>
          <w:lang w:val="en"/>
        </w:rPr>
        <w:t>.</w:t>
      </w:r>
      <w:r w:rsidRPr="053E93F8">
        <w:rPr>
          <w:rFonts w:eastAsia="Arial" w:cs="Arial"/>
          <w:lang w:val="en"/>
        </w:rPr>
        <w:t xml:space="preserve"> </w:t>
      </w:r>
      <w:r w:rsidR="0052753C">
        <w:rPr>
          <w:rFonts w:eastAsia="Arial" w:cs="Arial"/>
          <w:lang w:val="en"/>
        </w:rPr>
        <w:t xml:space="preserve">These were to the effect </w:t>
      </w:r>
      <w:r w:rsidRPr="053E93F8">
        <w:rPr>
          <w:rFonts w:eastAsia="Arial" w:cs="Arial"/>
          <w:lang w:val="en"/>
        </w:rPr>
        <w:t xml:space="preserve">that </w:t>
      </w:r>
      <w:r w:rsidR="00B36449">
        <w:rPr>
          <w:rFonts w:eastAsia="Arial" w:cs="Arial"/>
          <w:lang w:val="en"/>
        </w:rPr>
        <w:t>certain</w:t>
      </w:r>
      <w:r w:rsidRPr="053E93F8">
        <w:rPr>
          <w:rFonts w:eastAsia="Arial" w:cs="Arial"/>
          <w:lang w:val="en"/>
        </w:rPr>
        <w:t xml:space="preserve"> </w:t>
      </w:r>
      <w:r w:rsidR="00530EB2">
        <w:rPr>
          <w:rFonts w:eastAsia="Arial" w:cs="Arial"/>
          <w:lang w:val="en"/>
        </w:rPr>
        <w:t>provisions of</w:t>
      </w:r>
      <w:r w:rsidRPr="053E93F8">
        <w:rPr>
          <w:rFonts w:eastAsia="Arial" w:cs="Arial"/>
          <w:lang w:val="en"/>
        </w:rPr>
        <w:t xml:space="preserve"> the </w:t>
      </w:r>
      <w:r w:rsidRPr="053E93F8">
        <w:rPr>
          <w:rFonts w:eastAsia="Arial" w:cs="Arial"/>
          <w:i/>
          <w:iCs/>
          <w:lang w:val="en"/>
        </w:rPr>
        <w:t xml:space="preserve">Evidence Act 1977 </w:t>
      </w:r>
      <w:r w:rsidR="004E64E6" w:rsidRPr="65DE5788">
        <w:rPr>
          <w:rFonts w:eastAsia="Arial" w:cs="Arial"/>
          <w:lang w:val="en"/>
        </w:rPr>
        <w:t>that d</w:t>
      </w:r>
      <w:r w:rsidR="00CF0893">
        <w:rPr>
          <w:rFonts w:eastAsia="Arial" w:cs="Arial"/>
          <w:lang w:val="en"/>
        </w:rPr>
        <w:t>o</w:t>
      </w:r>
      <w:r w:rsidR="004E64E6" w:rsidRPr="65DE5788">
        <w:rPr>
          <w:rFonts w:eastAsia="Arial" w:cs="Arial"/>
          <w:lang w:val="en"/>
        </w:rPr>
        <w:t xml:space="preserve"> not compel a court </w:t>
      </w:r>
      <w:r w:rsidR="003D3BBC" w:rsidRPr="65DE5788">
        <w:rPr>
          <w:rFonts w:eastAsia="Arial" w:cs="Arial"/>
          <w:lang w:val="en"/>
        </w:rPr>
        <w:t>to read protected communications</w:t>
      </w:r>
      <w:r w:rsidR="0BE90627" w:rsidRPr="78ACA43F">
        <w:rPr>
          <w:rFonts w:eastAsia="Arial" w:cs="Arial"/>
          <w:lang w:val="en"/>
        </w:rPr>
        <w:t xml:space="preserve"> before granting leave</w:t>
      </w:r>
      <w:r w:rsidRPr="65DE5788">
        <w:rPr>
          <w:rFonts w:eastAsia="Arial" w:cs="Arial"/>
          <w:lang w:val="en"/>
        </w:rPr>
        <w:t xml:space="preserve"> </w:t>
      </w:r>
      <w:r w:rsidR="003D3BBC" w:rsidRPr="65DE5788">
        <w:rPr>
          <w:rFonts w:eastAsia="Arial" w:cs="Arial"/>
          <w:lang w:val="en"/>
        </w:rPr>
        <w:t>were</w:t>
      </w:r>
      <w:r w:rsidRPr="053E93F8">
        <w:rPr>
          <w:rFonts w:eastAsia="Arial" w:cs="Arial"/>
          <w:lang w:val="en"/>
        </w:rPr>
        <w:t xml:space="preserve"> compatible with human rights</w:t>
      </w:r>
      <w:r w:rsidR="003E7A89">
        <w:rPr>
          <w:rFonts w:eastAsia="Arial" w:cs="Arial"/>
          <w:lang w:val="en"/>
        </w:rPr>
        <w:t>. This include</w:t>
      </w:r>
      <w:r w:rsidR="00CF0893">
        <w:rPr>
          <w:rFonts w:eastAsia="Arial" w:cs="Arial"/>
          <w:lang w:val="en"/>
        </w:rPr>
        <w:t>s</w:t>
      </w:r>
      <w:r w:rsidRPr="053E93F8">
        <w:rPr>
          <w:rFonts w:eastAsia="Arial" w:cs="Arial"/>
          <w:lang w:val="en"/>
        </w:rPr>
        <w:t xml:space="preserve"> the right to a fair hearing </w:t>
      </w:r>
      <w:r w:rsidR="00863194">
        <w:rPr>
          <w:rFonts w:eastAsia="Arial" w:cs="Arial"/>
          <w:lang w:val="en"/>
        </w:rPr>
        <w:t>under</w:t>
      </w:r>
      <w:r w:rsidRPr="053E93F8">
        <w:rPr>
          <w:rFonts w:eastAsia="Arial" w:cs="Arial"/>
          <w:lang w:val="en"/>
        </w:rPr>
        <w:t xml:space="preserve"> s</w:t>
      </w:r>
      <w:r w:rsidR="00E17E2D">
        <w:rPr>
          <w:rFonts w:eastAsia="Arial" w:cs="Arial"/>
          <w:lang w:val="en"/>
        </w:rPr>
        <w:t>ection</w:t>
      </w:r>
      <w:r w:rsidRPr="053E93F8">
        <w:rPr>
          <w:rFonts w:eastAsia="Arial" w:cs="Arial"/>
          <w:lang w:val="en"/>
        </w:rPr>
        <w:t xml:space="preserve"> 31 of the Human Rights Act.</w:t>
      </w:r>
    </w:p>
    <w:p w14:paraId="5C972F48" w14:textId="05EDDCEA" w:rsidR="00293EB9" w:rsidRPr="00131215" w:rsidRDefault="00293EB9" w:rsidP="00293EB9">
      <w:pPr>
        <w:pStyle w:val="Heading1"/>
        <w:rPr>
          <w:color w:val="004270"/>
        </w:rPr>
      </w:pPr>
      <w:bookmarkStart w:id="124" w:name="_Toc84593883"/>
      <w:bookmarkStart w:id="125" w:name="_Toc85451761"/>
      <w:bookmarkStart w:id="126" w:name="_Toc85526691"/>
      <w:bookmarkStart w:id="127" w:name="_Toc85787106"/>
      <w:bookmarkStart w:id="128" w:name="_Toc110506644"/>
      <w:bookmarkStart w:id="129" w:name="_Toc717933610"/>
      <w:bookmarkStart w:id="130" w:name="_Toc117697168"/>
      <w:bookmarkStart w:id="131" w:name="_Toc117697875"/>
      <w:r w:rsidRPr="00131215">
        <w:rPr>
          <w:color w:val="004270"/>
        </w:rPr>
        <w:t xml:space="preserve">Summary of the role of courts and tribunals in </w:t>
      </w:r>
      <w:r w:rsidR="00950F2B" w:rsidRPr="00131215">
        <w:rPr>
          <w:color w:val="004270"/>
        </w:rPr>
        <w:t>2021-22</w:t>
      </w:r>
      <w:bookmarkEnd w:id="124"/>
      <w:bookmarkEnd w:id="125"/>
      <w:bookmarkEnd w:id="126"/>
      <w:bookmarkEnd w:id="127"/>
      <w:bookmarkEnd w:id="128"/>
      <w:bookmarkEnd w:id="129"/>
      <w:bookmarkEnd w:id="130"/>
      <w:bookmarkEnd w:id="131"/>
    </w:p>
    <w:p w14:paraId="49F82753" w14:textId="4D867EA4" w:rsidR="0043150E" w:rsidRDefault="6BF19249" w:rsidP="78ACA43F">
      <w:pPr>
        <w:rPr>
          <w:rFonts w:eastAsia="Calibri" w:cs="Arial"/>
        </w:rPr>
      </w:pPr>
      <w:r w:rsidRPr="78ACA43F">
        <w:rPr>
          <w:rFonts w:eastAsia="Calibri" w:cs="Arial"/>
        </w:rPr>
        <w:t xml:space="preserve">The Human Rights Act </w:t>
      </w:r>
      <w:r w:rsidR="0067617B">
        <w:rPr>
          <w:rFonts w:eastAsia="Calibri" w:cs="Arial"/>
        </w:rPr>
        <w:t>commenced on 1 January 2020</w:t>
      </w:r>
      <w:r w:rsidRPr="78ACA43F">
        <w:rPr>
          <w:rFonts w:eastAsia="Calibri" w:cs="Arial"/>
        </w:rPr>
        <w:t xml:space="preserve"> </w:t>
      </w:r>
      <w:r w:rsidR="31839C0E" w:rsidRPr="78ACA43F">
        <w:rPr>
          <w:rFonts w:eastAsia="Calibri" w:cs="Arial"/>
        </w:rPr>
        <w:t>and</w:t>
      </w:r>
      <w:r w:rsidRPr="78ACA43F">
        <w:rPr>
          <w:rFonts w:eastAsia="Calibri" w:cs="Arial"/>
        </w:rPr>
        <w:t xml:space="preserve"> case law in the superior courts </w:t>
      </w:r>
      <w:r w:rsidR="39C6500E" w:rsidRPr="78ACA43F">
        <w:rPr>
          <w:rFonts w:eastAsia="Calibri" w:cs="Arial"/>
        </w:rPr>
        <w:t xml:space="preserve">is </w:t>
      </w:r>
      <w:r w:rsidR="00F55793">
        <w:rPr>
          <w:rFonts w:eastAsia="Calibri" w:cs="Arial"/>
        </w:rPr>
        <w:t xml:space="preserve">continuing to </w:t>
      </w:r>
      <w:r w:rsidRPr="78ACA43F">
        <w:rPr>
          <w:rFonts w:eastAsia="Calibri" w:cs="Arial"/>
        </w:rPr>
        <w:t xml:space="preserve">develop. </w:t>
      </w:r>
    </w:p>
    <w:p w14:paraId="54F0EE3D" w14:textId="33D6ADB6" w:rsidR="6BF19249" w:rsidRDefault="00131215" w:rsidP="78ACA43F">
      <w:pPr>
        <w:rPr>
          <w:rFonts w:eastAsia="Calibri" w:cs="Arial"/>
        </w:rPr>
      </w:pPr>
      <w:r>
        <w:rPr>
          <w:rFonts w:eastAsia="Calibri" w:cs="Arial"/>
        </w:rPr>
        <w:t>T</w:t>
      </w:r>
      <w:r w:rsidR="4AE883A7" w:rsidRPr="78ACA43F">
        <w:rPr>
          <w:rFonts w:eastAsia="Calibri" w:cs="Arial"/>
        </w:rPr>
        <w:t xml:space="preserve">he Supreme Court </w:t>
      </w:r>
      <w:r w:rsidR="7C0106CE" w:rsidRPr="78ACA43F">
        <w:rPr>
          <w:rFonts w:eastAsia="Calibri" w:cs="Arial"/>
        </w:rPr>
        <w:t>provided</w:t>
      </w:r>
      <w:r w:rsidR="4AE883A7" w:rsidRPr="78ACA43F">
        <w:rPr>
          <w:rFonts w:eastAsia="Calibri" w:cs="Arial"/>
        </w:rPr>
        <w:t xml:space="preserve"> </w:t>
      </w:r>
      <w:r w:rsidR="124DD5A4" w:rsidRPr="78ACA43F">
        <w:rPr>
          <w:rFonts w:eastAsia="Calibri" w:cs="Arial"/>
        </w:rPr>
        <w:t>significant</w:t>
      </w:r>
      <w:r w:rsidR="4AE883A7" w:rsidRPr="78ACA43F">
        <w:rPr>
          <w:rFonts w:eastAsia="Calibri" w:cs="Arial"/>
        </w:rPr>
        <w:t xml:space="preserve"> </w:t>
      </w:r>
      <w:r w:rsidR="2B8EAE5D" w:rsidRPr="78ACA43F">
        <w:rPr>
          <w:rFonts w:eastAsia="Calibri" w:cs="Arial"/>
        </w:rPr>
        <w:t>guidance</w:t>
      </w:r>
      <w:r w:rsidR="4AE883A7" w:rsidRPr="78ACA43F">
        <w:rPr>
          <w:rFonts w:eastAsia="Calibri" w:cs="Arial"/>
        </w:rPr>
        <w:t xml:space="preserve"> this year </w:t>
      </w:r>
      <w:r w:rsidR="00734013">
        <w:rPr>
          <w:rFonts w:eastAsia="Calibri" w:cs="Arial"/>
        </w:rPr>
        <w:t>with</w:t>
      </w:r>
      <w:r w:rsidR="4AE883A7" w:rsidRPr="78ACA43F">
        <w:rPr>
          <w:rFonts w:eastAsia="Calibri" w:cs="Arial"/>
        </w:rPr>
        <w:t xml:space="preserve"> </w:t>
      </w:r>
      <w:r w:rsidR="4AE883A7" w:rsidRPr="78ACA43F">
        <w:rPr>
          <w:rFonts w:eastAsia="Calibri" w:cs="Arial"/>
          <w:i/>
          <w:iCs/>
        </w:rPr>
        <w:t xml:space="preserve">Owen-D'Arcy </w:t>
      </w:r>
      <w:r w:rsidR="5BA0D498" w:rsidRPr="78ACA43F">
        <w:rPr>
          <w:rFonts w:eastAsia="Calibri" w:cs="Arial"/>
          <w:i/>
          <w:iCs/>
        </w:rPr>
        <w:t>v Chief Executive</w:t>
      </w:r>
      <w:r w:rsidR="41358C91" w:rsidRPr="78ACA43F">
        <w:rPr>
          <w:rFonts w:eastAsia="Calibri" w:cs="Arial"/>
          <w:i/>
          <w:iCs/>
        </w:rPr>
        <w:t>,</w:t>
      </w:r>
      <w:r w:rsidR="5BA0D498" w:rsidRPr="78ACA43F">
        <w:rPr>
          <w:rFonts w:eastAsia="Calibri" w:cs="Arial"/>
          <w:i/>
          <w:iCs/>
        </w:rPr>
        <w:t xml:space="preserve"> Queensland Corrective Services</w:t>
      </w:r>
      <w:r w:rsidR="2672F658" w:rsidRPr="78ACA43F">
        <w:rPr>
          <w:rFonts w:eastAsia="Calibri" w:cs="Arial"/>
          <w:i/>
          <w:iCs/>
        </w:rPr>
        <w:t xml:space="preserve"> </w:t>
      </w:r>
      <w:r w:rsidR="2672F658" w:rsidRPr="78ACA43F">
        <w:rPr>
          <w:rFonts w:eastAsia="Calibri" w:cs="Arial"/>
        </w:rPr>
        <w:t xml:space="preserve">[2021] QSC 273, </w:t>
      </w:r>
      <w:r w:rsidR="00F67979">
        <w:rPr>
          <w:rFonts w:eastAsia="Calibri" w:cs="Arial"/>
        </w:rPr>
        <w:t>especially</w:t>
      </w:r>
      <w:r w:rsidR="00F67979" w:rsidRPr="78ACA43F">
        <w:rPr>
          <w:rFonts w:eastAsia="Calibri" w:cs="Arial"/>
        </w:rPr>
        <w:t xml:space="preserve"> </w:t>
      </w:r>
      <w:r w:rsidR="01A4DCF2" w:rsidRPr="78ACA43F">
        <w:rPr>
          <w:rFonts w:eastAsia="Calibri" w:cs="Arial"/>
        </w:rPr>
        <w:t>in relation to proper consideration</w:t>
      </w:r>
      <w:r w:rsidR="7B6C623E" w:rsidRPr="78ACA43F">
        <w:rPr>
          <w:rFonts w:eastAsia="Calibri" w:cs="Arial"/>
        </w:rPr>
        <w:t xml:space="preserve"> and the </w:t>
      </w:r>
      <w:r w:rsidR="629ACF66" w:rsidRPr="78ACA43F">
        <w:rPr>
          <w:rFonts w:eastAsia="Calibri" w:cs="Arial"/>
        </w:rPr>
        <w:t xml:space="preserve">onus </w:t>
      </w:r>
      <w:r w:rsidR="7B6C623E" w:rsidRPr="78ACA43F">
        <w:rPr>
          <w:rFonts w:eastAsia="Calibri" w:cs="Arial"/>
        </w:rPr>
        <w:t>of proof on each part</w:t>
      </w:r>
      <w:r w:rsidR="0083462A">
        <w:rPr>
          <w:rFonts w:eastAsia="Calibri" w:cs="Arial"/>
        </w:rPr>
        <w:t>y</w:t>
      </w:r>
      <w:r w:rsidR="7B6C623E" w:rsidRPr="78ACA43F">
        <w:rPr>
          <w:rFonts w:eastAsia="Calibri" w:cs="Arial"/>
        </w:rPr>
        <w:t xml:space="preserve">. </w:t>
      </w:r>
      <w:r w:rsidR="002120CE">
        <w:rPr>
          <w:rFonts w:eastAsia="Calibri" w:cs="Arial"/>
        </w:rPr>
        <w:t>Currently, t</w:t>
      </w:r>
      <w:r w:rsidR="77323272" w:rsidRPr="78ACA43F">
        <w:rPr>
          <w:rFonts w:eastAsia="Calibri" w:cs="Arial"/>
        </w:rPr>
        <w:t>he Supreme Court is considering s</w:t>
      </w:r>
      <w:r w:rsidR="469A9225" w:rsidRPr="78ACA43F">
        <w:rPr>
          <w:rFonts w:eastAsia="Calibri" w:cs="Arial"/>
        </w:rPr>
        <w:t xml:space="preserve">even matters subject to </w:t>
      </w:r>
      <w:r w:rsidR="00923687">
        <w:rPr>
          <w:rFonts w:eastAsia="Calibri" w:cs="Arial"/>
        </w:rPr>
        <w:t>interventions by the</w:t>
      </w:r>
      <w:r w:rsidR="469A9225" w:rsidRPr="78ACA43F">
        <w:rPr>
          <w:rFonts w:eastAsia="Calibri" w:cs="Arial"/>
        </w:rPr>
        <w:t xml:space="preserve"> Commission and Attorney-General</w:t>
      </w:r>
      <w:r w:rsidR="0025F447" w:rsidRPr="78ACA43F">
        <w:rPr>
          <w:rFonts w:eastAsia="Calibri" w:cs="Arial"/>
        </w:rPr>
        <w:t xml:space="preserve"> </w:t>
      </w:r>
      <w:r w:rsidR="002120CE">
        <w:rPr>
          <w:rFonts w:eastAsia="Calibri" w:cs="Arial"/>
        </w:rPr>
        <w:t>that</w:t>
      </w:r>
      <w:r w:rsidR="469A9225" w:rsidRPr="78ACA43F">
        <w:rPr>
          <w:rFonts w:eastAsia="Calibri" w:cs="Arial"/>
        </w:rPr>
        <w:t xml:space="preserve"> </w:t>
      </w:r>
      <w:r w:rsidR="69174CFB" w:rsidRPr="78ACA43F">
        <w:rPr>
          <w:rFonts w:eastAsia="Calibri" w:cs="Arial"/>
        </w:rPr>
        <w:t>challenge mandatory requirements for vaccination against COVID-19</w:t>
      </w:r>
      <w:r w:rsidR="30294CEE" w:rsidRPr="78ACA43F">
        <w:rPr>
          <w:rFonts w:eastAsia="Calibri" w:cs="Arial"/>
        </w:rPr>
        <w:t xml:space="preserve"> and raise </w:t>
      </w:r>
      <w:r w:rsidR="0085267A">
        <w:rPr>
          <w:rFonts w:eastAsia="Calibri" w:cs="Arial"/>
        </w:rPr>
        <w:t>numerous</w:t>
      </w:r>
      <w:r w:rsidR="0085267A" w:rsidRPr="78ACA43F">
        <w:rPr>
          <w:rFonts w:eastAsia="Calibri" w:cs="Arial"/>
        </w:rPr>
        <w:t xml:space="preserve"> </w:t>
      </w:r>
      <w:r w:rsidR="30294CEE" w:rsidRPr="78ACA43F">
        <w:rPr>
          <w:rFonts w:eastAsia="Calibri" w:cs="Arial"/>
        </w:rPr>
        <w:t>human rights issue</w:t>
      </w:r>
      <w:r w:rsidR="302BBB0C" w:rsidRPr="78ACA43F">
        <w:rPr>
          <w:rFonts w:eastAsia="Calibri" w:cs="Arial"/>
        </w:rPr>
        <w:t>s</w:t>
      </w:r>
      <w:r w:rsidR="30294CEE" w:rsidRPr="78ACA43F">
        <w:rPr>
          <w:rFonts w:eastAsia="Calibri" w:cs="Arial"/>
        </w:rPr>
        <w:t>.</w:t>
      </w:r>
    </w:p>
    <w:p w14:paraId="336213A8" w14:textId="2262508F" w:rsidR="599DB889" w:rsidRDefault="0023212B" w:rsidP="2C3DB73A">
      <w:pPr>
        <w:rPr>
          <w:rFonts w:eastAsia="Calibri" w:cs="Arial"/>
        </w:rPr>
      </w:pPr>
      <w:r>
        <w:rPr>
          <w:rFonts w:eastAsia="Calibri" w:cs="Arial"/>
        </w:rPr>
        <w:t xml:space="preserve">Case law has firmly </w:t>
      </w:r>
      <w:r w:rsidR="00B4113E">
        <w:rPr>
          <w:rFonts w:eastAsia="Calibri" w:cs="Arial"/>
        </w:rPr>
        <w:t xml:space="preserve">established </w:t>
      </w:r>
      <w:r w:rsidR="00B0213E">
        <w:rPr>
          <w:rFonts w:eastAsia="Calibri" w:cs="Arial"/>
        </w:rPr>
        <w:t xml:space="preserve">that Queensland courts </w:t>
      </w:r>
      <w:r w:rsidR="003976A2">
        <w:rPr>
          <w:rFonts w:eastAsia="Calibri" w:cs="Arial"/>
        </w:rPr>
        <w:t xml:space="preserve">and tribunals </w:t>
      </w:r>
      <w:r w:rsidR="00B0213E">
        <w:rPr>
          <w:rFonts w:eastAsia="Calibri" w:cs="Arial"/>
        </w:rPr>
        <w:t xml:space="preserve">are subject to the Act </w:t>
      </w:r>
      <w:r w:rsidR="002607B8">
        <w:rPr>
          <w:rFonts w:eastAsia="Calibri" w:cs="Arial"/>
        </w:rPr>
        <w:t xml:space="preserve">when </w:t>
      </w:r>
      <w:r w:rsidR="00830F6E">
        <w:rPr>
          <w:rFonts w:eastAsia="Calibri" w:cs="Arial"/>
        </w:rPr>
        <w:t>undertaking</w:t>
      </w:r>
      <w:r w:rsidR="002607B8">
        <w:rPr>
          <w:rFonts w:eastAsia="Calibri" w:cs="Arial"/>
        </w:rPr>
        <w:t xml:space="preserve"> certain functions.</w:t>
      </w:r>
      <w:r w:rsidR="599DB889" w:rsidRPr="2C3DB73A">
        <w:rPr>
          <w:rFonts w:eastAsia="Calibri" w:cs="Arial"/>
        </w:rPr>
        <w:t xml:space="preserve"> The Land Court</w:t>
      </w:r>
      <w:r w:rsidR="1A124E36" w:rsidRPr="2C3DB73A">
        <w:rPr>
          <w:rFonts w:eastAsia="Calibri" w:cs="Arial"/>
        </w:rPr>
        <w:t xml:space="preserve">, the Mental Health Review Tribunal, and the Coroners Court have all adopted clear positions </w:t>
      </w:r>
      <w:r w:rsidR="1CC45105" w:rsidRPr="2C3DB73A">
        <w:rPr>
          <w:rFonts w:eastAsia="Calibri" w:cs="Arial"/>
        </w:rPr>
        <w:t xml:space="preserve">regarding when they are acting administratively and </w:t>
      </w:r>
      <w:r w:rsidR="005F58FD">
        <w:rPr>
          <w:rFonts w:eastAsia="Calibri" w:cs="Arial"/>
        </w:rPr>
        <w:t>are</w:t>
      </w:r>
      <w:r w:rsidR="1CC45105" w:rsidRPr="2C3DB73A">
        <w:rPr>
          <w:rFonts w:eastAsia="Calibri" w:cs="Arial"/>
        </w:rPr>
        <w:t xml:space="preserve"> therefore public entities with obligations under the Human Rights Act. </w:t>
      </w:r>
      <w:r w:rsidR="58C611DC" w:rsidRPr="2C3DB73A">
        <w:rPr>
          <w:rFonts w:eastAsia="Calibri" w:cs="Arial"/>
        </w:rPr>
        <w:t>This has led to positive outcomes</w:t>
      </w:r>
      <w:r w:rsidR="00A92667">
        <w:rPr>
          <w:rFonts w:eastAsia="Calibri" w:cs="Arial"/>
        </w:rPr>
        <w:t>,</w:t>
      </w:r>
      <w:r w:rsidR="58C611DC" w:rsidRPr="2C3DB73A">
        <w:rPr>
          <w:rFonts w:eastAsia="Calibri" w:cs="Arial"/>
        </w:rPr>
        <w:t xml:space="preserve"> such as the Land Court’s decision to allow evidence to be given </w:t>
      </w:r>
      <w:r w:rsidR="00A92667">
        <w:rPr>
          <w:rFonts w:eastAsia="Calibri" w:cs="Arial"/>
        </w:rPr>
        <w:t>‘</w:t>
      </w:r>
      <w:r w:rsidR="58C611DC" w:rsidRPr="2C3DB73A">
        <w:rPr>
          <w:rFonts w:eastAsia="Calibri" w:cs="Arial"/>
        </w:rPr>
        <w:t>on country</w:t>
      </w:r>
      <w:r w:rsidR="00A92667">
        <w:rPr>
          <w:rFonts w:eastAsia="Calibri" w:cs="Arial"/>
        </w:rPr>
        <w:t>’</w:t>
      </w:r>
      <w:r w:rsidR="58C611DC" w:rsidRPr="2C3DB73A">
        <w:rPr>
          <w:rFonts w:eastAsia="Calibri" w:cs="Arial"/>
        </w:rPr>
        <w:t xml:space="preserve"> by </w:t>
      </w:r>
      <w:r w:rsidR="00830F6E">
        <w:rPr>
          <w:rFonts w:eastAsia="Calibri" w:cs="Arial"/>
        </w:rPr>
        <w:t>First Nations</w:t>
      </w:r>
      <w:r w:rsidR="00830F6E" w:rsidRPr="2C3DB73A">
        <w:rPr>
          <w:rFonts w:eastAsia="Calibri" w:cs="Arial"/>
        </w:rPr>
        <w:t xml:space="preserve"> </w:t>
      </w:r>
      <w:r w:rsidR="4D014958" w:rsidRPr="2C3DB73A">
        <w:rPr>
          <w:rFonts w:eastAsia="Calibri" w:cs="Arial"/>
        </w:rPr>
        <w:t>witnesses</w:t>
      </w:r>
      <w:r w:rsidR="15A08BDF" w:rsidRPr="2C3DB73A">
        <w:rPr>
          <w:rFonts w:eastAsia="Calibri" w:cs="Arial"/>
        </w:rPr>
        <w:t xml:space="preserve"> in recognition of their cultural rights</w:t>
      </w:r>
      <w:r w:rsidR="4D014958" w:rsidRPr="2C3DB73A">
        <w:rPr>
          <w:rFonts w:eastAsia="Calibri" w:cs="Arial"/>
        </w:rPr>
        <w:t xml:space="preserve">. </w:t>
      </w:r>
    </w:p>
    <w:p w14:paraId="7243EF98" w14:textId="700A5DAD" w:rsidR="003614B8" w:rsidRDefault="1CC45105" w:rsidP="2C3DB73A">
      <w:pPr>
        <w:rPr>
          <w:rFonts w:eastAsia="Calibri" w:cs="Arial"/>
        </w:rPr>
      </w:pPr>
      <w:r w:rsidRPr="2C3DB73A">
        <w:rPr>
          <w:rFonts w:eastAsia="Calibri" w:cs="Arial"/>
        </w:rPr>
        <w:t>The Queensland Civil and Administrative</w:t>
      </w:r>
      <w:r w:rsidR="0D5CA216" w:rsidRPr="2C3DB73A">
        <w:rPr>
          <w:rFonts w:eastAsia="Calibri" w:cs="Arial"/>
        </w:rPr>
        <w:t xml:space="preserve"> Tribunal</w:t>
      </w:r>
      <w:r w:rsidR="454CCD8D" w:rsidRPr="2C3DB73A">
        <w:rPr>
          <w:rFonts w:eastAsia="Calibri" w:cs="Arial"/>
        </w:rPr>
        <w:t xml:space="preserve"> </w:t>
      </w:r>
      <w:r w:rsidR="636F2671" w:rsidRPr="76EED4A2">
        <w:rPr>
          <w:rFonts w:eastAsia="Calibri" w:cs="Arial"/>
        </w:rPr>
        <w:t>(</w:t>
      </w:r>
      <w:r w:rsidR="636F2671" w:rsidRPr="4852E8B7">
        <w:rPr>
          <w:rFonts w:eastAsia="Calibri" w:cs="Arial"/>
        </w:rPr>
        <w:t xml:space="preserve">QCAT) </w:t>
      </w:r>
      <w:r w:rsidR="454CCD8D" w:rsidRPr="2C3DB73A">
        <w:rPr>
          <w:rFonts w:eastAsia="Calibri" w:cs="Arial"/>
        </w:rPr>
        <w:t xml:space="preserve">has also </w:t>
      </w:r>
      <w:r w:rsidR="007B0D7B">
        <w:rPr>
          <w:rFonts w:eastAsia="Calibri" w:cs="Arial"/>
        </w:rPr>
        <w:t>recognised</w:t>
      </w:r>
      <w:r w:rsidR="03548990" w:rsidRPr="2C3DB73A">
        <w:rPr>
          <w:rFonts w:eastAsia="Calibri" w:cs="Arial"/>
        </w:rPr>
        <w:t xml:space="preserve"> </w:t>
      </w:r>
      <w:r w:rsidR="5C7672A3" w:rsidRPr="2C3DB73A">
        <w:rPr>
          <w:rFonts w:eastAsia="Calibri" w:cs="Arial"/>
        </w:rPr>
        <w:t>these</w:t>
      </w:r>
      <w:r w:rsidR="03548990" w:rsidRPr="2C3DB73A">
        <w:rPr>
          <w:rFonts w:eastAsia="Calibri" w:cs="Arial"/>
        </w:rPr>
        <w:t xml:space="preserve"> </w:t>
      </w:r>
      <w:r w:rsidR="0D5CA216" w:rsidRPr="2C3DB73A">
        <w:rPr>
          <w:rFonts w:eastAsia="Calibri" w:cs="Arial"/>
        </w:rPr>
        <w:t>obligations when deciding exemption applications under the Anti-Discrimination Act</w:t>
      </w:r>
      <w:r w:rsidR="61D54BE4" w:rsidRPr="34A2D6FA">
        <w:rPr>
          <w:rFonts w:eastAsia="Calibri" w:cs="Arial"/>
        </w:rPr>
        <w:t xml:space="preserve"> </w:t>
      </w:r>
      <w:r w:rsidR="00A41960">
        <w:rPr>
          <w:rFonts w:eastAsia="Calibri" w:cs="Arial"/>
        </w:rPr>
        <w:t>for</w:t>
      </w:r>
      <w:r w:rsidR="61D54BE4" w:rsidRPr="3DB9A53F">
        <w:rPr>
          <w:rFonts w:eastAsia="Calibri" w:cs="Arial"/>
        </w:rPr>
        <w:t xml:space="preserve"> which the Commission</w:t>
      </w:r>
      <w:r w:rsidR="61D54BE4" w:rsidRPr="2FA26855">
        <w:rPr>
          <w:rFonts w:eastAsia="Calibri" w:cs="Arial"/>
        </w:rPr>
        <w:t xml:space="preserve"> </w:t>
      </w:r>
      <w:r w:rsidR="61D54BE4" w:rsidRPr="5A5FA22F">
        <w:rPr>
          <w:rFonts w:eastAsia="Calibri" w:cs="Arial"/>
        </w:rPr>
        <w:t xml:space="preserve">provides submissions outlining the </w:t>
      </w:r>
      <w:r w:rsidR="61D54BE4" w:rsidRPr="7267E252">
        <w:rPr>
          <w:rFonts w:eastAsia="Calibri" w:cs="Arial"/>
        </w:rPr>
        <w:t>key human rights considerations</w:t>
      </w:r>
      <w:r w:rsidR="61D54BE4" w:rsidRPr="15E05F7F">
        <w:rPr>
          <w:rFonts w:eastAsia="Calibri" w:cs="Arial"/>
        </w:rPr>
        <w:t>.</w:t>
      </w:r>
      <w:r w:rsidR="0D5CA216" w:rsidRPr="2C3DB73A">
        <w:rPr>
          <w:rFonts w:eastAsia="Calibri" w:cs="Arial"/>
        </w:rPr>
        <w:t xml:space="preserve"> </w:t>
      </w:r>
      <w:r w:rsidR="33C6FC92" w:rsidRPr="71DDF474">
        <w:rPr>
          <w:rFonts w:eastAsia="Calibri" w:cs="Arial"/>
        </w:rPr>
        <w:t xml:space="preserve">Other </w:t>
      </w:r>
      <w:r w:rsidR="33C6FC92" w:rsidRPr="0F0DDF43">
        <w:rPr>
          <w:rFonts w:eastAsia="Calibri" w:cs="Arial"/>
        </w:rPr>
        <w:t xml:space="preserve">situations in which </w:t>
      </w:r>
      <w:r w:rsidR="33C6FC92" w:rsidRPr="0C22BD54">
        <w:rPr>
          <w:rFonts w:eastAsia="Calibri" w:cs="Arial"/>
        </w:rPr>
        <w:t xml:space="preserve">human rights </w:t>
      </w:r>
      <w:r w:rsidR="0140F86D" w:rsidRPr="5799C30D">
        <w:rPr>
          <w:rFonts w:eastAsia="Calibri" w:cs="Arial"/>
        </w:rPr>
        <w:t xml:space="preserve">are </w:t>
      </w:r>
      <w:r w:rsidR="33C6FC92" w:rsidRPr="76EED4A2">
        <w:rPr>
          <w:rFonts w:eastAsia="Calibri" w:cs="Arial"/>
        </w:rPr>
        <w:t xml:space="preserve">regularly considered </w:t>
      </w:r>
      <w:r w:rsidR="67310913" w:rsidRPr="762970F2">
        <w:rPr>
          <w:rFonts w:eastAsia="Calibri" w:cs="Arial"/>
        </w:rPr>
        <w:t xml:space="preserve">include </w:t>
      </w:r>
      <w:r w:rsidR="3BD9E1C8" w:rsidRPr="76EED4A2">
        <w:rPr>
          <w:rFonts w:eastAsia="Calibri" w:cs="Arial"/>
        </w:rPr>
        <w:t>ap</w:t>
      </w:r>
      <w:r w:rsidR="7A271C27" w:rsidRPr="76EED4A2">
        <w:rPr>
          <w:rFonts w:eastAsia="Calibri" w:cs="Arial"/>
        </w:rPr>
        <w:t>pointing</w:t>
      </w:r>
      <w:r w:rsidR="259430F8" w:rsidRPr="2C3DB73A">
        <w:rPr>
          <w:rFonts w:eastAsia="Calibri" w:cs="Arial"/>
        </w:rPr>
        <w:t xml:space="preserve"> guardians under the Guardianship and Administration Act and reviewing decisions to refuse Blue Cards. </w:t>
      </w:r>
    </w:p>
    <w:p w14:paraId="17DD0722" w14:textId="450187A7" w:rsidR="1CC45105" w:rsidRDefault="00830F6E" w:rsidP="2C3DB73A">
      <w:pPr>
        <w:rPr>
          <w:rFonts w:eastAsia="Calibri" w:cs="Arial"/>
        </w:rPr>
      </w:pPr>
      <w:r>
        <w:rPr>
          <w:rFonts w:eastAsia="Calibri" w:cs="Arial"/>
        </w:rPr>
        <w:lastRenderedPageBreak/>
        <w:t>In time</w:t>
      </w:r>
      <w:r w:rsidR="00C21F88">
        <w:rPr>
          <w:rFonts w:eastAsia="Calibri" w:cs="Arial"/>
        </w:rPr>
        <w:t xml:space="preserve">, </w:t>
      </w:r>
      <w:r w:rsidR="003B212C">
        <w:rPr>
          <w:rFonts w:eastAsia="Calibri" w:cs="Arial"/>
        </w:rPr>
        <w:t xml:space="preserve">the Commission </w:t>
      </w:r>
      <w:r w:rsidR="00C21F88">
        <w:rPr>
          <w:rFonts w:eastAsia="Calibri" w:cs="Arial"/>
        </w:rPr>
        <w:t>expect</w:t>
      </w:r>
      <w:r w:rsidR="003B212C">
        <w:rPr>
          <w:rFonts w:eastAsia="Calibri" w:cs="Arial"/>
        </w:rPr>
        <w:t>s</w:t>
      </w:r>
      <w:r w:rsidR="00C21F88">
        <w:rPr>
          <w:rFonts w:eastAsia="Calibri" w:cs="Arial"/>
        </w:rPr>
        <w:t xml:space="preserve"> that more </w:t>
      </w:r>
      <w:r w:rsidR="00437ED1">
        <w:rPr>
          <w:rFonts w:eastAsia="Calibri" w:cs="Arial"/>
        </w:rPr>
        <w:t xml:space="preserve">courts and tribunals </w:t>
      </w:r>
      <w:r w:rsidR="00F85ABD">
        <w:rPr>
          <w:rFonts w:eastAsia="Calibri" w:cs="Arial"/>
        </w:rPr>
        <w:t xml:space="preserve">will </w:t>
      </w:r>
      <w:r w:rsidR="2222ABE8" w:rsidRPr="2C3DB73A">
        <w:rPr>
          <w:rFonts w:eastAsia="Calibri" w:cs="Arial"/>
        </w:rPr>
        <w:t>determine</w:t>
      </w:r>
      <w:r w:rsidR="77B06472" w:rsidRPr="2C3DB73A">
        <w:rPr>
          <w:rFonts w:eastAsia="Calibri" w:cs="Arial"/>
        </w:rPr>
        <w:t xml:space="preserve"> </w:t>
      </w:r>
      <w:r w:rsidR="007856B1">
        <w:rPr>
          <w:rFonts w:eastAsia="Calibri" w:cs="Arial"/>
        </w:rPr>
        <w:t xml:space="preserve">when </w:t>
      </w:r>
      <w:r w:rsidR="00EE7AFE">
        <w:rPr>
          <w:rFonts w:eastAsia="Calibri" w:cs="Arial"/>
        </w:rPr>
        <w:t>they are</w:t>
      </w:r>
      <w:r w:rsidR="2222ABE8" w:rsidRPr="2C3DB73A">
        <w:rPr>
          <w:rFonts w:eastAsia="Calibri" w:cs="Arial"/>
        </w:rPr>
        <w:t xml:space="preserve"> acting administratively</w:t>
      </w:r>
      <w:r w:rsidR="00914EEB">
        <w:rPr>
          <w:rFonts w:eastAsia="Calibri" w:cs="Arial"/>
        </w:rPr>
        <w:t>, and</w:t>
      </w:r>
      <w:r w:rsidR="2222ABE8" w:rsidRPr="2C3DB73A">
        <w:rPr>
          <w:rFonts w:eastAsia="Calibri" w:cs="Arial"/>
        </w:rPr>
        <w:t xml:space="preserve"> routinely </w:t>
      </w:r>
      <w:r w:rsidR="000070D9">
        <w:rPr>
          <w:rFonts w:eastAsia="Calibri" w:cs="Arial"/>
        </w:rPr>
        <w:t xml:space="preserve">take up </w:t>
      </w:r>
      <w:r w:rsidR="2222ABE8" w:rsidRPr="2C3DB73A">
        <w:rPr>
          <w:rFonts w:eastAsia="Calibri" w:cs="Arial"/>
        </w:rPr>
        <w:t xml:space="preserve">their obligations </w:t>
      </w:r>
      <w:r w:rsidR="1421B0DA" w:rsidRPr="2C3DB73A">
        <w:rPr>
          <w:rFonts w:eastAsia="Calibri" w:cs="Arial"/>
        </w:rPr>
        <w:t xml:space="preserve">as public entities </w:t>
      </w:r>
      <w:r w:rsidR="2222ABE8" w:rsidRPr="2C3DB73A">
        <w:rPr>
          <w:rFonts w:eastAsia="Calibri" w:cs="Arial"/>
        </w:rPr>
        <w:t xml:space="preserve">to act and </w:t>
      </w:r>
      <w:r w:rsidR="00976BA8">
        <w:rPr>
          <w:rFonts w:eastAsia="Calibri" w:cs="Arial"/>
        </w:rPr>
        <w:t xml:space="preserve">make </w:t>
      </w:r>
      <w:r w:rsidR="00976BA8" w:rsidRPr="2C3DB73A">
        <w:rPr>
          <w:rFonts w:eastAsia="Calibri" w:cs="Arial"/>
        </w:rPr>
        <w:t>deci</w:t>
      </w:r>
      <w:r w:rsidR="00976BA8">
        <w:rPr>
          <w:rFonts w:eastAsia="Calibri" w:cs="Arial"/>
        </w:rPr>
        <w:t>sions</w:t>
      </w:r>
      <w:r w:rsidR="00976BA8" w:rsidRPr="2C3DB73A">
        <w:rPr>
          <w:rFonts w:eastAsia="Calibri" w:cs="Arial"/>
        </w:rPr>
        <w:t xml:space="preserve"> </w:t>
      </w:r>
      <w:r w:rsidR="2222ABE8" w:rsidRPr="2C3DB73A">
        <w:rPr>
          <w:rFonts w:eastAsia="Calibri" w:cs="Arial"/>
        </w:rPr>
        <w:t>compatibly with, and give proper consideration to, human rights</w:t>
      </w:r>
      <w:r w:rsidR="4F9A6766" w:rsidRPr="2C3DB73A">
        <w:rPr>
          <w:rFonts w:eastAsia="Calibri" w:cs="Arial"/>
        </w:rPr>
        <w:t>.</w:t>
      </w:r>
    </w:p>
    <w:p w14:paraId="05635339" w14:textId="762B58F8" w:rsidR="00CE4B6E" w:rsidRDefault="003E30D1" w:rsidP="78ACA43F">
      <w:pPr>
        <w:rPr>
          <w:rFonts w:eastAsia="Calibri" w:cs="Arial"/>
        </w:rPr>
      </w:pPr>
      <w:r>
        <w:rPr>
          <w:rFonts w:eastAsia="Calibri" w:cs="Arial"/>
        </w:rPr>
        <w:t>C</w:t>
      </w:r>
      <w:r w:rsidR="6148C48A" w:rsidRPr="2C3DB73A">
        <w:rPr>
          <w:rFonts w:eastAsia="Calibri" w:cs="Arial"/>
        </w:rPr>
        <w:t xml:space="preserve">ourts and tribunals, whether public entities or not, must consider human rights </w:t>
      </w:r>
      <w:r w:rsidR="000070D9">
        <w:rPr>
          <w:rFonts w:eastAsia="Calibri" w:cs="Arial"/>
        </w:rPr>
        <w:t>when</w:t>
      </w:r>
      <w:r w:rsidR="000070D9" w:rsidRPr="2C3DB73A">
        <w:rPr>
          <w:rFonts w:eastAsia="Calibri" w:cs="Arial"/>
        </w:rPr>
        <w:t xml:space="preserve"> </w:t>
      </w:r>
      <w:r w:rsidR="6148C48A" w:rsidRPr="2C3DB73A">
        <w:rPr>
          <w:rFonts w:eastAsia="Calibri" w:cs="Arial"/>
        </w:rPr>
        <w:t>interpreting legislation and where human rights apply directly to the</w:t>
      </w:r>
      <w:r w:rsidR="000070D9">
        <w:rPr>
          <w:rFonts w:eastAsia="Calibri" w:cs="Arial"/>
        </w:rPr>
        <w:t>ir</w:t>
      </w:r>
      <w:r w:rsidR="6148C48A" w:rsidRPr="2C3DB73A">
        <w:rPr>
          <w:rFonts w:eastAsia="Calibri" w:cs="Arial"/>
        </w:rPr>
        <w:t xml:space="preserve"> functions.</w:t>
      </w:r>
      <w:r w:rsidR="3B279B8B" w:rsidRPr="2C3DB73A">
        <w:rPr>
          <w:rFonts w:eastAsia="Calibri" w:cs="Arial"/>
        </w:rPr>
        <w:t xml:space="preserve"> The Commission note</w:t>
      </w:r>
      <w:r w:rsidR="00144735">
        <w:rPr>
          <w:rFonts w:eastAsia="Calibri" w:cs="Arial"/>
        </w:rPr>
        <w:t>d</w:t>
      </w:r>
      <w:r w:rsidR="3B279B8B" w:rsidRPr="2C3DB73A">
        <w:rPr>
          <w:rFonts w:eastAsia="Calibri" w:cs="Arial"/>
        </w:rPr>
        <w:t xml:space="preserve"> </w:t>
      </w:r>
      <w:r w:rsidR="009308CE">
        <w:rPr>
          <w:rFonts w:eastAsia="Calibri" w:cs="Arial"/>
        </w:rPr>
        <w:t>the</w:t>
      </w:r>
      <w:r w:rsidR="00162645">
        <w:rPr>
          <w:rFonts w:eastAsia="Calibri" w:cs="Arial"/>
        </w:rPr>
        <w:t xml:space="preserve"> absence of </w:t>
      </w:r>
      <w:r w:rsidR="00C314DA">
        <w:rPr>
          <w:rFonts w:eastAsia="Calibri" w:cs="Arial"/>
        </w:rPr>
        <w:t xml:space="preserve">specific reference </w:t>
      </w:r>
      <w:r w:rsidR="3B94E236">
        <w:rPr>
          <w:rFonts w:eastAsia="Calibri" w:cs="Arial"/>
        </w:rPr>
        <w:t>to</w:t>
      </w:r>
      <w:r w:rsidR="00162645">
        <w:rPr>
          <w:rFonts w:eastAsia="Calibri" w:cs="Arial"/>
        </w:rPr>
        <w:t xml:space="preserve"> </w:t>
      </w:r>
      <w:r w:rsidR="0007353D">
        <w:rPr>
          <w:rFonts w:eastAsia="Calibri" w:cs="Arial"/>
        </w:rPr>
        <w:t>the H</w:t>
      </w:r>
      <w:r w:rsidR="00162645">
        <w:rPr>
          <w:rFonts w:eastAsia="Calibri" w:cs="Arial"/>
        </w:rPr>
        <w:t xml:space="preserve">uman </w:t>
      </w:r>
      <w:r w:rsidR="0007353D">
        <w:rPr>
          <w:rFonts w:eastAsia="Calibri" w:cs="Arial"/>
        </w:rPr>
        <w:t>R</w:t>
      </w:r>
      <w:r w:rsidR="00162645">
        <w:rPr>
          <w:rFonts w:eastAsia="Calibri" w:cs="Arial"/>
        </w:rPr>
        <w:t xml:space="preserve">ights </w:t>
      </w:r>
      <w:r w:rsidR="0007353D">
        <w:rPr>
          <w:rFonts w:eastAsia="Calibri" w:cs="Arial"/>
        </w:rPr>
        <w:t>Act in</w:t>
      </w:r>
      <w:r w:rsidR="3B279B8B" w:rsidRPr="2C3DB73A">
        <w:rPr>
          <w:rFonts w:eastAsia="Calibri" w:cs="Arial"/>
        </w:rPr>
        <w:t xml:space="preserve"> some cases during the year </w:t>
      </w:r>
      <w:r w:rsidR="3B279B8B" w:rsidRPr="2C3DB73A" w:rsidDel="0057623E">
        <w:rPr>
          <w:rFonts w:eastAsia="Calibri" w:cs="Arial"/>
        </w:rPr>
        <w:t xml:space="preserve">where </w:t>
      </w:r>
      <w:r w:rsidR="0057623E">
        <w:rPr>
          <w:rFonts w:eastAsia="Calibri" w:cs="Arial"/>
        </w:rPr>
        <w:t>human rights generally are discussed</w:t>
      </w:r>
      <w:r w:rsidR="3999C7E0" w:rsidRPr="2C3DB73A">
        <w:rPr>
          <w:rFonts w:eastAsia="Calibri" w:cs="Arial"/>
        </w:rPr>
        <w:t>.</w:t>
      </w:r>
      <w:r w:rsidR="3B279B8B" w:rsidRPr="2C3DB73A">
        <w:rPr>
          <w:rFonts w:eastAsia="Calibri" w:cs="Arial"/>
        </w:rPr>
        <w:t xml:space="preserve"> </w:t>
      </w:r>
      <w:r w:rsidR="0C0D491D" w:rsidRPr="2C3DB73A">
        <w:rPr>
          <w:rFonts w:eastAsia="Calibri" w:cs="Arial"/>
        </w:rPr>
        <w:t xml:space="preserve">This includes a decision </w:t>
      </w:r>
      <w:r w:rsidR="7150FE6C" w:rsidRPr="2C3DB73A">
        <w:rPr>
          <w:rFonts w:eastAsia="Calibri" w:cs="Arial"/>
        </w:rPr>
        <w:t>regarding a child’s consent to proposed treatment for gender dysphoria</w:t>
      </w:r>
      <w:r w:rsidR="4F9A6766" w:rsidRPr="2C3DB73A">
        <w:rPr>
          <w:rStyle w:val="FootnoteReference"/>
          <w:rFonts w:eastAsia="Calibri" w:cs="Arial"/>
        </w:rPr>
        <w:footnoteReference w:id="11"/>
      </w:r>
      <w:r w:rsidR="3A76A089" w:rsidRPr="2C3DB73A">
        <w:rPr>
          <w:rFonts w:eastAsia="Calibri" w:cs="Arial"/>
        </w:rPr>
        <w:t xml:space="preserve"> and</w:t>
      </w:r>
      <w:r w:rsidR="3CC31066" w:rsidRPr="2C3DB73A">
        <w:rPr>
          <w:rFonts w:eastAsia="Calibri" w:cs="Arial"/>
        </w:rPr>
        <w:t xml:space="preserve"> a decision to </w:t>
      </w:r>
      <w:r w:rsidR="609CCC72" w:rsidRPr="2C3DB73A">
        <w:rPr>
          <w:rFonts w:eastAsia="Calibri" w:cs="Arial"/>
        </w:rPr>
        <w:t xml:space="preserve">consent to </w:t>
      </w:r>
      <w:r w:rsidR="3CC31066" w:rsidRPr="2C3DB73A">
        <w:rPr>
          <w:rFonts w:eastAsia="Calibri" w:cs="Arial"/>
        </w:rPr>
        <w:t xml:space="preserve">sterilisation of a </w:t>
      </w:r>
      <w:r w:rsidR="00DC5D6C" w:rsidRPr="2C3DB73A">
        <w:rPr>
          <w:rFonts w:eastAsia="Calibri" w:cs="Arial"/>
        </w:rPr>
        <w:t>ch</w:t>
      </w:r>
      <w:r w:rsidR="00DC5D6C">
        <w:rPr>
          <w:rFonts w:eastAsia="Calibri" w:cs="Arial"/>
        </w:rPr>
        <w:t>i</w:t>
      </w:r>
      <w:r w:rsidR="00DC5D6C" w:rsidRPr="2C3DB73A">
        <w:rPr>
          <w:rFonts w:eastAsia="Calibri" w:cs="Arial"/>
        </w:rPr>
        <w:t>ld</w:t>
      </w:r>
      <w:r w:rsidR="52A7CAA8" w:rsidRPr="2C3DB73A">
        <w:rPr>
          <w:rFonts w:eastAsia="Calibri" w:cs="Arial"/>
        </w:rPr>
        <w:t>.</w:t>
      </w:r>
      <w:r w:rsidR="4F9A6766" w:rsidRPr="2C3DB73A">
        <w:rPr>
          <w:rStyle w:val="FootnoteReference"/>
          <w:rFonts w:eastAsia="Calibri" w:cs="Arial"/>
        </w:rPr>
        <w:footnoteReference w:id="12"/>
      </w:r>
      <w:r w:rsidR="3CC31066" w:rsidRPr="2C3DB73A">
        <w:rPr>
          <w:rFonts w:eastAsia="Calibri" w:cs="Arial"/>
        </w:rPr>
        <w:t xml:space="preserve"> </w:t>
      </w:r>
    </w:p>
    <w:p w14:paraId="45B781B9" w14:textId="0FD4247D" w:rsidR="78ACA43F" w:rsidRDefault="003A2451" w:rsidP="78ACA43F">
      <w:pPr>
        <w:rPr>
          <w:rFonts w:eastAsia="Calibri" w:cs="Arial"/>
        </w:rPr>
      </w:pPr>
      <w:r>
        <w:rPr>
          <w:rFonts w:eastAsia="Calibri" w:cs="Arial"/>
        </w:rPr>
        <w:t>The Commission</w:t>
      </w:r>
      <w:r w:rsidRPr="2C3DB73A">
        <w:rPr>
          <w:rFonts w:eastAsia="Calibri" w:cs="Arial"/>
        </w:rPr>
        <w:t xml:space="preserve"> </w:t>
      </w:r>
      <w:r w:rsidR="27571699" w:rsidRPr="2C3DB73A">
        <w:rPr>
          <w:rFonts w:eastAsia="Calibri" w:cs="Arial"/>
        </w:rPr>
        <w:t>recognise</w:t>
      </w:r>
      <w:r>
        <w:rPr>
          <w:rFonts w:eastAsia="Calibri" w:cs="Arial"/>
        </w:rPr>
        <w:t>s</w:t>
      </w:r>
      <w:r w:rsidR="009343C6">
        <w:rPr>
          <w:rFonts w:eastAsia="Calibri" w:cs="Arial"/>
        </w:rPr>
        <w:t xml:space="preserve"> that</w:t>
      </w:r>
      <w:r w:rsidR="27571699" w:rsidRPr="2C3DB73A">
        <w:rPr>
          <w:rFonts w:eastAsia="Calibri" w:cs="Arial"/>
        </w:rPr>
        <w:t xml:space="preserve"> there may be</w:t>
      </w:r>
      <w:r w:rsidR="3507538C" w:rsidRPr="2C3DB73A">
        <w:rPr>
          <w:rFonts w:eastAsia="Calibri" w:cs="Arial"/>
        </w:rPr>
        <w:t xml:space="preserve"> limits to </w:t>
      </w:r>
      <w:r w:rsidR="1E37ECE3" w:rsidRPr="2C3DB73A">
        <w:rPr>
          <w:rFonts w:eastAsia="Calibri" w:cs="Arial"/>
        </w:rPr>
        <w:t>judicial</w:t>
      </w:r>
      <w:r w:rsidR="3507538C" w:rsidRPr="2C3DB73A">
        <w:rPr>
          <w:rFonts w:eastAsia="Calibri" w:cs="Arial"/>
        </w:rPr>
        <w:t xml:space="preserve"> consideration where Human R</w:t>
      </w:r>
      <w:r w:rsidR="5E6E6CD6" w:rsidRPr="2C3DB73A">
        <w:rPr>
          <w:rFonts w:eastAsia="Calibri" w:cs="Arial"/>
        </w:rPr>
        <w:t>i</w:t>
      </w:r>
      <w:r w:rsidR="3507538C" w:rsidRPr="2C3DB73A">
        <w:rPr>
          <w:rFonts w:eastAsia="Calibri" w:cs="Arial"/>
        </w:rPr>
        <w:t>ghts Act is</w:t>
      </w:r>
      <w:r w:rsidR="1FDF8705" w:rsidRPr="2C3DB73A">
        <w:rPr>
          <w:rFonts w:eastAsia="Calibri" w:cs="Arial"/>
        </w:rPr>
        <w:t xml:space="preserve">sues are </w:t>
      </w:r>
      <w:r w:rsidR="3507538C" w:rsidRPr="2C3DB73A">
        <w:rPr>
          <w:rFonts w:eastAsia="Calibri" w:cs="Arial"/>
        </w:rPr>
        <w:t xml:space="preserve">not raised </w:t>
      </w:r>
      <w:r w:rsidR="470221D2" w:rsidRPr="2C3DB73A">
        <w:rPr>
          <w:rFonts w:eastAsia="Calibri" w:cs="Arial"/>
        </w:rPr>
        <w:t xml:space="preserve">by the parties. </w:t>
      </w:r>
      <w:r w:rsidR="0F3647AF" w:rsidRPr="2C3DB73A">
        <w:rPr>
          <w:rFonts w:eastAsia="Calibri" w:cs="Arial"/>
        </w:rPr>
        <w:t xml:space="preserve">This points to the ongoing importance and value of ensuring that legal advocates </w:t>
      </w:r>
      <w:r w:rsidR="607EF9C1" w:rsidRPr="2C3DB73A">
        <w:rPr>
          <w:rFonts w:eastAsia="Calibri" w:cs="Arial"/>
        </w:rPr>
        <w:t>and self</w:t>
      </w:r>
      <w:r w:rsidR="7299FD74" w:rsidRPr="2C3DB73A">
        <w:rPr>
          <w:rFonts w:eastAsia="Calibri" w:cs="Arial"/>
        </w:rPr>
        <w:t>-represented</w:t>
      </w:r>
      <w:r w:rsidR="607EF9C1" w:rsidRPr="2C3DB73A">
        <w:rPr>
          <w:rFonts w:eastAsia="Calibri" w:cs="Arial"/>
        </w:rPr>
        <w:t xml:space="preserve"> parties </w:t>
      </w:r>
      <w:r w:rsidR="28CB541E" w:rsidRPr="2C3DB73A">
        <w:rPr>
          <w:rFonts w:eastAsia="Calibri" w:cs="Arial"/>
        </w:rPr>
        <w:t>have sufficient awareness and understanding of the role of the Human Rights Act in litigation.</w:t>
      </w:r>
    </w:p>
    <w:p w14:paraId="44A8B86E" w14:textId="7E669C9F" w:rsidR="78ACA43F" w:rsidRDefault="78ACA43F" w:rsidP="78ACA43F">
      <w:pPr>
        <w:rPr>
          <w:rFonts w:eastAsia="Calibri" w:cs="Arial"/>
        </w:rPr>
      </w:pPr>
    </w:p>
    <w:bookmarkEnd w:id="0"/>
    <w:p w14:paraId="66BBD7B2" w14:textId="15894F4F" w:rsidR="00616703" w:rsidRPr="00616703" w:rsidRDefault="00616703" w:rsidP="00893490">
      <w:pPr>
        <w:spacing w:after="160" w:line="259" w:lineRule="auto"/>
        <w:ind w:right="0"/>
      </w:pPr>
      <w:r w:rsidRPr="00616703">
        <w:t xml:space="preserve"> </w:t>
      </w:r>
    </w:p>
    <w:p w14:paraId="6B429E83" w14:textId="77777777" w:rsidR="00400B1F" w:rsidRPr="00943552" w:rsidRDefault="00400B1F" w:rsidP="00943552"/>
    <w:p w14:paraId="2A8F2EAB" w14:textId="77777777" w:rsidR="00943552" w:rsidRPr="00A81854" w:rsidRDefault="00943552" w:rsidP="00331D2E">
      <w:pPr>
        <w:pStyle w:val="Listparagraph-bulleted"/>
        <w:numPr>
          <w:ilvl w:val="0"/>
          <w:numId w:val="0"/>
        </w:numPr>
      </w:pPr>
    </w:p>
    <w:sectPr w:rsidR="00943552" w:rsidRPr="00A81854" w:rsidSect="00893490">
      <w:footerReference w:type="even" r:id="rId13"/>
      <w:footerReference w:type="default" r:id="rId14"/>
      <w:pgSz w:w="11906" w:h="16838"/>
      <w:pgMar w:top="1440" w:right="1440" w:bottom="1440" w:left="1440" w:header="720" w:footer="720" w:gutter="0"/>
      <w:pgNumType w:start="4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19F0C3E8" w14:textId="70DF2F13" w:rsidR="00962F00" w:rsidRDefault="00962F00">
      <w:pPr>
        <w:pStyle w:val="FootnoteText"/>
      </w:pPr>
      <w:r>
        <w:rPr>
          <w:rStyle w:val="FootnoteReference"/>
        </w:rPr>
        <w:footnoteRef/>
      </w:r>
      <w:r>
        <w:t xml:space="preserve"> </w:t>
      </w:r>
      <w:r w:rsidRPr="04E5B0C6">
        <w:rPr>
          <w:rFonts w:eastAsia="Arial" w:cs="Arial"/>
        </w:rPr>
        <w:t>See</w:t>
      </w:r>
      <w:r w:rsidR="00144C62">
        <w:rPr>
          <w:rFonts w:eastAsia="Arial" w:cs="Arial"/>
        </w:rPr>
        <w:t>:</w:t>
      </w:r>
      <w:r w:rsidRPr="04E5B0C6">
        <w:rPr>
          <w:rFonts w:eastAsia="Arial" w:cs="Arial"/>
        </w:rPr>
        <w:t xml:space="preserve"> </w:t>
      </w:r>
      <w:r w:rsidR="0085043D">
        <w:rPr>
          <w:rFonts w:eastAsia="Arial" w:cs="Arial"/>
        </w:rPr>
        <w:t>R</w:t>
      </w:r>
      <w:r w:rsidRPr="04E5B0C6">
        <w:rPr>
          <w:rFonts w:eastAsia="Arial" w:cs="Arial"/>
        </w:rPr>
        <w:t xml:space="preserve">uling in </w:t>
      </w:r>
      <w:r w:rsidR="00322E52">
        <w:rPr>
          <w:rFonts w:eastAsia="Arial" w:cs="Arial"/>
        </w:rPr>
        <w:t xml:space="preserve">relation to </w:t>
      </w:r>
      <w:r w:rsidRPr="04E5B0C6">
        <w:rPr>
          <w:rFonts w:eastAsia="Arial" w:cs="Arial"/>
        </w:rPr>
        <w:t>the</w:t>
      </w:r>
      <w:r w:rsidR="00322E52">
        <w:rPr>
          <w:rFonts w:eastAsia="Arial" w:cs="Arial"/>
        </w:rPr>
        <w:t xml:space="preserve"> conduct of the Police Coronial Investigation,</w:t>
      </w:r>
      <w:r w:rsidRPr="04E5B0C6">
        <w:rPr>
          <w:rFonts w:eastAsia="Arial" w:cs="Arial"/>
        </w:rPr>
        <w:t xml:space="preserve"> </w:t>
      </w:r>
      <w:r w:rsidRPr="04E5B0C6">
        <w:rPr>
          <w:rFonts w:eastAsia="Arial" w:cs="Arial"/>
          <w:i/>
          <w:iCs/>
        </w:rPr>
        <w:t xml:space="preserve">Inquest into the death of </w:t>
      </w:r>
      <w:proofErr w:type="spellStart"/>
      <w:r w:rsidRPr="04E5B0C6">
        <w:rPr>
          <w:rFonts w:eastAsia="Arial" w:cs="Arial"/>
          <w:i/>
          <w:iCs/>
        </w:rPr>
        <w:t>Selesa</w:t>
      </w:r>
      <w:proofErr w:type="spellEnd"/>
      <w:r w:rsidRPr="04E5B0C6">
        <w:rPr>
          <w:rFonts w:eastAsia="Arial" w:cs="Arial"/>
          <w:i/>
          <w:iCs/>
        </w:rPr>
        <w:t xml:space="preserve"> </w:t>
      </w:r>
      <w:proofErr w:type="spellStart"/>
      <w:r w:rsidRPr="04E5B0C6">
        <w:rPr>
          <w:rFonts w:eastAsia="Arial" w:cs="Arial"/>
          <w:i/>
          <w:iCs/>
        </w:rPr>
        <w:t>Tafaifa</w:t>
      </w:r>
      <w:proofErr w:type="spellEnd"/>
      <w:r w:rsidRPr="04E5B0C6">
        <w:rPr>
          <w:rFonts w:eastAsia="Arial" w:cs="Arial"/>
          <w:i/>
          <w:iCs/>
        </w:rPr>
        <w:t xml:space="preserve"> </w:t>
      </w:r>
      <w:r w:rsidRPr="04E5B0C6">
        <w:rPr>
          <w:rFonts w:eastAsia="Arial" w:cs="Arial"/>
        </w:rPr>
        <w:t>(Coroners Court of Queensland, T Ryan, State Coroner, 20 June 2022).</w:t>
      </w:r>
    </w:p>
  </w:footnote>
  <w:footnote w:id="3">
    <w:p w14:paraId="4B1FD327" w14:textId="0ECD34E5" w:rsidR="00804C17" w:rsidRDefault="00804C17" w:rsidP="004A6543">
      <w:pPr>
        <w:pStyle w:val="FootnoteText"/>
      </w:pPr>
      <w:r>
        <w:rPr>
          <w:rStyle w:val="FootnoteReference"/>
        </w:rPr>
        <w:footnoteRef/>
      </w:r>
      <w:r>
        <w:t xml:space="preserve"> </w:t>
      </w:r>
      <w:r w:rsidRPr="00FA5A90">
        <w:rPr>
          <w:i/>
          <w:iCs/>
        </w:rPr>
        <w:t xml:space="preserve">Owen-D’Arcy v </w:t>
      </w:r>
      <w:r w:rsidR="004A6543" w:rsidRPr="00FA5A90">
        <w:rPr>
          <w:i/>
          <w:iCs/>
        </w:rPr>
        <w:t>Chief Executive, Queensland Corrective Services</w:t>
      </w:r>
      <w:r w:rsidR="004A6543">
        <w:t xml:space="preserve"> [2021] QSC 27</w:t>
      </w:r>
      <w:r w:rsidR="003F7119">
        <w:t>3 [</w:t>
      </w:r>
      <w:r>
        <w:t>137]</w:t>
      </w:r>
      <w:r w:rsidR="003F7119">
        <w:t>.</w:t>
      </w:r>
    </w:p>
  </w:footnote>
  <w:footnote w:id="4">
    <w:p w14:paraId="7366ED2B" w14:textId="32114363" w:rsidR="00CA30BE" w:rsidRDefault="00CA30BE">
      <w:pPr>
        <w:pStyle w:val="FootnoteText"/>
      </w:pPr>
      <w:r>
        <w:rPr>
          <w:rStyle w:val="FootnoteReference"/>
        </w:rPr>
        <w:footnoteRef/>
      </w:r>
      <w:r>
        <w:t xml:space="preserve"> </w:t>
      </w:r>
      <w:r w:rsidRPr="7C9A4EA6">
        <w:rPr>
          <w:rFonts w:eastAsia="Arial" w:cs="Arial"/>
          <w:i/>
          <w:iCs/>
        </w:rPr>
        <w:t xml:space="preserve">Inquest into the death of </w:t>
      </w:r>
      <w:proofErr w:type="spellStart"/>
      <w:r w:rsidRPr="7C9A4EA6">
        <w:rPr>
          <w:rFonts w:eastAsia="Arial" w:cs="Arial"/>
          <w:i/>
          <w:iCs/>
        </w:rPr>
        <w:t>Selesa</w:t>
      </w:r>
      <w:proofErr w:type="spellEnd"/>
      <w:r w:rsidRPr="7C9A4EA6">
        <w:rPr>
          <w:rFonts w:eastAsia="Arial" w:cs="Arial"/>
          <w:i/>
          <w:iCs/>
        </w:rPr>
        <w:t xml:space="preserve"> </w:t>
      </w:r>
      <w:proofErr w:type="spellStart"/>
      <w:r w:rsidRPr="7C9A4EA6">
        <w:rPr>
          <w:rFonts w:eastAsia="Arial" w:cs="Arial"/>
          <w:i/>
          <w:iCs/>
        </w:rPr>
        <w:t>Tafaifa</w:t>
      </w:r>
      <w:proofErr w:type="spellEnd"/>
      <w:r w:rsidRPr="7C9A4EA6">
        <w:rPr>
          <w:rFonts w:eastAsia="Arial" w:cs="Arial"/>
          <w:i/>
          <w:iCs/>
        </w:rPr>
        <w:t xml:space="preserve"> </w:t>
      </w:r>
      <w:r w:rsidRPr="7C9A4EA6">
        <w:rPr>
          <w:rFonts w:eastAsia="Arial" w:cs="Arial"/>
        </w:rPr>
        <w:t>(Coroners Court of Queensland, T Ryan, State Coroner, 20 June 2022).</w:t>
      </w:r>
    </w:p>
  </w:footnote>
  <w:footnote w:id="5">
    <w:p w14:paraId="08F97651" w14:textId="5B52F98A" w:rsidR="00E4278E" w:rsidRDefault="00E4278E">
      <w:pPr>
        <w:pStyle w:val="FootnoteText"/>
      </w:pPr>
      <w:r>
        <w:rPr>
          <w:rStyle w:val="FootnoteReference"/>
        </w:rPr>
        <w:footnoteRef/>
      </w:r>
      <w:r>
        <w:t xml:space="preserve"> </w:t>
      </w:r>
      <w:r w:rsidRPr="7C9A4EA6">
        <w:rPr>
          <w:rFonts w:eastAsia="Calibri" w:cs="Arial"/>
          <w:i/>
          <w:iCs/>
        </w:rPr>
        <w:t xml:space="preserve">Waratah Coal Pty Ltd v Youth Verdict Ltd &amp; Ors </w:t>
      </w:r>
      <w:r w:rsidR="00D33BA4">
        <w:rPr>
          <w:rFonts w:eastAsia="Calibri" w:cs="Arial"/>
          <w:i/>
          <w:iCs/>
        </w:rPr>
        <w:t>(No 5)</w:t>
      </w:r>
      <w:r w:rsidRPr="7C9A4EA6">
        <w:rPr>
          <w:rFonts w:eastAsia="Calibri" w:cs="Arial"/>
          <w:i/>
          <w:iCs/>
        </w:rPr>
        <w:t xml:space="preserve"> </w:t>
      </w:r>
      <w:r w:rsidRPr="7C9A4EA6">
        <w:rPr>
          <w:rFonts w:eastAsia="Calibri" w:cs="Arial"/>
        </w:rPr>
        <w:t>[2022] QLC 4.</w:t>
      </w:r>
    </w:p>
  </w:footnote>
  <w:footnote w:id="6">
    <w:p w14:paraId="609AC58F" w14:textId="193C1567" w:rsidR="008F238B" w:rsidRDefault="008F238B">
      <w:pPr>
        <w:pStyle w:val="FootnoteText"/>
      </w:pPr>
      <w:r>
        <w:rPr>
          <w:rStyle w:val="FootnoteReference"/>
        </w:rPr>
        <w:footnoteRef/>
      </w:r>
      <w:r>
        <w:t xml:space="preserve"> </w:t>
      </w:r>
      <w:r w:rsidRPr="264B7539">
        <w:rPr>
          <w:rFonts w:eastAsia="Calibri" w:cs="Arial"/>
          <w:i/>
        </w:rPr>
        <w:t xml:space="preserve">SQH v Scott </w:t>
      </w:r>
      <w:r w:rsidRPr="264B7539">
        <w:rPr>
          <w:rFonts w:eastAsia="Calibri" w:cs="Arial"/>
        </w:rPr>
        <w:t>[2022] QSC 16.</w:t>
      </w:r>
    </w:p>
  </w:footnote>
  <w:footnote w:id="7">
    <w:p w14:paraId="6DF70004" w14:textId="14D5C350" w:rsidR="00655027" w:rsidRDefault="00655027">
      <w:pPr>
        <w:pStyle w:val="FootnoteText"/>
      </w:pPr>
      <w:r>
        <w:rPr>
          <w:rStyle w:val="FootnoteReference"/>
        </w:rPr>
        <w:footnoteRef/>
      </w:r>
      <w:r>
        <w:t xml:space="preserve"> </w:t>
      </w:r>
      <w:r w:rsidR="001A2A8A" w:rsidRPr="30039256">
        <w:rPr>
          <w:rFonts w:eastAsia="Calibri" w:cs="Arial"/>
          <w:i/>
          <w:iCs/>
        </w:rPr>
        <w:t xml:space="preserve">Miami Recreational Facilities Pty Ltd </w:t>
      </w:r>
      <w:r w:rsidR="001A2A8A" w:rsidRPr="30039256">
        <w:rPr>
          <w:rFonts w:eastAsia="Calibri" w:cs="Arial"/>
        </w:rPr>
        <w:t>[2021] QCAT 378</w:t>
      </w:r>
      <w:r w:rsidR="00FA2706">
        <w:rPr>
          <w:rFonts w:eastAsia="Calibri" w:cs="Arial"/>
        </w:rPr>
        <w:t>.</w:t>
      </w:r>
    </w:p>
  </w:footnote>
  <w:footnote w:id="8">
    <w:p w14:paraId="4BC2A324" w14:textId="1985F042" w:rsidR="00D50F0F" w:rsidRDefault="00D50F0F">
      <w:pPr>
        <w:pStyle w:val="FootnoteText"/>
      </w:pPr>
      <w:r>
        <w:rPr>
          <w:rStyle w:val="FootnoteReference"/>
        </w:rPr>
        <w:footnoteRef/>
      </w:r>
      <w:r>
        <w:t xml:space="preserve"> </w:t>
      </w:r>
      <w:r w:rsidRPr="272A65ED">
        <w:rPr>
          <w:rFonts w:eastAsia="Calibri" w:cs="Arial"/>
          <w:i/>
        </w:rPr>
        <w:t xml:space="preserve">Sunshine Coast Regional Council </w:t>
      </w:r>
      <w:r w:rsidR="002B50D2">
        <w:rPr>
          <w:rFonts w:eastAsia="Calibri" w:cs="Arial"/>
          <w:i/>
        </w:rPr>
        <w:t>(</w:t>
      </w:r>
      <w:r w:rsidRPr="272A65ED">
        <w:rPr>
          <w:rFonts w:eastAsia="Calibri" w:cs="Arial"/>
          <w:i/>
        </w:rPr>
        <w:t>No 2</w:t>
      </w:r>
      <w:r w:rsidR="002B50D2">
        <w:rPr>
          <w:rFonts w:eastAsia="Calibri" w:cs="Arial"/>
          <w:i/>
        </w:rPr>
        <w:t>)</w:t>
      </w:r>
      <w:r w:rsidRPr="272A65ED">
        <w:rPr>
          <w:rFonts w:eastAsia="Calibri" w:cs="Arial"/>
          <w:i/>
        </w:rPr>
        <w:t xml:space="preserve"> </w:t>
      </w:r>
      <w:r w:rsidRPr="7C9A4EA6">
        <w:rPr>
          <w:rFonts w:eastAsia="Calibri" w:cs="Arial"/>
        </w:rPr>
        <w:t>[2021] QCAT 439</w:t>
      </w:r>
      <w:r>
        <w:rPr>
          <w:rFonts w:eastAsia="Calibri" w:cs="Arial"/>
        </w:rPr>
        <w:t>.</w:t>
      </w:r>
    </w:p>
  </w:footnote>
  <w:footnote w:id="9">
    <w:p w14:paraId="34B69898" w14:textId="30178482" w:rsidR="003416E5" w:rsidRDefault="003416E5">
      <w:pPr>
        <w:pStyle w:val="FootnoteText"/>
      </w:pPr>
      <w:r>
        <w:rPr>
          <w:rStyle w:val="FootnoteReference"/>
        </w:rPr>
        <w:footnoteRef/>
      </w:r>
      <w:r>
        <w:t xml:space="preserve"> </w:t>
      </w:r>
      <w:r w:rsidRPr="00404153">
        <w:rPr>
          <w:i/>
          <w:iCs/>
        </w:rPr>
        <w:t>EB</w:t>
      </w:r>
      <w:r w:rsidRPr="00404153">
        <w:t xml:space="preserve"> [2021] QCAT 434.</w:t>
      </w:r>
    </w:p>
  </w:footnote>
  <w:footnote w:id="10">
    <w:p w14:paraId="5A7B1010" w14:textId="3174F40C" w:rsidR="00DE4F3C" w:rsidRDefault="00DE4F3C">
      <w:pPr>
        <w:pStyle w:val="FootnoteText"/>
      </w:pPr>
      <w:r>
        <w:rPr>
          <w:rStyle w:val="FootnoteReference"/>
        </w:rPr>
        <w:footnoteRef/>
      </w:r>
      <w:r>
        <w:t xml:space="preserve"> </w:t>
      </w:r>
      <w:r w:rsidRPr="18AA2105">
        <w:rPr>
          <w:rFonts w:eastAsia="Arial" w:cs="Arial"/>
          <w:i/>
          <w:iCs/>
        </w:rPr>
        <w:t xml:space="preserve">Inquest into the death of </w:t>
      </w:r>
      <w:proofErr w:type="spellStart"/>
      <w:r w:rsidRPr="18AA2105">
        <w:rPr>
          <w:rFonts w:eastAsia="Arial" w:cs="Arial"/>
          <w:i/>
          <w:iCs/>
        </w:rPr>
        <w:t>Selesa</w:t>
      </w:r>
      <w:proofErr w:type="spellEnd"/>
      <w:r w:rsidRPr="18AA2105">
        <w:rPr>
          <w:rFonts w:eastAsia="Arial" w:cs="Arial"/>
          <w:i/>
          <w:iCs/>
        </w:rPr>
        <w:t xml:space="preserve"> </w:t>
      </w:r>
      <w:proofErr w:type="spellStart"/>
      <w:r w:rsidRPr="18AA2105">
        <w:rPr>
          <w:rFonts w:eastAsia="Arial" w:cs="Arial"/>
          <w:i/>
          <w:iCs/>
        </w:rPr>
        <w:t>Tafaifa</w:t>
      </w:r>
      <w:proofErr w:type="spellEnd"/>
      <w:r w:rsidRPr="18AA2105">
        <w:rPr>
          <w:rFonts w:eastAsia="Arial" w:cs="Arial"/>
          <w:i/>
          <w:iCs/>
        </w:rPr>
        <w:t xml:space="preserve"> </w:t>
      </w:r>
      <w:r w:rsidRPr="18AA2105">
        <w:rPr>
          <w:rFonts w:eastAsia="Arial" w:cs="Arial"/>
        </w:rPr>
        <w:t>(Coroners Court of Queensland, T Ryan, State Coroner, 20 June 2022).</w:t>
      </w:r>
    </w:p>
  </w:footnote>
  <w:footnote w:id="11">
    <w:p w14:paraId="628370F8" w14:textId="7E0D6BCF" w:rsidR="2C3DB73A" w:rsidRDefault="2C3DB73A" w:rsidP="00785DDB">
      <w:pPr>
        <w:spacing w:after="0"/>
      </w:pPr>
      <w:r w:rsidRPr="2C3DB73A">
        <w:rPr>
          <w:rStyle w:val="FootnoteReference"/>
        </w:rPr>
        <w:footnoteRef/>
      </w:r>
      <w:r>
        <w:t xml:space="preserve"> </w:t>
      </w:r>
      <w:r w:rsidRPr="2C3DB73A">
        <w:rPr>
          <w:i/>
          <w:iCs/>
        </w:rPr>
        <w:t xml:space="preserve">Re A </w:t>
      </w:r>
      <w:r>
        <w:t>[2022] QSC 159</w:t>
      </w:r>
      <w:r w:rsidR="1A868082">
        <w:t>.</w:t>
      </w:r>
    </w:p>
  </w:footnote>
  <w:footnote w:id="12">
    <w:p w14:paraId="6F6E81B7" w14:textId="4E99E297" w:rsidR="2C3DB73A" w:rsidRDefault="2C3DB73A">
      <w:r w:rsidRPr="2C3DB73A">
        <w:rPr>
          <w:rStyle w:val="FootnoteReference"/>
        </w:rPr>
        <w:footnoteRef/>
      </w:r>
      <w:r>
        <w:t xml:space="preserve"> </w:t>
      </w:r>
      <w:r w:rsidR="006F48D2" w:rsidRPr="00785DDB">
        <w:rPr>
          <w:i/>
          <w:iCs/>
        </w:rPr>
        <w:t xml:space="preserve">In an application about matters concerning </w:t>
      </w:r>
      <w:r w:rsidRPr="00785DDB">
        <w:rPr>
          <w:i/>
          <w:iCs/>
        </w:rPr>
        <w:t>C</w:t>
      </w:r>
      <w:r w:rsidR="006F48D2" w:rsidRPr="00785DDB">
        <w:rPr>
          <w:i/>
          <w:iCs/>
        </w:rPr>
        <w:t>M</w:t>
      </w:r>
      <w:r>
        <w:t xml:space="preserve"> [2022] QCAT 263</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490"/>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2.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3453</Words>
  <Characters>19685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23092</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