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133C72" w14:textId="6070E2F8" w:rsidR="00D115FC" w:rsidRPr="00BC0AD8" w:rsidRDefault="00216E2D" w:rsidP="00BC0AD8">
      <w:pPr>
        <w:pStyle w:val="Heading1"/>
        <w:rPr>
          <w:color w:val="373D41"/>
          <w:sz w:val="36"/>
          <w:szCs w:val="26"/>
        </w:rPr>
      </w:pPr>
      <w:bookmarkStart w:id="0" w:name="_Toc52884999"/>
      <w:bookmarkStart w:id="1" w:name="_Toc52980101"/>
      <w:bookmarkStart w:id="2" w:name="_Toc53039735"/>
      <w:bookmarkStart w:id="3" w:name="_Toc53041543"/>
      <w:bookmarkStart w:id="4" w:name="_Toc53041601"/>
      <w:bookmarkStart w:id="5" w:name="_Toc53046256"/>
      <w:bookmarkStart w:id="6" w:name="_Toc53066205"/>
      <w:bookmarkStart w:id="7" w:name="_Toc53483261"/>
      <w:bookmarkStart w:id="8" w:name="_Toc53495659"/>
      <w:bookmarkStart w:id="9" w:name="_Toc53497610"/>
      <w:bookmarkStart w:id="10" w:name="_Toc53497735"/>
      <w:bookmarkStart w:id="11" w:name="_Toc53499258"/>
      <w:bookmarkStart w:id="12" w:name="_Toc54244612"/>
      <w:bookmarkStart w:id="13" w:name="_Toc54610541"/>
      <w:bookmarkStart w:id="14" w:name="_Toc54610630"/>
      <w:bookmarkStart w:id="15" w:name="_Toc54674737"/>
      <w:bookmarkStart w:id="16" w:name="_Toc54674825"/>
      <w:bookmarkStart w:id="17" w:name="_Toc55224339"/>
      <w:bookmarkStart w:id="18" w:name="_Toc55314756"/>
      <w:bookmarkStart w:id="19" w:name="_Toc55482259"/>
      <w:bookmarkStart w:id="20" w:name="_Toc56085676"/>
      <w:bookmarkStart w:id="21" w:name="_Toc56167125"/>
      <w:bookmarkStart w:id="22" w:name="_Toc117697101"/>
      <w:bookmarkStart w:id="23" w:name="_Toc117697808"/>
      <w:bookmarkStart w:id="24" w:name="_Toc148086865"/>
      <w:bookmarkStart w:id="25" w:name="_Toc56451020"/>
      <w:bookmarkStart w:id="26" w:name="_Toc56451344"/>
      <w:bookmarkStart w:id="27" w:name="_Toc56451525"/>
      <w:bookmarkStart w:id="28" w:name="_Toc56452099"/>
      <w:bookmarkStart w:id="29" w:name="_Toc76640408"/>
      <w:bookmarkStart w:id="30" w:name="_Toc84593823"/>
      <w:bookmarkStart w:id="31" w:name="_Toc85451696"/>
      <w:bookmarkStart w:id="32" w:name="_Toc85526618"/>
      <w:bookmarkStart w:id="33" w:name="_Toc85787033"/>
      <w:bookmarkStart w:id="34" w:name="_Toc56429094"/>
      <w:r>
        <w:rPr>
          <w:noProof/>
        </w:rPr>
        <w:drawing>
          <wp:anchor distT="0" distB="0" distL="114300" distR="114300" simplePos="0" relativeHeight="251658270" behindDoc="0" locked="0" layoutInCell="1" allowOverlap="1" wp14:anchorId="65C03B01" wp14:editId="47119830">
            <wp:simplePos x="0" y="0"/>
            <wp:positionH relativeFrom="page">
              <wp:posOffset>21590</wp:posOffset>
            </wp:positionH>
            <wp:positionV relativeFrom="paragraph">
              <wp:posOffset>-914400</wp:posOffset>
            </wp:positionV>
            <wp:extent cx="7548785" cy="10677525"/>
            <wp:effectExtent l="0" t="0" r="0" b="0"/>
            <wp:wrapNone/>
            <wp:docPr id="15" name="Picture 15" descr="A cover of a book with a bridge and ligh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cover of a book with a bridge and lights&#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48785" cy="10677525"/>
                    </a:xfrm>
                    <a:prstGeom prst="rect">
                      <a:avLst/>
                    </a:prstGeom>
                  </pic:spPr>
                </pic:pic>
              </a:graphicData>
            </a:graphic>
            <wp14:sizeRelH relativeFrom="page">
              <wp14:pctWidth>0</wp14:pctWidth>
            </wp14:sizeRelH>
            <wp14:sizeRelV relativeFrom="page">
              <wp14:pctHeight>0</wp14:pctHeight>
            </wp14:sizeRelV>
          </wp:anchor>
        </w:drawing>
      </w:r>
      <w:r w:rsidR="002300C2" w:rsidRPr="402739F1">
        <w:br w:type="page"/>
      </w:r>
      <w:bookmarkStart w:id="35" w:name="_Toc143770615"/>
      <w:bookmarkStart w:id="36" w:name="_Toc147757247"/>
      <w:bookmarkStart w:id="37" w:name="_Toc147760927"/>
      <w:r w:rsidR="00D115FC" w:rsidRPr="00BC0AD8">
        <w:rPr>
          <w:color w:val="373D41"/>
        </w:rPr>
        <w:lastRenderedPageBreak/>
        <w:t xml:space="preserve">Annual report on the operation of the </w:t>
      </w:r>
      <w:r w:rsidR="00D115FC" w:rsidRPr="0007380E">
        <w:rPr>
          <w:i/>
          <w:iCs w:val="0"/>
          <w:color w:val="373D41"/>
        </w:rPr>
        <w:t>Human Rights Act 2019</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35"/>
      <w:bookmarkEnd w:id="36"/>
      <w:bookmarkEnd w:id="37"/>
      <w:r w:rsidR="00D115FC" w:rsidRPr="00BC0AD8">
        <w:rPr>
          <w:color w:val="373D41"/>
          <w:sz w:val="36"/>
          <w:szCs w:val="26"/>
        </w:rPr>
        <w:t xml:space="preserve"> </w:t>
      </w:r>
      <w:bookmarkStart w:id="38" w:name="_Toc54244613"/>
      <w:bookmarkStart w:id="39" w:name="_Toc54610542"/>
      <w:bookmarkStart w:id="40" w:name="_Toc54610631"/>
      <w:bookmarkStart w:id="41" w:name="_Toc54674738"/>
      <w:bookmarkStart w:id="42" w:name="_Toc54674826"/>
      <w:bookmarkStart w:id="43" w:name="_Toc55224340"/>
      <w:bookmarkStart w:id="44" w:name="_Toc55314757"/>
      <w:bookmarkStart w:id="45" w:name="_Toc55482260"/>
      <w:bookmarkStart w:id="46" w:name="_Toc56085677"/>
      <w:bookmarkStart w:id="47" w:name="_Toc56167126"/>
    </w:p>
    <w:p w14:paraId="6802D58D" w14:textId="2AB918AE" w:rsidR="00D115FC" w:rsidRPr="00AB3D03" w:rsidRDefault="001844D8" w:rsidP="0007380E">
      <w:pPr>
        <w:pStyle w:val="Heading2"/>
        <w:rPr>
          <w:color w:val="373D41"/>
        </w:rPr>
      </w:pPr>
      <w:bookmarkStart w:id="48" w:name="_Toc117697102"/>
      <w:bookmarkStart w:id="49" w:name="_Toc117697809"/>
      <w:bookmarkStart w:id="50" w:name="_Toc143770616"/>
      <w:bookmarkStart w:id="51" w:name="_Toc147757248"/>
      <w:bookmarkStart w:id="52" w:name="_Toc147754201"/>
      <w:bookmarkStart w:id="53" w:name="_Toc147760928"/>
      <w:bookmarkStart w:id="54" w:name="_Toc148086866"/>
      <w:r w:rsidRPr="00AB3D03">
        <w:rPr>
          <w:color w:val="373D41"/>
        </w:rPr>
        <w:t>202</w:t>
      </w:r>
      <w:r w:rsidR="00291C0B">
        <w:rPr>
          <w:color w:val="373D41"/>
        </w:rPr>
        <w:t>2</w:t>
      </w:r>
      <w:r w:rsidR="00D115FC" w:rsidRPr="00AB3D03">
        <w:rPr>
          <w:color w:val="373D41"/>
        </w:rPr>
        <w:t>-2</w:t>
      </w:r>
      <w:bookmarkEnd w:id="25"/>
      <w:bookmarkEnd w:id="26"/>
      <w:bookmarkEnd w:id="27"/>
      <w:bookmarkEnd w:id="28"/>
      <w:bookmarkEnd w:id="29"/>
      <w:bookmarkEnd w:id="30"/>
      <w:bookmarkEnd w:id="31"/>
      <w:bookmarkEnd w:id="32"/>
      <w:bookmarkEnd w:id="33"/>
      <w:bookmarkEnd w:id="34"/>
      <w:bookmarkEnd w:id="38"/>
      <w:bookmarkEnd w:id="39"/>
      <w:bookmarkEnd w:id="40"/>
      <w:bookmarkEnd w:id="41"/>
      <w:bookmarkEnd w:id="42"/>
      <w:bookmarkEnd w:id="43"/>
      <w:bookmarkEnd w:id="44"/>
      <w:bookmarkEnd w:id="45"/>
      <w:bookmarkEnd w:id="46"/>
      <w:bookmarkEnd w:id="47"/>
      <w:r w:rsidR="00291C0B">
        <w:rPr>
          <w:color w:val="373D41"/>
        </w:rPr>
        <w:t>3</w:t>
      </w:r>
      <w:r w:rsidR="00D115FC" w:rsidRPr="00AB3D03">
        <w:rPr>
          <w:color w:val="373D41"/>
        </w:rPr>
        <w:softHyphen/>
      </w:r>
      <w:r w:rsidR="00D115FC" w:rsidRPr="00AB3D03">
        <w:rPr>
          <w:color w:val="373D41"/>
        </w:rPr>
        <w:softHyphen/>
      </w:r>
      <w:r w:rsidR="00D115FC" w:rsidRPr="00AB3D03">
        <w:rPr>
          <w:color w:val="373D41"/>
        </w:rPr>
        <w:softHyphen/>
      </w:r>
      <w:bookmarkEnd w:id="48"/>
      <w:bookmarkEnd w:id="49"/>
      <w:bookmarkEnd w:id="50"/>
      <w:bookmarkEnd w:id="51"/>
      <w:bookmarkEnd w:id="52"/>
      <w:bookmarkEnd w:id="53"/>
      <w:bookmarkEnd w:id="54"/>
    </w:p>
    <w:p w14:paraId="4FC770E4" w14:textId="50EC1518" w:rsidR="00D115FC" w:rsidRDefault="00D115FC" w:rsidP="00D115FC">
      <w:pPr>
        <w:spacing w:before="360" w:after="120" w:line="240" w:lineRule="auto"/>
        <w:rPr>
          <w:rFonts w:cs="Arial"/>
          <w:sz w:val="18"/>
          <w:szCs w:val="18"/>
        </w:rPr>
      </w:pPr>
      <w:r w:rsidRPr="008A00EB">
        <w:rPr>
          <w:noProof/>
          <w:color w:val="2B579A"/>
          <w:shd w:val="clear" w:color="auto" w:fill="E6E6E6"/>
          <w:lang w:eastAsia="en-AU"/>
        </w:rPr>
        <w:drawing>
          <wp:anchor distT="0" distB="0" distL="114300" distR="114300" simplePos="0" relativeHeight="251658265" behindDoc="0" locked="0" layoutInCell="1" allowOverlap="1" wp14:anchorId="1F24D8A1" wp14:editId="1AEB8B53">
            <wp:simplePos x="0" y="0"/>
            <wp:positionH relativeFrom="column">
              <wp:posOffset>0</wp:posOffset>
            </wp:positionH>
            <wp:positionV relativeFrom="paragraph">
              <wp:posOffset>71755</wp:posOffset>
            </wp:positionV>
            <wp:extent cx="581025" cy="581025"/>
            <wp:effectExtent l="0" t="0" r="9525" b="9525"/>
            <wp:wrapSquare wrapText="bothSides"/>
            <wp:docPr id="3" name="Picture 3" descr="http://www.immi.gov.au/living-in-australia/help-with-english/NIS/interpreter_symbol_text.jpg" title="Interpreter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2">
                      <a:extLst>
                        <a:ext uri="{BEBA8EAE-BF5A-486C-A8C5-ECC9F3942E4B}">
                          <a14:imgProps xmlns:a14="http://schemas.microsoft.com/office/drawing/2010/main">
                            <a14:imgLayer r:embed="rId13">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581025" cy="581025"/>
                    </a:xfrm>
                    <a:prstGeom prst="rect">
                      <a:avLst/>
                    </a:prstGeom>
                  </pic:spPr>
                </pic:pic>
              </a:graphicData>
            </a:graphic>
            <wp14:sizeRelH relativeFrom="page">
              <wp14:pctWidth>0</wp14:pctWidth>
            </wp14:sizeRelH>
            <wp14:sizeRelV relativeFrom="page">
              <wp14:pctHeight>0</wp14:pctHeight>
            </wp14:sizeRelV>
          </wp:anchor>
        </w:drawing>
      </w:r>
      <w:r w:rsidRPr="008A00EB">
        <w:rPr>
          <w:rFonts w:cs="Arial"/>
          <w:sz w:val="18"/>
          <w:szCs w:val="18"/>
        </w:rPr>
        <w:t xml:space="preserve">The Queensland Human Rights Commission is committed to providing accessible services to Queenslanders from all culturally and linguistically diverse backgrounds. If you have difficulty in understanding the annual report, you can contact us on toll free 1300 130 670 and we will arrange an interpreter to effectively communicate the report to you. </w:t>
      </w:r>
    </w:p>
    <w:p w14:paraId="12AF51B1" w14:textId="77777777" w:rsidR="00A12BD6" w:rsidRPr="00A12BD6" w:rsidRDefault="00A12BD6" w:rsidP="00A12BD6">
      <w:pPr>
        <w:keepLines/>
        <w:widowControl w:val="0"/>
        <w:spacing w:after="160" w:line="240" w:lineRule="auto"/>
        <w:ind w:right="1376"/>
        <w:rPr>
          <w:rFonts w:eastAsia="Times New Roman" w:cs="Arial"/>
          <w:i/>
          <w:iCs/>
          <w:noProof/>
          <w:sz w:val="18"/>
          <w:szCs w:val="18"/>
          <w:lang w:eastAsia="en-AU"/>
        </w:rPr>
      </w:pPr>
      <w:r w:rsidRPr="00A12BD6">
        <w:rPr>
          <w:rFonts w:eastAsia="Times New Roman" w:cs="Arial"/>
          <w:noProof/>
          <w:sz w:val="18"/>
          <w:szCs w:val="18"/>
          <w:lang w:eastAsia="en-AU"/>
        </w:rPr>
        <w:t xml:space="preserve">English: If you’d like us to arrange an interpreter for this report, please call us on 1300 130 670. </w:t>
      </w:r>
    </w:p>
    <w:p w14:paraId="6ADDBD54" w14:textId="77777777" w:rsidR="00A12BD6" w:rsidRPr="00A12BD6" w:rsidRDefault="00A12BD6" w:rsidP="00A12BD6">
      <w:pPr>
        <w:keepLines/>
        <w:widowControl w:val="0"/>
        <w:spacing w:after="160" w:line="240" w:lineRule="auto"/>
        <w:ind w:right="1376"/>
        <w:rPr>
          <w:rFonts w:eastAsia="Times New Roman" w:cs="Arial"/>
          <w:i/>
          <w:noProof/>
          <w:sz w:val="18"/>
          <w:szCs w:val="18"/>
          <w:lang w:val="es-ES" w:eastAsia="en-AU"/>
        </w:rPr>
      </w:pPr>
      <w:r w:rsidRPr="00A12BD6">
        <w:rPr>
          <w:rFonts w:eastAsia="Times New Roman" w:cs="Arial"/>
          <w:noProof/>
          <w:sz w:val="18"/>
          <w:szCs w:val="18"/>
          <w:lang w:val="es-ES" w:eastAsia="en-AU"/>
        </w:rPr>
        <w:t>Spanish: Si desea que nosotros para solicitar un intérprete de este informe, por favor llámenos en 1300 130 670</w:t>
      </w:r>
    </w:p>
    <w:p w14:paraId="57B52B09" w14:textId="77777777" w:rsidR="00A12BD6" w:rsidRPr="00A12BD6" w:rsidRDefault="00A12BD6" w:rsidP="00A12BD6">
      <w:pPr>
        <w:keepLines/>
        <w:widowControl w:val="0"/>
        <w:spacing w:after="160" w:line="240" w:lineRule="auto"/>
        <w:ind w:right="1376"/>
        <w:rPr>
          <w:rFonts w:eastAsia="Times New Roman" w:cs="Arial"/>
          <w:i/>
          <w:noProof/>
          <w:sz w:val="18"/>
          <w:szCs w:val="18"/>
          <w:lang w:val="fr-FR" w:eastAsia="en-AU"/>
        </w:rPr>
      </w:pPr>
      <w:r w:rsidRPr="00A12BD6">
        <w:rPr>
          <w:rFonts w:eastAsia="Times New Roman" w:cs="Arial"/>
          <w:noProof/>
          <w:sz w:val="18"/>
          <w:szCs w:val="18"/>
          <w:lang w:val="fr-FR" w:eastAsia="en-AU"/>
        </w:rPr>
        <w:t>French: Si vous souhaitez organiser un interprète pour ce rapport, veuillez nous appeler au 1300 130 670</w:t>
      </w:r>
    </w:p>
    <w:p w14:paraId="5C40EB48" w14:textId="77777777" w:rsidR="00A12BD6" w:rsidRPr="00A12BD6" w:rsidRDefault="00A12BD6" w:rsidP="00A12BD6">
      <w:pPr>
        <w:keepLines/>
        <w:widowControl w:val="0"/>
        <w:spacing w:after="160" w:line="240" w:lineRule="auto"/>
        <w:ind w:right="1376"/>
        <w:rPr>
          <w:rFonts w:eastAsia="Times New Roman" w:cs="Arial"/>
          <w:i/>
          <w:sz w:val="18"/>
          <w:szCs w:val="18"/>
          <w:lang w:val="es-ES" w:eastAsia="zh-CN"/>
        </w:rPr>
      </w:pPr>
      <w:r w:rsidRPr="00A12BD6">
        <w:rPr>
          <w:rFonts w:eastAsia="Times New Roman" w:cs="Arial"/>
          <w:noProof/>
          <w:sz w:val="18"/>
          <w:szCs w:val="18"/>
          <w:lang w:val="es-ES" w:eastAsia="zh-CN"/>
        </w:rPr>
        <w:t xml:space="preserve">Chinese: </w:t>
      </w:r>
      <w:r w:rsidRPr="00A12BD6">
        <w:rPr>
          <w:rFonts w:eastAsia="MS Gothic" w:cs="Arial" w:hint="eastAsia"/>
          <w:noProof/>
          <w:sz w:val="18"/>
          <w:szCs w:val="18"/>
          <w:lang w:eastAsia="zh-CN"/>
        </w:rPr>
        <w:t>如果您想</w:t>
      </w:r>
      <w:r w:rsidRPr="00A12BD6">
        <w:rPr>
          <w:rFonts w:eastAsia="MingLiU" w:cs="Arial" w:hint="eastAsia"/>
          <w:noProof/>
          <w:sz w:val="18"/>
          <w:szCs w:val="18"/>
          <w:lang w:eastAsia="zh-CN"/>
        </w:rPr>
        <w:t>让</w:t>
      </w:r>
      <w:r w:rsidRPr="00A12BD6">
        <w:rPr>
          <w:rFonts w:eastAsia="MS Mincho" w:cs="Arial" w:hint="eastAsia"/>
          <w:noProof/>
          <w:sz w:val="18"/>
          <w:szCs w:val="18"/>
          <w:lang w:eastAsia="zh-CN"/>
        </w:rPr>
        <w:t>我</w:t>
      </w:r>
      <w:r w:rsidRPr="00A12BD6">
        <w:rPr>
          <w:rFonts w:eastAsia="MingLiU" w:cs="Arial" w:hint="eastAsia"/>
          <w:noProof/>
          <w:sz w:val="18"/>
          <w:szCs w:val="18"/>
          <w:lang w:eastAsia="zh-CN"/>
        </w:rPr>
        <w:t>们为</w:t>
      </w:r>
      <w:r w:rsidRPr="00A12BD6">
        <w:rPr>
          <w:rFonts w:eastAsia="MS Mincho" w:cs="Arial" w:hint="eastAsia"/>
          <w:noProof/>
          <w:sz w:val="18"/>
          <w:szCs w:val="18"/>
          <w:lang w:eastAsia="zh-CN"/>
        </w:rPr>
        <w:t>此</w:t>
      </w:r>
      <w:r w:rsidRPr="00A12BD6">
        <w:rPr>
          <w:rFonts w:eastAsia="MingLiU" w:cs="Arial" w:hint="eastAsia"/>
          <w:noProof/>
          <w:sz w:val="18"/>
          <w:szCs w:val="18"/>
          <w:lang w:eastAsia="zh-CN"/>
        </w:rPr>
        <w:t>报</w:t>
      </w:r>
      <w:r w:rsidRPr="00A12BD6">
        <w:rPr>
          <w:rFonts w:eastAsia="MingLiU" w:cs="Arial"/>
          <w:noProof/>
          <w:sz w:val="18"/>
          <w:szCs w:val="18"/>
          <w:lang w:eastAsia="zh-CN"/>
        </w:rPr>
        <w:t>co</w:t>
      </w:r>
      <w:r w:rsidRPr="00A12BD6">
        <w:rPr>
          <w:rFonts w:eastAsia="MS Mincho" w:cs="Arial" w:hint="eastAsia"/>
          <w:noProof/>
          <w:sz w:val="18"/>
          <w:szCs w:val="18"/>
          <w:lang w:eastAsia="zh-CN"/>
        </w:rPr>
        <w:t>告安排</w:t>
      </w:r>
      <w:r w:rsidRPr="00A12BD6">
        <w:rPr>
          <w:rFonts w:eastAsia="MingLiU" w:cs="Arial" w:hint="eastAsia"/>
          <w:noProof/>
          <w:sz w:val="18"/>
          <w:szCs w:val="18"/>
          <w:lang w:eastAsia="zh-CN"/>
        </w:rPr>
        <w:t>传译员</w:t>
      </w:r>
      <w:r w:rsidRPr="00A12BD6">
        <w:rPr>
          <w:rFonts w:eastAsia="MS Mincho" w:cs="Arial" w:hint="eastAsia"/>
          <w:noProof/>
          <w:sz w:val="18"/>
          <w:szCs w:val="18"/>
          <w:lang w:val="es-ES" w:eastAsia="zh-CN"/>
        </w:rPr>
        <w:t>，</w:t>
      </w:r>
      <w:r w:rsidRPr="00A12BD6">
        <w:rPr>
          <w:rFonts w:eastAsia="MingLiU" w:cs="Arial" w:hint="eastAsia"/>
          <w:noProof/>
          <w:sz w:val="18"/>
          <w:szCs w:val="18"/>
          <w:lang w:eastAsia="zh-CN"/>
        </w:rPr>
        <w:t>请</w:t>
      </w:r>
      <w:r w:rsidRPr="00A12BD6">
        <w:rPr>
          <w:rFonts w:eastAsia="MS Mincho" w:cs="Arial" w:hint="eastAsia"/>
          <w:noProof/>
          <w:sz w:val="18"/>
          <w:szCs w:val="18"/>
          <w:lang w:eastAsia="zh-CN"/>
        </w:rPr>
        <w:t>致</w:t>
      </w:r>
      <w:r w:rsidRPr="00A12BD6">
        <w:rPr>
          <w:rFonts w:eastAsia="MingLiU" w:cs="Arial" w:hint="eastAsia"/>
          <w:noProof/>
          <w:sz w:val="18"/>
          <w:szCs w:val="18"/>
          <w:lang w:eastAsia="zh-CN"/>
        </w:rPr>
        <w:t>电</w:t>
      </w:r>
      <w:r w:rsidRPr="00A12BD6">
        <w:rPr>
          <w:rFonts w:eastAsia="MS Mincho" w:cs="Arial" w:hint="eastAsia"/>
          <w:noProof/>
          <w:sz w:val="18"/>
          <w:szCs w:val="18"/>
          <w:lang w:eastAsia="zh-CN"/>
        </w:rPr>
        <w:t>我</w:t>
      </w:r>
      <w:r w:rsidRPr="00A12BD6">
        <w:rPr>
          <w:rFonts w:eastAsia="MingLiU" w:cs="Arial" w:hint="eastAsia"/>
          <w:noProof/>
          <w:sz w:val="18"/>
          <w:szCs w:val="18"/>
          <w:lang w:eastAsia="zh-CN"/>
        </w:rPr>
        <w:t>们</w:t>
      </w:r>
      <w:r w:rsidRPr="00A12BD6">
        <w:rPr>
          <w:rFonts w:eastAsia="Times New Roman" w:cs="Arial"/>
          <w:noProof/>
          <w:sz w:val="18"/>
          <w:szCs w:val="18"/>
          <w:lang w:val="es-ES" w:eastAsia="zh-CN"/>
        </w:rPr>
        <w:t xml:space="preserve"> 1300</w:t>
      </w:r>
      <w:r w:rsidRPr="00A12BD6">
        <w:rPr>
          <w:rFonts w:eastAsia="MS Gothic" w:cs="Arial" w:hint="eastAsia"/>
          <w:noProof/>
          <w:sz w:val="18"/>
          <w:szCs w:val="18"/>
          <w:lang w:eastAsia="zh-CN"/>
        </w:rPr>
        <w:t>年</w:t>
      </w:r>
      <w:r w:rsidRPr="00A12BD6">
        <w:rPr>
          <w:rFonts w:eastAsia="Times New Roman" w:cs="Arial"/>
          <w:noProof/>
          <w:sz w:val="18"/>
          <w:szCs w:val="18"/>
          <w:lang w:val="es-ES" w:eastAsia="zh-CN"/>
        </w:rPr>
        <w:t xml:space="preserve"> 130 670</w:t>
      </w:r>
    </w:p>
    <w:p w14:paraId="418F2264" w14:textId="77777777" w:rsidR="00A12BD6" w:rsidRPr="00A12BD6" w:rsidRDefault="00A12BD6" w:rsidP="00A12BD6">
      <w:pPr>
        <w:keepLines/>
        <w:widowControl w:val="0"/>
        <w:spacing w:after="160" w:line="240" w:lineRule="auto"/>
        <w:ind w:right="1376"/>
        <w:rPr>
          <w:rFonts w:eastAsia="Times New Roman" w:cs="Arial"/>
          <w:i/>
          <w:noProof/>
          <w:sz w:val="18"/>
          <w:szCs w:val="18"/>
          <w:lang w:val="es-ES" w:eastAsia="en-AU"/>
        </w:rPr>
      </w:pPr>
      <w:r w:rsidRPr="00A12BD6">
        <w:rPr>
          <w:rFonts w:eastAsia="Times New Roman" w:cs="Arial"/>
          <w:noProof/>
          <w:sz w:val="18"/>
          <w:szCs w:val="18"/>
          <w:lang w:val="es-ES" w:eastAsia="en-AU"/>
        </w:rPr>
        <w:t xml:space="preserve">Arabic: </w:t>
      </w:r>
      <w:r w:rsidRPr="00A12BD6">
        <w:rPr>
          <w:rFonts w:eastAsia="Times New Roman" w:cs="Arial"/>
          <w:noProof/>
          <w:sz w:val="18"/>
          <w:szCs w:val="18"/>
          <w:lang w:eastAsia="en-AU"/>
        </w:rPr>
        <w:t>إذا</w:t>
      </w:r>
      <w:r w:rsidRPr="00A12BD6">
        <w:rPr>
          <w:rFonts w:eastAsia="Times New Roman" w:cs="Arial"/>
          <w:noProof/>
          <w:sz w:val="18"/>
          <w:szCs w:val="18"/>
          <w:lang w:val="es-ES" w:eastAsia="en-AU"/>
        </w:rPr>
        <w:t xml:space="preserve"> </w:t>
      </w:r>
      <w:r w:rsidRPr="00A12BD6">
        <w:rPr>
          <w:rFonts w:eastAsia="Times New Roman" w:cs="Arial"/>
          <w:noProof/>
          <w:sz w:val="18"/>
          <w:szCs w:val="18"/>
          <w:lang w:eastAsia="en-AU"/>
        </w:rPr>
        <w:t>كنت</w:t>
      </w:r>
      <w:r w:rsidRPr="00A12BD6">
        <w:rPr>
          <w:rFonts w:eastAsia="Times New Roman" w:cs="Arial"/>
          <w:noProof/>
          <w:sz w:val="18"/>
          <w:szCs w:val="18"/>
          <w:lang w:val="es-ES" w:eastAsia="en-AU"/>
        </w:rPr>
        <w:t xml:space="preserve"> </w:t>
      </w:r>
      <w:r w:rsidRPr="00A12BD6">
        <w:rPr>
          <w:rFonts w:eastAsia="Times New Roman" w:cs="Arial"/>
          <w:noProof/>
          <w:sz w:val="18"/>
          <w:szCs w:val="18"/>
          <w:lang w:eastAsia="en-AU"/>
        </w:rPr>
        <w:t>تريد</w:t>
      </w:r>
      <w:r w:rsidRPr="00A12BD6">
        <w:rPr>
          <w:rFonts w:eastAsia="Times New Roman" w:cs="Arial"/>
          <w:noProof/>
          <w:sz w:val="18"/>
          <w:szCs w:val="18"/>
          <w:lang w:val="es-ES" w:eastAsia="en-AU"/>
        </w:rPr>
        <w:t xml:space="preserve"> </w:t>
      </w:r>
      <w:r w:rsidRPr="00A12BD6">
        <w:rPr>
          <w:rFonts w:eastAsia="Times New Roman" w:cs="Arial"/>
          <w:noProof/>
          <w:sz w:val="18"/>
          <w:szCs w:val="18"/>
          <w:lang w:eastAsia="en-AU"/>
        </w:rPr>
        <w:t>منا</w:t>
      </w:r>
      <w:r w:rsidRPr="00A12BD6">
        <w:rPr>
          <w:rFonts w:eastAsia="Times New Roman" w:cs="Arial"/>
          <w:noProof/>
          <w:sz w:val="18"/>
          <w:szCs w:val="18"/>
          <w:lang w:val="es-ES" w:eastAsia="en-AU"/>
        </w:rPr>
        <w:t xml:space="preserve"> </w:t>
      </w:r>
      <w:r w:rsidRPr="00A12BD6">
        <w:rPr>
          <w:rFonts w:eastAsia="Times New Roman" w:cs="Arial"/>
          <w:noProof/>
          <w:sz w:val="18"/>
          <w:szCs w:val="18"/>
          <w:lang w:eastAsia="en-AU"/>
        </w:rPr>
        <w:t>أن</w:t>
      </w:r>
      <w:r w:rsidRPr="00A12BD6">
        <w:rPr>
          <w:rFonts w:eastAsia="Times New Roman" w:cs="Arial"/>
          <w:noProof/>
          <w:sz w:val="18"/>
          <w:szCs w:val="18"/>
          <w:lang w:val="es-ES" w:eastAsia="en-AU"/>
        </w:rPr>
        <w:t xml:space="preserve"> </w:t>
      </w:r>
      <w:r w:rsidRPr="00A12BD6">
        <w:rPr>
          <w:rFonts w:eastAsia="Times New Roman" w:cs="Arial"/>
          <w:noProof/>
          <w:sz w:val="18"/>
          <w:szCs w:val="18"/>
          <w:lang w:eastAsia="en-AU"/>
        </w:rPr>
        <w:t>يرتب</w:t>
      </w:r>
      <w:r w:rsidRPr="00A12BD6">
        <w:rPr>
          <w:rFonts w:eastAsia="Times New Roman" w:cs="Arial"/>
          <w:noProof/>
          <w:sz w:val="18"/>
          <w:szCs w:val="18"/>
          <w:lang w:val="es-ES" w:eastAsia="en-AU"/>
        </w:rPr>
        <w:t xml:space="preserve"> </w:t>
      </w:r>
      <w:r w:rsidRPr="00A12BD6">
        <w:rPr>
          <w:rFonts w:eastAsia="Times New Roman" w:cs="Arial"/>
          <w:noProof/>
          <w:sz w:val="18"/>
          <w:szCs w:val="18"/>
          <w:lang w:eastAsia="en-AU"/>
        </w:rPr>
        <w:t>مترجما</w:t>
      </w:r>
      <w:r w:rsidRPr="00A12BD6">
        <w:rPr>
          <w:rFonts w:eastAsia="Times New Roman" w:cs="Arial"/>
          <w:noProof/>
          <w:sz w:val="18"/>
          <w:szCs w:val="18"/>
          <w:lang w:val="es-ES" w:eastAsia="en-AU"/>
        </w:rPr>
        <w:t xml:space="preserve"> </w:t>
      </w:r>
      <w:r w:rsidRPr="00A12BD6">
        <w:rPr>
          <w:rFonts w:eastAsia="Times New Roman" w:cs="Arial"/>
          <w:noProof/>
          <w:sz w:val="18"/>
          <w:szCs w:val="18"/>
          <w:lang w:eastAsia="en-AU"/>
        </w:rPr>
        <w:t>لهذا</w:t>
      </w:r>
      <w:r w:rsidRPr="00A12BD6">
        <w:rPr>
          <w:rFonts w:eastAsia="Times New Roman" w:cs="Arial"/>
          <w:noProof/>
          <w:sz w:val="18"/>
          <w:szCs w:val="18"/>
          <w:lang w:val="es-ES" w:eastAsia="en-AU"/>
        </w:rPr>
        <w:t xml:space="preserve"> </w:t>
      </w:r>
      <w:r w:rsidRPr="00A12BD6">
        <w:rPr>
          <w:rFonts w:eastAsia="Times New Roman" w:cs="Arial"/>
          <w:noProof/>
          <w:sz w:val="18"/>
          <w:szCs w:val="18"/>
          <w:lang w:eastAsia="en-AU"/>
        </w:rPr>
        <w:t>التقرير،</w:t>
      </w:r>
      <w:r w:rsidRPr="00A12BD6">
        <w:rPr>
          <w:rFonts w:eastAsia="Times New Roman" w:cs="Arial"/>
          <w:noProof/>
          <w:sz w:val="18"/>
          <w:szCs w:val="18"/>
          <w:lang w:val="es-ES" w:eastAsia="en-AU"/>
        </w:rPr>
        <w:t xml:space="preserve"> </w:t>
      </w:r>
      <w:r w:rsidRPr="00A12BD6">
        <w:rPr>
          <w:rFonts w:eastAsia="Times New Roman" w:cs="Arial"/>
          <w:noProof/>
          <w:sz w:val="18"/>
          <w:szCs w:val="18"/>
          <w:lang w:eastAsia="en-AU"/>
        </w:rPr>
        <w:t>يرجى</w:t>
      </w:r>
      <w:r w:rsidRPr="00A12BD6">
        <w:rPr>
          <w:rFonts w:eastAsia="Times New Roman" w:cs="Arial"/>
          <w:noProof/>
          <w:sz w:val="18"/>
          <w:szCs w:val="18"/>
          <w:lang w:val="es-ES" w:eastAsia="en-AU"/>
        </w:rPr>
        <w:t xml:space="preserve"> </w:t>
      </w:r>
      <w:r w:rsidRPr="00A12BD6">
        <w:rPr>
          <w:rFonts w:eastAsia="Times New Roman" w:cs="Arial"/>
          <w:noProof/>
          <w:sz w:val="18"/>
          <w:szCs w:val="18"/>
          <w:lang w:eastAsia="en-AU"/>
        </w:rPr>
        <w:t>الاتصال</w:t>
      </w:r>
      <w:r w:rsidRPr="00A12BD6">
        <w:rPr>
          <w:rFonts w:eastAsia="Times New Roman" w:cs="Arial"/>
          <w:noProof/>
          <w:sz w:val="18"/>
          <w:szCs w:val="18"/>
          <w:lang w:val="es-ES" w:eastAsia="en-AU"/>
        </w:rPr>
        <w:t xml:space="preserve"> </w:t>
      </w:r>
      <w:r w:rsidRPr="00A12BD6">
        <w:rPr>
          <w:rFonts w:eastAsia="Times New Roman" w:cs="Arial"/>
          <w:noProof/>
          <w:sz w:val="18"/>
          <w:szCs w:val="18"/>
          <w:lang w:eastAsia="en-AU"/>
        </w:rPr>
        <w:t>بنا</w:t>
      </w:r>
      <w:r w:rsidRPr="00A12BD6">
        <w:rPr>
          <w:rFonts w:eastAsia="Times New Roman" w:cs="Arial"/>
          <w:noProof/>
          <w:sz w:val="18"/>
          <w:szCs w:val="18"/>
          <w:lang w:val="es-ES" w:eastAsia="en-AU"/>
        </w:rPr>
        <w:t xml:space="preserve"> </w:t>
      </w:r>
      <w:r w:rsidRPr="00A12BD6">
        <w:rPr>
          <w:rFonts w:eastAsia="Times New Roman" w:cs="Arial"/>
          <w:noProof/>
          <w:sz w:val="18"/>
          <w:szCs w:val="18"/>
          <w:lang w:eastAsia="en-AU"/>
        </w:rPr>
        <w:t>على</w:t>
      </w:r>
      <w:r w:rsidRPr="00A12BD6">
        <w:rPr>
          <w:rFonts w:eastAsia="Times New Roman" w:cs="Arial"/>
          <w:noProof/>
          <w:sz w:val="18"/>
          <w:szCs w:val="18"/>
          <w:lang w:val="es-ES" w:eastAsia="en-AU"/>
        </w:rPr>
        <w:t xml:space="preserve"> 1300 130 670</w:t>
      </w:r>
    </w:p>
    <w:p w14:paraId="2B272C1F" w14:textId="77777777" w:rsidR="00A12BD6" w:rsidRPr="00A12BD6" w:rsidRDefault="00A12BD6" w:rsidP="00A12BD6">
      <w:pPr>
        <w:keepLines/>
        <w:widowControl w:val="0"/>
        <w:spacing w:after="160" w:line="240" w:lineRule="auto"/>
        <w:ind w:right="1376"/>
        <w:rPr>
          <w:rFonts w:eastAsia="Times New Roman" w:cs="Arial"/>
          <w:i/>
          <w:noProof/>
          <w:sz w:val="18"/>
          <w:szCs w:val="18"/>
          <w:lang w:val="de-DE" w:eastAsia="en-AU"/>
        </w:rPr>
      </w:pPr>
      <w:r w:rsidRPr="00A12BD6">
        <w:rPr>
          <w:rFonts w:eastAsia="Times New Roman" w:cs="Arial"/>
          <w:noProof/>
          <w:sz w:val="18"/>
          <w:szCs w:val="18"/>
          <w:lang w:val="de-DE" w:eastAsia="en-AU"/>
        </w:rPr>
        <w:t>German: Wenn Sie uns einen Dolmetscher für diesen Bericht anordnen möchten, rufen Sie uns bitte auf 1300 130 670</w:t>
      </w:r>
    </w:p>
    <w:p w14:paraId="18D47A47" w14:textId="77777777" w:rsidR="00A12BD6" w:rsidRPr="00A12BD6" w:rsidRDefault="00A12BD6" w:rsidP="00A12BD6">
      <w:pPr>
        <w:keepLines/>
        <w:widowControl w:val="0"/>
        <w:spacing w:after="160" w:line="240" w:lineRule="auto"/>
        <w:ind w:right="1376"/>
        <w:rPr>
          <w:rFonts w:eastAsia="Times New Roman" w:cs="Arial"/>
          <w:i/>
          <w:noProof/>
          <w:sz w:val="18"/>
          <w:szCs w:val="18"/>
          <w:lang w:val="de-DE" w:eastAsia="en-AU"/>
        </w:rPr>
      </w:pPr>
      <w:r w:rsidRPr="00A12BD6">
        <w:rPr>
          <w:rFonts w:eastAsia="Times New Roman" w:cs="Arial"/>
          <w:noProof/>
          <w:sz w:val="18"/>
          <w:szCs w:val="18"/>
          <w:lang w:val="de-DE" w:eastAsia="en-AU"/>
        </w:rPr>
        <w:t>Turkish: Lütfen bizi arayın 1300 130 670 bizimle bu rapor için bir tercüman istiyorsanız,</w:t>
      </w:r>
    </w:p>
    <w:p w14:paraId="2A63C78B" w14:textId="77777777" w:rsidR="00A12BD6" w:rsidRPr="002E03E8" w:rsidRDefault="00A12BD6" w:rsidP="00A12BD6">
      <w:pPr>
        <w:keepLines/>
        <w:widowControl w:val="0"/>
        <w:spacing w:after="160" w:line="240" w:lineRule="auto"/>
        <w:ind w:right="1376"/>
        <w:rPr>
          <w:rFonts w:eastAsia="Times New Roman" w:cs="Arial"/>
          <w:i/>
          <w:sz w:val="18"/>
          <w:szCs w:val="18"/>
          <w:lang w:val="de-DE" w:eastAsia="ja-JP"/>
        </w:rPr>
      </w:pPr>
      <w:r w:rsidRPr="002E03E8">
        <w:rPr>
          <w:rFonts w:eastAsia="Times New Roman" w:cs="Arial"/>
          <w:sz w:val="18"/>
          <w:szCs w:val="18"/>
          <w:lang w:val="de-DE" w:eastAsia="ja-JP"/>
        </w:rPr>
        <w:t xml:space="preserve">Japanese: </w:t>
      </w:r>
      <w:r w:rsidRPr="00A12BD6">
        <w:rPr>
          <w:rFonts w:eastAsia="MS Gothic" w:cs="Arial" w:hint="eastAsia"/>
          <w:noProof/>
          <w:sz w:val="18"/>
          <w:szCs w:val="18"/>
          <w:lang w:eastAsia="ja-JP"/>
        </w:rPr>
        <w:t>このレポートのための通訳の手配を希望する場合は、</w:t>
      </w:r>
      <w:r w:rsidRPr="002E03E8">
        <w:rPr>
          <w:rFonts w:eastAsia="Times New Roman" w:cs="Arial"/>
          <w:sz w:val="18"/>
          <w:szCs w:val="18"/>
          <w:lang w:val="de-DE" w:eastAsia="ja-JP"/>
        </w:rPr>
        <w:t>1300</w:t>
      </w:r>
      <w:r w:rsidRPr="00A12BD6">
        <w:rPr>
          <w:rFonts w:eastAsia="MS Gothic" w:cs="Arial" w:hint="eastAsia"/>
          <w:noProof/>
          <w:sz w:val="18"/>
          <w:szCs w:val="18"/>
          <w:lang w:eastAsia="ja-JP"/>
        </w:rPr>
        <w:t>年</w:t>
      </w:r>
      <w:r w:rsidRPr="002E03E8">
        <w:rPr>
          <w:rFonts w:eastAsia="Times New Roman" w:cs="Arial"/>
          <w:sz w:val="18"/>
          <w:szCs w:val="18"/>
          <w:lang w:val="de-DE" w:eastAsia="ja-JP"/>
        </w:rPr>
        <w:t xml:space="preserve"> 130 670 </w:t>
      </w:r>
      <w:r w:rsidRPr="00A12BD6">
        <w:rPr>
          <w:rFonts w:eastAsia="MS Gothic" w:cs="Arial" w:hint="eastAsia"/>
          <w:noProof/>
          <w:sz w:val="18"/>
          <w:szCs w:val="18"/>
          <w:lang w:eastAsia="ja-JP"/>
        </w:rPr>
        <w:t>に問い合わせください。</w:t>
      </w:r>
    </w:p>
    <w:p w14:paraId="50EAD97D" w14:textId="77777777" w:rsidR="00A12BD6" w:rsidRPr="00A12BD6" w:rsidRDefault="00A12BD6" w:rsidP="00A12BD6">
      <w:pPr>
        <w:keepLines/>
        <w:widowControl w:val="0"/>
        <w:spacing w:after="160" w:line="240" w:lineRule="auto"/>
        <w:ind w:right="1376"/>
        <w:rPr>
          <w:rFonts w:eastAsia="Times New Roman" w:cs="Arial"/>
          <w:i/>
          <w:noProof/>
          <w:sz w:val="18"/>
          <w:szCs w:val="18"/>
          <w:lang w:val="nl-NL" w:eastAsia="en-AU"/>
        </w:rPr>
      </w:pPr>
      <w:r w:rsidRPr="00A12BD6">
        <w:rPr>
          <w:rFonts w:eastAsia="Times New Roman" w:cs="Arial"/>
          <w:noProof/>
          <w:sz w:val="18"/>
          <w:szCs w:val="18"/>
          <w:lang w:val="nl-NL" w:eastAsia="en-AU"/>
        </w:rPr>
        <w:t>Dutch: Als u wij dat wilt te regelen een tolk voor dit verslag, bel ons op 1300 130 670</w:t>
      </w:r>
    </w:p>
    <w:p w14:paraId="5CA680E0" w14:textId="77777777" w:rsidR="00A12BD6" w:rsidRPr="00A12BD6" w:rsidRDefault="00A12BD6" w:rsidP="00A12BD6">
      <w:pPr>
        <w:keepLines/>
        <w:widowControl w:val="0"/>
        <w:spacing w:after="160" w:line="240" w:lineRule="auto"/>
        <w:ind w:right="1376"/>
        <w:rPr>
          <w:rFonts w:eastAsia="Times New Roman" w:cs="Arial"/>
          <w:i/>
          <w:noProof/>
          <w:sz w:val="18"/>
          <w:szCs w:val="18"/>
          <w:lang w:eastAsia="ko-KR"/>
        </w:rPr>
      </w:pPr>
      <w:r w:rsidRPr="00A12BD6">
        <w:rPr>
          <w:rFonts w:eastAsia="Times New Roman" w:cs="Arial"/>
          <w:noProof/>
          <w:sz w:val="18"/>
          <w:szCs w:val="18"/>
          <w:lang w:eastAsia="ko-KR"/>
        </w:rPr>
        <w:t xml:space="preserve">Korean: </w:t>
      </w:r>
      <w:r w:rsidRPr="00A12BD6">
        <w:rPr>
          <w:rFonts w:eastAsia="Batang" w:cs="Arial" w:hint="eastAsia"/>
          <w:noProof/>
          <w:sz w:val="18"/>
          <w:szCs w:val="18"/>
          <w:lang w:eastAsia="ko-KR"/>
        </w:rPr>
        <w:t>우리가이</w:t>
      </w:r>
      <w:r w:rsidRPr="00A12BD6">
        <w:rPr>
          <w:rFonts w:eastAsia="Times New Roman" w:cs="Arial"/>
          <w:noProof/>
          <w:sz w:val="18"/>
          <w:szCs w:val="18"/>
          <w:lang w:eastAsia="ko-KR"/>
        </w:rPr>
        <w:t xml:space="preserve"> </w:t>
      </w:r>
      <w:r w:rsidRPr="00A12BD6">
        <w:rPr>
          <w:rFonts w:eastAsia="Batang" w:cs="Arial" w:hint="eastAsia"/>
          <w:noProof/>
          <w:sz w:val="18"/>
          <w:szCs w:val="18"/>
          <w:lang w:eastAsia="ko-KR"/>
        </w:rPr>
        <w:t>보고서에</w:t>
      </w:r>
      <w:r w:rsidRPr="00A12BD6">
        <w:rPr>
          <w:rFonts w:eastAsia="Times New Roman" w:cs="Arial"/>
          <w:noProof/>
          <w:sz w:val="18"/>
          <w:szCs w:val="18"/>
          <w:lang w:eastAsia="ko-KR"/>
        </w:rPr>
        <w:t xml:space="preserve"> </w:t>
      </w:r>
      <w:r w:rsidRPr="00A12BD6">
        <w:rPr>
          <w:rFonts w:eastAsia="Batang" w:cs="Arial" w:hint="eastAsia"/>
          <w:noProof/>
          <w:sz w:val="18"/>
          <w:szCs w:val="18"/>
          <w:lang w:eastAsia="ko-KR"/>
        </w:rPr>
        <w:t>대</w:t>
      </w:r>
      <w:r w:rsidRPr="00A12BD6">
        <w:rPr>
          <w:rFonts w:eastAsia="Times New Roman" w:cs="Arial"/>
          <w:noProof/>
          <w:sz w:val="18"/>
          <w:szCs w:val="18"/>
          <w:lang w:eastAsia="ko-KR"/>
        </w:rPr>
        <w:t xml:space="preserve"> </w:t>
      </w:r>
      <w:r w:rsidRPr="00A12BD6">
        <w:rPr>
          <w:rFonts w:eastAsia="Batang" w:cs="Arial" w:hint="eastAsia"/>
          <w:noProof/>
          <w:sz w:val="18"/>
          <w:szCs w:val="18"/>
          <w:lang w:eastAsia="ko-KR"/>
        </w:rPr>
        <w:t>한</w:t>
      </w:r>
      <w:r w:rsidRPr="00A12BD6">
        <w:rPr>
          <w:rFonts w:eastAsia="Times New Roman" w:cs="Arial"/>
          <w:noProof/>
          <w:sz w:val="18"/>
          <w:szCs w:val="18"/>
          <w:lang w:eastAsia="ko-KR"/>
        </w:rPr>
        <w:t xml:space="preserve"> </w:t>
      </w:r>
      <w:r w:rsidRPr="00A12BD6">
        <w:rPr>
          <w:rFonts w:eastAsia="Batang" w:cs="Arial" w:hint="eastAsia"/>
          <w:noProof/>
          <w:sz w:val="18"/>
          <w:szCs w:val="18"/>
          <w:lang w:eastAsia="ko-KR"/>
        </w:rPr>
        <w:t>해석자를</w:t>
      </w:r>
      <w:r w:rsidRPr="00A12BD6">
        <w:rPr>
          <w:rFonts w:eastAsia="Times New Roman" w:cs="Arial"/>
          <w:noProof/>
          <w:sz w:val="18"/>
          <w:szCs w:val="18"/>
          <w:lang w:eastAsia="ko-KR"/>
        </w:rPr>
        <w:t xml:space="preserve"> </w:t>
      </w:r>
      <w:r w:rsidRPr="00A12BD6">
        <w:rPr>
          <w:rFonts w:eastAsia="Batang" w:cs="Arial" w:hint="eastAsia"/>
          <w:noProof/>
          <w:sz w:val="18"/>
          <w:szCs w:val="18"/>
          <w:lang w:eastAsia="ko-KR"/>
        </w:rPr>
        <w:t>정렬</w:t>
      </w:r>
      <w:r w:rsidRPr="00A12BD6">
        <w:rPr>
          <w:rFonts w:eastAsia="Times New Roman" w:cs="Arial"/>
          <w:noProof/>
          <w:sz w:val="18"/>
          <w:szCs w:val="18"/>
          <w:lang w:eastAsia="ko-KR"/>
        </w:rPr>
        <w:t xml:space="preserve"> </w:t>
      </w:r>
      <w:r w:rsidRPr="00A12BD6">
        <w:rPr>
          <w:rFonts w:eastAsia="Batang" w:cs="Arial" w:hint="eastAsia"/>
          <w:noProof/>
          <w:sz w:val="18"/>
          <w:szCs w:val="18"/>
          <w:lang w:eastAsia="ko-KR"/>
        </w:rPr>
        <w:t>작업을</w:t>
      </w:r>
      <w:r w:rsidRPr="00A12BD6">
        <w:rPr>
          <w:rFonts w:eastAsia="Times New Roman" w:cs="Arial"/>
          <w:noProof/>
          <w:sz w:val="18"/>
          <w:szCs w:val="18"/>
          <w:lang w:eastAsia="ko-KR"/>
        </w:rPr>
        <w:t xml:space="preserve"> </w:t>
      </w:r>
      <w:r w:rsidRPr="00A12BD6">
        <w:rPr>
          <w:rFonts w:eastAsia="Batang" w:cs="Arial" w:hint="eastAsia"/>
          <w:noProof/>
          <w:sz w:val="18"/>
          <w:szCs w:val="18"/>
          <w:lang w:eastAsia="ko-KR"/>
        </w:rPr>
        <w:t>원하시면</w:t>
      </w:r>
      <w:r w:rsidRPr="00A12BD6">
        <w:rPr>
          <w:rFonts w:eastAsia="Times New Roman" w:cs="Arial"/>
          <w:noProof/>
          <w:sz w:val="18"/>
          <w:szCs w:val="18"/>
          <w:lang w:eastAsia="ko-KR"/>
        </w:rPr>
        <w:t xml:space="preserve"> </w:t>
      </w:r>
      <w:r w:rsidRPr="00A12BD6">
        <w:rPr>
          <w:rFonts w:eastAsia="Batang" w:cs="Arial" w:hint="eastAsia"/>
          <w:noProof/>
          <w:sz w:val="18"/>
          <w:szCs w:val="18"/>
          <w:lang w:eastAsia="ko-KR"/>
        </w:rPr>
        <w:t>전화</w:t>
      </w:r>
      <w:r w:rsidRPr="00A12BD6">
        <w:rPr>
          <w:rFonts w:eastAsia="Times New Roman" w:cs="Arial"/>
          <w:noProof/>
          <w:sz w:val="18"/>
          <w:szCs w:val="18"/>
          <w:lang w:eastAsia="ko-KR"/>
        </w:rPr>
        <w:t xml:space="preserve"> </w:t>
      </w:r>
      <w:r w:rsidRPr="00A12BD6">
        <w:rPr>
          <w:rFonts w:eastAsia="Batang" w:cs="Arial" w:hint="eastAsia"/>
          <w:noProof/>
          <w:sz w:val="18"/>
          <w:szCs w:val="18"/>
          <w:lang w:eastAsia="ko-KR"/>
        </w:rPr>
        <w:t>주시기</w:t>
      </w:r>
      <w:r w:rsidRPr="00A12BD6">
        <w:rPr>
          <w:rFonts w:eastAsia="Times New Roman" w:cs="Arial"/>
          <w:noProof/>
          <w:sz w:val="18"/>
          <w:szCs w:val="18"/>
          <w:lang w:eastAsia="ko-KR"/>
        </w:rPr>
        <w:t xml:space="preserve"> </w:t>
      </w:r>
      <w:r w:rsidRPr="00A12BD6">
        <w:rPr>
          <w:rFonts w:eastAsia="Batang" w:cs="Arial" w:hint="eastAsia"/>
          <w:noProof/>
          <w:sz w:val="18"/>
          <w:szCs w:val="18"/>
          <w:lang w:eastAsia="ko-KR"/>
        </w:rPr>
        <w:t>바랍니다에</w:t>
      </w:r>
      <w:r w:rsidRPr="00A12BD6">
        <w:rPr>
          <w:rFonts w:eastAsia="Times New Roman" w:cs="Arial"/>
          <w:noProof/>
          <w:sz w:val="18"/>
          <w:szCs w:val="18"/>
          <w:lang w:eastAsia="ko-KR"/>
        </w:rPr>
        <w:t xml:space="preserve"> 1300 130 670</w:t>
      </w:r>
    </w:p>
    <w:p w14:paraId="030819E3" w14:textId="77777777" w:rsidR="00A12BD6" w:rsidRPr="008A00EB" w:rsidRDefault="00A12BD6" w:rsidP="00D115FC">
      <w:pPr>
        <w:spacing w:before="360" w:after="120" w:line="240" w:lineRule="auto"/>
        <w:rPr>
          <w:rFonts w:cs="Arial"/>
          <w:i/>
          <w:sz w:val="18"/>
          <w:szCs w:val="18"/>
          <w:lang w:eastAsia="ko-KR"/>
        </w:rPr>
      </w:pPr>
    </w:p>
    <w:p w14:paraId="2EF61BEE" w14:textId="5982446C" w:rsidR="00D115FC" w:rsidRPr="00626427" w:rsidRDefault="00D115FC" w:rsidP="00D115FC">
      <w:pPr>
        <w:spacing w:line="240" w:lineRule="auto"/>
        <w:rPr>
          <w:rFonts w:cs="Arial"/>
          <w:b/>
          <w:i/>
          <w:sz w:val="18"/>
          <w:szCs w:val="18"/>
        </w:rPr>
      </w:pPr>
      <w:r w:rsidRPr="00626427">
        <w:rPr>
          <w:rFonts w:cs="Arial"/>
          <w:b/>
          <w:sz w:val="18"/>
          <w:szCs w:val="18"/>
        </w:rPr>
        <w:t xml:space="preserve">© Queensland Human Rights Commission </w:t>
      </w:r>
      <w:r>
        <w:rPr>
          <w:rFonts w:cs="Arial"/>
          <w:b/>
          <w:sz w:val="18"/>
          <w:szCs w:val="18"/>
        </w:rPr>
        <w:t>202</w:t>
      </w:r>
      <w:r w:rsidR="00291C0B">
        <w:rPr>
          <w:rFonts w:cs="Arial"/>
          <w:b/>
          <w:sz w:val="18"/>
          <w:szCs w:val="18"/>
        </w:rPr>
        <w:t>3</w:t>
      </w:r>
    </w:p>
    <w:p w14:paraId="329A4C1C" w14:textId="77777777" w:rsidR="00D115FC" w:rsidRPr="00626427" w:rsidRDefault="00D115FC" w:rsidP="00D115FC">
      <w:pPr>
        <w:spacing w:line="240" w:lineRule="auto"/>
        <w:rPr>
          <w:rFonts w:cs="Arial"/>
          <w:b/>
          <w:i/>
          <w:sz w:val="18"/>
          <w:szCs w:val="18"/>
        </w:rPr>
      </w:pPr>
      <w:r w:rsidRPr="00047F17">
        <w:rPr>
          <w:rFonts w:cs="Arial"/>
          <w:b/>
          <w:sz w:val="18"/>
          <w:szCs w:val="18"/>
        </w:rPr>
        <w:t xml:space="preserve">ISSN </w:t>
      </w:r>
      <w:r w:rsidRPr="00047F17">
        <w:rPr>
          <w:rFonts w:cs="Arial"/>
          <w:b/>
          <w:color w:val="000000"/>
          <w:sz w:val="18"/>
          <w:szCs w:val="18"/>
        </w:rPr>
        <w:t>2652-8835</w:t>
      </w:r>
      <w:r w:rsidRPr="00047F17">
        <w:rPr>
          <w:rFonts w:cs="Arial"/>
          <w:b/>
          <w:sz w:val="18"/>
          <w:szCs w:val="18"/>
        </w:rPr>
        <w:t xml:space="preserve"> (online)</w:t>
      </w:r>
    </w:p>
    <w:p w14:paraId="4D8B17D4" w14:textId="77777777" w:rsidR="00D115FC" w:rsidRPr="008A00EB" w:rsidRDefault="00D115FC" w:rsidP="00D115FC">
      <w:pPr>
        <w:autoSpaceDE w:val="0"/>
        <w:autoSpaceDN w:val="0"/>
        <w:spacing w:after="0"/>
        <w:rPr>
          <w:rFonts w:cs="Arial"/>
          <w:sz w:val="18"/>
          <w:lang w:eastAsia="en-AU"/>
        </w:rPr>
      </w:pPr>
      <w:r w:rsidRPr="008A00EB">
        <w:rPr>
          <w:rFonts w:cs="Arial"/>
          <w:b/>
          <w:bCs/>
          <w:sz w:val="18"/>
          <w:lang w:eastAsia="en-AU"/>
        </w:rPr>
        <w:t>Licence</w:t>
      </w:r>
      <w:r w:rsidRPr="008A00EB">
        <w:rPr>
          <w:rFonts w:cs="Arial"/>
          <w:sz w:val="18"/>
          <w:lang w:eastAsia="en-AU"/>
        </w:rPr>
        <w:t>: This annual report is licensed by Queensland Human Rights Commission under a Creative Commons Attribution</w:t>
      </w:r>
    </w:p>
    <w:p w14:paraId="6C1DF0A3" w14:textId="77777777" w:rsidR="00D115FC" w:rsidRPr="008A00EB" w:rsidRDefault="00D115FC" w:rsidP="00D115FC">
      <w:pPr>
        <w:autoSpaceDE w:val="0"/>
        <w:autoSpaceDN w:val="0"/>
        <w:spacing w:after="0"/>
        <w:rPr>
          <w:rFonts w:cs="Arial"/>
          <w:sz w:val="18"/>
          <w:lang w:eastAsia="en-AU"/>
        </w:rPr>
      </w:pPr>
      <w:r w:rsidRPr="008A00EB">
        <w:rPr>
          <w:rFonts w:cs="Arial"/>
          <w:sz w:val="18"/>
          <w:lang w:eastAsia="en-AU"/>
        </w:rPr>
        <w:t>(CC BY) 4</w:t>
      </w:r>
      <w:r w:rsidRPr="008A00EB">
        <w:rPr>
          <w:rFonts w:cs="Arial"/>
          <w:i/>
          <w:iCs/>
          <w:sz w:val="18"/>
          <w:lang w:eastAsia="en-AU"/>
        </w:rPr>
        <w:t>.0 International licence</w:t>
      </w:r>
      <w:r w:rsidRPr="008A00EB">
        <w:rPr>
          <w:rFonts w:cs="Arial"/>
          <w:sz w:val="18"/>
          <w:lang w:eastAsia="en-AU"/>
        </w:rPr>
        <w:t>.</w:t>
      </w:r>
    </w:p>
    <w:p w14:paraId="53A58823" w14:textId="7EFB6B24" w:rsidR="00D115FC" w:rsidRPr="008A00EB" w:rsidRDefault="00D115FC" w:rsidP="00D115FC">
      <w:pPr>
        <w:spacing w:line="240" w:lineRule="auto"/>
        <w:rPr>
          <w:rFonts w:cs="Arial"/>
          <w:iCs/>
          <w:sz w:val="18"/>
          <w:szCs w:val="18"/>
        </w:rPr>
      </w:pPr>
      <w:r w:rsidRPr="008A00EB">
        <w:rPr>
          <w:rFonts w:cs="Arial"/>
          <w:i/>
          <w:noProof/>
          <w:color w:val="2B579A"/>
          <w:sz w:val="18"/>
          <w:szCs w:val="18"/>
          <w:shd w:val="clear" w:color="auto" w:fill="E6E6E6"/>
          <w:lang w:eastAsia="en-AU"/>
        </w:rPr>
        <w:drawing>
          <wp:inline distT="0" distB="0" distL="0" distR="0" wp14:anchorId="3FD9A26D" wp14:editId="594CB8E1">
            <wp:extent cx="781050" cy="266700"/>
            <wp:effectExtent l="0" t="0" r="0" b="0"/>
            <wp:docPr id="2" name="Picture 2" descr="Creative Commons license, attribution requi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a:extLst>
                        <a:ext uri="{28A0092B-C50C-407E-A947-70E740481C1C}">
                          <a14:useLocalDpi xmlns:a14="http://schemas.microsoft.com/office/drawing/2010/main" val="0"/>
                        </a:ext>
                      </a:extLst>
                    </a:blip>
                    <a:srcRect l="5747" b="6666"/>
                    <a:stretch/>
                  </pic:blipFill>
                  <pic:spPr bwMode="auto">
                    <a:xfrm>
                      <a:off x="0" y="0"/>
                      <a:ext cx="781050" cy="266700"/>
                    </a:xfrm>
                    <a:prstGeom prst="rect">
                      <a:avLst/>
                    </a:prstGeom>
                    <a:noFill/>
                    <a:ln>
                      <a:noFill/>
                    </a:ln>
                    <a:extLst>
                      <a:ext uri="{53640926-AAD7-44D8-BBD7-CCE9431645EC}">
                        <a14:shadowObscured xmlns:a14="http://schemas.microsoft.com/office/drawing/2010/main"/>
                      </a:ext>
                    </a:extLst>
                  </pic:spPr>
                </pic:pic>
              </a:graphicData>
            </a:graphic>
          </wp:inline>
        </w:drawing>
      </w:r>
      <w:r w:rsidRPr="008A00EB">
        <w:rPr>
          <w:rFonts w:cs="Arial"/>
          <w:sz w:val="18"/>
          <w:szCs w:val="18"/>
        </w:rPr>
        <w:t xml:space="preserve">To view a copy of this licence, visit: </w:t>
      </w:r>
      <w:hyperlink r:id="rId15" w:history="1">
        <w:r w:rsidR="00A12BD6" w:rsidRPr="009D215E">
          <w:rPr>
            <w:rStyle w:val="Hyperlink"/>
            <w:rFonts w:cs="Arial"/>
            <w:sz w:val="18"/>
            <w:szCs w:val="18"/>
          </w:rPr>
          <w:t>http://creativecommons.org/licenses/by/4.0/</w:t>
        </w:r>
      </w:hyperlink>
    </w:p>
    <w:p w14:paraId="7BCF8BCE" w14:textId="3ED9A27F" w:rsidR="00D115FC" w:rsidRPr="008A00EB" w:rsidRDefault="00D115FC" w:rsidP="00D115FC">
      <w:pPr>
        <w:autoSpaceDE w:val="0"/>
        <w:autoSpaceDN w:val="0"/>
        <w:spacing w:after="0"/>
        <w:rPr>
          <w:rFonts w:cs="Arial"/>
          <w:sz w:val="18"/>
          <w:lang w:eastAsia="en-AU"/>
        </w:rPr>
      </w:pPr>
      <w:r w:rsidRPr="008A00EB">
        <w:rPr>
          <w:rFonts w:cs="Arial"/>
          <w:b/>
          <w:bCs/>
          <w:sz w:val="18"/>
          <w:lang w:eastAsia="en-AU"/>
        </w:rPr>
        <w:t xml:space="preserve">CC BY Licence Summary Statement: </w:t>
      </w:r>
      <w:r w:rsidRPr="008A00EB">
        <w:rPr>
          <w:rFonts w:cs="Arial"/>
          <w:sz w:val="18"/>
          <w:lang w:eastAsia="en-AU"/>
        </w:rPr>
        <w:t xml:space="preserve">In essence, you are free to copy, communicate and adapt this annual report, as long as you attribute the work to the Queensland Human Rights Commission. </w:t>
      </w:r>
    </w:p>
    <w:p w14:paraId="643356FE" w14:textId="2CD0F28A" w:rsidR="00D115FC" w:rsidRPr="008A00EB" w:rsidRDefault="00D115FC" w:rsidP="00D115FC">
      <w:pPr>
        <w:autoSpaceDE w:val="0"/>
        <w:autoSpaceDN w:val="0"/>
        <w:spacing w:after="0"/>
        <w:rPr>
          <w:rFonts w:cs="Arial"/>
          <w:sz w:val="18"/>
          <w:szCs w:val="18"/>
          <w:lang w:eastAsia="en-AU"/>
        </w:rPr>
      </w:pPr>
      <w:r w:rsidRPr="008A00EB">
        <w:rPr>
          <w:rFonts w:cs="Arial"/>
          <w:b/>
          <w:sz w:val="18"/>
          <w:szCs w:val="18"/>
          <w:lang w:eastAsia="en-AU"/>
        </w:rPr>
        <w:t>Attribution</w:t>
      </w:r>
      <w:r w:rsidRPr="008A00EB">
        <w:rPr>
          <w:rFonts w:cs="Arial"/>
          <w:sz w:val="18"/>
          <w:szCs w:val="18"/>
          <w:lang w:eastAsia="en-AU"/>
        </w:rPr>
        <w:t xml:space="preserve">: Content from this annual report should be attributed as: Queensland Human Rights Commission, </w:t>
      </w:r>
      <w:r>
        <w:rPr>
          <w:rFonts w:cs="Arial"/>
          <w:sz w:val="18"/>
          <w:szCs w:val="18"/>
          <w:lang w:eastAsia="en-AU"/>
        </w:rPr>
        <w:t>202</w:t>
      </w:r>
      <w:r w:rsidR="008A5133">
        <w:rPr>
          <w:rFonts w:cs="Arial"/>
          <w:sz w:val="18"/>
          <w:szCs w:val="18"/>
          <w:lang w:eastAsia="en-AU"/>
        </w:rPr>
        <w:t>2</w:t>
      </w:r>
      <w:r>
        <w:rPr>
          <w:rFonts w:cs="Arial"/>
          <w:sz w:val="18"/>
          <w:szCs w:val="18"/>
          <w:lang w:eastAsia="en-AU"/>
        </w:rPr>
        <w:t>-202</w:t>
      </w:r>
      <w:r w:rsidR="00523479">
        <w:rPr>
          <w:rFonts w:cs="Arial"/>
          <w:sz w:val="18"/>
          <w:szCs w:val="18"/>
          <w:lang w:eastAsia="en-AU"/>
        </w:rPr>
        <w:t>3</w:t>
      </w:r>
      <w:r w:rsidRPr="008A00EB">
        <w:rPr>
          <w:rFonts w:cs="Arial"/>
          <w:sz w:val="18"/>
          <w:szCs w:val="18"/>
          <w:lang w:eastAsia="en-AU"/>
        </w:rPr>
        <w:t xml:space="preserve"> Annual report on the operation of the </w:t>
      </w:r>
      <w:r w:rsidRPr="008A00EB">
        <w:rPr>
          <w:rFonts w:cs="Arial"/>
          <w:i/>
          <w:sz w:val="18"/>
          <w:szCs w:val="18"/>
          <w:lang w:eastAsia="en-AU"/>
        </w:rPr>
        <w:t>Human Rights Act 2019</w:t>
      </w:r>
      <w:r w:rsidRPr="008A00EB">
        <w:rPr>
          <w:rFonts w:cs="Arial"/>
          <w:sz w:val="18"/>
          <w:szCs w:val="18"/>
          <w:lang w:eastAsia="en-AU"/>
        </w:rPr>
        <w:t>.</w:t>
      </w:r>
    </w:p>
    <w:p w14:paraId="209D438A" w14:textId="77777777" w:rsidR="00D115FC" w:rsidRPr="008A00EB" w:rsidRDefault="00D115FC" w:rsidP="00D115FC">
      <w:pPr>
        <w:autoSpaceDE w:val="0"/>
        <w:autoSpaceDN w:val="0"/>
        <w:spacing w:after="0"/>
        <w:rPr>
          <w:rFonts w:cs="Arial"/>
          <w:color w:val="1F497D"/>
          <w:sz w:val="18"/>
        </w:rPr>
      </w:pPr>
    </w:p>
    <w:p w14:paraId="4C34C2E0" w14:textId="44819659" w:rsidR="00D115FC" w:rsidRDefault="00D115FC" w:rsidP="00D115FC">
      <w:pPr>
        <w:tabs>
          <w:tab w:val="left" w:pos="8880"/>
        </w:tabs>
        <w:spacing w:line="240" w:lineRule="auto"/>
        <w:rPr>
          <w:rFonts w:cs="Arial"/>
          <w:sz w:val="18"/>
          <w:szCs w:val="18"/>
        </w:rPr>
      </w:pPr>
      <w:r w:rsidRPr="008A00EB">
        <w:rPr>
          <w:rFonts w:cs="Arial"/>
          <w:sz w:val="18"/>
          <w:szCs w:val="18"/>
        </w:rPr>
        <w:t xml:space="preserve">This publication is available in electronic </w:t>
      </w:r>
      <w:r w:rsidR="3B17AD33" w:rsidRPr="5CDABB7B">
        <w:rPr>
          <w:rFonts w:cs="Arial"/>
          <w:sz w:val="18"/>
          <w:szCs w:val="18"/>
        </w:rPr>
        <w:t>format</w:t>
      </w:r>
      <w:r w:rsidRPr="008A00EB">
        <w:rPr>
          <w:rFonts w:cs="Arial"/>
          <w:sz w:val="18"/>
          <w:szCs w:val="18"/>
        </w:rPr>
        <w:t xml:space="preserve"> on the Commission’s website at: </w:t>
      </w:r>
      <w:hyperlink r:id="rId16">
        <w:r w:rsidR="3B17AD33" w:rsidRPr="659C2148">
          <w:rPr>
            <w:rStyle w:val="Hyperlink"/>
            <w:rFonts w:cs="Arial"/>
            <w:sz w:val="18"/>
            <w:szCs w:val="18"/>
          </w:rPr>
          <w:t>www.qhrc.qld.gov.au</w:t>
        </w:r>
      </w:hyperlink>
      <w:r w:rsidRPr="008A00EB">
        <w:rPr>
          <w:rFonts w:cs="Arial"/>
          <w:sz w:val="18"/>
          <w:szCs w:val="18"/>
        </w:rPr>
        <w:t>.</w:t>
      </w:r>
    </w:p>
    <w:p w14:paraId="5F6DC2E3" w14:textId="6223FB60" w:rsidR="009261F5" w:rsidRPr="00737D8E" w:rsidRDefault="00BF5383" w:rsidP="00A81854">
      <w:pPr>
        <w:pStyle w:val="Heading1"/>
        <w:rPr>
          <w:color w:val="373D41"/>
        </w:rPr>
      </w:pPr>
      <w:bookmarkStart w:id="55" w:name="_Toc110503429"/>
      <w:bookmarkStart w:id="56" w:name="_Toc110506593"/>
      <w:bookmarkStart w:id="57" w:name="_Toc1708126498"/>
      <w:bookmarkStart w:id="58" w:name="_Toc117697103"/>
      <w:bookmarkStart w:id="59" w:name="_Toc117697810"/>
      <w:bookmarkStart w:id="60" w:name="_Toc143770617"/>
      <w:bookmarkStart w:id="61" w:name="_Toc147757249"/>
      <w:bookmarkStart w:id="62" w:name="_Toc147760929"/>
      <w:bookmarkStart w:id="63" w:name="_Toc148086867"/>
      <w:r w:rsidRPr="00737D8E">
        <w:rPr>
          <w:color w:val="373D41"/>
        </w:rPr>
        <w:lastRenderedPageBreak/>
        <w:t>Contents</w:t>
      </w:r>
      <w:bookmarkEnd w:id="55"/>
      <w:bookmarkEnd w:id="56"/>
      <w:bookmarkEnd w:id="57"/>
      <w:bookmarkEnd w:id="58"/>
      <w:bookmarkEnd w:id="59"/>
      <w:bookmarkEnd w:id="60"/>
      <w:bookmarkEnd w:id="61"/>
      <w:bookmarkEnd w:id="62"/>
      <w:bookmarkEnd w:id="63"/>
    </w:p>
    <w:bookmarkStart w:id="64" w:name="_Toc110503430"/>
    <w:bookmarkStart w:id="65" w:name="_Toc110506594"/>
    <w:bookmarkStart w:id="66" w:name="_Toc2033444659"/>
    <w:bookmarkStart w:id="67" w:name="_Toc117697104"/>
    <w:p w14:paraId="7E2455B2" w14:textId="3ED46A5A" w:rsidR="00C45F7B" w:rsidRPr="00737D8E" w:rsidRDefault="00CF4104">
      <w:pPr>
        <w:pStyle w:val="TOC2"/>
        <w:rPr>
          <w:rFonts w:asciiTheme="minorHAnsi" w:eastAsiaTheme="minorEastAsia" w:hAnsiTheme="minorHAnsi" w:cstheme="minorBidi"/>
          <w:kern w:val="0"/>
          <w:sz w:val="22"/>
          <w:szCs w:val="28"/>
          <w:lang w:eastAsia="zh-CN" w:bidi="th-TH"/>
        </w:rPr>
      </w:pPr>
      <w:r w:rsidRPr="00737D8E">
        <w:rPr>
          <w:rFonts w:eastAsiaTheme="minorHAnsi"/>
          <w:shd w:val="clear" w:color="auto" w:fill="E6E6E6"/>
        </w:rPr>
        <w:fldChar w:fldCharType="begin"/>
      </w:r>
      <w:r w:rsidRPr="000E64FA">
        <w:instrText xml:space="preserve"> TOC \u \t "Heading 1,2,Heading 2,3,Section title,1" </w:instrText>
      </w:r>
      <w:r w:rsidRPr="00737D8E">
        <w:rPr>
          <w:rFonts w:eastAsiaTheme="minorHAnsi"/>
          <w:shd w:val="clear" w:color="auto" w:fill="E6E6E6"/>
        </w:rPr>
        <w:fldChar w:fldCharType="separate"/>
      </w:r>
      <w:r w:rsidR="00C45F7B" w:rsidRPr="00737D8E">
        <w:t>Commissioner’s foreword</w:t>
      </w:r>
      <w:r w:rsidR="00C45F7B" w:rsidRPr="00737D8E">
        <w:tab/>
      </w:r>
      <w:r w:rsidR="00C45F7B" w:rsidRPr="00737D8E">
        <w:fldChar w:fldCharType="begin"/>
      </w:r>
      <w:r w:rsidR="00C45F7B" w:rsidRPr="00737D8E">
        <w:instrText xml:space="preserve"> PAGEREF _Toc148086868 \h </w:instrText>
      </w:r>
      <w:r w:rsidR="00C45F7B" w:rsidRPr="00737D8E">
        <w:fldChar w:fldCharType="separate"/>
      </w:r>
      <w:r w:rsidR="005007F1">
        <w:t>5</w:t>
      </w:r>
      <w:r w:rsidR="00C45F7B" w:rsidRPr="00737D8E">
        <w:fldChar w:fldCharType="end"/>
      </w:r>
    </w:p>
    <w:p w14:paraId="52F88E51" w14:textId="1A23AA13" w:rsidR="00C45F7B" w:rsidRPr="00737D8E" w:rsidRDefault="00C45F7B">
      <w:pPr>
        <w:pStyle w:val="TOC2"/>
        <w:rPr>
          <w:rFonts w:asciiTheme="minorHAnsi" w:eastAsiaTheme="minorEastAsia" w:hAnsiTheme="minorHAnsi" w:cstheme="minorBidi"/>
          <w:kern w:val="0"/>
          <w:sz w:val="22"/>
          <w:szCs w:val="28"/>
          <w:lang w:eastAsia="zh-CN" w:bidi="th-TH"/>
        </w:rPr>
      </w:pPr>
      <w:r w:rsidRPr="00737D8E">
        <w:t>About the Commission</w:t>
      </w:r>
      <w:r w:rsidRPr="00737D8E">
        <w:tab/>
      </w:r>
      <w:r w:rsidRPr="00737D8E">
        <w:fldChar w:fldCharType="begin"/>
      </w:r>
      <w:r w:rsidRPr="00737D8E">
        <w:instrText xml:space="preserve"> PAGEREF _Toc148086869 \h </w:instrText>
      </w:r>
      <w:r w:rsidRPr="00737D8E">
        <w:fldChar w:fldCharType="separate"/>
      </w:r>
      <w:r w:rsidR="005007F1">
        <w:t>6</w:t>
      </w:r>
      <w:r w:rsidRPr="00737D8E">
        <w:fldChar w:fldCharType="end"/>
      </w:r>
    </w:p>
    <w:p w14:paraId="24788E9F" w14:textId="6E4839B4" w:rsidR="00C45F7B" w:rsidRPr="00737D8E" w:rsidRDefault="00C45F7B">
      <w:pPr>
        <w:pStyle w:val="TOC2"/>
        <w:rPr>
          <w:rFonts w:asciiTheme="minorHAnsi" w:eastAsiaTheme="minorEastAsia" w:hAnsiTheme="minorHAnsi" w:cstheme="minorBidi"/>
          <w:kern w:val="0"/>
          <w:sz w:val="22"/>
          <w:szCs w:val="28"/>
          <w:lang w:eastAsia="zh-CN" w:bidi="th-TH"/>
        </w:rPr>
      </w:pPr>
      <w:r w:rsidRPr="00737D8E">
        <w:t>About this report</w:t>
      </w:r>
      <w:r w:rsidRPr="00737D8E">
        <w:tab/>
      </w:r>
      <w:r w:rsidRPr="00737D8E">
        <w:fldChar w:fldCharType="begin"/>
      </w:r>
      <w:r w:rsidRPr="00737D8E">
        <w:instrText xml:space="preserve"> PAGEREF _Toc148086870 \h </w:instrText>
      </w:r>
      <w:r w:rsidRPr="00737D8E">
        <w:fldChar w:fldCharType="separate"/>
      </w:r>
      <w:r w:rsidR="005007F1">
        <w:t>7</w:t>
      </w:r>
      <w:r w:rsidRPr="00737D8E">
        <w:fldChar w:fldCharType="end"/>
      </w:r>
    </w:p>
    <w:p w14:paraId="40043165" w14:textId="53583DC8" w:rsidR="00C45F7B" w:rsidRPr="00737D8E" w:rsidRDefault="00C45F7B">
      <w:pPr>
        <w:pStyle w:val="TOC2"/>
        <w:rPr>
          <w:rFonts w:asciiTheme="minorHAnsi" w:eastAsiaTheme="minorEastAsia" w:hAnsiTheme="minorHAnsi" w:cstheme="minorBidi"/>
          <w:kern w:val="0"/>
          <w:sz w:val="22"/>
          <w:szCs w:val="28"/>
          <w:lang w:eastAsia="zh-CN" w:bidi="th-TH"/>
        </w:rPr>
      </w:pPr>
      <w:r w:rsidRPr="00737D8E">
        <w:t>Report summary</w:t>
      </w:r>
      <w:r w:rsidRPr="00737D8E">
        <w:tab/>
      </w:r>
      <w:r w:rsidRPr="00737D8E">
        <w:fldChar w:fldCharType="begin"/>
      </w:r>
      <w:r w:rsidRPr="00737D8E">
        <w:instrText xml:space="preserve"> PAGEREF _Toc148086871 \h </w:instrText>
      </w:r>
      <w:r w:rsidRPr="00737D8E">
        <w:fldChar w:fldCharType="separate"/>
      </w:r>
      <w:r w:rsidR="005007F1">
        <w:t>8</w:t>
      </w:r>
      <w:r w:rsidRPr="00737D8E">
        <w:fldChar w:fldCharType="end"/>
      </w:r>
    </w:p>
    <w:p w14:paraId="7BE7BC0A" w14:textId="6D7E650E" w:rsidR="00C45F7B" w:rsidRPr="00737D8E" w:rsidRDefault="00C45F7B">
      <w:pPr>
        <w:pStyle w:val="TOC2"/>
        <w:rPr>
          <w:rFonts w:asciiTheme="minorHAnsi" w:eastAsiaTheme="minorEastAsia" w:hAnsiTheme="minorHAnsi" w:cstheme="minorBidi"/>
          <w:kern w:val="0"/>
          <w:sz w:val="22"/>
          <w:szCs w:val="28"/>
          <w:lang w:eastAsia="zh-CN" w:bidi="th-TH"/>
        </w:rPr>
      </w:pPr>
      <w:r w:rsidRPr="00737D8E">
        <w:t>Report highlights</w:t>
      </w:r>
      <w:r w:rsidRPr="00737D8E">
        <w:tab/>
      </w:r>
      <w:r w:rsidRPr="00737D8E">
        <w:fldChar w:fldCharType="begin"/>
      </w:r>
      <w:r w:rsidRPr="00737D8E">
        <w:instrText xml:space="preserve"> PAGEREF _Toc148086872 \h </w:instrText>
      </w:r>
      <w:r w:rsidRPr="00737D8E">
        <w:fldChar w:fldCharType="separate"/>
      </w:r>
      <w:r w:rsidR="005007F1">
        <w:t>10</w:t>
      </w:r>
      <w:r w:rsidRPr="00737D8E">
        <w:fldChar w:fldCharType="end"/>
      </w:r>
    </w:p>
    <w:p w14:paraId="2E8EB979" w14:textId="506052E8" w:rsidR="00C45F7B" w:rsidRPr="00737D8E" w:rsidRDefault="00C45F7B">
      <w:pPr>
        <w:pStyle w:val="TOC2"/>
        <w:rPr>
          <w:rFonts w:asciiTheme="minorHAnsi" w:eastAsiaTheme="minorEastAsia" w:hAnsiTheme="minorHAnsi" w:cstheme="minorBidi"/>
          <w:kern w:val="0"/>
          <w:sz w:val="22"/>
          <w:szCs w:val="28"/>
          <w:lang w:eastAsia="zh-CN" w:bidi="th-TH"/>
        </w:rPr>
      </w:pPr>
      <w:r w:rsidRPr="00737D8E">
        <w:t>Human rights timeline: 2022-23</w:t>
      </w:r>
      <w:r w:rsidRPr="00737D8E">
        <w:tab/>
      </w:r>
      <w:r w:rsidRPr="00737D8E">
        <w:fldChar w:fldCharType="begin"/>
      </w:r>
      <w:r w:rsidRPr="00737D8E">
        <w:instrText xml:space="preserve"> PAGEREF _Toc148086881 \h </w:instrText>
      </w:r>
      <w:r w:rsidRPr="00737D8E">
        <w:fldChar w:fldCharType="separate"/>
      </w:r>
      <w:r w:rsidR="005007F1">
        <w:t>14</w:t>
      </w:r>
      <w:r w:rsidRPr="00737D8E">
        <w:fldChar w:fldCharType="end"/>
      </w:r>
    </w:p>
    <w:p w14:paraId="346E2123" w14:textId="733E5BF5" w:rsidR="00C45F7B" w:rsidRPr="00737D8E" w:rsidRDefault="00C45F7B">
      <w:pPr>
        <w:pStyle w:val="TOC1"/>
        <w:rPr>
          <w:rFonts w:asciiTheme="minorHAnsi" w:eastAsiaTheme="minorEastAsia" w:hAnsiTheme="minorHAnsi" w:cstheme="minorBidi"/>
          <w:b w:val="0"/>
          <w:bCs w:val="0"/>
          <w:noProof/>
          <w:color w:val="000000" w:themeColor="text1"/>
          <w:sz w:val="22"/>
          <w:szCs w:val="28"/>
          <w:lang w:eastAsia="zh-CN" w:bidi="th-TH"/>
        </w:rPr>
      </w:pPr>
      <w:r w:rsidRPr="00737D8E">
        <w:rPr>
          <w:noProof/>
          <w:color w:val="000000" w:themeColor="text1"/>
        </w:rPr>
        <w:t xml:space="preserve">About the </w:t>
      </w:r>
      <w:r w:rsidRPr="00737D8E">
        <w:rPr>
          <w:i/>
          <w:noProof/>
          <w:color w:val="000000" w:themeColor="text1"/>
        </w:rPr>
        <w:t>Human Rights Act 2019</w:t>
      </w:r>
      <w:r w:rsidRPr="00737D8E">
        <w:rPr>
          <w:noProof/>
          <w:color w:val="000000" w:themeColor="text1"/>
        </w:rPr>
        <w:tab/>
      </w:r>
      <w:r w:rsidRPr="00737D8E">
        <w:rPr>
          <w:noProof/>
          <w:color w:val="000000" w:themeColor="text1"/>
        </w:rPr>
        <w:fldChar w:fldCharType="begin"/>
      </w:r>
      <w:r w:rsidRPr="00737D8E">
        <w:rPr>
          <w:noProof/>
          <w:color w:val="000000" w:themeColor="text1"/>
        </w:rPr>
        <w:instrText xml:space="preserve"> PAGEREF _Toc148086882 \h </w:instrText>
      </w:r>
      <w:r w:rsidRPr="00737D8E">
        <w:rPr>
          <w:noProof/>
          <w:color w:val="000000" w:themeColor="text1"/>
        </w:rPr>
      </w:r>
      <w:r w:rsidRPr="00737D8E">
        <w:rPr>
          <w:noProof/>
          <w:color w:val="000000" w:themeColor="text1"/>
        </w:rPr>
        <w:fldChar w:fldCharType="separate"/>
      </w:r>
      <w:r w:rsidR="005007F1">
        <w:rPr>
          <w:noProof/>
          <w:color w:val="000000" w:themeColor="text1"/>
        </w:rPr>
        <w:t>17</w:t>
      </w:r>
      <w:r w:rsidRPr="00737D8E">
        <w:rPr>
          <w:noProof/>
          <w:color w:val="000000" w:themeColor="text1"/>
        </w:rPr>
        <w:fldChar w:fldCharType="end"/>
      </w:r>
    </w:p>
    <w:p w14:paraId="0F83A935" w14:textId="44ACB0DF" w:rsidR="00C45F7B" w:rsidRPr="00737D8E" w:rsidRDefault="00C45F7B">
      <w:pPr>
        <w:pStyle w:val="TOC1"/>
        <w:rPr>
          <w:rFonts w:asciiTheme="minorHAnsi" w:eastAsiaTheme="minorEastAsia" w:hAnsiTheme="minorHAnsi" w:cstheme="minorBidi"/>
          <w:b w:val="0"/>
          <w:bCs w:val="0"/>
          <w:noProof/>
          <w:color w:val="000000" w:themeColor="text1"/>
          <w:sz w:val="22"/>
          <w:szCs w:val="28"/>
          <w:lang w:eastAsia="zh-CN" w:bidi="th-TH"/>
        </w:rPr>
      </w:pPr>
      <w:r w:rsidRPr="00737D8E">
        <w:rPr>
          <w:noProof/>
          <w:color w:val="000000" w:themeColor="text1"/>
        </w:rPr>
        <w:t>Human rights and the parliament</w:t>
      </w:r>
      <w:r w:rsidRPr="00737D8E">
        <w:rPr>
          <w:noProof/>
          <w:color w:val="000000" w:themeColor="text1"/>
        </w:rPr>
        <w:tab/>
      </w:r>
      <w:r w:rsidRPr="00737D8E">
        <w:rPr>
          <w:noProof/>
          <w:color w:val="000000" w:themeColor="text1"/>
        </w:rPr>
        <w:fldChar w:fldCharType="begin"/>
      </w:r>
      <w:r w:rsidRPr="00737D8E">
        <w:rPr>
          <w:noProof/>
          <w:color w:val="000000" w:themeColor="text1"/>
        </w:rPr>
        <w:instrText xml:space="preserve"> PAGEREF _Toc148086891 \h </w:instrText>
      </w:r>
      <w:r w:rsidRPr="00737D8E">
        <w:rPr>
          <w:noProof/>
          <w:color w:val="000000" w:themeColor="text1"/>
        </w:rPr>
      </w:r>
      <w:r w:rsidRPr="00737D8E">
        <w:rPr>
          <w:noProof/>
          <w:color w:val="000000" w:themeColor="text1"/>
        </w:rPr>
        <w:fldChar w:fldCharType="separate"/>
      </w:r>
      <w:r w:rsidR="005007F1">
        <w:rPr>
          <w:noProof/>
          <w:color w:val="000000" w:themeColor="text1"/>
        </w:rPr>
        <w:t>22</w:t>
      </w:r>
      <w:r w:rsidRPr="00737D8E">
        <w:rPr>
          <w:noProof/>
          <w:color w:val="000000" w:themeColor="text1"/>
        </w:rPr>
        <w:fldChar w:fldCharType="end"/>
      </w:r>
    </w:p>
    <w:p w14:paraId="48FEFF77" w14:textId="0FDA208E" w:rsidR="00C45F7B" w:rsidRPr="00737D8E" w:rsidRDefault="00C45F7B">
      <w:pPr>
        <w:pStyle w:val="TOC2"/>
        <w:rPr>
          <w:rFonts w:asciiTheme="minorHAnsi" w:eastAsiaTheme="minorEastAsia" w:hAnsiTheme="minorHAnsi" w:cstheme="minorBidi"/>
          <w:kern w:val="0"/>
          <w:sz w:val="22"/>
          <w:szCs w:val="28"/>
          <w:lang w:eastAsia="zh-CN" w:bidi="th-TH"/>
        </w:rPr>
      </w:pPr>
      <w:r w:rsidRPr="00737D8E">
        <w:t>The role of Queensland Parliament</w:t>
      </w:r>
      <w:r w:rsidRPr="00737D8E">
        <w:tab/>
      </w:r>
      <w:r w:rsidRPr="00737D8E">
        <w:fldChar w:fldCharType="begin"/>
      </w:r>
      <w:r w:rsidRPr="00737D8E">
        <w:instrText xml:space="preserve"> PAGEREF _Toc148086892 \h </w:instrText>
      </w:r>
      <w:r w:rsidRPr="00737D8E">
        <w:fldChar w:fldCharType="separate"/>
      </w:r>
      <w:r w:rsidR="005007F1">
        <w:t>23</w:t>
      </w:r>
      <w:r w:rsidRPr="00737D8E">
        <w:fldChar w:fldCharType="end"/>
      </w:r>
    </w:p>
    <w:p w14:paraId="66423BD0" w14:textId="5F4FD22E" w:rsidR="00C45F7B" w:rsidRPr="00737D8E" w:rsidRDefault="00C45F7B">
      <w:pPr>
        <w:pStyle w:val="TOC2"/>
        <w:rPr>
          <w:rFonts w:asciiTheme="minorHAnsi" w:eastAsiaTheme="minorEastAsia" w:hAnsiTheme="minorHAnsi" w:cstheme="minorBidi"/>
          <w:kern w:val="0"/>
          <w:sz w:val="22"/>
          <w:szCs w:val="28"/>
          <w:lang w:eastAsia="zh-CN" w:bidi="th-TH"/>
        </w:rPr>
      </w:pPr>
      <w:r w:rsidRPr="00737D8E">
        <w:t>Human rights indicators</w:t>
      </w:r>
      <w:r w:rsidRPr="00737D8E">
        <w:tab/>
      </w:r>
      <w:r w:rsidRPr="00737D8E">
        <w:fldChar w:fldCharType="begin"/>
      </w:r>
      <w:r w:rsidRPr="00737D8E">
        <w:instrText xml:space="preserve"> PAGEREF _Toc148086896 \h </w:instrText>
      </w:r>
      <w:r w:rsidRPr="00737D8E">
        <w:fldChar w:fldCharType="separate"/>
      </w:r>
      <w:r w:rsidR="005007F1">
        <w:t>26</w:t>
      </w:r>
      <w:r w:rsidRPr="00737D8E">
        <w:fldChar w:fldCharType="end"/>
      </w:r>
    </w:p>
    <w:p w14:paraId="1C8B613E" w14:textId="51ECF2BF" w:rsidR="00C45F7B" w:rsidRPr="00737D8E" w:rsidRDefault="00C45F7B">
      <w:pPr>
        <w:pStyle w:val="TOC2"/>
        <w:rPr>
          <w:rFonts w:asciiTheme="minorHAnsi" w:eastAsiaTheme="minorEastAsia" w:hAnsiTheme="minorHAnsi" w:cstheme="minorBidi"/>
          <w:kern w:val="0"/>
          <w:sz w:val="22"/>
          <w:szCs w:val="28"/>
          <w:lang w:eastAsia="zh-CN" w:bidi="th-TH"/>
        </w:rPr>
      </w:pPr>
      <w:r w:rsidRPr="00737D8E">
        <w:t>Guidance on statements of compatibility</w:t>
      </w:r>
      <w:r w:rsidRPr="00737D8E">
        <w:tab/>
      </w:r>
      <w:r w:rsidRPr="00737D8E">
        <w:fldChar w:fldCharType="begin"/>
      </w:r>
      <w:r w:rsidRPr="00737D8E">
        <w:instrText xml:space="preserve"> PAGEREF _Toc148086906 \h </w:instrText>
      </w:r>
      <w:r w:rsidRPr="00737D8E">
        <w:fldChar w:fldCharType="separate"/>
      </w:r>
      <w:r w:rsidR="005007F1">
        <w:t>34</w:t>
      </w:r>
      <w:r w:rsidRPr="00737D8E">
        <w:fldChar w:fldCharType="end"/>
      </w:r>
    </w:p>
    <w:p w14:paraId="2A1E50A8" w14:textId="72154B20" w:rsidR="00C45F7B" w:rsidRPr="00737D8E" w:rsidRDefault="00C45F7B">
      <w:pPr>
        <w:pStyle w:val="TOC2"/>
        <w:rPr>
          <w:rFonts w:asciiTheme="minorHAnsi" w:eastAsiaTheme="minorEastAsia" w:hAnsiTheme="minorHAnsi" w:cstheme="minorBidi"/>
          <w:kern w:val="0"/>
          <w:sz w:val="22"/>
          <w:szCs w:val="28"/>
          <w:lang w:eastAsia="zh-CN" w:bidi="th-TH"/>
        </w:rPr>
      </w:pPr>
      <w:r w:rsidRPr="00737D8E">
        <w:t>Significant legislation 2022-23</w:t>
      </w:r>
      <w:r w:rsidRPr="00737D8E">
        <w:tab/>
      </w:r>
      <w:r w:rsidRPr="00737D8E">
        <w:fldChar w:fldCharType="begin"/>
      </w:r>
      <w:r w:rsidRPr="00737D8E">
        <w:instrText xml:space="preserve"> PAGEREF _Toc148086907 \h </w:instrText>
      </w:r>
      <w:r w:rsidRPr="00737D8E">
        <w:fldChar w:fldCharType="separate"/>
      </w:r>
      <w:r w:rsidR="005007F1">
        <w:t>36</w:t>
      </w:r>
      <w:r w:rsidRPr="00737D8E">
        <w:fldChar w:fldCharType="end"/>
      </w:r>
    </w:p>
    <w:p w14:paraId="4FF7B751" w14:textId="53FEE2CB" w:rsidR="00C45F7B" w:rsidRPr="00737D8E" w:rsidRDefault="00C45F7B">
      <w:pPr>
        <w:pStyle w:val="TOC2"/>
        <w:rPr>
          <w:rFonts w:asciiTheme="minorHAnsi" w:eastAsiaTheme="minorEastAsia" w:hAnsiTheme="minorHAnsi" w:cstheme="minorBidi"/>
          <w:kern w:val="0"/>
          <w:sz w:val="22"/>
          <w:szCs w:val="28"/>
          <w:lang w:eastAsia="zh-CN" w:bidi="th-TH"/>
        </w:rPr>
      </w:pPr>
      <w:r w:rsidRPr="00737D8E">
        <w:t>Summary of the role of parliament in 2022-23</w:t>
      </w:r>
      <w:r w:rsidRPr="00737D8E">
        <w:tab/>
      </w:r>
      <w:r w:rsidRPr="00737D8E">
        <w:fldChar w:fldCharType="begin"/>
      </w:r>
      <w:r w:rsidRPr="00737D8E">
        <w:instrText xml:space="preserve"> PAGEREF _Toc148086918 \h </w:instrText>
      </w:r>
      <w:r w:rsidRPr="00737D8E">
        <w:fldChar w:fldCharType="separate"/>
      </w:r>
      <w:r w:rsidR="005007F1">
        <w:t>45</w:t>
      </w:r>
      <w:r w:rsidRPr="00737D8E">
        <w:fldChar w:fldCharType="end"/>
      </w:r>
    </w:p>
    <w:p w14:paraId="6D409110" w14:textId="27A7C5E9" w:rsidR="00C45F7B" w:rsidRPr="00737D8E" w:rsidRDefault="00C45F7B">
      <w:pPr>
        <w:pStyle w:val="TOC1"/>
        <w:rPr>
          <w:rFonts w:asciiTheme="minorHAnsi" w:eastAsiaTheme="minorEastAsia" w:hAnsiTheme="minorHAnsi" w:cstheme="minorBidi"/>
          <w:b w:val="0"/>
          <w:bCs w:val="0"/>
          <w:noProof/>
          <w:color w:val="000000" w:themeColor="text1"/>
          <w:sz w:val="22"/>
          <w:szCs w:val="28"/>
          <w:lang w:eastAsia="zh-CN" w:bidi="th-TH"/>
        </w:rPr>
      </w:pPr>
      <w:r w:rsidRPr="00737D8E">
        <w:rPr>
          <w:noProof/>
          <w:color w:val="000000" w:themeColor="text1"/>
        </w:rPr>
        <w:t>Human rights in courts and tribunals</w:t>
      </w:r>
      <w:r w:rsidRPr="00737D8E">
        <w:rPr>
          <w:noProof/>
          <w:color w:val="000000" w:themeColor="text1"/>
        </w:rPr>
        <w:tab/>
      </w:r>
      <w:r w:rsidRPr="00737D8E">
        <w:rPr>
          <w:noProof/>
          <w:color w:val="000000" w:themeColor="text1"/>
        </w:rPr>
        <w:fldChar w:fldCharType="begin"/>
      </w:r>
      <w:r w:rsidRPr="00737D8E">
        <w:rPr>
          <w:noProof/>
          <w:color w:val="000000" w:themeColor="text1"/>
        </w:rPr>
        <w:instrText xml:space="preserve"> PAGEREF _Toc148086919 \h </w:instrText>
      </w:r>
      <w:r w:rsidRPr="00737D8E">
        <w:rPr>
          <w:noProof/>
          <w:color w:val="000000" w:themeColor="text1"/>
        </w:rPr>
      </w:r>
      <w:r w:rsidRPr="00737D8E">
        <w:rPr>
          <w:noProof/>
          <w:color w:val="000000" w:themeColor="text1"/>
        </w:rPr>
        <w:fldChar w:fldCharType="separate"/>
      </w:r>
      <w:r w:rsidR="005007F1">
        <w:rPr>
          <w:noProof/>
          <w:color w:val="000000" w:themeColor="text1"/>
        </w:rPr>
        <w:t>47</w:t>
      </w:r>
      <w:r w:rsidRPr="00737D8E">
        <w:rPr>
          <w:noProof/>
          <w:color w:val="000000" w:themeColor="text1"/>
        </w:rPr>
        <w:fldChar w:fldCharType="end"/>
      </w:r>
    </w:p>
    <w:p w14:paraId="610A0F91" w14:textId="0B241A16" w:rsidR="00C45F7B" w:rsidRPr="00737D8E" w:rsidRDefault="00C45F7B">
      <w:pPr>
        <w:pStyle w:val="TOC2"/>
        <w:rPr>
          <w:rFonts w:asciiTheme="minorHAnsi" w:eastAsiaTheme="minorEastAsia" w:hAnsiTheme="minorHAnsi" w:cstheme="minorBidi"/>
          <w:kern w:val="0"/>
          <w:sz w:val="22"/>
          <w:szCs w:val="28"/>
          <w:lang w:eastAsia="zh-CN" w:bidi="th-TH"/>
        </w:rPr>
      </w:pPr>
      <w:r w:rsidRPr="00737D8E">
        <w:t>The role of courts and tribunals</w:t>
      </w:r>
      <w:r w:rsidRPr="00737D8E">
        <w:tab/>
      </w:r>
      <w:r w:rsidRPr="00737D8E">
        <w:fldChar w:fldCharType="begin"/>
      </w:r>
      <w:r w:rsidRPr="00737D8E">
        <w:instrText xml:space="preserve"> PAGEREF _Toc148086920 \h </w:instrText>
      </w:r>
      <w:r w:rsidRPr="00737D8E">
        <w:fldChar w:fldCharType="separate"/>
      </w:r>
      <w:r w:rsidR="005007F1">
        <w:t>48</w:t>
      </w:r>
      <w:r w:rsidRPr="00737D8E">
        <w:fldChar w:fldCharType="end"/>
      </w:r>
    </w:p>
    <w:p w14:paraId="0FE8864D" w14:textId="1DB74A3B" w:rsidR="00C45F7B" w:rsidRPr="00737D8E" w:rsidRDefault="00C45F7B">
      <w:pPr>
        <w:pStyle w:val="TOC2"/>
        <w:rPr>
          <w:rFonts w:asciiTheme="minorHAnsi" w:eastAsiaTheme="minorEastAsia" w:hAnsiTheme="minorHAnsi" w:cstheme="minorBidi"/>
          <w:kern w:val="0"/>
          <w:sz w:val="22"/>
          <w:szCs w:val="28"/>
          <w:lang w:eastAsia="zh-CN" w:bidi="th-TH"/>
        </w:rPr>
      </w:pPr>
      <w:r w:rsidRPr="00737D8E">
        <w:t>Key cases</w:t>
      </w:r>
      <w:r w:rsidRPr="00737D8E">
        <w:tab/>
      </w:r>
      <w:r w:rsidRPr="00737D8E">
        <w:fldChar w:fldCharType="begin"/>
      </w:r>
      <w:r w:rsidRPr="00737D8E">
        <w:instrText xml:space="preserve"> PAGEREF _Toc148086927 \h </w:instrText>
      </w:r>
      <w:r w:rsidRPr="00737D8E">
        <w:fldChar w:fldCharType="separate"/>
      </w:r>
      <w:r w:rsidR="005007F1">
        <w:t>53</w:t>
      </w:r>
      <w:r w:rsidRPr="00737D8E">
        <w:fldChar w:fldCharType="end"/>
      </w:r>
    </w:p>
    <w:p w14:paraId="63273A04" w14:textId="04E12318" w:rsidR="00C45F7B" w:rsidRPr="00737D8E" w:rsidRDefault="00C45F7B">
      <w:pPr>
        <w:pStyle w:val="TOC2"/>
        <w:rPr>
          <w:rFonts w:asciiTheme="minorHAnsi" w:eastAsiaTheme="minorEastAsia" w:hAnsiTheme="minorHAnsi" w:cstheme="minorBidi"/>
          <w:kern w:val="0"/>
          <w:sz w:val="22"/>
          <w:szCs w:val="28"/>
          <w:lang w:eastAsia="zh-CN" w:bidi="th-TH"/>
        </w:rPr>
      </w:pPr>
      <w:r w:rsidRPr="00737D8E">
        <w:t>Interventions</w:t>
      </w:r>
      <w:r w:rsidRPr="00737D8E">
        <w:tab/>
      </w:r>
      <w:r w:rsidRPr="00737D8E">
        <w:fldChar w:fldCharType="begin"/>
      </w:r>
      <w:r w:rsidRPr="00737D8E">
        <w:instrText xml:space="preserve"> PAGEREF _Toc148086932 \h </w:instrText>
      </w:r>
      <w:r w:rsidRPr="00737D8E">
        <w:fldChar w:fldCharType="separate"/>
      </w:r>
      <w:r w:rsidR="005007F1">
        <w:t>61</w:t>
      </w:r>
      <w:r w:rsidRPr="00737D8E">
        <w:fldChar w:fldCharType="end"/>
      </w:r>
    </w:p>
    <w:p w14:paraId="72191E2C" w14:textId="03F785EF" w:rsidR="00C45F7B" w:rsidRPr="00737D8E" w:rsidRDefault="00C45F7B">
      <w:pPr>
        <w:pStyle w:val="TOC2"/>
        <w:rPr>
          <w:rFonts w:asciiTheme="minorHAnsi" w:eastAsiaTheme="minorEastAsia" w:hAnsiTheme="minorHAnsi" w:cstheme="minorBidi"/>
          <w:kern w:val="0"/>
          <w:sz w:val="22"/>
          <w:szCs w:val="28"/>
          <w:lang w:eastAsia="zh-CN" w:bidi="th-TH"/>
        </w:rPr>
      </w:pPr>
      <w:r w:rsidRPr="00737D8E">
        <w:t>Summary of the role of courts and tribunals in 2022-23</w:t>
      </w:r>
      <w:r w:rsidRPr="00737D8E">
        <w:tab/>
      </w:r>
      <w:r w:rsidRPr="00737D8E">
        <w:fldChar w:fldCharType="begin"/>
      </w:r>
      <w:r w:rsidRPr="00737D8E">
        <w:instrText xml:space="preserve"> PAGEREF _Toc148086936 \h </w:instrText>
      </w:r>
      <w:r w:rsidRPr="00737D8E">
        <w:fldChar w:fldCharType="separate"/>
      </w:r>
      <w:r w:rsidR="005007F1">
        <w:t>63</w:t>
      </w:r>
      <w:r w:rsidRPr="00737D8E">
        <w:fldChar w:fldCharType="end"/>
      </w:r>
    </w:p>
    <w:p w14:paraId="48A77B7D" w14:textId="46348CFF" w:rsidR="00C45F7B" w:rsidRPr="00737D8E" w:rsidRDefault="00C45F7B">
      <w:pPr>
        <w:pStyle w:val="TOC1"/>
        <w:rPr>
          <w:rFonts w:asciiTheme="minorHAnsi" w:eastAsiaTheme="minorEastAsia" w:hAnsiTheme="minorHAnsi" w:cstheme="minorBidi"/>
          <w:b w:val="0"/>
          <w:bCs w:val="0"/>
          <w:noProof/>
          <w:color w:val="000000" w:themeColor="text1"/>
          <w:sz w:val="22"/>
          <w:szCs w:val="28"/>
          <w:lang w:eastAsia="zh-CN" w:bidi="th-TH"/>
        </w:rPr>
      </w:pPr>
      <w:r w:rsidRPr="00737D8E">
        <w:rPr>
          <w:noProof/>
          <w:color w:val="000000" w:themeColor="text1"/>
        </w:rPr>
        <w:t>Human rights and the public sector</w:t>
      </w:r>
      <w:r w:rsidRPr="00737D8E">
        <w:rPr>
          <w:noProof/>
          <w:color w:val="000000" w:themeColor="text1"/>
        </w:rPr>
        <w:tab/>
      </w:r>
      <w:r w:rsidRPr="00737D8E">
        <w:rPr>
          <w:noProof/>
          <w:color w:val="000000" w:themeColor="text1"/>
        </w:rPr>
        <w:fldChar w:fldCharType="begin"/>
      </w:r>
      <w:r w:rsidRPr="00737D8E">
        <w:rPr>
          <w:noProof/>
          <w:color w:val="000000" w:themeColor="text1"/>
        </w:rPr>
        <w:instrText xml:space="preserve"> PAGEREF _Toc148086937 \h </w:instrText>
      </w:r>
      <w:r w:rsidRPr="00737D8E">
        <w:rPr>
          <w:noProof/>
          <w:color w:val="000000" w:themeColor="text1"/>
        </w:rPr>
      </w:r>
      <w:r w:rsidRPr="00737D8E">
        <w:rPr>
          <w:noProof/>
          <w:color w:val="000000" w:themeColor="text1"/>
        </w:rPr>
        <w:fldChar w:fldCharType="separate"/>
      </w:r>
      <w:r w:rsidR="005007F1">
        <w:rPr>
          <w:noProof/>
          <w:color w:val="000000" w:themeColor="text1"/>
        </w:rPr>
        <w:t>65</w:t>
      </w:r>
      <w:r w:rsidRPr="00737D8E">
        <w:rPr>
          <w:noProof/>
          <w:color w:val="000000" w:themeColor="text1"/>
        </w:rPr>
        <w:fldChar w:fldCharType="end"/>
      </w:r>
    </w:p>
    <w:p w14:paraId="5C394DD7" w14:textId="6F9B76A3" w:rsidR="00C45F7B" w:rsidRPr="00737D8E" w:rsidRDefault="00C45F7B">
      <w:pPr>
        <w:pStyle w:val="TOC2"/>
        <w:rPr>
          <w:rFonts w:asciiTheme="minorHAnsi" w:eastAsiaTheme="minorEastAsia" w:hAnsiTheme="minorHAnsi" w:cstheme="minorBidi"/>
          <w:kern w:val="0"/>
          <w:sz w:val="22"/>
          <w:szCs w:val="28"/>
          <w:lang w:eastAsia="zh-CN" w:bidi="th-TH"/>
        </w:rPr>
      </w:pPr>
      <w:r w:rsidRPr="00737D8E">
        <w:t>Obligations on public entities</w:t>
      </w:r>
      <w:r w:rsidRPr="00737D8E">
        <w:tab/>
      </w:r>
      <w:r w:rsidRPr="00737D8E">
        <w:fldChar w:fldCharType="begin"/>
      </w:r>
      <w:r w:rsidRPr="00737D8E">
        <w:instrText xml:space="preserve"> PAGEREF _Toc148086938 \h </w:instrText>
      </w:r>
      <w:r w:rsidRPr="00737D8E">
        <w:fldChar w:fldCharType="separate"/>
      </w:r>
      <w:r w:rsidR="005007F1">
        <w:t>66</w:t>
      </w:r>
      <w:r w:rsidRPr="00737D8E">
        <w:fldChar w:fldCharType="end"/>
      </w:r>
    </w:p>
    <w:p w14:paraId="1D6C0C5F" w14:textId="745698F7" w:rsidR="00C45F7B" w:rsidRPr="00737D8E" w:rsidRDefault="00C45F7B">
      <w:pPr>
        <w:pStyle w:val="TOC2"/>
        <w:rPr>
          <w:rFonts w:asciiTheme="minorHAnsi" w:eastAsiaTheme="minorEastAsia" w:hAnsiTheme="minorHAnsi" w:cstheme="minorBidi"/>
          <w:kern w:val="0"/>
          <w:sz w:val="22"/>
          <w:szCs w:val="28"/>
          <w:lang w:eastAsia="zh-CN" w:bidi="th-TH"/>
        </w:rPr>
      </w:pPr>
      <w:r w:rsidRPr="00737D8E">
        <w:t>Developing a human rights culture</w:t>
      </w:r>
      <w:r w:rsidRPr="00737D8E">
        <w:tab/>
      </w:r>
      <w:r w:rsidRPr="00737D8E">
        <w:fldChar w:fldCharType="begin"/>
      </w:r>
      <w:r w:rsidRPr="00737D8E">
        <w:instrText xml:space="preserve"> PAGEREF _Toc148086939 \h </w:instrText>
      </w:r>
      <w:r w:rsidRPr="00737D8E">
        <w:fldChar w:fldCharType="separate"/>
      </w:r>
      <w:r w:rsidR="005007F1">
        <w:t>66</w:t>
      </w:r>
      <w:r w:rsidRPr="00737D8E">
        <w:fldChar w:fldCharType="end"/>
      </w:r>
    </w:p>
    <w:p w14:paraId="4785AACE" w14:textId="178A2B92" w:rsidR="00C45F7B" w:rsidRPr="00737D8E" w:rsidRDefault="00C45F7B">
      <w:pPr>
        <w:pStyle w:val="TOC2"/>
        <w:rPr>
          <w:rFonts w:asciiTheme="minorHAnsi" w:eastAsiaTheme="minorEastAsia" w:hAnsiTheme="minorHAnsi" w:cstheme="minorBidi"/>
          <w:kern w:val="0"/>
          <w:sz w:val="22"/>
          <w:szCs w:val="28"/>
          <w:lang w:eastAsia="zh-CN" w:bidi="th-TH"/>
        </w:rPr>
      </w:pPr>
      <w:r w:rsidRPr="00737D8E">
        <w:t>Indicators of a human rights culture</w:t>
      </w:r>
      <w:r w:rsidRPr="00737D8E">
        <w:tab/>
      </w:r>
      <w:r w:rsidRPr="00737D8E">
        <w:fldChar w:fldCharType="begin"/>
      </w:r>
      <w:r w:rsidRPr="00737D8E">
        <w:instrText xml:space="preserve"> PAGEREF _Toc148086941 \h </w:instrText>
      </w:r>
      <w:r w:rsidRPr="00737D8E">
        <w:fldChar w:fldCharType="separate"/>
      </w:r>
      <w:r w:rsidR="005007F1">
        <w:t>67</w:t>
      </w:r>
      <w:r w:rsidRPr="00737D8E">
        <w:fldChar w:fldCharType="end"/>
      </w:r>
    </w:p>
    <w:p w14:paraId="6DF6762D" w14:textId="2CA0AC95" w:rsidR="00C45F7B" w:rsidRPr="00737D8E" w:rsidRDefault="00C45F7B">
      <w:pPr>
        <w:pStyle w:val="TOC2"/>
        <w:rPr>
          <w:rFonts w:asciiTheme="minorHAnsi" w:eastAsiaTheme="minorEastAsia" w:hAnsiTheme="minorHAnsi" w:cstheme="minorBidi"/>
          <w:kern w:val="0"/>
          <w:sz w:val="22"/>
          <w:szCs w:val="28"/>
          <w:lang w:eastAsia="zh-CN" w:bidi="th-TH"/>
        </w:rPr>
      </w:pPr>
      <w:r w:rsidRPr="00737D8E">
        <w:t>State public entities</w:t>
      </w:r>
      <w:r w:rsidRPr="00737D8E">
        <w:tab/>
      </w:r>
      <w:r w:rsidRPr="00737D8E">
        <w:fldChar w:fldCharType="begin"/>
      </w:r>
      <w:r w:rsidRPr="00737D8E">
        <w:instrText xml:space="preserve"> PAGEREF _Toc148086942 \h </w:instrText>
      </w:r>
      <w:r w:rsidRPr="00737D8E">
        <w:fldChar w:fldCharType="separate"/>
      </w:r>
      <w:r w:rsidR="005007F1">
        <w:t>68</w:t>
      </w:r>
      <w:r w:rsidRPr="00737D8E">
        <w:fldChar w:fldCharType="end"/>
      </w:r>
    </w:p>
    <w:p w14:paraId="6A64D7F1" w14:textId="28FBEC9C" w:rsidR="00C45F7B" w:rsidRPr="00737D8E" w:rsidRDefault="00C45F7B">
      <w:pPr>
        <w:pStyle w:val="TOC2"/>
        <w:rPr>
          <w:rFonts w:asciiTheme="minorHAnsi" w:eastAsiaTheme="minorEastAsia" w:hAnsiTheme="minorHAnsi" w:cstheme="minorBidi"/>
          <w:kern w:val="0"/>
          <w:sz w:val="22"/>
          <w:szCs w:val="28"/>
          <w:lang w:eastAsia="zh-CN" w:bidi="th-TH"/>
        </w:rPr>
      </w:pPr>
      <w:r w:rsidRPr="00737D8E">
        <w:t>Local government public entities</w:t>
      </w:r>
      <w:r w:rsidRPr="00737D8E">
        <w:tab/>
      </w:r>
      <w:r w:rsidRPr="00737D8E">
        <w:fldChar w:fldCharType="begin"/>
      </w:r>
      <w:r w:rsidRPr="00737D8E">
        <w:instrText xml:space="preserve"> PAGEREF _Toc148086950 \h </w:instrText>
      </w:r>
      <w:r w:rsidRPr="00737D8E">
        <w:fldChar w:fldCharType="separate"/>
      </w:r>
      <w:r w:rsidR="005007F1">
        <w:t>78</w:t>
      </w:r>
      <w:r w:rsidRPr="00737D8E">
        <w:fldChar w:fldCharType="end"/>
      </w:r>
    </w:p>
    <w:p w14:paraId="530554EE" w14:textId="138118B6" w:rsidR="00C45F7B" w:rsidRPr="00737D8E" w:rsidRDefault="00C45F7B">
      <w:pPr>
        <w:pStyle w:val="TOC2"/>
        <w:rPr>
          <w:rFonts w:asciiTheme="minorHAnsi" w:eastAsiaTheme="minorEastAsia" w:hAnsiTheme="minorHAnsi" w:cstheme="minorBidi"/>
          <w:kern w:val="0"/>
          <w:sz w:val="22"/>
          <w:szCs w:val="28"/>
          <w:lang w:eastAsia="zh-CN" w:bidi="th-TH"/>
        </w:rPr>
      </w:pPr>
      <w:r w:rsidRPr="00737D8E">
        <w:t>Human rights leadership</w:t>
      </w:r>
      <w:r w:rsidRPr="00737D8E">
        <w:tab/>
      </w:r>
      <w:r w:rsidRPr="00737D8E">
        <w:fldChar w:fldCharType="begin"/>
      </w:r>
      <w:r w:rsidRPr="00737D8E">
        <w:instrText xml:space="preserve"> PAGEREF _Toc148086958 \h </w:instrText>
      </w:r>
      <w:r w:rsidRPr="00737D8E">
        <w:fldChar w:fldCharType="separate"/>
      </w:r>
      <w:r w:rsidR="005007F1">
        <w:t>87</w:t>
      </w:r>
      <w:r w:rsidRPr="00737D8E">
        <w:fldChar w:fldCharType="end"/>
      </w:r>
    </w:p>
    <w:p w14:paraId="4C6CA3C0" w14:textId="6D45D650" w:rsidR="00C45F7B" w:rsidRPr="00737D8E" w:rsidRDefault="00C45F7B">
      <w:pPr>
        <w:pStyle w:val="TOC2"/>
        <w:rPr>
          <w:rFonts w:asciiTheme="minorHAnsi" w:eastAsiaTheme="minorEastAsia" w:hAnsiTheme="minorHAnsi" w:cstheme="minorBidi"/>
          <w:kern w:val="0"/>
          <w:sz w:val="22"/>
          <w:szCs w:val="28"/>
          <w:lang w:eastAsia="zh-CN" w:bidi="th-TH"/>
        </w:rPr>
      </w:pPr>
      <w:r w:rsidRPr="00737D8E">
        <w:t>Progress towards a human rights culture in government and councils</w:t>
      </w:r>
      <w:r w:rsidRPr="00737D8E">
        <w:tab/>
      </w:r>
      <w:r w:rsidRPr="00737D8E">
        <w:fldChar w:fldCharType="begin"/>
      </w:r>
      <w:r w:rsidRPr="00737D8E">
        <w:instrText xml:space="preserve"> PAGEREF _Toc148086964 \h </w:instrText>
      </w:r>
      <w:r w:rsidRPr="00737D8E">
        <w:fldChar w:fldCharType="separate"/>
      </w:r>
      <w:r w:rsidR="005007F1">
        <w:t>89</w:t>
      </w:r>
      <w:r w:rsidRPr="00737D8E">
        <w:fldChar w:fldCharType="end"/>
      </w:r>
    </w:p>
    <w:p w14:paraId="2D231847" w14:textId="2B6CA9F8" w:rsidR="00C45F7B" w:rsidRPr="00737D8E" w:rsidRDefault="00C45F7B">
      <w:pPr>
        <w:pStyle w:val="TOC2"/>
        <w:rPr>
          <w:rFonts w:asciiTheme="minorHAnsi" w:eastAsiaTheme="minorEastAsia" w:hAnsiTheme="minorHAnsi" w:cstheme="minorBidi"/>
          <w:kern w:val="0"/>
          <w:sz w:val="22"/>
          <w:szCs w:val="28"/>
          <w:lang w:eastAsia="zh-CN" w:bidi="th-TH"/>
        </w:rPr>
      </w:pPr>
      <w:r w:rsidRPr="00737D8E">
        <w:t>Functional public entities</w:t>
      </w:r>
      <w:r w:rsidRPr="00737D8E">
        <w:tab/>
      </w:r>
      <w:r w:rsidRPr="00737D8E">
        <w:fldChar w:fldCharType="begin"/>
      </w:r>
      <w:r w:rsidRPr="00737D8E">
        <w:instrText xml:space="preserve"> PAGEREF _Toc148086967 \h </w:instrText>
      </w:r>
      <w:r w:rsidRPr="00737D8E">
        <w:fldChar w:fldCharType="separate"/>
      </w:r>
      <w:r w:rsidR="005007F1">
        <w:t>91</w:t>
      </w:r>
      <w:r w:rsidRPr="00737D8E">
        <w:fldChar w:fldCharType="end"/>
      </w:r>
    </w:p>
    <w:p w14:paraId="3667200E" w14:textId="4EE6A163" w:rsidR="00C45F7B" w:rsidRPr="00737D8E" w:rsidRDefault="00C45F7B">
      <w:pPr>
        <w:pStyle w:val="TOC1"/>
        <w:rPr>
          <w:rFonts w:asciiTheme="minorHAnsi" w:eastAsiaTheme="minorEastAsia" w:hAnsiTheme="minorHAnsi" w:cstheme="minorBidi"/>
          <w:b w:val="0"/>
          <w:bCs w:val="0"/>
          <w:noProof/>
          <w:color w:val="000000" w:themeColor="text1"/>
          <w:sz w:val="22"/>
          <w:szCs w:val="28"/>
          <w:lang w:eastAsia="zh-CN" w:bidi="th-TH"/>
        </w:rPr>
      </w:pPr>
      <w:r w:rsidRPr="00737D8E">
        <w:rPr>
          <w:noProof/>
          <w:color w:val="000000" w:themeColor="text1"/>
        </w:rPr>
        <w:t>Human rights complaints</w:t>
      </w:r>
      <w:r w:rsidRPr="00737D8E">
        <w:rPr>
          <w:noProof/>
          <w:color w:val="000000" w:themeColor="text1"/>
        </w:rPr>
        <w:tab/>
      </w:r>
      <w:r w:rsidRPr="00737D8E">
        <w:rPr>
          <w:noProof/>
          <w:color w:val="000000" w:themeColor="text1"/>
        </w:rPr>
        <w:fldChar w:fldCharType="begin"/>
      </w:r>
      <w:r w:rsidRPr="00737D8E">
        <w:rPr>
          <w:noProof/>
          <w:color w:val="000000" w:themeColor="text1"/>
        </w:rPr>
        <w:instrText xml:space="preserve"> PAGEREF _Toc148086968 \h </w:instrText>
      </w:r>
      <w:r w:rsidRPr="00737D8E">
        <w:rPr>
          <w:noProof/>
          <w:color w:val="000000" w:themeColor="text1"/>
        </w:rPr>
      </w:r>
      <w:r w:rsidRPr="00737D8E">
        <w:rPr>
          <w:noProof/>
          <w:color w:val="000000" w:themeColor="text1"/>
        </w:rPr>
        <w:fldChar w:fldCharType="separate"/>
      </w:r>
      <w:r w:rsidR="005007F1">
        <w:rPr>
          <w:noProof/>
          <w:color w:val="000000" w:themeColor="text1"/>
        </w:rPr>
        <w:t>93</w:t>
      </w:r>
      <w:r w:rsidRPr="00737D8E">
        <w:rPr>
          <w:noProof/>
          <w:color w:val="000000" w:themeColor="text1"/>
        </w:rPr>
        <w:fldChar w:fldCharType="end"/>
      </w:r>
    </w:p>
    <w:p w14:paraId="2D457EC5" w14:textId="6728A361" w:rsidR="00C45F7B" w:rsidRPr="00737D8E" w:rsidRDefault="00C45F7B">
      <w:pPr>
        <w:pStyle w:val="TOC2"/>
        <w:rPr>
          <w:rFonts w:asciiTheme="minorHAnsi" w:eastAsiaTheme="minorEastAsia" w:hAnsiTheme="minorHAnsi" w:cstheme="minorBidi"/>
          <w:kern w:val="0"/>
          <w:sz w:val="22"/>
          <w:szCs w:val="28"/>
          <w:lang w:eastAsia="zh-CN" w:bidi="th-TH"/>
        </w:rPr>
      </w:pPr>
      <w:r w:rsidRPr="00737D8E">
        <w:t>About human rights complaints</w:t>
      </w:r>
      <w:r w:rsidRPr="00737D8E">
        <w:tab/>
      </w:r>
      <w:r w:rsidRPr="00737D8E">
        <w:fldChar w:fldCharType="begin"/>
      </w:r>
      <w:r w:rsidRPr="00737D8E">
        <w:instrText xml:space="preserve"> PAGEREF _Toc148086969 \h </w:instrText>
      </w:r>
      <w:r w:rsidRPr="00737D8E">
        <w:fldChar w:fldCharType="separate"/>
      </w:r>
      <w:r w:rsidR="005007F1">
        <w:t>94</w:t>
      </w:r>
      <w:r w:rsidRPr="00737D8E">
        <w:fldChar w:fldCharType="end"/>
      </w:r>
    </w:p>
    <w:p w14:paraId="5E1D228F" w14:textId="24A863BA" w:rsidR="00C45F7B" w:rsidRPr="00737D8E" w:rsidRDefault="00C45F7B">
      <w:pPr>
        <w:pStyle w:val="TOC2"/>
        <w:rPr>
          <w:rFonts w:asciiTheme="minorHAnsi" w:eastAsiaTheme="minorEastAsia" w:hAnsiTheme="minorHAnsi" w:cstheme="minorBidi"/>
          <w:kern w:val="0"/>
          <w:sz w:val="22"/>
          <w:szCs w:val="28"/>
          <w:lang w:eastAsia="zh-CN" w:bidi="th-TH"/>
        </w:rPr>
      </w:pPr>
      <w:r w:rsidRPr="00737D8E">
        <w:t>Complaints made directly to public entities</w:t>
      </w:r>
      <w:r w:rsidRPr="00737D8E">
        <w:tab/>
      </w:r>
      <w:r w:rsidRPr="00737D8E">
        <w:fldChar w:fldCharType="begin"/>
      </w:r>
      <w:r w:rsidRPr="00737D8E">
        <w:instrText xml:space="preserve"> PAGEREF _Toc148086970 \h </w:instrText>
      </w:r>
      <w:r w:rsidRPr="00737D8E">
        <w:fldChar w:fldCharType="separate"/>
      </w:r>
      <w:r w:rsidR="005007F1">
        <w:t>94</w:t>
      </w:r>
      <w:r w:rsidRPr="00737D8E">
        <w:fldChar w:fldCharType="end"/>
      </w:r>
    </w:p>
    <w:p w14:paraId="1EC39D5F" w14:textId="76D08A2C" w:rsidR="00C45F7B" w:rsidRPr="00737D8E" w:rsidRDefault="00C45F7B">
      <w:pPr>
        <w:pStyle w:val="TOC2"/>
        <w:rPr>
          <w:rFonts w:asciiTheme="minorHAnsi" w:eastAsiaTheme="minorEastAsia" w:hAnsiTheme="minorHAnsi" w:cstheme="minorBidi"/>
          <w:kern w:val="0"/>
          <w:sz w:val="22"/>
          <w:szCs w:val="28"/>
          <w:lang w:eastAsia="zh-CN" w:bidi="th-TH"/>
        </w:rPr>
      </w:pPr>
      <w:r w:rsidRPr="00737D8E">
        <w:t>Complaints made to the Commission</w:t>
      </w:r>
      <w:r w:rsidRPr="00737D8E">
        <w:tab/>
      </w:r>
      <w:r w:rsidRPr="00737D8E">
        <w:fldChar w:fldCharType="begin"/>
      </w:r>
      <w:r w:rsidRPr="00737D8E">
        <w:instrText xml:space="preserve"> PAGEREF _Toc148086971 \h </w:instrText>
      </w:r>
      <w:r w:rsidRPr="00737D8E">
        <w:fldChar w:fldCharType="separate"/>
      </w:r>
      <w:r w:rsidR="005007F1">
        <w:t>98</w:t>
      </w:r>
      <w:r w:rsidRPr="00737D8E">
        <w:fldChar w:fldCharType="end"/>
      </w:r>
    </w:p>
    <w:p w14:paraId="2908F67F" w14:textId="0E6F200D" w:rsidR="00C45F7B" w:rsidRPr="00737D8E" w:rsidRDefault="00C45F7B" w:rsidP="00701FA9">
      <w:pPr>
        <w:pStyle w:val="TOC2"/>
        <w:rPr>
          <w:rFonts w:asciiTheme="minorHAnsi" w:eastAsiaTheme="minorEastAsia" w:hAnsiTheme="minorHAnsi" w:cstheme="minorBidi"/>
          <w:sz w:val="22"/>
          <w:szCs w:val="28"/>
          <w:lang w:eastAsia="zh-CN" w:bidi="th-TH"/>
        </w:rPr>
      </w:pPr>
      <w:r w:rsidRPr="00701FA9">
        <w:t>Complaints to other agencies</w:t>
      </w:r>
      <w:r w:rsidRPr="00701FA9">
        <w:tab/>
      </w:r>
      <w:r w:rsidRPr="00737D8E">
        <w:fldChar w:fldCharType="begin"/>
      </w:r>
      <w:r w:rsidRPr="00737D8E">
        <w:instrText xml:space="preserve"> PAGEREF _Toc148086983 \h </w:instrText>
      </w:r>
      <w:r w:rsidRPr="00737D8E">
        <w:fldChar w:fldCharType="separate"/>
      </w:r>
      <w:r w:rsidR="005007F1">
        <w:t>120</w:t>
      </w:r>
      <w:r w:rsidRPr="00737D8E">
        <w:fldChar w:fldCharType="end"/>
      </w:r>
    </w:p>
    <w:p w14:paraId="57E52394" w14:textId="5D077765" w:rsidR="00C45F7B" w:rsidRPr="00737D8E" w:rsidRDefault="00C45F7B">
      <w:pPr>
        <w:pStyle w:val="TOC2"/>
        <w:rPr>
          <w:rFonts w:asciiTheme="minorHAnsi" w:eastAsiaTheme="minorEastAsia" w:hAnsiTheme="minorHAnsi" w:cstheme="minorBidi"/>
          <w:kern w:val="0"/>
          <w:sz w:val="22"/>
          <w:szCs w:val="28"/>
          <w:lang w:eastAsia="zh-CN" w:bidi="th-TH"/>
        </w:rPr>
      </w:pPr>
      <w:r w:rsidRPr="00737D8E">
        <w:t>Resolved complaint case studies</w:t>
      </w:r>
      <w:r w:rsidRPr="00737D8E">
        <w:tab/>
      </w:r>
      <w:r w:rsidRPr="00737D8E">
        <w:fldChar w:fldCharType="begin"/>
      </w:r>
      <w:r w:rsidRPr="00737D8E">
        <w:instrText xml:space="preserve"> PAGEREF _Toc148086984 \h </w:instrText>
      </w:r>
      <w:r w:rsidRPr="00737D8E">
        <w:fldChar w:fldCharType="separate"/>
      </w:r>
      <w:r w:rsidR="005007F1">
        <w:t>112</w:t>
      </w:r>
      <w:r w:rsidRPr="00737D8E">
        <w:fldChar w:fldCharType="end"/>
      </w:r>
    </w:p>
    <w:p w14:paraId="1C3592A5" w14:textId="747376AB" w:rsidR="00C45F7B" w:rsidRPr="00737D8E" w:rsidRDefault="00C45F7B">
      <w:pPr>
        <w:pStyle w:val="TOC2"/>
        <w:rPr>
          <w:rFonts w:asciiTheme="minorHAnsi" w:eastAsiaTheme="minorEastAsia" w:hAnsiTheme="minorHAnsi" w:cstheme="minorBidi"/>
          <w:kern w:val="0"/>
          <w:sz w:val="22"/>
          <w:szCs w:val="28"/>
          <w:lang w:eastAsia="zh-CN" w:bidi="th-TH"/>
        </w:rPr>
      </w:pPr>
      <w:r w:rsidRPr="00737D8E">
        <w:t>Unresolved complaints with recommendations</w:t>
      </w:r>
      <w:r w:rsidRPr="00737D8E">
        <w:tab/>
      </w:r>
      <w:r w:rsidRPr="00737D8E">
        <w:fldChar w:fldCharType="begin"/>
      </w:r>
      <w:r w:rsidRPr="00737D8E">
        <w:instrText xml:space="preserve"> PAGEREF _Toc148086992 \h </w:instrText>
      </w:r>
      <w:r w:rsidRPr="00737D8E">
        <w:fldChar w:fldCharType="separate"/>
      </w:r>
      <w:r w:rsidR="005007F1">
        <w:t>118</w:t>
      </w:r>
      <w:r w:rsidRPr="00737D8E">
        <w:fldChar w:fldCharType="end"/>
      </w:r>
    </w:p>
    <w:p w14:paraId="4A3A8A29" w14:textId="68095D08" w:rsidR="00C45F7B" w:rsidRPr="00737D8E" w:rsidRDefault="00C45F7B">
      <w:pPr>
        <w:pStyle w:val="TOC1"/>
        <w:rPr>
          <w:rFonts w:asciiTheme="minorHAnsi" w:eastAsiaTheme="minorEastAsia" w:hAnsiTheme="minorHAnsi" w:cstheme="minorBidi"/>
          <w:b w:val="0"/>
          <w:bCs w:val="0"/>
          <w:noProof/>
          <w:color w:val="000000" w:themeColor="text1"/>
          <w:sz w:val="22"/>
          <w:szCs w:val="28"/>
          <w:lang w:eastAsia="zh-CN" w:bidi="th-TH"/>
        </w:rPr>
      </w:pPr>
      <w:r w:rsidRPr="00737D8E">
        <w:rPr>
          <w:noProof/>
          <w:color w:val="000000" w:themeColor="text1"/>
        </w:rPr>
        <w:lastRenderedPageBreak/>
        <w:t>Human rights in the community</w:t>
      </w:r>
      <w:r w:rsidRPr="00737D8E">
        <w:rPr>
          <w:noProof/>
          <w:color w:val="000000" w:themeColor="text1"/>
        </w:rPr>
        <w:tab/>
      </w:r>
      <w:r w:rsidRPr="00737D8E">
        <w:rPr>
          <w:noProof/>
          <w:color w:val="000000" w:themeColor="text1"/>
        </w:rPr>
        <w:fldChar w:fldCharType="begin"/>
      </w:r>
      <w:r w:rsidRPr="00737D8E">
        <w:rPr>
          <w:noProof/>
          <w:color w:val="000000" w:themeColor="text1"/>
        </w:rPr>
        <w:instrText xml:space="preserve"> PAGEREF _Toc148086995 \h </w:instrText>
      </w:r>
      <w:r w:rsidRPr="00737D8E">
        <w:rPr>
          <w:noProof/>
          <w:color w:val="000000" w:themeColor="text1"/>
        </w:rPr>
      </w:r>
      <w:r w:rsidRPr="00737D8E">
        <w:rPr>
          <w:noProof/>
          <w:color w:val="000000" w:themeColor="text1"/>
        </w:rPr>
        <w:fldChar w:fldCharType="separate"/>
      </w:r>
      <w:r w:rsidR="005007F1">
        <w:rPr>
          <w:noProof/>
          <w:color w:val="000000" w:themeColor="text1"/>
        </w:rPr>
        <w:t>121</w:t>
      </w:r>
      <w:r w:rsidRPr="00737D8E">
        <w:rPr>
          <w:noProof/>
          <w:color w:val="000000" w:themeColor="text1"/>
        </w:rPr>
        <w:fldChar w:fldCharType="end"/>
      </w:r>
    </w:p>
    <w:p w14:paraId="3A328973" w14:textId="0697F24E" w:rsidR="00C45F7B" w:rsidRPr="00737D8E" w:rsidRDefault="00C45F7B">
      <w:pPr>
        <w:pStyle w:val="TOC1"/>
        <w:rPr>
          <w:rFonts w:asciiTheme="minorHAnsi" w:eastAsiaTheme="minorEastAsia" w:hAnsiTheme="minorHAnsi" w:cstheme="minorBidi"/>
          <w:b w:val="0"/>
          <w:bCs w:val="0"/>
          <w:noProof/>
          <w:color w:val="000000" w:themeColor="text1"/>
          <w:sz w:val="22"/>
          <w:szCs w:val="28"/>
          <w:lang w:eastAsia="zh-CN" w:bidi="th-TH"/>
        </w:rPr>
      </w:pPr>
      <w:r w:rsidRPr="00737D8E">
        <w:rPr>
          <w:noProof/>
          <w:color w:val="000000" w:themeColor="text1"/>
        </w:rPr>
        <w:t>Appendices</w:t>
      </w:r>
      <w:r w:rsidRPr="00737D8E">
        <w:rPr>
          <w:noProof/>
          <w:color w:val="000000" w:themeColor="text1"/>
        </w:rPr>
        <w:tab/>
      </w:r>
      <w:r w:rsidRPr="00737D8E">
        <w:rPr>
          <w:noProof/>
          <w:color w:val="000000" w:themeColor="text1"/>
        </w:rPr>
        <w:fldChar w:fldCharType="begin"/>
      </w:r>
      <w:r w:rsidRPr="00737D8E">
        <w:rPr>
          <w:noProof/>
          <w:color w:val="000000" w:themeColor="text1"/>
        </w:rPr>
        <w:instrText xml:space="preserve"> PAGEREF _Toc148087003 \h </w:instrText>
      </w:r>
      <w:r w:rsidRPr="00737D8E">
        <w:rPr>
          <w:noProof/>
          <w:color w:val="000000" w:themeColor="text1"/>
        </w:rPr>
      </w:r>
      <w:r w:rsidRPr="00737D8E">
        <w:rPr>
          <w:noProof/>
          <w:color w:val="000000" w:themeColor="text1"/>
        </w:rPr>
        <w:fldChar w:fldCharType="separate"/>
      </w:r>
      <w:r w:rsidR="005007F1">
        <w:rPr>
          <w:noProof/>
          <w:color w:val="000000" w:themeColor="text1"/>
        </w:rPr>
        <w:t>126</w:t>
      </w:r>
      <w:r w:rsidRPr="00737D8E">
        <w:rPr>
          <w:noProof/>
          <w:color w:val="000000" w:themeColor="text1"/>
        </w:rPr>
        <w:fldChar w:fldCharType="end"/>
      </w:r>
    </w:p>
    <w:p w14:paraId="3FCFD8F8" w14:textId="7ADC144B" w:rsidR="00C45F7B" w:rsidRPr="00737D8E" w:rsidRDefault="00C45F7B">
      <w:pPr>
        <w:pStyle w:val="TOC2"/>
        <w:rPr>
          <w:rFonts w:asciiTheme="minorHAnsi" w:eastAsiaTheme="minorEastAsia" w:hAnsiTheme="minorHAnsi" w:cstheme="minorBidi"/>
          <w:kern w:val="0"/>
          <w:sz w:val="22"/>
          <w:szCs w:val="28"/>
          <w:lang w:eastAsia="zh-CN" w:bidi="th-TH"/>
        </w:rPr>
      </w:pPr>
      <w:r w:rsidRPr="00737D8E">
        <w:t>Appendix A: Courts and tribunals</w:t>
      </w:r>
      <w:r w:rsidRPr="00737D8E">
        <w:tab/>
      </w:r>
      <w:r w:rsidRPr="00737D8E">
        <w:fldChar w:fldCharType="begin"/>
      </w:r>
      <w:r w:rsidRPr="00737D8E">
        <w:instrText xml:space="preserve"> PAGEREF _Toc148087004 \h </w:instrText>
      </w:r>
      <w:r w:rsidRPr="00737D8E">
        <w:fldChar w:fldCharType="separate"/>
      </w:r>
      <w:r w:rsidR="005007F1">
        <w:t>127</w:t>
      </w:r>
      <w:r w:rsidRPr="00737D8E">
        <w:fldChar w:fldCharType="end"/>
      </w:r>
    </w:p>
    <w:p w14:paraId="23C373EB" w14:textId="65F4F3B4" w:rsidR="00C45F7B" w:rsidRPr="00737D8E" w:rsidRDefault="00C45F7B">
      <w:pPr>
        <w:pStyle w:val="TOC2"/>
        <w:rPr>
          <w:rFonts w:asciiTheme="minorHAnsi" w:eastAsiaTheme="minorEastAsia" w:hAnsiTheme="minorHAnsi" w:cstheme="minorBidi"/>
          <w:kern w:val="0"/>
          <w:sz w:val="22"/>
          <w:szCs w:val="28"/>
          <w:lang w:eastAsia="zh-CN" w:bidi="th-TH"/>
        </w:rPr>
      </w:pPr>
      <w:r w:rsidRPr="00737D8E">
        <w:t>Appendix B: Human rights indicators</w:t>
      </w:r>
      <w:r w:rsidRPr="00737D8E">
        <w:tab/>
      </w:r>
      <w:r w:rsidRPr="00737D8E">
        <w:fldChar w:fldCharType="begin"/>
      </w:r>
      <w:r w:rsidRPr="00737D8E">
        <w:instrText xml:space="preserve"> PAGEREF _Toc148087005 \h </w:instrText>
      </w:r>
      <w:r w:rsidRPr="00737D8E">
        <w:fldChar w:fldCharType="separate"/>
      </w:r>
      <w:r w:rsidR="005007F1">
        <w:t>130</w:t>
      </w:r>
      <w:r w:rsidRPr="00737D8E">
        <w:fldChar w:fldCharType="end"/>
      </w:r>
    </w:p>
    <w:p w14:paraId="3AE8D993" w14:textId="1511AA2B" w:rsidR="00C45F7B" w:rsidRPr="00737D8E" w:rsidRDefault="00C45F7B">
      <w:pPr>
        <w:pStyle w:val="TOC2"/>
        <w:rPr>
          <w:rFonts w:asciiTheme="minorHAnsi" w:eastAsiaTheme="minorEastAsia" w:hAnsiTheme="minorHAnsi" w:cstheme="minorBidi"/>
          <w:kern w:val="0"/>
          <w:sz w:val="22"/>
          <w:szCs w:val="28"/>
          <w:lang w:eastAsia="zh-CN" w:bidi="th-TH"/>
        </w:rPr>
      </w:pPr>
      <w:r w:rsidRPr="00737D8E">
        <w:t>Appendix C: Complaints data tables</w:t>
      </w:r>
      <w:r w:rsidRPr="00737D8E">
        <w:tab/>
      </w:r>
      <w:r w:rsidRPr="00737D8E">
        <w:fldChar w:fldCharType="begin"/>
      </w:r>
      <w:r w:rsidRPr="00737D8E">
        <w:instrText xml:space="preserve"> PAGEREF _Toc148087008 \h </w:instrText>
      </w:r>
      <w:r w:rsidRPr="00737D8E">
        <w:fldChar w:fldCharType="separate"/>
      </w:r>
      <w:r w:rsidR="005007F1">
        <w:t>134</w:t>
      </w:r>
      <w:r w:rsidRPr="00737D8E">
        <w:fldChar w:fldCharType="end"/>
      </w:r>
    </w:p>
    <w:p w14:paraId="11EFA157" w14:textId="3367ECD1" w:rsidR="00C45F7B" w:rsidRPr="00737D8E" w:rsidRDefault="00C45F7B">
      <w:pPr>
        <w:pStyle w:val="TOC2"/>
        <w:rPr>
          <w:rFonts w:asciiTheme="minorHAnsi" w:eastAsiaTheme="minorEastAsia" w:hAnsiTheme="minorHAnsi" w:cstheme="minorBidi"/>
          <w:kern w:val="0"/>
          <w:sz w:val="22"/>
          <w:szCs w:val="28"/>
          <w:lang w:eastAsia="zh-CN" w:bidi="th-TH"/>
        </w:rPr>
      </w:pPr>
      <w:r w:rsidRPr="00737D8E">
        <w:t>Appendix D: Human rights timeline 2022-23</w:t>
      </w:r>
      <w:r w:rsidRPr="00737D8E">
        <w:tab/>
      </w:r>
      <w:r w:rsidRPr="00737D8E">
        <w:fldChar w:fldCharType="begin"/>
      </w:r>
      <w:r w:rsidRPr="00737D8E">
        <w:instrText xml:space="preserve"> PAGEREF _Toc148087009 \h </w:instrText>
      </w:r>
      <w:r w:rsidRPr="00737D8E">
        <w:fldChar w:fldCharType="separate"/>
      </w:r>
      <w:r w:rsidR="005007F1">
        <w:t>140</w:t>
      </w:r>
      <w:r w:rsidRPr="00737D8E">
        <w:fldChar w:fldCharType="end"/>
      </w:r>
    </w:p>
    <w:p w14:paraId="4183B708" w14:textId="3E9D9040" w:rsidR="00CF4104" w:rsidRDefault="00CF4104">
      <w:pPr>
        <w:spacing w:after="160" w:line="259" w:lineRule="auto"/>
        <w:ind w:right="0"/>
        <w:rPr>
          <w:rFonts w:eastAsiaTheme="majorEastAsia" w:cstheme="majorBidi"/>
          <w:iCs/>
          <w:color w:val="373D41"/>
          <w:sz w:val="48"/>
          <w:szCs w:val="32"/>
        </w:rPr>
      </w:pPr>
      <w:r w:rsidRPr="00737D8E">
        <w:rPr>
          <w:color w:val="000000" w:themeColor="text1"/>
          <w:shd w:val="clear" w:color="auto" w:fill="E6E6E6"/>
        </w:rPr>
        <w:fldChar w:fldCharType="end"/>
      </w:r>
      <w:r>
        <w:rPr>
          <w:color w:val="373D41"/>
        </w:rPr>
        <w:br w:type="page"/>
      </w:r>
    </w:p>
    <w:p w14:paraId="1DD327E4" w14:textId="06CB4071" w:rsidR="00BF5383" w:rsidRPr="009B0287" w:rsidRDefault="00344BD4" w:rsidP="00BF5383">
      <w:pPr>
        <w:pStyle w:val="Heading1"/>
        <w:rPr>
          <w:color w:val="373D41"/>
        </w:rPr>
      </w:pPr>
      <w:bookmarkStart w:id="68" w:name="_Toc147757250"/>
      <w:bookmarkStart w:id="69" w:name="_Toc148086868"/>
      <w:r w:rsidRPr="009B0287">
        <w:rPr>
          <w:color w:val="373D41"/>
        </w:rPr>
        <w:lastRenderedPageBreak/>
        <w:t>Commissioner’s f</w:t>
      </w:r>
      <w:r w:rsidR="00BF5383" w:rsidRPr="009B0287">
        <w:rPr>
          <w:color w:val="373D41"/>
        </w:rPr>
        <w:t>oreword</w:t>
      </w:r>
      <w:bookmarkEnd w:id="64"/>
      <w:bookmarkEnd w:id="65"/>
      <w:bookmarkEnd w:id="66"/>
      <w:bookmarkEnd w:id="67"/>
      <w:bookmarkEnd w:id="68"/>
      <w:bookmarkEnd w:id="69"/>
    </w:p>
    <w:p w14:paraId="686FBCFD" w14:textId="300A0BD0" w:rsidR="00B07DC0" w:rsidRDefault="00066BA8" w:rsidP="006B0020">
      <w:pPr>
        <w:rPr>
          <w:rFonts w:eastAsia="Times New Roman" w:cs="Arial"/>
        </w:rPr>
      </w:pPr>
      <w:r>
        <w:rPr>
          <w:rFonts w:eastAsia="Times New Roman" w:cs="Arial"/>
        </w:rPr>
        <w:t xml:space="preserve">This fourth annual report </w:t>
      </w:r>
      <w:r w:rsidR="00620E59">
        <w:rPr>
          <w:rFonts w:eastAsia="Times New Roman" w:cs="Arial"/>
        </w:rPr>
        <w:t xml:space="preserve">on </w:t>
      </w:r>
      <w:r>
        <w:rPr>
          <w:rFonts w:eastAsia="Times New Roman" w:cs="Arial"/>
        </w:rPr>
        <w:t xml:space="preserve">the operation of Queensland’s Human Rights Act </w:t>
      </w:r>
      <w:r w:rsidR="00E8098C">
        <w:rPr>
          <w:rFonts w:eastAsia="Times New Roman" w:cs="Arial"/>
        </w:rPr>
        <w:t>documents some impressive progress in building a human rights culture in our state’s judiciary and public service.</w:t>
      </w:r>
    </w:p>
    <w:p w14:paraId="5F656E5E" w14:textId="77777777" w:rsidR="00710E8B" w:rsidRDefault="00077B2A" w:rsidP="006B0020">
      <w:pPr>
        <w:rPr>
          <w:rFonts w:eastAsia="Times New Roman" w:cs="Arial"/>
        </w:rPr>
      </w:pPr>
      <w:r>
        <w:rPr>
          <w:rFonts w:eastAsia="Times New Roman" w:cs="Arial"/>
        </w:rPr>
        <w:t xml:space="preserve">2022-23 saw </w:t>
      </w:r>
      <w:r w:rsidR="008E7832">
        <w:rPr>
          <w:rFonts w:eastAsia="Times New Roman" w:cs="Arial"/>
        </w:rPr>
        <w:t>significant growth in human rights jurisprudence</w:t>
      </w:r>
      <w:r w:rsidR="00042B64">
        <w:rPr>
          <w:rFonts w:eastAsia="Times New Roman" w:cs="Arial"/>
        </w:rPr>
        <w:t xml:space="preserve">, with the number of </w:t>
      </w:r>
      <w:r w:rsidR="006C27F9">
        <w:rPr>
          <w:rFonts w:eastAsia="Times New Roman" w:cs="Arial"/>
        </w:rPr>
        <w:t xml:space="preserve">times courts considered or mentioned the Human Rights Act doubling on the previous year. </w:t>
      </w:r>
      <w:r w:rsidR="0020527C">
        <w:rPr>
          <w:rFonts w:eastAsia="Times New Roman" w:cs="Arial"/>
        </w:rPr>
        <w:t xml:space="preserve">Several </w:t>
      </w:r>
      <w:r w:rsidR="009A1117">
        <w:rPr>
          <w:rFonts w:eastAsia="Times New Roman" w:cs="Arial"/>
        </w:rPr>
        <w:t>important</w:t>
      </w:r>
      <w:r w:rsidR="0020527C">
        <w:rPr>
          <w:rFonts w:eastAsia="Times New Roman" w:cs="Arial"/>
        </w:rPr>
        <w:t xml:space="preserve"> decisions were handed down, including a </w:t>
      </w:r>
      <w:r w:rsidR="001A4F6C">
        <w:rPr>
          <w:rFonts w:eastAsia="Times New Roman" w:cs="Arial"/>
        </w:rPr>
        <w:t>landmark d</w:t>
      </w:r>
      <w:r w:rsidR="006C27F9">
        <w:rPr>
          <w:rFonts w:eastAsia="Times New Roman" w:cs="Arial"/>
        </w:rPr>
        <w:t xml:space="preserve">ecision from the Land Court </w:t>
      </w:r>
      <w:r w:rsidR="001A4F6C">
        <w:rPr>
          <w:rFonts w:eastAsia="Times New Roman" w:cs="Arial"/>
        </w:rPr>
        <w:t xml:space="preserve">recommending </w:t>
      </w:r>
      <w:r w:rsidR="00BB0222">
        <w:rPr>
          <w:rFonts w:eastAsia="Times New Roman" w:cs="Arial"/>
        </w:rPr>
        <w:t xml:space="preserve">the refusal of </w:t>
      </w:r>
      <w:r w:rsidR="001A4F6C">
        <w:rPr>
          <w:rFonts w:eastAsia="Times New Roman" w:cs="Arial"/>
        </w:rPr>
        <w:t xml:space="preserve">a mining lease </w:t>
      </w:r>
      <w:r w:rsidR="00BB0222">
        <w:rPr>
          <w:rFonts w:eastAsia="Times New Roman" w:cs="Arial"/>
        </w:rPr>
        <w:t xml:space="preserve">on the basis that </w:t>
      </w:r>
      <w:r w:rsidR="00F0459A">
        <w:rPr>
          <w:rFonts w:eastAsia="Times New Roman" w:cs="Arial"/>
        </w:rPr>
        <w:t xml:space="preserve">the proposed mine would impact human rights by contributing to climate change. </w:t>
      </w:r>
    </w:p>
    <w:p w14:paraId="3B049558" w14:textId="14140736" w:rsidR="009A1117" w:rsidRDefault="009A1117" w:rsidP="006B0020">
      <w:pPr>
        <w:rPr>
          <w:rFonts w:eastAsia="Times New Roman" w:cs="Arial"/>
        </w:rPr>
      </w:pPr>
      <w:r>
        <w:rPr>
          <w:rFonts w:eastAsia="Times New Roman" w:cs="Arial"/>
        </w:rPr>
        <w:t>Across state and local government entities there has been a</w:t>
      </w:r>
      <w:r w:rsidR="00F7288D">
        <w:rPr>
          <w:rFonts w:eastAsia="Times New Roman" w:cs="Arial"/>
        </w:rPr>
        <w:t>n increased engagement with the Act</w:t>
      </w:r>
      <w:r w:rsidR="00C43C59">
        <w:rPr>
          <w:rFonts w:eastAsia="Times New Roman" w:cs="Arial"/>
        </w:rPr>
        <w:t xml:space="preserve">. State government departments are incorporating more human rights principles and assessments into their community consultation and their complaint handing functions, </w:t>
      </w:r>
      <w:r w:rsidR="00811FA5">
        <w:rPr>
          <w:rFonts w:eastAsia="Times New Roman" w:cs="Arial"/>
        </w:rPr>
        <w:t xml:space="preserve">and </w:t>
      </w:r>
      <w:r w:rsidR="00C43C59">
        <w:rPr>
          <w:rFonts w:eastAsia="Times New Roman" w:cs="Arial"/>
        </w:rPr>
        <w:t xml:space="preserve">councils can point to </w:t>
      </w:r>
      <w:r w:rsidR="00811FA5">
        <w:rPr>
          <w:rFonts w:eastAsia="Times New Roman" w:cs="Arial"/>
        </w:rPr>
        <w:t>concrete</w:t>
      </w:r>
      <w:r w:rsidR="00C43C59">
        <w:rPr>
          <w:rFonts w:eastAsia="Times New Roman" w:cs="Arial"/>
        </w:rPr>
        <w:t xml:space="preserve"> examples where </w:t>
      </w:r>
      <w:r w:rsidR="00692795">
        <w:rPr>
          <w:rFonts w:eastAsia="Times New Roman" w:cs="Arial"/>
        </w:rPr>
        <w:t xml:space="preserve">considering human rights </w:t>
      </w:r>
      <w:r w:rsidR="00832ADD">
        <w:rPr>
          <w:rFonts w:eastAsia="Times New Roman" w:cs="Arial"/>
        </w:rPr>
        <w:t>when making decisions</w:t>
      </w:r>
      <w:r w:rsidR="00692795">
        <w:rPr>
          <w:rFonts w:eastAsia="Times New Roman" w:cs="Arial"/>
        </w:rPr>
        <w:t xml:space="preserve"> has led to systemic changes </w:t>
      </w:r>
      <w:r w:rsidR="008C6323">
        <w:rPr>
          <w:rFonts w:eastAsia="Times New Roman" w:cs="Arial"/>
        </w:rPr>
        <w:t>that have made</w:t>
      </w:r>
      <w:r w:rsidR="00692795">
        <w:rPr>
          <w:rFonts w:eastAsia="Times New Roman" w:cs="Arial"/>
        </w:rPr>
        <w:t xml:space="preserve"> practices or policies more compatible</w:t>
      </w:r>
      <w:r w:rsidR="00811FA5">
        <w:rPr>
          <w:rFonts w:eastAsia="Times New Roman" w:cs="Arial"/>
        </w:rPr>
        <w:t xml:space="preserve"> with human rights</w:t>
      </w:r>
      <w:r w:rsidR="008C6323">
        <w:rPr>
          <w:rFonts w:eastAsia="Times New Roman" w:cs="Arial"/>
        </w:rPr>
        <w:t xml:space="preserve"> for everyone</w:t>
      </w:r>
      <w:r w:rsidR="00692795">
        <w:rPr>
          <w:rFonts w:eastAsia="Times New Roman" w:cs="Arial"/>
        </w:rPr>
        <w:t xml:space="preserve">. </w:t>
      </w:r>
    </w:p>
    <w:p w14:paraId="72DFAF7E" w14:textId="3A43D3D9" w:rsidR="0013375A" w:rsidRDefault="00692795" w:rsidP="006B0020">
      <w:pPr>
        <w:rPr>
          <w:rFonts w:eastAsia="Times New Roman" w:cs="Arial"/>
        </w:rPr>
      </w:pPr>
      <w:r>
        <w:rPr>
          <w:rFonts w:eastAsia="Times New Roman" w:cs="Arial"/>
        </w:rPr>
        <w:t xml:space="preserve">These are the kinds of impacts we look for when </w:t>
      </w:r>
      <w:r w:rsidR="0013375A">
        <w:rPr>
          <w:rFonts w:eastAsia="Times New Roman" w:cs="Arial"/>
        </w:rPr>
        <w:t>trying to assess the stage of development of a human rights culture in Queensland.</w:t>
      </w:r>
      <w:r w:rsidR="00710E8B">
        <w:rPr>
          <w:rFonts w:eastAsia="Times New Roman" w:cs="Arial"/>
        </w:rPr>
        <w:t xml:space="preserve"> </w:t>
      </w:r>
      <w:r w:rsidR="0013375A">
        <w:rPr>
          <w:rFonts w:eastAsia="Times New Roman" w:cs="Arial"/>
        </w:rPr>
        <w:t>Unfortunately</w:t>
      </w:r>
      <w:r w:rsidR="00B30A84">
        <w:rPr>
          <w:rFonts w:eastAsia="Times New Roman" w:cs="Arial"/>
        </w:rPr>
        <w:t>,</w:t>
      </w:r>
      <w:r w:rsidR="0013375A">
        <w:rPr>
          <w:rFonts w:eastAsia="Times New Roman" w:cs="Arial"/>
        </w:rPr>
        <w:t xml:space="preserve"> those positive developments are not mirrored across all the areas of the Act’s operation. </w:t>
      </w:r>
    </w:p>
    <w:p w14:paraId="1A5C8934" w14:textId="15E55A74" w:rsidR="0013375A" w:rsidRDefault="0013375A" w:rsidP="006B0020">
      <w:pPr>
        <w:rPr>
          <w:rFonts w:eastAsia="Times New Roman" w:cs="Arial"/>
        </w:rPr>
      </w:pPr>
      <w:r>
        <w:rPr>
          <w:rFonts w:eastAsia="Times New Roman" w:cs="Arial"/>
        </w:rPr>
        <w:t xml:space="preserve">This reporting period we also saw the first override declarations used in state parliament, allowing </w:t>
      </w:r>
      <w:r w:rsidR="00453006">
        <w:rPr>
          <w:rFonts w:eastAsia="Times New Roman" w:cs="Arial"/>
        </w:rPr>
        <w:t xml:space="preserve">significant changes to youth justice legislation to pass through parliament without the usual scrutiny given to new legislation and despite an acknowledgement that the provisions are incompatible with human rights. </w:t>
      </w:r>
    </w:p>
    <w:p w14:paraId="0F849245" w14:textId="0962E68C" w:rsidR="00AB2124" w:rsidRDefault="00453006" w:rsidP="006B0020">
      <w:r>
        <w:rPr>
          <w:rFonts w:eastAsia="Times New Roman" w:cs="Arial"/>
        </w:rPr>
        <w:t xml:space="preserve">Override declarations, according to the Act, </w:t>
      </w:r>
      <w:r w:rsidR="00F53492">
        <w:rPr>
          <w:rFonts w:eastAsia="Times New Roman" w:cs="Arial"/>
        </w:rPr>
        <w:t xml:space="preserve">are </w:t>
      </w:r>
      <w:r>
        <w:rPr>
          <w:rFonts w:eastAsia="Times New Roman" w:cs="Arial"/>
        </w:rPr>
        <w:t xml:space="preserve">supposed to be invoked only in extreme circumstances – the examples given in the legislation are war, </w:t>
      </w:r>
      <w:r w:rsidR="001E5E17" w:rsidRPr="00E23671">
        <w:t xml:space="preserve">a state of emergency, </w:t>
      </w:r>
      <w:r w:rsidR="001E5E17">
        <w:t xml:space="preserve">or </w:t>
      </w:r>
      <w:r w:rsidR="001E5E17" w:rsidRPr="00E23671">
        <w:t>an exceptional crisis situation constituting a threat to public safety, health or order.</w:t>
      </w:r>
      <w:r w:rsidR="00840D5E">
        <w:t xml:space="preserve"> </w:t>
      </w:r>
      <w:r w:rsidR="00786C7D">
        <w:t>In contrast, d</w:t>
      </w:r>
      <w:r w:rsidR="00307790">
        <w:t xml:space="preserve">espite the clear applicability of this provision during COVID-19, the </w:t>
      </w:r>
      <w:r w:rsidR="00786C7D">
        <w:t>parliament</w:t>
      </w:r>
      <w:r w:rsidR="00307790">
        <w:t xml:space="preserve"> </w:t>
      </w:r>
      <w:r w:rsidR="00786C7D">
        <w:t>showed restraint and chose not to rely on override declarations.</w:t>
      </w:r>
    </w:p>
    <w:p w14:paraId="19116EEA" w14:textId="325ECD3B" w:rsidR="00453006" w:rsidRDefault="00CF6F37" w:rsidP="006B0020">
      <w:r>
        <w:t xml:space="preserve">While I appreciate the community concern in response to high-profile and tragic events this year, </w:t>
      </w:r>
      <w:r w:rsidR="006C02B4">
        <w:t xml:space="preserve">the overall rate of youth offending has decreased, and removing the rights of young people </w:t>
      </w:r>
      <w:r w:rsidR="00AB2124">
        <w:t xml:space="preserve">in the youth justice system does not protect the rights of victims of </w:t>
      </w:r>
      <w:r w:rsidR="009A5B64">
        <w:t>crime or</w:t>
      </w:r>
      <w:r w:rsidR="00AB2124">
        <w:t xml:space="preserve"> improve community safety.</w:t>
      </w:r>
    </w:p>
    <w:p w14:paraId="1A489DFE" w14:textId="3134D5A9" w:rsidR="009C0A90" w:rsidRDefault="002A7155" w:rsidP="006B0020">
      <w:r>
        <w:t>Overriding the operation of the Act may have serious implications for individuals who are unable to rely on the Act’s protective mechanisms when their rights have been</w:t>
      </w:r>
      <w:r w:rsidR="00E9422E">
        <w:t xml:space="preserve"> unreasonably limited.</w:t>
      </w:r>
      <w:r w:rsidR="00CC4287">
        <w:t xml:space="preserve"> </w:t>
      </w:r>
      <w:r w:rsidR="7B33A3E0">
        <w:t xml:space="preserve">In the context of the importance of protecting the rights of </w:t>
      </w:r>
      <w:r w:rsidR="6B084930">
        <w:t xml:space="preserve">at-risk </w:t>
      </w:r>
      <w:r w:rsidR="7B33A3E0">
        <w:t xml:space="preserve">children, </w:t>
      </w:r>
      <w:r w:rsidR="636A01B8">
        <w:t>t</w:t>
      </w:r>
      <w:r w:rsidR="03F33C5A">
        <w:t>h</w:t>
      </w:r>
      <w:r w:rsidR="441F5175">
        <w:t>e</w:t>
      </w:r>
      <w:r w:rsidR="009C0A90">
        <w:t xml:space="preserve"> parliament’s use of </w:t>
      </w:r>
      <w:r w:rsidR="00162A7E">
        <w:t xml:space="preserve">the </w:t>
      </w:r>
      <w:r w:rsidR="009C0A90">
        <w:t>override declaration</w:t>
      </w:r>
      <w:r w:rsidR="00162A7E">
        <w:t xml:space="preserve"> provisions</w:t>
      </w:r>
      <w:r w:rsidR="009C0A90">
        <w:t xml:space="preserve"> is a serious setback to the </w:t>
      </w:r>
      <w:r w:rsidR="6BDEB5E1">
        <w:t xml:space="preserve">realisation of the Act’s objectives </w:t>
      </w:r>
      <w:r w:rsidR="001F0EA1">
        <w:t>of protecting</w:t>
      </w:r>
      <w:r w:rsidR="009C0A90">
        <w:t xml:space="preserve"> and promoti</w:t>
      </w:r>
      <w:r w:rsidR="0A621289">
        <w:t>ng</w:t>
      </w:r>
      <w:r w:rsidR="009C0A90">
        <w:t xml:space="preserve"> human rights in Queensland.</w:t>
      </w:r>
    </w:p>
    <w:p w14:paraId="0637C833" w14:textId="77777777" w:rsidR="007F213C" w:rsidRDefault="007F213C" w:rsidP="00B07DC0">
      <w:pPr>
        <w:keepLines/>
        <w:widowControl w:val="0"/>
        <w:spacing w:after="0"/>
        <w:ind w:right="2160"/>
        <w:rPr>
          <w:rFonts w:eastAsia="Times New Roman" w:cs="Arial"/>
          <w:b/>
          <w:lang w:eastAsia="en-AU"/>
        </w:rPr>
      </w:pPr>
    </w:p>
    <w:p w14:paraId="3032950B" w14:textId="21A3065C" w:rsidR="00B07DC0" w:rsidRPr="00B07DC0" w:rsidRDefault="00B07DC0" w:rsidP="00B07DC0">
      <w:pPr>
        <w:keepLines/>
        <w:widowControl w:val="0"/>
        <w:spacing w:after="0"/>
        <w:ind w:right="2160"/>
        <w:rPr>
          <w:rFonts w:eastAsia="Times New Roman" w:cs="Arial"/>
          <w:b/>
          <w:i/>
          <w:lang w:eastAsia="en-AU"/>
        </w:rPr>
      </w:pPr>
      <w:r w:rsidRPr="00B07DC0">
        <w:rPr>
          <w:rFonts w:eastAsia="Times New Roman" w:cs="Arial"/>
          <w:b/>
          <w:lang w:eastAsia="en-AU"/>
        </w:rPr>
        <w:t>Scott McDougall</w:t>
      </w:r>
    </w:p>
    <w:p w14:paraId="1F8C9D8A" w14:textId="7FC69672" w:rsidR="00B07DC0" w:rsidRPr="00B07DC0" w:rsidRDefault="00710E8B" w:rsidP="00B07DC0">
      <w:pPr>
        <w:keepLines/>
        <w:widowControl w:val="0"/>
        <w:spacing w:after="0"/>
        <w:ind w:right="2160"/>
        <w:rPr>
          <w:rFonts w:eastAsia="Times New Roman" w:cs="Arial"/>
          <w:b/>
          <w:lang w:eastAsia="en-AU"/>
        </w:rPr>
      </w:pPr>
      <w:r>
        <w:rPr>
          <w:rFonts w:eastAsia="Times New Roman" w:cs="Arial"/>
          <w:b/>
          <w:lang w:eastAsia="en-AU"/>
        </w:rPr>
        <w:t>Queensland Human Rights Commissioner</w:t>
      </w:r>
    </w:p>
    <w:p w14:paraId="33AEF5F4" w14:textId="4D1660CE" w:rsidR="0019120A" w:rsidRPr="009B0287" w:rsidRDefault="0019120A" w:rsidP="0019120A">
      <w:pPr>
        <w:pStyle w:val="Heading1"/>
        <w:rPr>
          <w:color w:val="373D41"/>
        </w:rPr>
      </w:pPr>
      <w:bookmarkStart w:id="70" w:name="_Toc110503431"/>
      <w:bookmarkStart w:id="71" w:name="_Toc110506595"/>
      <w:bookmarkStart w:id="72" w:name="_Toc907472406"/>
      <w:bookmarkStart w:id="73" w:name="_Toc117697105"/>
      <w:bookmarkStart w:id="74" w:name="_Toc147757251"/>
      <w:bookmarkStart w:id="75" w:name="_Toc148086869"/>
      <w:r w:rsidRPr="009B0287">
        <w:rPr>
          <w:color w:val="373D41"/>
        </w:rPr>
        <w:lastRenderedPageBreak/>
        <w:t>About the Commission</w:t>
      </w:r>
      <w:bookmarkEnd w:id="70"/>
      <w:bookmarkEnd w:id="71"/>
      <w:bookmarkEnd w:id="72"/>
      <w:bookmarkEnd w:id="73"/>
      <w:bookmarkEnd w:id="74"/>
      <w:bookmarkEnd w:id="75"/>
    </w:p>
    <w:p w14:paraId="127BE266" w14:textId="2CFE7D36" w:rsidR="00014D1F" w:rsidRDefault="00014D1F" w:rsidP="00014D1F">
      <w:r>
        <w:t xml:space="preserve">The Queensland Human Rights Commission (the Commission) is an independent statutory body established under the </w:t>
      </w:r>
      <w:r w:rsidRPr="00DF40A3">
        <w:rPr>
          <w:i/>
        </w:rPr>
        <w:t>Anti-Discrimination Act 1991</w:t>
      </w:r>
      <w:r w:rsidR="001C6C8A">
        <w:rPr>
          <w:i/>
        </w:rPr>
        <w:t xml:space="preserve"> </w:t>
      </w:r>
      <w:r w:rsidR="001C6C8A">
        <w:rPr>
          <w:iCs/>
        </w:rPr>
        <w:t>(</w:t>
      </w:r>
      <w:r w:rsidR="001C6C8A">
        <w:t>the Anti-Discrimination Act</w:t>
      </w:r>
      <w:r w:rsidR="001C6C8A">
        <w:rPr>
          <w:iCs/>
        </w:rPr>
        <w:t>)</w:t>
      </w:r>
      <w:r>
        <w:t xml:space="preserve">. The functions and powers of the Commission under section 61 of the </w:t>
      </w:r>
      <w:r w:rsidR="001C6C8A">
        <w:rPr>
          <w:i/>
          <w:iCs/>
        </w:rPr>
        <w:t xml:space="preserve">Human Rights Act </w:t>
      </w:r>
      <w:r w:rsidR="00AB2A8C">
        <w:rPr>
          <w:i/>
          <w:iCs/>
        </w:rPr>
        <w:t>2019</w:t>
      </w:r>
      <w:r w:rsidR="001C6C8A">
        <w:t xml:space="preserve"> (</w:t>
      </w:r>
      <w:r w:rsidR="00103692">
        <w:t>Human Rights</w:t>
      </w:r>
      <w:r w:rsidR="001C6C8A">
        <w:t xml:space="preserve"> Act)</w:t>
      </w:r>
      <w:r>
        <w:t xml:space="preserve"> are:</w:t>
      </w:r>
    </w:p>
    <w:p w14:paraId="35A91123" w14:textId="09F50313" w:rsidR="00014D1F" w:rsidRDefault="00014D1F" w:rsidP="00432F57">
      <w:pPr>
        <w:pStyle w:val="Listparagraph-bulleted"/>
      </w:pPr>
      <w:r>
        <w:t>to deal with human rights complaints;</w:t>
      </w:r>
    </w:p>
    <w:p w14:paraId="32033A64" w14:textId="32AC148E" w:rsidR="00014D1F" w:rsidRDefault="00014D1F" w:rsidP="00432F57">
      <w:pPr>
        <w:pStyle w:val="Listparagraph-bulleted"/>
      </w:pPr>
      <w:r>
        <w:t>if asked by the Attorney-General, to review the effect of Acts, statutory instruments and the common law on human rights and give the Attorney-General a written report about the outcome of the review;</w:t>
      </w:r>
    </w:p>
    <w:p w14:paraId="40E3DD87" w14:textId="45015286" w:rsidR="00014D1F" w:rsidRDefault="00014D1F" w:rsidP="00432F57">
      <w:pPr>
        <w:pStyle w:val="Listparagraph-bulleted"/>
      </w:pPr>
      <w:r>
        <w:t>to review public entities’ policies, programs, procedures, practices and services in relation to their compatibility with human rights;</w:t>
      </w:r>
    </w:p>
    <w:p w14:paraId="00B65DA9" w14:textId="2DD0C592" w:rsidR="00014D1F" w:rsidRDefault="00014D1F" w:rsidP="00432F57">
      <w:pPr>
        <w:pStyle w:val="Listparagraph-bulleted"/>
      </w:pPr>
      <w:r>
        <w:t>to promote an understanding and acceptance, and the public discussion, of human rights and this Act in Queensland;</w:t>
      </w:r>
    </w:p>
    <w:p w14:paraId="6F33D929" w14:textId="2F8DD8E9" w:rsidR="00014D1F" w:rsidRDefault="00014D1F" w:rsidP="00432F57">
      <w:pPr>
        <w:pStyle w:val="Listparagraph-bulleted"/>
      </w:pPr>
      <w:r>
        <w:t>to make information about human rights available to the community;</w:t>
      </w:r>
    </w:p>
    <w:p w14:paraId="331EDFA6" w14:textId="453802F5" w:rsidR="00014D1F" w:rsidRDefault="00014D1F" w:rsidP="00432F57">
      <w:pPr>
        <w:pStyle w:val="Listparagraph-bulleted"/>
      </w:pPr>
      <w:r>
        <w:t>to provide education about human rights and this Act;</w:t>
      </w:r>
    </w:p>
    <w:p w14:paraId="4276BBF2" w14:textId="08584E44" w:rsidR="00014D1F" w:rsidRDefault="00014D1F" w:rsidP="00432F57">
      <w:pPr>
        <w:pStyle w:val="Listparagraph-bulleted"/>
      </w:pPr>
      <w:r>
        <w:t>to assist the Attorney-General in reviews of this Act under sections 95 and 96;</w:t>
      </w:r>
    </w:p>
    <w:p w14:paraId="6015082E" w14:textId="47CED7E7" w:rsidR="00014D1F" w:rsidRDefault="00014D1F" w:rsidP="00432F57">
      <w:pPr>
        <w:pStyle w:val="Listparagraph-bulleted"/>
      </w:pPr>
      <w:r>
        <w:t>to advise the Attorney-General about matters relevant to the operation of this Act; and</w:t>
      </w:r>
    </w:p>
    <w:p w14:paraId="0EEB41D8" w14:textId="0581B62C" w:rsidR="00231F53" w:rsidRDefault="00014D1F" w:rsidP="00432F57">
      <w:pPr>
        <w:pStyle w:val="Listparagraph-bulleted"/>
      </w:pPr>
      <w:r>
        <w:t>another function conferred on the Commission under this Act or another Act.</w:t>
      </w:r>
    </w:p>
    <w:p w14:paraId="69A9D6F8" w14:textId="77777777" w:rsidR="00231F53" w:rsidRDefault="00231F53">
      <w:pPr>
        <w:spacing w:after="160" w:line="259" w:lineRule="auto"/>
        <w:ind w:right="0"/>
      </w:pPr>
      <w:r>
        <w:br w:type="page"/>
      </w:r>
    </w:p>
    <w:p w14:paraId="48696EF4" w14:textId="77777777" w:rsidR="00FE5670" w:rsidRPr="009B0287" w:rsidRDefault="00FE5670" w:rsidP="00FE5670">
      <w:pPr>
        <w:pStyle w:val="Heading1"/>
        <w:rPr>
          <w:color w:val="373D41"/>
        </w:rPr>
      </w:pPr>
      <w:bookmarkStart w:id="76" w:name="_Toc110503432"/>
      <w:bookmarkStart w:id="77" w:name="_Toc110506596"/>
      <w:bookmarkStart w:id="78" w:name="_Toc840787033"/>
      <w:bookmarkStart w:id="79" w:name="_Toc117697106"/>
      <w:bookmarkStart w:id="80" w:name="_Toc147757252"/>
      <w:bookmarkStart w:id="81" w:name="_Toc148086870"/>
      <w:r w:rsidRPr="009B0287">
        <w:rPr>
          <w:color w:val="373D41"/>
        </w:rPr>
        <w:t>About this report</w:t>
      </w:r>
      <w:bookmarkEnd w:id="76"/>
      <w:bookmarkEnd w:id="77"/>
      <w:bookmarkEnd w:id="78"/>
      <w:bookmarkEnd w:id="79"/>
      <w:bookmarkEnd w:id="80"/>
      <w:bookmarkEnd w:id="81"/>
    </w:p>
    <w:p w14:paraId="57F06436" w14:textId="77777777" w:rsidR="00AB2A8C" w:rsidRDefault="00614168" w:rsidP="00614168">
      <w:r w:rsidRPr="00614168">
        <w:t xml:space="preserve">Section 91 of </w:t>
      </w:r>
      <w:r w:rsidR="00AB2A8C">
        <w:t>the Human Rights</w:t>
      </w:r>
      <w:r w:rsidRPr="00614168">
        <w:t xml:space="preserve"> Act requires that, as soon as practicable after the end of each financial year, the Commissioner must prepare an annual report about the operation of the Act during the year. The purpose of this report is to provide a resource for government, parliament, and the community on the operationalisation of the </w:t>
      </w:r>
      <w:r w:rsidR="00AB2A8C">
        <w:t xml:space="preserve">Human Rights </w:t>
      </w:r>
      <w:r w:rsidRPr="00614168">
        <w:t>Act and the degree to which it is achieving its objectives.</w:t>
      </w:r>
      <w:r w:rsidR="00677795">
        <w:rPr>
          <w:rStyle w:val="FootnoteReference"/>
        </w:rPr>
        <w:footnoteReference w:id="2"/>
      </w:r>
      <w:r w:rsidRPr="00614168">
        <w:t xml:space="preserve"> </w:t>
      </w:r>
    </w:p>
    <w:p w14:paraId="3F7E24FF" w14:textId="5BF8D7F4" w:rsidR="00971A5D" w:rsidRDefault="00614168" w:rsidP="00614168">
      <w:r w:rsidRPr="00614168">
        <w:t>The</w:t>
      </w:r>
      <w:r w:rsidR="00AB2A8C">
        <w:t xml:space="preserve"> Human Rights</w:t>
      </w:r>
      <w:r w:rsidRPr="00614168">
        <w:t xml:space="preserve"> Act </w:t>
      </w:r>
      <w:r w:rsidR="00AB2A8C">
        <w:t xml:space="preserve">is </w:t>
      </w:r>
      <w:r w:rsidR="00C26C33">
        <w:t xml:space="preserve">to be independently reviewed </w:t>
      </w:r>
      <w:r w:rsidR="00433EA4">
        <w:t>as soon as practicable (after 1 July 2023)</w:t>
      </w:r>
      <w:r w:rsidR="00C26C33">
        <w:t xml:space="preserve"> and in 2027.</w:t>
      </w:r>
      <w:r w:rsidR="00C7431C">
        <w:rPr>
          <w:rStyle w:val="FootnoteReference"/>
        </w:rPr>
        <w:footnoteReference w:id="3"/>
      </w:r>
      <w:r w:rsidR="00C26C33">
        <w:t xml:space="preserve"> It is intended that the </w:t>
      </w:r>
      <w:r w:rsidRPr="00614168">
        <w:t xml:space="preserve">content of this report will provide evidence of how the </w:t>
      </w:r>
      <w:r w:rsidR="00C26C33">
        <w:t xml:space="preserve">Human Rights </w:t>
      </w:r>
      <w:r w:rsidRPr="00614168">
        <w:t>Act has operated in its early years.</w:t>
      </w:r>
    </w:p>
    <w:p w14:paraId="0991FF8F" w14:textId="77777777" w:rsidR="00971A5D" w:rsidRDefault="00971A5D">
      <w:pPr>
        <w:spacing w:after="160" w:line="259" w:lineRule="auto"/>
        <w:ind w:right="0"/>
      </w:pPr>
      <w:r>
        <w:br w:type="page"/>
      </w:r>
    </w:p>
    <w:p w14:paraId="3F6F55BF" w14:textId="77777777" w:rsidR="00266878" w:rsidRPr="00FE008A" w:rsidRDefault="00266878" w:rsidP="00266878">
      <w:pPr>
        <w:pStyle w:val="Heading1"/>
        <w:rPr>
          <w:color w:val="373D41"/>
        </w:rPr>
      </w:pPr>
      <w:bookmarkStart w:id="82" w:name="_Toc117697107"/>
      <w:bookmarkStart w:id="83" w:name="_Toc147757253"/>
      <w:bookmarkStart w:id="84" w:name="_Toc148086871"/>
      <w:bookmarkStart w:id="85" w:name="_Toc352376181"/>
      <w:r w:rsidRPr="00FE008A">
        <w:rPr>
          <w:color w:val="373D41"/>
        </w:rPr>
        <w:t>Report summary</w:t>
      </w:r>
      <w:bookmarkEnd w:id="82"/>
      <w:bookmarkEnd w:id="83"/>
      <w:bookmarkEnd w:id="84"/>
    </w:p>
    <w:p w14:paraId="2D3954AF" w14:textId="77777777" w:rsidR="00266878" w:rsidRPr="003960D2" w:rsidRDefault="00266878" w:rsidP="00266878">
      <w:pPr>
        <w:pStyle w:val="Caption"/>
      </w:pPr>
      <w:r w:rsidRPr="00194DCC">
        <w:t>Table 1:</w:t>
      </w:r>
      <w:r w:rsidRPr="0029192B">
        <w:t xml:space="preserve"> Required information for this report under s</w:t>
      </w:r>
      <w:r>
        <w:t xml:space="preserve">ection </w:t>
      </w:r>
      <w:r w:rsidRPr="0029192B">
        <w:t>91 of the Human Rights Act 2019</w:t>
      </w:r>
      <w:r w:rsidRPr="003960D2">
        <w:t xml:space="preserve"> </w:t>
      </w:r>
    </w:p>
    <w:tbl>
      <w:tblPr>
        <w:tblW w:w="0" w:type="auto"/>
        <w:tblBorders>
          <w:top w:val="single" w:sz="4" w:space="0" w:color="383D41"/>
          <w:bottom w:val="single" w:sz="4" w:space="0" w:color="383D41"/>
          <w:insideH w:val="single" w:sz="4" w:space="0" w:color="383D41"/>
        </w:tblBorders>
        <w:tblLook w:val="04A0" w:firstRow="1" w:lastRow="0" w:firstColumn="1" w:lastColumn="0" w:noHBand="0" w:noVBand="1"/>
      </w:tblPr>
      <w:tblGrid>
        <w:gridCol w:w="1260"/>
        <w:gridCol w:w="6253"/>
      </w:tblGrid>
      <w:tr w:rsidR="00266878" w:rsidRPr="00FE008A" w14:paraId="28881FBB" w14:textId="77777777" w:rsidTr="00DF1044">
        <w:trPr>
          <w:tblHeader/>
        </w:trPr>
        <w:tc>
          <w:tcPr>
            <w:tcW w:w="1260" w:type="dxa"/>
          </w:tcPr>
          <w:p w14:paraId="0B727E51" w14:textId="77777777" w:rsidR="00266878" w:rsidRPr="00FE008A" w:rsidRDefault="00266878" w:rsidP="00DF1044">
            <w:pPr>
              <w:pStyle w:val="Tableheading"/>
              <w:rPr>
                <w:color w:val="373D41"/>
              </w:rPr>
            </w:pPr>
            <w:r w:rsidRPr="00FE008A">
              <w:rPr>
                <w:color w:val="373D41"/>
              </w:rPr>
              <w:t>Section</w:t>
            </w:r>
          </w:p>
        </w:tc>
        <w:tc>
          <w:tcPr>
            <w:tcW w:w="6253" w:type="dxa"/>
          </w:tcPr>
          <w:p w14:paraId="42649A81" w14:textId="77777777" w:rsidR="00266878" w:rsidRPr="00FE008A" w:rsidRDefault="00266878" w:rsidP="00DF1044">
            <w:pPr>
              <w:pStyle w:val="Tableheading"/>
              <w:rPr>
                <w:color w:val="373D41"/>
              </w:rPr>
            </w:pPr>
            <w:r w:rsidRPr="00FE008A">
              <w:rPr>
                <w:color w:val="373D41"/>
              </w:rPr>
              <w:t>Required information</w:t>
            </w:r>
          </w:p>
        </w:tc>
      </w:tr>
      <w:tr w:rsidR="00266878" w:rsidRPr="008A00EB" w14:paraId="76F47DED" w14:textId="77777777" w:rsidTr="00DF1044">
        <w:tc>
          <w:tcPr>
            <w:tcW w:w="1260" w:type="dxa"/>
          </w:tcPr>
          <w:p w14:paraId="09360CBF" w14:textId="77777777" w:rsidR="00266878" w:rsidRPr="008A00EB" w:rsidRDefault="00266878" w:rsidP="00DF1044">
            <w:pPr>
              <w:pStyle w:val="Tabletext"/>
            </w:pPr>
            <w:r w:rsidRPr="008A00EB">
              <w:t>91(2)(a)</w:t>
            </w:r>
          </w:p>
        </w:tc>
        <w:tc>
          <w:tcPr>
            <w:tcW w:w="6253" w:type="dxa"/>
          </w:tcPr>
          <w:p w14:paraId="7993BD9F" w14:textId="77777777" w:rsidR="00266878" w:rsidRPr="004F233F" w:rsidRDefault="00266878" w:rsidP="00DF1044">
            <w:pPr>
              <w:pStyle w:val="Tabletext"/>
            </w:pPr>
            <w:r>
              <w:t xml:space="preserve">details of any examination of the interaction between this Act and other Acts, statutory instruments and the common law </w:t>
            </w:r>
          </w:p>
          <w:p w14:paraId="33DE6C7B" w14:textId="4B2800CD" w:rsidR="00266878" w:rsidRPr="00CB1681" w:rsidRDefault="00266878" w:rsidP="00DF1044">
            <w:pPr>
              <w:pStyle w:val="Tabletext"/>
            </w:pPr>
            <w:r w:rsidRPr="005227C1">
              <w:t>For more information see</w:t>
            </w:r>
            <w:r>
              <w:t xml:space="preserve"> </w:t>
            </w:r>
            <w:r>
              <w:rPr>
                <w:i/>
                <w:iCs/>
              </w:rPr>
              <w:t>Human rights and the public sector</w:t>
            </w:r>
            <w:r w:rsidRPr="27274A20">
              <w:rPr>
                <w:i/>
              </w:rPr>
              <w:t xml:space="preserve"> </w:t>
            </w:r>
            <w:r w:rsidRPr="00E03423">
              <w:t>chapter</w:t>
            </w:r>
            <w:r>
              <w:t>.</w:t>
            </w:r>
          </w:p>
        </w:tc>
      </w:tr>
      <w:tr w:rsidR="00266878" w:rsidRPr="008A00EB" w14:paraId="4B92ADB3" w14:textId="77777777" w:rsidTr="00DF1044">
        <w:tc>
          <w:tcPr>
            <w:tcW w:w="1260" w:type="dxa"/>
          </w:tcPr>
          <w:p w14:paraId="1C8FE5BC" w14:textId="77777777" w:rsidR="00266878" w:rsidRPr="00493F73" w:rsidRDefault="00266878" w:rsidP="00DF1044">
            <w:pPr>
              <w:pStyle w:val="Tabletext"/>
            </w:pPr>
            <w:r w:rsidRPr="00493F73">
              <w:t>91(2)(b)</w:t>
            </w:r>
          </w:p>
        </w:tc>
        <w:tc>
          <w:tcPr>
            <w:tcW w:w="6253" w:type="dxa"/>
          </w:tcPr>
          <w:p w14:paraId="10B8B01E" w14:textId="63EA9581" w:rsidR="00266878" w:rsidRPr="0025566D" w:rsidRDefault="00266878" w:rsidP="00DF1044">
            <w:pPr>
              <w:pStyle w:val="Tabletext"/>
            </w:pPr>
            <w:r>
              <w:t>details of all declarations of incompatibility made</w:t>
            </w:r>
          </w:p>
          <w:p w14:paraId="18493569" w14:textId="6D1C5248" w:rsidR="00266878" w:rsidRPr="00493F73" w:rsidRDefault="00266878" w:rsidP="00DF1044">
            <w:pPr>
              <w:pStyle w:val="Tabletext"/>
            </w:pPr>
            <w:r w:rsidRPr="00493F73">
              <w:t xml:space="preserve">No declarations of incompatibility were made in the </w:t>
            </w:r>
            <w:r w:rsidR="007D27F7">
              <w:t>2022</w:t>
            </w:r>
            <w:r>
              <w:t>–</w:t>
            </w:r>
            <w:r w:rsidRPr="00493F73">
              <w:t>2</w:t>
            </w:r>
            <w:r w:rsidR="007D27F7">
              <w:t>3</w:t>
            </w:r>
            <w:r w:rsidRPr="00493F73">
              <w:t xml:space="preserve"> financial year.</w:t>
            </w:r>
          </w:p>
        </w:tc>
      </w:tr>
      <w:tr w:rsidR="00266878" w:rsidRPr="008A00EB" w14:paraId="715C0ADA" w14:textId="77777777" w:rsidTr="00DF1044">
        <w:tc>
          <w:tcPr>
            <w:tcW w:w="1260" w:type="dxa"/>
          </w:tcPr>
          <w:p w14:paraId="551E7A7A" w14:textId="77777777" w:rsidR="00266878" w:rsidRPr="008A00EB" w:rsidRDefault="00266878" w:rsidP="00DF1044">
            <w:pPr>
              <w:pStyle w:val="Tabletext"/>
            </w:pPr>
            <w:r w:rsidRPr="008A00EB">
              <w:t>91(2)(c)</w:t>
            </w:r>
          </w:p>
        </w:tc>
        <w:tc>
          <w:tcPr>
            <w:tcW w:w="6253" w:type="dxa"/>
          </w:tcPr>
          <w:p w14:paraId="7073AECC" w14:textId="12A20E57" w:rsidR="00266878" w:rsidRPr="0025566D" w:rsidRDefault="00266878" w:rsidP="00DF1044">
            <w:pPr>
              <w:pStyle w:val="Tabletext"/>
            </w:pPr>
            <w:r>
              <w:t>details of all override declarations made</w:t>
            </w:r>
          </w:p>
          <w:p w14:paraId="2105AA1E" w14:textId="5DE5FE5E" w:rsidR="00266878" w:rsidRPr="008A00EB" w:rsidDel="00FD2B6E" w:rsidRDefault="006576CB" w:rsidP="00DF1044">
            <w:pPr>
              <w:pStyle w:val="Tabletext"/>
              <w:rPr>
                <w:i/>
              </w:rPr>
            </w:pPr>
            <w:r w:rsidRPr="006576CB">
              <w:t xml:space="preserve">The </w:t>
            </w:r>
            <w:r w:rsidRPr="00850312">
              <w:rPr>
                <w:i/>
                <w:iCs/>
              </w:rPr>
              <w:t>Strengthening Community Safety Act 2023</w:t>
            </w:r>
            <w:r w:rsidRPr="006576CB">
              <w:t xml:space="preserve"> passed with 4 </w:t>
            </w:r>
            <w:r w:rsidR="00991815">
              <w:t>o</w:t>
            </w:r>
            <w:r w:rsidRPr="006576CB">
              <w:t xml:space="preserve">verride </w:t>
            </w:r>
            <w:r w:rsidR="00991815">
              <w:t>d</w:t>
            </w:r>
            <w:r w:rsidRPr="006576CB">
              <w:t>eclarations.</w:t>
            </w:r>
            <w:r>
              <w:t xml:space="preserve"> </w:t>
            </w:r>
            <w:r w:rsidR="007D27F7" w:rsidRPr="005E2210">
              <w:t>For more information see</w:t>
            </w:r>
            <w:r w:rsidR="007D27F7">
              <w:t xml:space="preserve"> </w:t>
            </w:r>
            <w:r w:rsidR="007D27F7">
              <w:rPr>
                <w:i/>
              </w:rPr>
              <w:t xml:space="preserve">Human rights and the parliament </w:t>
            </w:r>
            <w:r w:rsidR="007D27F7" w:rsidRPr="005E2210">
              <w:t>chapter</w:t>
            </w:r>
            <w:r w:rsidR="007D27F7">
              <w:rPr>
                <w:i/>
              </w:rPr>
              <w:t>.</w:t>
            </w:r>
          </w:p>
        </w:tc>
      </w:tr>
      <w:tr w:rsidR="00266878" w:rsidRPr="008A00EB" w14:paraId="371B12E6" w14:textId="77777777" w:rsidTr="00DF1044">
        <w:tc>
          <w:tcPr>
            <w:tcW w:w="1260" w:type="dxa"/>
          </w:tcPr>
          <w:p w14:paraId="731931BF" w14:textId="77777777" w:rsidR="00266878" w:rsidRPr="008A00EB" w:rsidRDefault="00266878" w:rsidP="00DF1044">
            <w:pPr>
              <w:pStyle w:val="Tabletext"/>
            </w:pPr>
            <w:r w:rsidRPr="008A00EB">
              <w:t>91(2)(d)</w:t>
            </w:r>
          </w:p>
        </w:tc>
        <w:tc>
          <w:tcPr>
            <w:tcW w:w="6253" w:type="dxa"/>
          </w:tcPr>
          <w:p w14:paraId="2C77BE1F" w14:textId="439906C4" w:rsidR="00266878" w:rsidRDefault="00266878" w:rsidP="00DF1044">
            <w:pPr>
              <w:pStyle w:val="Tabletext"/>
            </w:pPr>
            <w:r>
              <w:t xml:space="preserve">details of all interventions by the Attorney-General or the </w:t>
            </w:r>
            <w:r w:rsidR="003E3F82">
              <w:t>C</w:t>
            </w:r>
            <w:r>
              <w:t>ommission under section 50 or 51</w:t>
            </w:r>
          </w:p>
          <w:p w14:paraId="08C5876D" w14:textId="44B0E104" w:rsidR="00266878" w:rsidRDefault="00266878" w:rsidP="00DF1044">
            <w:pPr>
              <w:pStyle w:val="Tabletext"/>
            </w:pPr>
            <w:r>
              <w:t xml:space="preserve">The Commission intervened in </w:t>
            </w:r>
            <w:r w:rsidR="008A18C0">
              <w:t>6</w:t>
            </w:r>
            <w:r>
              <w:t xml:space="preserve"> court matters.</w:t>
            </w:r>
            <w:r w:rsidR="00756165">
              <w:rPr>
                <w:rStyle w:val="FootnoteReference"/>
              </w:rPr>
              <w:footnoteReference w:id="4"/>
            </w:r>
          </w:p>
          <w:p w14:paraId="2C0F4E4F" w14:textId="77777777" w:rsidR="00266878" w:rsidRDefault="00266878" w:rsidP="00DF1044">
            <w:pPr>
              <w:pStyle w:val="Tabletext"/>
            </w:pPr>
            <w:r w:rsidRPr="00287623">
              <w:t xml:space="preserve">The Attorney-General intervened in </w:t>
            </w:r>
            <w:r w:rsidR="009A740B" w:rsidRPr="00287623">
              <w:t>12</w:t>
            </w:r>
            <w:r w:rsidRPr="00287623">
              <w:t xml:space="preserve"> matters.</w:t>
            </w:r>
          </w:p>
          <w:p w14:paraId="1CE9241C" w14:textId="0C4D3C05" w:rsidR="009A740B" w:rsidRPr="009A740B" w:rsidRDefault="009A740B" w:rsidP="00DF1044">
            <w:pPr>
              <w:pStyle w:val="Tabletext"/>
              <w:rPr>
                <w:i/>
              </w:rPr>
            </w:pPr>
            <w:r w:rsidRPr="005E2210">
              <w:t>For more information see</w:t>
            </w:r>
            <w:r>
              <w:rPr>
                <w:i/>
                <w:iCs/>
              </w:rPr>
              <w:t xml:space="preserve"> Human Rights in courts and tribunals - </w:t>
            </w:r>
            <w:r w:rsidR="003573E7">
              <w:rPr>
                <w:i/>
                <w:iCs/>
              </w:rPr>
              <w:t>I</w:t>
            </w:r>
            <w:r>
              <w:rPr>
                <w:i/>
                <w:iCs/>
              </w:rPr>
              <w:t>nterventions</w:t>
            </w:r>
            <w:r w:rsidR="001B2D85">
              <w:rPr>
                <w:i/>
                <w:iCs/>
              </w:rPr>
              <w:t xml:space="preserve"> </w:t>
            </w:r>
            <w:r w:rsidR="001B2D85">
              <w:t>section</w:t>
            </w:r>
            <w:r>
              <w:rPr>
                <w:i/>
                <w:iCs/>
              </w:rPr>
              <w:t>.</w:t>
            </w:r>
          </w:p>
        </w:tc>
      </w:tr>
      <w:tr w:rsidR="00266878" w:rsidRPr="008A00EB" w14:paraId="4FA657C4" w14:textId="77777777" w:rsidTr="00DF1044">
        <w:tc>
          <w:tcPr>
            <w:tcW w:w="1260" w:type="dxa"/>
          </w:tcPr>
          <w:p w14:paraId="24B0DB65" w14:textId="77777777" w:rsidR="00266878" w:rsidRPr="008A00EB" w:rsidRDefault="00266878" w:rsidP="00DF1044">
            <w:pPr>
              <w:pStyle w:val="Tabletext"/>
            </w:pPr>
            <w:r w:rsidRPr="008A00EB">
              <w:t>91(2)(e)</w:t>
            </w:r>
          </w:p>
        </w:tc>
        <w:tc>
          <w:tcPr>
            <w:tcW w:w="6253" w:type="dxa"/>
          </w:tcPr>
          <w:p w14:paraId="2FDD835D" w14:textId="2B064C62" w:rsidR="00266878" w:rsidRPr="00D241DA" w:rsidRDefault="00266878" w:rsidP="00DF1044">
            <w:pPr>
              <w:pStyle w:val="Tabletext"/>
            </w:pPr>
            <w:r>
              <w:t xml:space="preserve">number of human rights complaints made or referred to the </w:t>
            </w:r>
            <w:r w:rsidR="00872DA8">
              <w:t>C</w:t>
            </w:r>
            <w:r>
              <w:t>ommissioner</w:t>
            </w:r>
          </w:p>
          <w:p w14:paraId="6AD3851B" w14:textId="2A593784" w:rsidR="00266878" w:rsidRPr="008A00EB" w:rsidRDefault="00211BE0" w:rsidP="00416B6A">
            <w:pPr>
              <w:pStyle w:val="Tabletext"/>
            </w:pPr>
            <w:r w:rsidRPr="00DF16C3">
              <w:t>The Commission received 762 complaints about human rights in the financial year.</w:t>
            </w:r>
            <w:r w:rsidR="00B769CE">
              <w:t xml:space="preserve"> </w:t>
            </w:r>
            <w:r w:rsidR="009F3069" w:rsidRPr="00DF16C3">
              <w:t xml:space="preserve">The number of </w:t>
            </w:r>
            <w:r w:rsidR="002F1FC4" w:rsidRPr="00DF16C3">
              <w:t xml:space="preserve">human rights </w:t>
            </w:r>
            <w:r w:rsidR="009F3069" w:rsidRPr="00DF16C3">
              <w:t xml:space="preserve">complaints finalised in the financial year </w:t>
            </w:r>
            <w:r w:rsidR="0015460B">
              <w:t>was</w:t>
            </w:r>
            <w:r w:rsidR="00136B56" w:rsidRPr="00DF16C3">
              <w:t xml:space="preserve"> 561</w:t>
            </w:r>
            <w:r w:rsidR="0015460B">
              <w:t>.</w:t>
            </w:r>
            <w:r w:rsidR="00136B56">
              <w:t xml:space="preserve"> </w:t>
            </w:r>
            <w:r w:rsidR="00C32F6A">
              <w:t xml:space="preserve">Of these, </w:t>
            </w:r>
            <w:r w:rsidR="008337E8" w:rsidRPr="00DF16C3">
              <w:t xml:space="preserve">209 were human rights only complaints and </w:t>
            </w:r>
            <w:r w:rsidR="009E0FE1" w:rsidRPr="00DF16C3">
              <w:t xml:space="preserve">352 were </w:t>
            </w:r>
            <w:r w:rsidR="005A63F6">
              <w:t>piggy-back</w:t>
            </w:r>
            <w:r w:rsidR="008F318F" w:rsidRPr="00DF16C3">
              <w:t xml:space="preserve"> complaints</w:t>
            </w:r>
            <w:r w:rsidR="00136B56" w:rsidRPr="00DF16C3">
              <w:t>.</w:t>
            </w:r>
          </w:p>
        </w:tc>
      </w:tr>
      <w:tr w:rsidR="00266878" w:rsidRPr="008A00EB" w14:paraId="3F7D59A0" w14:textId="77777777" w:rsidTr="00DF1044">
        <w:tc>
          <w:tcPr>
            <w:tcW w:w="1260" w:type="dxa"/>
          </w:tcPr>
          <w:p w14:paraId="3B81D6E4" w14:textId="77777777" w:rsidR="00266878" w:rsidRPr="008A00EB" w:rsidRDefault="00266878" w:rsidP="00DF1044">
            <w:pPr>
              <w:pStyle w:val="Tabletext"/>
            </w:pPr>
            <w:r w:rsidRPr="008A00EB">
              <w:t>91(2)(f)</w:t>
            </w:r>
          </w:p>
        </w:tc>
        <w:tc>
          <w:tcPr>
            <w:tcW w:w="6253" w:type="dxa"/>
          </w:tcPr>
          <w:p w14:paraId="7F1DB6C0" w14:textId="2C2BF59B" w:rsidR="00266878" w:rsidRPr="008B4CA7" w:rsidRDefault="00266878" w:rsidP="00DF1044">
            <w:pPr>
              <w:pStyle w:val="Tabletext"/>
            </w:pPr>
            <w:r>
              <w:t xml:space="preserve">outcome of human rights complaints accepted by the </w:t>
            </w:r>
            <w:r w:rsidR="00872DA8">
              <w:t>C</w:t>
            </w:r>
            <w:r>
              <w:t xml:space="preserve">ommissioner for resolution by the </w:t>
            </w:r>
            <w:r w:rsidR="00872DA8">
              <w:t>C</w:t>
            </w:r>
            <w:r>
              <w:t>ommission, including whether or not the complaints were resolved by conciliation or otherwise</w:t>
            </w:r>
          </w:p>
          <w:p w14:paraId="31F8E05B" w14:textId="3C624B8B" w:rsidR="00266878" w:rsidRPr="008A00EB" w:rsidRDefault="00266878" w:rsidP="00DF1044">
            <w:pPr>
              <w:pStyle w:val="Tabletext"/>
            </w:pPr>
            <w:r w:rsidRPr="008A00EB">
              <w:t xml:space="preserve">Of the </w:t>
            </w:r>
            <w:r w:rsidR="006354E8" w:rsidRPr="00596ADF">
              <w:t>24</w:t>
            </w:r>
            <w:r w:rsidR="009F642F" w:rsidRPr="00596ADF">
              <w:t>1</w:t>
            </w:r>
            <w:r>
              <w:t xml:space="preserve"> </w:t>
            </w:r>
            <w:r w:rsidRPr="008A00EB">
              <w:t xml:space="preserve">accepted complaints finalised in the </w:t>
            </w:r>
            <w:r>
              <w:t>202</w:t>
            </w:r>
            <w:r w:rsidR="00E3244B">
              <w:t>2</w:t>
            </w:r>
            <w:r>
              <w:t>–2</w:t>
            </w:r>
            <w:r w:rsidR="00E3244B">
              <w:t>3</w:t>
            </w:r>
            <w:r w:rsidRPr="008A00EB">
              <w:t xml:space="preserve"> financial year:</w:t>
            </w:r>
          </w:p>
          <w:p w14:paraId="33C3DF99" w14:textId="3B70B59E" w:rsidR="00266878" w:rsidRPr="008A00EB" w:rsidRDefault="002825F1" w:rsidP="00B769CE">
            <w:pPr>
              <w:pStyle w:val="Tabletext"/>
              <w:numPr>
                <w:ilvl w:val="0"/>
                <w:numId w:val="46"/>
              </w:numPr>
            </w:pPr>
            <w:r w:rsidRPr="00596ADF">
              <w:t>5</w:t>
            </w:r>
            <w:r w:rsidR="00B3391B" w:rsidRPr="00596ADF">
              <w:t>7</w:t>
            </w:r>
            <w:r>
              <w:t xml:space="preserve"> c</w:t>
            </w:r>
            <w:r w:rsidR="00266878" w:rsidRPr="008A00EB">
              <w:t xml:space="preserve">omplaints were </w:t>
            </w:r>
            <w:r w:rsidR="00266878">
              <w:t>resolved</w:t>
            </w:r>
          </w:p>
          <w:p w14:paraId="7C65B091" w14:textId="371EE428" w:rsidR="00266878" w:rsidRPr="008A00EB" w:rsidRDefault="003F2BA2" w:rsidP="00B769CE">
            <w:pPr>
              <w:pStyle w:val="Tabletext"/>
              <w:numPr>
                <w:ilvl w:val="0"/>
                <w:numId w:val="46"/>
              </w:numPr>
            </w:pPr>
            <w:r>
              <w:t xml:space="preserve">41 </w:t>
            </w:r>
            <w:r w:rsidR="00266878" w:rsidRPr="008A00EB">
              <w:t>complaint</w:t>
            </w:r>
            <w:r w:rsidR="00266878">
              <w:t>s were</w:t>
            </w:r>
            <w:r w:rsidR="00266878" w:rsidRPr="008A00EB">
              <w:t xml:space="preserve"> referred to </w:t>
            </w:r>
            <w:r w:rsidR="00266878">
              <w:t xml:space="preserve">the </w:t>
            </w:r>
            <w:r w:rsidR="00266878" w:rsidRPr="008A00EB">
              <w:t>Queensland Civil and Administrative Tribunal</w:t>
            </w:r>
          </w:p>
          <w:p w14:paraId="6433AF86" w14:textId="66F06BF2" w:rsidR="00266878" w:rsidRPr="005C5F81" w:rsidRDefault="005A43FA" w:rsidP="00B769CE">
            <w:pPr>
              <w:pStyle w:val="Tabletext"/>
              <w:numPr>
                <w:ilvl w:val="0"/>
                <w:numId w:val="46"/>
              </w:numPr>
            </w:pPr>
            <w:r>
              <w:t>32</w:t>
            </w:r>
            <w:r w:rsidR="00266878" w:rsidRPr="008A00EB">
              <w:t xml:space="preserve"> complaint</w:t>
            </w:r>
            <w:r w:rsidR="00266878">
              <w:t>s</w:t>
            </w:r>
            <w:r w:rsidR="00266878" w:rsidRPr="008A00EB">
              <w:t xml:space="preserve"> </w:t>
            </w:r>
            <w:r w:rsidR="00266878">
              <w:t>were</w:t>
            </w:r>
            <w:r w:rsidR="00266878" w:rsidRPr="008A00EB">
              <w:t xml:space="preserve"> referred to </w:t>
            </w:r>
            <w:r w:rsidR="00266878">
              <w:t xml:space="preserve">the </w:t>
            </w:r>
            <w:r w:rsidR="00266878" w:rsidRPr="008A00EB">
              <w:t>Queensland Industrial Relations Commission.</w:t>
            </w:r>
          </w:p>
          <w:p w14:paraId="2DE18378" w14:textId="44D880D7" w:rsidR="00266878" w:rsidRPr="008A00EB" w:rsidRDefault="00266878" w:rsidP="00DF1044">
            <w:pPr>
              <w:pStyle w:val="Tabletext"/>
              <w:rPr>
                <w:i/>
              </w:rPr>
            </w:pPr>
            <w:r w:rsidRPr="00C9283E">
              <w:rPr>
                <w:rFonts w:cs="Arial"/>
              </w:rPr>
              <w:t>For more information, see</w:t>
            </w:r>
            <w:r w:rsidRPr="008A00EB">
              <w:rPr>
                <w:rFonts w:cs="Arial"/>
              </w:rPr>
              <w:t xml:space="preserve"> </w:t>
            </w:r>
            <w:r w:rsidRPr="008A00EB">
              <w:rPr>
                <w:i/>
              </w:rPr>
              <w:t xml:space="preserve">Human rights </w:t>
            </w:r>
            <w:r>
              <w:rPr>
                <w:i/>
              </w:rPr>
              <w:t>complaints – Outcomes of f</w:t>
            </w:r>
            <w:r w:rsidRPr="008A00EB">
              <w:rPr>
                <w:i/>
              </w:rPr>
              <w:t xml:space="preserve">inalised </w:t>
            </w:r>
            <w:r>
              <w:rPr>
                <w:i/>
              </w:rPr>
              <w:t>c</w:t>
            </w:r>
            <w:r w:rsidRPr="008A00EB">
              <w:rPr>
                <w:i/>
              </w:rPr>
              <w:t xml:space="preserve">omplaints </w:t>
            </w:r>
            <w:r w:rsidRPr="008A00EB">
              <w:t xml:space="preserve">and </w:t>
            </w:r>
            <w:r>
              <w:rPr>
                <w:i/>
              </w:rPr>
              <w:t>Resolved complaint case</w:t>
            </w:r>
            <w:r w:rsidRPr="008A00EB">
              <w:rPr>
                <w:i/>
              </w:rPr>
              <w:t xml:space="preserve"> studies</w:t>
            </w:r>
            <w:r>
              <w:rPr>
                <w:i/>
              </w:rPr>
              <w:t xml:space="preserve"> </w:t>
            </w:r>
            <w:r w:rsidRPr="27274A20">
              <w:t>sections</w:t>
            </w:r>
            <w:r>
              <w:t>.</w:t>
            </w:r>
          </w:p>
        </w:tc>
      </w:tr>
      <w:tr w:rsidR="00266878" w:rsidRPr="008A00EB" w14:paraId="3141B38C" w14:textId="77777777" w:rsidTr="00DF1044">
        <w:tc>
          <w:tcPr>
            <w:tcW w:w="1260" w:type="dxa"/>
          </w:tcPr>
          <w:p w14:paraId="46E43075" w14:textId="77777777" w:rsidR="00266878" w:rsidRPr="008A00EB" w:rsidRDefault="00266878" w:rsidP="00DF1044">
            <w:pPr>
              <w:pStyle w:val="Tabletext"/>
            </w:pPr>
            <w:r w:rsidRPr="008A00EB">
              <w:t>91(2)(g)</w:t>
            </w:r>
          </w:p>
        </w:tc>
        <w:tc>
          <w:tcPr>
            <w:tcW w:w="6253" w:type="dxa"/>
          </w:tcPr>
          <w:p w14:paraId="68016EDF" w14:textId="3B00D8BA" w:rsidR="00266878" w:rsidRPr="0025566D" w:rsidRDefault="00266878" w:rsidP="00DF1044">
            <w:pPr>
              <w:pStyle w:val="Tabletext"/>
            </w:pPr>
            <w:r>
              <w:t xml:space="preserve">the number of human rights complaints resolved by the </w:t>
            </w:r>
            <w:r w:rsidR="00872DA8">
              <w:t>C</w:t>
            </w:r>
            <w:r>
              <w:t>ommission</w:t>
            </w:r>
          </w:p>
          <w:p w14:paraId="29D1C7D0" w14:textId="25655864" w:rsidR="00266878" w:rsidRDefault="00266878" w:rsidP="003034DE">
            <w:pPr>
              <w:pStyle w:val="Tabletext"/>
              <w:rPr>
                <w:rFonts w:cs="Arial"/>
              </w:rPr>
            </w:pPr>
            <w:r w:rsidRPr="008A00EB">
              <w:t xml:space="preserve">In the </w:t>
            </w:r>
            <w:r>
              <w:t>202</w:t>
            </w:r>
            <w:r w:rsidR="00A95C58">
              <w:t>2</w:t>
            </w:r>
            <w:r>
              <w:t>–2</w:t>
            </w:r>
            <w:r w:rsidR="00A95C58">
              <w:t>3</w:t>
            </w:r>
            <w:r w:rsidRPr="008A00EB">
              <w:t xml:space="preserve"> financial year</w:t>
            </w:r>
            <w:r>
              <w:t xml:space="preserve">, </w:t>
            </w:r>
            <w:r w:rsidR="00D0210C">
              <w:t>5</w:t>
            </w:r>
            <w:r w:rsidR="002E7029">
              <w:t>7</w:t>
            </w:r>
            <w:r w:rsidRPr="008A00EB">
              <w:t xml:space="preserve"> complaints were resolved and finalised</w:t>
            </w:r>
            <w:r w:rsidR="00FD5191">
              <w:t xml:space="preserve"> by the Commission</w:t>
            </w:r>
            <w:r w:rsidRPr="008A00EB">
              <w:t>, comprising</w:t>
            </w:r>
            <w:r w:rsidR="003034DE">
              <w:t xml:space="preserve"> </w:t>
            </w:r>
            <w:r w:rsidR="00A933E8">
              <w:t>2</w:t>
            </w:r>
            <w:r w:rsidR="008E3B12">
              <w:t>2</w:t>
            </w:r>
            <w:r w:rsidRPr="008A00EB">
              <w:t xml:space="preserve"> human rights only complaints </w:t>
            </w:r>
            <w:r w:rsidR="003034DE">
              <w:t xml:space="preserve">and </w:t>
            </w:r>
            <w:r w:rsidR="00B61A3B">
              <w:t>3</w:t>
            </w:r>
            <w:r w:rsidR="008E3B12">
              <w:t>5</w:t>
            </w:r>
            <w:r w:rsidR="00B61A3B">
              <w:t xml:space="preserve"> </w:t>
            </w:r>
            <w:r>
              <w:t>piggy-back complaint</w:t>
            </w:r>
            <w:r w:rsidRPr="008A00EB">
              <w:t>s</w:t>
            </w:r>
            <w:r w:rsidR="00FD5191">
              <w:t>.</w:t>
            </w:r>
            <w:r w:rsidRPr="008A00EB">
              <w:t xml:space="preserve"> </w:t>
            </w:r>
          </w:p>
          <w:p w14:paraId="6FEB4EFA" w14:textId="40D38BA7" w:rsidR="00266878" w:rsidRPr="008A00EB" w:rsidRDefault="00266878" w:rsidP="00DF1044">
            <w:pPr>
              <w:pStyle w:val="Tabletext"/>
              <w:rPr>
                <w:i/>
              </w:rPr>
            </w:pPr>
            <w:r w:rsidRPr="00324FFA">
              <w:rPr>
                <w:rFonts w:cs="Arial"/>
              </w:rPr>
              <w:t>For more information</w:t>
            </w:r>
            <w:r w:rsidRPr="008A00EB">
              <w:rPr>
                <w:rFonts w:cs="Arial"/>
              </w:rPr>
              <w:t xml:space="preserve"> see </w:t>
            </w:r>
            <w:r w:rsidRPr="008A00EB">
              <w:rPr>
                <w:i/>
              </w:rPr>
              <w:t>Human rights complaints</w:t>
            </w:r>
            <w:r>
              <w:rPr>
                <w:i/>
              </w:rPr>
              <w:t xml:space="preserve"> – Human rights complaints snapshot</w:t>
            </w:r>
            <w:r>
              <w:t>.</w:t>
            </w:r>
          </w:p>
        </w:tc>
      </w:tr>
      <w:tr w:rsidR="00266878" w:rsidRPr="008A00EB" w14:paraId="08BB26BE" w14:textId="77777777" w:rsidTr="00DF1044">
        <w:tc>
          <w:tcPr>
            <w:tcW w:w="1260" w:type="dxa"/>
          </w:tcPr>
          <w:p w14:paraId="4091DCE6" w14:textId="77777777" w:rsidR="00266878" w:rsidRPr="008A00EB" w:rsidRDefault="00266878" w:rsidP="00DF1044">
            <w:pPr>
              <w:pStyle w:val="Tabletext"/>
            </w:pPr>
            <w:r w:rsidRPr="008A00EB">
              <w:t>91(2)(h)</w:t>
            </w:r>
          </w:p>
        </w:tc>
        <w:tc>
          <w:tcPr>
            <w:tcW w:w="6253" w:type="dxa"/>
          </w:tcPr>
          <w:p w14:paraId="36D431A1" w14:textId="77777777" w:rsidR="00266878" w:rsidRPr="00262D0D" w:rsidRDefault="00266878" w:rsidP="00DF1044">
            <w:pPr>
              <w:pStyle w:val="Tabletext"/>
            </w:pPr>
            <w:r>
              <w:t>the number of conciliation conferences conducted under this part</w:t>
            </w:r>
          </w:p>
          <w:p w14:paraId="39F86157" w14:textId="2D1BD2AC" w:rsidR="00266878" w:rsidRPr="001A7112" w:rsidRDefault="00BE6E00" w:rsidP="00DF1044">
            <w:pPr>
              <w:pStyle w:val="Tabletext"/>
            </w:pPr>
            <w:r>
              <w:t>185</w:t>
            </w:r>
            <w:r w:rsidR="00266878">
              <w:t xml:space="preserve"> conciliation conferences relating to human rights were scheduled in the 202</w:t>
            </w:r>
            <w:r w:rsidR="00BB7B4F">
              <w:t>2</w:t>
            </w:r>
            <w:r w:rsidR="00266878">
              <w:t>–2</w:t>
            </w:r>
            <w:r w:rsidR="00BB7B4F">
              <w:t>3</w:t>
            </w:r>
            <w:r w:rsidR="00266878">
              <w:t xml:space="preserve"> financial year. Piggy-back complaints accounted for </w:t>
            </w:r>
            <w:r w:rsidR="00F740D2">
              <w:t>137</w:t>
            </w:r>
            <w:r w:rsidR="00266878">
              <w:t xml:space="preserve">, and </w:t>
            </w:r>
            <w:r w:rsidR="00512D3D">
              <w:t>48</w:t>
            </w:r>
            <w:r w:rsidR="00266878">
              <w:t xml:space="preserve"> were for human rights only complaints.</w:t>
            </w:r>
          </w:p>
        </w:tc>
      </w:tr>
      <w:tr w:rsidR="00266878" w:rsidRPr="008A00EB" w14:paraId="267EE05B" w14:textId="77777777" w:rsidTr="00DF1044">
        <w:tc>
          <w:tcPr>
            <w:tcW w:w="1260" w:type="dxa"/>
          </w:tcPr>
          <w:p w14:paraId="0EC9FC3A" w14:textId="77777777" w:rsidR="00266878" w:rsidRPr="00A81ABB" w:rsidRDefault="00266878" w:rsidP="00DF1044">
            <w:pPr>
              <w:pStyle w:val="Tabletext"/>
            </w:pPr>
            <w:r w:rsidRPr="00A81ABB">
              <w:t>91(2)(</w:t>
            </w:r>
            <w:proofErr w:type="spellStart"/>
            <w:r w:rsidRPr="00A81ABB">
              <w:t>i</w:t>
            </w:r>
            <w:proofErr w:type="spellEnd"/>
            <w:r w:rsidRPr="00A81ABB">
              <w:t>)</w:t>
            </w:r>
          </w:p>
        </w:tc>
        <w:tc>
          <w:tcPr>
            <w:tcW w:w="6253" w:type="dxa"/>
          </w:tcPr>
          <w:p w14:paraId="75DDEF32" w14:textId="77777777" w:rsidR="00266878" w:rsidRPr="003D612B" w:rsidRDefault="00266878" w:rsidP="00DF1044">
            <w:pPr>
              <w:pStyle w:val="Tabletext"/>
            </w:pPr>
            <w:r>
              <w:t>the number of public entities that were asked or directed to take part in a conciliation conference, and the number that failed to comply with a direction to take part</w:t>
            </w:r>
          </w:p>
          <w:p w14:paraId="5E2E3EDC" w14:textId="01F08B51" w:rsidR="00266878" w:rsidRPr="00A81ABB" w:rsidRDefault="00266878" w:rsidP="00DF1044">
            <w:pPr>
              <w:pStyle w:val="Tabletext"/>
            </w:pPr>
            <w:r>
              <w:t>Most accepted complaints</w:t>
            </w:r>
            <w:r w:rsidRPr="00A81ABB">
              <w:t xml:space="preserve"> involved more than one respondent</w:t>
            </w:r>
            <w:r>
              <w:t>, and some</w:t>
            </w:r>
            <w:r w:rsidRPr="00A81ABB">
              <w:t xml:space="preserve"> public entities were directed to attend on more than one occasion. </w:t>
            </w:r>
            <w:r w:rsidRPr="001F5E6D">
              <w:t xml:space="preserve">Overall, </w:t>
            </w:r>
            <w:r w:rsidR="00C217D4" w:rsidRPr="001F5E6D">
              <w:t>39</w:t>
            </w:r>
            <w:r w:rsidR="00DB1B06" w:rsidRPr="001F5E6D">
              <w:t>2</w:t>
            </w:r>
            <w:r w:rsidR="007E35F9" w:rsidRPr="001F5E6D">
              <w:t xml:space="preserve"> </w:t>
            </w:r>
            <w:r w:rsidRPr="001F5E6D">
              <w:t xml:space="preserve">discrete respondents were directed to take part, of which </w:t>
            </w:r>
            <w:r w:rsidR="003F6A43" w:rsidRPr="001F5E6D">
              <w:t>32</w:t>
            </w:r>
            <w:r w:rsidR="00DF7857" w:rsidRPr="001F5E6D">
              <w:t>4</w:t>
            </w:r>
            <w:r w:rsidRPr="001F5E6D">
              <w:t xml:space="preserve"> were individual people, and </w:t>
            </w:r>
            <w:r w:rsidR="002A38AF" w:rsidRPr="001F5E6D">
              <w:t>6</w:t>
            </w:r>
            <w:r w:rsidR="0086179B" w:rsidRPr="001F5E6D">
              <w:t>8</w:t>
            </w:r>
            <w:r w:rsidRPr="001F5E6D">
              <w:t xml:space="preserve"> were public entities such as government departments</w:t>
            </w:r>
            <w:r w:rsidR="002A38AF" w:rsidRPr="001F5E6D">
              <w:t>,</w:t>
            </w:r>
            <w:r w:rsidRPr="001F5E6D">
              <w:t xml:space="preserve"> councils</w:t>
            </w:r>
            <w:r w:rsidR="002A38AF" w:rsidRPr="001F5E6D">
              <w:t xml:space="preserve"> or </w:t>
            </w:r>
            <w:r w:rsidR="006265DE">
              <w:t>functional public entities</w:t>
            </w:r>
            <w:r w:rsidRPr="001F5E6D">
              <w:t>.</w:t>
            </w:r>
            <w:r w:rsidRPr="00A81ABB">
              <w:t xml:space="preserve"> </w:t>
            </w:r>
          </w:p>
          <w:p w14:paraId="2F2E54C4" w14:textId="189C95D6" w:rsidR="00266878" w:rsidRPr="00A81ABB" w:rsidRDefault="00266878" w:rsidP="00DF1044">
            <w:pPr>
              <w:pStyle w:val="Tabletext"/>
            </w:pPr>
            <w:r w:rsidRPr="00A81ABB">
              <w:t>No public entities failed to comply with a direction to attend a conference in the 202</w:t>
            </w:r>
            <w:r w:rsidR="007B032E">
              <w:t>2</w:t>
            </w:r>
            <w:r>
              <w:t>–</w:t>
            </w:r>
            <w:r w:rsidRPr="00A81ABB">
              <w:t>2</w:t>
            </w:r>
            <w:r w:rsidR="007B032E">
              <w:t>3</w:t>
            </w:r>
            <w:r w:rsidRPr="00A81ABB">
              <w:t xml:space="preserve"> financial year.</w:t>
            </w:r>
          </w:p>
          <w:p w14:paraId="1F76AAB0" w14:textId="5D250F11" w:rsidR="00266878" w:rsidRPr="00A81ABB" w:rsidRDefault="00266878" w:rsidP="00DF1044">
            <w:pPr>
              <w:pStyle w:val="Tabletext"/>
              <w:rPr>
                <w:i/>
              </w:rPr>
            </w:pPr>
            <w:r w:rsidRPr="00492D1E">
              <w:rPr>
                <w:iCs/>
              </w:rPr>
              <w:t xml:space="preserve">For more information, see </w:t>
            </w:r>
            <w:r w:rsidRPr="00A81ABB">
              <w:rPr>
                <w:i/>
              </w:rPr>
              <w:t>Human rights complaints – finalised complaints by sector</w:t>
            </w:r>
            <w:r w:rsidR="00267D72">
              <w:rPr>
                <w:i/>
              </w:rPr>
              <w:t xml:space="preserve"> </w:t>
            </w:r>
            <w:r w:rsidR="00267D72">
              <w:rPr>
                <w:iCs/>
              </w:rPr>
              <w:t>section</w:t>
            </w:r>
            <w:r w:rsidRPr="00A81ABB">
              <w:t>.</w:t>
            </w:r>
          </w:p>
        </w:tc>
      </w:tr>
      <w:tr w:rsidR="00266878" w:rsidRPr="008A00EB" w14:paraId="5625F284" w14:textId="77777777" w:rsidTr="00DF1044">
        <w:tc>
          <w:tcPr>
            <w:tcW w:w="1260" w:type="dxa"/>
          </w:tcPr>
          <w:p w14:paraId="6C71C24C" w14:textId="77777777" w:rsidR="00266878" w:rsidRPr="008A00EB" w:rsidRDefault="00266878" w:rsidP="00DF1044">
            <w:pPr>
              <w:pStyle w:val="Tabletext"/>
            </w:pPr>
            <w:r w:rsidRPr="008A00EB">
              <w:t>91(2)(j)</w:t>
            </w:r>
          </w:p>
        </w:tc>
        <w:tc>
          <w:tcPr>
            <w:tcW w:w="6253" w:type="dxa"/>
          </w:tcPr>
          <w:p w14:paraId="6337C323" w14:textId="1BF8C36D" w:rsidR="00266878" w:rsidRPr="008A00EB" w:rsidRDefault="00266878" w:rsidP="00DF1044">
            <w:pPr>
              <w:pStyle w:val="Tabletext"/>
            </w:pPr>
            <w:r>
              <w:t xml:space="preserve">the number of human rights complaints received by particular public entities decided by the </w:t>
            </w:r>
            <w:r w:rsidR="00872DA8">
              <w:t>C</w:t>
            </w:r>
            <w:r>
              <w:t>ommissioner</w:t>
            </w:r>
          </w:p>
          <w:p w14:paraId="2FBBE3FB" w14:textId="5A5FD354" w:rsidR="00266878" w:rsidRPr="003E52B7" w:rsidRDefault="00266878" w:rsidP="00FD5191">
            <w:pPr>
              <w:pStyle w:val="Tabletext"/>
            </w:pPr>
            <w:r w:rsidRPr="008A00EB">
              <w:t xml:space="preserve">This information is too detailed to reproduce in the report summary. </w:t>
            </w:r>
            <w:r w:rsidRPr="00492D1E">
              <w:rPr>
                <w:rFonts w:cs="Arial"/>
                <w:iCs/>
              </w:rPr>
              <w:t>See</w:t>
            </w:r>
            <w:r w:rsidRPr="00492D1E">
              <w:rPr>
                <w:rFonts w:cs="Arial"/>
              </w:rPr>
              <w:t xml:space="preserve"> </w:t>
            </w:r>
            <w:r w:rsidRPr="008A00EB">
              <w:rPr>
                <w:i/>
              </w:rPr>
              <w:t xml:space="preserve">Human rights complaints </w:t>
            </w:r>
            <w:r w:rsidR="00FB241A">
              <w:rPr>
                <w:i/>
              </w:rPr>
              <w:t>–</w:t>
            </w:r>
            <w:r w:rsidRPr="008A00EB">
              <w:rPr>
                <w:i/>
              </w:rPr>
              <w:t xml:space="preserve"> </w:t>
            </w:r>
            <w:r w:rsidR="00FB241A">
              <w:rPr>
                <w:i/>
              </w:rPr>
              <w:t>Complaints</w:t>
            </w:r>
            <w:r>
              <w:rPr>
                <w:i/>
              </w:rPr>
              <w:t xml:space="preserve"> made </w:t>
            </w:r>
            <w:r w:rsidR="00FB241A">
              <w:rPr>
                <w:i/>
              </w:rPr>
              <w:t>directly</w:t>
            </w:r>
            <w:r>
              <w:rPr>
                <w:i/>
              </w:rPr>
              <w:t xml:space="preserve"> to public entities</w:t>
            </w:r>
            <w:r w:rsidR="00637FCA">
              <w:rPr>
                <w:i/>
              </w:rPr>
              <w:t xml:space="preserve"> </w:t>
            </w:r>
            <w:r w:rsidR="00637FCA">
              <w:t>section</w:t>
            </w:r>
            <w:r>
              <w:t>.</w:t>
            </w:r>
          </w:p>
        </w:tc>
      </w:tr>
      <w:tr w:rsidR="00266878" w:rsidRPr="003E52B7" w14:paraId="198285BD" w14:textId="77777777" w:rsidTr="00DF1044">
        <w:tc>
          <w:tcPr>
            <w:tcW w:w="1260" w:type="dxa"/>
          </w:tcPr>
          <w:p w14:paraId="08D5A618" w14:textId="77777777" w:rsidR="00266878" w:rsidRPr="008A00EB" w:rsidRDefault="00266878" w:rsidP="00DF1044">
            <w:pPr>
              <w:pStyle w:val="Tabletext"/>
            </w:pPr>
            <w:r>
              <w:t xml:space="preserve">88(4) </w:t>
            </w:r>
          </w:p>
        </w:tc>
        <w:tc>
          <w:tcPr>
            <w:tcW w:w="6253" w:type="dxa"/>
          </w:tcPr>
          <w:p w14:paraId="0751AF07" w14:textId="635BDAFB" w:rsidR="00266878" w:rsidRPr="00223CA9" w:rsidRDefault="00266878" w:rsidP="00DF1044">
            <w:pPr>
              <w:pStyle w:val="Tabletext"/>
            </w:pPr>
            <w:r>
              <w:t xml:space="preserve">details of action the </w:t>
            </w:r>
            <w:r w:rsidR="00872DA8">
              <w:t>C</w:t>
            </w:r>
            <w:r>
              <w:t xml:space="preserve">ommissioner </w:t>
            </w:r>
            <w:r>
              <w:rPr>
                <w:iCs/>
              </w:rPr>
              <w:t xml:space="preserve">considers the respondent should take to ensure its acts and decisions are compatible with human rights, </w:t>
            </w:r>
            <w:r>
              <w:t>following an unresolved conciliation</w:t>
            </w:r>
          </w:p>
          <w:p w14:paraId="2DFF5863" w14:textId="77777777" w:rsidR="00266878" w:rsidRDefault="00FB3853" w:rsidP="00DF1044">
            <w:pPr>
              <w:pStyle w:val="Tabletext"/>
            </w:pPr>
            <w:r>
              <w:t>Two reports on unresolved complaints with recommendations were made this financial year.</w:t>
            </w:r>
            <w:r w:rsidR="00521986">
              <w:t xml:space="preserve"> </w:t>
            </w:r>
          </w:p>
          <w:p w14:paraId="63B45DE2" w14:textId="09A1DBE1" w:rsidR="00FB3853" w:rsidRPr="00311AAF" w:rsidRDefault="00FB3853" w:rsidP="00DF1044">
            <w:pPr>
              <w:pStyle w:val="Tabletext"/>
              <w:rPr>
                <w:i/>
              </w:rPr>
            </w:pPr>
            <w:r w:rsidRPr="00492D1E">
              <w:rPr>
                <w:iCs/>
              </w:rPr>
              <w:t xml:space="preserve">For more information, see </w:t>
            </w:r>
            <w:r w:rsidRPr="00A81ABB">
              <w:rPr>
                <w:i/>
              </w:rPr>
              <w:t>Human rights complaints –</w:t>
            </w:r>
            <w:r w:rsidR="003C0E77">
              <w:rPr>
                <w:i/>
              </w:rPr>
              <w:t xml:space="preserve"> </w:t>
            </w:r>
            <w:r w:rsidR="003C0E77" w:rsidRPr="003C0E77">
              <w:rPr>
                <w:i/>
              </w:rPr>
              <w:t>Unresolved complaints with recommendations</w:t>
            </w:r>
            <w:r w:rsidR="003C0E77">
              <w:rPr>
                <w:i/>
              </w:rPr>
              <w:t xml:space="preserve"> </w:t>
            </w:r>
            <w:r>
              <w:rPr>
                <w:iCs/>
              </w:rPr>
              <w:t>section</w:t>
            </w:r>
            <w:r w:rsidRPr="00A81ABB">
              <w:t>.</w:t>
            </w:r>
          </w:p>
        </w:tc>
      </w:tr>
    </w:tbl>
    <w:p w14:paraId="3F5166F2" w14:textId="77777777" w:rsidR="00266878" w:rsidRPr="007A0EBB" w:rsidRDefault="00266878" w:rsidP="00266878"/>
    <w:p w14:paraId="1813FAA8" w14:textId="77777777" w:rsidR="00B24A96" w:rsidRPr="00BF20A9" w:rsidRDefault="00506EDA" w:rsidP="00B24A96">
      <w:pPr>
        <w:pStyle w:val="Heading1"/>
        <w:rPr>
          <w:color w:val="373D41"/>
        </w:rPr>
      </w:pPr>
      <w:bookmarkStart w:id="86" w:name="_Toc117697108"/>
      <w:bookmarkStart w:id="87" w:name="_Toc147757254"/>
      <w:bookmarkStart w:id="88" w:name="_Toc148086872"/>
      <w:r w:rsidRPr="00BF20A9">
        <w:rPr>
          <w:color w:val="373D41"/>
        </w:rPr>
        <w:t>Report highlights</w:t>
      </w:r>
      <w:bookmarkStart w:id="89" w:name="_Toc1926580646"/>
      <w:bookmarkEnd w:id="85"/>
      <w:bookmarkEnd w:id="86"/>
      <w:bookmarkEnd w:id="87"/>
      <w:bookmarkEnd w:id="88"/>
    </w:p>
    <w:p w14:paraId="4C8759A8" w14:textId="10B4A4AD" w:rsidR="006D4B9C" w:rsidRPr="00BF20A9" w:rsidRDefault="004F5E5C" w:rsidP="006D4B9C">
      <w:pPr>
        <w:pStyle w:val="Heading2"/>
        <w:rPr>
          <w:rStyle w:val="Heading2Char"/>
          <w:color w:val="373D41"/>
        </w:rPr>
      </w:pPr>
      <w:bookmarkStart w:id="90" w:name="_Toc148086873"/>
      <w:bookmarkStart w:id="91" w:name="_Toc117697109"/>
      <w:bookmarkStart w:id="92" w:name="_Toc117697816"/>
      <w:bookmarkStart w:id="93" w:name="_Toc147757255"/>
      <w:r w:rsidRPr="00BF20A9">
        <w:rPr>
          <w:rStyle w:val="Heading2Char"/>
          <w:color w:val="373D41"/>
        </w:rPr>
        <w:t>Developing human rights case law</w:t>
      </w:r>
      <w:bookmarkEnd w:id="90"/>
    </w:p>
    <w:p w14:paraId="7F875AE5" w14:textId="4D34D8F3" w:rsidR="006D4B9C" w:rsidRDefault="006D4B9C" w:rsidP="006D4B9C">
      <w:r>
        <w:t>In</w:t>
      </w:r>
      <w:r w:rsidRPr="00B474CF">
        <w:t xml:space="preserve"> 2022-23, there were significant </w:t>
      </w:r>
      <w:r>
        <w:t>developments</w:t>
      </w:r>
      <w:r w:rsidRPr="00B474CF">
        <w:t xml:space="preserve"> in the </w:t>
      </w:r>
      <w:r>
        <w:t>area</w:t>
      </w:r>
      <w:r w:rsidRPr="00B474CF">
        <w:t xml:space="preserve"> of human rights jurisprudence. The frequency </w:t>
      </w:r>
      <w:r w:rsidR="002C08FE">
        <w:t>with which</w:t>
      </w:r>
      <w:r w:rsidRPr="00B474CF">
        <w:t xml:space="preserve"> courts </w:t>
      </w:r>
      <w:r w:rsidR="002C08FE">
        <w:t>referred to</w:t>
      </w:r>
      <w:r w:rsidRPr="00B474CF">
        <w:t xml:space="preserve"> </w:t>
      </w:r>
      <w:r>
        <w:t xml:space="preserve">or </w:t>
      </w:r>
      <w:r w:rsidR="00E36F0E">
        <w:t>considered</w:t>
      </w:r>
      <w:r>
        <w:t xml:space="preserve"> </w:t>
      </w:r>
      <w:r w:rsidRPr="00B474CF">
        <w:t xml:space="preserve">the Human Rights Act </w:t>
      </w:r>
      <w:r>
        <w:t xml:space="preserve">more than </w:t>
      </w:r>
      <w:r w:rsidRPr="00B474CF">
        <w:t xml:space="preserve">doubled, marking a notable increase </w:t>
      </w:r>
      <w:r>
        <w:t xml:space="preserve">in the </w:t>
      </w:r>
      <w:r w:rsidRPr="00B474CF">
        <w:t>engagement with human rights issues</w:t>
      </w:r>
      <w:r>
        <w:t xml:space="preserve"> among advocates, tribunals and courts</w:t>
      </w:r>
      <w:r w:rsidRPr="00B474CF">
        <w:t xml:space="preserve">. </w:t>
      </w:r>
      <w:r>
        <w:t xml:space="preserve">Several significant decisions </w:t>
      </w:r>
      <w:r w:rsidR="0087180B">
        <w:t>offered</w:t>
      </w:r>
      <w:r w:rsidRPr="00B474CF">
        <w:t xml:space="preserve"> invaluable insights to both public entities and the </w:t>
      </w:r>
      <w:r>
        <w:t>community</w:t>
      </w:r>
      <w:r w:rsidRPr="00B474CF">
        <w:t xml:space="preserve"> on interpretation</w:t>
      </w:r>
      <w:r>
        <w:t xml:space="preserve"> </w:t>
      </w:r>
      <w:r w:rsidR="00345BE3">
        <w:t xml:space="preserve">of </w:t>
      </w:r>
      <w:r>
        <w:t>the rights to liberty, property rights, the right to non-discrimination and the right to consent to medical treatment.</w:t>
      </w:r>
    </w:p>
    <w:p w14:paraId="01122A97" w14:textId="49A285BC" w:rsidR="00474DFC" w:rsidRDefault="006D4B9C" w:rsidP="006D4B9C">
      <w:r w:rsidRPr="000F598A">
        <w:t xml:space="preserve">In </w:t>
      </w:r>
      <w:r>
        <w:t>a landmark decision</w:t>
      </w:r>
      <w:r w:rsidR="00B325AB">
        <w:t>,</w:t>
      </w:r>
      <w:r>
        <w:t xml:space="preserve"> </w:t>
      </w:r>
      <w:r w:rsidRPr="000F598A">
        <w:t xml:space="preserve">the Land Court recommended refusing a mining lease and environmental authority due to concerns about the impact on human rights, including the right to life, </w:t>
      </w:r>
      <w:r w:rsidR="00F9349A">
        <w:t xml:space="preserve">Aboriginal and Torres Strait Islander </w:t>
      </w:r>
      <w:r w:rsidRPr="000F598A">
        <w:t>cultural rights, and property rights.</w:t>
      </w:r>
      <w:r>
        <w:rPr>
          <w:rStyle w:val="FootnoteReference"/>
        </w:rPr>
        <w:footnoteReference w:id="5"/>
      </w:r>
      <w:r w:rsidR="00474DFC" w:rsidRPr="00474DFC">
        <w:t xml:space="preserve"> </w:t>
      </w:r>
    </w:p>
    <w:p w14:paraId="06B6ED5E" w14:textId="56657206" w:rsidR="006D4B9C" w:rsidRDefault="00474DFC" w:rsidP="006D4B9C">
      <w:r w:rsidRPr="00474DFC">
        <w:t xml:space="preserve">For more information see </w:t>
      </w:r>
      <w:r w:rsidRPr="00937F28">
        <w:rPr>
          <w:i/>
          <w:iCs/>
        </w:rPr>
        <w:t xml:space="preserve">Human rights </w:t>
      </w:r>
      <w:r w:rsidR="00937F28" w:rsidRPr="00937F28">
        <w:rPr>
          <w:i/>
          <w:iCs/>
        </w:rPr>
        <w:t>in courts and tribunals</w:t>
      </w:r>
      <w:r w:rsidR="00937F28">
        <w:t xml:space="preserve"> </w:t>
      </w:r>
      <w:r w:rsidRPr="00474DFC">
        <w:t>chapter.</w:t>
      </w:r>
    </w:p>
    <w:p w14:paraId="1A66B33B" w14:textId="4D69D24A" w:rsidR="006D4B9C" w:rsidRPr="00215842" w:rsidRDefault="00F55E04" w:rsidP="006D4B9C">
      <w:pPr>
        <w:pStyle w:val="Heading2"/>
        <w:rPr>
          <w:color w:val="373D41"/>
        </w:rPr>
      </w:pPr>
      <w:bookmarkStart w:id="94" w:name="_Toc148086874"/>
      <w:r>
        <w:rPr>
          <w:rStyle w:val="Heading2Char"/>
          <w:color w:val="373D41"/>
        </w:rPr>
        <w:t>Increasing influence</w:t>
      </w:r>
      <w:r w:rsidR="00AE1CCE">
        <w:rPr>
          <w:rStyle w:val="Heading2Char"/>
          <w:color w:val="373D41"/>
        </w:rPr>
        <w:t xml:space="preserve"> on parliament</w:t>
      </w:r>
      <w:r>
        <w:rPr>
          <w:rStyle w:val="Heading2Char"/>
          <w:color w:val="373D41"/>
        </w:rPr>
        <w:t>, but Act overridden</w:t>
      </w:r>
      <w:bookmarkEnd w:id="94"/>
    </w:p>
    <w:p w14:paraId="70F6A324" w14:textId="145A33BC" w:rsidR="006D4B9C" w:rsidRDefault="00F4199A" w:rsidP="006D4B9C">
      <w:r>
        <w:t xml:space="preserve">The </w:t>
      </w:r>
      <w:r w:rsidR="006D4B9C">
        <w:t>Queensland Parliament continued to play a crucial role in addressing human rights compatibility through the passage of primary legislation</w:t>
      </w:r>
      <w:r w:rsidR="005F5CAC">
        <w:t xml:space="preserve">. </w:t>
      </w:r>
      <w:r w:rsidR="00B05A18">
        <w:t>In</w:t>
      </w:r>
      <w:r w:rsidR="00675DC6">
        <w:t xml:space="preserve"> 2022-23</w:t>
      </w:r>
      <w:r w:rsidR="005F5CAC" w:rsidRPr="005F5CAC">
        <w:t>, the Commission observed encouraging signs that the Human Rights Act was exerting a growing and positive influence on the parliamentary process.</w:t>
      </w:r>
    </w:p>
    <w:p w14:paraId="0E4044AC" w14:textId="0BD49D85" w:rsidR="006D4B9C" w:rsidRDefault="006D4B9C" w:rsidP="006D4B9C">
      <w:r>
        <w:t xml:space="preserve">Parliamentary committees assessed Bills and statements of compatibility, leading to more detailed scrutiny and some amendments being made to Bills to address human rights concerns. However, </w:t>
      </w:r>
      <w:r w:rsidR="00444C3C">
        <w:t xml:space="preserve">in </w:t>
      </w:r>
      <w:r>
        <w:t>some</w:t>
      </w:r>
      <w:r w:rsidR="00444C3C">
        <w:t xml:space="preserve"> instances</w:t>
      </w:r>
      <w:r>
        <w:t xml:space="preserve"> human rights issues were left unaddressed, and Bills were passed despite concerns raised by Committees. </w:t>
      </w:r>
    </w:p>
    <w:p w14:paraId="52972BC9" w14:textId="46AC2AAF" w:rsidR="006D4B9C" w:rsidRDefault="006D4B9C" w:rsidP="006D4B9C">
      <w:r>
        <w:t xml:space="preserve">The most concerning development was the parliament's decision to override the Human Rights Act </w:t>
      </w:r>
      <w:r w:rsidR="008D4481">
        <w:t xml:space="preserve">for the first time since its introduction, </w:t>
      </w:r>
      <w:r>
        <w:t>in circumstances where clear justification was lacking.</w:t>
      </w:r>
      <w:r w:rsidR="00E23671" w:rsidRPr="00E23671">
        <w:t xml:space="preserve"> Under the Act, override declarations should be confined </w:t>
      </w:r>
      <w:r w:rsidR="00083A45">
        <w:t xml:space="preserve">to </w:t>
      </w:r>
      <w:r w:rsidR="00E23671" w:rsidRPr="00E23671">
        <w:t xml:space="preserve">the most exceptional circumstances such as war, a state of emergency, </w:t>
      </w:r>
      <w:r w:rsidR="003F7C39">
        <w:t xml:space="preserve">or </w:t>
      </w:r>
      <w:r w:rsidR="00E23671" w:rsidRPr="00E23671">
        <w:t>an exceptional crisis situation constituting a threat to public safety, health or order.</w:t>
      </w:r>
      <w:r w:rsidR="00E23671">
        <w:t xml:space="preserve"> </w:t>
      </w:r>
      <w:r w:rsidRPr="006203AA">
        <w:t xml:space="preserve">The use of override declarations effectively bypasses the usual scrutiny and assessment of human rights compatibility by committees and stakeholders. </w:t>
      </w:r>
      <w:r w:rsidR="002F30E2">
        <w:t>Passing override declarations</w:t>
      </w:r>
      <w:r w:rsidRPr="006203AA">
        <w:t xml:space="preserve"> undermines the accountability and transparency of the legislative process, as it prevents thorough examination of potential human rights </w:t>
      </w:r>
      <w:r>
        <w:t>issues</w:t>
      </w:r>
      <w:r w:rsidR="00A05C1C">
        <w:t xml:space="preserve">, </w:t>
      </w:r>
      <w:r w:rsidR="002F30E2">
        <w:t>while denying</w:t>
      </w:r>
      <w:r w:rsidR="00A05C1C">
        <w:t xml:space="preserve"> affected individuals effective protection and access to remedies</w:t>
      </w:r>
      <w:r w:rsidRPr="006203AA">
        <w:t xml:space="preserve">. </w:t>
      </w:r>
    </w:p>
    <w:p w14:paraId="0962A0DE" w14:textId="09E4F52A" w:rsidR="006D4B9C" w:rsidRPr="00BF505E" w:rsidRDefault="00BF505E" w:rsidP="006D4B9C">
      <w:pPr>
        <w:rPr>
          <w:rFonts w:eastAsia="Calibri" w:cs="Arial"/>
        </w:rPr>
      </w:pPr>
      <w:r w:rsidRPr="00BF505E">
        <w:rPr>
          <w:rFonts w:eastAsia="Calibri" w:cs="Arial"/>
        </w:rPr>
        <w:t xml:space="preserve">For more information see </w:t>
      </w:r>
      <w:r w:rsidRPr="00BF505E">
        <w:rPr>
          <w:rFonts w:eastAsia="Calibri" w:cs="Arial"/>
          <w:i/>
          <w:iCs/>
        </w:rPr>
        <w:t>Human rights and the parliament</w:t>
      </w:r>
      <w:r>
        <w:rPr>
          <w:rFonts w:eastAsia="Calibri" w:cs="Arial"/>
        </w:rPr>
        <w:t xml:space="preserve"> </w:t>
      </w:r>
      <w:r w:rsidRPr="00BF505E">
        <w:rPr>
          <w:rFonts w:eastAsia="Calibri" w:cs="Arial"/>
        </w:rPr>
        <w:t>chapter.</w:t>
      </w:r>
    </w:p>
    <w:p w14:paraId="0383DA1C" w14:textId="77777777" w:rsidR="00CE2CFE" w:rsidRPr="00745967" w:rsidRDefault="00CE2CFE" w:rsidP="00CE2CFE">
      <w:pPr>
        <w:pStyle w:val="Heading2"/>
        <w:rPr>
          <w:color w:val="373D41"/>
        </w:rPr>
      </w:pPr>
      <w:bookmarkStart w:id="95" w:name="_Toc148086875"/>
      <w:bookmarkStart w:id="96" w:name="_Hlk147995315"/>
      <w:r w:rsidRPr="00745967">
        <w:rPr>
          <w:color w:val="373D41"/>
        </w:rPr>
        <w:t>Growing human rights culture</w:t>
      </w:r>
      <w:bookmarkEnd w:id="95"/>
    </w:p>
    <w:p w14:paraId="745326A1" w14:textId="6EFFAB70" w:rsidR="00CE2CFE" w:rsidRDefault="00CE2CFE" w:rsidP="00CE2CFE">
      <w:pPr>
        <w:rPr>
          <w:rFonts w:eastAsia="Calibri" w:cs="Arial"/>
        </w:rPr>
      </w:pPr>
      <w:r w:rsidRPr="00145A99">
        <w:rPr>
          <w:rFonts w:eastAsia="Calibri" w:cs="Arial"/>
        </w:rPr>
        <w:t xml:space="preserve">In the fourth year of the </w:t>
      </w:r>
      <w:r w:rsidR="004E034D">
        <w:rPr>
          <w:rFonts w:eastAsia="Calibri" w:cs="Arial"/>
        </w:rPr>
        <w:t xml:space="preserve">operation of the </w:t>
      </w:r>
      <w:r w:rsidRPr="00145A99">
        <w:rPr>
          <w:rFonts w:eastAsia="Calibri" w:cs="Arial"/>
        </w:rPr>
        <w:t xml:space="preserve">Human Rights Act, state public entities have shown steady progress in cultivating a human rights culture, focusing on staff awareness and training, community engagement, and compliance in government contracts. While human rights compatibility assessments </w:t>
      </w:r>
      <w:r w:rsidR="00F26FC9">
        <w:rPr>
          <w:rFonts w:eastAsia="Calibri" w:cs="Arial"/>
        </w:rPr>
        <w:t>in</w:t>
      </w:r>
      <w:r w:rsidRPr="00145A99">
        <w:rPr>
          <w:rFonts w:eastAsia="Calibri" w:cs="Arial"/>
        </w:rPr>
        <w:t xml:space="preserve"> policy </w:t>
      </w:r>
      <w:r w:rsidR="00F26FC9">
        <w:rPr>
          <w:rFonts w:eastAsia="Calibri" w:cs="Arial"/>
        </w:rPr>
        <w:t xml:space="preserve">development </w:t>
      </w:r>
      <w:r w:rsidRPr="00145A99">
        <w:rPr>
          <w:rFonts w:eastAsia="Calibri" w:cs="Arial"/>
        </w:rPr>
        <w:t xml:space="preserve">appear </w:t>
      </w:r>
      <w:r w:rsidR="00F26FC9">
        <w:rPr>
          <w:rFonts w:eastAsia="Calibri" w:cs="Arial"/>
        </w:rPr>
        <w:t xml:space="preserve">to be </w:t>
      </w:r>
      <w:r w:rsidR="00EB6A19">
        <w:rPr>
          <w:rFonts w:eastAsia="Calibri" w:cs="Arial"/>
        </w:rPr>
        <w:t>increasingly</w:t>
      </w:r>
      <w:r w:rsidRPr="00145A99">
        <w:rPr>
          <w:rFonts w:eastAsia="Calibri" w:cs="Arial"/>
        </w:rPr>
        <w:t xml:space="preserve"> routine, there are few examples of significant policy changes based on the Act. </w:t>
      </w:r>
    </w:p>
    <w:p w14:paraId="255BADF4" w14:textId="26CBD1BF" w:rsidR="00DB52AC" w:rsidRDefault="00437009" w:rsidP="00CE2CFE">
      <w:pPr>
        <w:rPr>
          <w:rFonts w:eastAsia="Calibri" w:cs="Arial"/>
        </w:rPr>
      </w:pPr>
      <w:r>
        <w:rPr>
          <w:rFonts w:eastAsia="Calibri" w:cs="Arial"/>
        </w:rPr>
        <w:t>State government employees continue to report</w:t>
      </w:r>
      <w:r w:rsidR="007A739B">
        <w:rPr>
          <w:rFonts w:eastAsia="Calibri" w:cs="Arial"/>
        </w:rPr>
        <w:t xml:space="preserve"> that they understand how the Act applies in the work</w:t>
      </w:r>
      <w:r w:rsidR="00CE2CFE" w:rsidRPr="00145A99">
        <w:rPr>
          <w:rFonts w:eastAsia="Calibri" w:cs="Arial"/>
        </w:rPr>
        <w:t>,</w:t>
      </w:r>
      <w:r w:rsidR="00CE2CFE">
        <w:rPr>
          <w:rStyle w:val="FootnoteReference"/>
          <w:rFonts w:eastAsia="Calibri" w:cs="Arial"/>
        </w:rPr>
        <w:footnoteReference w:id="6"/>
      </w:r>
      <w:r w:rsidR="00CE2CFE" w:rsidRPr="00145A99">
        <w:rPr>
          <w:rFonts w:eastAsia="Calibri" w:cs="Arial"/>
        </w:rPr>
        <w:t xml:space="preserve"> but challenges persist in identifying </w:t>
      </w:r>
      <w:r w:rsidR="00CE2CFE">
        <w:rPr>
          <w:rFonts w:eastAsia="Calibri" w:cs="Arial"/>
        </w:rPr>
        <w:t xml:space="preserve">and reporting on </w:t>
      </w:r>
      <w:r w:rsidR="00CE2CFE" w:rsidRPr="00145A99">
        <w:rPr>
          <w:rFonts w:eastAsia="Calibri" w:cs="Arial"/>
        </w:rPr>
        <w:t xml:space="preserve">human rights complaints. </w:t>
      </w:r>
    </w:p>
    <w:p w14:paraId="0D787434" w14:textId="7F759DF4" w:rsidR="00930040" w:rsidRPr="00145A99" w:rsidRDefault="00930040" w:rsidP="00CE2CFE">
      <w:pPr>
        <w:rPr>
          <w:rFonts w:eastAsia="Calibri" w:cs="Arial"/>
        </w:rPr>
      </w:pPr>
      <w:r w:rsidRPr="00930040">
        <w:rPr>
          <w:rFonts w:eastAsia="Calibri" w:cs="Arial"/>
        </w:rPr>
        <w:t xml:space="preserve">The implementation of the Human Rights Act in councils initially faced challenges, leading to delays compared to state public entities, mainly due to funding and resource issues. However, there have been positive developments, including improved staff awareness through </w:t>
      </w:r>
      <w:r w:rsidR="00035E43">
        <w:rPr>
          <w:rFonts w:eastAsia="Calibri" w:cs="Arial"/>
        </w:rPr>
        <w:t>human rights training</w:t>
      </w:r>
      <w:r w:rsidRPr="00930040">
        <w:rPr>
          <w:rFonts w:eastAsia="Calibri" w:cs="Arial"/>
        </w:rPr>
        <w:t>, enhanced public information dissemination, and a growing influence of human rights on local law development and complaint management within councils.</w:t>
      </w:r>
    </w:p>
    <w:p w14:paraId="0D64667F" w14:textId="614C16BE" w:rsidR="00CE2CFE" w:rsidRDefault="00E60F58" w:rsidP="00CE2CFE">
      <w:pPr>
        <w:rPr>
          <w:rFonts w:eastAsia="Calibri" w:cs="Arial"/>
        </w:rPr>
      </w:pPr>
      <w:r>
        <w:rPr>
          <w:rFonts w:eastAsia="Calibri" w:cs="Arial"/>
        </w:rPr>
        <w:t>Case</w:t>
      </w:r>
      <w:r w:rsidRPr="00E60F58">
        <w:rPr>
          <w:rFonts w:eastAsia="Calibri" w:cs="Arial"/>
        </w:rPr>
        <w:t xml:space="preserve"> studies provided by state </w:t>
      </w:r>
      <w:r w:rsidR="00B90A2C">
        <w:rPr>
          <w:rFonts w:eastAsia="Calibri" w:cs="Arial"/>
        </w:rPr>
        <w:t xml:space="preserve">and local government entities </w:t>
      </w:r>
      <w:r w:rsidRPr="00E60F58">
        <w:rPr>
          <w:rFonts w:eastAsia="Calibri" w:cs="Arial"/>
        </w:rPr>
        <w:t>are a positive indicator that the internal complaints process is achieving beneficial outcomes.</w:t>
      </w:r>
      <w:r>
        <w:rPr>
          <w:rFonts w:eastAsia="Calibri" w:cs="Arial"/>
        </w:rPr>
        <w:t xml:space="preserve"> </w:t>
      </w:r>
      <w:r w:rsidR="00CE2CFE" w:rsidRPr="00145A99">
        <w:rPr>
          <w:rFonts w:eastAsia="Calibri" w:cs="Arial"/>
        </w:rPr>
        <w:t xml:space="preserve">Despite </w:t>
      </w:r>
      <w:r w:rsidR="00CE2CFE">
        <w:rPr>
          <w:rFonts w:eastAsia="Calibri" w:cs="Arial"/>
        </w:rPr>
        <w:t>ongoing</w:t>
      </w:r>
      <w:r w:rsidR="00CE2CFE" w:rsidRPr="00145A99">
        <w:rPr>
          <w:rFonts w:eastAsia="Calibri" w:cs="Arial"/>
        </w:rPr>
        <w:t xml:space="preserve"> challenges, there is</w:t>
      </w:r>
      <w:r w:rsidR="00CE2CFE">
        <w:rPr>
          <w:rFonts w:eastAsia="Calibri" w:cs="Arial"/>
        </w:rPr>
        <w:t xml:space="preserve"> evidence of</w:t>
      </w:r>
      <w:r w:rsidR="00CE2CFE" w:rsidRPr="00145A99">
        <w:rPr>
          <w:rFonts w:eastAsia="Calibri" w:cs="Arial"/>
        </w:rPr>
        <w:t xml:space="preserve"> progress, and </w:t>
      </w:r>
      <w:r w:rsidR="001C332F">
        <w:rPr>
          <w:rFonts w:eastAsia="Calibri" w:cs="Arial"/>
        </w:rPr>
        <w:t>a</w:t>
      </w:r>
      <w:r w:rsidR="00CE2CFE" w:rsidRPr="00145A99">
        <w:rPr>
          <w:rFonts w:eastAsia="Calibri" w:cs="Arial"/>
        </w:rPr>
        <w:t xml:space="preserve"> commitment to </w:t>
      </w:r>
      <w:r w:rsidR="00D06943">
        <w:rPr>
          <w:rFonts w:eastAsia="Calibri" w:cs="Arial"/>
        </w:rPr>
        <w:t xml:space="preserve">converting </w:t>
      </w:r>
      <w:r w:rsidR="00CE2CFE" w:rsidRPr="00145A99">
        <w:rPr>
          <w:rFonts w:eastAsia="Calibri" w:cs="Arial"/>
        </w:rPr>
        <w:t xml:space="preserve">human rights principles </w:t>
      </w:r>
      <w:r w:rsidR="00D06943">
        <w:rPr>
          <w:rFonts w:eastAsia="Calibri" w:cs="Arial"/>
        </w:rPr>
        <w:t>to practice</w:t>
      </w:r>
      <w:r w:rsidR="00CE2CFE" w:rsidRPr="00145A99">
        <w:rPr>
          <w:rFonts w:eastAsia="Calibri" w:cs="Arial"/>
        </w:rPr>
        <w:t xml:space="preserve"> is evident in both state and local government entities.</w:t>
      </w:r>
    </w:p>
    <w:p w14:paraId="5FBCCA23" w14:textId="77777777" w:rsidR="00CE2CFE" w:rsidRPr="00C55478" w:rsidRDefault="00CE2CFE" w:rsidP="00CE2CFE">
      <w:pPr>
        <w:rPr>
          <w:rFonts w:eastAsia="Calibri" w:cs="Arial"/>
        </w:rPr>
      </w:pPr>
      <w:r w:rsidRPr="008F2A19">
        <w:rPr>
          <w:rFonts w:eastAsia="Calibri" w:cs="Arial"/>
        </w:rPr>
        <w:t>For more information see</w:t>
      </w:r>
      <w:r>
        <w:rPr>
          <w:rFonts w:eastAsia="Calibri" w:cs="Arial"/>
        </w:rPr>
        <w:t xml:space="preserve"> </w:t>
      </w:r>
      <w:r>
        <w:rPr>
          <w:rFonts w:eastAsia="Calibri" w:cs="Arial"/>
          <w:i/>
          <w:iCs/>
        </w:rPr>
        <w:t>Human rights and the public sector</w:t>
      </w:r>
      <w:r>
        <w:rPr>
          <w:rFonts w:eastAsia="Calibri" w:cs="Arial"/>
        </w:rPr>
        <w:t xml:space="preserve"> chapter.</w:t>
      </w:r>
    </w:p>
    <w:p w14:paraId="1F3D2669" w14:textId="5887F6C8" w:rsidR="6E04C682" w:rsidRPr="0084242E" w:rsidRDefault="00BF505E" w:rsidP="0084242E">
      <w:pPr>
        <w:pStyle w:val="Heading2"/>
        <w:rPr>
          <w:color w:val="373D41"/>
        </w:rPr>
      </w:pPr>
      <w:bookmarkStart w:id="97" w:name="_Toc148086876"/>
      <w:r>
        <w:rPr>
          <w:color w:val="373D41"/>
        </w:rPr>
        <w:t xml:space="preserve">Stepping </w:t>
      </w:r>
      <w:bookmarkEnd w:id="96"/>
      <w:r>
        <w:rPr>
          <w:color w:val="373D41"/>
        </w:rPr>
        <w:t xml:space="preserve">down from </w:t>
      </w:r>
      <w:r w:rsidR="1CE75A21" w:rsidRPr="0084242E">
        <w:rPr>
          <w:color w:val="373D41"/>
        </w:rPr>
        <w:t>COVID-19</w:t>
      </w:r>
      <w:bookmarkEnd w:id="89"/>
      <w:bookmarkEnd w:id="91"/>
      <w:bookmarkEnd w:id="92"/>
      <w:bookmarkEnd w:id="93"/>
      <w:r w:rsidR="00DD27F9">
        <w:rPr>
          <w:color w:val="373D41"/>
        </w:rPr>
        <w:t xml:space="preserve"> </w:t>
      </w:r>
      <w:r>
        <w:rPr>
          <w:color w:val="373D41"/>
        </w:rPr>
        <w:t>response</w:t>
      </w:r>
      <w:bookmarkEnd w:id="97"/>
    </w:p>
    <w:p w14:paraId="5EA728DB" w14:textId="3D72DCEE" w:rsidR="00145A99" w:rsidRDefault="00145A99" w:rsidP="00145A99">
      <w:pPr>
        <w:rPr>
          <w:rFonts w:eastAsia="Calibri" w:cs="Arial"/>
        </w:rPr>
      </w:pPr>
      <w:r>
        <w:rPr>
          <w:rFonts w:eastAsia="Calibri" w:cs="Arial"/>
        </w:rPr>
        <w:t xml:space="preserve">In November 2022, parliament passed legislation to replace the temporary COVID-19 framework with more targeted powers to manage the disease as a notifiable condition under the </w:t>
      </w:r>
      <w:r w:rsidRPr="00630F2E">
        <w:rPr>
          <w:rFonts w:eastAsia="Calibri" w:cs="Arial"/>
          <w:i/>
          <w:iCs/>
        </w:rPr>
        <w:t>Public Health Act</w:t>
      </w:r>
      <w:r w:rsidR="00C351BF">
        <w:rPr>
          <w:rFonts w:eastAsia="Calibri" w:cs="Arial"/>
        </w:rPr>
        <w:t xml:space="preserve"> </w:t>
      </w:r>
      <w:r w:rsidR="00C351BF">
        <w:rPr>
          <w:rFonts w:eastAsia="Calibri" w:cs="Arial"/>
          <w:i/>
          <w:iCs/>
        </w:rPr>
        <w:t xml:space="preserve">2005 </w:t>
      </w:r>
      <w:r w:rsidR="00C351BF">
        <w:rPr>
          <w:rFonts w:eastAsia="Calibri" w:cs="Arial"/>
        </w:rPr>
        <w:t>(Qld)</w:t>
      </w:r>
      <w:r>
        <w:rPr>
          <w:rFonts w:eastAsia="Calibri" w:cs="Arial"/>
        </w:rPr>
        <w:t xml:space="preserve">. The Commission had previously made submissions to parliament recommending changes to the temporary COVID-19 framework which </w:t>
      </w:r>
      <w:r w:rsidR="00C351BF">
        <w:rPr>
          <w:rFonts w:eastAsia="Calibri" w:cs="Arial"/>
        </w:rPr>
        <w:t>granted</w:t>
      </w:r>
      <w:r>
        <w:rPr>
          <w:rFonts w:eastAsia="Calibri" w:cs="Arial"/>
        </w:rPr>
        <w:t xml:space="preserve"> extraordinary powers to the Chief Health Officer and emergency </w:t>
      </w:r>
      <w:r w:rsidR="00C351BF">
        <w:rPr>
          <w:rFonts w:eastAsia="Calibri" w:cs="Arial"/>
        </w:rPr>
        <w:t>officers</w:t>
      </w:r>
      <w:r>
        <w:rPr>
          <w:rFonts w:eastAsia="Calibri" w:cs="Arial"/>
        </w:rPr>
        <w:t>. In response to</w:t>
      </w:r>
      <w:r w:rsidRPr="00342420">
        <w:rPr>
          <w:rFonts w:eastAsia="Calibri" w:cs="Arial"/>
        </w:rPr>
        <w:t xml:space="preserve"> the Commission</w:t>
      </w:r>
      <w:r>
        <w:rPr>
          <w:rFonts w:eastAsia="Calibri" w:cs="Arial"/>
        </w:rPr>
        <w:t xml:space="preserve"> and other stakeholder’s</w:t>
      </w:r>
      <w:r w:rsidRPr="00342420">
        <w:rPr>
          <w:rFonts w:eastAsia="Calibri" w:cs="Arial"/>
        </w:rPr>
        <w:t xml:space="preserve"> advocacy for greater transparency and scrutiny of public health directions</w:t>
      </w:r>
      <w:r>
        <w:rPr>
          <w:rFonts w:eastAsia="Calibri" w:cs="Arial"/>
        </w:rPr>
        <w:t>,</w:t>
      </w:r>
      <w:r w:rsidRPr="00342420">
        <w:rPr>
          <w:rFonts w:eastAsia="Calibri" w:cs="Arial"/>
        </w:rPr>
        <w:t xml:space="preserve"> including requiring a statement of compatibility with human rights, the </w:t>
      </w:r>
      <w:r>
        <w:rPr>
          <w:rFonts w:eastAsia="Calibri" w:cs="Arial"/>
        </w:rPr>
        <w:t xml:space="preserve">Health </w:t>
      </w:r>
      <w:r w:rsidRPr="00342420">
        <w:rPr>
          <w:rFonts w:eastAsia="Calibri" w:cs="Arial"/>
        </w:rPr>
        <w:t xml:space="preserve">Minister passed the Public Health and Other Legislation (COVID-19) Management Bill 2022. This reflects a step-down approach, acknowledging that while the COVID-19 pandemic is not over, it should be treated in line with </w:t>
      </w:r>
      <w:r w:rsidR="00E43347">
        <w:rPr>
          <w:rFonts w:eastAsia="Calibri" w:cs="Arial"/>
        </w:rPr>
        <w:t>other</w:t>
      </w:r>
      <w:r w:rsidRPr="00342420">
        <w:rPr>
          <w:rFonts w:eastAsia="Calibri" w:cs="Arial"/>
        </w:rPr>
        <w:t xml:space="preserve"> communicable diseases.</w:t>
      </w:r>
    </w:p>
    <w:p w14:paraId="70E80827" w14:textId="5353E423" w:rsidR="004B6535" w:rsidRDefault="00996F5D" w:rsidP="006F4D38">
      <w:pPr>
        <w:rPr>
          <w:rFonts w:eastAsia="Calibri" w:cs="Arial"/>
        </w:rPr>
      </w:pPr>
      <w:r>
        <w:rPr>
          <w:rFonts w:eastAsia="Calibri" w:cs="Arial"/>
        </w:rPr>
        <w:t xml:space="preserve">In the last report, the Commission </w:t>
      </w:r>
      <w:r w:rsidR="00BF505E">
        <w:rPr>
          <w:rFonts w:eastAsia="Calibri" w:cs="Arial"/>
        </w:rPr>
        <w:t>expressed our</w:t>
      </w:r>
      <w:r>
        <w:rPr>
          <w:rFonts w:eastAsia="Calibri" w:cs="Arial"/>
        </w:rPr>
        <w:t xml:space="preserve"> </w:t>
      </w:r>
      <w:r w:rsidR="00BF505E">
        <w:rPr>
          <w:rFonts w:eastAsia="Calibri" w:cs="Arial"/>
        </w:rPr>
        <w:t xml:space="preserve">hope </w:t>
      </w:r>
      <w:r>
        <w:rPr>
          <w:rFonts w:eastAsia="Calibri" w:cs="Arial"/>
        </w:rPr>
        <w:t>for a shift in focus away from COVID-19</w:t>
      </w:r>
      <w:r w:rsidR="00130023">
        <w:rPr>
          <w:rFonts w:eastAsia="Calibri" w:cs="Arial"/>
        </w:rPr>
        <w:t>, which had</w:t>
      </w:r>
      <w:r w:rsidR="004B6535">
        <w:rPr>
          <w:rFonts w:eastAsia="Calibri" w:cs="Arial"/>
        </w:rPr>
        <w:t xml:space="preserve"> inevitably</w:t>
      </w:r>
      <w:r w:rsidR="00130023">
        <w:rPr>
          <w:rFonts w:eastAsia="Calibri" w:cs="Arial"/>
        </w:rPr>
        <w:t xml:space="preserve"> been the early focus </w:t>
      </w:r>
      <w:r w:rsidR="00AF3B77">
        <w:rPr>
          <w:rFonts w:eastAsia="Calibri" w:cs="Arial"/>
        </w:rPr>
        <w:t>for</w:t>
      </w:r>
      <w:r w:rsidR="00130023">
        <w:rPr>
          <w:rFonts w:eastAsia="Calibri" w:cs="Arial"/>
        </w:rPr>
        <w:t xml:space="preserve"> the Commission, the parliament, the government, and </w:t>
      </w:r>
      <w:r w:rsidR="0004429A">
        <w:rPr>
          <w:rFonts w:eastAsia="Calibri" w:cs="Arial"/>
        </w:rPr>
        <w:t>public discourse</w:t>
      </w:r>
      <w:r w:rsidR="00130023">
        <w:rPr>
          <w:rFonts w:eastAsia="Calibri" w:cs="Arial"/>
        </w:rPr>
        <w:t>, during the initial years of the Human Rights Act</w:t>
      </w:r>
      <w:r>
        <w:rPr>
          <w:rFonts w:eastAsia="Calibri" w:cs="Arial"/>
        </w:rPr>
        <w:t xml:space="preserve">. While </w:t>
      </w:r>
      <w:r w:rsidR="00001168">
        <w:rPr>
          <w:rFonts w:eastAsia="Calibri" w:cs="Arial"/>
        </w:rPr>
        <w:t xml:space="preserve">the </w:t>
      </w:r>
      <w:r w:rsidR="00130023">
        <w:rPr>
          <w:rFonts w:eastAsia="Calibri" w:cs="Arial"/>
        </w:rPr>
        <w:t xml:space="preserve">focus </w:t>
      </w:r>
      <w:r w:rsidR="00001168">
        <w:rPr>
          <w:rFonts w:eastAsia="Calibri" w:cs="Arial"/>
        </w:rPr>
        <w:t>of</w:t>
      </w:r>
      <w:r w:rsidR="00130023">
        <w:rPr>
          <w:rFonts w:eastAsia="Calibri" w:cs="Arial"/>
        </w:rPr>
        <w:t xml:space="preserve"> </w:t>
      </w:r>
      <w:r w:rsidR="006E1C6B">
        <w:rPr>
          <w:rFonts w:eastAsia="Calibri" w:cs="Arial"/>
        </w:rPr>
        <w:t>the</w:t>
      </w:r>
      <w:r w:rsidR="00130023">
        <w:rPr>
          <w:rFonts w:eastAsia="Calibri" w:cs="Arial"/>
        </w:rPr>
        <w:t xml:space="preserve"> Commission’s policy</w:t>
      </w:r>
      <w:r>
        <w:rPr>
          <w:rFonts w:eastAsia="Calibri" w:cs="Arial"/>
        </w:rPr>
        <w:t xml:space="preserve"> </w:t>
      </w:r>
      <w:r w:rsidR="00130023">
        <w:rPr>
          <w:rFonts w:eastAsia="Calibri" w:cs="Arial"/>
        </w:rPr>
        <w:t>and educative work</w:t>
      </w:r>
      <w:r w:rsidR="00001168">
        <w:rPr>
          <w:rFonts w:eastAsia="Calibri" w:cs="Arial"/>
        </w:rPr>
        <w:t xml:space="preserve"> </w:t>
      </w:r>
      <w:r w:rsidR="00197650">
        <w:rPr>
          <w:rFonts w:eastAsia="Calibri" w:cs="Arial"/>
        </w:rPr>
        <w:t xml:space="preserve">has </w:t>
      </w:r>
      <w:r w:rsidR="00001168">
        <w:rPr>
          <w:rFonts w:eastAsia="Calibri" w:cs="Arial"/>
        </w:rPr>
        <w:t>shifted away from COVID-19</w:t>
      </w:r>
      <w:r>
        <w:rPr>
          <w:rFonts w:eastAsia="Calibri" w:cs="Arial"/>
        </w:rPr>
        <w:t>, t</w:t>
      </w:r>
      <w:r w:rsidR="009C631B">
        <w:rPr>
          <w:rFonts w:eastAsia="Calibri" w:cs="Arial"/>
        </w:rPr>
        <w:t xml:space="preserve">he human rights </w:t>
      </w:r>
      <w:r w:rsidR="003E6B4F">
        <w:rPr>
          <w:rFonts w:eastAsia="Calibri" w:cs="Arial"/>
        </w:rPr>
        <w:t>complaints</w:t>
      </w:r>
      <w:r w:rsidR="00C86B1A">
        <w:rPr>
          <w:rFonts w:eastAsia="Calibri" w:cs="Arial"/>
        </w:rPr>
        <w:t xml:space="preserve"> being dealt</w:t>
      </w:r>
      <w:r w:rsidR="009C631B">
        <w:rPr>
          <w:rFonts w:eastAsia="Calibri" w:cs="Arial"/>
        </w:rPr>
        <w:t xml:space="preserve"> </w:t>
      </w:r>
      <w:r w:rsidR="00BF75B2">
        <w:rPr>
          <w:rFonts w:eastAsia="Calibri" w:cs="Arial"/>
        </w:rPr>
        <w:t xml:space="preserve">with </w:t>
      </w:r>
      <w:r w:rsidR="009C631B">
        <w:rPr>
          <w:rFonts w:eastAsia="Calibri" w:cs="Arial"/>
        </w:rPr>
        <w:t xml:space="preserve">by </w:t>
      </w:r>
      <w:r w:rsidR="00C86B1A">
        <w:rPr>
          <w:rFonts w:eastAsia="Calibri" w:cs="Arial"/>
        </w:rPr>
        <w:t xml:space="preserve">the Commission </w:t>
      </w:r>
      <w:r w:rsidR="00046A4A">
        <w:rPr>
          <w:rFonts w:eastAsia="Calibri" w:cs="Arial"/>
        </w:rPr>
        <w:t>remained</w:t>
      </w:r>
      <w:r w:rsidR="00C86B1A">
        <w:rPr>
          <w:rFonts w:eastAsia="Calibri" w:cs="Arial"/>
        </w:rPr>
        <w:t xml:space="preserve"> c</w:t>
      </w:r>
      <w:r w:rsidR="00046A4A">
        <w:rPr>
          <w:rFonts w:eastAsia="Calibri" w:cs="Arial"/>
        </w:rPr>
        <w:t xml:space="preserve">entred </w:t>
      </w:r>
      <w:r w:rsidR="00466B1B">
        <w:rPr>
          <w:rFonts w:eastAsia="Calibri" w:cs="Arial"/>
        </w:rPr>
        <w:t xml:space="preserve">around </w:t>
      </w:r>
      <w:r w:rsidR="009C631B">
        <w:rPr>
          <w:rFonts w:eastAsia="Calibri" w:cs="Arial"/>
        </w:rPr>
        <w:t>COVID-19</w:t>
      </w:r>
      <w:r w:rsidR="004B6535">
        <w:rPr>
          <w:rFonts w:eastAsia="Calibri" w:cs="Arial"/>
        </w:rPr>
        <w:t xml:space="preserve"> </w:t>
      </w:r>
      <w:r w:rsidR="009C631B">
        <w:rPr>
          <w:rFonts w:eastAsia="Calibri" w:cs="Arial"/>
        </w:rPr>
        <w:t xml:space="preserve">related </w:t>
      </w:r>
      <w:r w:rsidR="00466B1B">
        <w:rPr>
          <w:rFonts w:eastAsia="Calibri" w:cs="Arial"/>
        </w:rPr>
        <w:t>issues</w:t>
      </w:r>
      <w:r w:rsidR="009C631B">
        <w:rPr>
          <w:rFonts w:eastAsia="Calibri" w:cs="Arial"/>
        </w:rPr>
        <w:t>, representing 44% of our complaints finalised (43% last year)</w:t>
      </w:r>
      <w:r w:rsidR="00130023">
        <w:rPr>
          <w:rFonts w:eastAsia="Calibri" w:cs="Arial"/>
        </w:rPr>
        <w:t xml:space="preserve">. </w:t>
      </w:r>
    </w:p>
    <w:p w14:paraId="7FF1E63F" w14:textId="46F29E4E" w:rsidR="00061F55" w:rsidRDefault="005575D8" w:rsidP="006F4D38">
      <w:pPr>
        <w:rPr>
          <w:rFonts w:eastAsia="Calibri" w:cs="Arial"/>
        </w:rPr>
      </w:pPr>
      <w:r>
        <w:rPr>
          <w:rFonts w:eastAsia="Calibri" w:cs="Arial"/>
        </w:rPr>
        <w:t>However, t</w:t>
      </w:r>
      <w:r w:rsidR="009C631B">
        <w:rPr>
          <w:rFonts w:eastAsia="Calibri" w:cs="Arial"/>
        </w:rPr>
        <w:t xml:space="preserve">he nature of the </w:t>
      </w:r>
      <w:r w:rsidR="00130023">
        <w:rPr>
          <w:rFonts w:eastAsia="Calibri" w:cs="Arial"/>
        </w:rPr>
        <w:t xml:space="preserve">COVID-19 related </w:t>
      </w:r>
      <w:r w:rsidR="009C631B">
        <w:rPr>
          <w:rFonts w:eastAsia="Calibri" w:cs="Arial"/>
        </w:rPr>
        <w:t xml:space="preserve">complaints </w:t>
      </w:r>
      <w:r w:rsidR="00374FCE">
        <w:rPr>
          <w:rFonts w:eastAsia="Calibri" w:cs="Arial"/>
        </w:rPr>
        <w:t xml:space="preserve">has </w:t>
      </w:r>
      <w:r w:rsidR="009C631B">
        <w:rPr>
          <w:rFonts w:eastAsia="Calibri" w:cs="Arial"/>
        </w:rPr>
        <w:t>evolved</w:t>
      </w:r>
      <w:r>
        <w:rPr>
          <w:rFonts w:eastAsia="Calibri" w:cs="Arial"/>
        </w:rPr>
        <w:t xml:space="preserve"> during the course of the pandemic</w:t>
      </w:r>
      <w:r w:rsidR="009C631B">
        <w:rPr>
          <w:rFonts w:eastAsia="Calibri" w:cs="Arial"/>
        </w:rPr>
        <w:t>.</w:t>
      </w:r>
      <w:r w:rsidR="00061F55" w:rsidRPr="00061F55">
        <w:rPr>
          <w:rFonts w:eastAsia="Calibri" w:cs="Arial"/>
        </w:rPr>
        <w:t xml:space="preserve"> In </w:t>
      </w:r>
      <w:r w:rsidR="00CC1E2F">
        <w:rPr>
          <w:rFonts w:eastAsia="Calibri" w:cs="Arial"/>
        </w:rPr>
        <w:t>previous</w:t>
      </w:r>
      <w:r w:rsidR="00061F55" w:rsidRPr="00061F55">
        <w:rPr>
          <w:rFonts w:eastAsia="Calibri" w:cs="Arial"/>
        </w:rPr>
        <w:t xml:space="preserve"> years, the Commission</w:t>
      </w:r>
      <w:r w:rsidR="00D17FED">
        <w:rPr>
          <w:rFonts w:eastAsia="Calibri" w:cs="Arial"/>
        </w:rPr>
        <w:t xml:space="preserve">’s </w:t>
      </w:r>
      <w:r w:rsidR="00061F55" w:rsidRPr="00061F55">
        <w:rPr>
          <w:rFonts w:eastAsia="Calibri" w:cs="Arial"/>
        </w:rPr>
        <w:t>role</w:t>
      </w:r>
      <w:r w:rsidR="006B2D93">
        <w:rPr>
          <w:rFonts w:eastAsia="Calibri" w:cs="Arial"/>
        </w:rPr>
        <w:t xml:space="preserve"> </w:t>
      </w:r>
      <w:r w:rsidR="00061F55" w:rsidRPr="00061F55">
        <w:rPr>
          <w:rFonts w:eastAsia="Calibri" w:cs="Arial"/>
        </w:rPr>
        <w:t xml:space="preserve">primarily </w:t>
      </w:r>
      <w:r w:rsidR="006B2D93">
        <w:rPr>
          <w:rFonts w:eastAsia="Calibri" w:cs="Arial"/>
        </w:rPr>
        <w:t>involved</w:t>
      </w:r>
      <w:r w:rsidR="00061F55" w:rsidRPr="00061F55">
        <w:rPr>
          <w:rFonts w:eastAsia="Calibri" w:cs="Arial"/>
        </w:rPr>
        <w:t xml:space="preserve"> aiding individuals subject to hotel quarantine, those seeking exemptions to enter Queensland during periods of border restrictions, </w:t>
      </w:r>
      <w:r w:rsidR="002226A5">
        <w:rPr>
          <w:rFonts w:eastAsia="Calibri" w:cs="Arial"/>
        </w:rPr>
        <w:t>and</w:t>
      </w:r>
      <w:r w:rsidR="00061F55" w:rsidRPr="00061F55">
        <w:rPr>
          <w:rFonts w:eastAsia="Calibri" w:cs="Arial"/>
        </w:rPr>
        <w:t xml:space="preserve"> individuals facing challenges in adhering to mandatory mask-wearing requirements.</w:t>
      </w:r>
    </w:p>
    <w:p w14:paraId="5EB35CAF" w14:textId="2FA2F5EB" w:rsidR="003B57CA" w:rsidRDefault="00B271A1" w:rsidP="006F4D38">
      <w:pPr>
        <w:rPr>
          <w:rFonts w:eastAsia="Calibri" w:cs="Arial"/>
        </w:rPr>
      </w:pPr>
      <w:r>
        <w:rPr>
          <w:rFonts w:eastAsia="Calibri" w:cs="Arial"/>
        </w:rPr>
        <w:t>I</w:t>
      </w:r>
      <w:r w:rsidR="006F4D38">
        <w:rPr>
          <w:rFonts w:eastAsia="Calibri" w:cs="Arial"/>
        </w:rPr>
        <w:t xml:space="preserve">n the </w:t>
      </w:r>
      <w:r>
        <w:rPr>
          <w:rFonts w:eastAsia="Calibri" w:cs="Arial"/>
        </w:rPr>
        <w:t>reporting</w:t>
      </w:r>
      <w:r w:rsidR="006F4D38">
        <w:rPr>
          <w:rFonts w:eastAsia="Calibri" w:cs="Arial"/>
        </w:rPr>
        <w:t xml:space="preserve"> period</w:t>
      </w:r>
      <w:r w:rsidR="0012655F">
        <w:rPr>
          <w:rFonts w:eastAsia="Calibri" w:cs="Arial"/>
        </w:rPr>
        <w:t>,</w:t>
      </w:r>
      <w:r w:rsidR="006F4D38">
        <w:rPr>
          <w:rFonts w:eastAsia="Calibri" w:cs="Arial"/>
        </w:rPr>
        <w:t xml:space="preserve"> most of the complaints </w:t>
      </w:r>
      <w:r w:rsidR="00035DD9">
        <w:rPr>
          <w:rFonts w:eastAsia="Calibri" w:cs="Arial"/>
        </w:rPr>
        <w:t xml:space="preserve">the Commission was dealing with </w:t>
      </w:r>
      <w:r w:rsidR="006F4D38">
        <w:rPr>
          <w:rFonts w:eastAsia="Calibri" w:cs="Arial"/>
        </w:rPr>
        <w:t>were about vaccine mandates to control the spread of COVID-19</w:t>
      </w:r>
      <w:r w:rsidR="003F71F7">
        <w:rPr>
          <w:rFonts w:eastAsia="Calibri" w:cs="Arial"/>
        </w:rPr>
        <w:t xml:space="preserve">, often brought by public </w:t>
      </w:r>
      <w:r w:rsidR="00CA4EDF">
        <w:rPr>
          <w:rFonts w:eastAsia="Calibri" w:cs="Arial"/>
        </w:rPr>
        <w:t>sector workers</w:t>
      </w:r>
      <w:r w:rsidR="003F71F7">
        <w:rPr>
          <w:rFonts w:eastAsia="Calibri" w:cs="Arial"/>
        </w:rPr>
        <w:t xml:space="preserve"> and sometimes in combination with other workplace issues</w:t>
      </w:r>
      <w:r w:rsidR="006F4D38">
        <w:rPr>
          <w:rFonts w:eastAsia="Calibri" w:cs="Arial"/>
        </w:rPr>
        <w:t xml:space="preserve">. These disputes are often intractable and </w:t>
      </w:r>
      <w:r w:rsidR="009527C0">
        <w:rPr>
          <w:rFonts w:eastAsia="Calibri" w:cs="Arial"/>
        </w:rPr>
        <w:t xml:space="preserve">are also </w:t>
      </w:r>
      <w:r w:rsidR="006F4D38">
        <w:rPr>
          <w:rFonts w:eastAsia="Calibri" w:cs="Arial"/>
        </w:rPr>
        <w:t xml:space="preserve">complicated by the fact the Supreme Court is yet to hand down </w:t>
      </w:r>
      <w:r w:rsidR="00331937">
        <w:rPr>
          <w:rFonts w:eastAsia="Calibri" w:cs="Arial"/>
        </w:rPr>
        <w:t>several</w:t>
      </w:r>
      <w:r w:rsidR="006F4D38">
        <w:rPr>
          <w:rFonts w:eastAsia="Calibri" w:cs="Arial"/>
        </w:rPr>
        <w:t xml:space="preserve"> </w:t>
      </w:r>
      <w:r w:rsidR="00B2557F">
        <w:rPr>
          <w:rFonts w:eastAsia="Calibri" w:cs="Arial"/>
        </w:rPr>
        <w:t>decisions</w:t>
      </w:r>
      <w:r w:rsidR="00AE2CF9">
        <w:rPr>
          <w:rFonts w:eastAsia="Calibri" w:cs="Arial"/>
        </w:rPr>
        <w:t xml:space="preserve"> currently before the court</w:t>
      </w:r>
      <w:r w:rsidR="006F4D38">
        <w:rPr>
          <w:rFonts w:eastAsia="Calibri" w:cs="Arial"/>
        </w:rPr>
        <w:t xml:space="preserve"> about whether</w:t>
      </w:r>
      <w:r w:rsidR="00302AF9">
        <w:rPr>
          <w:rFonts w:eastAsia="Calibri" w:cs="Arial"/>
        </w:rPr>
        <w:t xml:space="preserve"> vaccine mandates for public servants </w:t>
      </w:r>
      <w:r w:rsidR="006F4D38">
        <w:rPr>
          <w:rFonts w:eastAsia="Calibri" w:cs="Arial"/>
        </w:rPr>
        <w:t>were compatible with human rights.</w:t>
      </w:r>
    </w:p>
    <w:p w14:paraId="5AC80D29" w14:textId="77777777" w:rsidR="00877F6F" w:rsidRDefault="00877F6F" w:rsidP="00877F6F">
      <w:pPr>
        <w:pStyle w:val="Heading2"/>
        <w:rPr>
          <w:color w:val="373D41"/>
        </w:rPr>
      </w:pPr>
      <w:bookmarkStart w:id="98" w:name="_Toc148086877"/>
      <w:r>
        <w:rPr>
          <w:color w:val="373D41"/>
        </w:rPr>
        <w:t>Youth justice changes</w:t>
      </w:r>
      <w:bookmarkEnd w:id="98"/>
    </w:p>
    <w:p w14:paraId="47ADC7C5" w14:textId="20CA5FBF" w:rsidR="00877F6F" w:rsidRDefault="004B4DEA" w:rsidP="00877F6F">
      <w:r>
        <w:t>News h</w:t>
      </w:r>
      <w:r w:rsidR="00877F6F">
        <w:t xml:space="preserve">eadlines this year were dominated by changes to the government’s approach </w:t>
      </w:r>
      <w:r w:rsidR="004B0814">
        <w:t xml:space="preserve">to </w:t>
      </w:r>
      <w:r w:rsidR="00877F6F">
        <w:t xml:space="preserve">youth justice </w:t>
      </w:r>
      <w:r w:rsidR="002F6FB3">
        <w:t>and culminated</w:t>
      </w:r>
      <w:r w:rsidR="00877F6F">
        <w:t xml:space="preserve"> in the </w:t>
      </w:r>
      <w:r w:rsidR="0057511E">
        <w:t>parliament</w:t>
      </w:r>
      <w:r w:rsidR="00877F6F">
        <w:t xml:space="preserve"> overriding the Human Rights Act for the first time to pass the </w:t>
      </w:r>
      <w:r w:rsidR="00877F6F">
        <w:rPr>
          <w:i/>
          <w:iCs/>
        </w:rPr>
        <w:t>Strengthening Community Safety Bill 2023</w:t>
      </w:r>
      <w:r w:rsidR="00877F6F">
        <w:t xml:space="preserve">. </w:t>
      </w:r>
    </w:p>
    <w:p w14:paraId="152D85A9" w14:textId="62639D1D" w:rsidR="00A33211" w:rsidRDefault="004431ED" w:rsidP="00877F6F">
      <w:r>
        <w:t>Without adequate consultation, n</w:t>
      </w:r>
      <w:r w:rsidR="001F1C1A">
        <w:t>ew laws</w:t>
      </w:r>
      <w:r>
        <w:t xml:space="preserve"> were</w:t>
      </w:r>
      <w:r w:rsidR="001F1C1A">
        <w:t xml:space="preserve"> introduced in February 2023 </w:t>
      </w:r>
      <w:r>
        <w:t>including</w:t>
      </w:r>
      <w:r w:rsidR="00E9122E">
        <w:t xml:space="preserve"> a new breach of bail offence</w:t>
      </w:r>
      <w:r w:rsidR="001D20A6">
        <w:t xml:space="preserve"> for youth offenders</w:t>
      </w:r>
      <w:r>
        <w:t>.</w:t>
      </w:r>
      <w:r w:rsidR="00E9122E">
        <w:t xml:space="preserve"> </w:t>
      </w:r>
      <w:r>
        <w:t>Th</w:t>
      </w:r>
      <w:r w:rsidR="00CE312D">
        <w:t xml:space="preserve">e Commission opposed </w:t>
      </w:r>
      <w:r>
        <w:t>the amendments on</w:t>
      </w:r>
      <w:r w:rsidR="00CE312D">
        <w:t xml:space="preserve"> the basis that there was no evidence they would be effective or </w:t>
      </w:r>
      <w:r w:rsidR="00EA3273">
        <w:t>meet the goal of protecting the community from the small number of Queensland children engaging in harmful behaviours.</w:t>
      </w:r>
      <w:r w:rsidR="00DD6D28">
        <w:t xml:space="preserve"> </w:t>
      </w:r>
    </w:p>
    <w:p w14:paraId="795C1FDD" w14:textId="371E94B0" w:rsidR="001F1C1A" w:rsidRDefault="00354E16" w:rsidP="00877F6F">
      <w:r w:rsidRPr="00354E16">
        <w:t xml:space="preserve">In December 2022, the numbers of children held in youth detention and police watchhouses had significantly increased, with young people spending an average of 43 nights in unsentenced detention. </w:t>
      </w:r>
      <w:r w:rsidR="00A33211">
        <w:t>Throughout the reporting period, t</w:t>
      </w:r>
      <w:r w:rsidR="00DD6D28">
        <w:t xml:space="preserve">he Commission </w:t>
      </w:r>
      <w:r w:rsidR="004B0814">
        <w:t>express</w:t>
      </w:r>
      <w:r w:rsidR="00F27D00">
        <w:t>ed</w:t>
      </w:r>
      <w:r w:rsidR="004B0814">
        <w:t xml:space="preserve"> </w:t>
      </w:r>
      <w:r w:rsidR="00424E7B">
        <w:t>escalat</w:t>
      </w:r>
      <w:r w:rsidR="00382FDA">
        <w:t>ing concern</w:t>
      </w:r>
      <w:r w:rsidR="00D73D89">
        <w:t>s</w:t>
      </w:r>
      <w:r w:rsidR="00DD6D28">
        <w:t xml:space="preserve"> about the practice of holding children in the watchhouse for prolonged periods</w:t>
      </w:r>
      <w:r w:rsidR="00AC1C15">
        <w:t xml:space="preserve"> </w:t>
      </w:r>
      <w:r w:rsidR="006375CB">
        <w:t>because of the</w:t>
      </w:r>
      <w:r w:rsidR="00AC1C15">
        <w:t xml:space="preserve"> unacceptable risks of psychological and physical harm</w:t>
      </w:r>
      <w:r w:rsidR="006375CB">
        <w:t xml:space="preserve"> to young people</w:t>
      </w:r>
      <w:r w:rsidR="00AC1C15">
        <w:t>.</w:t>
      </w:r>
    </w:p>
    <w:p w14:paraId="567F23E5" w14:textId="77777777" w:rsidR="00190531" w:rsidRDefault="00190531" w:rsidP="00190531">
      <w:pPr>
        <w:pStyle w:val="Heading2"/>
        <w:rPr>
          <w:color w:val="373D41"/>
        </w:rPr>
      </w:pPr>
      <w:bookmarkStart w:id="99" w:name="_Toc148086878"/>
      <w:r w:rsidRPr="00F36340">
        <w:rPr>
          <w:color w:val="373D41"/>
        </w:rPr>
        <w:t>Recognition and equality for LGBTQ+ Queenslanders</w:t>
      </w:r>
      <w:bookmarkEnd w:id="99"/>
    </w:p>
    <w:p w14:paraId="41D032BA" w14:textId="65CB9541" w:rsidR="00FE5F8B" w:rsidRDefault="00190531" w:rsidP="00190531">
      <w:r>
        <w:t xml:space="preserve">A significant event in the </w:t>
      </w:r>
      <w:r w:rsidR="00567754">
        <w:t>reporting period</w:t>
      </w:r>
      <w:r>
        <w:t xml:space="preserve"> for the LGBTQ+ community was </w:t>
      </w:r>
      <w:r w:rsidR="00CA61B9">
        <w:t xml:space="preserve">the </w:t>
      </w:r>
      <w:r>
        <w:t>introduction of new birth registration laws</w:t>
      </w:r>
      <w:r w:rsidR="00FA79CE">
        <w:t xml:space="preserve"> </w:t>
      </w:r>
      <w:r w:rsidR="00FE5F8B">
        <w:t xml:space="preserve">to </w:t>
      </w:r>
      <w:r w:rsidR="000578DC">
        <w:t>remov</w:t>
      </w:r>
      <w:r w:rsidR="00FE5F8B">
        <w:t>e</w:t>
      </w:r>
      <w:r w:rsidR="000578DC">
        <w:t xml:space="preserve"> </w:t>
      </w:r>
      <w:r w:rsidR="00FA79CE">
        <w:t>unfair barriers to obtaining a change of sex on a person’s birth certificate</w:t>
      </w:r>
      <w:r>
        <w:t>. On 2 December 2022, the Births, Deaths and Marriages Registration Bill was introduced into parliament, and on 24 February 2023 it was recommended to be passed by a parliamentary committee.</w:t>
      </w:r>
      <w:r>
        <w:rPr>
          <w:rStyle w:val="FootnoteReference"/>
        </w:rPr>
        <w:footnoteReference w:id="7"/>
      </w:r>
      <w:r>
        <w:t xml:space="preserve"> </w:t>
      </w:r>
    </w:p>
    <w:p w14:paraId="6690F2D0" w14:textId="4AC0C477" w:rsidR="00190531" w:rsidRPr="00383972" w:rsidRDefault="00190531" w:rsidP="00190531">
      <w:r>
        <w:t xml:space="preserve">For </w:t>
      </w:r>
      <w:r w:rsidR="00FE5F8B">
        <w:t>over a decade</w:t>
      </w:r>
      <w:r>
        <w:t xml:space="preserve"> the Commission </w:t>
      </w:r>
      <w:r w:rsidR="0B2B5C6D">
        <w:t>has</w:t>
      </w:r>
      <w:r>
        <w:t xml:space="preserve"> advocated </w:t>
      </w:r>
      <w:r w:rsidR="00FE5F8B">
        <w:t>for</w:t>
      </w:r>
      <w:r>
        <w:t xml:space="preserve"> updates to births registration laws</w:t>
      </w:r>
      <w:r w:rsidR="00FE5F8B">
        <w:t>, and in that period</w:t>
      </w:r>
      <w:r>
        <w:t xml:space="preserve"> Queensland’s regime had fallen significantly behind that of most other Australian jurisdictions. The Commission welcomed the Bill which provides greater recognition of trans and gender diverse people and contemporary family and parenting structures, upholding and promoting the rights to equality, privacy, families and children.</w:t>
      </w:r>
    </w:p>
    <w:p w14:paraId="6437E3CD" w14:textId="42A6F900" w:rsidR="00B24A96" w:rsidRDefault="00EB19D9" w:rsidP="0084242E">
      <w:pPr>
        <w:pStyle w:val="Heading2"/>
        <w:rPr>
          <w:color w:val="373D41"/>
        </w:rPr>
      </w:pPr>
      <w:bookmarkStart w:id="100" w:name="_Toc148086879"/>
      <w:r>
        <w:rPr>
          <w:color w:val="373D41"/>
        </w:rPr>
        <w:t>Medical</w:t>
      </w:r>
      <w:r w:rsidR="00C375C3">
        <w:rPr>
          <w:color w:val="373D41"/>
        </w:rPr>
        <w:t xml:space="preserve"> and disability support for prisoners</w:t>
      </w:r>
      <w:bookmarkEnd w:id="100"/>
    </w:p>
    <w:p w14:paraId="0EDE168A" w14:textId="565813AD" w:rsidR="005840C7" w:rsidRDefault="005840C7" w:rsidP="008E27A2">
      <w:r w:rsidRPr="005840C7">
        <w:t xml:space="preserve">A theme </w:t>
      </w:r>
      <w:r w:rsidR="004B6375">
        <w:t>emerging</w:t>
      </w:r>
      <w:r w:rsidRPr="005840C7">
        <w:t xml:space="preserve"> from human rights complaints this year </w:t>
      </w:r>
      <w:r w:rsidR="004B6375" w:rsidRPr="005840C7">
        <w:t>centred</w:t>
      </w:r>
      <w:r w:rsidRPr="005840C7">
        <w:t xml:space="preserve"> around </w:t>
      </w:r>
      <w:r w:rsidR="004B6375">
        <w:t xml:space="preserve">the </w:t>
      </w:r>
      <w:r w:rsidR="0035470A">
        <w:t>assistance</w:t>
      </w:r>
      <w:r w:rsidRPr="005840C7">
        <w:t xml:space="preserve"> provided to prisoners with medical or disability-related support needs. </w:t>
      </w:r>
      <w:r w:rsidR="00D550A3">
        <w:t>In complaints brought to the Commission,</w:t>
      </w:r>
      <w:r w:rsidRPr="005840C7">
        <w:t xml:space="preserve"> prisoners sought continuity of treatment </w:t>
      </w:r>
      <w:r w:rsidR="00081814">
        <w:t xml:space="preserve">or supports </w:t>
      </w:r>
      <w:r w:rsidR="00B83E88">
        <w:t>they</w:t>
      </w:r>
      <w:r>
        <w:t xml:space="preserve"> </w:t>
      </w:r>
      <w:r w:rsidR="00D1153E">
        <w:t>were</w:t>
      </w:r>
      <w:r>
        <w:t xml:space="preserve"> receiv</w:t>
      </w:r>
      <w:r w:rsidR="00D1153E">
        <w:t>ing</w:t>
      </w:r>
      <w:r w:rsidRPr="005840C7">
        <w:t xml:space="preserve"> in the community through the N</w:t>
      </w:r>
      <w:r w:rsidR="007D6313">
        <w:t xml:space="preserve">ational </w:t>
      </w:r>
      <w:r w:rsidRPr="005840C7">
        <w:t>D</w:t>
      </w:r>
      <w:r w:rsidR="007D6313">
        <w:t xml:space="preserve">isability </w:t>
      </w:r>
      <w:r w:rsidR="007D6313" w:rsidRPr="005840C7">
        <w:t>I</w:t>
      </w:r>
      <w:r w:rsidR="007D6313">
        <w:t xml:space="preserve">nsurance </w:t>
      </w:r>
      <w:r w:rsidRPr="005840C7">
        <w:t>S</w:t>
      </w:r>
      <w:r w:rsidR="007D6313">
        <w:t>cheme</w:t>
      </w:r>
      <w:r w:rsidR="003B79E9">
        <w:t xml:space="preserve"> and </w:t>
      </w:r>
      <w:r w:rsidR="00D1153E">
        <w:t xml:space="preserve">continued </w:t>
      </w:r>
      <w:r w:rsidR="00081814">
        <w:t xml:space="preserve">prescription of </w:t>
      </w:r>
      <w:r w:rsidRPr="005840C7">
        <w:t xml:space="preserve">medication they were </w:t>
      </w:r>
      <w:r w:rsidR="00081814">
        <w:t>relying on</w:t>
      </w:r>
      <w:r w:rsidRPr="005840C7">
        <w:t xml:space="preserve">. </w:t>
      </w:r>
    </w:p>
    <w:p w14:paraId="48839CB6" w14:textId="03268F8D" w:rsidR="00573274" w:rsidRDefault="00C375C3" w:rsidP="008E27A2">
      <w:r>
        <w:t>Of the human rights only</w:t>
      </w:r>
      <w:r w:rsidR="000D67FA">
        <w:rPr>
          <w:rStyle w:val="FootnoteReference"/>
        </w:rPr>
        <w:footnoteReference w:id="8"/>
      </w:r>
      <w:r>
        <w:t xml:space="preserve"> complaints made to the Commission</w:t>
      </w:r>
      <w:r w:rsidR="002D64E4">
        <w:t xml:space="preserve"> </w:t>
      </w:r>
      <w:r>
        <w:t>this year</w:t>
      </w:r>
      <w:r w:rsidR="00F25FDF">
        <w:t>,</w:t>
      </w:r>
      <w:r>
        <w:t xml:space="preserve"> </w:t>
      </w:r>
      <w:r w:rsidR="00EE7A4D">
        <w:t>most</w:t>
      </w:r>
      <w:r>
        <w:t xml:space="preserve"> </w:t>
      </w:r>
      <w:r w:rsidR="00333199">
        <w:t xml:space="preserve">came from </w:t>
      </w:r>
      <w:r>
        <w:t>corrections</w:t>
      </w:r>
      <w:r w:rsidR="002D64E4">
        <w:t>, representing a shift away from health and policing as the key complaint areas</w:t>
      </w:r>
      <w:r>
        <w:t xml:space="preserve">. </w:t>
      </w:r>
      <w:r w:rsidR="005A2785" w:rsidRPr="005A2785">
        <w:t xml:space="preserve">Our resolved complaint case studies feature examples </w:t>
      </w:r>
      <w:r w:rsidR="00A74B62">
        <w:t>in which</w:t>
      </w:r>
      <w:r w:rsidR="00A74B62" w:rsidRPr="005A2785">
        <w:t xml:space="preserve"> </w:t>
      </w:r>
      <w:r w:rsidR="005A2785" w:rsidRPr="005A2785">
        <w:t>the health service</w:t>
      </w:r>
      <w:r w:rsidR="0077430E">
        <w:t xml:space="preserve"> operating in prison </w:t>
      </w:r>
      <w:r w:rsidR="005A2785" w:rsidRPr="005A2785">
        <w:t>committed to addressing concerns raised by prisoners in specific instances.</w:t>
      </w:r>
    </w:p>
    <w:p w14:paraId="4D55248F" w14:textId="2260424B" w:rsidR="00DA50D3" w:rsidRDefault="00BE0241" w:rsidP="00D550A3">
      <w:bookmarkStart w:id="101" w:name="_Toc147757257"/>
      <w:r w:rsidRPr="00BE0241">
        <w:t xml:space="preserve">On </w:t>
      </w:r>
      <w:r w:rsidR="003B57CA">
        <w:t>28 June</w:t>
      </w:r>
      <w:r w:rsidRPr="00BE0241">
        <w:t xml:space="preserve"> 2023, the Commission released a report </w:t>
      </w:r>
      <w:r w:rsidR="005B344D">
        <w:t>as the result of</w:t>
      </w:r>
      <w:r w:rsidRPr="00BE0241">
        <w:t xml:space="preserve"> an unresolved complaint</w:t>
      </w:r>
      <w:r w:rsidR="005A1670">
        <w:t xml:space="preserve"> on this </w:t>
      </w:r>
      <w:r w:rsidR="00C26428">
        <w:t>issue</w:t>
      </w:r>
      <w:r>
        <w:t>.</w:t>
      </w:r>
      <w:r w:rsidRPr="00BE0241">
        <w:t xml:space="preserve"> This report </w:t>
      </w:r>
      <w:r w:rsidR="006265CB">
        <w:t>emphasised</w:t>
      </w:r>
      <w:r w:rsidR="006265CB" w:rsidRPr="00BE0241">
        <w:t xml:space="preserve"> </w:t>
      </w:r>
      <w:r w:rsidRPr="00BE0241">
        <w:t>the pressing need for improved coordination between prison health service</w:t>
      </w:r>
      <w:r w:rsidR="00C26428">
        <w:t>s</w:t>
      </w:r>
      <w:r w:rsidRPr="00BE0241">
        <w:t xml:space="preserve"> and Queensland Corrective Services to minimi</w:t>
      </w:r>
      <w:r w:rsidR="005B1C38">
        <w:t>s</w:t>
      </w:r>
      <w:r w:rsidRPr="00BE0241">
        <w:t xml:space="preserve">e delays in taking </w:t>
      </w:r>
      <w:r>
        <w:t>action</w:t>
      </w:r>
      <w:r w:rsidRPr="00BE0241">
        <w:t xml:space="preserve"> to support prisoner health. </w:t>
      </w:r>
    </w:p>
    <w:p w14:paraId="53CAB08E" w14:textId="77777777" w:rsidR="00190531" w:rsidRDefault="00190531" w:rsidP="00190531">
      <w:pPr>
        <w:pStyle w:val="Heading2"/>
        <w:rPr>
          <w:color w:val="373D41"/>
        </w:rPr>
      </w:pPr>
      <w:bookmarkStart w:id="102" w:name="_Toc148086880"/>
      <w:bookmarkStart w:id="103" w:name="_Toc85526628"/>
      <w:bookmarkStart w:id="104" w:name="_Toc85787043"/>
      <w:bookmarkStart w:id="105" w:name="_Toc110503434"/>
      <w:bookmarkStart w:id="106" w:name="_Toc110506598"/>
      <w:bookmarkStart w:id="107" w:name="_Toc1342488661"/>
      <w:bookmarkStart w:id="108" w:name="_Toc117697115"/>
      <w:bookmarkStart w:id="109" w:name="_Toc147757260"/>
      <w:bookmarkEnd w:id="101"/>
      <w:r>
        <w:rPr>
          <w:color w:val="373D41"/>
        </w:rPr>
        <w:t>Human r</w:t>
      </w:r>
      <w:r w:rsidRPr="007E67D6">
        <w:rPr>
          <w:color w:val="373D41"/>
        </w:rPr>
        <w:t>ights of victim</w:t>
      </w:r>
      <w:r>
        <w:rPr>
          <w:color w:val="373D41"/>
        </w:rPr>
        <w:t>-survivors</w:t>
      </w:r>
      <w:bookmarkEnd w:id="102"/>
    </w:p>
    <w:p w14:paraId="21E41D14" w14:textId="10D79CF5" w:rsidR="00190531" w:rsidRDefault="00190531" w:rsidP="00190531">
      <w:r>
        <w:t xml:space="preserve">In 2022-23, the Commission observed a heightened </w:t>
      </w:r>
      <w:r w:rsidRPr="009D0FBC">
        <w:t>focus on the rights of victims of crime</w:t>
      </w:r>
      <w:r w:rsidR="000A2E5B">
        <w:t xml:space="preserve"> in the media, </w:t>
      </w:r>
      <w:r w:rsidR="000164F6">
        <w:t>parliamentary debate,</w:t>
      </w:r>
      <w:r w:rsidR="000A2E5B">
        <w:t xml:space="preserve"> public discourse</w:t>
      </w:r>
      <w:r w:rsidR="004923EA">
        <w:t>,</w:t>
      </w:r>
      <w:r w:rsidR="000A2E5B">
        <w:t xml:space="preserve"> and inquiry </w:t>
      </w:r>
      <w:r w:rsidR="000164F6">
        <w:t>recommendations</w:t>
      </w:r>
      <w:r w:rsidRPr="009D0FBC">
        <w:t xml:space="preserve">. While not explicitly mentioned in the Human Rights Act, </w:t>
      </w:r>
      <w:r w:rsidR="000164F6">
        <w:t>several</w:t>
      </w:r>
      <w:r w:rsidRPr="009D0FBC">
        <w:t xml:space="preserve"> human rights in the Act </w:t>
      </w:r>
      <w:r w:rsidR="00B924EF">
        <w:t>as it stands</w:t>
      </w:r>
      <w:r w:rsidRPr="009D0FBC">
        <w:t xml:space="preserve"> protect and promote the rights of victim-survivors</w:t>
      </w:r>
      <w:r>
        <w:t>, including the right to life, non-discrimination, prohibition on cruel, inhuman and degrading treatment</w:t>
      </w:r>
      <w:r w:rsidR="00CB3B4D">
        <w:t>,</w:t>
      </w:r>
      <w:r>
        <w:t xml:space="preserve"> and the right to privacy</w:t>
      </w:r>
      <w:r w:rsidRPr="009D0FBC">
        <w:t xml:space="preserve">. </w:t>
      </w:r>
    </w:p>
    <w:p w14:paraId="473C5032" w14:textId="7C72037C" w:rsidR="00190531" w:rsidRDefault="00190531" w:rsidP="00190531">
      <w:r w:rsidRPr="009D0FBC">
        <w:t>The Commission</w:t>
      </w:r>
      <w:r>
        <w:t xml:space="preserve"> considers that all people </w:t>
      </w:r>
      <w:r w:rsidR="004870D6">
        <w:t xml:space="preserve">involved </w:t>
      </w:r>
      <w:r w:rsidR="00824268">
        <w:t>in proceedings</w:t>
      </w:r>
      <w:r>
        <w:t xml:space="preserve"> in the criminal justice system should </w:t>
      </w:r>
      <w:r w:rsidR="00C2459E">
        <w:t xml:space="preserve">be able to </w:t>
      </w:r>
      <w:r>
        <w:t xml:space="preserve">participate and have their rights upheld. One helpful framing is the concept of a ‘triangulation of interests’, with the 3 rights-holders being the </w:t>
      </w:r>
      <w:r w:rsidR="00BA0F16">
        <w:t>victim-survivor</w:t>
      </w:r>
      <w:r>
        <w:t>, the public</w:t>
      </w:r>
      <w:r w:rsidR="00303950">
        <w:t>,</w:t>
      </w:r>
      <w:r w:rsidR="00BA0F16">
        <w:t xml:space="preserve"> and the </w:t>
      </w:r>
      <w:r>
        <w:t>perpetrator.</w:t>
      </w:r>
      <w:r>
        <w:rPr>
          <w:rStyle w:val="FootnoteReference"/>
        </w:rPr>
        <w:footnoteReference w:id="9"/>
      </w:r>
    </w:p>
    <w:p w14:paraId="6FDD7663" w14:textId="5D0E6E77" w:rsidR="00190531" w:rsidRPr="00BA7C80" w:rsidRDefault="00190531" w:rsidP="00190531">
      <w:r>
        <w:t>On 1 July 2022, the Women’s Safety and Justice Taskforce’s second</w:t>
      </w:r>
      <w:r>
        <w:rPr>
          <w:i/>
          <w:iCs/>
        </w:rPr>
        <w:t xml:space="preserve"> Hear her voice </w:t>
      </w:r>
      <w:r>
        <w:t>report recommended</w:t>
      </w:r>
      <w:r>
        <w:rPr>
          <w:rStyle w:val="FootnoteReference"/>
        </w:rPr>
        <w:footnoteReference w:id="10"/>
      </w:r>
      <w:r>
        <w:t xml:space="preserve"> the establishment of an independent victims’ commissioner to promote and protect the victims of violent offences</w:t>
      </w:r>
      <w:r w:rsidR="001D2C72">
        <w:t>,</w:t>
      </w:r>
      <w:r>
        <w:t xml:space="preserve"> with a focus on domestic and family violence</w:t>
      </w:r>
      <w:r w:rsidR="001D2C72">
        <w:t>,</w:t>
      </w:r>
      <w:r>
        <w:t xml:space="preserve"> and to review both the Human Rights Act and the Victims Charter.</w:t>
      </w:r>
      <w:r>
        <w:rPr>
          <w:rStyle w:val="FootnoteReference"/>
        </w:rPr>
        <w:footnoteReference w:id="11"/>
      </w:r>
      <w:r>
        <w:t xml:space="preserve"> </w:t>
      </w:r>
    </w:p>
    <w:p w14:paraId="1E13A735" w14:textId="313F915C" w:rsidR="00190531" w:rsidRDefault="00190531" w:rsidP="00190531">
      <w:r>
        <w:t xml:space="preserve">To mark the 2022 International Day for the Elimination of Violence against Women, the Commission presented a webinar </w:t>
      </w:r>
      <w:r w:rsidR="00E84D8F">
        <w:t xml:space="preserve">hosted by Legal Aid Queensland </w:t>
      </w:r>
      <w:r>
        <w:t xml:space="preserve">about international and Queensland human rights obligations to victims of domestic and family violence. On 12 April 2023 the Commission was pleased to support a parliamentary inquiry into support provided to victims of crime </w:t>
      </w:r>
      <w:r w:rsidR="00DE161C">
        <w:t xml:space="preserve">and </w:t>
      </w:r>
      <w:r>
        <w:t>express</w:t>
      </w:r>
      <w:r w:rsidR="00DE161C">
        <w:t>ed</w:t>
      </w:r>
      <w:r>
        <w:t xml:space="preserve"> our support for a dedicated victims’ commissioner </w:t>
      </w:r>
      <w:r w:rsidR="00F97A53">
        <w:t xml:space="preserve">as well as </w:t>
      </w:r>
      <w:r>
        <w:t>more explicit recognition of fair hearing rights for victims following the forthcoming review of the Human Rights Act.</w:t>
      </w:r>
    </w:p>
    <w:p w14:paraId="0D9925CB" w14:textId="7D125D6A" w:rsidR="005F7B32" w:rsidRPr="00A80EE4" w:rsidRDefault="005F7B32" w:rsidP="005F7B32">
      <w:pPr>
        <w:pStyle w:val="Heading1"/>
        <w:rPr>
          <w:color w:val="373D41"/>
        </w:rPr>
      </w:pPr>
      <w:bookmarkStart w:id="110" w:name="_Toc148086881"/>
      <w:r w:rsidRPr="00A80EE4">
        <w:rPr>
          <w:color w:val="373D41"/>
        </w:rPr>
        <w:t xml:space="preserve">Human </w:t>
      </w:r>
      <w:r w:rsidR="003A36EC">
        <w:rPr>
          <w:color w:val="373D41"/>
        </w:rPr>
        <w:t>r</w:t>
      </w:r>
      <w:r w:rsidRPr="00A80EE4">
        <w:rPr>
          <w:color w:val="373D41"/>
        </w:rPr>
        <w:t xml:space="preserve">ights </w:t>
      </w:r>
      <w:r w:rsidR="003A36EC">
        <w:rPr>
          <w:color w:val="373D41"/>
        </w:rPr>
        <w:t>timeline:</w:t>
      </w:r>
      <w:r w:rsidRPr="00A80EE4">
        <w:rPr>
          <w:color w:val="373D41"/>
        </w:rPr>
        <w:t xml:space="preserve"> </w:t>
      </w:r>
      <w:r w:rsidR="007D27F7">
        <w:rPr>
          <w:color w:val="373D41"/>
        </w:rPr>
        <w:t>2022-23</w:t>
      </w:r>
      <w:bookmarkEnd w:id="103"/>
      <w:bookmarkEnd w:id="104"/>
      <w:bookmarkEnd w:id="105"/>
      <w:bookmarkEnd w:id="106"/>
      <w:bookmarkEnd w:id="107"/>
      <w:bookmarkEnd w:id="108"/>
      <w:bookmarkEnd w:id="109"/>
      <w:bookmarkEnd w:id="110"/>
    </w:p>
    <w:p w14:paraId="52C58EEC" w14:textId="7AAFB193" w:rsidR="00F5217E" w:rsidRDefault="54FA3FDA" w:rsidP="00D21B14">
      <w:r w:rsidRPr="45117535">
        <w:t>Below is a brief timeline of some significant events relevant to the operation of the Act in its third year.</w:t>
      </w:r>
    </w:p>
    <w:p w14:paraId="21BB1EB4" w14:textId="77777777" w:rsidR="008E0B5F" w:rsidRDefault="0F29664A">
      <w:r>
        <w:rPr>
          <w:noProof/>
          <w:color w:val="2B579A"/>
          <w:shd w:val="clear" w:color="auto" w:fill="E6E6E6"/>
          <w:lang w:eastAsia="en-AU"/>
        </w:rPr>
        <w:drawing>
          <wp:inline distT="0" distB="0" distL="0" distR="0" wp14:anchorId="0CFDE297" wp14:editId="6F5D85BF">
            <wp:extent cx="2495550" cy="3664198"/>
            <wp:effectExtent l="0" t="0" r="0" b="0"/>
            <wp:docPr id="1" name="Picture 1" descr="A series of six icons for each of the themes of the entries on the timeline on the next page, which notes significant events in 2021-22 with human rights impacts. These events are noted next to an icon relevant to the main theme: First Nations people, civil liberties, the fight for equality, children and families, life and health, and prisons and instit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eries of six icons for each of the themes of the entries on the timeline on the next page, which notes significant events in 2021-22 with human rights impacts. These events are noted next to an icon relevant to the main theme: First Nations people, civil liberties, the fight for equality, children and families, life and health, and prisons and institutions."/>
                    <pic:cNvPicPr/>
                  </pic:nvPicPr>
                  <pic:blipFill>
                    <a:blip r:embed="rId17">
                      <a:extLst>
                        <a:ext uri="{28A0092B-C50C-407E-A947-70E740481C1C}">
                          <a14:useLocalDpi xmlns:a14="http://schemas.microsoft.com/office/drawing/2010/main" val="0"/>
                        </a:ext>
                      </a:extLst>
                    </a:blip>
                    <a:stretch>
                      <a:fillRect/>
                    </a:stretch>
                  </pic:blipFill>
                  <pic:spPr>
                    <a:xfrm>
                      <a:off x="0" y="0"/>
                      <a:ext cx="2495550" cy="3664198"/>
                    </a:xfrm>
                    <a:prstGeom prst="rect">
                      <a:avLst/>
                    </a:prstGeom>
                  </pic:spPr>
                </pic:pic>
              </a:graphicData>
            </a:graphic>
          </wp:inline>
        </w:drawing>
      </w:r>
    </w:p>
    <w:p w14:paraId="6171E653" w14:textId="77777777" w:rsidR="008E0B5F" w:rsidRDefault="008E0B5F">
      <w:pPr>
        <w:spacing w:after="160" w:line="259" w:lineRule="auto"/>
        <w:ind w:right="0"/>
      </w:pPr>
      <w:r>
        <w:br w:type="page"/>
      </w:r>
    </w:p>
    <w:p w14:paraId="52ED4A0D" w14:textId="7CE087E4" w:rsidR="25DCDBA1" w:rsidRDefault="008E0B5F">
      <w:r>
        <w:rPr>
          <w:noProof/>
          <w:color w:val="2B579A"/>
          <w:shd w:val="clear" w:color="auto" w:fill="E6E6E6"/>
        </w:rPr>
        <w:drawing>
          <wp:anchor distT="0" distB="0" distL="114300" distR="114300" simplePos="0" relativeHeight="251658268" behindDoc="0" locked="0" layoutInCell="1" allowOverlap="1" wp14:anchorId="6BFB4680" wp14:editId="36756F7A">
            <wp:simplePos x="0" y="0"/>
            <wp:positionH relativeFrom="page">
              <wp:align>right</wp:align>
            </wp:positionH>
            <wp:positionV relativeFrom="paragraph">
              <wp:posOffset>-909637</wp:posOffset>
            </wp:positionV>
            <wp:extent cx="7553325" cy="10683946"/>
            <wp:effectExtent l="0" t="0" r="0" b="3175"/>
            <wp:wrapNone/>
            <wp:docPr id="4" name="Picture 4" descr="This timeline runs over 2 pages and lists some of the significant human rights events or issues relevant to Queensland which took place during 2022-23. The full text from these images is at Appendix D of this re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his timeline runs over 2 pages and lists some of the significant human rights events or issues relevant to Queensland which took place during 2022-23. The full text from these images is at Appendix D of this report. "/>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553325" cy="10683946"/>
                    </a:xfrm>
                    <a:prstGeom prst="rect">
                      <a:avLst/>
                    </a:prstGeom>
                  </pic:spPr>
                </pic:pic>
              </a:graphicData>
            </a:graphic>
            <wp14:sizeRelH relativeFrom="page">
              <wp14:pctWidth>0</wp14:pctWidth>
            </wp14:sizeRelH>
            <wp14:sizeRelV relativeFrom="page">
              <wp14:pctHeight>0</wp14:pctHeight>
            </wp14:sizeRelV>
          </wp:anchor>
        </w:drawing>
      </w:r>
      <w:r w:rsidR="25DCDBA1">
        <w:br w:type="page"/>
      </w:r>
    </w:p>
    <w:p w14:paraId="5571F408" w14:textId="53F54EE1" w:rsidR="00AD6D49" w:rsidRDefault="00EE3871">
      <w:pPr>
        <w:spacing w:after="160" w:line="259" w:lineRule="auto"/>
        <w:ind w:right="0"/>
      </w:pPr>
      <w:r>
        <w:rPr>
          <w:noProof/>
        </w:rPr>
        <w:drawing>
          <wp:anchor distT="0" distB="0" distL="114300" distR="114300" simplePos="0" relativeHeight="251658271" behindDoc="0" locked="0" layoutInCell="1" allowOverlap="1" wp14:anchorId="04DFF7D7" wp14:editId="6CEAB5B1">
            <wp:simplePos x="0" y="0"/>
            <wp:positionH relativeFrom="page">
              <wp:align>right</wp:align>
            </wp:positionH>
            <wp:positionV relativeFrom="paragraph">
              <wp:posOffset>-900752</wp:posOffset>
            </wp:positionV>
            <wp:extent cx="7535618" cy="10658901"/>
            <wp:effectExtent l="0" t="0" r="8255" b="9525"/>
            <wp:wrapNone/>
            <wp:docPr id="9" name="Picture 9" descr="A calendar with text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alendar with text and numbers&#10;&#10;Description automatically generated with medium confidenc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535618" cy="10658901"/>
                    </a:xfrm>
                    <a:prstGeom prst="rect">
                      <a:avLst/>
                    </a:prstGeom>
                  </pic:spPr>
                </pic:pic>
              </a:graphicData>
            </a:graphic>
            <wp14:sizeRelH relativeFrom="page">
              <wp14:pctWidth>0</wp14:pctWidth>
            </wp14:sizeRelH>
            <wp14:sizeRelV relativeFrom="page">
              <wp14:pctHeight>0</wp14:pctHeight>
            </wp14:sizeRelV>
          </wp:anchor>
        </w:drawing>
      </w:r>
      <w:r w:rsidR="00AD6D49">
        <w:br w:type="page"/>
      </w:r>
    </w:p>
    <w:p w14:paraId="369F1547" w14:textId="017631C6" w:rsidR="00302C6F" w:rsidRDefault="00302C6F" w:rsidP="00302C6F">
      <w:bookmarkStart w:id="111" w:name="_Toc110503436"/>
      <w:bookmarkStart w:id="112" w:name="_Toc110506600"/>
      <w:bookmarkStart w:id="113" w:name="_Toc1206107532"/>
      <w:r w:rsidRPr="0069665C">
        <w:rPr>
          <w:noProof/>
          <w:color w:val="2B579A"/>
          <w:shd w:val="clear" w:color="auto" w:fill="E6E6E6"/>
          <w:lang w:eastAsia="en-AU"/>
        </w:rPr>
        <w:drawing>
          <wp:anchor distT="0" distB="0" distL="114300" distR="114300" simplePos="0" relativeHeight="251658266" behindDoc="1" locked="0" layoutInCell="1" allowOverlap="1" wp14:anchorId="0856E811" wp14:editId="047E11E5">
            <wp:simplePos x="0" y="0"/>
            <wp:positionH relativeFrom="page">
              <wp:posOffset>7228205</wp:posOffset>
            </wp:positionH>
            <wp:positionV relativeFrom="paragraph">
              <wp:posOffset>-913765</wp:posOffset>
            </wp:positionV>
            <wp:extent cx="370205" cy="10744200"/>
            <wp:effectExtent l="0" t="0" r="0" b="0"/>
            <wp:wrapNone/>
            <wp:docPr id="42" name="Picture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0205" cy="10744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9665C">
        <w:rPr>
          <w:noProof/>
          <w:color w:val="2B579A"/>
          <w:shd w:val="clear" w:color="auto" w:fill="E6E6E6"/>
          <w:lang w:eastAsia="en-AU"/>
        </w:rPr>
        <w:drawing>
          <wp:anchor distT="0" distB="0" distL="114300" distR="114300" simplePos="0" relativeHeight="251658242" behindDoc="1" locked="0" layoutInCell="1" allowOverlap="1" wp14:anchorId="568CEC32" wp14:editId="1E5EDD5C">
            <wp:simplePos x="0" y="0"/>
            <wp:positionH relativeFrom="page">
              <wp:posOffset>-76200</wp:posOffset>
            </wp:positionH>
            <wp:positionV relativeFrom="paragraph">
              <wp:posOffset>-912495</wp:posOffset>
            </wp:positionV>
            <wp:extent cx="7600950" cy="10686415"/>
            <wp:effectExtent l="0" t="0" r="0" b="635"/>
            <wp:wrapNone/>
            <wp:docPr id="32" name="Picture 32" descr="Brisbane City from across the river as a CityCat ferry glides past. 1 William Street towers above the Botanic Gardens at the right of the frame. The sky is overcast and there's a jacaranda in bloom in the foreground on the le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Brisbane City from across the river as a CityCat ferry glides past. 1 William Street towers above the Botanic Gardens at the right of the frame. The sky is overcast and there's a jacaranda in bloom in the foreground on the left. "/>
                    <pic:cNvPicPr/>
                  </pic:nvPicPr>
                  <pic:blipFill rotWithShape="1">
                    <a:blip r:embed="rId21" cstate="print">
                      <a:extLst>
                        <a:ext uri="{28A0092B-C50C-407E-A947-70E740481C1C}">
                          <a14:useLocalDpi xmlns:a14="http://schemas.microsoft.com/office/drawing/2010/main" val="0"/>
                        </a:ext>
                      </a:extLst>
                    </a:blip>
                    <a:srcRect l="22001" t="-3" r="30584" b="3"/>
                    <a:stretch/>
                  </pic:blipFill>
                  <pic:spPr bwMode="auto">
                    <a:xfrm>
                      <a:off x="0" y="0"/>
                      <a:ext cx="7600950" cy="10686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AD502C" w14:textId="48FB5409" w:rsidR="00302C6F" w:rsidRDefault="00302C6F" w:rsidP="00302C6F"/>
    <w:p w14:paraId="5640AEB0" w14:textId="158F8578" w:rsidR="00302C6F" w:rsidRDefault="00302C6F" w:rsidP="00302C6F"/>
    <w:p w14:paraId="1A29C869" w14:textId="02A507C3" w:rsidR="00302C6F" w:rsidRDefault="00302C6F" w:rsidP="00302C6F"/>
    <w:p w14:paraId="4A3AAB7C" w14:textId="5F439CD1" w:rsidR="00302C6F" w:rsidRDefault="00302C6F" w:rsidP="00302C6F"/>
    <w:p w14:paraId="4ADBAA8E" w14:textId="53BC3300" w:rsidR="00302C6F" w:rsidRDefault="00302C6F" w:rsidP="00302C6F"/>
    <w:p w14:paraId="4F04EE0C" w14:textId="5BBC24B2" w:rsidR="00302C6F" w:rsidRDefault="00302C6F" w:rsidP="00302C6F"/>
    <w:p w14:paraId="5D299BFD" w14:textId="7620F32A" w:rsidR="00302C6F" w:rsidRDefault="00302C6F" w:rsidP="00302C6F"/>
    <w:p w14:paraId="0C6EAA55" w14:textId="77777777" w:rsidR="00302C6F" w:rsidRDefault="00302C6F" w:rsidP="00302C6F"/>
    <w:p w14:paraId="07AB0FBB" w14:textId="3D101394" w:rsidR="00302C6F" w:rsidRDefault="00302C6F" w:rsidP="00302C6F"/>
    <w:p w14:paraId="07C7A6E7" w14:textId="59A32862" w:rsidR="00302C6F" w:rsidRDefault="00302C6F" w:rsidP="00302C6F"/>
    <w:p w14:paraId="5C8AB865" w14:textId="3041FE56" w:rsidR="00302C6F" w:rsidRDefault="00302C6F" w:rsidP="00302C6F"/>
    <w:p w14:paraId="7B55BEF3" w14:textId="77777777" w:rsidR="00302C6F" w:rsidRDefault="00302C6F" w:rsidP="00302C6F"/>
    <w:p w14:paraId="33C39A55" w14:textId="77777777" w:rsidR="00302C6F" w:rsidRDefault="00302C6F" w:rsidP="00302C6F"/>
    <w:p w14:paraId="32D86E33" w14:textId="77777777" w:rsidR="00302C6F" w:rsidRDefault="00302C6F" w:rsidP="00302C6F"/>
    <w:bookmarkStart w:id="114" w:name="_Toc117697116"/>
    <w:bookmarkStart w:id="115" w:name="_Toc147757261"/>
    <w:bookmarkStart w:id="116" w:name="_Toc148086882"/>
    <w:p w14:paraId="16B994C2" w14:textId="5430721C" w:rsidR="005F7B32" w:rsidRPr="002671CC" w:rsidRDefault="005F43D4" w:rsidP="005A0AC6">
      <w:pPr>
        <w:pStyle w:val="Sectiontitle"/>
        <w:rPr>
          <w:i/>
        </w:rPr>
      </w:pPr>
      <w:r w:rsidRPr="00CF0C1F">
        <w:rPr>
          <w:noProof/>
          <w:color w:val="2B579A"/>
          <w:shd w:val="clear" w:color="auto" w:fill="E6E6E6"/>
          <w:lang w:eastAsia="en-AU"/>
        </w:rPr>
        <mc:AlternateContent>
          <mc:Choice Requires="wps">
            <w:drawing>
              <wp:anchor distT="0" distB="0" distL="114300" distR="114300" simplePos="0" relativeHeight="251658259" behindDoc="1" locked="0" layoutInCell="1" allowOverlap="1" wp14:anchorId="2E091CAC" wp14:editId="06A1CBD5">
                <wp:simplePos x="0" y="0"/>
                <wp:positionH relativeFrom="page">
                  <wp:posOffset>0</wp:posOffset>
                </wp:positionH>
                <wp:positionV relativeFrom="paragraph">
                  <wp:posOffset>855980</wp:posOffset>
                </wp:positionV>
                <wp:extent cx="5486400" cy="723900"/>
                <wp:effectExtent l="0" t="0" r="0" b="0"/>
                <wp:wrapNone/>
                <wp:docPr id="39" name="Rectangle 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486400" cy="723900"/>
                        </a:xfrm>
                        <a:prstGeom prst="rect">
                          <a:avLst/>
                        </a:prstGeom>
                        <a:solidFill>
                          <a:srgbClr val="39969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350F25C5" id="Rectangle 39" o:spid="_x0000_s1026" alt="&quot;&quot;" style="position:absolute;margin-left:0;margin-top:67.4pt;width:6in;height:57pt;z-index:-25165822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" fillcolor="#39969f" stroked="f" strokeweight="1pt">
                <w10:wrap anchorx="page"/>
              </v:rect>
            </w:pict>
          </mc:Fallback>
        </mc:AlternateContent>
      </w:r>
      <w:r w:rsidR="004921D6" w:rsidRPr="00CF0C1F">
        <w:rPr>
          <w:noProof/>
          <w:color w:val="2B579A"/>
          <w:shd w:val="clear" w:color="auto" w:fill="E6E6E6"/>
          <w:lang w:eastAsia="en-AU"/>
        </w:rPr>
        <mc:AlternateContent>
          <mc:Choice Requires="wps">
            <w:drawing>
              <wp:anchor distT="0" distB="0" distL="114300" distR="114300" simplePos="0" relativeHeight="251658260" behindDoc="1" locked="0" layoutInCell="1" allowOverlap="1" wp14:anchorId="75D9E7A6" wp14:editId="32FEDEDF">
                <wp:simplePos x="0" y="0"/>
                <wp:positionH relativeFrom="page">
                  <wp:align>left</wp:align>
                </wp:positionH>
                <wp:positionV relativeFrom="paragraph">
                  <wp:posOffset>27305</wp:posOffset>
                </wp:positionV>
                <wp:extent cx="6076950" cy="723900"/>
                <wp:effectExtent l="0" t="0" r="0" b="0"/>
                <wp:wrapNone/>
                <wp:docPr id="40" name="Rectangle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6950" cy="723900"/>
                        </a:xfrm>
                        <a:prstGeom prst="rect">
                          <a:avLst/>
                        </a:prstGeom>
                        <a:solidFill>
                          <a:srgbClr val="39969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3D894B72" id="Rectangle 40" o:spid="_x0000_s1026" alt="&quot;&quot;" style="position:absolute;margin-left:0;margin-top:2.15pt;width:478.5pt;height:57pt;z-index:-2516582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" fillcolor="#39969f" stroked="f" strokeweight="1pt">
                <w10:wrap anchorx="page"/>
              </v:rect>
            </w:pict>
          </mc:Fallback>
        </mc:AlternateContent>
      </w:r>
      <w:r w:rsidR="00EF6A0B" w:rsidRPr="002671CC">
        <w:t xml:space="preserve">About the </w:t>
      </w:r>
      <w:r w:rsidR="00EF6A0B" w:rsidRPr="002671CC">
        <w:rPr>
          <w:i/>
        </w:rPr>
        <w:t>Human Rights Act 2019</w:t>
      </w:r>
      <w:bookmarkEnd w:id="111"/>
      <w:bookmarkEnd w:id="112"/>
      <w:bookmarkEnd w:id="113"/>
      <w:bookmarkEnd w:id="114"/>
      <w:bookmarkEnd w:id="115"/>
      <w:bookmarkEnd w:id="116"/>
    </w:p>
    <w:p w14:paraId="61CFC2F5" w14:textId="104ED26B" w:rsidR="00973C1B" w:rsidRPr="00973C1B" w:rsidRDefault="00973C1B" w:rsidP="00973C1B"/>
    <w:p w14:paraId="083B0C01" w14:textId="41279278" w:rsidR="00425B37" w:rsidRDefault="00425B37">
      <w:pPr>
        <w:spacing w:after="160" w:line="259" w:lineRule="auto"/>
        <w:ind w:right="0"/>
      </w:pPr>
      <w:r>
        <w:br w:type="page"/>
      </w:r>
    </w:p>
    <w:p w14:paraId="31A511E7" w14:textId="77777777" w:rsidR="00425B37" w:rsidRPr="00FD38D4" w:rsidRDefault="00425B37" w:rsidP="00104BD8">
      <w:pPr>
        <w:pStyle w:val="Heading1"/>
        <w:rPr>
          <w:color w:val="39969F"/>
        </w:rPr>
      </w:pPr>
      <w:bookmarkStart w:id="117" w:name="_Toc110506601"/>
      <w:bookmarkStart w:id="118" w:name="_Toc1075527672"/>
      <w:bookmarkStart w:id="119" w:name="_Toc117697117"/>
      <w:bookmarkStart w:id="120" w:name="_Toc117697824"/>
      <w:bookmarkStart w:id="121" w:name="_Toc147757262"/>
      <w:bookmarkStart w:id="122" w:name="_Toc148086883"/>
      <w:r w:rsidRPr="00FD38D4">
        <w:rPr>
          <w:color w:val="39969F"/>
        </w:rPr>
        <w:t>What are human rights?</w:t>
      </w:r>
      <w:bookmarkEnd w:id="117"/>
      <w:bookmarkEnd w:id="118"/>
      <w:bookmarkEnd w:id="119"/>
      <w:bookmarkEnd w:id="120"/>
      <w:bookmarkEnd w:id="121"/>
      <w:bookmarkEnd w:id="122"/>
    </w:p>
    <w:p w14:paraId="63A7D8C0" w14:textId="33814975" w:rsidR="00425B37" w:rsidRDefault="00425B37" w:rsidP="00617559">
      <w:r>
        <w:t>Human rights are rights inherent to all human beings.</w:t>
      </w:r>
      <w:r w:rsidR="00666E56">
        <w:t xml:space="preserve"> </w:t>
      </w:r>
      <w:r>
        <w:t>By promoting respect for human rights, we recognise the dignity and worth of all people.</w:t>
      </w:r>
      <w:r w:rsidR="00666E56">
        <w:t xml:space="preserve"> </w:t>
      </w:r>
      <w:r>
        <w:t>Human rights should only be limited in a way that can be justified in a free and democratic society based on human dignity, equality, freedom, and the rule of law.</w:t>
      </w:r>
    </w:p>
    <w:p w14:paraId="39332A3F" w14:textId="77777777" w:rsidR="00425B37" w:rsidRPr="00FD38D4" w:rsidRDefault="00425B37" w:rsidP="00104BD8">
      <w:pPr>
        <w:pStyle w:val="Heading1"/>
        <w:rPr>
          <w:color w:val="39969F"/>
        </w:rPr>
      </w:pPr>
      <w:bookmarkStart w:id="123" w:name="_Toc110506602"/>
      <w:bookmarkStart w:id="124" w:name="_Toc2071812311"/>
      <w:bookmarkStart w:id="125" w:name="_Toc117697118"/>
      <w:bookmarkStart w:id="126" w:name="_Toc117697825"/>
      <w:bookmarkStart w:id="127" w:name="_Toc147757263"/>
      <w:bookmarkStart w:id="128" w:name="_Toc148086884"/>
      <w:r w:rsidRPr="00FD38D4">
        <w:rPr>
          <w:color w:val="39969F"/>
        </w:rPr>
        <w:t>Modern human rights law</w:t>
      </w:r>
      <w:bookmarkEnd w:id="123"/>
      <w:bookmarkEnd w:id="124"/>
      <w:bookmarkEnd w:id="125"/>
      <w:bookmarkEnd w:id="126"/>
      <w:bookmarkEnd w:id="127"/>
      <w:bookmarkEnd w:id="128"/>
    </w:p>
    <w:p w14:paraId="7AE88D52" w14:textId="11EE3E26" w:rsidR="00425B37" w:rsidRDefault="00425B37" w:rsidP="00617559">
      <w:r>
        <w:t xml:space="preserve">The modern idea of human rights derives from the Universal Declaration of Human Rights which was adopted by the United Nations General Assembly in 1948. Australia has shown its commitment to human rights by ratifying treaties, including the International Covenant on Civil and </w:t>
      </w:r>
      <w:r w:rsidR="00400582">
        <w:t>P</w:t>
      </w:r>
      <w:r>
        <w:t>olitical Rights (ICCPR) and the International Covenant on Economic, Social and Cultural Rights (ICESCR). However, a treaty only becomes a direct source of individual rights and obligations once it is incorporated into domestic legislation.</w:t>
      </w:r>
    </w:p>
    <w:p w14:paraId="46828C35" w14:textId="7DE2DAD4" w:rsidR="00425B37" w:rsidRPr="00FD38D4" w:rsidRDefault="00D92CB9" w:rsidP="00104BD8">
      <w:pPr>
        <w:pStyle w:val="Heading1"/>
        <w:rPr>
          <w:i/>
          <w:color w:val="39969F"/>
        </w:rPr>
      </w:pPr>
      <w:bookmarkStart w:id="129" w:name="_Toc148086885"/>
      <w:r>
        <w:rPr>
          <w:color w:val="39969F"/>
        </w:rPr>
        <w:t>Objects, rights and obligations</w:t>
      </w:r>
      <w:bookmarkEnd w:id="129"/>
    </w:p>
    <w:p w14:paraId="1949AC31" w14:textId="03A40BA0" w:rsidR="00425B37" w:rsidRPr="00FD38D4" w:rsidRDefault="00425B37" w:rsidP="00456A33">
      <w:pPr>
        <w:pStyle w:val="Heading2"/>
        <w:rPr>
          <w:color w:val="39969F"/>
        </w:rPr>
      </w:pPr>
      <w:bookmarkStart w:id="130" w:name="_Toc110506604"/>
      <w:bookmarkStart w:id="131" w:name="_Toc639500785"/>
      <w:bookmarkStart w:id="132" w:name="_Toc117697120"/>
      <w:bookmarkStart w:id="133" w:name="_Toc117697827"/>
      <w:bookmarkStart w:id="134" w:name="_Toc147757265"/>
      <w:bookmarkStart w:id="135" w:name="_Toc148086886"/>
      <w:r w:rsidRPr="00FD38D4">
        <w:rPr>
          <w:color w:val="39969F"/>
        </w:rPr>
        <w:t xml:space="preserve">Objects of the </w:t>
      </w:r>
      <w:r w:rsidR="009C3922">
        <w:rPr>
          <w:color w:val="39969F"/>
        </w:rPr>
        <w:t xml:space="preserve">Human Rights </w:t>
      </w:r>
      <w:r w:rsidRPr="00FD38D4">
        <w:rPr>
          <w:color w:val="39969F"/>
        </w:rPr>
        <w:t>Act</w:t>
      </w:r>
      <w:bookmarkEnd w:id="130"/>
      <w:bookmarkEnd w:id="131"/>
      <w:bookmarkEnd w:id="132"/>
      <w:bookmarkEnd w:id="133"/>
      <w:bookmarkEnd w:id="134"/>
      <w:bookmarkEnd w:id="135"/>
    </w:p>
    <w:p w14:paraId="3A5F8C99" w14:textId="2200C64B" w:rsidR="00425B37" w:rsidRDefault="00425B37" w:rsidP="00425B37">
      <w:pPr>
        <w:spacing w:after="160" w:line="259" w:lineRule="auto"/>
        <w:ind w:right="0"/>
      </w:pPr>
      <w:r>
        <w:t xml:space="preserve">The main objects of the </w:t>
      </w:r>
      <w:r w:rsidR="001D4A2E">
        <w:t xml:space="preserve">Human Rights </w:t>
      </w:r>
      <w:r>
        <w:t>Act are:</w:t>
      </w:r>
    </w:p>
    <w:p w14:paraId="7EA19747" w14:textId="7BC73DB6" w:rsidR="00425B37" w:rsidRDefault="00425B37" w:rsidP="00432F57">
      <w:pPr>
        <w:pStyle w:val="Listparagraph-bulleted"/>
      </w:pPr>
      <w:r>
        <w:t>to protect and promote human rights; and</w:t>
      </w:r>
    </w:p>
    <w:p w14:paraId="18358CDC" w14:textId="3BCA833B" w:rsidR="00425B37" w:rsidRDefault="00425B37" w:rsidP="00432F57">
      <w:pPr>
        <w:pStyle w:val="Listparagraph-bulleted"/>
      </w:pPr>
      <w:r>
        <w:t>to help build a culture in the Queensland public sector that respects and promotes human rights; and</w:t>
      </w:r>
    </w:p>
    <w:p w14:paraId="42BB0BDD" w14:textId="5844C1A6" w:rsidR="00425B37" w:rsidRDefault="00425B37" w:rsidP="00432F57">
      <w:pPr>
        <w:pStyle w:val="Listparagraph-bulleted"/>
      </w:pPr>
      <w:r>
        <w:t>to help promote a dialogue about the nature, meaning and scope of human rights.</w:t>
      </w:r>
    </w:p>
    <w:p w14:paraId="1CC2E418" w14:textId="77777777" w:rsidR="00425B37" w:rsidRPr="00FD38D4" w:rsidRDefault="00425B37" w:rsidP="00394493">
      <w:pPr>
        <w:pStyle w:val="Heading2"/>
        <w:rPr>
          <w:color w:val="39969F"/>
        </w:rPr>
      </w:pPr>
      <w:bookmarkStart w:id="136" w:name="_Toc110506605"/>
      <w:bookmarkStart w:id="137" w:name="_Toc110458667"/>
      <w:bookmarkStart w:id="138" w:name="_Toc117697121"/>
      <w:bookmarkStart w:id="139" w:name="_Toc117697828"/>
      <w:bookmarkStart w:id="140" w:name="_Toc147757266"/>
      <w:bookmarkStart w:id="141" w:name="_Toc148086887"/>
      <w:r w:rsidRPr="00FD38D4">
        <w:rPr>
          <w:color w:val="39969F"/>
        </w:rPr>
        <w:t>Protected human rights</w:t>
      </w:r>
      <w:bookmarkEnd w:id="136"/>
      <w:bookmarkEnd w:id="137"/>
      <w:bookmarkEnd w:id="138"/>
      <w:bookmarkEnd w:id="139"/>
      <w:bookmarkEnd w:id="140"/>
      <w:bookmarkEnd w:id="141"/>
    </w:p>
    <w:p w14:paraId="5DEE3193" w14:textId="1B08B95A" w:rsidR="00493A2F" w:rsidRDefault="00425B37" w:rsidP="00666E56">
      <w:r>
        <w:t>The Act consolidates and establishes statutory protections for certain rights recognised under international law, including those drawn from the ICCPR and the ICESCR.</w:t>
      </w:r>
    </w:p>
    <w:p w14:paraId="725E24C5" w14:textId="54A6A09F" w:rsidR="00425B37" w:rsidRDefault="00425B37" w:rsidP="00425B37">
      <w:pPr>
        <w:spacing w:after="160" w:line="259" w:lineRule="auto"/>
        <w:ind w:right="0"/>
      </w:pPr>
      <w:r>
        <w:t xml:space="preserve">The following human rights are protected under the </w:t>
      </w:r>
      <w:r w:rsidR="004A2437">
        <w:t xml:space="preserve">Human Rights </w:t>
      </w:r>
      <w:r>
        <w:t>Act:</w:t>
      </w:r>
    </w:p>
    <w:p w14:paraId="20B57BCD" w14:textId="2A2E5952" w:rsidR="00425B37" w:rsidRDefault="00425B37" w:rsidP="00432F57">
      <w:pPr>
        <w:pStyle w:val="Listparagraph-bulleted"/>
      </w:pPr>
      <w:r>
        <w:t>Right to recognition and equality before the law (section 15)</w:t>
      </w:r>
    </w:p>
    <w:p w14:paraId="6D5B200B" w14:textId="67B4B6A5" w:rsidR="00425B37" w:rsidRDefault="00425B37" w:rsidP="00432F57">
      <w:pPr>
        <w:pStyle w:val="Listparagraph-bulleted"/>
      </w:pPr>
      <w:r>
        <w:t>Right to life (section 16)</w:t>
      </w:r>
    </w:p>
    <w:p w14:paraId="5BE92527" w14:textId="324D98FF" w:rsidR="00425B37" w:rsidRDefault="00425B37" w:rsidP="00432F57">
      <w:pPr>
        <w:pStyle w:val="Listparagraph-bulleted"/>
      </w:pPr>
      <w:r>
        <w:t>Right to protection from torture and cruel, inhuman or degrading treatment (section 17)</w:t>
      </w:r>
    </w:p>
    <w:p w14:paraId="1A433D62" w14:textId="3CA6F63E" w:rsidR="00425B37" w:rsidRDefault="00425B37" w:rsidP="00432F57">
      <w:pPr>
        <w:pStyle w:val="Listparagraph-bulleted"/>
      </w:pPr>
      <w:r>
        <w:t>Right to freedom from forced work (section 18)</w:t>
      </w:r>
    </w:p>
    <w:p w14:paraId="2096A7E1" w14:textId="24AC6411" w:rsidR="00425B37" w:rsidRDefault="00425B37" w:rsidP="00432F57">
      <w:pPr>
        <w:pStyle w:val="Listparagraph-bulleted"/>
      </w:pPr>
      <w:r>
        <w:t>Right to freedom of movement (section 19)</w:t>
      </w:r>
    </w:p>
    <w:p w14:paraId="4EB31CF5" w14:textId="645A0FBF" w:rsidR="00425B37" w:rsidRDefault="00425B37" w:rsidP="00432F57">
      <w:pPr>
        <w:pStyle w:val="Listparagraph-bulleted"/>
      </w:pPr>
      <w:r>
        <w:t>Right to freedom of thought, conscience, religion and belief (section 20)</w:t>
      </w:r>
    </w:p>
    <w:p w14:paraId="486AC203" w14:textId="1C85E07B" w:rsidR="00425B37" w:rsidRDefault="00425B37" w:rsidP="00432F57">
      <w:pPr>
        <w:pStyle w:val="Listparagraph-bulleted"/>
      </w:pPr>
      <w:r>
        <w:t>Right to freedom of expression (section 21)</w:t>
      </w:r>
    </w:p>
    <w:p w14:paraId="42A1D338" w14:textId="74D0782D" w:rsidR="00425B37" w:rsidRDefault="00425B37" w:rsidP="00432F57">
      <w:pPr>
        <w:pStyle w:val="Listparagraph-bulleted"/>
      </w:pPr>
      <w:r>
        <w:t>Right to peaceful assembly and freedom of association (section 22)</w:t>
      </w:r>
    </w:p>
    <w:p w14:paraId="5530D4EC" w14:textId="08A866E3" w:rsidR="00425B37" w:rsidRDefault="00425B37" w:rsidP="00432F57">
      <w:pPr>
        <w:pStyle w:val="Listparagraph-bulleted"/>
      </w:pPr>
      <w:r>
        <w:t>Right to take part in public life (section 23)</w:t>
      </w:r>
    </w:p>
    <w:p w14:paraId="4D6549CF" w14:textId="22A8CDEF" w:rsidR="00425B37" w:rsidRDefault="00425B37" w:rsidP="00432F57">
      <w:pPr>
        <w:pStyle w:val="Listparagraph-bulleted"/>
      </w:pPr>
      <w:r>
        <w:t>Property rights (section 24)</w:t>
      </w:r>
    </w:p>
    <w:p w14:paraId="41CD6F81" w14:textId="7A5A2BD0" w:rsidR="00425B37" w:rsidRDefault="00425B37" w:rsidP="00432F57">
      <w:pPr>
        <w:pStyle w:val="Listparagraph-bulleted"/>
      </w:pPr>
      <w:r>
        <w:t>Right to privacy and reputation (section 25)</w:t>
      </w:r>
    </w:p>
    <w:p w14:paraId="013B7186" w14:textId="3C797D1C" w:rsidR="00425B37" w:rsidRDefault="00425B37" w:rsidP="00432F57">
      <w:pPr>
        <w:pStyle w:val="Listparagraph-bulleted"/>
      </w:pPr>
      <w:r>
        <w:t>Protection of families and children (section 26)</w:t>
      </w:r>
    </w:p>
    <w:p w14:paraId="607EC3FF" w14:textId="68CC7916" w:rsidR="00425B37" w:rsidRDefault="00425B37" w:rsidP="00432F57">
      <w:pPr>
        <w:pStyle w:val="Listparagraph-bulleted"/>
      </w:pPr>
      <w:r>
        <w:t>Cultural rights – generally (section 27)</w:t>
      </w:r>
    </w:p>
    <w:p w14:paraId="7A31EED1" w14:textId="302826A7" w:rsidR="00425B37" w:rsidRDefault="00425B37" w:rsidP="00432F57">
      <w:pPr>
        <w:pStyle w:val="Listparagraph-bulleted"/>
      </w:pPr>
      <w:r>
        <w:t>Cultural rights – Aboriginal peoples and Torres Strait Islander peoples (section 28)</w:t>
      </w:r>
    </w:p>
    <w:p w14:paraId="68A3C3C8" w14:textId="6426C95D" w:rsidR="00425B37" w:rsidRDefault="00425B37" w:rsidP="00432F57">
      <w:pPr>
        <w:pStyle w:val="Listparagraph-bulleted"/>
      </w:pPr>
      <w:r>
        <w:t>Right to liberty and security of person (section 29)</w:t>
      </w:r>
    </w:p>
    <w:p w14:paraId="6D9AB33C" w14:textId="2B9F8A01" w:rsidR="00425B37" w:rsidRDefault="00425B37" w:rsidP="00432F57">
      <w:pPr>
        <w:pStyle w:val="Listparagraph-bulleted"/>
      </w:pPr>
      <w:r>
        <w:t>Right to humane treatment when deprived of liberty (section 30)</w:t>
      </w:r>
    </w:p>
    <w:p w14:paraId="62DAEDFF" w14:textId="577AEA08" w:rsidR="00425B37" w:rsidRDefault="00425B37" w:rsidP="00432F57">
      <w:pPr>
        <w:pStyle w:val="Listparagraph-bulleted"/>
      </w:pPr>
      <w:r>
        <w:t>Right to a fair hearing (section 31)</w:t>
      </w:r>
    </w:p>
    <w:p w14:paraId="03E92A61" w14:textId="0D93D5EB" w:rsidR="00425B37" w:rsidRPr="00EC7AD1" w:rsidRDefault="00425B37" w:rsidP="00432F57">
      <w:pPr>
        <w:pStyle w:val="Listparagraph-bulleted"/>
      </w:pPr>
      <w:r w:rsidRPr="00EC7AD1">
        <w:t>Rights in criminal proceedings (section 32)</w:t>
      </w:r>
    </w:p>
    <w:p w14:paraId="230B7D71" w14:textId="519BCA62" w:rsidR="00425B37" w:rsidRDefault="00425B37" w:rsidP="00432F57">
      <w:pPr>
        <w:pStyle w:val="Listparagraph-bulleted"/>
      </w:pPr>
      <w:r>
        <w:t>Rights of children in the criminal process (section 33)</w:t>
      </w:r>
    </w:p>
    <w:p w14:paraId="0AD8265B" w14:textId="56783046" w:rsidR="00425B37" w:rsidRDefault="00425B37" w:rsidP="00432F57">
      <w:pPr>
        <w:pStyle w:val="Listparagraph-bulleted"/>
      </w:pPr>
      <w:r>
        <w:t>Right not to be tried or punished more than once (section 34)</w:t>
      </w:r>
    </w:p>
    <w:p w14:paraId="21441D6B" w14:textId="5D8802DA" w:rsidR="00425B37" w:rsidRDefault="00425B37" w:rsidP="00432F57">
      <w:pPr>
        <w:pStyle w:val="Listparagraph-bulleted"/>
      </w:pPr>
      <w:r>
        <w:t>Retrospective criminal laws (section 35)</w:t>
      </w:r>
    </w:p>
    <w:p w14:paraId="4D2959BA" w14:textId="15CC7499" w:rsidR="00425B37" w:rsidRDefault="00425B37" w:rsidP="00432F57">
      <w:pPr>
        <w:pStyle w:val="Listparagraph-bulleted"/>
      </w:pPr>
      <w:r>
        <w:t>Right to education (section 36)</w:t>
      </w:r>
    </w:p>
    <w:p w14:paraId="08A63704" w14:textId="5BAFE684" w:rsidR="00425B37" w:rsidRDefault="00425B37" w:rsidP="00432F57">
      <w:pPr>
        <w:pStyle w:val="Listparagraph-bulleted"/>
      </w:pPr>
      <w:r>
        <w:t>Right to health services (section 37)</w:t>
      </w:r>
    </w:p>
    <w:p w14:paraId="6B99557D" w14:textId="77777777" w:rsidR="00425B37" w:rsidRPr="00FD38D4" w:rsidRDefault="00425B37" w:rsidP="00394493">
      <w:pPr>
        <w:pStyle w:val="Heading2"/>
        <w:rPr>
          <w:color w:val="39969F"/>
        </w:rPr>
      </w:pPr>
      <w:bookmarkStart w:id="142" w:name="_Toc110506606"/>
      <w:bookmarkStart w:id="143" w:name="_Toc1385708707"/>
      <w:bookmarkStart w:id="144" w:name="_Toc117697122"/>
      <w:bookmarkStart w:id="145" w:name="_Toc117697829"/>
      <w:bookmarkStart w:id="146" w:name="_Toc147757267"/>
      <w:bookmarkStart w:id="147" w:name="_Toc148086888"/>
      <w:r w:rsidRPr="00FD38D4">
        <w:rPr>
          <w:color w:val="39969F"/>
        </w:rPr>
        <w:t>Government obligations</w:t>
      </w:r>
      <w:bookmarkEnd w:id="142"/>
      <w:bookmarkEnd w:id="143"/>
      <w:bookmarkEnd w:id="144"/>
      <w:bookmarkEnd w:id="145"/>
      <w:bookmarkEnd w:id="146"/>
      <w:bookmarkEnd w:id="147"/>
    </w:p>
    <w:p w14:paraId="74718FB9" w14:textId="28ADC999" w:rsidR="00425B37" w:rsidRDefault="00425B37" w:rsidP="00617559">
      <w:r>
        <w:t xml:space="preserve">The </w:t>
      </w:r>
      <w:r w:rsidR="0036170A">
        <w:t>Human Rights</w:t>
      </w:r>
      <w:r>
        <w:t xml:space="preserve"> Act places obligations on all three arms of government, the legislature, the judiciary and the executive. This means that:</w:t>
      </w:r>
    </w:p>
    <w:p w14:paraId="43A39B07" w14:textId="77777777" w:rsidR="00425B37" w:rsidRDefault="00425B37" w:rsidP="00617559">
      <w:r>
        <w:t xml:space="preserve">Parliament (the legislature) must consider human rights when proposing and scrutinising new laws. </w:t>
      </w:r>
    </w:p>
    <w:p w14:paraId="767F27E4" w14:textId="77777777" w:rsidR="00425B37" w:rsidRDefault="00425B37" w:rsidP="00617559">
      <w:r>
        <w:t xml:space="preserve">Courts and tribunals (the judiciary) so far as is possible to do so, must interpret legislation in a way that is compatible with human rights. </w:t>
      </w:r>
    </w:p>
    <w:p w14:paraId="072A598E" w14:textId="77777777" w:rsidR="00425B37" w:rsidRDefault="00425B37" w:rsidP="00617559">
      <w:r>
        <w:t xml:space="preserve">Public entities (the executive) – such as state government departments, local councils, state schools, the police and non-government organisations and businesses performing a public function must act compatibly with human rights. </w:t>
      </w:r>
    </w:p>
    <w:p w14:paraId="7EBA5CA5" w14:textId="61998969" w:rsidR="00425B37" w:rsidRDefault="00EE2BD2" w:rsidP="00617559">
      <w:r>
        <w:t>The Human Rights Act</w:t>
      </w:r>
      <w:r w:rsidR="00425B37">
        <w:t xml:space="preserve"> makes it clear that rights can be limited, but only where it is reasonable and justifiable.</w:t>
      </w:r>
    </w:p>
    <w:p w14:paraId="4E8131C2" w14:textId="674A115C" w:rsidR="00425B37" w:rsidRDefault="00425B37" w:rsidP="00617559">
      <w:r>
        <w:t xml:space="preserve">This report contains sections reflecting the progress gained by all three arms of government towards the goals of </w:t>
      </w:r>
      <w:r w:rsidR="00EE2BD2">
        <w:t>the Human Rights Act</w:t>
      </w:r>
      <w:r>
        <w:t>.</w:t>
      </w:r>
    </w:p>
    <w:p w14:paraId="4D5EB738" w14:textId="46C93194" w:rsidR="00425B37" w:rsidRDefault="00425B37" w:rsidP="00432F57">
      <w:pPr>
        <w:pStyle w:val="Listparagraph-bulleted"/>
      </w:pPr>
      <w:r>
        <w:t xml:space="preserve">For more information on </w:t>
      </w:r>
      <w:r w:rsidR="00A42D4B">
        <w:t>the parliament</w:t>
      </w:r>
      <w:r>
        <w:t xml:space="preserve"> see </w:t>
      </w:r>
      <w:r w:rsidRPr="00E0084D">
        <w:rPr>
          <w:i/>
        </w:rPr>
        <w:t xml:space="preserve">Human rights and the </w:t>
      </w:r>
      <w:r w:rsidR="00A42D4B" w:rsidRPr="00E0084D">
        <w:rPr>
          <w:i/>
        </w:rPr>
        <w:t>parliament</w:t>
      </w:r>
      <w:r>
        <w:t xml:space="preserve"> </w:t>
      </w:r>
      <w:r w:rsidR="00EB5EC0">
        <w:t>chapter</w:t>
      </w:r>
      <w:r>
        <w:t>.</w:t>
      </w:r>
    </w:p>
    <w:p w14:paraId="45A7ADB8" w14:textId="2A53ED33" w:rsidR="00425B37" w:rsidRDefault="00425B37" w:rsidP="00432F57">
      <w:pPr>
        <w:pStyle w:val="Listparagraph-bulleted"/>
      </w:pPr>
      <w:r>
        <w:t xml:space="preserve">For more information on courts and tribunals see </w:t>
      </w:r>
      <w:r w:rsidRPr="00666E56">
        <w:rPr>
          <w:i/>
        </w:rPr>
        <w:t>Human rights in courts and tribunals</w:t>
      </w:r>
      <w:r w:rsidR="00394493">
        <w:t xml:space="preserve"> </w:t>
      </w:r>
      <w:r w:rsidR="00EB5EC0">
        <w:t>chapter</w:t>
      </w:r>
      <w:r>
        <w:t>.</w:t>
      </w:r>
    </w:p>
    <w:p w14:paraId="07385C82" w14:textId="5D516AA9" w:rsidR="00425B37" w:rsidRDefault="00425B37" w:rsidP="00432F57">
      <w:pPr>
        <w:pStyle w:val="Listparagraph-bulleted"/>
      </w:pPr>
      <w:r>
        <w:t xml:space="preserve">For more information on public entities see </w:t>
      </w:r>
      <w:r w:rsidRPr="00666E56">
        <w:rPr>
          <w:i/>
        </w:rPr>
        <w:t>Human rights and the public sector</w:t>
      </w:r>
      <w:r>
        <w:t xml:space="preserve"> </w:t>
      </w:r>
      <w:r w:rsidR="00EB5EC0">
        <w:t>chapter</w:t>
      </w:r>
      <w:r>
        <w:t>.</w:t>
      </w:r>
    </w:p>
    <w:p w14:paraId="0AE55AFA" w14:textId="77777777" w:rsidR="00666E56" w:rsidRDefault="00666E56">
      <w:pPr>
        <w:spacing w:after="160" w:line="259" w:lineRule="auto"/>
        <w:ind w:right="0"/>
        <w:rPr>
          <w:rFonts w:eastAsiaTheme="majorEastAsia" w:cstheme="majorBidi"/>
          <w:iCs/>
          <w:color w:val="39969F"/>
          <w:sz w:val="48"/>
          <w:szCs w:val="32"/>
        </w:rPr>
      </w:pPr>
      <w:bookmarkStart w:id="148" w:name="_Toc110506607"/>
      <w:bookmarkStart w:id="149" w:name="_Toc1990244894"/>
      <w:bookmarkStart w:id="150" w:name="_Toc117697123"/>
      <w:bookmarkStart w:id="151" w:name="_Toc117697830"/>
      <w:r>
        <w:rPr>
          <w:color w:val="39969F"/>
        </w:rPr>
        <w:br w:type="page"/>
      </w:r>
    </w:p>
    <w:p w14:paraId="1841A27F" w14:textId="38BB7787" w:rsidR="00425B37" w:rsidRPr="00FD38D4" w:rsidRDefault="37B74ABF" w:rsidP="00261186">
      <w:pPr>
        <w:pStyle w:val="Heading1"/>
        <w:rPr>
          <w:color w:val="39969F"/>
        </w:rPr>
      </w:pPr>
      <w:bookmarkStart w:id="152" w:name="_Toc147757268"/>
      <w:bookmarkStart w:id="153" w:name="_Toc148086889"/>
      <w:r w:rsidRPr="00FD38D4">
        <w:rPr>
          <w:color w:val="39969F"/>
        </w:rPr>
        <w:t>The</w:t>
      </w:r>
      <w:r w:rsidR="00425B37" w:rsidRPr="00FD38D4">
        <w:rPr>
          <w:color w:val="39969F"/>
        </w:rPr>
        <w:t xml:space="preserve"> dialogue model</w:t>
      </w:r>
      <w:bookmarkEnd w:id="148"/>
      <w:bookmarkEnd w:id="149"/>
      <w:bookmarkEnd w:id="150"/>
      <w:bookmarkEnd w:id="151"/>
      <w:bookmarkEnd w:id="152"/>
      <w:bookmarkEnd w:id="153"/>
    </w:p>
    <w:p w14:paraId="0D74ECD6" w14:textId="3856BA3C" w:rsidR="00425B37" w:rsidRDefault="00425B37" w:rsidP="003960D2">
      <w:pPr>
        <w:pStyle w:val="Caption"/>
      </w:pPr>
      <w:r w:rsidRPr="00854A93">
        <w:t>Figure 1: Diagram of the dialogue model</w:t>
      </w:r>
    </w:p>
    <w:p w14:paraId="7920BB20" w14:textId="6D841CFC" w:rsidR="00170F41" w:rsidRPr="00170F41" w:rsidRDefault="006349DA" w:rsidP="00170F41">
      <w:r>
        <w:rPr>
          <w:noProof/>
          <w:color w:val="2B579A"/>
          <w:shd w:val="clear" w:color="auto" w:fill="E6E6E6"/>
          <w:lang w:eastAsia="en-AU"/>
        </w:rPr>
        <w:drawing>
          <wp:inline distT="0" distB="0" distL="0" distR="0" wp14:anchorId="0058E2B7" wp14:editId="587F131A">
            <wp:extent cx="3804474" cy="3265714"/>
            <wp:effectExtent l="0" t="0" r="5715" b="0"/>
            <wp:docPr id="44" name="Picture 44" descr="Figure 1: Diagram of the dialogue model&#10;&#10;This image is a simple diagram of the dialogue model of human rights. It shows the parliament, courts and tribunals, and public entities, all represented by icons, at equidistant points around a circle. &#10;&#10;In the middle of the circle is an icon representing the Queensland community. &#10;&#10;There are arrows connecting each of the three icons around the circle to each other and also to the Queensland community icon in the middle, to represent the way dialogue flows between the arms of government and the community as part of this model of human rights prote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Figure 1: Diagram of the dialogue model&#10;&#10;This image is a simple diagram of the dialogue model of human rights. It shows the parliament, courts and tribunals, and public entities, all represented by icons, at equidistant points around a circle. &#10;&#10;In the middle of the circle is an icon representing the Queensland community. &#10;&#10;There are arrows connecting each of the three icons around the circle to each other and also to the Queensland community icon in the middle, to represent the way dialogue flows between the arms of government and the community as part of this model of human rights protection. "/>
                    <pic:cNvPicPr/>
                  </pic:nvPicPr>
                  <pic:blipFill>
                    <a:blip r:embed="rId22">
                      <a:extLst>
                        <a:ext uri="{28A0092B-C50C-407E-A947-70E740481C1C}">
                          <a14:useLocalDpi xmlns:a14="http://schemas.microsoft.com/office/drawing/2010/main" val="0"/>
                        </a:ext>
                      </a:extLst>
                    </a:blip>
                    <a:stretch>
                      <a:fillRect/>
                    </a:stretch>
                  </pic:blipFill>
                  <pic:spPr>
                    <a:xfrm>
                      <a:off x="0" y="0"/>
                      <a:ext cx="3813703" cy="3273636"/>
                    </a:xfrm>
                    <a:prstGeom prst="rect">
                      <a:avLst/>
                    </a:prstGeom>
                  </pic:spPr>
                </pic:pic>
              </a:graphicData>
            </a:graphic>
          </wp:inline>
        </w:drawing>
      </w:r>
    </w:p>
    <w:p w14:paraId="7D0E9ABC" w14:textId="1E0CBE7D" w:rsidR="004D0DAA" w:rsidRDefault="004D0DAA" w:rsidP="00425B37">
      <w:pPr>
        <w:spacing w:after="160" w:line="259" w:lineRule="auto"/>
        <w:ind w:right="0"/>
      </w:pPr>
    </w:p>
    <w:p w14:paraId="59AE7634" w14:textId="03ECFBE2" w:rsidR="00425B37" w:rsidRDefault="00425B37" w:rsidP="00617559">
      <w:r>
        <w:t xml:space="preserve">A dialogue model is aimed at prevention rather than litigation, and retains the sovereignty of </w:t>
      </w:r>
      <w:r w:rsidR="005C17DE">
        <w:t>p</w:t>
      </w:r>
      <w:r>
        <w:t xml:space="preserve">arliament. </w:t>
      </w:r>
    </w:p>
    <w:p w14:paraId="14F98608" w14:textId="14D1119A" w:rsidR="00425B37" w:rsidRDefault="00425B37" w:rsidP="00617559">
      <w:r>
        <w:t xml:space="preserve">It means that human rights are considered across the three arms of government – when the </w:t>
      </w:r>
      <w:r w:rsidR="005C17DE">
        <w:t>parliament</w:t>
      </w:r>
      <w:r>
        <w:t xml:space="preserve"> makes laws, when government applies laws, and when courts and tribunals interpret laws.</w:t>
      </w:r>
    </w:p>
    <w:p w14:paraId="43978BEA" w14:textId="339CF395" w:rsidR="00425B37" w:rsidRDefault="00425B37" w:rsidP="00617559">
      <w:r>
        <w:t xml:space="preserve">There is a mechanism for the court to inform the government if legislation is inconsistent with human rights, but it doesn’t affect the validity of the legislation and </w:t>
      </w:r>
      <w:r w:rsidR="005C17DE">
        <w:t>p</w:t>
      </w:r>
      <w:r>
        <w:t>arliament has the final say.</w:t>
      </w:r>
    </w:p>
    <w:p w14:paraId="27DF73E4" w14:textId="77777777" w:rsidR="00425B37" w:rsidRDefault="00425B37" w:rsidP="00617559">
      <w:r>
        <w:t>It encourages people to talk to public entities if they feel their human rights have been unreasonably limited or not considered at all.</w:t>
      </w:r>
    </w:p>
    <w:p w14:paraId="426DAA2D" w14:textId="22106B7E" w:rsidR="00425B37" w:rsidRDefault="00425B37" w:rsidP="00617559">
      <w:r>
        <w:t xml:space="preserve">Under </w:t>
      </w:r>
      <w:r w:rsidR="00EE2BD2">
        <w:t>the Human Rights Act</w:t>
      </w:r>
      <w:r>
        <w:t xml:space="preserve">, a complaint may be made to the Commission about human rights, provided a complaint has first been made to the public entity. The dispute resolution process is consistent with a dialogue model as it encourages resolution through discussion. The dialogue model is strengthened by the Commission’s capacity to make recommendations for improvements to further human rights compatibility. Section 88 of </w:t>
      </w:r>
      <w:r w:rsidR="00EE2BD2">
        <w:t>the Human Rights Act</w:t>
      </w:r>
      <w:r>
        <w:t xml:space="preserve"> allows the Commission to prepare a report about a human rights complaint which includes recommendations of actions to be taken by public entities to ensure its acts and decisions are compatible with human rights. </w:t>
      </w:r>
    </w:p>
    <w:p w14:paraId="04264A9B" w14:textId="77777777" w:rsidR="00425B37" w:rsidRPr="00713CFC" w:rsidRDefault="00425B37" w:rsidP="0085208A">
      <w:pPr>
        <w:pStyle w:val="Heading2"/>
        <w:rPr>
          <w:color w:val="39969F"/>
        </w:rPr>
      </w:pPr>
      <w:bookmarkStart w:id="154" w:name="_Toc110506608"/>
      <w:bookmarkStart w:id="155" w:name="_Toc279587263"/>
      <w:bookmarkStart w:id="156" w:name="_Toc117697124"/>
      <w:bookmarkStart w:id="157" w:name="_Toc117697831"/>
      <w:bookmarkStart w:id="158" w:name="_Toc147757269"/>
      <w:bookmarkStart w:id="159" w:name="_Toc148086890"/>
      <w:r w:rsidRPr="00713CFC">
        <w:rPr>
          <w:color w:val="39969F"/>
        </w:rPr>
        <w:t>Public entities</w:t>
      </w:r>
      <w:bookmarkEnd w:id="154"/>
      <w:bookmarkEnd w:id="155"/>
      <w:bookmarkEnd w:id="156"/>
      <w:bookmarkEnd w:id="157"/>
      <w:bookmarkEnd w:id="158"/>
      <w:bookmarkEnd w:id="159"/>
    </w:p>
    <w:p w14:paraId="4C08D002" w14:textId="77777777" w:rsidR="00425B37" w:rsidRDefault="00425B37" w:rsidP="00617559">
      <w:r>
        <w:t>Public entities have obligations to make decisions and act compatibly with human rights, and to give proper consideration to human rights when making decisions.</w:t>
      </w:r>
    </w:p>
    <w:p w14:paraId="0920C34F" w14:textId="77777777" w:rsidR="00425B37" w:rsidRDefault="00425B37" w:rsidP="00617559">
      <w:r>
        <w:t>A public entity is an organisation or body performing a public function in and for Queensland.</w:t>
      </w:r>
    </w:p>
    <w:p w14:paraId="48F1545D" w14:textId="5B119015" w:rsidR="00425B37" w:rsidRDefault="00425B37" w:rsidP="00617559">
      <w:r>
        <w:t xml:space="preserve">There are two types of public entities, although the following terms are not used in </w:t>
      </w:r>
      <w:r w:rsidR="00EE2BD2">
        <w:t>the Human Rights Act</w:t>
      </w:r>
      <w:r>
        <w:t>:</w:t>
      </w:r>
    </w:p>
    <w:p w14:paraId="6D3E4322" w14:textId="77777777" w:rsidR="00425B37" w:rsidRDefault="00425B37" w:rsidP="00425B37">
      <w:pPr>
        <w:spacing w:after="160" w:line="259" w:lineRule="auto"/>
        <w:ind w:right="0"/>
      </w:pPr>
      <w:r>
        <w:t>Core public entities are government entities. This includes:</w:t>
      </w:r>
    </w:p>
    <w:p w14:paraId="08A256E8" w14:textId="2FF37EBE" w:rsidR="00425B37" w:rsidRDefault="00425B37" w:rsidP="00432F57">
      <w:pPr>
        <w:pStyle w:val="Listparagraph-bulleted"/>
      </w:pPr>
      <w:r>
        <w:t>government agencies and departments</w:t>
      </w:r>
    </w:p>
    <w:p w14:paraId="56ECB6F4" w14:textId="0537E2FD" w:rsidR="00425B37" w:rsidRDefault="00425B37" w:rsidP="00432F57">
      <w:pPr>
        <w:pStyle w:val="Listparagraph-bulleted"/>
      </w:pPr>
      <w:r>
        <w:t>public service employees</w:t>
      </w:r>
    </w:p>
    <w:p w14:paraId="5233A314" w14:textId="7B0DE589" w:rsidR="00425B37" w:rsidRDefault="00425B37" w:rsidP="00432F57">
      <w:pPr>
        <w:pStyle w:val="Listparagraph-bulleted"/>
      </w:pPr>
      <w:r>
        <w:t>the Queensland Police Service and other emergency services</w:t>
      </w:r>
    </w:p>
    <w:p w14:paraId="22041A72" w14:textId="2A58A64F" w:rsidR="00425B37" w:rsidRDefault="00425B37" w:rsidP="00432F57">
      <w:pPr>
        <w:pStyle w:val="Listparagraph-bulleted"/>
      </w:pPr>
      <w:r>
        <w:t>state government ministers</w:t>
      </w:r>
    </w:p>
    <w:p w14:paraId="12775BA3" w14:textId="25991164" w:rsidR="00425B37" w:rsidRDefault="00425B37" w:rsidP="00432F57">
      <w:pPr>
        <w:pStyle w:val="Listparagraph-bulleted"/>
      </w:pPr>
      <w:r>
        <w:t>public schools</w:t>
      </w:r>
    </w:p>
    <w:p w14:paraId="080335FD" w14:textId="47066FF7" w:rsidR="00425B37" w:rsidRDefault="00425B37" w:rsidP="00432F57">
      <w:pPr>
        <w:pStyle w:val="Listparagraph-bulleted"/>
      </w:pPr>
      <w:r>
        <w:t>public health services, including hospitals</w:t>
      </w:r>
    </w:p>
    <w:p w14:paraId="7E3AE01B" w14:textId="3595BF2A" w:rsidR="00425B37" w:rsidRPr="00EC7AD1" w:rsidRDefault="00425B37" w:rsidP="00432F57">
      <w:pPr>
        <w:pStyle w:val="Listparagraph-bulleted"/>
      </w:pPr>
      <w:r w:rsidRPr="00EC7AD1">
        <w:t>local government, councillors, and council employees.</w:t>
      </w:r>
    </w:p>
    <w:p w14:paraId="33B46AAA" w14:textId="77777777" w:rsidR="00425B37" w:rsidRDefault="00425B37" w:rsidP="00617559">
      <w:r>
        <w:t>Functional public entities are only considered public entities when they are performing a function of a public nature on behalf of the state. Organisations funded by the government to provide public services would fall under this category. Functional public entities could be non-government organisations (NGOs), private companies, or government owned corporations. A private company funded to run a prison, or an NGO providing a public housing service, would be considered a functional public entity.</w:t>
      </w:r>
    </w:p>
    <w:p w14:paraId="0731195A" w14:textId="2B6CC32B" w:rsidR="005A0AC6" w:rsidRDefault="00425B37" w:rsidP="00425B37">
      <w:pPr>
        <w:spacing w:after="160" w:line="259" w:lineRule="auto"/>
        <w:ind w:right="0"/>
      </w:pPr>
      <w:r>
        <w:t> </w:t>
      </w:r>
      <w:r w:rsidR="005A0AC6">
        <w:br w:type="page"/>
      </w:r>
    </w:p>
    <w:p w14:paraId="170B4276" w14:textId="0A92696B" w:rsidR="007E5AD5" w:rsidRDefault="00B47017" w:rsidP="00E446AA">
      <w:bookmarkStart w:id="160" w:name="_Toc110506609"/>
      <w:bookmarkStart w:id="161" w:name="_Toc1625076070"/>
      <w:r>
        <w:rPr>
          <w:noProof/>
          <w:color w:val="2B579A"/>
          <w:shd w:val="clear" w:color="auto" w:fill="E6E6E6"/>
          <w:lang w:eastAsia="en-AU"/>
        </w:rPr>
        <w:drawing>
          <wp:anchor distT="0" distB="0" distL="114300" distR="114300" simplePos="0" relativeHeight="251658247" behindDoc="1" locked="0" layoutInCell="1" allowOverlap="1" wp14:anchorId="7994AF65" wp14:editId="2B04D120">
            <wp:simplePos x="0" y="0"/>
            <wp:positionH relativeFrom="margin">
              <wp:posOffset>-1028700</wp:posOffset>
            </wp:positionH>
            <wp:positionV relativeFrom="paragraph">
              <wp:posOffset>-1118235</wp:posOffset>
            </wp:positionV>
            <wp:extent cx="7676515" cy="10883265"/>
            <wp:effectExtent l="0" t="0" r="635" b="0"/>
            <wp:wrapNone/>
            <wp:docPr id="8" name="Picture 8" descr="Queensland Parliament House, from the George Street entrance. The Aboriginal and Torres Strait Islander flags are flying and the sky is a clea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Queensland Parliament House, from the George Street entrance. The Aboriginal and Torres Strait Islander flags are flying and the sky is a clear blue."/>
                    <pic:cNvPicPr/>
                  </pic:nvPicPr>
                  <pic:blipFill rotWithShape="1">
                    <a:blip r:embed="rId23" cstate="print">
                      <a:extLst>
                        <a:ext uri="{28A0092B-C50C-407E-A947-70E740481C1C}">
                          <a14:useLocalDpi xmlns:a14="http://schemas.microsoft.com/office/drawing/2010/main" val="0"/>
                        </a:ext>
                      </a:extLst>
                    </a:blip>
                    <a:srcRect l="22241" r="30978"/>
                    <a:stretch/>
                  </pic:blipFill>
                  <pic:spPr bwMode="auto">
                    <a:xfrm>
                      <a:off x="0" y="0"/>
                      <a:ext cx="7676515" cy="108832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6585" w:rsidRPr="00596585">
        <w:rPr>
          <w:noProof/>
          <w:color w:val="2B579A"/>
          <w:shd w:val="clear" w:color="auto" w:fill="E6E6E6"/>
          <w:lang w:eastAsia="en-AU"/>
        </w:rPr>
        <w:drawing>
          <wp:anchor distT="0" distB="0" distL="114300" distR="114300" simplePos="0" relativeHeight="251658250" behindDoc="1" locked="0" layoutInCell="1" allowOverlap="1" wp14:anchorId="15C76141" wp14:editId="72D7929C">
            <wp:simplePos x="0" y="0"/>
            <wp:positionH relativeFrom="page">
              <wp:posOffset>7274708</wp:posOffset>
            </wp:positionH>
            <wp:positionV relativeFrom="paragraph">
              <wp:posOffset>-914400</wp:posOffset>
            </wp:positionV>
            <wp:extent cx="370687" cy="10725150"/>
            <wp:effectExtent l="0" t="0" r="0" b="0"/>
            <wp:wrapNone/>
            <wp:docPr id="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0619" cy="1130184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6C3F80" w14:textId="77777777" w:rsidR="007E5AD5" w:rsidRDefault="007E5AD5" w:rsidP="00E446AA"/>
    <w:p w14:paraId="60B87971" w14:textId="77777777" w:rsidR="007E5AD5" w:rsidRDefault="007E5AD5" w:rsidP="00E446AA"/>
    <w:p w14:paraId="299EAEBC" w14:textId="77777777" w:rsidR="004809C3" w:rsidRDefault="004809C3" w:rsidP="00E446AA"/>
    <w:p w14:paraId="32E49F2D" w14:textId="77777777" w:rsidR="004809C3" w:rsidRDefault="004809C3" w:rsidP="00E446AA"/>
    <w:p w14:paraId="6C70A239" w14:textId="77777777" w:rsidR="00E446AA" w:rsidRDefault="00E446AA" w:rsidP="00E446AA"/>
    <w:p w14:paraId="4B7FF34F" w14:textId="77777777" w:rsidR="00E446AA" w:rsidRDefault="00E446AA" w:rsidP="00E446AA"/>
    <w:p w14:paraId="29160F4C" w14:textId="77777777" w:rsidR="00E446AA" w:rsidRDefault="00E446AA" w:rsidP="00E446AA"/>
    <w:p w14:paraId="4514C357" w14:textId="77777777" w:rsidR="00E446AA" w:rsidRDefault="00E446AA" w:rsidP="00E446AA"/>
    <w:p w14:paraId="5C24BA6F" w14:textId="77777777" w:rsidR="00E446AA" w:rsidRDefault="00E446AA" w:rsidP="00E446AA"/>
    <w:p w14:paraId="14642FE3" w14:textId="77777777" w:rsidR="00E446AA" w:rsidRDefault="00E446AA" w:rsidP="00E446AA"/>
    <w:p w14:paraId="73FA395E" w14:textId="77777777" w:rsidR="00E446AA" w:rsidRDefault="00E446AA" w:rsidP="00E446AA"/>
    <w:p w14:paraId="4A59BDAF" w14:textId="77777777" w:rsidR="00E446AA" w:rsidRDefault="00E446AA" w:rsidP="00E446AA"/>
    <w:p w14:paraId="67DA2ECB" w14:textId="77777777" w:rsidR="00E446AA" w:rsidRDefault="00E446AA" w:rsidP="00E446AA"/>
    <w:p w14:paraId="571B32A1" w14:textId="77777777" w:rsidR="00E446AA" w:rsidRDefault="00E446AA" w:rsidP="00E446AA"/>
    <w:p w14:paraId="38FC79BE" w14:textId="5478990B" w:rsidR="004809C3" w:rsidRDefault="0060530B" w:rsidP="00E446AA">
      <w:r>
        <w:rPr>
          <w:noProof/>
          <w:color w:val="2B579A"/>
          <w:shd w:val="clear" w:color="auto" w:fill="E6E6E6"/>
          <w:lang w:eastAsia="en-AU"/>
        </w:rPr>
        <mc:AlternateContent>
          <mc:Choice Requires="wps">
            <w:drawing>
              <wp:anchor distT="0" distB="0" distL="114300" distR="114300" simplePos="0" relativeHeight="251658249" behindDoc="1" locked="0" layoutInCell="1" allowOverlap="1" wp14:anchorId="242A2169" wp14:editId="532070A5">
                <wp:simplePos x="0" y="0"/>
                <wp:positionH relativeFrom="page">
                  <wp:align>left</wp:align>
                </wp:positionH>
                <wp:positionV relativeFrom="paragraph">
                  <wp:posOffset>381635</wp:posOffset>
                </wp:positionV>
                <wp:extent cx="6076950" cy="723900"/>
                <wp:effectExtent l="0" t="0" r="0" b="0"/>
                <wp:wrapNone/>
                <wp:docPr id="17" name="Rectangle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6950" cy="723900"/>
                        </a:xfrm>
                        <a:prstGeom prst="rect">
                          <a:avLst/>
                        </a:prstGeom>
                        <a:solidFill>
                          <a:srgbClr val="347B9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1E46B08A" id="Rectangle 17" o:spid="_x0000_s1026" alt="&quot;&quot;" style="position:absolute;margin-left:0;margin-top:30.05pt;width:478.5pt;height:57pt;z-index:-251658231;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" fillcolor="#347b9f" stroked="f" strokeweight="1pt">
                <w10:wrap anchorx="page"/>
              </v:rect>
            </w:pict>
          </mc:Fallback>
        </mc:AlternateContent>
      </w:r>
    </w:p>
    <w:bookmarkStart w:id="162" w:name="_Toc117697125"/>
    <w:bookmarkStart w:id="163" w:name="_Toc147757270"/>
    <w:bookmarkStart w:id="164" w:name="_Toc148086891"/>
    <w:p w14:paraId="5D242F7C" w14:textId="29A613E8" w:rsidR="000820F3" w:rsidRDefault="004809C3" w:rsidP="00BE7239">
      <w:pPr>
        <w:pStyle w:val="Sectiontitle"/>
      </w:pPr>
      <w:r>
        <w:rPr>
          <w:noProof/>
          <w:color w:val="2B579A"/>
          <w:shd w:val="clear" w:color="auto" w:fill="E6E6E6"/>
          <w:lang w:eastAsia="en-AU"/>
        </w:rPr>
        <mc:AlternateContent>
          <mc:Choice Requires="wps">
            <w:drawing>
              <wp:anchor distT="0" distB="0" distL="114300" distR="114300" simplePos="0" relativeHeight="251658248" behindDoc="1" locked="0" layoutInCell="1" allowOverlap="1" wp14:anchorId="486087F8" wp14:editId="2DBCD940">
                <wp:simplePos x="0" y="0"/>
                <wp:positionH relativeFrom="page">
                  <wp:posOffset>0</wp:posOffset>
                </wp:positionH>
                <wp:positionV relativeFrom="paragraph">
                  <wp:posOffset>857885</wp:posOffset>
                </wp:positionV>
                <wp:extent cx="5143500" cy="723900"/>
                <wp:effectExtent l="0" t="0" r="0" b="0"/>
                <wp:wrapNone/>
                <wp:docPr id="10" name="Rectangle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143500" cy="723900"/>
                        </a:xfrm>
                        <a:prstGeom prst="rect">
                          <a:avLst/>
                        </a:prstGeom>
                        <a:solidFill>
                          <a:srgbClr val="347B9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32FB634D" id="Rectangle 10" o:spid="_x0000_s1026" alt="&quot;&quot;" style="position:absolute;margin-left:0;margin-top:67.55pt;width:405pt;height:57pt;z-index:-251658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" fillcolor="#347b9f" stroked="f" strokeweight="1pt">
                <w10:wrap anchorx="page"/>
              </v:rect>
            </w:pict>
          </mc:Fallback>
        </mc:AlternateContent>
      </w:r>
      <w:r w:rsidR="00BE7239">
        <w:t>Human rights and the parliament</w:t>
      </w:r>
      <w:bookmarkEnd w:id="160"/>
      <w:bookmarkEnd w:id="161"/>
      <w:bookmarkEnd w:id="162"/>
      <w:bookmarkEnd w:id="163"/>
      <w:bookmarkEnd w:id="164"/>
    </w:p>
    <w:p w14:paraId="43384A8F" w14:textId="700C2DF8" w:rsidR="00C90591" w:rsidRPr="00C90591" w:rsidRDefault="000820F3" w:rsidP="0060530B">
      <w:pPr>
        <w:pStyle w:val="Heading1"/>
        <w:rPr>
          <w:lang w:eastAsia="en-AU"/>
        </w:rPr>
      </w:pPr>
      <w:r>
        <w:br w:type="page"/>
      </w:r>
      <w:bookmarkStart w:id="165" w:name="_Toc117697126"/>
      <w:bookmarkStart w:id="166" w:name="_Toc147757271"/>
      <w:bookmarkStart w:id="167" w:name="_Toc148086892"/>
      <w:r w:rsidR="009016F0">
        <w:softHyphen/>
      </w:r>
      <w:r w:rsidR="009016F0">
        <w:softHyphen/>
      </w:r>
      <w:bookmarkStart w:id="168" w:name="_Toc85526642"/>
      <w:bookmarkStart w:id="169" w:name="_Toc85787057"/>
      <w:bookmarkStart w:id="170" w:name="_Toc1623205910"/>
      <w:bookmarkStart w:id="171" w:name="_Toc110503437"/>
      <w:r w:rsidR="00C90591" w:rsidRPr="323E5BEE">
        <w:rPr>
          <w:lang w:eastAsia="en-AU"/>
        </w:rPr>
        <w:t xml:space="preserve">The role of </w:t>
      </w:r>
      <w:r w:rsidR="0D03F56E" w:rsidRPr="323E5BEE">
        <w:rPr>
          <w:lang w:eastAsia="en-AU"/>
        </w:rPr>
        <w:t>Queensland P</w:t>
      </w:r>
      <w:r w:rsidR="00C90591" w:rsidRPr="323E5BEE">
        <w:rPr>
          <w:lang w:eastAsia="en-AU"/>
        </w:rPr>
        <w:t>arliament</w:t>
      </w:r>
      <w:bookmarkEnd w:id="165"/>
      <w:bookmarkEnd w:id="166"/>
      <w:bookmarkEnd w:id="167"/>
      <w:bookmarkEnd w:id="168"/>
      <w:bookmarkEnd w:id="169"/>
      <w:bookmarkEnd w:id="170"/>
    </w:p>
    <w:p w14:paraId="33F16563" w14:textId="38163DF0" w:rsidR="003A0909" w:rsidRDefault="00EE2BD2" w:rsidP="00C90591">
      <w:pPr>
        <w:rPr>
          <w:lang w:val="en-US"/>
        </w:rPr>
      </w:pPr>
      <w:r>
        <w:rPr>
          <w:lang w:val="en-US"/>
        </w:rPr>
        <w:t>The Human Rights Act</w:t>
      </w:r>
      <w:r w:rsidR="00C90591" w:rsidRPr="00C90591">
        <w:rPr>
          <w:lang w:val="en-US"/>
        </w:rPr>
        <w:t xml:space="preserve"> requires parliament, the courts, and the executive to act compatibly with human rights. </w:t>
      </w:r>
    </w:p>
    <w:p w14:paraId="278B8BEB" w14:textId="2D157B16" w:rsidR="00A579DB" w:rsidRPr="00C90591" w:rsidRDefault="00C90591" w:rsidP="00A579DB">
      <w:pPr>
        <w:rPr>
          <w:lang w:val="en-US"/>
        </w:rPr>
      </w:pPr>
      <w:r w:rsidRPr="00C90591">
        <w:rPr>
          <w:lang w:val="en-US"/>
        </w:rPr>
        <w:t xml:space="preserve">Parliament is responsible for making and passing laws and </w:t>
      </w:r>
      <w:r w:rsidR="0093631E">
        <w:rPr>
          <w:lang w:val="en-US"/>
        </w:rPr>
        <w:t>must</w:t>
      </w:r>
      <w:r w:rsidR="00591120" w:rsidRPr="00C90591">
        <w:rPr>
          <w:lang w:val="en-US"/>
        </w:rPr>
        <w:t xml:space="preserve"> consider whether </w:t>
      </w:r>
      <w:r w:rsidR="0039510A">
        <w:rPr>
          <w:lang w:val="en-US"/>
        </w:rPr>
        <w:t xml:space="preserve">any </w:t>
      </w:r>
      <w:r w:rsidR="00591120" w:rsidRPr="00C90591">
        <w:rPr>
          <w:lang w:val="en-US"/>
        </w:rPr>
        <w:t xml:space="preserve">limitations on human rights </w:t>
      </w:r>
      <w:r w:rsidR="004F32CD">
        <w:rPr>
          <w:lang w:val="en-US"/>
        </w:rPr>
        <w:t xml:space="preserve">in legislation </w:t>
      </w:r>
      <w:r w:rsidR="00591120" w:rsidRPr="00C90591">
        <w:rPr>
          <w:lang w:val="en-US"/>
        </w:rPr>
        <w:t xml:space="preserve">are justified. This occurs through the tabling of </w:t>
      </w:r>
      <w:r w:rsidR="009024C1">
        <w:rPr>
          <w:lang w:val="en-US"/>
        </w:rPr>
        <w:t>statements of compatibility</w:t>
      </w:r>
      <w:r w:rsidR="00591120" w:rsidRPr="00C90591">
        <w:rPr>
          <w:lang w:val="en-US"/>
        </w:rPr>
        <w:t xml:space="preserve"> </w:t>
      </w:r>
      <w:r w:rsidR="0012312D">
        <w:rPr>
          <w:lang w:val="en-US"/>
        </w:rPr>
        <w:t xml:space="preserve">with </w:t>
      </w:r>
      <w:r w:rsidR="00161EE4">
        <w:rPr>
          <w:lang w:val="en-US"/>
        </w:rPr>
        <w:t>B</w:t>
      </w:r>
      <w:r w:rsidR="009024C1">
        <w:rPr>
          <w:lang w:val="en-US"/>
        </w:rPr>
        <w:t>ills</w:t>
      </w:r>
      <w:r w:rsidR="00087DBF">
        <w:rPr>
          <w:lang w:val="en-US"/>
        </w:rPr>
        <w:t xml:space="preserve"> </w:t>
      </w:r>
      <w:r w:rsidR="00591120" w:rsidRPr="00C90591">
        <w:rPr>
          <w:lang w:val="en-US"/>
        </w:rPr>
        <w:t xml:space="preserve">and </w:t>
      </w:r>
      <w:r w:rsidR="009024C1">
        <w:rPr>
          <w:lang w:val="en-US"/>
        </w:rPr>
        <w:t>human rights certificates</w:t>
      </w:r>
      <w:r w:rsidR="00E67970">
        <w:rPr>
          <w:lang w:val="en-US"/>
        </w:rPr>
        <w:t xml:space="preserve"> for subordinate legislation</w:t>
      </w:r>
      <w:r w:rsidR="00591120" w:rsidRPr="00C90591">
        <w:rPr>
          <w:lang w:val="en-US"/>
        </w:rPr>
        <w:t xml:space="preserve">, </w:t>
      </w:r>
      <w:r w:rsidR="004F295E">
        <w:rPr>
          <w:lang w:val="en-US"/>
        </w:rPr>
        <w:t xml:space="preserve">scrutiny through </w:t>
      </w:r>
      <w:r w:rsidR="00591120" w:rsidRPr="00C90591">
        <w:rPr>
          <w:lang w:val="en-US"/>
        </w:rPr>
        <w:t xml:space="preserve">the </w:t>
      </w:r>
      <w:r w:rsidR="00841040">
        <w:rPr>
          <w:lang w:val="en-US"/>
        </w:rPr>
        <w:t>c</w:t>
      </w:r>
      <w:r w:rsidR="00591120" w:rsidRPr="00C90591">
        <w:rPr>
          <w:lang w:val="en-US"/>
        </w:rPr>
        <w:t xml:space="preserve">ommittee process, and </w:t>
      </w:r>
      <w:r w:rsidR="00A579DB">
        <w:rPr>
          <w:lang w:val="en-US"/>
        </w:rPr>
        <w:t>p</w:t>
      </w:r>
      <w:r w:rsidR="00591120" w:rsidRPr="00C90591">
        <w:rPr>
          <w:lang w:val="en-US"/>
        </w:rPr>
        <w:t>arliamentary debate.</w:t>
      </w:r>
      <w:r w:rsidR="00A579DB">
        <w:rPr>
          <w:lang w:val="en-US"/>
        </w:rPr>
        <w:t xml:space="preserve"> </w:t>
      </w:r>
      <w:r w:rsidR="00A579DB" w:rsidRPr="00C90591">
        <w:rPr>
          <w:rFonts w:eastAsia="Arial"/>
          <w:lang w:val="en-US"/>
        </w:rPr>
        <w:t>Once a law is passed, any future human rights compatibility assessment will generally only arise if raised in litigation.</w:t>
      </w:r>
    </w:p>
    <w:p w14:paraId="619120DF" w14:textId="5A7CF4D6" w:rsidR="00C90591" w:rsidRPr="00C90591" w:rsidRDefault="00367B0B" w:rsidP="00C90591">
      <w:pPr>
        <w:rPr>
          <w:lang w:val="en-US"/>
        </w:rPr>
      </w:pPr>
      <w:r>
        <w:rPr>
          <w:lang w:val="en-US"/>
        </w:rPr>
        <w:t>T</w:t>
      </w:r>
      <w:r w:rsidR="003E35A8">
        <w:rPr>
          <w:lang w:val="en-US"/>
        </w:rPr>
        <w:t>he Supreme Court</w:t>
      </w:r>
      <w:r w:rsidR="007A3BDD">
        <w:rPr>
          <w:lang w:val="en-US"/>
        </w:rPr>
        <w:t xml:space="preserve"> or Court of Appeal</w:t>
      </w:r>
      <w:r w:rsidR="003E35A8">
        <w:rPr>
          <w:lang w:val="en-US"/>
        </w:rPr>
        <w:t xml:space="preserve"> </w:t>
      </w:r>
      <w:r w:rsidR="00B93ED8">
        <w:rPr>
          <w:lang w:val="en-US"/>
        </w:rPr>
        <w:t xml:space="preserve">cannot </w:t>
      </w:r>
      <w:r w:rsidR="0079164D">
        <w:rPr>
          <w:lang w:val="en-US"/>
        </w:rPr>
        <w:t>invalidate legislation</w:t>
      </w:r>
      <w:r w:rsidR="00092381">
        <w:rPr>
          <w:lang w:val="en-US"/>
        </w:rPr>
        <w:t xml:space="preserve"> </w:t>
      </w:r>
      <w:r w:rsidR="00FB69FD">
        <w:rPr>
          <w:lang w:val="en-US"/>
        </w:rPr>
        <w:t xml:space="preserve">under the </w:t>
      </w:r>
      <w:r w:rsidR="009B505A">
        <w:rPr>
          <w:lang w:val="en-US"/>
        </w:rPr>
        <w:t>H</w:t>
      </w:r>
      <w:r w:rsidR="00FB69FD">
        <w:rPr>
          <w:lang w:val="en-US"/>
        </w:rPr>
        <w:t xml:space="preserve">uman </w:t>
      </w:r>
      <w:r w:rsidR="009B505A">
        <w:rPr>
          <w:lang w:val="en-US"/>
        </w:rPr>
        <w:t>Rights</w:t>
      </w:r>
      <w:r w:rsidR="00FB69FD">
        <w:rPr>
          <w:lang w:val="en-US"/>
        </w:rPr>
        <w:t xml:space="preserve"> </w:t>
      </w:r>
      <w:r w:rsidR="009B505A">
        <w:rPr>
          <w:lang w:val="en-US"/>
        </w:rPr>
        <w:t>A</w:t>
      </w:r>
      <w:r w:rsidR="00FB69FD">
        <w:rPr>
          <w:lang w:val="en-US"/>
        </w:rPr>
        <w:t>ct</w:t>
      </w:r>
      <w:r w:rsidR="0079164D">
        <w:rPr>
          <w:lang w:val="en-US"/>
        </w:rPr>
        <w:t>. Instead, it</w:t>
      </w:r>
      <w:r w:rsidR="00B93ED8">
        <w:rPr>
          <w:lang w:val="en-US"/>
        </w:rPr>
        <w:t xml:space="preserve"> </w:t>
      </w:r>
      <w:r w:rsidR="007E1636">
        <w:rPr>
          <w:lang w:val="en-US"/>
        </w:rPr>
        <w:t xml:space="preserve">may make a </w:t>
      </w:r>
      <w:r w:rsidR="009024C1">
        <w:rPr>
          <w:lang w:val="en-US"/>
        </w:rPr>
        <w:t>declaration of incompatibility</w:t>
      </w:r>
      <w:r w:rsidR="007E1636">
        <w:rPr>
          <w:lang w:val="en-US"/>
        </w:rPr>
        <w:t xml:space="preserve"> </w:t>
      </w:r>
      <w:r w:rsidR="00734096">
        <w:rPr>
          <w:lang w:val="en-US"/>
        </w:rPr>
        <w:t>where</w:t>
      </w:r>
      <w:r w:rsidR="009F5CD4">
        <w:rPr>
          <w:lang w:val="en-US"/>
        </w:rPr>
        <w:t xml:space="preserve"> the court </w:t>
      </w:r>
      <w:r w:rsidR="005410B1">
        <w:rPr>
          <w:lang w:val="en-US"/>
        </w:rPr>
        <w:t>i</w:t>
      </w:r>
      <w:r w:rsidR="009F5CD4">
        <w:rPr>
          <w:lang w:val="en-US"/>
        </w:rPr>
        <w:t xml:space="preserve">s of the opinion that a statutory provision cannot be interpreted </w:t>
      </w:r>
      <w:r w:rsidR="00AA29AA">
        <w:rPr>
          <w:lang w:val="en-US"/>
        </w:rPr>
        <w:t xml:space="preserve">in a way </w:t>
      </w:r>
      <w:r w:rsidR="009F5CD4">
        <w:rPr>
          <w:lang w:val="en-US"/>
        </w:rPr>
        <w:t>compatibl</w:t>
      </w:r>
      <w:r w:rsidR="00893C7E">
        <w:rPr>
          <w:lang w:val="en-US"/>
        </w:rPr>
        <w:t>e</w:t>
      </w:r>
      <w:r w:rsidR="009F5CD4">
        <w:rPr>
          <w:lang w:val="en-US"/>
        </w:rPr>
        <w:t xml:space="preserve"> with human rights. </w:t>
      </w:r>
      <w:r w:rsidR="009B4BD4">
        <w:rPr>
          <w:lang w:val="en-US"/>
        </w:rPr>
        <w:t xml:space="preserve">The court </w:t>
      </w:r>
      <w:r w:rsidR="00F822A1">
        <w:rPr>
          <w:lang w:val="en-US"/>
        </w:rPr>
        <w:t xml:space="preserve">must then </w:t>
      </w:r>
      <w:r w:rsidR="00381D53">
        <w:rPr>
          <w:lang w:val="en-US"/>
        </w:rPr>
        <w:t>gi</w:t>
      </w:r>
      <w:r w:rsidR="00D918D8">
        <w:rPr>
          <w:lang w:val="en-US"/>
        </w:rPr>
        <w:t>v</w:t>
      </w:r>
      <w:r w:rsidR="00381D53">
        <w:rPr>
          <w:lang w:val="en-US"/>
        </w:rPr>
        <w:t>e notice to</w:t>
      </w:r>
      <w:r w:rsidR="00B473D8">
        <w:rPr>
          <w:lang w:val="en-US"/>
        </w:rPr>
        <w:t xml:space="preserve"> the </w:t>
      </w:r>
      <w:r w:rsidR="00CD2E22">
        <w:rPr>
          <w:lang w:val="en-US"/>
        </w:rPr>
        <w:t xml:space="preserve">Attorney-General and </w:t>
      </w:r>
      <w:r w:rsidR="00073D9A">
        <w:rPr>
          <w:lang w:val="en-US"/>
        </w:rPr>
        <w:t xml:space="preserve">the Commission </w:t>
      </w:r>
      <w:r w:rsidR="00CF76C2">
        <w:rPr>
          <w:lang w:val="en-US"/>
        </w:rPr>
        <w:t>of the incompatibility</w:t>
      </w:r>
      <w:r w:rsidR="00240623">
        <w:rPr>
          <w:lang w:val="en-US"/>
        </w:rPr>
        <w:t xml:space="preserve">, </w:t>
      </w:r>
      <w:r w:rsidR="0067042E">
        <w:rPr>
          <w:lang w:val="en-US"/>
        </w:rPr>
        <w:t xml:space="preserve">but </w:t>
      </w:r>
      <w:r w:rsidR="00240623">
        <w:rPr>
          <w:lang w:val="en-US"/>
        </w:rPr>
        <w:t xml:space="preserve">this </w:t>
      </w:r>
      <w:r w:rsidR="0067042E">
        <w:rPr>
          <w:lang w:val="en-US"/>
        </w:rPr>
        <w:t xml:space="preserve">does not affect </w:t>
      </w:r>
      <w:r w:rsidR="007A3BDD">
        <w:rPr>
          <w:lang w:val="en-US"/>
        </w:rPr>
        <w:t>the validity of the law</w:t>
      </w:r>
      <w:r w:rsidR="00C90591" w:rsidRPr="00C90591">
        <w:rPr>
          <w:lang w:val="en-US"/>
        </w:rPr>
        <w:t>.</w:t>
      </w:r>
      <w:r w:rsidR="00C90591" w:rsidRPr="00C90591">
        <w:rPr>
          <w:rFonts w:eastAsia="Arial"/>
          <w:lang w:val="en-US"/>
        </w:rPr>
        <w:t xml:space="preserve"> </w:t>
      </w:r>
    </w:p>
    <w:p w14:paraId="24C9C6C5" w14:textId="77777777" w:rsidR="00FD1582" w:rsidRPr="00C90591" w:rsidRDefault="00FD1582" w:rsidP="00FD1582">
      <w:pPr>
        <w:pStyle w:val="Heading2"/>
        <w:rPr>
          <w:lang w:val="en-US" w:eastAsia="en-AU"/>
        </w:rPr>
      </w:pPr>
      <w:bookmarkStart w:id="172" w:name="_Toc148086893"/>
      <w:bookmarkStart w:id="173" w:name="_Toc55482282"/>
      <w:bookmarkStart w:id="174" w:name="_Toc56451554"/>
      <w:bookmarkStart w:id="175" w:name="_Toc56452128"/>
      <w:bookmarkStart w:id="176" w:name="_Toc84593850"/>
      <w:bookmarkStart w:id="177" w:name="_Toc85451722"/>
      <w:bookmarkStart w:id="178" w:name="_Toc85526643"/>
      <w:bookmarkStart w:id="179" w:name="_Toc85787058"/>
      <w:bookmarkStart w:id="180" w:name="_Toc1770276963"/>
      <w:bookmarkStart w:id="181" w:name="_Toc117697127"/>
      <w:bookmarkStart w:id="182" w:name="_Toc117697834"/>
      <w:bookmarkStart w:id="183" w:name="_Toc147757272"/>
      <w:r w:rsidRPr="00C90591">
        <w:rPr>
          <w:lang w:val="en-US" w:eastAsia="en-AU"/>
        </w:rPr>
        <w:t xml:space="preserve">Portfolio </w:t>
      </w:r>
      <w:r>
        <w:rPr>
          <w:lang w:val="en-US" w:eastAsia="en-AU"/>
        </w:rPr>
        <w:t>c</w:t>
      </w:r>
      <w:r w:rsidRPr="00C90591">
        <w:rPr>
          <w:lang w:val="en-US" w:eastAsia="en-AU"/>
        </w:rPr>
        <w:t>ommittees</w:t>
      </w:r>
      <w:bookmarkEnd w:id="172"/>
    </w:p>
    <w:p w14:paraId="6BDB4396" w14:textId="77777777" w:rsidR="00FD1582" w:rsidRPr="00A55157" w:rsidRDefault="00FD1582" w:rsidP="00FD1582">
      <w:pPr>
        <w:rPr>
          <w:rFonts w:cs="Arial"/>
          <w:szCs w:val="20"/>
        </w:rPr>
      </w:pPr>
      <w:r w:rsidRPr="00C90591">
        <w:rPr>
          <w:lang w:val="en-US"/>
        </w:rPr>
        <w:t xml:space="preserve">Parliamentary </w:t>
      </w:r>
      <w:r>
        <w:rPr>
          <w:lang w:val="en-US"/>
        </w:rPr>
        <w:t>c</w:t>
      </w:r>
      <w:r w:rsidRPr="00C90591">
        <w:rPr>
          <w:lang w:val="en-US"/>
        </w:rPr>
        <w:t xml:space="preserve">ommittees </w:t>
      </w:r>
      <w:r>
        <w:rPr>
          <w:lang w:val="en-US"/>
        </w:rPr>
        <w:t>enhance the democratic process</w:t>
      </w:r>
      <w:r w:rsidRPr="00C90591">
        <w:rPr>
          <w:lang w:val="en-US"/>
        </w:rPr>
        <w:t xml:space="preserve"> by monitoring or investigating issues</w:t>
      </w:r>
      <w:r>
        <w:rPr>
          <w:lang w:val="en-US"/>
        </w:rPr>
        <w:t>, reporting to parliament,</w:t>
      </w:r>
      <w:r w:rsidRPr="00C90591">
        <w:rPr>
          <w:lang w:val="en-US"/>
        </w:rPr>
        <w:t xml:space="preserve"> and scrutinising proposed laws. </w:t>
      </w:r>
    </w:p>
    <w:p w14:paraId="55BCD165" w14:textId="77777777" w:rsidR="00FD1582" w:rsidRPr="00C90591" w:rsidRDefault="00FD1582" w:rsidP="00FD1582">
      <w:pPr>
        <w:rPr>
          <w:lang w:val="en-US"/>
        </w:rPr>
      </w:pPr>
      <w:r>
        <w:rPr>
          <w:rFonts w:eastAsia="Arial"/>
        </w:rPr>
        <w:t>The</w:t>
      </w:r>
      <w:r w:rsidRPr="00C90591">
        <w:rPr>
          <w:lang w:val="en-US"/>
        </w:rPr>
        <w:t xml:space="preserve"> Queensland Parliament has 7 portfolio </w:t>
      </w:r>
      <w:r>
        <w:rPr>
          <w:lang w:val="en-US"/>
        </w:rPr>
        <w:t>c</w:t>
      </w:r>
      <w:r w:rsidRPr="00C90591">
        <w:rPr>
          <w:lang w:val="en-US"/>
        </w:rPr>
        <w:t xml:space="preserve">ommittees made up of </w:t>
      </w:r>
      <w:r>
        <w:rPr>
          <w:lang w:val="en-US"/>
        </w:rPr>
        <w:t xml:space="preserve">government and non-government </w:t>
      </w:r>
      <w:r w:rsidRPr="00C90591">
        <w:rPr>
          <w:lang w:val="en-US"/>
        </w:rPr>
        <w:t xml:space="preserve">members of parliament, and it is their job to </w:t>
      </w:r>
      <w:r>
        <w:rPr>
          <w:lang w:val="en-US"/>
        </w:rPr>
        <w:t>i</w:t>
      </w:r>
      <w:r w:rsidRPr="00C90591">
        <w:rPr>
          <w:lang w:val="en-US"/>
        </w:rPr>
        <w:t xml:space="preserve">nquire into proposed laws before they are debated </w:t>
      </w:r>
      <w:r>
        <w:rPr>
          <w:lang w:val="en-US"/>
        </w:rPr>
        <w:t>in</w:t>
      </w:r>
      <w:r w:rsidRPr="00C90591">
        <w:rPr>
          <w:lang w:val="en-US"/>
        </w:rPr>
        <w:t xml:space="preserve"> parliament. Under </w:t>
      </w:r>
      <w:r>
        <w:rPr>
          <w:lang w:val="en-US"/>
        </w:rPr>
        <w:t>the Human Rights Act</w:t>
      </w:r>
      <w:r w:rsidRPr="00C90591">
        <w:rPr>
          <w:lang w:val="en-US"/>
        </w:rPr>
        <w:t xml:space="preserve">, the portfolio </w:t>
      </w:r>
      <w:r>
        <w:rPr>
          <w:lang w:val="en-US"/>
        </w:rPr>
        <w:t>c</w:t>
      </w:r>
      <w:r w:rsidRPr="00C90591">
        <w:rPr>
          <w:lang w:val="en-US"/>
        </w:rPr>
        <w:t xml:space="preserve">ommittee responsible for examining a </w:t>
      </w:r>
      <w:r>
        <w:rPr>
          <w:lang w:val="en-US"/>
        </w:rPr>
        <w:t>Bill</w:t>
      </w:r>
      <w:r w:rsidRPr="00C90591">
        <w:rPr>
          <w:lang w:val="en-US"/>
        </w:rPr>
        <w:t xml:space="preserve"> must consider and report to the parliament about whether the </w:t>
      </w:r>
      <w:r>
        <w:rPr>
          <w:lang w:val="en-US"/>
        </w:rPr>
        <w:t>Bill</w:t>
      </w:r>
      <w:r w:rsidRPr="00C90591">
        <w:rPr>
          <w:lang w:val="en-US"/>
        </w:rPr>
        <w:t xml:space="preserve"> is compatible with human rights </w:t>
      </w:r>
      <w:r>
        <w:rPr>
          <w:lang w:val="en-US"/>
        </w:rPr>
        <w:t xml:space="preserve">and </w:t>
      </w:r>
      <w:r w:rsidRPr="00C90591">
        <w:rPr>
          <w:lang w:val="en-US"/>
        </w:rPr>
        <w:t xml:space="preserve">consider and report to parliament about the </w:t>
      </w:r>
      <w:r>
        <w:rPr>
          <w:lang w:val="en-US"/>
        </w:rPr>
        <w:t>statement of compatibility</w:t>
      </w:r>
      <w:r w:rsidRPr="00C90591">
        <w:rPr>
          <w:lang w:val="en-US"/>
        </w:rPr>
        <w:t xml:space="preserve"> tabled </w:t>
      </w:r>
      <w:r>
        <w:rPr>
          <w:lang w:val="en-US"/>
        </w:rPr>
        <w:t>with</w:t>
      </w:r>
      <w:r w:rsidRPr="00C90591">
        <w:rPr>
          <w:lang w:val="en-US"/>
        </w:rPr>
        <w:t xml:space="preserve"> the </w:t>
      </w:r>
      <w:r>
        <w:rPr>
          <w:lang w:val="en-US"/>
        </w:rPr>
        <w:t>Bill</w:t>
      </w:r>
      <w:r w:rsidRPr="00C90591">
        <w:rPr>
          <w:lang w:val="en-US"/>
        </w:rPr>
        <w:t xml:space="preserve">. </w:t>
      </w:r>
    </w:p>
    <w:p w14:paraId="47B9EBEE" w14:textId="77777777" w:rsidR="00FD1582" w:rsidRPr="00C90591" w:rsidRDefault="00FD1582" w:rsidP="00FD1582">
      <w:pPr>
        <w:rPr>
          <w:lang w:val="en-US"/>
        </w:rPr>
      </w:pPr>
      <w:r>
        <w:rPr>
          <w:lang w:val="en-US"/>
        </w:rPr>
        <w:t>A strength</w:t>
      </w:r>
      <w:r w:rsidRPr="00C90591">
        <w:rPr>
          <w:lang w:val="en-US"/>
        </w:rPr>
        <w:t xml:space="preserve"> of the Queensland </w:t>
      </w:r>
      <w:r>
        <w:rPr>
          <w:lang w:val="en-US"/>
        </w:rPr>
        <w:t>p</w:t>
      </w:r>
      <w:r w:rsidRPr="00C90591">
        <w:rPr>
          <w:lang w:val="en-US"/>
        </w:rPr>
        <w:t xml:space="preserve">arliamentary committee system is that committees generally invite submissions to aid their consideration of a </w:t>
      </w:r>
      <w:r>
        <w:rPr>
          <w:lang w:val="en-US"/>
        </w:rPr>
        <w:t>Bill</w:t>
      </w:r>
      <w:r w:rsidRPr="00C90591">
        <w:rPr>
          <w:lang w:val="en-US"/>
        </w:rPr>
        <w:t xml:space="preserve"> and hold public hearings </w:t>
      </w:r>
      <w:r>
        <w:rPr>
          <w:lang w:val="en-US"/>
        </w:rPr>
        <w:t xml:space="preserve">at which </w:t>
      </w:r>
      <w:r w:rsidRPr="00C90591">
        <w:rPr>
          <w:lang w:val="en-US"/>
        </w:rPr>
        <w:t xml:space="preserve">evidence is heard. </w:t>
      </w:r>
      <w:r>
        <w:rPr>
          <w:lang w:val="en-US"/>
        </w:rPr>
        <w:t xml:space="preserve">This provides an opportunity for </w:t>
      </w:r>
      <w:r>
        <w:t>broader public debate about proposed laws. Committees may assist parliament to assess the human rights implications of new laws, expose legislation to effective scrutiny independent of the executive, and allow for public participation in the human rights dialogue and debate.</w:t>
      </w:r>
      <w:r>
        <w:rPr>
          <w:rStyle w:val="FootnoteReference"/>
        </w:rPr>
        <w:footnoteReference w:id="12"/>
      </w:r>
      <w:r>
        <w:rPr>
          <w:lang w:val="en-US"/>
        </w:rPr>
        <w:t xml:space="preserve"> </w:t>
      </w:r>
      <w:r w:rsidRPr="00C90591">
        <w:rPr>
          <w:lang w:val="en-US"/>
        </w:rPr>
        <w:t xml:space="preserve">The </w:t>
      </w:r>
      <w:r>
        <w:rPr>
          <w:lang w:val="en-US"/>
        </w:rPr>
        <w:t>c</w:t>
      </w:r>
      <w:r w:rsidRPr="00C90591">
        <w:rPr>
          <w:lang w:val="en-US"/>
        </w:rPr>
        <w:t xml:space="preserve">ommittees then report to parliament about the </w:t>
      </w:r>
      <w:r>
        <w:rPr>
          <w:lang w:val="en-US"/>
        </w:rPr>
        <w:t>Bill</w:t>
      </w:r>
      <w:r w:rsidRPr="00C90591">
        <w:rPr>
          <w:lang w:val="en-US"/>
        </w:rPr>
        <w:t xml:space="preserve"> and may make comments about the </w:t>
      </w:r>
      <w:r>
        <w:rPr>
          <w:lang w:val="en-US"/>
        </w:rPr>
        <w:t>statement of compatibility</w:t>
      </w:r>
      <w:r w:rsidRPr="00C90591">
        <w:rPr>
          <w:lang w:val="en-US"/>
        </w:rPr>
        <w:t xml:space="preserve">. </w:t>
      </w:r>
    </w:p>
    <w:p w14:paraId="429CD3F1" w14:textId="77777777" w:rsidR="00FD1582" w:rsidRPr="00C90591" w:rsidRDefault="00FD1582" w:rsidP="00FD1582">
      <w:r w:rsidRPr="00C90591">
        <w:rPr>
          <w:lang w:val="en-US"/>
        </w:rPr>
        <w:t xml:space="preserve">The </w:t>
      </w:r>
      <w:r>
        <w:rPr>
          <w:lang w:val="en-US"/>
        </w:rPr>
        <w:t>portfolio</w:t>
      </w:r>
      <w:r w:rsidRPr="00C90591">
        <w:rPr>
          <w:lang w:val="en-US"/>
        </w:rPr>
        <w:t xml:space="preserve"> </w:t>
      </w:r>
      <w:r>
        <w:rPr>
          <w:lang w:val="en-US"/>
        </w:rPr>
        <w:t>c</w:t>
      </w:r>
      <w:r w:rsidRPr="00C90591">
        <w:rPr>
          <w:lang w:val="en-US"/>
        </w:rPr>
        <w:t xml:space="preserve">ommittees also consider subordinate legislation, such as regulations, </w:t>
      </w:r>
      <w:r>
        <w:rPr>
          <w:lang w:val="en-US"/>
        </w:rPr>
        <w:t>and</w:t>
      </w:r>
      <w:r w:rsidRPr="00C90591">
        <w:rPr>
          <w:lang w:val="en-US"/>
        </w:rPr>
        <w:t xml:space="preserve"> report on</w:t>
      </w:r>
      <w:r w:rsidRPr="00C90591">
        <w:t xml:space="preserve"> any issues </w:t>
      </w:r>
      <w:r>
        <w:t xml:space="preserve">they </w:t>
      </w:r>
      <w:r w:rsidRPr="00C90591">
        <w:t>identif</w:t>
      </w:r>
      <w:r>
        <w:t>y</w:t>
      </w:r>
      <w:r w:rsidRPr="00C90591">
        <w:t xml:space="preserve"> </w:t>
      </w:r>
      <w:r>
        <w:t xml:space="preserve">through their </w:t>
      </w:r>
      <w:r w:rsidRPr="00C90591">
        <w:t xml:space="preserve">consideration of the </w:t>
      </w:r>
      <w:r>
        <w:t>human rights certificates</w:t>
      </w:r>
      <w:r w:rsidRPr="00C90591">
        <w:t xml:space="preserve"> tabled with the subordinate legislation. </w:t>
      </w:r>
    </w:p>
    <w:p w14:paraId="02B53AD3" w14:textId="77777777" w:rsidR="0073438F" w:rsidRDefault="0073438F">
      <w:pPr>
        <w:spacing w:after="160" w:line="259" w:lineRule="auto"/>
        <w:ind w:right="0"/>
        <w:rPr>
          <w:rFonts w:eastAsiaTheme="majorEastAsia" w:cstheme="majorBidi"/>
          <w:color w:val="347B9F"/>
          <w:sz w:val="36"/>
          <w:szCs w:val="26"/>
          <w:lang w:val="en-US" w:eastAsia="en-AU"/>
        </w:rPr>
      </w:pPr>
      <w:bookmarkStart w:id="184" w:name="_Toc148086894"/>
      <w:r>
        <w:rPr>
          <w:lang w:val="en-US" w:eastAsia="en-AU"/>
        </w:rPr>
        <w:br w:type="page"/>
      </w:r>
    </w:p>
    <w:p w14:paraId="79A3457C" w14:textId="40E740FF" w:rsidR="00C90591" w:rsidRPr="00C90591" w:rsidRDefault="00C90591" w:rsidP="00C90591">
      <w:pPr>
        <w:pStyle w:val="Heading2"/>
        <w:rPr>
          <w:lang w:val="en-US" w:eastAsia="en-AU"/>
        </w:rPr>
      </w:pPr>
      <w:r w:rsidRPr="00C90591">
        <w:rPr>
          <w:lang w:val="en-US" w:eastAsia="en-AU"/>
        </w:rPr>
        <w:t xml:space="preserve">Override </w:t>
      </w:r>
      <w:bookmarkEnd w:id="173"/>
      <w:bookmarkEnd w:id="174"/>
      <w:bookmarkEnd w:id="175"/>
      <w:bookmarkEnd w:id="176"/>
      <w:bookmarkEnd w:id="177"/>
      <w:bookmarkEnd w:id="178"/>
      <w:bookmarkEnd w:id="179"/>
      <w:bookmarkEnd w:id="180"/>
      <w:bookmarkEnd w:id="181"/>
      <w:bookmarkEnd w:id="182"/>
      <w:r w:rsidR="005F1FE9">
        <w:rPr>
          <w:lang w:val="en-US" w:eastAsia="en-AU"/>
        </w:rPr>
        <w:t>d</w:t>
      </w:r>
      <w:r w:rsidRPr="00C90591">
        <w:rPr>
          <w:lang w:val="en-US" w:eastAsia="en-AU"/>
        </w:rPr>
        <w:t>eclarations</w:t>
      </w:r>
      <w:bookmarkEnd w:id="183"/>
      <w:bookmarkEnd w:id="184"/>
    </w:p>
    <w:p w14:paraId="07AD946C" w14:textId="329F2C98" w:rsidR="00C90591" w:rsidRPr="00C90591" w:rsidRDefault="00B33D04" w:rsidP="00C043D4">
      <w:r>
        <w:t>P</w:t>
      </w:r>
      <w:r w:rsidR="00C90591" w:rsidRPr="00C90591">
        <w:t xml:space="preserve">arliament may override the </w:t>
      </w:r>
      <w:r w:rsidR="000348B8">
        <w:t xml:space="preserve">Human Rights </w:t>
      </w:r>
      <w:r w:rsidR="00C90591" w:rsidRPr="00C90591">
        <w:t xml:space="preserve">Act by </w:t>
      </w:r>
      <w:r w:rsidR="000B5E2A">
        <w:t xml:space="preserve">including </w:t>
      </w:r>
      <w:r w:rsidR="00EF0F51">
        <w:t xml:space="preserve">an </w:t>
      </w:r>
      <w:r w:rsidR="005F1FE9">
        <w:t>override declaration</w:t>
      </w:r>
      <w:r w:rsidR="00EF0F51">
        <w:t xml:space="preserve"> with a </w:t>
      </w:r>
      <w:r w:rsidR="00E5250A">
        <w:t>B</w:t>
      </w:r>
      <w:r w:rsidR="00087DBF">
        <w:t>ill</w:t>
      </w:r>
      <w:r w:rsidR="00C65525">
        <w:t xml:space="preserve"> </w:t>
      </w:r>
      <w:r w:rsidR="00E95BE1">
        <w:t xml:space="preserve">expressly </w:t>
      </w:r>
      <w:r w:rsidR="00C90591" w:rsidRPr="00C90591">
        <w:t xml:space="preserve">declaring that </w:t>
      </w:r>
      <w:r w:rsidR="003527AF">
        <w:t>the Act</w:t>
      </w:r>
      <w:r w:rsidR="00137EB5">
        <w:t xml:space="preserve">, or a provision </w:t>
      </w:r>
      <w:r w:rsidR="00D35376">
        <w:t>of</w:t>
      </w:r>
      <w:r w:rsidR="00137EB5">
        <w:t xml:space="preserve"> </w:t>
      </w:r>
      <w:r w:rsidR="003527AF">
        <w:t>the</w:t>
      </w:r>
      <w:r w:rsidR="00137EB5">
        <w:t xml:space="preserve"> Act,</w:t>
      </w:r>
      <w:r w:rsidR="00A548B2">
        <w:t xml:space="preserve"> </w:t>
      </w:r>
      <w:r w:rsidR="00C90591" w:rsidRPr="00C90591">
        <w:t xml:space="preserve">has effect despite being incompatible with </w:t>
      </w:r>
      <w:r w:rsidR="00391B1D">
        <w:t xml:space="preserve">one or more </w:t>
      </w:r>
      <w:r w:rsidR="00C90591" w:rsidRPr="00C90591">
        <w:t xml:space="preserve">human rights. This </w:t>
      </w:r>
      <w:r w:rsidR="00903207">
        <w:t>power</w:t>
      </w:r>
      <w:r w:rsidR="00903207" w:rsidRPr="00C90591">
        <w:t xml:space="preserve"> </w:t>
      </w:r>
      <w:r w:rsidR="00C90591" w:rsidRPr="00C90591">
        <w:t xml:space="preserve">is intended to be used only in exceptional circumstances </w:t>
      </w:r>
      <w:r w:rsidR="00B47584">
        <w:t xml:space="preserve">and </w:t>
      </w:r>
      <w:r w:rsidR="00EE2BD2">
        <w:t>the Human Rights Act</w:t>
      </w:r>
      <w:r w:rsidR="00B47584">
        <w:t xml:space="preserve"> gives the examples of </w:t>
      </w:r>
      <w:r w:rsidR="00AC4752">
        <w:t>‘</w:t>
      </w:r>
      <w:r w:rsidR="00C90591" w:rsidRPr="00C90591">
        <w:t>war, a state of emergency, an exceptional crisis situation constituting a threat to public safety, health or order</w:t>
      </w:r>
      <w:r w:rsidR="00AC4752">
        <w:t>’</w:t>
      </w:r>
      <w:r w:rsidR="00C90591" w:rsidRPr="00C90591">
        <w:t>.</w:t>
      </w:r>
      <w:r w:rsidR="008422AC">
        <w:t xml:space="preserve"> A provision of an Act containing an </w:t>
      </w:r>
      <w:r w:rsidR="005F1FE9">
        <w:t>o</w:t>
      </w:r>
      <w:r w:rsidR="008422AC">
        <w:t xml:space="preserve">verride </w:t>
      </w:r>
      <w:r w:rsidR="005F1FE9">
        <w:t>d</w:t>
      </w:r>
      <w:r w:rsidR="008422AC">
        <w:t xml:space="preserve">eclaration expires </w:t>
      </w:r>
      <w:r w:rsidR="004A0FD9">
        <w:t xml:space="preserve">5 </w:t>
      </w:r>
      <w:r w:rsidR="008422AC">
        <w:t>year</w:t>
      </w:r>
      <w:r w:rsidR="009374CF">
        <w:t xml:space="preserve">s after </w:t>
      </w:r>
      <w:r w:rsidR="00E80857">
        <w:t xml:space="preserve">the provision </w:t>
      </w:r>
      <w:r w:rsidR="009374CF">
        <w:t>commence</w:t>
      </w:r>
      <w:r w:rsidR="00FD14C3">
        <w:t>s.</w:t>
      </w:r>
    </w:p>
    <w:p w14:paraId="1100029E" w14:textId="573F5B6A" w:rsidR="00886659" w:rsidRDefault="00D607F7" w:rsidP="00C043D4">
      <w:bookmarkStart w:id="185" w:name="_Toc55482283"/>
      <w:bookmarkStart w:id="186" w:name="_Toc56451555"/>
      <w:bookmarkStart w:id="187" w:name="_Toc56452129"/>
      <w:bookmarkStart w:id="188" w:name="_Toc84593851"/>
      <w:bookmarkStart w:id="189" w:name="_Toc85451723"/>
      <w:bookmarkStart w:id="190" w:name="_Toc85526644"/>
      <w:bookmarkStart w:id="191" w:name="_Toc85787059"/>
      <w:bookmarkStart w:id="192" w:name="_Toc965919098"/>
      <w:bookmarkStart w:id="193" w:name="_Toc117697128"/>
      <w:bookmarkStart w:id="194" w:name="_Toc117697835"/>
      <w:r>
        <w:t>In the reporting period</w:t>
      </w:r>
      <w:r w:rsidR="005A6B0D">
        <w:t>,</w:t>
      </w:r>
      <w:r w:rsidR="002106B8">
        <w:t xml:space="preserve"> the over</w:t>
      </w:r>
      <w:r w:rsidR="005A6B0D">
        <w:t xml:space="preserve">ride provisions of </w:t>
      </w:r>
      <w:r w:rsidR="00EE2BD2">
        <w:t>the Human Rights Act</w:t>
      </w:r>
      <w:r w:rsidR="005A6B0D">
        <w:t xml:space="preserve"> were used for the first time.</w:t>
      </w:r>
      <w:r w:rsidR="00163A89" w:rsidRPr="00163A89">
        <w:t xml:space="preserve"> </w:t>
      </w:r>
      <w:r w:rsidR="005A6B0D">
        <w:t>T</w:t>
      </w:r>
      <w:r w:rsidR="00163A89" w:rsidRPr="00163A89">
        <w:t xml:space="preserve">he government </w:t>
      </w:r>
      <w:r w:rsidR="00106F94">
        <w:t>sought</w:t>
      </w:r>
      <w:r w:rsidR="00163A89" w:rsidRPr="00163A89">
        <w:t xml:space="preserve"> </w:t>
      </w:r>
      <w:r w:rsidR="00F3713A">
        <w:t>o</w:t>
      </w:r>
      <w:r w:rsidR="00163A89" w:rsidRPr="00163A89">
        <w:t xml:space="preserve">verride </w:t>
      </w:r>
      <w:r w:rsidR="00B742F4">
        <w:t>d</w:t>
      </w:r>
      <w:r w:rsidR="00652AC0">
        <w:t>eclaration</w:t>
      </w:r>
      <w:r w:rsidR="005E4DAB">
        <w:t>s</w:t>
      </w:r>
      <w:r w:rsidR="00652AC0">
        <w:t xml:space="preserve"> </w:t>
      </w:r>
      <w:r w:rsidR="00163A89" w:rsidRPr="00163A89">
        <w:t>for provisions of the Strengthening Community Safety Bill 2023</w:t>
      </w:r>
      <w:r w:rsidR="00886659">
        <w:t>. D</w:t>
      </w:r>
      <w:r w:rsidR="00163A89" w:rsidRPr="00163A89">
        <w:t xml:space="preserve">espite submissions to </w:t>
      </w:r>
      <w:r w:rsidR="00076EBD">
        <w:t>the Economics and Governance</w:t>
      </w:r>
      <w:r w:rsidR="00163A89" w:rsidRPr="00163A89">
        <w:t xml:space="preserve"> </w:t>
      </w:r>
      <w:r w:rsidR="00076EBD">
        <w:t>C</w:t>
      </w:r>
      <w:r w:rsidR="00163A89" w:rsidRPr="00163A89">
        <w:t>ommittee questioning whether th</w:t>
      </w:r>
      <w:r w:rsidR="002550F4">
        <w:t xml:space="preserve">e </w:t>
      </w:r>
      <w:r w:rsidR="00F3713A">
        <w:t>o</w:t>
      </w:r>
      <w:r w:rsidR="002550F4">
        <w:t xml:space="preserve">verride </w:t>
      </w:r>
      <w:r w:rsidR="00F96F5A">
        <w:t>d</w:t>
      </w:r>
      <w:r w:rsidR="002550F4">
        <w:t>eclaration</w:t>
      </w:r>
      <w:r w:rsidR="00955078">
        <w:t>s</w:t>
      </w:r>
      <w:r w:rsidR="00163A89" w:rsidRPr="00163A89">
        <w:t xml:space="preserve"> </w:t>
      </w:r>
      <w:r w:rsidR="00955078">
        <w:t>were</w:t>
      </w:r>
      <w:r w:rsidR="00955078" w:rsidRPr="00163A89">
        <w:t xml:space="preserve"> </w:t>
      </w:r>
      <w:r w:rsidR="00163A89" w:rsidRPr="00163A89">
        <w:t>necessary and appropriate</w:t>
      </w:r>
      <w:r w:rsidR="00886659">
        <w:t>,</w:t>
      </w:r>
      <w:r w:rsidR="00367D72">
        <w:t xml:space="preserve"> and noting </w:t>
      </w:r>
      <w:r w:rsidR="007E6E2F">
        <w:t xml:space="preserve">that any override </w:t>
      </w:r>
      <w:r w:rsidR="00596FF4">
        <w:t xml:space="preserve">should </w:t>
      </w:r>
      <w:r w:rsidR="00B53C1D">
        <w:t>occur only after extensive consultation</w:t>
      </w:r>
      <w:r w:rsidR="007A12C1">
        <w:t>,</w:t>
      </w:r>
      <w:r w:rsidR="00660978">
        <w:rPr>
          <w:rStyle w:val="FootnoteReference"/>
        </w:rPr>
        <w:footnoteReference w:id="13"/>
      </w:r>
      <w:r w:rsidR="00886659">
        <w:t xml:space="preserve"> </w:t>
      </w:r>
      <w:r w:rsidR="00652AC0">
        <w:t xml:space="preserve">the </w:t>
      </w:r>
      <w:r w:rsidR="009C1FAE">
        <w:t xml:space="preserve">Queensland </w:t>
      </w:r>
      <w:r w:rsidR="00886659">
        <w:t xml:space="preserve">Parliament made </w:t>
      </w:r>
      <w:r w:rsidR="00FA4832">
        <w:t xml:space="preserve">the </w:t>
      </w:r>
      <w:r w:rsidR="004A0FD9">
        <w:t>O</w:t>
      </w:r>
      <w:r w:rsidR="0043164A">
        <w:t xml:space="preserve">verride </w:t>
      </w:r>
      <w:r w:rsidR="00246E32">
        <w:t>d</w:t>
      </w:r>
      <w:r w:rsidR="0043164A">
        <w:t>eclaration</w:t>
      </w:r>
      <w:r w:rsidR="00FA4832">
        <w:t>s</w:t>
      </w:r>
      <w:r w:rsidR="00163A89" w:rsidRPr="00163A89">
        <w:t>.</w:t>
      </w:r>
    </w:p>
    <w:p w14:paraId="6C84F9B4" w14:textId="544B51C8" w:rsidR="00842DB9" w:rsidRDefault="00842DB9" w:rsidP="00C043D4">
      <w:r>
        <w:t xml:space="preserve">The </w:t>
      </w:r>
      <w:r w:rsidR="002550F4">
        <w:t xml:space="preserve">situation giving rise to </w:t>
      </w:r>
      <w:r w:rsidR="00343AF6">
        <w:t xml:space="preserve">the </w:t>
      </w:r>
      <w:r w:rsidR="00F3713A">
        <w:t>o</w:t>
      </w:r>
      <w:r w:rsidR="00343AF6">
        <w:t xml:space="preserve">verride </w:t>
      </w:r>
      <w:r w:rsidR="00AE2989">
        <w:t>d</w:t>
      </w:r>
      <w:r w:rsidR="00343AF6">
        <w:t>eclaration</w:t>
      </w:r>
      <w:r w:rsidR="00955078">
        <w:t>s</w:t>
      </w:r>
      <w:r>
        <w:t>, a crisis in the youth justice system, d</w:t>
      </w:r>
      <w:r w:rsidR="00343AF6">
        <w:t>oes</w:t>
      </w:r>
      <w:r>
        <w:t xml:space="preserve"> not appear to fit with the exceptional circumstances </w:t>
      </w:r>
      <w:r w:rsidR="00CF6754">
        <w:t xml:space="preserve">examples as </w:t>
      </w:r>
      <w:r>
        <w:t xml:space="preserve">set out in </w:t>
      </w:r>
      <w:r w:rsidR="00EE2BD2">
        <w:t>the Human Rights Act</w:t>
      </w:r>
      <w:r>
        <w:t xml:space="preserve">. </w:t>
      </w:r>
      <w:r w:rsidR="00992D92">
        <w:t xml:space="preserve">During the pandemic, </w:t>
      </w:r>
      <w:r w:rsidR="009C1FAE">
        <w:t>p</w:t>
      </w:r>
      <w:r w:rsidR="00E90D1B">
        <w:t xml:space="preserve">arliament passed several pieces of emergency legislation in response to the COVID-19 pandemic </w:t>
      </w:r>
      <w:r w:rsidR="00350616">
        <w:t xml:space="preserve">without </w:t>
      </w:r>
      <w:r w:rsidR="004915D3">
        <w:t>resorting to</w:t>
      </w:r>
      <w:r w:rsidR="00197F2B">
        <w:t xml:space="preserve"> </w:t>
      </w:r>
      <w:r w:rsidR="00350616">
        <w:t xml:space="preserve">an </w:t>
      </w:r>
      <w:r w:rsidR="004F249A">
        <w:t>o</w:t>
      </w:r>
      <w:r w:rsidR="00350616">
        <w:t>verride</w:t>
      </w:r>
      <w:r w:rsidR="00197F2B">
        <w:t xml:space="preserve"> </w:t>
      </w:r>
      <w:r w:rsidR="00AE2989">
        <w:t>d</w:t>
      </w:r>
      <w:r w:rsidR="00197F2B">
        <w:t>eclaration</w:t>
      </w:r>
      <w:r w:rsidR="00350616">
        <w:t xml:space="preserve">. The application of </w:t>
      </w:r>
      <w:r w:rsidR="00EE2BD2">
        <w:t>the Human Rights Act</w:t>
      </w:r>
      <w:r w:rsidR="00350616">
        <w:t xml:space="preserve"> to such emergency legislation was noted as an important safeguard at the time.</w:t>
      </w:r>
      <w:r w:rsidR="00E865C3">
        <w:t xml:space="preserve"> </w:t>
      </w:r>
    </w:p>
    <w:p w14:paraId="2D657842" w14:textId="3780F040" w:rsidR="00163A89" w:rsidRDefault="00163A89" w:rsidP="00C043D4">
      <w:r w:rsidRPr="00163A89">
        <w:t xml:space="preserve">Of further concern to the Commission was the discussion through the parliamentary process </w:t>
      </w:r>
      <w:r w:rsidR="00EB3151">
        <w:t xml:space="preserve">that </w:t>
      </w:r>
      <w:r w:rsidRPr="00163A89">
        <w:t xml:space="preserve">implied a decision to override </w:t>
      </w:r>
      <w:r w:rsidR="00EE2BD2">
        <w:t>the Human Rights Act</w:t>
      </w:r>
      <w:r w:rsidRPr="00163A89">
        <w:t xml:space="preserve"> is one made by the government. </w:t>
      </w:r>
      <w:r w:rsidR="00EE2BD2">
        <w:t>The Human Rights Act</w:t>
      </w:r>
      <w:r w:rsidRPr="00163A89">
        <w:t xml:space="preserve"> makes clear it is a matter for the parliament, not the government</w:t>
      </w:r>
      <w:r w:rsidR="00350616">
        <w:t>, to make such a significant declaration</w:t>
      </w:r>
      <w:r w:rsidRPr="00163A89">
        <w:t xml:space="preserve">. </w:t>
      </w:r>
    </w:p>
    <w:p w14:paraId="5535C304" w14:textId="34031C2B" w:rsidR="00C90591" w:rsidRPr="00C90591" w:rsidRDefault="00C90591" w:rsidP="0063115F">
      <w:pPr>
        <w:pStyle w:val="Heading2"/>
        <w:rPr>
          <w:lang w:val="en-US" w:eastAsia="en-AU"/>
        </w:rPr>
      </w:pPr>
      <w:bookmarkStart w:id="195" w:name="_Toc147757273"/>
      <w:bookmarkStart w:id="196" w:name="_Toc148086895"/>
      <w:r w:rsidRPr="00C90591">
        <w:rPr>
          <w:lang w:val="en-US" w:eastAsia="en-AU"/>
        </w:rPr>
        <w:t xml:space="preserve">Statements </w:t>
      </w:r>
      <w:bookmarkEnd w:id="185"/>
      <w:bookmarkEnd w:id="186"/>
      <w:bookmarkEnd w:id="187"/>
      <w:bookmarkEnd w:id="188"/>
      <w:bookmarkEnd w:id="189"/>
      <w:bookmarkEnd w:id="190"/>
      <w:bookmarkEnd w:id="191"/>
      <w:bookmarkEnd w:id="192"/>
      <w:bookmarkEnd w:id="193"/>
      <w:bookmarkEnd w:id="194"/>
      <w:r w:rsidR="00BB484C">
        <w:rPr>
          <w:lang w:val="en-US" w:eastAsia="en-AU"/>
        </w:rPr>
        <w:t>of compatibility</w:t>
      </w:r>
      <w:bookmarkEnd w:id="195"/>
      <w:bookmarkEnd w:id="196"/>
    </w:p>
    <w:p w14:paraId="0A87547C" w14:textId="695CCD7E" w:rsidR="00C90591" w:rsidRPr="00C90591" w:rsidRDefault="009B435F" w:rsidP="0063115F">
      <w:pPr>
        <w:rPr>
          <w:lang w:val="en-US"/>
        </w:rPr>
      </w:pPr>
      <w:r>
        <w:rPr>
          <w:lang w:val="en-US"/>
        </w:rPr>
        <w:t xml:space="preserve">The </w:t>
      </w:r>
      <w:r w:rsidR="00C90591" w:rsidRPr="00C90591">
        <w:rPr>
          <w:lang w:val="en-US"/>
        </w:rPr>
        <w:t xml:space="preserve">Queensland Parliament must scrutinise all proposed laws for compatibility with human rights. A member who introduces a </w:t>
      </w:r>
      <w:r w:rsidR="005D1216">
        <w:rPr>
          <w:lang w:val="en-US"/>
        </w:rPr>
        <w:t>B</w:t>
      </w:r>
      <w:r w:rsidR="00C46553">
        <w:rPr>
          <w:lang w:val="en-US"/>
        </w:rPr>
        <w:t>ill</w:t>
      </w:r>
      <w:r w:rsidR="00C90591" w:rsidRPr="00C90591">
        <w:rPr>
          <w:lang w:val="en-US"/>
        </w:rPr>
        <w:t xml:space="preserve"> must table a </w:t>
      </w:r>
      <w:r w:rsidR="00C46553">
        <w:rPr>
          <w:lang w:val="en-US"/>
        </w:rPr>
        <w:t>statement of compatibility</w:t>
      </w:r>
      <w:r w:rsidR="00C90591" w:rsidRPr="00C90591">
        <w:rPr>
          <w:lang w:val="en-US"/>
        </w:rPr>
        <w:t xml:space="preserve"> </w:t>
      </w:r>
      <w:r w:rsidR="0054745B">
        <w:rPr>
          <w:lang w:val="en-US"/>
        </w:rPr>
        <w:t>with</w:t>
      </w:r>
      <w:r w:rsidR="00C90591" w:rsidRPr="00C90591">
        <w:rPr>
          <w:lang w:val="en-US"/>
        </w:rPr>
        <w:t xml:space="preserve"> the </w:t>
      </w:r>
      <w:r w:rsidR="004530C3">
        <w:rPr>
          <w:lang w:val="en-US"/>
        </w:rPr>
        <w:t>B</w:t>
      </w:r>
      <w:r w:rsidR="00C46553">
        <w:rPr>
          <w:lang w:val="en-US"/>
        </w:rPr>
        <w:t>ill</w:t>
      </w:r>
      <w:r w:rsidR="00C90591" w:rsidRPr="00C90591">
        <w:rPr>
          <w:lang w:val="en-US"/>
        </w:rPr>
        <w:t xml:space="preserve">, and the responsible portfolio </w:t>
      </w:r>
      <w:r w:rsidR="00C25648">
        <w:rPr>
          <w:lang w:val="en-US"/>
        </w:rPr>
        <w:t>c</w:t>
      </w:r>
      <w:r w:rsidR="00C90591" w:rsidRPr="00C90591">
        <w:rPr>
          <w:lang w:val="en-US"/>
        </w:rPr>
        <w:t xml:space="preserve">ommittee must consider the </w:t>
      </w:r>
      <w:r w:rsidR="00A760FE">
        <w:rPr>
          <w:lang w:val="en-US"/>
        </w:rPr>
        <w:t>B</w:t>
      </w:r>
      <w:r w:rsidR="00C46553">
        <w:rPr>
          <w:lang w:val="en-US"/>
        </w:rPr>
        <w:t>ill</w:t>
      </w:r>
      <w:r w:rsidR="00C90591" w:rsidRPr="00C90591">
        <w:rPr>
          <w:lang w:val="en-US"/>
        </w:rPr>
        <w:t xml:space="preserve"> and report to the Legislative Assembly about any incompatibility with human rights. </w:t>
      </w:r>
    </w:p>
    <w:p w14:paraId="04E78985" w14:textId="1DA60F0A" w:rsidR="00A645BC" w:rsidRDefault="002629E8" w:rsidP="00A645BC">
      <w:pPr>
        <w:keepLines/>
        <w:widowControl w:val="0"/>
        <w:spacing w:after="160"/>
        <w:rPr>
          <w:rFonts w:eastAsia="Calibri" w:cs="Arial"/>
        </w:rPr>
      </w:pPr>
      <w:r w:rsidRPr="002629E8">
        <w:rPr>
          <w:rFonts w:eastAsia="Calibri" w:cs="Arial"/>
        </w:rPr>
        <w:t xml:space="preserve">There were 43 </w:t>
      </w:r>
      <w:r w:rsidR="002D7E1D">
        <w:rPr>
          <w:rFonts w:eastAsia="Calibri" w:cs="Arial"/>
        </w:rPr>
        <w:t>B</w:t>
      </w:r>
      <w:r w:rsidRPr="002629E8">
        <w:rPr>
          <w:rFonts w:eastAsia="Calibri" w:cs="Arial"/>
        </w:rPr>
        <w:t xml:space="preserve">ills introduced during the 2022–23 financial year that were accompanied by </w:t>
      </w:r>
      <w:r w:rsidR="00C46553">
        <w:rPr>
          <w:rFonts w:eastAsia="Calibri" w:cs="Arial"/>
        </w:rPr>
        <w:t>statements of compatibility</w:t>
      </w:r>
      <w:r w:rsidRPr="002629E8">
        <w:rPr>
          <w:rFonts w:eastAsia="Calibri" w:cs="Arial"/>
        </w:rPr>
        <w:t xml:space="preserve">. Of those, 23 were passed after consideration by portfolio committees (excluding appropriation and related </w:t>
      </w:r>
      <w:r w:rsidR="00EA7935">
        <w:rPr>
          <w:rFonts w:eastAsia="Calibri" w:cs="Arial"/>
        </w:rPr>
        <w:t>B</w:t>
      </w:r>
      <w:r w:rsidRPr="002629E8">
        <w:rPr>
          <w:rFonts w:eastAsia="Calibri" w:cs="Arial"/>
        </w:rPr>
        <w:t>ills).</w:t>
      </w:r>
      <w:r w:rsidRPr="002629E8">
        <w:rPr>
          <w:rFonts w:eastAsia="Calibri" w:cs="Arial"/>
          <w:vertAlign w:val="superscript"/>
        </w:rPr>
        <w:footnoteReference w:id="14"/>
      </w:r>
      <w:r w:rsidRPr="002629E8">
        <w:rPr>
          <w:rFonts w:eastAsia="Calibri" w:cs="Arial"/>
        </w:rPr>
        <w:t xml:space="preserve"> </w:t>
      </w:r>
    </w:p>
    <w:p w14:paraId="54E13AD1" w14:textId="4BF79EFA" w:rsidR="00A645BC" w:rsidRDefault="002629E8" w:rsidP="00A645BC">
      <w:pPr>
        <w:keepLines/>
        <w:widowControl w:val="0"/>
        <w:spacing w:after="160"/>
        <w:rPr>
          <w:rFonts w:eastAsia="Times New Roman" w:cs="Arial"/>
          <w:bCs/>
        </w:rPr>
      </w:pPr>
      <w:r w:rsidRPr="002629E8">
        <w:rPr>
          <w:rFonts w:eastAsia="Times New Roman" w:cs="Arial"/>
        </w:rPr>
        <w:t xml:space="preserve">Portfolio </w:t>
      </w:r>
      <w:r w:rsidR="00372D8B">
        <w:rPr>
          <w:rFonts w:eastAsia="Times New Roman" w:cs="Arial"/>
        </w:rPr>
        <w:t>c</w:t>
      </w:r>
      <w:r w:rsidRPr="002629E8">
        <w:rPr>
          <w:rFonts w:eastAsia="Times New Roman" w:cs="Arial"/>
        </w:rPr>
        <w:t xml:space="preserve">ommittees completed 29 inquiries into </w:t>
      </w:r>
      <w:r w:rsidR="00EA7935">
        <w:rPr>
          <w:rFonts w:eastAsia="Times New Roman" w:cs="Arial"/>
          <w:bCs/>
        </w:rPr>
        <w:t>B</w:t>
      </w:r>
      <w:r w:rsidR="00120F4A">
        <w:rPr>
          <w:rFonts w:eastAsia="Times New Roman" w:cs="Arial"/>
          <w:bCs/>
        </w:rPr>
        <w:t>ills</w:t>
      </w:r>
      <w:r w:rsidRPr="002629E8">
        <w:rPr>
          <w:rFonts w:eastAsia="Times New Roman" w:cs="Arial"/>
        </w:rPr>
        <w:t xml:space="preserve"> that were introduced in the parliament and then referred to </w:t>
      </w:r>
      <w:r w:rsidR="008331BC">
        <w:rPr>
          <w:rFonts w:eastAsia="Times New Roman" w:cs="Arial"/>
        </w:rPr>
        <w:t>c</w:t>
      </w:r>
      <w:r w:rsidRPr="002629E8">
        <w:rPr>
          <w:rFonts w:eastAsia="Times New Roman" w:cs="Arial"/>
        </w:rPr>
        <w:t>ommittees for examination during the report</w:t>
      </w:r>
      <w:r w:rsidR="009B6B2F">
        <w:rPr>
          <w:rFonts w:eastAsia="Times New Roman" w:cs="Arial"/>
        </w:rPr>
        <w:t>ing</w:t>
      </w:r>
      <w:r w:rsidRPr="002629E8">
        <w:rPr>
          <w:rFonts w:eastAsia="Times New Roman" w:cs="Arial"/>
        </w:rPr>
        <w:t xml:space="preserve"> period.</w:t>
      </w:r>
      <w:r w:rsidRPr="002629E8">
        <w:rPr>
          <w:rFonts w:eastAsia="Times New Roman" w:cs="Arial"/>
          <w:vertAlign w:val="superscript"/>
        </w:rPr>
        <w:footnoteReference w:id="15"/>
      </w:r>
      <w:r w:rsidRPr="002629E8">
        <w:rPr>
          <w:rFonts w:eastAsia="Times New Roman" w:cs="Arial"/>
          <w:bCs/>
        </w:rPr>
        <w:t xml:space="preserve"> </w:t>
      </w:r>
    </w:p>
    <w:p w14:paraId="4EED97C8" w14:textId="0585F203" w:rsidR="002629E8" w:rsidRPr="002629E8" w:rsidRDefault="002629E8" w:rsidP="00A645BC">
      <w:pPr>
        <w:keepLines/>
        <w:widowControl w:val="0"/>
        <w:spacing w:after="160"/>
        <w:rPr>
          <w:rFonts w:eastAsia="Calibri" w:cs="Arial"/>
        </w:rPr>
      </w:pPr>
      <w:r w:rsidRPr="002629E8">
        <w:rPr>
          <w:rFonts w:eastAsia="Times New Roman" w:cs="Arial"/>
          <w:bCs/>
        </w:rPr>
        <w:t xml:space="preserve">These </w:t>
      </w:r>
      <w:r w:rsidR="004D1EFD">
        <w:rPr>
          <w:rFonts w:eastAsia="Times New Roman" w:cs="Arial"/>
          <w:bCs/>
        </w:rPr>
        <w:t>c</w:t>
      </w:r>
      <w:r w:rsidRPr="002629E8">
        <w:rPr>
          <w:rFonts w:eastAsia="Times New Roman" w:cs="Arial"/>
          <w:bCs/>
        </w:rPr>
        <w:t xml:space="preserve">ommittees completed an additional 6 reports for </w:t>
      </w:r>
      <w:r w:rsidR="000A52C4">
        <w:rPr>
          <w:rFonts w:eastAsia="Times New Roman" w:cs="Arial"/>
          <w:bCs/>
        </w:rPr>
        <w:t>B</w:t>
      </w:r>
      <w:r w:rsidRPr="002629E8">
        <w:rPr>
          <w:rFonts w:eastAsia="Times New Roman" w:cs="Arial"/>
          <w:bCs/>
        </w:rPr>
        <w:t>ills introduced in previous years.</w:t>
      </w:r>
      <w:r w:rsidRPr="002629E8">
        <w:rPr>
          <w:rFonts w:eastAsia="Times New Roman" w:cs="Arial"/>
          <w:bCs/>
          <w:vertAlign w:val="superscript"/>
        </w:rPr>
        <w:footnoteReference w:id="16"/>
      </w:r>
      <w:r w:rsidRPr="002629E8">
        <w:rPr>
          <w:rFonts w:eastAsia="Times New Roman" w:cs="Arial"/>
          <w:bCs/>
        </w:rPr>
        <w:t xml:space="preserve"> All but </w:t>
      </w:r>
      <w:r w:rsidR="004C0536">
        <w:rPr>
          <w:rFonts w:eastAsia="Times New Roman" w:cs="Arial"/>
          <w:bCs/>
        </w:rPr>
        <w:t>7</w:t>
      </w:r>
      <w:r w:rsidRPr="002629E8">
        <w:rPr>
          <w:rFonts w:eastAsia="Times New Roman" w:cs="Arial"/>
          <w:bCs/>
        </w:rPr>
        <w:t xml:space="preserve"> of </w:t>
      </w:r>
      <w:r w:rsidR="00FE26EB">
        <w:rPr>
          <w:rFonts w:eastAsia="Times New Roman" w:cs="Arial"/>
          <w:bCs/>
        </w:rPr>
        <w:t>the</w:t>
      </w:r>
      <w:r w:rsidR="00FE26EB" w:rsidRPr="002629E8">
        <w:rPr>
          <w:rFonts w:eastAsia="Times New Roman" w:cs="Arial"/>
          <w:bCs/>
        </w:rPr>
        <w:t xml:space="preserve"> </w:t>
      </w:r>
      <w:r w:rsidR="00792396">
        <w:rPr>
          <w:rFonts w:eastAsia="Times New Roman" w:cs="Arial"/>
          <w:bCs/>
        </w:rPr>
        <w:t>B</w:t>
      </w:r>
      <w:r w:rsidRPr="002629E8">
        <w:rPr>
          <w:rFonts w:eastAsia="Times New Roman" w:cs="Arial"/>
          <w:bCs/>
        </w:rPr>
        <w:t>ills subject to committee inquiry passed during the reporting period.</w:t>
      </w:r>
      <w:r w:rsidRPr="002629E8">
        <w:rPr>
          <w:rFonts w:eastAsia="Times New Roman" w:cs="Arial"/>
          <w:bCs/>
          <w:vertAlign w:val="superscript"/>
        </w:rPr>
        <w:footnoteReference w:id="17"/>
      </w:r>
    </w:p>
    <w:p w14:paraId="098E3DA9" w14:textId="383487E8" w:rsidR="004C0536" w:rsidRDefault="00C90591" w:rsidP="0063115F">
      <w:r w:rsidRPr="00C90591">
        <w:t xml:space="preserve">Statements </w:t>
      </w:r>
      <w:r w:rsidR="00F1018C">
        <w:t xml:space="preserve">of </w:t>
      </w:r>
      <w:r w:rsidR="002A553B">
        <w:t>c</w:t>
      </w:r>
      <w:r w:rsidR="00F1018C">
        <w:t>ompatibility</w:t>
      </w:r>
      <w:r w:rsidRPr="00C90591">
        <w:t xml:space="preserve"> must </w:t>
      </w:r>
      <w:r w:rsidR="00A77E62">
        <w:t xml:space="preserve">state whether </w:t>
      </w:r>
      <w:r w:rsidR="007B1312">
        <w:t xml:space="preserve">the Bill is compatible with human rights and how it is compatible. </w:t>
      </w:r>
      <w:r w:rsidR="00D06C48">
        <w:t xml:space="preserve">If not compatible, </w:t>
      </w:r>
      <w:r w:rsidR="00F2573A">
        <w:t xml:space="preserve">the </w:t>
      </w:r>
      <w:r w:rsidR="002E63ED">
        <w:t>s</w:t>
      </w:r>
      <w:r w:rsidR="00F2573A">
        <w:t>tatement</w:t>
      </w:r>
      <w:r w:rsidR="006B0EAA">
        <w:t xml:space="preserve"> of compatibility</w:t>
      </w:r>
      <w:r w:rsidR="0071792A">
        <w:t xml:space="preserve"> </w:t>
      </w:r>
      <w:r w:rsidR="003A0C7A">
        <w:t>must explain the nature and extent of the incompatibility</w:t>
      </w:r>
      <w:r w:rsidR="00F159FB">
        <w:t xml:space="preserve"> and provide detailed reasons and justification </w:t>
      </w:r>
      <w:r w:rsidR="00353D7A">
        <w:t>for the impact on</w:t>
      </w:r>
      <w:r w:rsidR="00A12667">
        <w:t xml:space="preserve"> human rights</w:t>
      </w:r>
      <w:r w:rsidR="003A0C7A">
        <w:t xml:space="preserve">. </w:t>
      </w:r>
      <w:r w:rsidRPr="00C90591">
        <w:rPr>
          <w:i/>
          <w:iCs/>
        </w:rPr>
        <w:t>The Queensland Legislation Handbook</w:t>
      </w:r>
      <w:r w:rsidRPr="00C90591">
        <w:rPr>
          <w:vertAlign w:val="superscript"/>
        </w:rPr>
        <w:footnoteReference w:id="18"/>
      </w:r>
      <w:r w:rsidRPr="00C90591">
        <w:t xml:space="preserve"> provides guidance and a template for </w:t>
      </w:r>
      <w:r w:rsidR="00C04185">
        <w:t xml:space="preserve">a </w:t>
      </w:r>
      <w:r w:rsidR="002E63ED">
        <w:t>s</w:t>
      </w:r>
      <w:r w:rsidRPr="00C90591">
        <w:t>tatement</w:t>
      </w:r>
      <w:r w:rsidR="006B0EAA">
        <w:t xml:space="preserve"> of compatibility</w:t>
      </w:r>
      <w:r w:rsidRPr="00C90591">
        <w:t xml:space="preserve"> </w:t>
      </w:r>
      <w:r w:rsidR="00123E5D">
        <w:t xml:space="preserve">to be completed </w:t>
      </w:r>
      <w:r w:rsidRPr="00C90591">
        <w:t>by the relevant department. The</w:t>
      </w:r>
      <w:r w:rsidR="004C0536">
        <w:t>se</w:t>
      </w:r>
      <w:r w:rsidRPr="00C90591">
        <w:t xml:space="preserve"> statements</w:t>
      </w:r>
      <w:r w:rsidR="004C0536">
        <w:t>:</w:t>
      </w:r>
    </w:p>
    <w:p w14:paraId="25EB3EED" w14:textId="0235E758" w:rsidR="004C0536" w:rsidRDefault="00C90591" w:rsidP="004C0536">
      <w:pPr>
        <w:pStyle w:val="Listparagraph-bulleted"/>
      </w:pPr>
      <w:r w:rsidRPr="00C90591">
        <w:t>set out the human rights issues, including which human rights are engaged or are of relevance</w:t>
      </w:r>
    </w:p>
    <w:p w14:paraId="764481E3" w14:textId="19D722A2" w:rsidR="00C90591" w:rsidRPr="00C90591" w:rsidRDefault="00C90591" w:rsidP="004C0536">
      <w:pPr>
        <w:pStyle w:val="Listparagraph-bulleted"/>
      </w:pPr>
      <w:r w:rsidRPr="00C90591">
        <w:t xml:space="preserve">explain how the legislation meets the proportionality test in section 13 of </w:t>
      </w:r>
      <w:r w:rsidR="00EE2BD2">
        <w:t>the Human Rights Act</w:t>
      </w:r>
      <w:r w:rsidRPr="00C90591">
        <w:t>, which allows for rights to be subject to reasonable limits that can be demonstrably justified in a free and democratic society based on human dignity, equality, and freedom.</w:t>
      </w:r>
    </w:p>
    <w:p w14:paraId="4F078E4B" w14:textId="77777777" w:rsidR="00CB3FE3" w:rsidRDefault="00CB3FE3">
      <w:pPr>
        <w:spacing w:after="160" w:line="259" w:lineRule="auto"/>
        <w:ind w:right="0"/>
        <w:rPr>
          <w:rFonts w:eastAsiaTheme="majorEastAsia" w:cstheme="majorBidi"/>
          <w:iCs/>
          <w:color w:val="347B9F"/>
          <w:sz w:val="48"/>
          <w:szCs w:val="32"/>
          <w:lang w:eastAsia="en-AU"/>
        </w:rPr>
      </w:pPr>
      <w:bookmarkStart w:id="197" w:name="_Toc1774781496"/>
      <w:bookmarkStart w:id="198" w:name="_Toc117697130"/>
      <w:bookmarkStart w:id="199" w:name="_Toc147757275"/>
      <w:bookmarkStart w:id="200" w:name="_Toc148086896"/>
      <w:r>
        <w:rPr>
          <w:lang w:eastAsia="en-AU"/>
        </w:rPr>
        <w:br w:type="page"/>
      </w:r>
    </w:p>
    <w:p w14:paraId="0D698B95" w14:textId="358F2191" w:rsidR="00C90591" w:rsidRPr="00C90591" w:rsidRDefault="00AD3E0E" w:rsidP="0019117B">
      <w:pPr>
        <w:pStyle w:val="Heading1"/>
        <w:rPr>
          <w:lang w:eastAsia="en-AU"/>
        </w:rPr>
      </w:pPr>
      <w:r>
        <w:rPr>
          <w:lang w:eastAsia="en-AU"/>
        </w:rPr>
        <w:t>Human rights indicators</w:t>
      </w:r>
      <w:bookmarkEnd w:id="197"/>
      <w:bookmarkEnd w:id="198"/>
      <w:bookmarkEnd w:id="199"/>
      <w:bookmarkEnd w:id="200"/>
    </w:p>
    <w:p w14:paraId="251C7CF1" w14:textId="7068E88A" w:rsidR="00C90591" w:rsidRPr="00C90591" w:rsidRDefault="008F1E33" w:rsidP="00427713">
      <w:pPr>
        <w:ind w:right="1286"/>
        <w:rPr>
          <w:rFonts w:eastAsia="Calibri"/>
        </w:rPr>
      </w:pPr>
      <w:r>
        <w:t>T</w:t>
      </w:r>
      <w:r w:rsidR="00C90591" w:rsidRPr="00C90591">
        <w:t xml:space="preserve">he dialogue model adopted in </w:t>
      </w:r>
      <w:r w:rsidR="00EE2BD2">
        <w:t>the Human Rights Act</w:t>
      </w:r>
      <w:r w:rsidR="00C90591" w:rsidRPr="00C90591">
        <w:t xml:space="preserve"> </w:t>
      </w:r>
      <w:r w:rsidR="00C110D6">
        <w:t xml:space="preserve">aims to </w:t>
      </w:r>
      <w:r w:rsidR="005F5D3D">
        <w:t xml:space="preserve">promote a dialogue about human rights between the three </w:t>
      </w:r>
      <w:r w:rsidR="00465524">
        <w:t xml:space="preserve">arms of </w:t>
      </w:r>
      <w:r w:rsidR="00C46EC3">
        <w:t xml:space="preserve">government </w:t>
      </w:r>
      <w:r w:rsidR="008D6696">
        <w:t>(the legislature, executive, and judiciary)</w:t>
      </w:r>
      <w:r w:rsidR="00C90591" w:rsidRPr="00C90591">
        <w:t xml:space="preserve"> </w:t>
      </w:r>
      <w:r w:rsidR="004769D5">
        <w:t xml:space="preserve">with each arm having a </w:t>
      </w:r>
      <w:r w:rsidR="00344E02">
        <w:t>‘</w:t>
      </w:r>
      <w:r w:rsidR="004769D5">
        <w:t xml:space="preserve">legitimate role to play, </w:t>
      </w:r>
      <w:r w:rsidR="00F914B9">
        <w:t>while parliament maintains sovereignty’.</w:t>
      </w:r>
      <w:r w:rsidR="008D1D71">
        <w:rPr>
          <w:rStyle w:val="FootnoteReference"/>
        </w:rPr>
        <w:footnoteReference w:id="19"/>
      </w:r>
      <w:r w:rsidR="0081031E">
        <w:t xml:space="preserve"> This model </w:t>
      </w:r>
      <w:r w:rsidR="00C90591" w:rsidRPr="00C90591">
        <w:t xml:space="preserve">prioritises discussion, awareness-raising, and education over an enforcement and compliance model, </w:t>
      </w:r>
      <w:r w:rsidR="002F123D">
        <w:t xml:space="preserve">and </w:t>
      </w:r>
      <w:r w:rsidR="00C90591" w:rsidRPr="003F0100">
        <w:t>support</w:t>
      </w:r>
      <w:r w:rsidR="002F123D">
        <w:t>s</w:t>
      </w:r>
      <w:r w:rsidR="007D49AB">
        <w:t xml:space="preserve"> the</w:t>
      </w:r>
      <w:r w:rsidR="00C90591" w:rsidRPr="00C90591">
        <w:t xml:space="preserve"> goal of gradually </w:t>
      </w:r>
      <w:r w:rsidR="000B3818" w:rsidRPr="00C90591">
        <w:t xml:space="preserve">building </w:t>
      </w:r>
      <w:r w:rsidR="00C90591" w:rsidRPr="00C90591">
        <w:t xml:space="preserve">a human rights culture. </w:t>
      </w:r>
    </w:p>
    <w:p w14:paraId="50F1EAAA" w14:textId="19C27E3F" w:rsidR="00C90591" w:rsidRPr="00C90591" w:rsidRDefault="00C90591" w:rsidP="00427713">
      <w:pPr>
        <w:ind w:right="1286"/>
        <w:rPr>
          <w:rFonts w:eastAsia="Calibri"/>
        </w:rPr>
      </w:pPr>
      <w:r w:rsidRPr="00C90591">
        <w:t>The</w:t>
      </w:r>
      <w:r w:rsidRPr="00C90591">
        <w:rPr>
          <w:rFonts w:eastAsia="Calibri"/>
        </w:rPr>
        <w:t xml:space="preserve"> Commission has developed a set of indicators </w:t>
      </w:r>
      <w:r w:rsidR="00C2611A">
        <w:rPr>
          <w:rFonts w:eastAsia="Calibri"/>
        </w:rPr>
        <w:t xml:space="preserve">to </w:t>
      </w:r>
      <w:r w:rsidR="00EF4016">
        <w:rPr>
          <w:rFonts w:eastAsia="Calibri"/>
        </w:rPr>
        <w:t xml:space="preserve">gauge </w:t>
      </w:r>
      <w:r w:rsidR="00EB76AD">
        <w:rPr>
          <w:rFonts w:eastAsia="Calibri"/>
        </w:rPr>
        <w:t>the development of</w:t>
      </w:r>
      <w:r w:rsidRPr="00C90591">
        <w:rPr>
          <w:rFonts w:eastAsia="Calibri"/>
        </w:rPr>
        <w:t xml:space="preserve"> a human rights culture within the parliament. These indicators are based on the experiences of other human rights jurisdictions and the specific role portfolio </w:t>
      </w:r>
      <w:r w:rsidR="00716CB1">
        <w:rPr>
          <w:rFonts w:eastAsia="Calibri"/>
        </w:rPr>
        <w:t>c</w:t>
      </w:r>
      <w:r w:rsidRPr="00C90591">
        <w:rPr>
          <w:rFonts w:eastAsia="Calibri"/>
        </w:rPr>
        <w:t>ommittees play in Queensland’s unicameral parliament.</w:t>
      </w:r>
      <w:r w:rsidR="0005738B">
        <w:rPr>
          <w:rStyle w:val="FootnoteReference"/>
          <w:rFonts w:eastAsia="Calibri"/>
        </w:rPr>
        <w:footnoteReference w:id="20"/>
      </w:r>
      <w:r w:rsidRPr="00C90591">
        <w:rPr>
          <w:rFonts w:eastAsia="Calibri"/>
        </w:rPr>
        <w:t xml:space="preserve"> </w:t>
      </w:r>
    </w:p>
    <w:p w14:paraId="6BC44FAD" w14:textId="5571E93D" w:rsidR="00C90591" w:rsidRPr="00C90591" w:rsidRDefault="00C90591" w:rsidP="00427713">
      <w:pPr>
        <w:ind w:right="1286"/>
        <w:rPr>
          <w:lang w:val="en-US"/>
        </w:rPr>
      </w:pPr>
      <w:r w:rsidRPr="00C90591">
        <w:rPr>
          <w:lang w:val="en-US"/>
        </w:rPr>
        <w:t xml:space="preserve">The Queensland Parliament is uniquely placed to assess the human rights implications of proposed legislation. It is a democratic body, representing the Queensland community, with the power to call on expert evidence and advice. </w:t>
      </w:r>
      <w:r w:rsidR="00643DBD">
        <w:rPr>
          <w:lang w:val="en-US"/>
        </w:rPr>
        <w:t>However,</w:t>
      </w:r>
      <w:r w:rsidR="00643DBD" w:rsidRPr="00C90591">
        <w:rPr>
          <w:lang w:val="en-US"/>
        </w:rPr>
        <w:t xml:space="preserve"> </w:t>
      </w:r>
      <w:r w:rsidRPr="00C90591">
        <w:rPr>
          <w:lang w:val="en-US"/>
        </w:rPr>
        <w:t xml:space="preserve">assessing the efficacy of parliamentary human rights </w:t>
      </w:r>
      <w:r w:rsidR="00643DBD" w:rsidRPr="00C90591">
        <w:rPr>
          <w:lang w:val="en-US"/>
        </w:rPr>
        <w:t>scrutiny involves</w:t>
      </w:r>
      <w:r w:rsidRPr="00C90591">
        <w:rPr>
          <w:lang w:val="en-US"/>
        </w:rPr>
        <w:t xml:space="preserve"> complex weighing of </w:t>
      </w:r>
      <w:r w:rsidR="00D81F7F">
        <w:rPr>
          <w:lang w:val="en-US"/>
        </w:rPr>
        <w:t>a range</w:t>
      </w:r>
      <w:r w:rsidR="009E09FC">
        <w:rPr>
          <w:lang w:val="en-US"/>
        </w:rPr>
        <w:t xml:space="preserve"> of</w:t>
      </w:r>
      <w:r w:rsidR="00D81F7F" w:rsidRPr="00C90591">
        <w:rPr>
          <w:lang w:val="en-US"/>
        </w:rPr>
        <w:t xml:space="preserve"> </w:t>
      </w:r>
      <w:r w:rsidRPr="00C90591">
        <w:rPr>
          <w:lang w:val="en-US"/>
        </w:rPr>
        <w:t xml:space="preserve">public interests and the impact on society of a proposed law. </w:t>
      </w:r>
    </w:p>
    <w:p w14:paraId="65318A78" w14:textId="67120326" w:rsidR="00C90591" w:rsidRPr="00C90591" w:rsidRDefault="00C90591" w:rsidP="00427713">
      <w:pPr>
        <w:ind w:right="1286"/>
        <w:rPr>
          <w:lang w:val="en-US"/>
        </w:rPr>
      </w:pPr>
      <w:r w:rsidRPr="00C90591">
        <w:rPr>
          <w:lang w:val="en-US"/>
        </w:rPr>
        <w:t xml:space="preserve">The Commission is grateful for the opportunity to make submissions and appear before portfolio committees </w:t>
      </w:r>
      <w:r w:rsidR="004B3DE5" w:rsidRPr="004B3DE5">
        <w:rPr>
          <w:lang w:val="en-US"/>
        </w:rPr>
        <w:t>and</w:t>
      </w:r>
      <w:r w:rsidR="00A528F8">
        <w:rPr>
          <w:lang w:val="en-US"/>
        </w:rPr>
        <w:t>,</w:t>
      </w:r>
      <w:r w:rsidR="004B3DE5" w:rsidRPr="004B3DE5">
        <w:rPr>
          <w:lang w:val="en-US"/>
        </w:rPr>
        <w:t xml:space="preserve"> in our experience, committees are generally open to hearing about human rights issues arising </w:t>
      </w:r>
      <w:r w:rsidR="002D3D7B">
        <w:rPr>
          <w:lang w:val="en-US"/>
        </w:rPr>
        <w:t>in</w:t>
      </w:r>
      <w:r w:rsidR="002D3D7B" w:rsidRPr="004B3DE5">
        <w:rPr>
          <w:lang w:val="en-US"/>
        </w:rPr>
        <w:t xml:space="preserve"> </w:t>
      </w:r>
      <w:r w:rsidR="002D3D7B">
        <w:rPr>
          <w:lang w:val="en-US"/>
        </w:rPr>
        <w:t>B</w:t>
      </w:r>
      <w:r w:rsidR="00A20E8B">
        <w:rPr>
          <w:lang w:val="en-US"/>
        </w:rPr>
        <w:t>ills</w:t>
      </w:r>
      <w:r w:rsidR="004B3DE5" w:rsidRPr="004B3DE5">
        <w:rPr>
          <w:lang w:val="en-US"/>
        </w:rPr>
        <w:t xml:space="preserve"> and during inquirie</w:t>
      </w:r>
      <w:r w:rsidR="005163D1">
        <w:rPr>
          <w:lang w:val="en-US"/>
        </w:rPr>
        <w:t>s</w:t>
      </w:r>
      <w:r w:rsidRPr="00C90591">
        <w:rPr>
          <w:lang w:val="en-US"/>
        </w:rPr>
        <w:t>. The Commission acknowledges the critical work of committee members, staff</w:t>
      </w:r>
      <w:r w:rsidR="005A0695">
        <w:rPr>
          <w:lang w:val="en-US"/>
        </w:rPr>
        <w:t>,</w:t>
      </w:r>
      <w:r w:rsidRPr="00C90591">
        <w:rPr>
          <w:lang w:val="en-US"/>
        </w:rPr>
        <w:t xml:space="preserve"> and advisers in building a human rights culture in Queensland. </w:t>
      </w:r>
    </w:p>
    <w:p w14:paraId="389A09B7" w14:textId="226C744B" w:rsidR="00C90591" w:rsidRPr="00C90591" w:rsidRDefault="00C90591" w:rsidP="00427713">
      <w:pPr>
        <w:ind w:right="1286"/>
        <w:rPr>
          <w:lang w:val="en-US"/>
        </w:rPr>
      </w:pPr>
      <w:r w:rsidRPr="00C90591">
        <w:rPr>
          <w:lang w:val="en-US"/>
        </w:rPr>
        <w:t xml:space="preserve">The observations in this </w:t>
      </w:r>
      <w:r w:rsidR="008B0F97">
        <w:rPr>
          <w:lang w:val="en-US"/>
        </w:rPr>
        <w:t>r</w:t>
      </w:r>
      <w:r w:rsidRPr="00C90591">
        <w:rPr>
          <w:lang w:val="en-US"/>
        </w:rPr>
        <w:t xml:space="preserve">eport are not based on the Commission’s </w:t>
      </w:r>
      <w:r w:rsidR="00FF2357">
        <w:rPr>
          <w:lang w:val="en-US"/>
        </w:rPr>
        <w:t xml:space="preserve">direct </w:t>
      </w:r>
      <w:r w:rsidRPr="00C90591">
        <w:rPr>
          <w:lang w:val="en-US"/>
        </w:rPr>
        <w:t>experience</w:t>
      </w:r>
      <w:r w:rsidR="00FF2357">
        <w:rPr>
          <w:lang w:val="en-US"/>
        </w:rPr>
        <w:t>s</w:t>
      </w:r>
      <w:r w:rsidRPr="00C90591">
        <w:rPr>
          <w:lang w:val="en-US"/>
        </w:rPr>
        <w:t xml:space="preserve"> of the parliamentary scrutiny system, but </w:t>
      </w:r>
      <w:r w:rsidR="00FF2357">
        <w:rPr>
          <w:lang w:val="en-US"/>
        </w:rPr>
        <w:t xml:space="preserve">are </w:t>
      </w:r>
      <w:r w:rsidRPr="00C90591">
        <w:rPr>
          <w:lang w:val="en-US"/>
        </w:rPr>
        <w:t>primarily drawn from the portfolio committee reports, submissions made to committees, statements of compatibility</w:t>
      </w:r>
      <w:r w:rsidR="005A0695">
        <w:rPr>
          <w:lang w:val="en-US"/>
        </w:rPr>
        <w:t>,</w:t>
      </w:r>
      <w:r w:rsidRPr="00C90591">
        <w:rPr>
          <w:lang w:val="en-US"/>
        </w:rPr>
        <w:t xml:space="preserve"> and parliamentary debate. </w:t>
      </w:r>
    </w:p>
    <w:p w14:paraId="5452B359" w14:textId="1B547063" w:rsidR="00C90591" w:rsidRPr="00C90591" w:rsidRDefault="00C90591" w:rsidP="00427713">
      <w:pPr>
        <w:ind w:right="1286"/>
        <w:rPr>
          <w:rFonts w:eastAsia="Calibri"/>
        </w:rPr>
      </w:pPr>
      <w:r w:rsidRPr="00C90591">
        <w:rPr>
          <w:rFonts w:eastAsia="Calibri"/>
        </w:rPr>
        <w:t xml:space="preserve">These indicators explore the extent to which legislation is assessed for human rights compatibility, the adequacy of </w:t>
      </w:r>
      <w:r w:rsidR="00A20E8B">
        <w:rPr>
          <w:rFonts w:eastAsia="Calibri"/>
        </w:rPr>
        <w:t>statements of compatibility</w:t>
      </w:r>
      <w:r w:rsidRPr="00C90591">
        <w:rPr>
          <w:rFonts w:eastAsia="Calibri"/>
        </w:rPr>
        <w:t xml:space="preserve">, and how this is discussed through the parliamentary process. </w:t>
      </w:r>
      <w:r w:rsidR="00363853">
        <w:rPr>
          <w:rFonts w:eastAsia="Calibri"/>
        </w:rPr>
        <w:t>The</w:t>
      </w:r>
      <w:r w:rsidRPr="00C90591">
        <w:rPr>
          <w:rFonts w:eastAsia="Calibri"/>
        </w:rPr>
        <w:t xml:space="preserve"> indicators do not judge </w:t>
      </w:r>
      <w:r w:rsidR="00E13C1D">
        <w:rPr>
          <w:rFonts w:eastAsia="Calibri"/>
        </w:rPr>
        <w:t>whether</w:t>
      </w:r>
      <w:r w:rsidR="00E13C1D" w:rsidRPr="00C90591">
        <w:rPr>
          <w:rFonts w:eastAsia="Calibri"/>
        </w:rPr>
        <w:t xml:space="preserve"> </w:t>
      </w:r>
      <w:r w:rsidRPr="00C90591">
        <w:rPr>
          <w:rFonts w:eastAsia="Calibri"/>
        </w:rPr>
        <w:t xml:space="preserve">a </w:t>
      </w:r>
      <w:r w:rsidR="002D3D7B">
        <w:rPr>
          <w:rFonts w:eastAsia="Calibri"/>
        </w:rPr>
        <w:t>B</w:t>
      </w:r>
      <w:r w:rsidR="00A20E8B">
        <w:rPr>
          <w:rFonts w:eastAsia="Calibri"/>
        </w:rPr>
        <w:t>ill</w:t>
      </w:r>
      <w:r w:rsidR="00363853" w:rsidRPr="00C90591">
        <w:rPr>
          <w:rFonts w:eastAsia="Calibri"/>
        </w:rPr>
        <w:t xml:space="preserve"> </w:t>
      </w:r>
      <w:r w:rsidRPr="00C90591">
        <w:rPr>
          <w:rFonts w:eastAsia="Calibri"/>
        </w:rPr>
        <w:t xml:space="preserve">is compatible or </w:t>
      </w:r>
      <w:r w:rsidR="00AE1BDD">
        <w:rPr>
          <w:rFonts w:eastAsia="Calibri"/>
        </w:rPr>
        <w:t>not</w:t>
      </w:r>
      <w:r w:rsidRPr="00C90591">
        <w:rPr>
          <w:rFonts w:eastAsia="Calibri"/>
        </w:rPr>
        <w:t xml:space="preserve">. </w:t>
      </w:r>
      <w:r w:rsidR="00AE1BDD">
        <w:rPr>
          <w:rFonts w:eastAsia="Calibri"/>
        </w:rPr>
        <w:t>Rather</w:t>
      </w:r>
      <w:r w:rsidRPr="00C90591">
        <w:rPr>
          <w:rFonts w:eastAsia="Calibri"/>
        </w:rPr>
        <w:t>, they</w:t>
      </w:r>
      <w:r w:rsidRPr="00C90591" w:rsidDel="00A24D4D">
        <w:rPr>
          <w:rFonts w:eastAsia="Calibri"/>
        </w:rPr>
        <w:t xml:space="preserve"> </w:t>
      </w:r>
      <w:r w:rsidRPr="00C90591">
        <w:rPr>
          <w:rFonts w:eastAsia="Calibri"/>
        </w:rPr>
        <w:t xml:space="preserve">capture how concerns </w:t>
      </w:r>
      <w:r w:rsidR="00363853">
        <w:rPr>
          <w:rFonts w:eastAsia="Calibri"/>
        </w:rPr>
        <w:t>about human rights compatibility</w:t>
      </w:r>
      <w:r w:rsidRPr="00C90591">
        <w:rPr>
          <w:rFonts w:eastAsia="Calibri"/>
        </w:rPr>
        <w:t xml:space="preserve"> are raised through the scrutiny process</w:t>
      </w:r>
      <w:r w:rsidR="004C3610">
        <w:rPr>
          <w:rFonts w:eastAsia="Calibri"/>
        </w:rPr>
        <w:t>es</w:t>
      </w:r>
      <w:r w:rsidRPr="00C90591">
        <w:rPr>
          <w:rFonts w:eastAsia="Calibri"/>
        </w:rPr>
        <w:t xml:space="preserve"> used in Queensland, and if such concerns are robustly debated in the parliament. </w:t>
      </w:r>
    </w:p>
    <w:p w14:paraId="03B73A3F" w14:textId="77777777" w:rsidR="00C90591" w:rsidRPr="00C90591" w:rsidRDefault="00C90591" w:rsidP="00427713">
      <w:pPr>
        <w:keepLines/>
        <w:widowControl w:val="0"/>
        <w:spacing w:after="160" w:line="259" w:lineRule="auto"/>
        <w:ind w:right="1286"/>
        <w:rPr>
          <w:rFonts w:eastAsia="Calibri" w:cs="Arial"/>
          <w:sz w:val="24"/>
          <w:szCs w:val="24"/>
        </w:rPr>
      </w:pPr>
      <w:r w:rsidRPr="00C90591">
        <w:rPr>
          <w:rFonts w:eastAsia="Calibri" w:cs="Arial"/>
          <w:sz w:val="24"/>
          <w:szCs w:val="24"/>
        </w:rPr>
        <w:br w:type="page"/>
      </w:r>
    </w:p>
    <w:p w14:paraId="27423F5B" w14:textId="3652633E" w:rsidR="00C90591" w:rsidRPr="001D5577" w:rsidRDefault="00C90591" w:rsidP="00C90591">
      <w:pPr>
        <w:keepLines/>
        <w:widowControl w:val="0"/>
        <w:spacing w:before="240" w:line="288" w:lineRule="auto"/>
        <w:ind w:right="2275"/>
        <w:rPr>
          <w:rFonts w:eastAsia="Arial" w:cs="Arial"/>
          <w:i/>
          <w:color w:val="383D41"/>
          <w:szCs w:val="18"/>
        </w:rPr>
      </w:pPr>
      <w:r w:rsidRPr="00F245D1">
        <w:rPr>
          <w:rFonts w:eastAsia="Yu Mincho" w:cs="Arial"/>
          <w:i/>
          <w:noProof/>
          <w:color w:val="383D41"/>
          <w:szCs w:val="18"/>
          <w:shd w:val="clear" w:color="auto" w:fill="E6E6E6"/>
          <w:lang w:eastAsia="en-AU"/>
        </w:rPr>
        <w:drawing>
          <wp:anchor distT="0" distB="0" distL="114300" distR="114300" simplePos="0" relativeHeight="251658246" behindDoc="0" locked="0" layoutInCell="1" allowOverlap="1" wp14:anchorId="4C5BA89F" wp14:editId="517DB054">
            <wp:simplePos x="0" y="0"/>
            <wp:positionH relativeFrom="margin">
              <wp:align>left</wp:align>
            </wp:positionH>
            <wp:positionV relativeFrom="paragraph">
              <wp:posOffset>213973</wp:posOffset>
            </wp:positionV>
            <wp:extent cx="3825024" cy="8308428"/>
            <wp:effectExtent l="0" t="0" r="4445" b="0"/>
            <wp:wrapTopAndBottom/>
            <wp:docPr id="1875766938" name="Picture 1875766938" descr="This timeline shows the parliamentary indicators mapped against the usual processes a Bill follows, in the following order: &#10;- Bill introduced to Parliament&#10;- Indicator 1: Override Declarations &#10;- Indicator 2: Referrals to Committee &#10;- Referred to Committee &#10;- Indicator 3: Incompatibility acknowledged by introducing member &#10;- Indicator 4: Committee examination of incompatibility &#10;- Indicator 5: Critique of Statements of Compatibility&#10;- Indicator 6: Additional information received by Committee &#10;- Committee reports back to Parliament &#10;- Indicator 7: Committee recommendations about human rights &#10;- Indicator 8: Introducing member responded to report by providing further information &#10;- Indicator 9: Bill amended as a result of report &#10;- Bill finalised " title="Figure 2: Indicators of parliamentary human rights culture diagr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825024" cy="8308428"/>
                    </a:xfrm>
                    <a:prstGeom prst="rect">
                      <a:avLst/>
                    </a:prstGeom>
                  </pic:spPr>
                </pic:pic>
              </a:graphicData>
            </a:graphic>
            <wp14:sizeRelH relativeFrom="page">
              <wp14:pctWidth>0</wp14:pctWidth>
            </wp14:sizeRelH>
            <wp14:sizeRelV relativeFrom="page">
              <wp14:pctHeight>0</wp14:pctHeight>
            </wp14:sizeRelV>
          </wp:anchor>
        </w:drawing>
      </w:r>
      <w:r w:rsidRPr="00F245D1">
        <w:rPr>
          <w:rFonts w:eastAsia="Yu Mincho" w:cs="Arial"/>
          <w:i/>
          <w:color w:val="383D41"/>
          <w:szCs w:val="18"/>
        </w:rPr>
        <w:t>Figure 2: Indicators of parliamentary human rights culture diagram</w:t>
      </w:r>
      <w:r w:rsidRPr="001D5577">
        <w:rPr>
          <w:rFonts w:eastAsia="Yu Mincho" w:cs="Arial"/>
          <w:i/>
          <w:color w:val="383D41"/>
          <w:szCs w:val="18"/>
        </w:rPr>
        <w:t xml:space="preserve"> </w:t>
      </w:r>
    </w:p>
    <w:p w14:paraId="33854FF0" w14:textId="11685564" w:rsidR="00C90591" w:rsidRPr="00C90591" w:rsidRDefault="00C90591" w:rsidP="00650033">
      <w:pPr>
        <w:pStyle w:val="Heading2"/>
        <w:rPr>
          <w:lang w:val="en-US" w:eastAsia="en-AU"/>
        </w:rPr>
      </w:pPr>
      <w:bookmarkStart w:id="201" w:name="_Toc117697131"/>
      <w:bookmarkStart w:id="202" w:name="_Toc117697838"/>
      <w:bookmarkStart w:id="203" w:name="_Toc147757276"/>
      <w:bookmarkStart w:id="204" w:name="_Toc148086897"/>
      <w:bookmarkStart w:id="205" w:name="_Toc85526649"/>
      <w:bookmarkStart w:id="206" w:name="_Toc85787064"/>
      <w:bookmarkStart w:id="207" w:name="_Toc1258459407"/>
      <w:r w:rsidRPr="00C90591" w:rsidDel="006936AD">
        <w:rPr>
          <w:lang w:val="en-US" w:eastAsia="en-AU"/>
        </w:rPr>
        <w:t>Indicator 1</w:t>
      </w:r>
      <w:bookmarkStart w:id="208" w:name="_Toc55482287"/>
      <w:r w:rsidRPr="00C90591">
        <w:rPr>
          <w:lang w:val="en-US" w:eastAsia="en-AU"/>
        </w:rPr>
        <w:t xml:space="preserve">: Override </w:t>
      </w:r>
      <w:r w:rsidR="00A20E8B">
        <w:rPr>
          <w:lang w:val="en-US" w:eastAsia="en-AU"/>
        </w:rPr>
        <w:t>d</w:t>
      </w:r>
      <w:r w:rsidRPr="00C90591">
        <w:rPr>
          <w:lang w:val="en-US" w:eastAsia="en-AU"/>
        </w:rPr>
        <w:t>eclarations</w:t>
      </w:r>
      <w:bookmarkEnd w:id="201"/>
      <w:bookmarkEnd w:id="202"/>
      <w:bookmarkEnd w:id="203"/>
      <w:bookmarkEnd w:id="204"/>
      <w:r w:rsidRPr="00C90591">
        <w:rPr>
          <w:lang w:val="en-US" w:eastAsia="en-AU"/>
        </w:rPr>
        <w:t xml:space="preserve"> </w:t>
      </w:r>
      <w:bookmarkEnd w:id="205"/>
      <w:bookmarkEnd w:id="206"/>
      <w:bookmarkEnd w:id="207"/>
    </w:p>
    <w:p w14:paraId="1C5887C7" w14:textId="26593789" w:rsidR="00C90591" w:rsidRPr="00B44A70" w:rsidRDefault="00C90591" w:rsidP="00B44A70">
      <w:pPr>
        <w:rPr>
          <w:i/>
          <w:iCs/>
        </w:rPr>
      </w:pPr>
      <w:r w:rsidRPr="00B44A70">
        <w:rPr>
          <w:i/>
          <w:iCs/>
        </w:rPr>
        <w:t xml:space="preserve">Parliament may, in exceptional circumstances, expressly declare an Act has effect despite being incompatible with </w:t>
      </w:r>
      <w:r w:rsidR="0009263B">
        <w:rPr>
          <w:i/>
          <w:iCs/>
        </w:rPr>
        <w:t xml:space="preserve">one or more </w:t>
      </w:r>
      <w:r w:rsidRPr="00B44A70">
        <w:rPr>
          <w:i/>
          <w:iCs/>
        </w:rPr>
        <w:t>human rights.</w:t>
      </w:r>
      <w:r w:rsidRPr="0029265A">
        <w:rPr>
          <w:vertAlign w:val="superscript"/>
        </w:rPr>
        <w:footnoteReference w:id="21"/>
      </w:r>
      <w:r w:rsidRPr="0029265A">
        <w:rPr>
          <w:vertAlign w:val="superscript"/>
        </w:rPr>
        <w:t xml:space="preserve"> </w:t>
      </w:r>
      <w:r w:rsidRPr="00B44A70">
        <w:rPr>
          <w:i/>
          <w:iCs/>
        </w:rPr>
        <w:t xml:space="preserve">This indicator considers whether </w:t>
      </w:r>
      <w:r w:rsidR="0098289F">
        <w:rPr>
          <w:i/>
          <w:iCs/>
        </w:rPr>
        <w:t>o</w:t>
      </w:r>
      <w:r w:rsidR="00A20E8B">
        <w:rPr>
          <w:i/>
          <w:iCs/>
        </w:rPr>
        <w:t xml:space="preserve">verride </w:t>
      </w:r>
      <w:r w:rsidR="0098289F">
        <w:rPr>
          <w:i/>
          <w:iCs/>
        </w:rPr>
        <w:t>d</w:t>
      </w:r>
      <w:r w:rsidR="00A20E8B">
        <w:rPr>
          <w:i/>
          <w:iCs/>
        </w:rPr>
        <w:t>eclarations</w:t>
      </w:r>
      <w:r w:rsidRPr="00B44A70">
        <w:rPr>
          <w:i/>
          <w:iCs/>
        </w:rPr>
        <w:t xml:space="preserve"> were relied upon by parliament in the </w:t>
      </w:r>
      <w:r w:rsidR="004C38F3">
        <w:rPr>
          <w:i/>
          <w:iCs/>
        </w:rPr>
        <w:t>2022</w:t>
      </w:r>
      <w:r w:rsidR="00341FEE">
        <w:rPr>
          <w:i/>
          <w:iCs/>
        </w:rPr>
        <w:t>–</w:t>
      </w:r>
      <w:r w:rsidRPr="00B44A70">
        <w:rPr>
          <w:i/>
          <w:iCs/>
        </w:rPr>
        <w:t>2</w:t>
      </w:r>
      <w:r w:rsidR="004C38F3">
        <w:rPr>
          <w:i/>
          <w:iCs/>
        </w:rPr>
        <w:t>3</w:t>
      </w:r>
      <w:r w:rsidRPr="00B44A70">
        <w:rPr>
          <w:i/>
          <w:iCs/>
        </w:rPr>
        <w:t xml:space="preserve"> financial year. </w:t>
      </w:r>
    </w:p>
    <w:p w14:paraId="29E7B068" w14:textId="1C63CC0A" w:rsidR="00842DB9" w:rsidRDefault="00567CA6" w:rsidP="000D21CC">
      <w:bookmarkStart w:id="209" w:name="_Toc85526650"/>
      <w:bookmarkStart w:id="210" w:name="_Toc85787065"/>
      <w:bookmarkStart w:id="211" w:name="_Toc1523935255"/>
      <w:bookmarkStart w:id="212" w:name="_Toc117697132"/>
      <w:bookmarkStart w:id="213" w:name="_Toc117697839"/>
      <w:r w:rsidRPr="00567CA6">
        <w:t xml:space="preserve">The </w:t>
      </w:r>
      <w:r w:rsidRPr="00C33A37">
        <w:rPr>
          <w:i/>
        </w:rPr>
        <w:t>Strengthening Community Safety Act 2023</w:t>
      </w:r>
      <w:r w:rsidRPr="00567CA6">
        <w:t xml:space="preserve"> passed with </w:t>
      </w:r>
      <w:r w:rsidR="00651CAD">
        <w:t>4</w:t>
      </w:r>
      <w:r w:rsidR="00651CAD" w:rsidRPr="00567CA6">
        <w:t xml:space="preserve"> </w:t>
      </w:r>
      <w:r w:rsidR="004C4816">
        <w:t>o</w:t>
      </w:r>
      <w:r w:rsidRPr="00567CA6">
        <w:t xml:space="preserve">verride </w:t>
      </w:r>
      <w:r w:rsidR="004C4816">
        <w:t>d</w:t>
      </w:r>
      <w:r w:rsidRPr="00567CA6">
        <w:t>eclaration</w:t>
      </w:r>
      <w:r w:rsidR="00651CAD">
        <w:t>s</w:t>
      </w:r>
      <w:r w:rsidRPr="00567CA6">
        <w:t>.</w:t>
      </w:r>
    </w:p>
    <w:p w14:paraId="1EC70FE8" w14:textId="5E8B87DA" w:rsidR="00C90591" w:rsidRPr="00C90591" w:rsidRDefault="00C90591" w:rsidP="00650033">
      <w:pPr>
        <w:pStyle w:val="Heading2"/>
        <w:rPr>
          <w:lang w:val="en-US" w:eastAsia="en-AU"/>
        </w:rPr>
      </w:pPr>
      <w:bookmarkStart w:id="214" w:name="_Toc147757277"/>
      <w:bookmarkStart w:id="215" w:name="_Toc148086898"/>
      <w:r w:rsidRPr="00C90591">
        <w:rPr>
          <w:lang w:val="en-US" w:eastAsia="en-AU"/>
        </w:rPr>
        <w:t xml:space="preserve">Indicator 2: </w:t>
      </w:r>
      <w:bookmarkEnd w:id="209"/>
      <w:bookmarkEnd w:id="210"/>
      <w:r w:rsidRPr="00C90591">
        <w:rPr>
          <w:lang w:val="en-US" w:eastAsia="en-AU"/>
        </w:rPr>
        <w:t xml:space="preserve">Referrals to </w:t>
      </w:r>
      <w:r w:rsidR="000850CC">
        <w:rPr>
          <w:lang w:val="en-US" w:eastAsia="en-AU"/>
        </w:rPr>
        <w:t>c</w:t>
      </w:r>
      <w:r w:rsidRPr="00C90591">
        <w:rPr>
          <w:lang w:val="en-US" w:eastAsia="en-AU"/>
        </w:rPr>
        <w:t>ommittee</w:t>
      </w:r>
      <w:bookmarkEnd w:id="211"/>
      <w:bookmarkEnd w:id="212"/>
      <w:bookmarkEnd w:id="213"/>
      <w:bookmarkEnd w:id="214"/>
      <w:bookmarkEnd w:id="215"/>
    </w:p>
    <w:p w14:paraId="55B9F1E0" w14:textId="4D702561" w:rsidR="00C90591" w:rsidRPr="00763ED4" w:rsidRDefault="00C90591" w:rsidP="00763ED4">
      <w:pPr>
        <w:rPr>
          <w:i/>
          <w:iCs/>
        </w:rPr>
      </w:pPr>
      <w:r w:rsidRPr="00763ED4">
        <w:rPr>
          <w:i/>
          <w:iCs/>
        </w:rPr>
        <w:t xml:space="preserve">This indicator considers </w:t>
      </w:r>
      <w:r w:rsidR="00A20E8B">
        <w:rPr>
          <w:i/>
          <w:iCs/>
        </w:rPr>
        <w:t>bills</w:t>
      </w:r>
      <w:r w:rsidRPr="00763ED4">
        <w:rPr>
          <w:i/>
          <w:iCs/>
        </w:rPr>
        <w:t xml:space="preserve"> </w:t>
      </w:r>
      <w:r w:rsidR="004F4DFC">
        <w:rPr>
          <w:i/>
          <w:iCs/>
        </w:rPr>
        <w:t>that</w:t>
      </w:r>
      <w:r w:rsidRPr="00763ED4">
        <w:rPr>
          <w:i/>
          <w:iCs/>
        </w:rPr>
        <w:t xml:space="preserve"> were passed on an urgent basis and therefore not referred to </w:t>
      </w:r>
      <w:r w:rsidR="000850CC">
        <w:rPr>
          <w:i/>
          <w:iCs/>
        </w:rPr>
        <w:t>c</w:t>
      </w:r>
      <w:r w:rsidRPr="00763ED4">
        <w:rPr>
          <w:i/>
          <w:iCs/>
        </w:rPr>
        <w:t>ommittee and subject</w:t>
      </w:r>
      <w:r w:rsidR="006F6079">
        <w:rPr>
          <w:i/>
          <w:iCs/>
        </w:rPr>
        <w:t>ed</w:t>
      </w:r>
      <w:r w:rsidRPr="00763ED4">
        <w:rPr>
          <w:i/>
          <w:iCs/>
        </w:rPr>
        <w:t xml:space="preserve"> </w:t>
      </w:r>
      <w:r w:rsidR="00E116B1" w:rsidRPr="00763ED4">
        <w:rPr>
          <w:i/>
          <w:iCs/>
        </w:rPr>
        <w:t>to usual</w:t>
      </w:r>
      <w:r w:rsidRPr="00763ED4">
        <w:rPr>
          <w:i/>
          <w:iCs/>
        </w:rPr>
        <w:t xml:space="preserve"> parliamentary scrutiny.</w:t>
      </w:r>
    </w:p>
    <w:p w14:paraId="572452DF" w14:textId="56B25AEE" w:rsidR="003B305A" w:rsidRPr="003B305A" w:rsidRDefault="003B305A" w:rsidP="003B305A">
      <w:pPr>
        <w:keepLines/>
        <w:widowControl w:val="0"/>
        <w:spacing w:after="160"/>
        <w:rPr>
          <w:rFonts w:eastAsia="Calibri" w:cs="Arial"/>
        </w:rPr>
      </w:pPr>
      <w:bookmarkStart w:id="216" w:name="_Toc85526651"/>
      <w:bookmarkStart w:id="217" w:name="_Toc85787066"/>
      <w:bookmarkStart w:id="218" w:name="_Toc632346811"/>
      <w:bookmarkStart w:id="219" w:name="_Toc117697133"/>
      <w:bookmarkStart w:id="220" w:name="_Toc117697840"/>
      <w:r w:rsidRPr="003B305A">
        <w:rPr>
          <w:rFonts w:eastAsia="Calibri" w:cs="Arial"/>
        </w:rPr>
        <w:t xml:space="preserve">Two </w:t>
      </w:r>
      <w:r w:rsidR="00DD6343">
        <w:rPr>
          <w:rFonts w:eastAsia="Calibri" w:cs="Arial"/>
        </w:rPr>
        <w:t>B</w:t>
      </w:r>
      <w:r w:rsidRPr="003B305A">
        <w:rPr>
          <w:rFonts w:eastAsia="Calibri" w:cs="Arial"/>
        </w:rPr>
        <w:t xml:space="preserve">ills were declared urgent and debated without </w:t>
      </w:r>
      <w:r w:rsidR="00B401B2">
        <w:rPr>
          <w:rFonts w:eastAsia="Calibri" w:cs="Arial"/>
        </w:rPr>
        <w:t>examination</w:t>
      </w:r>
      <w:r w:rsidR="00B401B2" w:rsidRPr="003B305A">
        <w:rPr>
          <w:rFonts w:eastAsia="Calibri" w:cs="Arial"/>
        </w:rPr>
        <w:t xml:space="preserve"> </w:t>
      </w:r>
      <w:r w:rsidRPr="003B305A">
        <w:rPr>
          <w:rFonts w:eastAsia="Calibri" w:cs="Arial"/>
        </w:rPr>
        <w:t xml:space="preserve">by the relevant portfolio </w:t>
      </w:r>
      <w:r w:rsidR="00DD6343">
        <w:rPr>
          <w:rFonts w:eastAsia="Calibri" w:cs="Arial"/>
        </w:rPr>
        <w:t>c</w:t>
      </w:r>
      <w:r w:rsidRPr="003B305A">
        <w:rPr>
          <w:rFonts w:eastAsia="Calibri" w:cs="Arial"/>
        </w:rPr>
        <w:t>ommittee</w:t>
      </w:r>
      <w:r w:rsidR="00B401B2">
        <w:rPr>
          <w:rFonts w:eastAsia="Calibri" w:cs="Arial"/>
        </w:rPr>
        <w:t>s</w:t>
      </w:r>
      <w:r w:rsidR="00355653">
        <w:rPr>
          <w:rFonts w:eastAsia="Calibri" w:cs="Arial"/>
        </w:rPr>
        <w:t>.</w:t>
      </w:r>
      <w:r w:rsidRPr="003B305A">
        <w:rPr>
          <w:rFonts w:eastAsia="Calibri" w:cs="Arial"/>
        </w:rPr>
        <w:t xml:space="preserve"> </w:t>
      </w:r>
      <w:r w:rsidR="00861B2A">
        <w:rPr>
          <w:rFonts w:eastAsia="Calibri" w:cs="Arial"/>
        </w:rPr>
        <w:t>O</w:t>
      </w:r>
      <w:r w:rsidRPr="003B305A">
        <w:rPr>
          <w:rFonts w:eastAsia="Calibri" w:cs="Arial"/>
        </w:rPr>
        <w:t xml:space="preserve">ne of these </w:t>
      </w:r>
      <w:r w:rsidR="007933E6">
        <w:rPr>
          <w:rFonts w:eastAsia="Calibri" w:cs="Arial"/>
        </w:rPr>
        <w:t>B</w:t>
      </w:r>
      <w:r w:rsidR="00A20E8B">
        <w:rPr>
          <w:rFonts w:eastAsia="Calibri" w:cs="Arial"/>
        </w:rPr>
        <w:t>ills</w:t>
      </w:r>
      <w:r w:rsidRPr="003B305A">
        <w:rPr>
          <w:rFonts w:eastAsia="Calibri" w:cs="Arial"/>
        </w:rPr>
        <w:t xml:space="preserve"> was related to appropriation </w:t>
      </w:r>
      <w:r w:rsidR="00DD6343">
        <w:rPr>
          <w:rFonts w:eastAsia="Calibri" w:cs="Arial"/>
        </w:rPr>
        <w:t>B</w:t>
      </w:r>
      <w:r w:rsidRPr="003B305A">
        <w:rPr>
          <w:rFonts w:eastAsia="Calibri" w:cs="Arial"/>
        </w:rPr>
        <w:t xml:space="preserve">ills and </w:t>
      </w:r>
      <w:r w:rsidR="000767BD">
        <w:rPr>
          <w:rFonts w:eastAsia="Calibri" w:cs="Arial"/>
        </w:rPr>
        <w:t xml:space="preserve">was </w:t>
      </w:r>
      <w:r w:rsidRPr="003B305A">
        <w:rPr>
          <w:rFonts w:eastAsia="Calibri" w:cs="Arial"/>
        </w:rPr>
        <w:t>debate</w:t>
      </w:r>
      <w:r w:rsidR="000767BD">
        <w:rPr>
          <w:rFonts w:eastAsia="Calibri" w:cs="Arial"/>
        </w:rPr>
        <w:t>d</w:t>
      </w:r>
      <w:r w:rsidRPr="003B305A">
        <w:rPr>
          <w:rFonts w:eastAsia="Calibri" w:cs="Arial"/>
        </w:rPr>
        <w:t xml:space="preserve"> cognately with them.</w:t>
      </w:r>
      <w:r w:rsidRPr="003B305A">
        <w:rPr>
          <w:rFonts w:eastAsia="Calibri" w:cs="Arial"/>
          <w:vertAlign w:val="superscript"/>
        </w:rPr>
        <w:footnoteReference w:id="22"/>
      </w:r>
      <w:r w:rsidRPr="003B305A">
        <w:rPr>
          <w:rFonts w:eastAsia="Calibri" w:cs="Arial"/>
        </w:rPr>
        <w:t xml:space="preserve"> The other urgent </w:t>
      </w:r>
      <w:r w:rsidR="000767BD">
        <w:rPr>
          <w:rFonts w:eastAsia="Calibri" w:cs="Arial"/>
        </w:rPr>
        <w:t>B</w:t>
      </w:r>
      <w:r w:rsidRPr="003B305A">
        <w:rPr>
          <w:rFonts w:eastAsia="Calibri" w:cs="Arial"/>
        </w:rPr>
        <w:t xml:space="preserve">ill amended the </w:t>
      </w:r>
      <w:r w:rsidRPr="003B305A">
        <w:rPr>
          <w:rFonts w:eastAsia="Calibri" w:cs="Arial"/>
          <w:i/>
          <w:iCs/>
        </w:rPr>
        <w:t>Holidays Act 1983</w:t>
      </w:r>
      <w:r w:rsidRPr="003B305A">
        <w:rPr>
          <w:rFonts w:eastAsia="Calibri" w:cs="Arial"/>
        </w:rPr>
        <w:t xml:space="preserve"> to provide for a public holiday for the National Day of Mourning for Her Majesty the Queen.</w:t>
      </w:r>
      <w:r w:rsidRPr="003B305A">
        <w:rPr>
          <w:rFonts w:eastAsia="Calibri" w:cs="Arial"/>
          <w:vertAlign w:val="superscript"/>
        </w:rPr>
        <w:footnoteReference w:id="23"/>
      </w:r>
      <w:r w:rsidR="001C3518">
        <w:rPr>
          <w:rFonts w:eastAsia="Calibri" w:cs="Arial"/>
        </w:rPr>
        <w:t xml:space="preserve"> Neither Bill had significant human rights impacts or implications.</w:t>
      </w:r>
    </w:p>
    <w:p w14:paraId="43FE64CF" w14:textId="0423B061" w:rsidR="00C90591" w:rsidRPr="00C90591" w:rsidRDefault="00C90591" w:rsidP="00650033">
      <w:pPr>
        <w:pStyle w:val="Heading2"/>
        <w:rPr>
          <w:lang w:val="en-US" w:eastAsia="en-AU"/>
        </w:rPr>
      </w:pPr>
      <w:bookmarkStart w:id="221" w:name="_Toc147757278"/>
      <w:bookmarkStart w:id="222" w:name="_Toc148086899"/>
      <w:r w:rsidRPr="00C90591">
        <w:rPr>
          <w:lang w:val="en-US" w:eastAsia="en-AU"/>
        </w:rPr>
        <w:t>Indicator 3: Incompatibility acknowledged by introducing member</w:t>
      </w:r>
      <w:bookmarkEnd w:id="216"/>
      <w:bookmarkEnd w:id="217"/>
      <w:bookmarkEnd w:id="218"/>
      <w:bookmarkEnd w:id="219"/>
      <w:bookmarkEnd w:id="220"/>
      <w:bookmarkEnd w:id="221"/>
      <w:bookmarkEnd w:id="222"/>
    </w:p>
    <w:p w14:paraId="116E24A8" w14:textId="1F05D11F" w:rsidR="00C90591" w:rsidRPr="00185FEC" w:rsidRDefault="00C90591" w:rsidP="00185FEC">
      <w:pPr>
        <w:rPr>
          <w:i/>
          <w:iCs/>
        </w:rPr>
      </w:pPr>
      <w:r w:rsidRPr="00185FEC">
        <w:rPr>
          <w:i/>
          <w:iCs/>
        </w:rPr>
        <w:t xml:space="preserve">This indicator considers </w:t>
      </w:r>
      <w:r w:rsidR="00122047">
        <w:rPr>
          <w:i/>
          <w:iCs/>
        </w:rPr>
        <w:t>B</w:t>
      </w:r>
      <w:r w:rsidR="002058B2">
        <w:rPr>
          <w:i/>
          <w:iCs/>
        </w:rPr>
        <w:t>ills</w:t>
      </w:r>
      <w:r w:rsidRPr="00185FEC">
        <w:rPr>
          <w:i/>
          <w:iCs/>
        </w:rPr>
        <w:t xml:space="preserve"> </w:t>
      </w:r>
      <w:r w:rsidR="00BE1382">
        <w:rPr>
          <w:i/>
          <w:iCs/>
        </w:rPr>
        <w:t xml:space="preserve">that </w:t>
      </w:r>
      <w:r w:rsidRPr="00185FEC">
        <w:rPr>
          <w:i/>
          <w:iCs/>
        </w:rPr>
        <w:t xml:space="preserve">had explanatory materials (including </w:t>
      </w:r>
      <w:r w:rsidR="00BE02D8">
        <w:rPr>
          <w:i/>
          <w:iCs/>
        </w:rPr>
        <w:t>E</w:t>
      </w:r>
      <w:r w:rsidR="002058B2">
        <w:rPr>
          <w:i/>
          <w:iCs/>
        </w:rPr>
        <w:t xml:space="preserve">xplanatory </w:t>
      </w:r>
      <w:r w:rsidR="00BE02D8">
        <w:rPr>
          <w:i/>
          <w:iCs/>
        </w:rPr>
        <w:t>N</w:t>
      </w:r>
      <w:r w:rsidR="002058B2">
        <w:rPr>
          <w:i/>
          <w:iCs/>
        </w:rPr>
        <w:t>otes</w:t>
      </w:r>
      <w:r w:rsidRPr="00185FEC">
        <w:rPr>
          <w:i/>
          <w:iCs/>
        </w:rPr>
        <w:t xml:space="preserve"> and </w:t>
      </w:r>
      <w:r w:rsidR="00122047">
        <w:rPr>
          <w:i/>
          <w:iCs/>
        </w:rPr>
        <w:t>S</w:t>
      </w:r>
      <w:r w:rsidR="002058B2">
        <w:rPr>
          <w:i/>
          <w:iCs/>
        </w:rPr>
        <w:t xml:space="preserve">tatement of </w:t>
      </w:r>
      <w:r w:rsidR="00122047">
        <w:rPr>
          <w:i/>
          <w:iCs/>
        </w:rPr>
        <w:t>C</w:t>
      </w:r>
      <w:r w:rsidR="002058B2">
        <w:rPr>
          <w:i/>
          <w:iCs/>
        </w:rPr>
        <w:t>ompatibility</w:t>
      </w:r>
      <w:r w:rsidRPr="00185FEC">
        <w:rPr>
          <w:i/>
          <w:iCs/>
        </w:rPr>
        <w:t>) in which the introducing member raised potential incompatibility.</w:t>
      </w:r>
    </w:p>
    <w:p w14:paraId="0F99269B" w14:textId="40A6EDF6" w:rsidR="00407E28" w:rsidRPr="00C90591" w:rsidRDefault="00797509" w:rsidP="00185FEC">
      <w:r w:rsidRPr="00797509">
        <w:t>The Commission identif</w:t>
      </w:r>
      <w:r w:rsidR="00122047">
        <w:t>ied</w:t>
      </w:r>
      <w:r w:rsidRPr="00797509">
        <w:t xml:space="preserve"> one </w:t>
      </w:r>
      <w:r w:rsidR="00122047">
        <w:t>S</w:t>
      </w:r>
      <w:r w:rsidR="00662490">
        <w:t>tatement</w:t>
      </w:r>
      <w:r w:rsidRPr="00797509">
        <w:t xml:space="preserve"> of </w:t>
      </w:r>
      <w:r w:rsidR="00122047">
        <w:t>C</w:t>
      </w:r>
      <w:r w:rsidR="00662490">
        <w:t>ompatibility</w:t>
      </w:r>
      <w:r w:rsidRPr="00797509">
        <w:t xml:space="preserve"> that suggested a </w:t>
      </w:r>
      <w:r w:rsidR="00A45F27">
        <w:t>B</w:t>
      </w:r>
      <w:r w:rsidRPr="00797509">
        <w:t xml:space="preserve">ill was potentially incompatible with </w:t>
      </w:r>
      <w:r w:rsidR="00136054">
        <w:t xml:space="preserve">human </w:t>
      </w:r>
      <w:r w:rsidRPr="00797509">
        <w:t xml:space="preserve">rights, </w:t>
      </w:r>
      <w:r w:rsidR="00A45F27">
        <w:t xml:space="preserve">that </w:t>
      </w:r>
      <w:r w:rsidRPr="00797509">
        <w:t xml:space="preserve">being the Strengthening Community Safety Bill 2023, which included proposed </w:t>
      </w:r>
      <w:r w:rsidR="00DA5505">
        <w:t>o</w:t>
      </w:r>
      <w:r w:rsidR="00662490">
        <w:t xml:space="preserve">verride </w:t>
      </w:r>
      <w:r w:rsidR="00DA5505">
        <w:t>d</w:t>
      </w:r>
      <w:r w:rsidR="00662490">
        <w:t>eclaration</w:t>
      </w:r>
      <w:r w:rsidR="00651CAD">
        <w:t>s</w:t>
      </w:r>
      <w:r w:rsidRPr="00797509">
        <w:t>.</w:t>
      </w:r>
    </w:p>
    <w:p w14:paraId="72AF96B7" w14:textId="77777777" w:rsidR="00C90591" w:rsidRPr="00E61F97" w:rsidRDefault="00C90591" w:rsidP="00650033">
      <w:pPr>
        <w:pStyle w:val="Heading2"/>
      </w:pPr>
      <w:bookmarkStart w:id="223" w:name="_Toc85526652"/>
      <w:bookmarkStart w:id="224" w:name="_Toc85787067"/>
      <w:bookmarkStart w:id="225" w:name="_Toc117697134"/>
      <w:bookmarkStart w:id="226" w:name="_Toc117697841"/>
      <w:bookmarkStart w:id="227" w:name="_Toc147757279"/>
      <w:bookmarkStart w:id="228" w:name="_Toc148086900"/>
      <w:bookmarkStart w:id="229" w:name="_Toc2115987091"/>
      <w:r w:rsidRPr="00E61F97">
        <w:t>Indicator 4: Committee examination of incompatibility</w:t>
      </w:r>
      <w:bookmarkEnd w:id="223"/>
      <w:bookmarkEnd w:id="224"/>
      <w:bookmarkEnd w:id="225"/>
      <w:bookmarkEnd w:id="226"/>
      <w:bookmarkEnd w:id="227"/>
      <w:bookmarkEnd w:id="228"/>
      <w:r w:rsidRPr="00E61F97">
        <w:t xml:space="preserve"> </w:t>
      </w:r>
      <w:bookmarkEnd w:id="229"/>
    </w:p>
    <w:p w14:paraId="5535E3DD" w14:textId="67325611" w:rsidR="00C90591" w:rsidRPr="00E61F97" w:rsidRDefault="00C90591" w:rsidP="00D536D8">
      <w:pPr>
        <w:rPr>
          <w:i/>
          <w:iCs/>
        </w:rPr>
      </w:pPr>
      <w:r w:rsidRPr="00E61F97">
        <w:rPr>
          <w:i/>
          <w:iCs/>
        </w:rPr>
        <w:t xml:space="preserve">This indicator considers </w:t>
      </w:r>
      <w:r w:rsidR="00073A22">
        <w:rPr>
          <w:i/>
          <w:iCs/>
        </w:rPr>
        <w:t xml:space="preserve">discussion by </w:t>
      </w:r>
      <w:r w:rsidRPr="00E61F97">
        <w:rPr>
          <w:i/>
          <w:iCs/>
        </w:rPr>
        <w:t xml:space="preserve">portfolio </w:t>
      </w:r>
      <w:r w:rsidR="00766EDD">
        <w:rPr>
          <w:i/>
          <w:iCs/>
        </w:rPr>
        <w:t>c</w:t>
      </w:r>
      <w:r w:rsidRPr="00E61F97">
        <w:rPr>
          <w:i/>
          <w:iCs/>
        </w:rPr>
        <w:t>ommittees</w:t>
      </w:r>
      <w:r w:rsidR="00073A22">
        <w:rPr>
          <w:i/>
          <w:iCs/>
        </w:rPr>
        <w:t xml:space="preserve"> </w:t>
      </w:r>
      <w:r w:rsidR="000C74CC">
        <w:rPr>
          <w:i/>
          <w:iCs/>
        </w:rPr>
        <w:t xml:space="preserve">of </w:t>
      </w:r>
      <w:r w:rsidRPr="00E61F97">
        <w:rPr>
          <w:i/>
          <w:iCs/>
        </w:rPr>
        <w:t xml:space="preserve">statements of partial incompatibility or proposed </w:t>
      </w:r>
      <w:r w:rsidR="001A5601">
        <w:rPr>
          <w:i/>
          <w:iCs/>
        </w:rPr>
        <w:t>o</w:t>
      </w:r>
      <w:r w:rsidRPr="00E61F97">
        <w:rPr>
          <w:i/>
          <w:iCs/>
        </w:rPr>
        <w:t xml:space="preserve">verride </w:t>
      </w:r>
      <w:r w:rsidR="001A5601">
        <w:rPr>
          <w:i/>
          <w:iCs/>
        </w:rPr>
        <w:t>d</w:t>
      </w:r>
      <w:r w:rsidRPr="00E61F97">
        <w:rPr>
          <w:i/>
          <w:iCs/>
        </w:rPr>
        <w:t>eclarations after the</w:t>
      </w:r>
      <w:r w:rsidR="000553B8">
        <w:rPr>
          <w:i/>
          <w:iCs/>
        </w:rPr>
        <w:t>y</w:t>
      </w:r>
      <w:r w:rsidRPr="00E61F97">
        <w:rPr>
          <w:i/>
          <w:iCs/>
        </w:rPr>
        <w:t xml:space="preserve"> were raised by the introducing member. </w:t>
      </w:r>
    </w:p>
    <w:p w14:paraId="40D2DB57" w14:textId="40561707" w:rsidR="00453544" w:rsidRDefault="00453544" w:rsidP="00E61F97">
      <w:r w:rsidRPr="00453544">
        <w:t>The Economics and Governance Committee’s report discuss</w:t>
      </w:r>
      <w:r w:rsidR="000553B8">
        <w:t>ed</w:t>
      </w:r>
      <w:r w:rsidRPr="00453544">
        <w:t xml:space="preserve"> the proposed Override </w:t>
      </w:r>
      <w:r w:rsidR="007860D1">
        <w:t>d</w:t>
      </w:r>
      <w:r w:rsidRPr="00453544">
        <w:t>eclaration</w:t>
      </w:r>
      <w:r w:rsidR="00651CAD">
        <w:t>s</w:t>
      </w:r>
      <w:r w:rsidRPr="00453544">
        <w:t xml:space="preserve"> </w:t>
      </w:r>
      <w:r w:rsidR="00651CAD">
        <w:t>relating to</w:t>
      </w:r>
      <w:r w:rsidRPr="00453544">
        <w:t xml:space="preserve"> the Strengthening Community Safety Bill 2023</w:t>
      </w:r>
      <w:r w:rsidR="002B607C">
        <w:t xml:space="preserve">, noted the </w:t>
      </w:r>
      <w:r w:rsidR="004E4B4B">
        <w:t>Statement about Exceptional Circumstances</w:t>
      </w:r>
      <w:r w:rsidR="00097F65">
        <w:t xml:space="preserve"> accompanying the Bill</w:t>
      </w:r>
      <w:r w:rsidR="002350CC">
        <w:t xml:space="preserve">, and overall, was satisfied that </w:t>
      </w:r>
      <w:r w:rsidR="00116C54">
        <w:t>‘</w:t>
      </w:r>
      <w:r w:rsidR="00116C54" w:rsidRPr="00116C54">
        <w:t>the Bill strikes an appropriate balance between the protection of the rights of children and young people in Queensland, and strengthening community safety</w:t>
      </w:r>
      <w:r w:rsidR="001743ED">
        <w:t>’</w:t>
      </w:r>
      <w:r w:rsidRPr="00453544">
        <w:t>.</w:t>
      </w:r>
      <w:r w:rsidR="001743ED">
        <w:rPr>
          <w:rStyle w:val="FootnoteReference"/>
        </w:rPr>
        <w:footnoteReference w:id="24"/>
      </w:r>
    </w:p>
    <w:p w14:paraId="5BF65F39" w14:textId="27306F14" w:rsidR="00C90591" w:rsidRPr="00C90591" w:rsidRDefault="00C90591" w:rsidP="004B7C1A">
      <w:pPr>
        <w:pStyle w:val="Heading2"/>
        <w:rPr>
          <w:rFonts w:eastAsia="Yu Gothic Light" w:cs="Times New Roman"/>
          <w:color w:val="337B9E"/>
          <w:kern w:val="36"/>
          <w:szCs w:val="36"/>
          <w:lang w:val="en-US" w:eastAsia="en-AU"/>
        </w:rPr>
      </w:pPr>
      <w:bookmarkStart w:id="230" w:name="_Toc85526653"/>
      <w:bookmarkStart w:id="231" w:name="_Toc85787068"/>
      <w:bookmarkStart w:id="232" w:name="_Toc1144486573"/>
      <w:bookmarkStart w:id="233" w:name="_Toc147757280"/>
      <w:bookmarkStart w:id="234" w:name="_Toc148086901"/>
      <w:r w:rsidRPr="0A5F8EFC">
        <w:rPr>
          <w:lang w:val="en-US" w:eastAsia="en-AU"/>
        </w:rPr>
        <w:t xml:space="preserve">Indicator 5: Critique of </w:t>
      </w:r>
      <w:r w:rsidR="00E30756" w:rsidRPr="0A5F8EFC">
        <w:rPr>
          <w:rFonts w:eastAsia="Yu Gothic Light" w:cs="Times New Roman"/>
          <w:color w:val="337B9E"/>
          <w:kern w:val="36"/>
          <w:szCs w:val="36"/>
          <w:lang w:val="en-US" w:eastAsia="en-AU"/>
        </w:rPr>
        <w:t>S</w:t>
      </w:r>
      <w:r w:rsidRPr="0A5F8EFC">
        <w:rPr>
          <w:rFonts w:eastAsia="Yu Gothic Light" w:cs="Times New Roman"/>
          <w:color w:val="337B9E"/>
          <w:kern w:val="36"/>
          <w:szCs w:val="36"/>
          <w:lang w:val="en-US" w:eastAsia="en-AU"/>
        </w:rPr>
        <w:t xml:space="preserve">tatements of </w:t>
      </w:r>
      <w:r w:rsidR="00E30756" w:rsidRPr="0A5F8EFC">
        <w:rPr>
          <w:rFonts w:eastAsia="Yu Gothic Light" w:cs="Times New Roman"/>
          <w:color w:val="337B9E"/>
          <w:kern w:val="36"/>
          <w:szCs w:val="36"/>
          <w:lang w:val="en-US" w:eastAsia="en-AU"/>
        </w:rPr>
        <w:t>C</w:t>
      </w:r>
      <w:r w:rsidRPr="0A5F8EFC">
        <w:rPr>
          <w:rFonts w:eastAsia="Yu Gothic Light" w:cs="Times New Roman"/>
          <w:color w:val="337B9E"/>
          <w:kern w:val="36"/>
          <w:szCs w:val="36"/>
          <w:lang w:val="en-US" w:eastAsia="en-AU"/>
        </w:rPr>
        <w:t>ompatibility</w:t>
      </w:r>
      <w:bookmarkEnd w:id="230"/>
      <w:bookmarkEnd w:id="231"/>
      <w:bookmarkEnd w:id="232"/>
      <w:bookmarkEnd w:id="233"/>
      <w:bookmarkEnd w:id="234"/>
    </w:p>
    <w:p w14:paraId="15B00692" w14:textId="32CAD514" w:rsidR="00C90591" w:rsidRPr="00522217" w:rsidRDefault="00C90591" w:rsidP="00522217">
      <w:pPr>
        <w:rPr>
          <w:i/>
          <w:highlight w:val="yellow"/>
        </w:rPr>
      </w:pPr>
      <w:r w:rsidRPr="00522217">
        <w:rPr>
          <w:i/>
        </w:rPr>
        <w:t xml:space="preserve">This indicator considers </w:t>
      </w:r>
      <w:r w:rsidR="00BE3297">
        <w:rPr>
          <w:i/>
        </w:rPr>
        <w:t>determinations by</w:t>
      </w:r>
      <w:r w:rsidR="00BE3297" w:rsidRPr="00522217">
        <w:rPr>
          <w:i/>
        </w:rPr>
        <w:t xml:space="preserve"> </w:t>
      </w:r>
      <w:r w:rsidRPr="00522217">
        <w:rPr>
          <w:i/>
        </w:rPr>
        <w:t xml:space="preserve">portfolio </w:t>
      </w:r>
      <w:r w:rsidR="00766EDD">
        <w:rPr>
          <w:i/>
        </w:rPr>
        <w:t>c</w:t>
      </w:r>
      <w:r w:rsidRPr="00522217">
        <w:rPr>
          <w:i/>
        </w:rPr>
        <w:t xml:space="preserve">ommittees </w:t>
      </w:r>
      <w:r w:rsidR="00D75B6A">
        <w:rPr>
          <w:i/>
        </w:rPr>
        <w:t>in their reports to parliament</w:t>
      </w:r>
      <w:r w:rsidRPr="00522217">
        <w:rPr>
          <w:i/>
        </w:rPr>
        <w:t xml:space="preserve"> that </w:t>
      </w:r>
      <w:r w:rsidR="000553B8">
        <w:rPr>
          <w:i/>
        </w:rPr>
        <w:t>S</w:t>
      </w:r>
      <w:r w:rsidR="00662490">
        <w:rPr>
          <w:i/>
        </w:rPr>
        <w:t xml:space="preserve">tatements of </w:t>
      </w:r>
      <w:r w:rsidR="000553B8">
        <w:rPr>
          <w:i/>
        </w:rPr>
        <w:t>C</w:t>
      </w:r>
      <w:r w:rsidR="00662490">
        <w:rPr>
          <w:i/>
        </w:rPr>
        <w:t>ompatibility</w:t>
      </w:r>
      <w:r w:rsidRPr="00522217">
        <w:rPr>
          <w:i/>
        </w:rPr>
        <w:t xml:space="preserve"> were inadequate.</w:t>
      </w:r>
    </w:p>
    <w:p w14:paraId="03A2922D" w14:textId="48502739" w:rsidR="004663C0" w:rsidRDefault="00C90591" w:rsidP="00F05BDA">
      <w:r w:rsidRPr="00C90591">
        <w:t xml:space="preserve">Committee reports published during </w:t>
      </w:r>
      <w:r w:rsidR="004C38F3">
        <w:t>2022</w:t>
      </w:r>
      <w:r w:rsidR="00DB1DF6">
        <w:t>–</w:t>
      </w:r>
      <w:r w:rsidR="00C837F1">
        <w:t>2</w:t>
      </w:r>
      <w:r w:rsidR="004C38F3">
        <w:t>3</w:t>
      </w:r>
      <w:r w:rsidRPr="00C90591">
        <w:t xml:space="preserve"> identified deficiencies in </w:t>
      </w:r>
      <w:r w:rsidR="002A54C6">
        <w:t>5</w:t>
      </w:r>
      <w:r w:rsidRPr="00C90591">
        <w:t xml:space="preserve"> </w:t>
      </w:r>
      <w:r w:rsidR="00662490">
        <w:t>statements</w:t>
      </w:r>
      <w:r w:rsidRPr="00C90591">
        <w:t xml:space="preserve"> </w:t>
      </w:r>
      <w:r w:rsidR="00662490">
        <w:t>(</w:t>
      </w:r>
      <w:r w:rsidRPr="00C90591">
        <w:t xml:space="preserve">compared </w:t>
      </w:r>
      <w:r w:rsidR="007B20D1">
        <w:t>with</w:t>
      </w:r>
      <w:r w:rsidR="007B20D1" w:rsidRPr="00C90591">
        <w:t xml:space="preserve"> </w:t>
      </w:r>
      <w:r w:rsidR="004C38F3">
        <w:t>6</w:t>
      </w:r>
      <w:r w:rsidRPr="00C90591">
        <w:t xml:space="preserve"> last </w:t>
      </w:r>
      <w:r w:rsidR="00662490">
        <w:t xml:space="preserve">financial </w:t>
      </w:r>
      <w:r w:rsidRPr="00C90591">
        <w:t>year</w:t>
      </w:r>
      <w:r w:rsidR="00662490">
        <w:t>)</w:t>
      </w:r>
      <w:r w:rsidRPr="00C90591">
        <w:t xml:space="preserve">. </w:t>
      </w:r>
    </w:p>
    <w:p w14:paraId="458BB453" w14:textId="45A0BC56" w:rsidR="00F5704B" w:rsidRPr="00F5704B" w:rsidRDefault="00F5704B" w:rsidP="009A213B">
      <w:r w:rsidRPr="00F5704B">
        <w:t>In relation to the Coal Mining Safety and Health and Other Legislation Amendment Bill 2022</w:t>
      </w:r>
      <w:r w:rsidR="0081483F">
        <w:t>,</w:t>
      </w:r>
      <w:r w:rsidRPr="00F5704B">
        <w:t xml:space="preserve"> the Transport and Resources Committee formally recommended that the </w:t>
      </w:r>
      <w:r w:rsidR="006B0EAA">
        <w:t xml:space="preserve">Statement of </w:t>
      </w:r>
      <w:r w:rsidR="008226D4">
        <w:t>C</w:t>
      </w:r>
      <w:r w:rsidR="006B0EAA">
        <w:t>ompatibility</w:t>
      </w:r>
      <w:r w:rsidRPr="00F5704B">
        <w:t xml:space="preserve"> be amended to include a discussion of the engagement of the right to property.</w:t>
      </w:r>
      <w:r w:rsidRPr="00F5704B">
        <w:rPr>
          <w:vertAlign w:val="superscript"/>
        </w:rPr>
        <w:footnoteReference w:id="25"/>
      </w:r>
    </w:p>
    <w:p w14:paraId="1B91A7A0" w14:textId="2A5D3E87" w:rsidR="00F5704B" w:rsidRPr="00F5704B" w:rsidRDefault="00F5704B" w:rsidP="00DD03CD">
      <w:r w:rsidRPr="00F5704B">
        <w:t xml:space="preserve">In </w:t>
      </w:r>
      <w:r w:rsidR="00DB26A1">
        <w:t xml:space="preserve">3 </w:t>
      </w:r>
      <w:r w:rsidRPr="00F5704B">
        <w:t xml:space="preserve">other reports, </w:t>
      </w:r>
      <w:r w:rsidR="0081483F">
        <w:t xml:space="preserve">portfolio </w:t>
      </w:r>
      <w:r w:rsidRPr="00F5704B">
        <w:t>committees found that statements failed to discuss a relevant right.</w:t>
      </w:r>
      <w:r w:rsidRPr="00F5704B">
        <w:rPr>
          <w:vertAlign w:val="superscript"/>
        </w:rPr>
        <w:footnoteReference w:id="26"/>
      </w:r>
      <w:r w:rsidRPr="00F5704B">
        <w:t xml:space="preserve"> This included a </w:t>
      </w:r>
      <w:r w:rsidR="00DB26A1">
        <w:t>B</w:t>
      </w:r>
      <w:r w:rsidRPr="00F5704B">
        <w:t xml:space="preserve">ill </w:t>
      </w:r>
      <w:r w:rsidR="00DB26A1">
        <w:t xml:space="preserve">that did </w:t>
      </w:r>
      <w:r w:rsidRPr="00F5704B">
        <w:t>not discuss the human rights issues arising from provisions proposing to place an onus on a person charged with a criminal offence to prove it was reasonable for them to have not complied with the relevant section.</w:t>
      </w:r>
      <w:r w:rsidRPr="00F5704B">
        <w:rPr>
          <w:vertAlign w:val="superscript"/>
        </w:rPr>
        <w:footnoteReference w:id="27"/>
      </w:r>
    </w:p>
    <w:p w14:paraId="1ECD22DD" w14:textId="69805A5C" w:rsidR="00DB1DF6" w:rsidRDefault="00F5704B" w:rsidP="00A6160A">
      <w:r w:rsidRPr="00F5704B">
        <w:t xml:space="preserve">One committee helpfully provided guidance </w:t>
      </w:r>
      <w:r w:rsidR="00705C15">
        <w:t>on</w:t>
      </w:r>
      <w:r w:rsidRPr="00F5704B">
        <w:t xml:space="preserve"> rights that refer to unlawful and/or arbitrary inference</w:t>
      </w:r>
      <w:r w:rsidR="00705C15">
        <w:t>, which</w:t>
      </w:r>
      <w:r w:rsidRPr="00F5704B">
        <w:t xml:space="preserve"> includes the right to privacy and reputation, the right to property</w:t>
      </w:r>
      <w:r w:rsidR="00DB26A1">
        <w:t>,</w:t>
      </w:r>
      <w:r w:rsidRPr="00F5704B">
        <w:t xml:space="preserve"> and the right to liberty and security</w:t>
      </w:r>
      <w:r w:rsidR="00540476">
        <w:t xml:space="preserve"> of person</w:t>
      </w:r>
      <w:r w:rsidRPr="00F5704B">
        <w:t xml:space="preserve">. The committee suggested that it is insufficient, and incompatible with international human rights standards that inform the interpretation of </w:t>
      </w:r>
      <w:r w:rsidR="00EE2BD2">
        <w:t>the Human Rights Act</w:t>
      </w:r>
      <w:r w:rsidRPr="00F5704B">
        <w:t>, to say that a limitation or restriction on a right occurs only when an interference is clearly unlawful or arbitrary, and go no further to consider the compatibility of the provisions. The committee suggest</w:t>
      </w:r>
      <w:r w:rsidR="00540476">
        <w:t>ed</w:t>
      </w:r>
      <w:r w:rsidRPr="00F5704B">
        <w:t xml:space="preserve"> that, in the spirit of </w:t>
      </w:r>
      <w:r w:rsidR="00EE2BD2">
        <w:t>the Human Rights Act</w:t>
      </w:r>
      <w:r w:rsidRPr="00F5704B">
        <w:t>’s overarching objectives, statements should more fully consider compatibility under section 13 for any arguable limitations on these rights.</w:t>
      </w:r>
      <w:r w:rsidRPr="00F5704B">
        <w:rPr>
          <w:vertAlign w:val="superscript"/>
        </w:rPr>
        <w:footnoteReference w:id="28"/>
      </w:r>
    </w:p>
    <w:p w14:paraId="1D7004BC" w14:textId="11A8D8ED" w:rsidR="00C90591" w:rsidRPr="003319D4" w:rsidRDefault="00C90591" w:rsidP="00650033">
      <w:pPr>
        <w:pStyle w:val="Heading2"/>
      </w:pPr>
      <w:bookmarkStart w:id="235" w:name="_Toc85526654"/>
      <w:bookmarkStart w:id="236" w:name="_Toc85787069"/>
      <w:bookmarkStart w:id="237" w:name="_Toc117697135"/>
      <w:bookmarkStart w:id="238" w:name="_Toc117697842"/>
      <w:bookmarkStart w:id="239" w:name="_Toc147757281"/>
      <w:bookmarkStart w:id="240" w:name="_Toc148086902"/>
      <w:bookmarkStart w:id="241" w:name="_Toc833576978"/>
      <w:r w:rsidRPr="003319D4">
        <w:t xml:space="preserve">Indicator 6: Additional information received by </w:t>
      </w:r>
      <w:r w:rsidR="009373CA">
        <w:t>c</w:t>
      </w:r>
      <w:r w:rsidRPr="003319D4">
        <w:t>ommittee</w:t>
      </w:r>
      <w:bookmarkEnd w:id="235"/>
      <w:bookmarkEnd w:id="236"/>
      <w:bookmarkEnd w:id="237"/>
      <w:bookmarkEnd w:id="238"/>
      <w:bookmarkEnd w:id="239"/>
      <w:bookmarkEnd w:id="240"/>
      <w:r w:rsidRPr="003319D4">
        <w:t xml:space="preserve"> </w:t>
      </w:r>
      <w:bookmarkEnd w:id="241"/>
    </w:p>
    <w:p w14:paraId="6D726FF1" w14:textId="1BB81CC9" w:rsidR="00C90591" w:rsidRPr="003319D4" w:rsidRDefault="00C90591" w:rsidP="00C90591">
      <w:pPr>
        <w:keepLines/>
        <w:widowControl w:val="0"/>
        <w:spacing w:after="160"/>
        <w:ind w:right="2160"/>
        <w:rPr>
          <w:rFonts w:eastAsia="Calibri" w:cs="Arial"/>
          <w:b/>
          <w:i/>
          <w:sz w:val="24"/>
          <w:szCs w:val="24"/>
        </w:rPr>
      </w:pPr>
      <w:r w:rsidRPr="003319D4">
        <w:rPr>
          <w:i/>
        </w:rPr>
        <w:t xml:space="preserve">This indicator considers </w:t>
      </w:r>
      <w:r w:rsidR="00CD5B5B" w:rsidRPr="003319D4">
        <w:rPr>
          <w:i/>
        </w:rPr>
        <w:t>further information</w:t>
      </w:r>
      <w:r w:rsidR="00CD5B5B">
        <w:rPr>
          <w:i/>
        </w:rPr>
        <w:t xml:space="preserve"> received </w:t>
      </w:r>
      <w:r w:rsidR="009B68FF">
        <w:rPr>
          <w:i/>
        </w:rPr>
        <w:t xml:space="preserve">by </w:t>
      </w:r>
      <w:r w:rsidR="009B68FF" w:rsidRPr="003319D4">
        <w:rPr>
          <w:i/>
        </w:rPr>
        <w:t>portfolio</w:t>
      </w:r>
      <w:r w:rsidRPr="003319D4">
        <w:rPr>
          <w:i/>
        </w:rPr>
        <w:t xml:space="preserve"> </w:t>
      </w:r>
      <w:r w:rsidR="009373CA">
        <w:rPr>
          <w:i/>
        </w:rPr>
        <w:t>c</w:t>
      </w:r>
      <w:r w:rsidRPr="003319D4">
        <w:rPr>
          <w:i/>
        </w:rPr>
        <w:t xml:space="preserve">ommittees and whether this resolved concerns about lack of justification for </w:t>
      </w:r>
      <w:r w:rsidR="00CD5B5B" w:rsidRPr="003319D4">
        <w:rPr>
          <w:i/>
        </w:rPr>
        <w:t xml:space="preserve">limitations </w:t>
      </w:r>
      <w:r w:rsidR="00CD5B5B">
        <w:rPr>
          <w:i/>
        </w:rPr>
        <w:t xml:space="preserve">on </w:t>
      </w:r>
      <w:r w:rsidRPr="003319D4">
        <w:rPr>
          <w:i/>
        </w:rPr>
        <w:t>human rights</w:t>
      </w:r>
      <w:r w:rsidRPr="00C90591">
        <w:rPr>
          <w:rFonts w:eastAsia="Calibri" w:cs="Arial"/>
          <w:i/>
          <w:sz w:val="24"/>
          <w:szCs w:val="24"/>
        </w:rPr>
        <w:t>.</w:t>
      </w:r>
    </w:p>
    <w:p w14:paraId="5A3D73F9" w14:textId="27706593" w:rsidR="00C90591" w:rsidRPr="00C90591" w:rsidRDefault="00C90591" w:rsidP="003319D4">
      <w:r w:rsidRPr="00C90591">
        <w:t xml:space="preserve">This indicator </w:t>
      </w:r>
      <w:r w:rsidR="005B3CDE">
        <w:t>reveals</w:t>
      </w:r>
      <w:r w:rsidRPr="00C90591">
        <w:t xml:space="preserve"> the </w:t>
      </w:r>
      <w:r w:rsidR="005B3CDE">
        <w:t>effectiveness of</w:t>
      </w:r>
      <w:r w:rsidRPr="00C90591">
        <w:t xml:space="preserve"> Queensland</w:t>
      </w:r>
      <w:r w:rsidR="002D6D2D">
        <w:t>’s</w:t>
      </w:r>
      <w:r w:rsidRPr="00C90591">
        <w:t xml:space="preserve"> scrutiny process, as the ongoing dialogue between </w:t>
      </w:r>
      <w:r w:rsidR="005078EF">
        <w:t>government</w:t>
      </w:r>
      <w:r w:rsidR="00C600DA">
        <w:t xml:space="preserve"> </w:t>
      </w:r>
      <w:r w:rsidR="000363D2" w:rsidRPr="00C90591">
        <w:t>departments, committees</w:t>
      </w:r>
      <w:r w:rsidR="00466DEA">
        <w:t>,</w:t>
      </w:r>
      <w:r w:rsidRPr="00C90591">
        <w:t xml:space="preserve"> and stakeholders through the inquiry process allows further information to be </w:t>
      </w:r>
      <w:r w:rsidR="007D5F1C">
        <w:t>obtained</w:t>
      </w:r>
      <w:r w:rsidR="007D5F1C" w:rsidRPr="00C90591">
        <w:t xml:space="preserve"> </w:t>
      </w:r>
      <w:r w:rsidRPr="00C90591">
        <w:t xml:space="preserve">from the government </w:t>
      </w:r>
      <w:r w:rsidR="00CB494F">
        <w:t xml:space="preserve">about human rights compatibility </w:t>
      </w:r>
      <w:r w:rsidRPr="00C90591">
        <w:t xml:space="preserve">and published in </w:t>
      </w:r>
      <w:r w:rsidR="009373CA">
        <w:t>c</w:t>
      </w:r>
      <w:r w:rsidRPr="00C90591">
        <w:t xml:space="preserve">ommittee reports. </w:t>
      </w:r>
    </w:p>
    <w:p w14:paraId="5DF3C450" w14:textId="1DF5868E" w:rsidR="00EF5DFB" w:rsidRPr="00EF5DFB" w:rsidRDefault="00EF5DFB" w:rsidP="00BA76B3">
      <w:pPr>
        <w:keepLines/>
        <w:widowControl w:val="0"/>
        <w:spacing w:after="160"/>
        <w:rPr>
          <w:rFonts w:eastAsia="Calibri" w:cs="Arial"/>
        </w:rPr>
      </w:pPr>
      <w:bookmarkStart w:id="242" w:name="_Toc85526655"/>
      <w:bookmarkStart w:id="243" w:name="_Toc85787070"/>
      <w:bookmarkStart w:id="244" w:name="_Toc1324510856"/>
      <w:bookmarkStart w:id="245" w:name="_Toc117697136"/>
      <w:bookmarkStart w:id="246" w:name="_Toc117697843"/>
      <w:r w:rsidRPr="00EF5DFB">
        <w:rPr>
          <w:rFonts w:eastAsia="Calibri" w:cs="Arial"/>
        </w:rPr>
        <w:t>In those reports that discussed human rights limitations, the Commission identified that on 11 occasions committee</w:t>
      </w:r>
      <w:r w:rsidR="004C2690">
        <w:rPr>
          <w:rFonts w:eastAsia="Calibri" w:cs="Arial"/>
        </w:rPr>
        <w:t>s sought additional information from the government</w:t>
      </w:r>
      <w:r w:rsidRPr="00EF5DFB">
        <w:rPr>
          <w:rFonts w:eastAsia="Calibri" w:cs="Arial"/>
        </w:rPr>
        <w:t>.</w:t>
      </w:r>
      <w:r w:rsidRPr="00EF5DFB">
        <w:rPr>
          <w:rFonts w:eastAsia="Calibri" w:cs="Arial"/>
          <w:vertAlign w:val="superscript"/>
        </w:rPr>
        <w:footnoteReference w:id="29"/>
      </w:r>
      <w:r w:rsidRPr="00EF5DFB">
        <w:rPr>
          <w:rFonts w:eastAsia="Calibri" w:cs="Arial"/>
        </w:rPr>
        <w:t xml:space="preserve"> </w:t>
      </w:r>
    </w:p>
    <w:p w14:paraId="77291A72" w14:textId="77777777" w:rsidR="00C90591" w:rsidRPr="00C90591" w:rsidRDefault="00C90591" w:rsidP="00650033">
      <w:pPr>
        <w:pStyle w:val="Heading2"/>
        <w:rPr>
          <w:rFonts w:eastAsia="Yu Gothic Light" w:cs="Times New Roman"/>
          <w:color w:val="337B9E"/>
          <w:kern w:val="36"/>
          <w:szCs w:val="36"/>
          <w:lang w:val="en-US" w:eastAsia="en-AU"/>
        </w:rPr>
      </w:pPr>
      <w:bookmarkStart w:id="247" w:name="_Toc147757282"/>
      <w:bookmarkStart w:id="248" w:name="_Toc148086903"/>
      <w:r w:rsidRPr="00C90591">
        <w:rPr>
          <w:lang w:val="en-US" w:eastAsia="en-AU"/>
        </w:rPr>
        <w:t>Indicator 7: Committee recommendati</w:t>
      </w:r>
      <w:r w:rsidRPr="00DF233F">
        <w:rPr>
          <w:lang w:val="en-US" w:eastAsia="en-AU"/>
        </w:rPr>
        <w:t>ons about human rights</w:t>
      </w:r>
      <w:bookmarkEnd w:id="242"/>
      <w:bookmarkEnd w:id="243"/>
      <w:bookmarkEnd w:id="244"/>
      <w:bookmarkEnd w:id="245"/>
      <w:bookmarkEnd w:id="246"/>
      <w:bookmarkEnd w:id="247"/>
      <w:bookmarkEnd w:id="248"/>
    </w:p>
    <w:p w14:paraId="7EE883DE" w14:textId="43D8A299" w:rsidR="00C90591" w:rsidRPr="00CB494F" w:rsidRDefault="00C90591" w:rsidP="003319D4">
      <w:pPr>
        <w:rPr>
          <w:i/>
        </w:rPr>
      </w:pPr>
      <w:r w:rsidRPr="00CB494F">
        <w:rPr>
          <w:i/>
        </w:rPr>
        <w:t xml:space="preserve">This indicator considers </w:t>
      </w:r>
      <w:r w:rsidR="003F6C9A">
        <w:rPr>
          <w:i/>
        </w:rPr>
        <w:t>recommendations</w:t>
      </w:r>
      <w:r w:rsidR="00C071F2">
        <w:rPr>
          <w:i/>
        </w:rPr>
        <w:t xml:space="preserve"> </w:t>
      </w:r>
      <w:r w:rsidR="007D6509">
        <w:rPr>
          <w:i/>
        </w:rPr>
        <w:t>made by</w:t>
      </w:r>
      <w:r w:rsidR="003F6C9A" w:rsidRPr="00CB494F">
        <w:rPr>
          <w:i/>
        </w:rPr>
        <w:t xml:space="preserve"> </w:t>
      </w:r>
      <w:r w:rsidRPr="00CB494F">
        <w:rPr>
          <w:i/>
        </w:rPr>
        <w:t xml:space="preserve">portfolio </w:t>
      </w:r>
      <w:r w:rsidR="009373CA">
        <w:rPr>
          <w:i/>
        </w:rPr>
        <w:t>c</w:t>
      </w:r>
      <w:r w:rsidRPr="00CB494F">
        <w:rPr>
          <w:i/>
        </w:rPr>
        <w:t>ommittees about human rights compatibility in reports to parliament.</w:t>
      </w:r>
    </w:p>
    <w:p w14:paraId="639AC243" w14:textId="33A4AE6D" w:rsidR="00FD4373" w:rsidRDefault="00714D19" w:rsidP="00B2186D">
      <w:pPr>
        <w:keepLines/>
        <w:widowControl w:val="0"/>
        <w:spacing w:after="160"/>
        <w:rPr>
          <w:rFonts w:eastAsia="Calibri" w:cs="Arial"/>
          <w:iCs/>
        </w:rPr>
      </w:pPr>
      <w:bookmarkStart w:id="249" w:name="_Toc117697137"/>
      <w:bookmarkStart w:id="250" w:name="_Toc117697844"/>
      <w:bookmarkStart w:id="251" w:name="_Toc85526656"/>
      <w:bookmarkStart w:id="252" w:name="_Toc85787071"/>
      <w:bookmarkStart w:id="253" w:name="_Toc1636651930"/>
      <w:r>
        <w:rPr>
          <w:rFonts w:eastAsia="Calibri" w:cs="Arial"/>
          <w:iCs/>
        </w:rPr>
        <w:t>T</w:t>
      </w:r>
      <w:r w:rsidR="00B2186D" w:rsidRPr="00B2186D">
        <w:rPr>
          <w:rFonts w:eastAsia="Calibri" w:cs="Arial"/>
          <w:iCs/>
        </w:rPr>
        <w:t xml:space="preserve">his indicator was satisfied by 7 committee reports in which the Act was a factor in the committee making a formal recommendation to government. </w:t>
      </w:r>
      <w:r w:rsidR="00376A8C">
        <w:rPr>
          <w:rFonts w:eastAsia="Calibri" w:cs="Arial"/>
          <w:iCs/>
        </w:rPr>
        <w:t>However,</w:t>
      </w:r>
      <w:r w:rsidR="00B2186D" w:rsidRPr="00B2186D">
        <w:rPr>
          <w:rFonts w:eastAsia="Calibri" w:cs="Arial"/>
          <w:iCs/>
        </w:rPr>
        <w:t xml:space="preserve"> not all recommendations by committees required the government to consider amendments to legislation or </w:t>
      </w:r>
      <w:r w:rsidR="004B5AA4">
        <w:rPr>
          <w:rFonts w:eastAsia="Calibri" w:cs="Arial"/>
          <w:iCs/>
        </w:rPr>
        <w:t>S</w:t>
      </w:r>
      <w:r w:rsidR="00B2186D" w:rsidRPr="00B2186D">
        <w:rPr>
          <w:rFonts w:eastAsia="Calibri" w:cs="Arial"/>
          <w:iCs/>
        </w:rPr>
        <w:t xml:space="preserve">tatements of </w:t>
      </w:r>
      <w:r w:rsidR="004B5AA4">
        <w:rPr>
          <w:rFonts w:eastAsia="Calibri" w:cs="Arial"/>
          <w:iCs/>
        </w:rPr>
        <w:t>C</w:t>
      </w:r>
      <w:r w:rsidR="00B2186D" w:rsidRPr="00B2186D">
        <w:rPr>
          <w:rFonts w:eastAsia="Calibri" w:cs="Arial"/>
          <w:iCs/>
        </w:rPr>
        <w:t xml:space="preserve">ompatibility. </w:t>
      </w:r>
    </w:p>
    <w:p w14:paraId="0A13713B" w14:textId="6D49C5DB" w:rsidR="00B2186D" w:rsidRDefault="00B2186D" w:rsidP="00B2186D">
      <w:pPr>
        <w:keepLines/>
        <w:widowControl w:val="0"/>
        <w:spacing w:after="160"/>
        <w:rPr>
          <w:rFonts w:eastAsia="Calibri" w:cs="Arial"/>
          <w:iCs/>
        </w:rPr>
      </w:pPr>
      <w:r w:rsidRPr="00B2186D">
        <w:rPr>
          <w:rFonts w:eastAsia="Calibri" w:cs="Arial"/>
          <w:iCs/>
        </w:rPr>
        <w:t xml:space="preserve">This contrasts </w:t>
      </w:r>
      <w:r w:rsidR="009C2E1B">
        <w:rPr>
          <w:rFonts w:eastAsia="Calibri" w:cs="Arial"/>
          <w:iCs/>
        </w:rPr>
        <w:t>with</w:t>
      </w:r>
      <w:r w:rsidRPr="00B2186D">
        <w:rPr>
          <w:rFonts w:eastAsia="Calibri" w:cs="Arial"/>
          <w:iCs/>
        </w:rPr>
        <w:t xml:space="preserve"> last year’s annual report </w:t>
      </w:r>
      <w:r w:rsidR="00D611E9">
        <w:rPr>
          <w:rFonts w:eastAsia="Calibri" w:cs="Arial"/>
          <w:iCs/>
        </w:rPr>
        <w:t>in which</w:t>
      </w:r>
      <w:r w:rsidR="00D611E9" w:rsidRPr="00B2186D">
        <w:rPr>
          <w:rFonts w:eastAsia="Calibri" w:cs="Arial"/>
          <w:iCs/>
        </w:rPr>
        <w:t xml:space="preserve"> </w:t>
      </w:r>
      <w:r w:rsidRPr="00B2186D">
        <w:rPr>
          <w:rFonts w:eastAsia="Calibri" w:cs="Arial"/>
          <w:iCs/>
        </w:rPr>
        <w:t xml:space="preserve">the Commission </w:t>
      </w:r>
      <w:r w:rsidR="00714D19">
        <w:rPr>
          <w:rFonts w:eastAsia="Calibri" w:cs="Arial"/>
          <w:iCs/>
        </w:rPr>
        <w:t>did</w:t>
      </w:r>
      <w:r w:rsidR="00714D19" w:rsidRPr="00B2186D">
        <w:rPr>
          <w:rFonts w:eastAsia="Calibri" w:cs="Arial"/>
          <w:iCs/>
        </w:rPr>
        <w:t xml:space="preserve"> </w:t>
      </w:r>
      <w:r w:rsidRPr="00B2186D">
        <w:rPr>
          <w:rFonts w:eastAsia="Calibri" w:cs="Arial"/>
          <w:iCs/>
        </w:rPr>
        <w:t xml:space="preserve">not identify any formal recommendations about human rights made by committees. </w:t>
      </w:r>
    </w:p>
    <w:p w14:paraId="26EBA626" w14:textId="3D8D9314" w:rsidR="00B2186D" w:rsidRPr="00B2186D" w:rsidRDefault="00B2186D" w:rsidP="0074221E">
      <w:r w:rsidRPr="00B2186D">
        <w:t xml:space="preserve">The Corrective Services (Emerging Technologies and Security) and Other Legislation Amendment Bill 2022 proposed amendments </w:t>
      </w:r>
      <w:r w:rsidR="007D2567">
        <w:t xml:space="preserve">to </w:t>
      </w:r>
      <w:r w:rsidRPr="00B2186D">
        <w:t>ensur</w:t>
      </w:r>
      <w:r w:rsidR="007D2567">
        <w:t>e</w:t>
      </w:r>
      <w:r w:rsidRPr="00B2186D">
        <w:t xml:space="preserve"> the safety and security of the custodial environment.</w:t>
      </w:r>
      <w:r w:rsidR="00E865C3">
        <w:t xml:space="preserve"> </w:t>
      </w:r>
      <w:r w:rsidRPr="00B2186D">
        <w:t>The Education, Employment and Training Committee made 3 recommendations asking the Minister to clarify aspects of the Bill</w:t>
      </w:r>
      <w:r w:rsidR="00C065C1">
        <w:t>,</w:t>
      </w:r>
      <w:r w:rsidRPr="00B2186D">
        <w:t xml:space="preserve"> including its compatibility with human rights. In its response, the </w:t>
      </w:r>
      <w:r w:rsidR="007D2567">
        <w:t>g</w:t>
      </w:r>
      <w:r w:rsidRPr="00B2186D">
        <w:t xml:space="preserve">overnment noted these recommendations and provided further justification. </w:t>
      </w:r>
    </w:p>
    <w:p w14:paraId="3951BEBF" w14:textId="1924089E" w:rsidR="00B2186D" w:rsidRPr="00B2186D" w:rsidRDefault="00B2186D" w:rsidP="005769BB">
      <w:r w:rsidRPr="00B2186D">
        <w:t xml:space="preserve">The Health and Other Legislation Amendment Bill 2022 proposed changes to the </w:t>
      </w:r>
      <w:r w:rsidRPr="00B2186D">
        <w:rPr>
          <w:i/>
        </w:rPr>
        <w:t>Recording of Evidence Act 1962</w:t>
      </w:r>
      <w:r w:rsidRPr="00B2186D">
        <w:t xml:space="preserve"> to facilitate the electronic recording of evidence before the Mental Health Review Tribunal (MHRT). In its submission, the Commission suggested further amendments to this Act were needed to ensure that the MHRT is legislatively obliged to accurately record its proceedings, for example, by way of electronic audio recording. This would ensure its practices were compatible with obligations under the right to fair hearing and </w:t>
      </w:r>
      <w:r w:rsidR="00395979">
        <w:t xml:space="preserve">right to </w:t>
      </w:r>
      <w:r w:rsidRPr="00B2186D">
        <w:t>equality</w:t>
      </w:r>
      <w:r w:rsidR="0001661F">
        <w:t xml:space="preserve"> before the law</w:t>
      </w:r>
      <w:r w:rsidRPr="00B2186D">
        <w:t>. While the Committee did not recommend amendments to the Bill, it did recommend that resources for technical and/or administrative support be provided to the MHRT to make recordings and/or transcriptions of proceedings. In its response, the government indicated support for this recommendation.</w:t>
      </w:r>
    </w:p>
    <w:p w14:paraId="100F6F0B" w14:textId="6F5A27A3" w:rsidR="00B2186D" w:rsidRPr="00B2186D" w:rsidRDefault="00B2186D" w:rsidP="005769BB">
      <w:r w:rsidRPr="00B2186D">
        <w:t xml:space="preserve">The primary purpose of the Police Powers and Responsibilities (Jack’s Law) Amendment Bill 2022 was to expand the </w:t>
      </w:r>
      <w:r w:rsidR="00406D11">
        <w:t>area</w:t>
      </w:r>
      <w:r w:rsidR="00EF26A2">
        <w:t>s</w:t>
      </w:r>
      <w:r w:rsidR="00406D11">
        <w:t xml:space="preserve"> covered by the </w:t>
      </w:r>
      <w:r w:rsidRPr="00B2186D">
        <w:t>trial of hand</w:t>
      </w:r>
      <w:r w:rsidR="00773323">
        <w:t xml:space="preserve"> </w:t>
      </w:r>
      <w:r w:rsidRPr="00B2186D">
        <w:t xml:space="preserve">held scanners to detect knives </w:t>
      </w:r>
      <w:r w:rsidR="00D80256">
        <w:t xml:space="preserve">carried in public </w:t>
      </w:r>
      <w:r w:rsidRPr="00B2186D">
        <w:t>to locations beyond existing prescribed areas of Surfers Paradise and Broadbeach. The Community Support and Services Committee found that while the use of wands is not inherently inhuman or degrading, there is a potential that the manner of wanding could be</w:t>
      </w:r>
      <w:r w:rsidR="00BA347E">
        <w:t xml:space="preserve"> an unreasonable limitation</w:t>
      </w:r>
      <w:r w:rsidR="002C76F9">
        <w:t xml:space="preserve"> on human rights</w:t>
      </w:r>
      <w:r w:rsidRPr="00B2186D">
        <w:t>, particularly if</w:t>
      </w:r>
      <w:r w:rsidR="00BA347E">
        <w:t xml:space="preserve"> the</w:t>
      </w:r>
      <w:r w:rsidRPr="00B2186D">
        <w:t xml:space="preserve"> choice to wand a person </w:t>
      </w:r>
      <w:r w:rsidR="00BA347E">
        <w:t>wa</w:t>
      </w:r>
      <w:r w:rsidRPr="00B2186D">
        <w:t>s due to stereotyping or unconscious bias. The Committee recommended that the trial be independently evaluated</w:t>
      </w:r>
      <w:r w:rsidR="007F48EC">
        <w:t xml:space="preserve"> and</w:t>
      </w:r>
      <w:r w:rsidRPr="00B2186D">
        <w:t xml:space="preserve"> </w:t>
      </w:r>
      <w:r w:rsidR="007F48EC">
        <w:t>t</w:t>
      </w:r>
      <w:r w:rsidRPr="00B2186D">
        <w:t xml:space="preserve">he </w:t>
      </w:r>
      <w:r w:rsidR="009279EC">
        <w:t>Queensland G</w:t>
      </w:r>
      <w:r w:rsidRPr="00B2186D">
        <w:t xml:space="preserve">overnment supported this recommendation. </w:t>
      </w:r>
    </w:p>
    <w:p w14:paraId="3B23C1AD" w14:textId="77E20396" w:rsidR="00B2186D" w:rsidRPr="00B2186D" w:rsidRDefault="00B2186D" w:rsidP="005769BB">
      <w:pPr>
        <w:rPr>
          <w:iCs/>
        </w:rPr>
      </w:pPr>
      <w:r w:rsidRPr="00B2186D">
        <w:t xml:space="preserve">The key objectives of the Births, Deaths and Marriages Registration Bill 2022 included strengthening the legal recognition of trans and gender diverse people, and better recognising contemporary family and parenting structures. A number of submissions, including </w:t>
      </w:r>
      <w:r w:rsidR="00E2065A">
        <w:t xml:space="preserve">one </w:t>
      </w:r>
      <w:r w:rsidRPr="00B2186D">
        <w:t xml:space="preserve">from the Commission, expressed concern that the statute book </w:t>
      </w:r>
      <w:r w:rsidR="00CB1F8E">
        <w:t>contains</w:t>
      </w:r>
      <w:r w:rsidR="00CB1F8E" w:rsidRPr="00B2186D">
        <w:t xml:space="preserve"> </w:t>
      </w:r>
      <w:r w:rsidRPr="00B2186D">
        <w:t xml:space="preserve">examples of older legislation passed before the community had a more nuanced understanding of sex and gender. In response, the Legal Affairs and Safety Committee recommended </w:t>
      </w:r>
      <w:r w:rsidR="00A6160A" w:rsidRPr="00B2186D">
        <w:t>that Queensland</w:t>
      </w:r>
      <w:r w:rsidRPr="00B2186D">
        <w:t xml:space="preserve"> Government agencies undertake an audit of Queensland legislation within their remit to identify amendments </w:t>
      </w:r>
      <w:r w:rsidR="008B3E0C">
        <w:t xml:space="preserve">that would be </w:t>
      </w:r>
      <w:r w:rsidRPr="00B2186D">
        <w:t xml:space="preserve">required as a result of the </w:t>
      </w:r>
      <w:r w:rsidR="00D216F9">
        <w:t>passing</w:t>
      </w:r>
      <w:r w:rsidR="00D216F9" w:rsidRPr="00B2186D">
        <w:t xml:space="preserve"> </w:t>
      </w:r>
      <w:r w:rsidRPr="00B2186D">
        <w:t xml:space="preserve">of the Bill. The government supported this recommendation. </w:t>
      </w:r>
    </w:p>
    <w:p w14:paraId="65C9EB07" w14:textId="25F8C611" w:rsidR="00B2186D" w:rsidRPr="00B2186D" w:rsidRDefault="00B2186D" w:rsidP="005769BB">
      <w:pPr>
        <w:rPr>
          <w:iCs/>
        </w:rPr>
      </w:pPr>
      <w:r w:rsidRPr="00B2186D">
        <w:t xml:space="preserve">The main objective of the Police Powers and Responsibilities and Other Legislation Amendment Bill 2023 was to improve the efficiency and effectiveness of the Queensland Police Service (QPS), and the Queensland Fire and Emergency Services (QFES) by making a range of amendments </w:t>
      </w:r>
      <w:r w:rsidR="00AD7127">
        <w:t>to improve</w:t>
      </w:r>
      <w:r w:rsidRPr="00B2186D">
        <w:t xml:space="preserve"> the administration and operation of these agencies. The Legal Affairs and Safety </w:t>
      </w:r>
      <w:r w:rsidR="00F8572F">
        <w:t>C</w:t>
      </w:r>
      <w:r w:rsidRPr="00B2186D">
        <w:t>ommittee considered additional information from the department and concluded any limitation on rights was reasonable. However</w:t>
      </w:r>
      <w:r w:rsidRPr="0023754C">
        <w:t>,</w:t>
      </w:r>
      <w:r w:rsidR="0023754C">
        <w:t xml:space="preserve"> with regard to </w:t>
      </w:r>
      <w:r w:rsidR="0023754C" w:rsidRPr="00B2186D">
        <w:t>the proposed amendments to the Police Drug Diversion Program</w:t>
      </w:r>
      <w:r w:rsidR="0023754C" w:rsidRPr="00FE31AD">
        <w:t>,</w:t>
      </w:r>
      <w:r w:rsidRPr="00FE31AD">
        <w:t xml:space="preserve"> the </w:t>
      </w:r>
      <w:r w:rsidR="009C1065" w:rsidRPr="00FE31AD">
        <w:t>C</w:t>
      </w:r>
      <w:r w:rsidRPr="00FE31AD">
        <w:t>ommittee recommend</w:t>
      </w:r>
      <w:r w:rsidR="0080309E" w:rsidRPr="00FE31AD">
        <w:t>ed</w:t>
      </w:r>
      <w:r w:rsidRPr="00FE31AD">
        <w:t xml:space="preserve"> that the Queensland Police Service review their training to assess whether any change to current </w:t>
      </w:r>
      <w:r w:rsidR="00063950" w:rsidRPr="00FE31AD">
        <w:t>training is</w:t>
      </w:r>
      <w:r w:rsidR="002D641D">
        <w:t xml:space="preserve"> </w:t>
      </w:r>
      <w:r w:rsidRPr="00FE31AD">
        <w:t>required to ensure that the greater</w:t>
      </w:r>
      <w:r w:rsidRPr="00B2186D">
        <w:t xml:space="preserve"> discretion afforded to police when dealing with children suspected of minor drug offences does not result in them being treated more harshly than if they </w:t>
      </w:r>
      <w:r w:rsidR="00DF49A9">
        <w:t xml:space="preserve">were </w:t>
      </w:r>
      <w:r w:rsidR="00DF49A9" w:rsidRPr="00B2186D">
        <w:t>adults</w:t>
      </w:r>
      <w:r w:rsidRPr="00B2186D">
        <w:t xml:space="preserve">. The government supported this recommendation. </w:t>
      </w:r>
    </w:p>
    <w:p w14:paraId="0E4A5BF0" w14:textId="3136289F" w:rsidR="00B2186D" w:rsidRPr="00B2186D" w:rsidRDefault="00B2186D" w:rsidP="005769BB">
      <w:r w:rsidRPr="00B2186D">
        <w:t xml:space="preserve">The Path to Treaty Bill 2023 proposed </w:t>
      </w:r>
      <w:r w:rsidR="00474911">
        <w:t xml:space="preserve">the </w:t>
      </w:r>
      <w:r w:rsidRPr="00B2186D">
        <w:t>creat</w:t>
      </w:r>
      <w:r w:rsidR="00D3015E">
        <w:t>ion of</w:t>
      </w:r>
      <w:r w:rsidRPr="00B2186D">
        <w:t xml:space="preserve"> legislative framework to progress truth and treaty in Queensland. The Community Support and Services Committee recommended the Bill be amended to change how criminal history was considered in making appointments to the Treaty Institute and senior executive</w:t>
      </w:r>
      <w:r w:rsidR="004A32AE">
        <w:t>s</w:t>
      </w:r>
      <w:r w:rsidRPr="00B2186D">
        <w:t xml:space="preserve">. The </w:t>
      </w:r>
      <w:r w:rsidR="00494474">
        <w:t>g</w:t>
      </w:r>
      <w:r w:rsidRPr="00B2186D">
        <w:t xml:space="preserve">overnment accepted this recommendation and amended the Bill to remove the automatic disqualification of people with convictions for indictable offences from holding positions on the First Nations Treaty Institute. The </w:t>
      </w:r>
      <w:r w:rsidR="00494474">
        <w:t>g</w:t>
      </w:r>
      <w:r w:rsidRPr="00B2186D">
        <w:t xml:space="preserve">overnment also made amendments to enable the Queensland Police Commissioner to be compelled to provide information, and to require the Minister to provide a report on the operation and efficiency of the </w:t>
      </w:r>
      <w:r w:rsidR="00973555">
        <w:t xml:space="preserve">Institute </w:t>
      </w:r>
      <w:r w:rsidRPr="00B2186D">
        <w:t xml:space="preserve">within one year </w:t>
      </w:r>
      <w:r w:rsidR="00F71E96">
        <w:t>of its</w:t>
      </w:r>
      <w:r w:rsidRPr="00B2186D">
        <w:t xml:space="preserve"> establish</w:t>
      </w:r>
      <w:r w:rsidR="00F71E96">
        <w:t>ment</w:t>
      </w:r>
      <w:r w:rsidRPr="00B2186D">
        <w:t>.</w:t>
      </w:r>
    </w:p>
    <w:p w14:paraId="55B5CB58" w14:textId="38583AB2" w:rsidR="00B2186D" w:rsidRPr="00B2186D" w:rsidRDefault="00F71E96" w:rsidP="005769BB">
      <w:r>
        <w:t>D</w:t>
      </w:r>
      <w:r w:rsidR="00B2186D" w:rsidRPr="00B2186D">
        <w:t>uring the reporting period, a committee recommend</w:t>
      </w:r>
      <w:r w:rsidR="00DE6052">
        <w:t>ed</w:t>
      </w:r>
      <w:r w:rsidR="00B2186D" w:rsidRPr="00B2186D">
        <w:t xml:space="preserve"> amendments to the </w:t>
      </w:r>
      <w:r>
        <w:t>S</w:t>
      </w:r>
      <w:r w:rsidR="00B2186D" w:rsidRPr="00B2186D">
        <w:t xml:space="preserve">tatement of </w:t>
      </w:r>
      <w:r>
        <w:t>C</w:t>
      </w:r>
      <w:r w:rsidR="00B2186D" w:rsidRPr="00B2186D">
        <w:t>ompatibility for the Coal Mining Safety and Health and Other Legislation Amendment Bill 2022.</w:t>
      </w:r>
      <w:r w:rsidR="00B2186D" w:rsidRPr="00B2186D">
        <w:rPr>
          <w:vertAlign w:val="superscript"/>
        </w:rPr>
        <w:footnoteReference w:id="30"/>
      </w:r>
      <w:r w:rsidR="00B2186D" w:rsidRPr="00B2186D">
        <w:t xml:space="preserve"> </w:t>
      </w:r>
    </w:p>
    <w:p w14:paraId="3A46E1E9" w14:textId="2B51098F" w:rsidR="00B2186D" w:rsidRPr="00B2186D" w:rsidRDefault="0090035C" w:rsidP="00B2186D">
      <w:pPr>
        <w:keepLines/>
        <w:widowControl w:val="0"/>
        <w:spacing w:after="160"/>
        <w:rPr>
          <w:rFonts w:eastAsia="Calibri" w:cs="Arial"/>
        </w:rPr>
      </w:pPr>
      <w:r>
        <w:rPr>
          <w:rFonts w:eastAsia="Calibri" w:cs="Arial"/>
          <w:iCs/>
        </w:rPr>
        <w:t>W</w:t>
      </w:r>
      <w:r w:rsidR="00B2186D" w:rsidRPr="00B2186D">
        <w:rPr>
          <w:rFonts w:eastAsia="Calibri" w:cs="Arial"/>
          <w:iCs/>
        </w:rPr>
        <w:t xml:space="preserve">hile not counted for the purposes of this indicator </w:t>
      </w:r>
      <w:r w:rsidR="003B618D">
        <w:rPr>
          <w:rFonts w:eastAsia="Calibri" w:cs="Arial"/>
          <w:iCs/>
        </w:rPr>
        <w:t>(</w:t>
      </w:r>
      <w:r w:rsidR="00B2186D" w:rsidRPr="00B2186D">
        <w:rPr>
          <w:rFonts w:eastAsia="Calibri" w:cs="Arial"/>
          <w:iCs/>
        </w:rPr>
        <w:t xml:space="preserve">as it does not appear </w:t>
      </w:r>
      <w:r w:rsidR="00EE2BD2">
        <w:rPr>
          <w:rFonts w:eastAsia="Calibri" w:cs="Arial"/>
          <w:iCs/>
        </w:rPr>
        <w:t>the Human Rights Act</w:t>
      </w:r>
      <w:r w:rsidR="00B2186D" w:rsidRPr="00B2186D">
        <w:rPr>
          <w:rFonts w:eastAsia="Calibri" w:cs="Arial"/>
          <w:iCs/>
        </w:rPr>
        <w:t xml:space="preserve"> was central to a recommendation being made</w:t>
      </w:r>
      <w:r w:rsidR="003B618D">
        <w:rPr>
          <w:rFonts w:eastAsia="Calibri" w:cs="Arial"/>
          <w:iCs/>
        </w:rPr>
        <w:t>)</w:t>
      </w:r>
      <w:r w:rsidR="00B2186D" w:rsidRPr="00B2186D">
        <w:rPr>
          <w:rFonts w:eastAsia="Calibri" w:cs="Arial"/>
          <w:iCs/>
        </w:rPr>
        <w:t xml:space="preserve">, a member of parliament noted the relevance of </w:t>
      </w:r>
      <w:r w:rsidR="00EE2BD2">
        <w:rPr>
          <w:rFonts w:eastAsia="Calibri" w:cs="Arial"/>
          <w:iCs/>
        </w:rPr>
        <w:t>the Human Rights Act</w:t>
      </w:r>
      <w:r w:rsidR="00B2186D" w:rsidRPr="00B2186D">
        <w:rPr>
          <w:rFonts w:eastAsia="Calibri" w:cs="Arial"/>
          <w:iCs/>
        </w:rPr>
        <w:t xml:space="preserve"> to a </w:t>
      </w:r>
      <w:r w:rsidR="00BB22BD">
        <w:rPr>
          <w:rFonts w:eastAsia="Calibri" w:cs="Arial"/>
          <w:iCs/>
        </w:rPr>
        <w:t>c</w:t>
      </w:r>
      <w:r w:rsidR="00B2186D" w:rsidRPr="00B2186D">
        <w:rPr>
          <w:rFonts w:eastAsia="Calibri" w:cs="Arial"/>
          <w:iCs/>
        </w:rPr>
        <w:t>ommittee recommendation</w:t>
      </w:r>
      <w:r w:rsidR="003B618D">
        <w:rPr>
          <w:rFonts w:eastAsia="Calibri" w:cs="Arial"/>
          <w:iCs/>
        </w:rPr>
        <w:t xml:space="preserve"> </w:t>
      </w:r>
      <w:r w:rsidR="003B618D" w:rsidRPr="00B2186D">
        <w:rPr>
          <w:rFonts w:eastAsia="Calibri" w:cs="Arial"/>
          <w:iCs/>
        </w:rPr>
        <w:t>during debate of the Racing Integrity Amendment Bill 2022</w:t>
      </w:r>
      <w:r w:rsidR="00B2186D" w:rsidRPr="00B2186D">
        <w:rPr>
          <w:rFonts w:eastAsia="Calibri" w:cs="Arial"/>
          <w:iCs/>
        </w:rPr>
        <w:t>.</w:t>
      </w:r>
      <w:r w:rsidR="00B2186D" w:rsidRPr="00B2186D">
        <w:rPr>
          <w:rFonts w:eastAsia="Calibri" w:cs="Arial"/>
          <w:iCs/>
          <w:vertAlign w:val="superscript"/>
        </w:rPr>
        <w:footnoteReference w:id="31"/>
      </w:r>
      <w:r w:rsidR="00B2186D" w:rsidRPr="00B2186D">
        <w:rPr>
          <w:rFonts w:eastAsia="Calibri" w:cs="Arial"/>
          <w:iCs/>
        </w:rPr>
        <w:t xml:space="preserve"> </w:t>
      </w:r>
    </w:p>
    <w:p w14:paraId="651A77C4" w14:textId="77777777" w:rsidR="00C90591" w:rsidRPr="00C90591" w:rsidRDefault="00C90591" w:rsidP="00650033">
      <w:pPr>
        <w:pStyle w:val="Heading2"/>
        <w:rPr>
          <w:rFonts w:eastAsia="Yu Gothic Light" w:cs="Times New Roman"/>
          <w:color w:val="337B9E"/>
          <w:kern w:val="36"/>
          <w:szCs w:val="36"/>
          <w:lang w:val="en-US" w:eastAsia="en-AU"/>
        </w:rPr>
      </w:pPr>
      <w:bookmarkStart w:id="254" w:name="_Toc147757283"/>
      <w:bookmarkStart w:id="255" w:name="_Toc148086904"/>
      <w:r w:rsidRPr="00C90591">
        <w:rPr>
          <w:lang w:val="en-US" w:eastAsia="en-AU"/>
        </w:rPr>
        <w:t>Indicator 8: Introducing member responded to report by providing further information</w:t>
      </w:r>
      <w:bookmarkEnd w:id="249"/>
      <w:bookmarkEnd w:id="250"/>
      <w:bookmarkEnd w:id="254"/>
      <w:bookmarkEnd w:id="255"/>
      <w:r w:rsidRPr="00C90591">
        <w:rPr>
          <w:lang w:val="en-US" w:eastAsia="en-AU"/>
        </w:rPr>
        <w:t xml:space="preserve"> </w:t>
      </w:r>
      <w:bookmarkEnd w:id="251"/>
      <w:bookmarkEnd w:id="252"/>
      <w:bookmarkEnd w:id="253"/>
    </w:p>
    <w:p w14:paraId="346E6FE4" w14:textId="445A7745" w:rsidR="004055D4" w:rsidRDefault="004055D4" w:rsidP="001B0CAB">
      <w:pPr>
        <w:rPr>
          <w:i/>
          <w:lang w:eastAsia="en-AU"/>
        </w:rPr>
      </w:pPr>
      <w:r w:rsidRPr="001B0CAB">
        <w:rPr>
          <w:i/>
          <w:iCs/>
          <w:lang w:eastAsia="en-AU"/>
        </w:rPr>
        <w:t xml:space="preserve">This indicator considers whether the member of parliament introducing the </w:t>
      </w:r>
      <w:r w:rsidR="000D6C44">
        <w:rPr>
          <w:i/>
          <w:iCs/>
          <w:lang w:eastAsia="en-AU"/>
        </w:rPr>
        <w:t>b</w:t>
      </w:r>
      <w:r w:rsidR="000D6C44" w:rsidRPr="001B0CAB">
        <w:rPr>
          <w:i/>
          <w:iCs/>
          <w:lang w:eastAsia="en-AU"/>
        </w:rPr>
        <w:t xml:space="preserve">ill </w:t>
      </w:r>
      <w:r w:rsidRPr="001B0CAB">
        <w:rPr>
          <w:i/>
          <w:iCs/>
          <w:lang w:eastAsia="en-AU"/>
        </w:rPr>
        <w:t xml:space="preserve">responded to </w:t>
      </w:r>
      <w:r w:rsidR="001B0CAB">
        <w:rPr>
          <w:i/>
          <w:iCs/>
          <w:lang w:eastAsia="en-AU"/>
        </w:rPr>
        <w:t>c</w:t>
      </w:r>
      <w:r w:rsidRPr="001B0CAB">
        <w:rPr>
          <w:i/>
          <w:iCs/>
          <w:lang w:eastAsia="en-AU"/>
        </w:rPr>
        <w:t>ommittee recommendations and/or provided further justification for limitations on human rights.</w:t>
      </w:r>
    </w:p>
    <w:p w14:paraId="6DD05046" w14:textId="77777777" w:rsidR="00FB7296" w:rsidRPr="00FB7296" w:rsidRDefault="00FB7296" w:rsidP="00FB7296">
      <w:pPr>
        <w:keepLines/>
        <w:widowControl w:val="0"/>
        <w:spacing w:after="160"/>
        <w:rPr>
          <w:rFonts w:eastAsia="Calibri" w:cs="Arial"/>
          <w:iCs/>
        </w:rPr>
      </w:pPr>
      <w:r w:rsidRPr="00FB7296">
        <w:rPr>
          <w:rFonts w:eastAsia="Calibri" w:cs="Arial"/>
          <w:iCs/>
        </w:rPr>
        <w:t xml:space="preserve">On 4 occasions an introducing member provided more information to parliament about human rights compatibility issues raised through the scrutiny process. </w:t>
      </w:r>
    </w:p>
    <w:p w14:paraId="6BA484F0" w14:textId="09C44E87" w:rsidR="00FB7296" w:rsidRPr="00FB7296" w:rsidRDefault="00DF49A9" w:rsidP="000A36A0">
      <w:r>
        <w:t>The</w:t>
      </w:r>
      <w:r w:rsidR="00FB7296" w:rsidRPr="00FB7296">
        <w:t xml:space="preserve"> Education, Employment and Training Committee made </w:t>
      </w:r>
      <w:r w:rsidR="00BB22BD">
        <w:t>3</w:t>
      </w:r>
      <w:r w:rsidR="00FB7296" w:rsidRPr="00FB7296">
        <w:t xml:space="preserve"> recommendations seeking further information about the Corrective Services (Emerging Technologies and Security) and Other Legislation Amendment Bill 2022. In its response, the </w:t>
      </w:r>
      <w:r w:rsidR="00BB22BD">
        <w:t>g</w:t>
      </w:r>
      <w:r w:rsidR="00FB7296" w:rsidRPr="00FB7296">
        <w:t>overnment noted these recommendations and provided further justification for human rights compatibility.</w:t>
      </w:r>
    </w:p>
    <w:p w14:paraId="218CE09A" w14:textId="5DE7AE47" w:rsidR="00FB7296" w:rsidRPr="00FB7296" w:rsidRDefault="00FB7296" w:rsidP="000A36A0">
      <w:r w:rsidRPr="00FB7296">
        <w:t xml:space="preserve">During the debate stage, the Minister tabled amendments to the </w:t>
      </w:r>
      <w:r w:rsidR="006B0EAA">
        <w:t xml:space="preserve">Statement of </w:t>
      </w:r>
      <w:r w:rsidR="008226D4">
        <w:t>C</w:t>
      </w:r>
      <w:r w:rsidR="006B0EAA">
        <w:t>ompatibility</w:t>
      </w:r>
      <w:r w:rsidRPr="00FB7296">
        <w:t xml:space="preserve"> for the Coal Mining Safety and Health and Other Legislation Amendment Bill 2022 in response to </w:t>
      </w:r>
      <w:r w:rsidR="00DA049E">
        <w:t>the</w:t>
      </w:r>
      <w:r w:rsidRPr="00FB7296">
        <w:t xml:space="preserve"> recommendation by the Transport and Resources </w:t>
      </w:r>
      <w:r w:rsidR="00DA049E">
        <w:t>C</w:t>
      </w:r>
      <w:r w:rsidRPr="00FB7296">
        <w:t>ommittee.</w:t>
      </w:r>
      <w:r w:rsidRPr="00FB7296">
        <w:rPr>
          <w:vertAlign w:val="superscript"/>
        </w:rPr>
        <w:footnoteReference w:id="32"/>
      </w:r>
    </w:p>
    <w:p w14:paraId="34913FB3" w14:textId="1A28F629" w:rsidR="00FB7296" w:rsidRPr="00FB7296" w:rsidRDefault="00FB7296" w:rsidP="000A36A0">
      <w:r w:rsidRPr="00FB7296">
        <w:t xml:space="preserve">The Economics and Governance Committee concluded that the Integrity and Other Legislation Amendment Bill 2022 did not limit any human rights protected by </w:t>
      </w:r>
      <w:r w:rsidR="00EE2BD2">
        <w:t>the Human Rights Act</w:t>
      </w:r>
      <w:r w:rsidR="00A7561B">
        <w:t>,</w:t>
      </w:r>
      <w:r w:rsidRPr="00FB7296">
        <w:t xml:space="preserve"> </w:t>
      </w:r>
      <w:r w:rsidR="00A7561B">
        <w:t>but</w:t>
      </w:r>
      <w:r w:rsidRPr="00FB7296">
        <w:t xml:space="preserve"> noted that</w:t>
      </w:r>
      <w:r w:rsidR="00566247">
        <w:t xml:space="preserve"> </w:t>
      </w:r>
      <w:r w:rsidR="00B01340">
        <w:t xml:space="preserve">the right to </w:t>
      </w:r>
      <w:r w:rsidR="00566247">
        <w:t>freedom of thought, conscience, religion and belief</w:t>
      </w:r>
      <w:r w:rsidR="00566247">
        <w:rPr>
          <w:rStyle w:val="FootnoteReference"/>
        </w:rPr>
        <w:footnoteReference w:id="33"/>
      </w:r>
      <w:r w:rsidR="00566247">
        <w:t xml:space="preserve"> </w:t>
      </w:r>
      <w:r w:rsidRPr="00FB7296">
        <w:t>is stated in language wide enough to encompass more than religious belief and also protects atheistic, agnostic, cultural, philosophical, academic, social</w:t>
      </w:r>
      <w:r w:rsidR="009004D7">
        <w:t>,</w:t>
      </w:r>
      <w:r w:rsidRPr="00FB7296">
        <w:t xml:space="preserve"> or personal beliefs. To further promote this right, the Committee suggested the </w:t>
      </w:r>
      <w:r w:rsidR="003836EB">
        <w:t>B</w:t>
      </w:r>
      <w:r w:rsidR="00566247">
        <w:t>ill</w:t>
      </w:r>
      <w:r w:rsidRPr="00FB7296">
        <w:t xml:space="preserve"> further amend the Auditor-General Act to include the words ‘or affirmation’, in addition to oath, for those provisions concerning the </w:t>
      </w:r>
      <w:r w:rsidR="00566247">
        <w:t>A</w:t>
      </w:r>
      <w:r w:rsidRPr="00FB7296">
        <w:t>uditor-</w:t>
      </w:r>
      <w:r w:rsidR="00566247">
        <w:t>G</w:t>
      </w:r>
      <w:r w:rsidRPr="00FB7296">
        <w:t xml:space="preserve">eneral’s commitment to acting faithfully and impartially in the role. The Minister referred to this issue in her second reading speech, advising the House that the </w:t>
      </w:r>
      <w:r w:rsidRPr="00FB7296">
        <w:rPr>
          <w:i/>
        </w:rPr>
        <w:t>Acts Interpretation Act 1954</w:t>
      </w:r>
      <w:r w:rsidRPr="00FB7296">
        <w:t xml:space="preserve"> defines ‘oath’ to include affirmation. As such, she considered amendments to the </w:t>
      </w:r>
      <w:r w:rsidR="00931870">
        <w:t>B</w:t>
      </w:r>
      <w:r w:rsidRPr="00FB7296">
        <w:t>ill unnecessary.</w:t>
      </w:r>
      <w:r w:rsidRPr="00FB7296">
        <w:rPr>
          <w:vertAlign w:val="superscript"/>
        </w:rPr>
        <w:footnoteReference w:id="34"/>
      </w:r>
    </w:p>
    <w:p w14:paraId="43458201" w14:textId="684C6979" w:rsidR="00FB7296" w:rsidRPr="00FB7296" w:rsidRDefault="000F0177" w:rsidP="000A36A0">
      <w:r>
        <w:t>A report of the</w:t>
      </w:r>
      <w:r w:rsidR="00FB7296" w:rsidRPr="00FB7296">
        <w:t xml:space="preserve"> Education, Employment and Training </w:t>
      </w:r>
      <w:r>
        <w:t>Committee</w:t>
      </w:r>
      <w:r w:rsidR="00FB7296" w:rsidRPr="00FB7296">
        <w:t xml:space="preserve"> discussed concerns that provisions of the Industrial Relations and Other Legislation </w:t>
      </w:r>
      <w:r w:rsidR="00FB7296" w:rsidRPr="00BF6C9D">
        <w:t>Amendment Bill</w:t>
      </w:r>
      <w:r w:rsidRPr="00BF6C9D">
        <w:t xml:space="preserve"> 2022</w:t>
      </w:r>
      <w:r w:rsidR="00C43EAA" w:rsidRPr="00BF6C9D">
        <w:t>,</w:t>
      </w:r>
      <w:r w:rsidR="00FB7296" w:rsidRPr="00BF6C9D">
        <w:t xml:space="preserve"> which would prevent unregistered organisations from representing employees</w:t>
      </w:r>
      <w:r w:rsidR="00FB7296" w:rsidRPr="00FB7296">
        <w:t xml:space="preserve"> in the Queensland Industrial Relations Commission, may unreasonably limit the right to freedom of association. The Committee’s primary report concluded any limitation was reasonable and proportionate. However, in a dissenting report, some members of the Committee questioned this conclusion. The Minister provided further justification for the limitation on rights during the debate stage of the </w:t>
      </w:r>
      <w:r w:rsidR="00475F97">
        <w:t>B</w:t>
      </w:r>
      <w:r w:rsidR="00FB7296" w:rsidRPr="00FB7296">
        <w:t>ill.</w:t>
      </w:r>
      <w:r w:rsidR="00FB7296" w:rsidRPr="00FB7296">
        <w:rPr>
          <w:vertAlign w:val="superscript"/>
        </w:rPr>
        <w:footnoteReference w:id="35"/>
      </w:r>
    </w:p>
    <w:p w14:paraId="3BD30F71" w14:textId="77777777" w:rsidR="00C90591" w:rsidRPr="0094597A" w:rsidRDefault="00C90591" w:rsidP="00650033">
      <w:pPr>
        <w:pStyle w:val="Heading2"/>
      </w:pPr>
      <w:bookmarkStart w:id="256" w:name="_Toc85526657"/>
      <w:bookmarkStart w:id="257" w:name="_Toc85787072"/>
      <w:bookmarkStart w:id="258" w:name="_Toc1533724812"/>
      <w:bookmarkStart w:id="259" w:name="_Toc117697138"/>
      <w:bookmarkStart w:id="260" w:name="_Toc117697845"/>
      <w:bookmarkStart w:id="261" w:name="_Toc147757284"/>
      <w:bookmarkStart w:id="262" w:name="_Toc148086905"/>
      <w:r w:rsidRPr="00C90591">
        <w:rPr>
          <w:lang w:eastAsia="en-AU"/>
        </w:rPr>
        <w:t xml:space="preserve">Indicator 9: Bill amended as a result of </w:t>
      </w:r>
      <w:r w:rsidRPr="0094597A">
        <w:t>report</w:t>
      </w:r>
      <w:bookmarkEnd w:id="256"/>
      <w:bookmarkEnd w:id="257"/>
      <w:bookmarkEnd w:id="258"/>
      <w:bookmarkEnd w:id="259"/>
      <w:bookmarkEnd w:id="260"/>
      <w:bookmarkEnd w:id="261"/>
      <w:bookmarkEnd w:id="262"/>
    </w:p>
    <w:p w14:paraId="2B04329A" w14:textId="2FF5B08C" w:rsidR="00C90591" w:rsidRPr="0094597A" w:rsidRDefault="00C90591" w:rsidP="003319D4">
      <w:pPr>
        <w:rPr>
          <w:i/>
        </w:rPr>
      </w:pPr>
      <w:r w:rsidRPr="00CB494F">
        <w:rPr>
          <w:i/>
        </w:rPr>
        <w:t xml:space="preserve">This indicator considers </w:t>
      </w:r>
      <w:r w:rsidR="00C84E90">
        <w:rPr>
          <w:i/>
        </w:rPr>
        <w:t xml:space="preserve">amendments to Bills </w:t>
      </w:r>
      <w:r w:rsidR="00DF793C">
        <w:rPr>
          <w:i/>
        </w:rPr>
        <w:t xml:space="preserve">as a result </w:t>
      </w:r>
      <w:r w:rsidR="00094B89">
        <w:rPr>
          <w:i/>
        </w:rPr>
        <w:t xml:space="preserve">of </w:t>
      </w:r>
      <w:r w:rsidRPr="00CB494F">
        <w:rPr>
          <w:i/>
        </w:rPr>
        <w:t xml:space="preserve">human rights issues raised in the </w:t>
      </w:r>
      <w:r w:rsidR="006D3960">
        <w:rPr>
          <w:i/>
          <w:iCs/>
        </w:rPr>
        <w:t>c</w:t>
      </w:r>
      <w:r w:rsidRPr="0094597A">
        <w:rPr>
          <w:i/>
        </w:rPr>
        <w:t xml:space="preserve">ommittee process. </w:t>
      </w:r>
    </w:p>
    <w:p w14:paraId="7043DA27" w14:textId="120C46AF" w:rsidR="00656227" w:rsidRPr="00656227" w:rsidRDefault="000E77E3" w:rsidP="00656227">
      <w:pPr>
        <w:keepLines/>
        <w:widowControl w:val="0"/>
        <w:spacing w:after="160"/>
        <w:rPr>
          <w:rFonts w:eastAsia="Calibri" w:cs="Arial"/>
          <w:iCs/>
        </w:rPr>
      </w:pPr>
      <w:bookmarkStart w:id="263" w:name="_Toc969096"/>
      <w:bookmarkEnd w:id="208"/>
      <w:r>
        <w:rPr>
          <w:rFonts w:eastAsia="Calibri" w:cs="Arial"/>
          <w:iCs/>
        </w:rPr>
        <w:t>T</w:t>
      </w:r>
      <w:r w:rsidRPr="00656227">
        <w:rPr>
          <w:rFonts w:eastAsia="Calibri" w:cs="Arial"/>
          <w:iCs/>
        </w:rPr>
        <w:t>hrough the parliamentary process</w:t>
      </w:r>
      <w:r>
        <w:rPr>
          <w:rFonts w:eastAsia="Calibri" w:cs="Arial"/>
          <w:iCs/>
        </w:rPr>
        <w:t xml:space="preserve"> </w:t>
      </w:r>
      <w:r w:rsidR="00536B83">
        <w:rPr>
          <w:rFonts w:eastAsia="Calibri" w:cs="Arial"/>
          <w:iCs/>
        </w:rPr>
        <w:t>2</w:t>
      </w:r>
      <w:r w:rsidR="00656227" w:rsidRPr="00656227">
        <w:rPr>
          <w:rFonts w:eastAsia="Calibri" w:cs="Arial"/>
          <w:iCs/>
        </w:rPr>
        <w:t xml:space="preserve"> </w:t>
      </w:r>
      <w:r>
        <w:rPr>
          <w:rFonts w:eastAsia="Calibri" w:cs="Arial"/>
          <w:iCs/>
        </w:rPr>
        <w:t>B</w:t>
      </w:r>
      <w:r w:rsidR="00656227" w:rsidRPr="00656227">
        <w:rPr>
          <w:rFonts w:eastAsia="Calibri" w:cs="Arial"/>
          <w:iCs/>
        </w:rPr>
        <w:t xml:space="preserve">ills were amended to improve compatibility with </w:t>
      </w:r>
      <w:r w:rsidR="00EE2BD2">
        <w:rPr>
          <w:rFonts w:eastAsia="Calibri" w:cs="Arial"/>
          <w:iCs/>
        </w:rPr>
        <w:t>the Human Rights Act</w:t>
      </w:r>
      <w:r w:rsidR="00AA76DB">
        <w:rPr>
          <w:rFonts w:eastAsia="Calibri" w:cs="Arial"/>
          <w:iCs/>
        </w:rPr>
        <w:t>.</w:t>
      </w:r>
      <w:r w:rsidR="00656227" w:rsidRPr="00656227">
        <w:rPr>
          <w:rFonts w:eastAsia="Calibri" w:cs="Arial"/>
          <w:iCs/>
        </w:rPr>
        <w:t xml:space="preserve"> </w:t>
      </w:r>
    </w:p>
    <w:p w14:paraId="76150400" w14:textId="75B37BD0" w:rsidR="00656227" w:rsidRPr="00656227" w:rsidRDefault="00975C80" w:rsidP="00FC144A">
      <w:r>
        <w:t>T</w:t>
      </w:r>
      <w:r w:rsidR="00656227" w:rsidRPr="00656227">
        <w:t>he Path to Treaty Bill 2023 was amended in response to recommendations made by the Community Support and Services committee</w:t>
      </w:r>
      <w:r w:rsidR="006A09C9">
        <w:t xml:space="preserve">. See also commentary under </w:t>
      </w:r>
      <w:r w:rsidR="006A09C9" w:rsidRPr="00414F68">
        <w:t xml:space="preserve">Indicator 8 </w:t>
      </w:r>
      <w:r w:rsidR="00414F68" w:rsidRPr="00414F68">
        <w:t>above</w:t>
      </w:r>
      <w:r w:rsidR="00656227" w:rsidRPr="00656227">
        <w:t xml:space="preserve">. </w:t>
      </w:r>
    </w:p>
    <w:p w14:paraId="1F475B54" w14:textId="37443320" w:rsidR="00656227" w:rsidRPr="00656227" w:rsidRDefault="006A09C9" w:rsidP="00FC144A">
      <w:r>
        <w:t>W</w:t>
      </w:r>
      <w:r w:rsidR="00656227" w:rsidRPr="00656227">
        <w:t>hile not formally recommended by</w:t>
      </w:r>
      <w:r w:rsidR="00536B83">
        <w:t xml:space="preserve"> the</w:t>
      </w:r>
      <w:r w:rsidR="00656227" w:rsidRPr="00656227">
        <w:t xml:space="preserve"> Legal Affairs and Safety Committee, the Monitoring of Places of Detention (Optional Protocol to the Convention Against Torture) Bill 2022 was amended based on human rights issues raised through the committee process including to: </w:t>
      </w:r>
    </w:p>
    <w:p w14:paraId="0F876B94" w14:textId="712CFBE6" w:rsidR="00656227" w:rsidRPr="00FC144A" w:rsidRDefault="00656227" w:rsidP="00FC144A">
      <w:pPr>
        <w:pStyle w:val="Listparagraph-bulleted"/>
      </w:pPr>
      <w:r w:rsidRPr="00FC144A">
        <w:t xml:space="preserve">remove the limitations on when and where a United Nations </w:t>
      </w:r>
      <w:r w:rsidR="005313DB">
        <w:t>s</w:t>
      </w:r>
      <w:r w:rsidRPr="00FC144A">
        <w:t>ubcommittee could conduct an interview with a person in detention (essentially to remove the requirement to visit a place of detention to be able to interview a person)</w:t>
      </w:r>
    </w:p>
    <w:p w14:paraId="5936B9DF" w14:textId="742019F2" w:rsidR="00656227" w:rsidRPr="00FC144A" w:rsidRDefault="00656227" w:rsidP="00FC144A">
      <w:pPr>
        <w:pStyle w:val="Listparagraph-bulleted"/>
      </w:pPr>
      <w:r w:rsidRPr="00FC144A">
        <w:t>remove the requirement for a ‘legal guardian’ to consent on a detainee’s behalf to avoid inadvertently limiting the ability of a person to provide consent</w:t>
      </w:r>
    </w:p>
    <w:p w14:paraId="23858731" w14:textId="77777777" w:rsidR="00656227" w:rsidRPr="00FC144A" w:rsidRDefault="00656227" w:rsidP="00FC144A">
      <w:pPr>
        <w:pStyle w:val="Listparagraph-bulleted"/>
      </w:pPr>
      <w:r w:rsidRPr="00FC144A">
        <w:t>expand the examples of ‘detriment’ to include other forms of reprisal that may be more relevant to a person in detention.</w:t>
      </w:r>
    </w:p>
    <w:p w14:paraId="54A01AD9" w14:textId="50223586" w:rsidR="00656227" w:rsidRPr="00656227" w:rsidRDefault="00DC12EB" w:rsidP="00656227">
      <w:pPr>
        <w:keepLines/>
        <w:widowControl w:val="0"/>
        <w:tabs>
          <w:tab w:val="left" w:pos="3510"/>
        </w:tabs>
        <w:spacing w:after="160"/>
        <w:rPr>
          <w:rFonts w:eastAsia="Times New Roman" w:cs="Arial"/>
          <w:bCs/>
          <w:color w:val="000000"/>
          <w:kern w:val="36"/>
          <w:lang w:eastAsia="en-AU"/>
        </w:rPr>
      </w:pPr>
      <w:r>
        <w:rPr>
          <w:rFonts w:eastAsia="Calibri" w:cs="Arial"/>
        </w:rPr>
        <w:t>By way of contrast,</w:t>
      </w:r>
      <w:r w:rsidR="006F3673">
        <w:rPr>
          <w:rFonts w:eastAsia="Calibri" w:cs="Arial"/>
        </w:rPr>
        <w:t xml:space="preserve"> </w:t>
      </w:r>
      <w:r w:rsidR="00656227" w:rsidRPr="00656227">
        <w:rPr>
          <w:rFonts w:eastAsia="Calibri" w:cs="Arial"/>
        </w:rPr>
        <w:t>last year no bills were amended</w:t>
      </w:r>
      <w:r w:rsidR="006561B3">
        <w:rPr>
          <w:rFonts w:eastAsia="Calibri" w:cs="Arial"/>
        </w:rPr>
        <w:t xml:space="preserve"> as a result of </w:t>
      </w:r>
      <w:r w:rsidR="006561B3" w:rsidRPr="00656227">
        <w:rPr>
          <w:rFonts w:eastAsia="Calibri" w:cs="Arial"/>
        </w:rPr>
        <w:t>human rights issues raised in portfolio committee</w:t>
      </w:r>
      <w:r w:rsidR="00656227" w:rsidRPr="00656227">
        <w:rPr>
          <w:rFonts w:eastAsia="Calibri" w:cs="Arial"/>
        </w:rPr>
        <w:t>.</w:t>
      </w:r>
    </w:p>
    <w:p w14:paraId="588B57E3" w14:textId="77777777" w:rsidR="0043772E" w:rsidRDefault="0043772E">
      <w:pPr>
        <w:spacing w:after="160" w:line="259" w:lineRule="auto"/>
        <w:ind w:right="0"/>
        <w:rPr>
          <w:rFonts w:eastAsiaTheme="majorEastAsia" w:cstheme="majorBidi"/>
          <w:iCs/>
          <w:color w:val="347B9F"/>
          <w:sz w:val="48"/>
          <w:szCs w:val="32"/>
          <w:lang w:eastAsia="en-AU"/>
        </w:rPr>
      </w:pPr>
      <w:bookmarkStart w:id="264" w:name="_Toc147757285"/>
      <w:bookmarkStart w:id="265" w:name="_Toc148086906"/>
      <w:bookmarkStart w:id="266" w:name="_Toc85451728"/>
      <w:bookmarkStart w:id="267" w:name="_Toc85526658"/>
      <w:bookmarkStart w:id="268" w:name="_Toc85787073"/>
      <w:bookmarkStart w:id="269" w:name="_Toc117697139"/>
      <w:r>
        <w:rPr>
          <w:lang w:eastAsia="en-AU"/>
        </w:rPr>
        <w:br w:type="page"/>
      </w:r>
    </w:p>
    <w:p w14:paraId="027CA21A" w14:textId="745AC02C" w:rsidR="0003089F" w:rsidRDefault="00715CBB" w:rsidP="00715CBB">
      <w:pPr>
        <w:pStyle w:val="Heading1"/>
        <w:rPr>
          <w:lang w:eastAsia="en-AU"/>
        </w:rPr>
      </w:pPr>
      <w:r>
        <w:rPr>
          <w:lang w:eastAsia="en-AU"/>
        </w:rPr>
        <w:t>G</w:t>
      </w:r>
      <w:r w:rsidRPr="00715CBB">
        <w:rPr>
          <w:lang w:eastAsia="en-AU"/>
        </w:rPr>
        <w:t xml:space="preserve">uidance </w:t>
      </w:r>
      <w:r>
        <w:rPr>
          <w:lang w:eastAsia="en-AU"/>
        </w:rPr>
        <w:t xml:space="preserve">on </w:t>
      </w:r>
      <w:r w:rsidR="00104707">
        <w:rPr>
          <w:lang w:eastAsia="en-AU"/>
        </w:rPr>
        <w:t>s</w:t>
      </w:r>
      <w:r>
        <w:rPr>
          <w:lang w:eastAsia="en-AU"/>
        </w:rPr>
        <w:t xml:space="preserve">tatements of </w:t>
      </w:r>
      <w:r w:rsidR="00104707">
        <w:rPr>
          <w:lang w:eastAsia="en-AU"/>
        </w:rPr>
        <w:t>c</w:t>
      </w:r>
      <w:r>
        <w:rPr>
          <w:lang w:eastAsia="en-AU"/>
        </w:rPr>
        <w:t>ompatibility</w:t>
      </w:r>
      <w:bookmarkEnd w:id="264"/>
      <w:bookmarkEnd w:id="265"/>
    </w:p>
    <w:p w14:paraId="22AA8408" w14:textId="33C05E42" w:rsidR="00715CBB" w:rsidRDefault="00715CBB" w:rsidP="00715CBB">
      <w:pPr>
        <w:rPr>
          <w:lang w:eastAsia="en-AU"/>
        </w:rPr>
      </w:pPr>
      <w:r>
        <w:rPr>
          <w:lang w:eastAsia="en-AU"/>
        </w:rPr>
        <w:t xml:space="preserve">Since the commencement of </w:t>
      </w:r>
      <w:r w:rsidR="00EE2BD2">
        <w:rPr>
          <w:lang w:eastAsia="en-AU"/>
        </w:rPr>
        <w:t>the Human Rights Act</w:t>
      </w:r>
      <w:r>
        <w:rPr>
          <w:lang w:eastAsia="en-AU"/>
        </w:rPr>
        <w:t xml:space="preserve">, </w:t>
      </w:r>
      <w:r w:rsidR="00C6641A">
        <w:rPr>
          <w:lang w:eastAsia="en-AU"/>
        </w:rPr>
        <w:t xml:space="preserve">portfolio committees have provided the following general guidance on requirements for </w:t>
      </w:r>
      <w:r w:rsidR="00BE013E">
        <w:rPr>
          <w:lang w:eastAsia="en-AU"/>
        </w:rPr>
        <w:t>s</w:t>
      </w:r>
      <w:r w:rsidR="00C6641A">
        <w:rPr>
          <w:lang w:eastAsia="en-AU"/>
        </w:rPr>
        <w:t xml:space="preserve">tatements of </w:t>
      </w:r>
      <w:r w:rsidR="00BE013E">
        <w:rPr>
          <w:lang w:eastAsia="en-AU"/>
        </w:rPr>
        <w:t>c</w:t>
      </w:r>
      <w:r w:rsidR="00C6641A">
        <w:rPr>
          <w:lang w:eastAsia="en-AU"/>
        </w:rPr>
        <w:t>ompatibility:</w:t>
      </w:r>
    </w:p>
    <w:tbl>
      <w:tblPr>
        <w:tblStyle w:val="TableGrid"/>
        <w:tblW w:w="0" w:type="auto"/>
        <w:tblBorders>
          <w:top w:val="single" w:sz="4" w:space="0" w:color="347B9F"/>
          <w:left w:val="none" w:sz="0" w:space="0" w:color="auto"/>
          <w:bottom w:val="single" w:sz="4" w:space="0" w:color="347B9F"/>
          <w:right w:val="none" w:sz="0" w:space="0" w:color="auto"/>
          <w:insideH w:val="single" w:sz="4" w:space="0" w:color="347B9F"/>
          <w:insideV w:val="none" w:sz="0" w:space="0" w:color="auto"/>
        </w:tblBorders>
        <w:tblLook w:val="04A0" w:firstRow="1" w:lastRow="0" w:firstColumn="1" w:lastColumn="0" w:noHBand="0" w:noVBand="1"/>
      </w:tblPr>
      <w:tblGrid>
        <w:gridCol w:w="1820"/>
        <w:gridCol w:w="1566"/>
        <w:gridCol w:w="2421"/>
        <w:gridCol w:w="3219"/>
      </w:tblGrid>
      <w:tr w:rsidR="00FA1BC8" w:rsidRPr="00FA1BC8" w14:paraId="24BD0BF3" w14:textId="77777777" w:rsidTr="00B132DB">
        <w:tc>
          <w:tcPr>
            <w:tcW w:w="0" w:type="auto"/>
          </w:tcPr>
          <w:p w14:paraId="31CEC319" w14:textId="77777777" w:rsidR="00FA1BC8" w:rsidRPr="00FA1BC8" w:rsidRDefault="00FA1BC8" w:rsidP="00BF15E3">
            <w:pPr>
              <w:pStyle w:val="Tableheading"/>
              <w:rPr>
                <w:lang w:eastAsia="en-AU"/>
              </w:rPr>
            </w:pPr>
            <w:r w:rsidRPr="00FA1BC8">
              <w:rPr>
                <w:lang w:eastAsia="en-AU"/>
              </w:rPr>
              <w:t>Issue</w:t>
            </w:r>
          </w:p>
        </w:tc>
        <w:tc>
          <w:tcPr>
            <w:tcW w:w="0" w:type="auto"/>
          </w:tcPr>
          <w:p w14:paraId="641F588B" w14:textId="77777777" w:rsidR="00FA1BC8" w:rsidRPr="00FA1BC8" w:rsidRDefault="00FA1BC8" w:rsidP="00BF15E3">
            <w:pPr>
              <w:pStyle w:val="Tableheading"/>
              <w:rPr>
                <w:lang w:eastAsia="en-AU"/>
              </w:rPr>
            </w:pPr>
            <w:r w:rsidRPr="00FA1BC8">
              <w:rPr>
                <w:lang w:eastAsia="en-AU"/>
              </w:rPr>
              <w:t>Committee</w:t>
            </w:r>
          </w:p>
        </w:tc>
        <w:tc>
          <w:tcPr>
            <w:tcW w:w="0" w:type="auto"/>
          </w:tcPr>
          <w:p w14:paraId="2194AAC2" w14:textId="77777777" w:rsidR="00FA1BC8" w:rsidRPr="00FA1BC8" w:rsidRDefault="00FA1BC8" w:rsidP="00BF15E3">
            <w:pPr>
              <w:pStyle w:val="Tableheading"/>
              <w:rPr>
                <w:lang w:eastAsia="en-AU"/>
              </w:rPr>
            </w:pPr>
            <w:r w:rsidRPr="00FA1BC8">
              <w:rPr>
                <w:lang w:eastAsia="en-AU"/>
              </w:rPr>
              <w:t>Inquiry</w:t>
            </w:r>
          </w:p>
        </w:tc>
        <w:tc>
          <w:tcPr>
            <w:tcW w:w="0" w:type="auto"/>
          </w:tcPr>
          <w:p w14:paraId="5F679B48" w14:textId="77777777" w:rsidR="00FA1BC8" w:rsidRPr="00FA1BC8" w:rsidRDefault="00FA1BC8" w:rsidP="00BF15E3">
            <w:pPr>
              <w:pStyle w:val="Tableheading"/>
              <w:rPr>
                <w:lang w:eastAsia="en-AU"/>
              </w:rPr>
            </w:pPr>
            <w:r w:rsidRPr="00FA1BC8">
              <w:rPr>
                <w:lang w:eastAsia="en-AU"/>
              </w:rPr>
              <w:t xml:space="preserve">Requirement </w:t>
            </w:r>
          </w:p>
        </w:tc>
      </w:tr>
      <w:tr w:rsidR="00FA1BC8" w:rsidRPr="00FA1BC8" w14:paraId="542EE695" w14:textId="77777777" w:rsidTr="00B132DB">
        <w:tc>
          <w:tcPr>
            <w:tcW w:w="0" w:type="auto"/>
          </w:tcPr>
          <w:p w14:paraId="0380273F" w14:textId="77777777" w:rsidR="00FA1BC8" w:rsidRPr="00FA1BC8" w:rsidRDefault="00FA1BC8" w:rsidP="000077B3">
            <w:pPr>
              <w:pStyle w:val="Tabletext"/>
              <w:rPr>
                <w:lang w:eastAsia="en-AU"/>
              </w:rPr>
            </w:pPr>
            <w:r w:rsidRPr="00FA1BC8">
              <w:rPr>
                <w:lang w:eastAsia="en-AU"/>
              </w:rPr>
              <w:t>Rights that refer to arbitrary and/or unlawful interference</w:t>
            </w:r>
          </w:p>
        </w:tc>
        <w:tc>
          <w:tcPr>
            <w:tcW w:w="0" w:type="auto"/>
          </w:tcPr>
          <w:p w14:paraId="666E57AD" w14:textId="77777777" w:rsidR="00FA1BC8" w:rsidRPr="00FA1BC8" w:rsidRDefault="00FA1BC8" w:rsidP="000077B3">
            <w:pPr>
              <w:pStyle w:val="Tabletext"/>
              <w:rPr>
                <w:lang w:eastAsia="en-AU"/>
              </w:rPr>
            </w:pPr>
            <w:r w:rsidRPr="00FA1BC8">
              <w:rPr>
                <w:lang w:eastAsia="en-AU"/>
              </w:rPr>
              <w:t xml:space="preserve">Health and Environment Committee </w:t>
            </w:r>
          </w:p>
        </w:tc>
        <w:tc>
          <w:tcPr>
            <w:tcW w:w="0" w:type="auto"/>
          </w:tcPr>
          <w:p w14:paraId="3226861A" w14:textId="77777777" w:rsidR="00FA1BC8" w:rsidRPr="00FA1BC8" w:rsidRDefault="00FA1BC8" w:rsidP="000077B3">
            <w:pPr>
              <w:pStyle w:val="Tabletext"/>
            </w:pPr>
            <w:r w:rsidRPr="00FA1BC8">
              <w:t>Report No. 21, 57th Parliament: Health Practitioner Regulation National Law and Other Legislation Amendment Bill 2022</w:t>
            </w:r>
          </w:p>
          <w:p w14:paraId="0AF36FC3" w14:textId="77777777" w:rsidR="00FA1BC8" w:rsidRPr="00FA1BC8" w:rsidRDefault="00FA1BC8" w:rsidP="000077B3">
            <w:pPr>
              <w:pStyle w:val="Tabletext"/>
              <w:rPr>
                <w:lang w:eastAsia="en-AU"/>
              </w:rPr>
            </w:pPr>
          </w:p>
        </w:tc>
        <w:tc>
          <w:tcPr>
            <w:tcW w:w="0" w:type="auto"/>
          </w:tcPr>
          <w:p w14:paraId="381336ED" w14:textId="65AFAD63" w:rsidR="00FA1BC8" w:rsidRPr="00FA1BC8" w:rsidRDefault="00FA1BC8" w:rsidP="000077B3">
            <w:pPr>
              <w:pStyle w:val="Tabletext"/>
              <w:rPr>
                <w:lang w:eastAsia="en-AU"/>
              </w:rPr>
            </w:pPr>
            <w:r w:rsidRPr="00FA1BC8">
              <w:rPr>
                <w:lang w:eastAsia="en-AU"/>
              </w:rPr>
              <w:t>Statement</w:t>
            </w:r>
            <w:r w:rsidR="000978F4">
              <w:rPr>
                <w:lang w:eastAsia="en-AU"/>
              </w:rPr>
              <w:t xml:space="preserve">s of </w:t>
            </w:r>
            <w:r w:rsidR="00BE013E">
              <w:rPr>
                <w:lang w:eastAsia="en-AU"/>
              </w:rPr>
              <w:t>c</w:t>
            </w:r>
            <w:r w:rsidR="000978F4">
              <w:rPr>
                <w:lang w:eastAsia="en-AU"/>
              </w:rPr>
              <w:t>ompatibility</w:t>
            </w:r>
            <w:r w:rsidRPr="00FA1BC8">
              <w:rPr>
                <w:lang w:eastAsia="en-AU"/>
              </w:rPr>
              <w:t xml:space="preserve"> should still undertake a</w:t>
            </w:r>
            <w:r w:rsidR="000978F4">
              <w:rPr>
                <w:lang w:eastAsia="en-AU"/>
              </w:rPr>
              <w:t>n</w:t>
            </w:r>
            <w:r w:rsidR="001D73FE">
              <w:rPr>
                <w:lang w:eastAsia="en-AU"/>
              </w:rPr>
              <w:t xml:space="preserve"> </w:t>
            </w:r>
            <w:r w:rsidRPr="00FA1BC8">
              <w:rPr>
                <w:lang w:eastAsia="en-AU"/>
              </w:rPr>
              <w:t xml:space="preserve">analysis </w:t>
            </w:r>
            <w:r w:rsidR="001D73FE">
              <w:rPr>
                <w:lang w:eastAsia="en-AU"/>
              </w:rPr>
              <w:t>under section 13 (</w:t>
            </w:r>
            <w:r w:rsidR="003E4B5F">
              <w:rPr>
                <w:lang w:eastAsia="en-AU"/>
              </w:rPr>
              <w:t xml:space="preserve">to determine if a limitation </w:t>
            </w:r>
            <w:r w:rsidR="00183B8D">
              <w:rPr>
                <w:lang w:eastAsia="en-AU"/>
              </w:rPr>
              <w:t>of</w:t>
            </w:r>
            <w:r w:rsidR="003E4B5F">
              <w:rPr>
                <w:lang w:eastAsia="en-AU"/>
              </w:rPr>
              <w:t xml:space="preserve"> a human right is </w:t>
            </w:r>
            <w:r w:rsidR="00183B8D">
              <w:rPr>
                <w:lang w:eastAsia="en-AU"/>
              </w:rPr>
              <w:t>reasonable and justifiable)</w:t>
            </w:r>
            <w:r w:rsidR="001D73FE">
              <w:rPr>
                <w:lang w:eastAsia="en-AU"/>
              </w:rPr>
              <w:t xml:space="preserve"> </w:t>
            </w:r>
            <w:r w:rsidRPr="00FA1BC8">
              <w:rPr>
                <w:lang w:eastAsia="en-AU"/>
              </w:rPr>
              <w:t xml:space="preserve">even if the Minister suggests that there is not an unlawful or arbitrary interference with the right. </w:t>
            </w:r>
          </w:p>
        </w:tc>
      </w:tr>
      <w:tr w:rsidR="00FA1BC8" w:rsidRPr="00FA1BC8" w14:paraId="02FE6070" w14:textId="77777777" w:rsidTr="00B132DB">
        <w:tc>
          <w:tcPr>
            <w:tcW w:w="0" w:type="auto"/>
          </w:tcPr>
          <w:p w14:paraId="2650BCB8" w14:textId="4B6C4074" w:rsidR="00FA1BC8" w:rsidRPr="00FA1BC8" w:rsidRDefault="00FA1BC8" w:rsidP="000077B3">
            <w:pPr>
              <w:pStyle w:val="Tabletext"/>
              <w:rPr>
                <w:lang w:eastAsia="en-AU"/>
              </w:rPr>
            </w:pPr>
            <w:r w:rsidRPr="00FA1BC8">
              <w:rPr>
                <w:lang w:eastAsia="en-AU"/>
              </w:rPr>
              <w:t xml:space="preserve">Where </w:t>
            </w:r>
            <w:r w:rsidR="00F272E2">
              <w:rPr>
                <w:lang w:eastAsia="en-AU"/>
              </w:rPr>
              <w:t xml:space="preserve">a </w:t>
            </w:r>
            <w:r w:rsidRPr="00FA1BC8">
              <w:rPr>
                <w:lang w:eastAsia="en-AU"/>
              </w:rPr>
              <w:t xml:space="preserve">Bill primarily </w:t>
            </w:r>
            <w:r w:rsidR="00FE7F19">
              <w:rPr>
                <w:lang w:eastAsia="en-AU"/>
              </w:rPr>
              <w:t>concerns</w:t>
            </w:r>
            <w:r w:rsidRPr="00FA1BC8">
              <w:rPr>
                <w:lang w:eastAsia="en-AU"/>
              </w:rPr>
              <w:t xml:space="preserve"> </w:t>
            </w:r>
            <w:r w:rsidR="00FE7F19">
              <w:rPr>
                <w:lang w:eastAsia="en-AU"/>
              </w:rPr>
              <w:t xml:space="preserve">acts or decisions of </w:t>
            </w:r>
            <w:r w:rsidRPr="00FA1BC8">
              <w:rPr>
                <w:lang w:eastAsia="en-AU"/>
              </w:rPr>
              <w:t>corporations and/or associations</w:t>
            </w:r>
          </w:p>
        </w:tc>
        <w:tc>
          <w:tcPr>
            <w:tcW w:w="0" w:type="auto"/>
          </w:tcPr>
          <w:p w14:paraId="0264A97A" w14:textId="77777777" w:rsidR="00FA1BC8" w:rsidRPr="00FA1BC8" w:rsidRDefault="00FA1BC8" w:rsidP="000077B3">
            <w:pPr>
              <w:pStyle w:val="Tabletext"/>
              <w:rPr>
                <w:lang w:eastAsia="en-AU"/>
              </w:rPr>
            </w:pPr>
            <w:r w:rsidRPr="00FA1BC8">
              <w:rPr>
                <w:lang w:eastAsia="en-AU"/>
              </w:rPr>
              <w:t>Legal Affairs and Safety Committee</w:t>
            </w:r>
          </w:p>
        </w:tc>
        <w:tc>
          <w:tcPr>
            <w:tcW w:w="0" w:type="auto"/>
          </w:tcPr>
          <w:p w14:paraId="6AC65D7F" w14:textId="50443B73" w:rsidR="00FA1BC8" w:rsidRPr="00FA1BC8" w:rsidRDefault="00FA1BC8" w:rsidP="000077B3">
            <w:pPr>
              <w:pStyle w:val="Tabletext"/>
              <w:rPr>
                <w:lang w:eastAsia="en-AU"/>
              </w:rPr>
            </w:pPr>
            <w:r w:rsidRPr="00FA1BC8">
              <w:rPr>
                <w:lang w:eastAsia="en-AU"/>
              </w:rPr>
              <w:t>Report No. 28, 57th Parliament: Casino Control and Other Legislation Amendment Bill 2022</w:t>
            </w:r>
          </w:p>
        </w:tc>
        <w:tc>
          <w:tcPr>
            <w:tcW w:w="0" w:type="auto"/>
          </w:tcPr>
          <w:p w14:paraId="45CDCB55" w14:textId="37478D9D" w:rsidR="00FA1BC8" w:rsidRPr="00FA1BC8" w:rsidRDefault="00FA1BC8" w:rsidP="000077B3">
            <w:pPr>
              <w:pStyle w:val="Tabletext"/>
              <w:rPr>
                <w:lang w:eastAsia="en-AU"/>
              </w:rPr>
            </w:pPr>
            <w:r w:rsidRPr="00FA1BC8">
              <w:rPr>
                <w:lang w:eastAsia="en-AU"/>
              </w:rPr>
              <w:t>While provisions aimed at</w:t>
            </w:r>
            <w:r w:rsidR="005433D1">
              <w:rPr>
                <w:lang w:eastAsia="en-AU"/>
              </w:rPr>
              <w:t xml:space="preserve"> </w:t>
            </w:r>
            <w:r w:rsidRPr="00FA1BC8">
              <w:rPr>
                <w:lang w:eastAsia="en-AU"/>
              </w:rPr>
              <w:t>corporations or associations do not engage human rights, per se, this does not</w:t>
            </w:r>
            <w:r w:rsidR="005433D1">
              <w:rPr>
                <w:lang w:eastAsia="en-AU"/>
              </w:rPr>
              <w:t xml:space="preserve"> </w:t>
            </w:r>
            <w:r w:rsidRPr="00FA1BC8">
              <w:rPr>
                <w:lang w:eastAsia="en-AU"/>
              </w:rPr>
              <w:t>remove the need to consider whether human rights may be adversely affected when corporate</w:t>
            </w:r>
            <w:r w:rsidR="005433D1">
              <w:rPr>
                <w:lang w:eastAsia="en-AU"/>
              </w:rPr>
              <w:t xml:space="preserve"> </w:t>
            </w:r>
            <w:r w:rsidRPr="00FA1BC8">
              <w:rPr>
                <w:lang w:eastAsia="en-AU"/>
              </w:rPr>
              <w:t>officers are directly implicated by provisions affecting corporations</w:t>
            </w:r>
            <w:r w:rsidR="005433D1">
              <w:rPr>
                <w:lang w:eastAsia="en-AU"/>
              </w:rPr>
              <w:t xml:space="preserve">. </w:t>
            </w:r>
          </w:p>
        </w:tc>
      </w:tr>
      <w:tr w:rsidR="00FA1BC8" w:rsidRPr="00FA1BC8" w14:paraId="02AB364C" w14:textId="77777777" w:rsidTr="00B132DB">
        <w:tc>
          <w:tcPr>
            <w:tcW w:w="0" w:type="auto"/>
          </w:tcPr>
          <w:p w14:paraId="73C65305" w14:textId="6AE76AF9" w:rsidR="00FA1BC8" w:rsidRPr="00FA1BC8" w:rsidRDefault="00FA1BC8" w:rsidP="000077B3">
            <w:pPr>
              <w:pStyle w:val="Tabletext"/>
              <w:rPr>
                <w:lang w:eastAsia="en-AU"/>
              </w:rPr>
            </w:pPr>
            <w:r w:rsidRPr="00FA1BC8">
              <w:rPr>
                <w:lang w:eastAsia="en-AU"/>
              </w:rPr>
              <w:t xml:space="preserve">Existing Acts amended by </w:t>
            </w:r>
            <w:r w:rsidR="00DC22E7">
              <w:rPr>
                <w:lang w:eastAsia="en-AU"/>
              </w:rPr>
              <w:t>B</w:t>
            </w:r>
            <w:r w:rsidRPr="00FA1BC8">
              <w:rPr>
                <w:lang w:eastAsia="en-AU"/>
              </w:rPr>
              <w:t xml:space="preserve">ills </w:t>
            </w:r>
          </w:p>
        </w:tc>
        <w:tc>
          <w:tcPr>
            <w:tcW w:w="0" w:type="auto"/>
          </w:tcPr>
          <w:p w14:paraId="1A6BD8B6" w14:textId="77777777" w:rsidR="00FA1BC8" w:rsidRPr="00FA1BC8" w:rsidRDefault="00FA1BC8" w:rsidP="000077B3">
            <w:pPr>
              <w:pStyle w:val="Tabletext"/>
              <w:rPr>
                <w:lang w:eastAsia="en-AU"/>
              </w:rPr>
            </w:pPr>
            <w:r w:rsidRPr="00FA1BC8">
              <w:rPr>
                <w:lang w:eastAsia="en-AU"/>
              </w:rPr>
              <w:t>Economics and Governance Committee</w:t>
            </w:r>
          </w:p>
        </w:tc>
        <w:tc>
          <w:tcPr>
            <w:tcW w:w="0" w:type="auto"/>
          </w:tcPr>
          <w:p w14:paraId="36658C45" w14:textId="5E8A7F81" w:rsidR="00FA1BC8" w:rsidRPr="00FA1BC8" w:rsidRDefault="00FA1BC8" w:rsidP="000077B3">
            <w:pPr>
              <w:pStyle w:val="Tabletext"/>
              <w:rPr>
                <w:lang w:eastAsia="en-AU"/>
              </w:rPr>
            </w:pPr>
            <w:r w:rsidRPr="00FA1BC8">
              <w:rPr>
                <w:lang w:eastAsia="en-AU"/>
              </w:rPr>
              <w:t>Report No</w:t>
            </w:r>
            <w:r w:rsidR="00F67CBB">
              <w:rPr>
                <w:lang w:eastAsia="en-AU"/>
              </w:rPr>
              <w:t>.</w:t>
            </w:r>
            <w:r w:rsidRPr="00FA1BC8">
              <w:rPr>
                <w:lang w:eastAsia="en-AU"/>
              </w:rPr>
              <w:t xml:space="preserve"> 24, 57th Parliament</w:t>
            </w:r>
            <w:r w:rsidR="004F651B">
              <w:rPr>
                <w:lang w:eastAsia="en-AU"/>
              </w:rPr>
              <w:t>:</w:t>
            </w:r>
            <w:r w:rsidRPr="00FA1BC8">
              <w:rPr>
                <w:lang w:eastAsia="en-AU"/>
              </w:rPr>
              <w:t xml:space="preserve"> State Penalties Enforcement (Modernisation) Amendment Bill 2022</w:t>
            </w:r>
          </w:p>
        </w:tc>
        <w:tc>
          <w:tcPr>
            <w:tcW w:w="0" w:type="auto"/>
          </w:tcPr>
          <w:p w14:paraId="70C2F7D9" w14:textId="66289A59" w:rsidR="00FA1BC8" w:rsidRPr="00FA1BC8" w:rsidRDefault="00FA1BC8" w:rsidP="000077B3">
            <w:pPr>
              <w:pStyle w:val="Tabletext"/>
              <w:rPr>
                <w:lang w:eastAsia="en-AU"/>
              </w:rPr>
            </w:pPr>
            <w:r w:rsidRPr="00FA1BC8">
              <w:rPr>
                <w:lang w:eastAsia="en-AU"/>
              </w:rPr>
              <w:t xml:space="preserve">The </w:t>
            </w:r>
            <w:r w:rsidR="00897892">
              <w:rPr>
                <w:lang w:eastAsia="en-AU"/>
              </w:rPr>
              <w:t>s</w:t>
            </w:r>
            <w:r w:rsidRPr="00FA1BC8">
              <w:rPr>
                <w:lang w:eastAsia="en-AU"/>
              </w:rPr>
              <w:t xml:space="preserve">tatement </w:t>
            </w:r>
            <w:r w:rsidR="00183B8D">
              <w:rPr>
                <w:lang w:eastAsia="en-AU"/>
              </w:rPr>
              <w:t xml:space="preserve">of </w:t>
            </w:r>
            <w:r w:rsidR="00897892">
              <w:rPr>
                <w:lang w:eastAsia="en-AU"/>
              </w:rPr>
              <w:t>c</w:t>
            </w:r>
            <w:r w:rsidR="00183B8D">
              <w:rPr>
                <w:lang w:eastAsia="en-AU"/>
              </w:rPr>
              <w:t xml:space="preserve">ompatibility </w:t>
            </w:r>
            <w:r w:rsidRPr="00FA1BC8">
              <w:rPr>
                <w:lang w:eastAsia="en-AU"/>
              </w:rPr>
              <w:t xml:space="preserve">should consider the entirety of the Act as amended, including existing provisions not amended by the </w:t>
            </w:r>
            <w:r w:rsidR="000645C4">
              <w:rPr>
                <w:lang w:eastAsia="en-AU"/>
              </w:rPr>
              <w:t>B</w:t>
            </w:r>
            <w:r w:rsidRPr="00FA1BC8">
              <w:rPr>
                <w:lang w:eastAsia="en-AU"/>
              </w:rPr>
              <w:t xml:space="preserve">ill. </w:t>
            </w:r>
          </w:p>
        </w:tc>
      </w:tr>
      <w:tr w:rsidR="00FA1BC8" w:rsidRPr="00FA1BC8" w14:paraId="55F28174" w14:textId="77777777" w:rsidTr="00B132DB">
        <w:tc>
          <w:tcPr>
            <w:tcW w:w="0" w:type="auto"/>
          </w:tcPr>
          <w:p w14:paraId="7D4EBBD3" w14:textId="35CDC809" w:rsidR="00FA1BC8" w:rsidRPr="00FA1BC8" w:rsidRDefault="00B6370D" w:rsidP="000077B3">
            <w:pPr>
              <w:pStyle w:val="Tabletext"/>
              <w:rPr>
                <w:lang w:eastAsia="en-AU"/>
              </w:rPr>
            </w:pPr>
            <w:r>
              <w:rPr>
                <w:lang w:eastAsia="en-AU"/>
              </w:rPr>
              <w:t>Surveillance</w:t>
            </w:r>
            <w:r w:rsidR="00DD40E7">
              <w:rPr>
                <w:lang w:eastAsia="en-AU"/>
              </w:rPr>
              <w:t xml:space="preserve"> and cameras</w:t>
            </w:r>
          </w:p>
        </w:tc>
        <w:tc>
          <w:tcPr>
            <w:tcW w:w="0" w:type="auto"/>
          </w:tcPr>
          <w:p w14:paraId="50889307" w14:textId="77777777" w:rsidR="00FA1BC8" w:rsidRDefault="00FA1BC8" w:rsidP="000077B3">
            <w:pPr>
              <w:pStyle w:val="Tabletext"/>
              <w:rPr>
                <w:lang w:eastAsia="en-AU"/>
              </w:rPr>
            </w:pPr>
            <w:r w:rsidRPr="00FA1BC8">
              <w:rPr>
                <w:lang w:eastAsia="en-AU"/>
              </w:rPr>
              <w:t>Health and Environment Committee</w:t>
            </w:r>
          </w:p>
          <w:p w14:paraId="10BB058E" w14:textId="77777777" w:rsidR="00B30285" w:rsidRPr="00FA1BC8" w:rsidRDefault="00B30285" w:rsidP="000077B3">
            <w:pPr>
              <w:pStyle w:val="Tabletext"/>
              <w:rPr>
                <w:lang w:eastAsia="en-AU"/>
              </w:rPr>
            </w:pPr>
          </w:p>
          <w:p w14:paraId="227D4A63" w14:textId="77777777" w:rsidR="00FA1BC8" w:rsidRPr="00FA1BC8" w:rsidRDefault="00FA1BC8" w:rsidP="000077B3">
            <w:pPr>
              <w:pStyle w:val="Tabletext"/>
              <w:rPr>
                <w:lang w:eastAsia="en-AU"/>
              </w:rPr>
            </w:pPr>
          </w:p>
          <w:p w14:paraId="3B9B7F72" w14:textId="77777777" w:rsidR="00FA1BC8" w:rsidRPr="00FA1BC8" w:rsidRDefault="00FA1BC8" w:rsidP="000077B3">
            <w:pPr>
              <w:pStyle w:val="Tabletext"/>
              <w:rPr>
                <w:lang w:eastAsia="en-AU"/>
              </w:rPr>
            </w:pPr>
          </w:p>
          <w:p w14:paraId="7AD21C78" w14:textId="77777777" w:rsidR="00FA1BC8" w:rsidRPr="00FA1BC8" w:rsidRDefault="00FA1BC8" w:rsidP="000077B3">
            <w:pPr>
              <w:pStyle w:val="Tabletext"/>
              <w:rPr>
                <w:lang w:eastAsia="en-AU"/>
              </w:rPr>
            </w:pPr>
            <w:r w:rsidRPr="00FA1BC8">
              <w:rPr>
                <w:lang w:eastAsia="en-AU"/>
              </w:rPr>
              <w:t>Economics and Governance Committee</w:t>
            </w:r>
          </w:p>
        </w:tc>
        <w:tc>
          <w:tcPr>
            <w:tcW w:w="0" w:type="auto"/>
          </w:tcPr>
          <w:p w14:paraId="699B30A3" w14:textId="45ED6F34" w:rsidR="00FA1BC8" w:rsidRPr="00FA1BC8" w:rsidRDefault="00FA1BC8" w:rsidP="000077B3">
            <w:pPr>
              <w:pStyle w:val="Tabletext"/>
              <w:rPr>
                <w:lang w:eastAsia="en-AU"/>
              </w:rPr>
            </w:pPr>
            <w:r w:rsidRPr="00FA1BC8">
              <w:rPr>
                <w:lang w:eastAsia="en-AU"/>
              </w:rPr>
              <w:t>Report No. 27, 57th Parliament</w:t>
            </w:r>
            <w:r w:rsidR="004F651B">
              <w:rPr>
                <w:lang w:eastAsia="en-AU"/>
              </w:rPr>
              <w:t>:</w:t>
            </w:r>
            <w:r w:rsidRPr="00FA1BC8">
              <w:rPr>
                <w:lang w:eastAsia="en-AU"/>
              </w:rPr>
              <w:t xml:space="preserve"> Environmental Protection and Other Legislation Amendment Bill 2022</w:t>
            </w:r>
          </w:p>
          <w:p w14:paraId="01A5BF9A" w14:textId="77777777" w:rsidR="00FA1BC8" w:rsidRPr="00FA1BC8" w:rsidRDefault="00FA1BC8" w:rsidP="000077B3">
            <w:pPr>
              <w:pStyle w:val="Tabletext"/>
              <w:rPr>
                <w:lang w:eastAsia="en-AU"/>
              </w:rPr>
            </w:pPr>
          </w:p>
          <w:p w14:paraId="4EB41704" w14:textId="47D849B1" w:rsidR="00FA1BC8" w:rsidRPr="00FA1BC8" w:rsidRDefault="00FA1BC8" w:rsidP="000077B3">
            <w:pPr>
              <w:pStyle w:val="Tabletext"/>
              <w:rPr>
                <w:lang w:eastAsia="en-AU"/>
              </w:rPr>
            </w:pPr>
            <w:r w:rsidRPr="00FA1BC8">
              <w:rPr>
                <w:lang w:eastAsia="en-AU"/>
              </w:rPr>
              <w:t>Report No</w:t>
            </w:r>
            <w:r w:rsidR="00435869">
              <w:rPr>
                <w:lang w:eastAsia="en-AU"/>
              </w:rPr>
              <w:t>.</w:t>
            </w:r>
            <w:r w:rsidRPr="00FA1BC8">
              <w:rPr>
                <w:lang w:eastAsia="en-AU"/>
              </w:rPr>
              <w:t xml:space="preserve"> 24, 57th Parliament</w:t>
            </w:r>
            <w:r w:rsidR="004F651B">
              <w:rPr>
                <w:lang w:eastAsia="en-AU"/>
              </w:rPr>
              <w:t>:</w:t>
            </w:r>
            <w:r w:rsidRPr="00FA1BC8">
              <w:rPr>
                <w:lang w:eastAsia="en-AU"/>
              </w:rPr>
              <w:t xml:space="preserve"> State Penalties Enforcement (Modernisation) Amendment Bill 2022</w:t>
            </w:r>
          </w:p>
        </w:tc>
        <w:tc>
          <w:tcPr>
            <w:tcW w:w="0" w:type="auto"/>
          </w:tcPr>
          <w:p w14:paraId="6DE3C466" w14:textId="7620FF19" w:rsidR="00FA1BC8" w:rsidRPr="00FA1BC8" w:rsidRDefault="00FA1BC8" w:rsidP="000077B3">
            <w:pPr>
              <w:pStyle w:val="Tabletext"/>
              <w:rPr>
                <w:lang w:eastAsia="en-AU"/>
              </w:rPr>
            </w:pPr>
            <w:r w:rsidRPr="00FA1BC8">
              <w:rPr>
                <w:lang w:eastAsia="en-AU"/>
              </w:rPr>
              <w:t>Statements</w:t>
            </w:r>
            <w:r w:rsidR="00B6370D">
              <w:rPr>
                <w:lang w:eastAsia="en-AU"/>
              </w:rPr>
              <w:t xml:space="preserve"> of </w:t>
            </w:r>
            <w:r w:rsidR="00897892">
              <w:rPr>
                <w:lang w:eastAsia="en-AU"/>
              </w:rPr>
              <w:t>c</w:t>
            </w:r>
            <w:r w:rsidR="00B6370D">
              <w:rPr>
                <w:lang w:eastAsia="en-AU"/>
              </w:rPr>
              <w:t>ompatibility</w:t>
            </w:r>
            <w:r w:rsidRPr="00FA1BC8">
              <w:rPr>
                <w:lang w:eastAsia="en-AU"/>
              </w:rPr>
              <w:t xml:space="preserve"> should address the limitation on the right to privacy arising from the use of cameras and storage of footage (body-worn, CCTV, etc). </w:t>
            </w:r>
          </w:p>
        </w:tc>
      </w:tr>
      <w:tr w:rsidR="00FA1BC8" w:rsidRPr="00FA1BC8" w14:paraId="44B1DD3C" w14:textId="77777777" w:rsidTr="00B132DB">
        <w:tc>
          <w:tcPr>
            <w:tcW w:w="0" w:type="auto"/>
          </w:tcPr>
          <w:p w14:paraId="535D177B" w14:textId="77777777" w:rsidR="00FA1BC8" w:rsidRPr="00FA1BC8" w:rsidRDefault="00FA1BC8" w:rsidP="000077B3">
            <w:pPr>
              <w:pStyle w:val="Tabletext"/>
              <w:rPr>
                <w:lang w:eastAsia="en-AU"/>
              </w:rPr>
            </w:pPr>
            <w:r w:rsidRPr="00FA1BC8">
              <w:rPr>
                <w:lang w:eastAsia="en-AU"/>
              </w:rPr>
              <w:t>Onus of proof in criminal matters</w:t>
            </w:r>
          </w:p>
        </w:tc>
        <w:tc>
          <w:tcPr>
            <w:tcW w:w="0" w:type="auto"/>
          </w:tcPr>
          <w:p w14:paraId="355AA971" w14:textId="77777777" w:rsidR="00FA1BC8" w:rsidRPr="00FA1BC8" w:rsidRDefault="00FA1BC8" w:rsidP="000077B3">
            <w:pPr>
              <w:pStyle w:val="Tabletext"/>
              <w:rPr>
                <w:lang w:eastAsia="en-AU"/>
              </w:rPr>
            </w:pPr>
            <w:r w:rsidRPr="00FA1BC8">
              <w:rPr>
                <w:lang w:eastAsia="en-AU"/>
              </w:rPr>
              <w:t>Health and Environment Committee</w:t>
            </w:r>
          </w:p>
        </w:tc>
        <w:tc>
          <w:tcPr>
            <w:tcW w:w="0" w:type="auto"/>
          </w:tcPr>
          <w:p w14:paraId="72233322" w14:textId="5258EABA" w:rsidR="00FA1BC8" w:rsidRPr="00FA1BC8" w:rsidRDefault="00FA1BC8" w:rsidP="000077B3">
            <w:pPr>
              <w:pStyle w:val="Tabletext"/>
              <w:rPr>
                <w:lang w:eastAsia="en-AU"/>
              </w:rPr>
            </w:pPr>
            <w:r w:rsidRPr="00FA1BC8">
              <w:rPr>
                <w:lang w:eastAsia="en-AU"/>
              </w:rPr>
              <w:t>Report No. 27, 57th Parliament</w:t>
            </w:r>
            <w:r w:rsidR="004F651B">
              <w:rPr>
                <w:lang w:eastAsia="en-AU"/>
              </w:rPr>
              <w:t>:</w:t>
            </w:r>
            <w:r w:rsidR="00E865C3">
              <w:rPr>
                <w:lang w:eastAsia="en-AU"/>
              </w:rPr>
              <w:t xml:space="preserve"> </w:t>
            </w:r>
            <w:r w:rsidRPr="00FA1BC8">
              <w:rPr>
                <w:lang w:eastAsia="en-AU"/>
              </w:rPr>
              <w:t>Environmental Protection and Other Legislation Amendment Bill 2022</w:t>
            </w:r>
          </w:p>
        </w:tc>
        <w:tc>
          <w:tcPr>
            <w:tcW w:w="0" w:type="auto"/>
          </w:tcPr>
          <w:p w14:paraId="4B6D8C72" w14:textId="6950E166" w:rsidR="00FA1BC8" w:rsidRPr="00FA1BC8" w:rsidRDefault="00FA1BC8" w:rsidP="000077B3">
            <w:pPr>
              <w:pStyle w:val="Tabletext"/>
              <w:rPr>
                <w:lang w:eastAsia="en-AU"/>
              </w:rPr>
            </w:pPr>
            <w:r w:rsidRPr="00FA1BC8">
              <w:rPr>
                <w:lang w:eastAsia="en-AU"/>
              </w:rPr>
              <w:t xml:space="preserve">Limitations on </w:t>
            </w:r>
            <w:r w:rsidR="0061398E">
              <w:rPr>
                <w:lang w:eastAsia="en-AU"/>
              </w:rPr>
              <w:t>the rights in criminal proceedings</w:t>
            </w:r>
            <w:r w:rsidR="0061398E">
              <w:rPr>
                <w:rStyle w:val="FootnoteReference"/>
                <w:lang w:eastAsia="en-AU"/>
              </w:rPr>
              <w:footnoteReference w:id="36"/>
            </w:r>
            <w:r w:rsidR="0061398E">
              <w:rPr>
                <w:lang w:eastAsia="en-AU"/>
              </w:rPr>
              <w:t xml:space="preserve"> </w:t>
            </w:r>
            <w:r w:rsidRPr="00FA1BC8">
              <w:rPr>
                <w:lang w:eastAsia="en-AU"/>
              </w:rPr>
              <w:t>should be justified whenever a reverse onus provision requires a person charged to demonstrate it was reasonable for them to not comply with a provision.</w:t>
            </w:r>
            <w:r w:rsidR="00E865C3">
              <w:rPr>
                <w:lang w:eastAsia="en-AU"/>
              </w:rPr>
              <w:t xml:space="preserve"> </w:t>
            </w:r>
          </w:p>
        </w:tc>
      </w:tr>
      <w:tr w:rsidR="00FA1BC8" w:rsidRPr="00FA1BC8" w14:paraId="4911DDCD" w14:textId="77777777" w:rsidTr="00B132DB">
        <w:tc>
          <w:tcPr>
            <w:tcW w:w="0" w:type="auto"/>
          </w:tcPr>
          <w:p w14:paraId="76812F3E" w14:textId="77777777" w:rsidR="00FA1BC8" w:rsidRPr="00FA1BC8" w:rsidRDefault="00FA1BC8" w:rsidP="000077B3">
            <w:pPr>
              <w:pStyle w:val="Tabletext"/>
              <w:rPr>
                <w:lang w:eastAsia="en-AU"/>
              </w:rPr>
            </w:pPr>
            <w:r w:rsidRPr="00FA1BC8">
              <w:rPr>
                <w:lang w:eastAsia="en-AU"/>
              </w:rPr>
              <w:t xml:space="preserve">Justification for limitations on multiple rights. </w:t>
            </w:r>
          </w:p>
        </w:tc>
        <w:tc>
          <w:tcPr>
            <w:tcW w:w="0" w:type="auto"/>
          </w:tcPr>
          <w:p w14:paraId="54FE65AB" w14:textId="77777777" w:rsidR="00FA1BC8" w:rsidRPr="00FA1BC8" w:rsidRDefault="00FA1BC8" w:rsidP="000077B3">
            <w:pPr>
              <w:pStyle w:val="Tabletext"/>
              <w:rPr>
                <w:lang w:eastAsia="en-AU"/>
              </w:rPr>
            </w:pPr>
            <w:r w:rsidRPr="00FA1BC8">
              <w:rPr>
                <w:lang w:eastAsia="en-AU"/>
              </w:rPr>
              <w:t>Community Support and Services Committee</w:t>
            </w:r>
          </w:p>
          <w:p w14:paraId="3E8F2C9C" w14:textId="77777777" w:rsidR="00FA1BC8" w:rsidRPr="00FA1BC8" w:rsidRDefault="00FA1BC8" w:rsidP="000077B3">
            <w:pPr>
              <w:pStyle w:val="Tabletext"/>
              <w:rPr>
                <w:lang w:eastAsia="en-AU"/>
              </w:rPr>
            </w:pPr>
          </w:p>
          <w:p w14:paraId="15AF2E32" w14:textId="77777777" w:rsidR="00FA1BC8" w:rsidRPr="00FA1BC8" w:rsidRDefault="00FA1BC8" w:rsidP="000077B3">
            <w:pPr>
              <w:pStyle w:val="Tabletext"/>
              <w:rPr>
                <w:lang w:eastAsia="en-AU"/>
              </w:rPr>
            </w:pPr>
          </w:p>
        </w:tc>
        <w:tc>
          <w:tcPr>
            <w:tcW w:w="0" w:type="auto"/>
          </w:tcPr>
          <w:p w14:paraId="7C8BFF9D" w14:textId="2B6750D4" w:rsidR="00FA1BC8" w:rsidRPr="00FA1BC8" w:rsidRDefault="00FA1BC8" w:rsidP="000077B3">
            <w:pPr>
              <w:pStyle w:val="Tabletext"/>
              <w:rPr>
                <w:lang w:eastAsia="en-AU"/>
              </w:rPr>
            </w:pPr>
            <w:r w:rsidRPr="00FA1BC8">
              <w:rPr>
                <w:lang w:eastAsia="en-AU"/>
              </w:rPr>
              <w:t>Report No</w:t>
            </w:r>
            <w:r w:rsidR="00A00A7A">
              <w:rPr>
                <w:lang w:eastAsia="en-AU"/>
              </w:rPr>
              <w:t>,</w:t>
            </w:r>
            <w:r w:rsidRPr="00FA1BC8">
              <w:rPr>
                <w:lang w:eastAsia="en-AU"/>
              </w:rPr>
              <w:t xml:space="preserve"> 17, 57th Parliament</w:t>
            </w:r>
            <w:r w:rsidR="004F651B">
              <w:rPr>
                <w:lang w:eastAsia="en-AU"/>
              </w:rPr>
              <w:t>:</w:t>
            </w:r>
            <w:r w:rsidRPr="00FA1BC8">
              <w:rPr>
                <w:lang w:eastAsia="en-AU"/>
              </w:rPr>
              <w:t xml:space="preserve"> Public Health and Other Legislation (Extension of Expiring Provisions) Amendment Bill 2022</w:t>
            </w:r>
          </w:p>
        </w:tc>
        <w:tc>
          <w:tcPr>
            <w:tcW w:w="0" w:type="auto"/>
          </w:tcPr>
          <w:p w14:paraId="21DA26DE" w14:textId="77777777" w:rsidR="00FA1BC8" w:rsidRPr="00FA1BC8" w:rsidRDefault="00FA1BC8" w:rsidP="000077B3">
            <w:pPr>
              <w:pStyle w:val="Tabletext"/>
              <w:rPr>
                <w:lang w:eastAsia="en-AU"/>
              </w:rPr>
            </w:pPr>
            <w:r w:rsidRPr="00FA1BC8">
              <w:rPr>
                <w:lang w:eastAsia="en-AU"/>
              </w:rPr>
              <w:t>Ensure that justification for limits on human rights are specifically discussed in relation to individual rights rather than a general discussion across multiple rights.</w:t>
            </w:r>
          </w:p>
        </w:tc>
      </w:tr>
      <w:tr w:rsidR="00FA1BC8" w:rsidRPr="00FA1BC8" w14:paraId="1BC69255" w14:textId="77777777" w:rsidTr="00B132DB">
        <w:tc>
          <w:tcPr>
            <w:tcW w:w="0" w:type="auto"/>
          </w:tcPr>
          <w:p w14:paraId="4D76E26E" w14:textId="77777777" w:rsidR="00FA1BC8" w:rsidRPr="00FA1BC8" w:rsidRDefault="00FA1BC8" w:rsidP="000077B3">
            <w:pPr>
              <w:pStyle w:val="Tabletext"/>
              <w:rPr>
                <w:lang w:eastAsia="en-AU"/>
              </w:rPr>
            </w:pPr>
            <w:r w:rsidRPr="00FA1BC8">
              <w:rPr>
                <w:lang w:eastAsia="en-AU"/>
              </w:rPr>
              <w:t>Approach in other human rights jurisdictions</w:t>
            </w:r>
          </w:p>
        </w:tc>
        <w:tc>
          <w:tcPr>
            <w:tcW w:w="0" w:type="auto"/>
          </w:tcPr>
          <w:p w14:paraId="64D97172" w14:textId="77777777" w:rsidR="00FA1BC8" w:rsidRPr="00FA1BC8" w:rsidRDefault="00FA1BC8" w:rsidP="000077B3">
            <w:pPr>
              <w:pStyle w:val="Tabletext"/>
              <w:rPr>
                <w:lang w:eastAsia="en-AU"/>
              </w:rPr>
            </w:pPr>
            <w:r w:rsidRPr="00FA1BC8">
              <w:rPr>
                <w:lang w:eastAsia="en-AU"/>
              </w:rPr>
              <w:t>Economics and Governance Committee</w:t>
            </w:r>
          </w:p>
        </w:tc>
        <w:tc>
          <w:tcPr>
            <w:tcW w:w="0" w:type="auto"/>
          </w:tcPr>
          <w:p w14:paraId="7117C76C" w14:textId="0C83D050" w:rsidR="00FA1BC8" w:rsidRPr="00FA1BC8" w:rsidRDefault="00FA1BC8" w:rsidP="000077B3">
            <w:pPr>
              <w:pStyle w:val="Tabletext"/>
              <w:rPr>
                <w:lang w:eastAsia="en-AU"/>
              </w:rPr>
            </w:pPr>
            <w:r w:rsidRPr="00FA1BC8">
              <w:rPr>
                <w:lang w:eastAsia="en-AU"/>
              </w:rPr>
              <w:t>Report No</w:t>
            </w:r>
            <w:r w:rsidR="008A41BC">
              <w:rPr>
                <w:lang w:eastAsia="en-AU"/>
              </w:rPr>
              <w:t>.</w:t>
            </w:r>
            <w:r w:rsidRPr="00FA1BC8">
              <w:rPr>
                <w:lang w:eastAsia="en-AU"/>
              </w:rPr>
              <w:t xml:space="preserve"> 11, 57th Parliament</w:t>
            </w:r>
            <w:r w:rsidR="004F651B">
              <w:rPr>
                <w:lang w:eastAsia="en-AU"/>
              </w:rPr>
              <w:t>:</w:t>
            </w:r>
            <w:r w:rsidRPr="00FA1BC8">
              <w:rPr>
                <w:lang w:eastAsia="en-AU"/>
              </w:rPr>
              <w:t xml:space="preserve"> Public Health and Other Legislation (Further Extension of Expiring Provisions) Amendment Bill 2021</w:t>
            </w:r>
          </w:p>
        </w:tc>
        <w:tc>
          <w:tcPr>
            <w:tcW w:w="0" w:type="auto"/>
          </w:tcPr>
          <w:p w14:paraId="384A7711" w14:textId="371D99E8" w:rsidR="00FA1BC8" w:rsidRPr="00FA1BC8" w:rsidRDefault="00AA5A72" w:rsidP="000077B3">
            <w:pPr>
              <w:pStyle w:val="Tabletext"/>
              <w:rPr>
                <w:lang w:eastAsia="en-AU"/>
              </w:rPr>
            </w:pPr>
            <w:r>
              <w:rPr>
                <w:lang w:eastAsia="en-AU"/>
              </w:rPr>
              <w:t>It is h</w:t>
            </w:r>
            <w:r w:rsidR="00FA1BC8" w:rsidRPr="00FA1BC8">
              <w:rPr>
                <w:lang w:eastAsia="en-AU"/>
              </w:rPr>
              <w:t xml:space="preserve">elpful for </w:t>
            </w:r>
            <w:r w:rsidR="00897892">
              <w:rPr>
                <w:lang w:eastAsia="en-AU"/>
              </w:rPr>
              <w:t>s</w:t>
            </w:r>
            <w:r w:rsidR="00FA1BC8" w:rsidRPr="00FA1BC8">
              <w:rPr>
                <w:lang w:eastAsia="en-AU"/>
              </w:rPr>
              <w:t xml:space="preserve">tatements </w:t>
            </w:r>
            <w:r>
              <w:rPr>
                <w:lang w:eastAsia="en-AU"/>
              </w:rPr>
              <w:t xml:space="preserve">of </w:t>
            </w:r>
            <w:r w:rsidR="00897892">
              <w:rPr>
                <w:lang w:eastAsia="en-AU"/>
              </w:rPr>
              <w:t>c</w:t>
            </w:r>
            <w:r>
              <w:rPr>
                <w:lang w:eastAsia="en-AU"/>
              </w:rPr>
              <w:t xml:space="preserve">ompatibility </w:t>
            </w:r>
            <w:r w:rsidR="00FA1BC8" w:rsidRPr="00FA1BC8">
              <w:rPr>
                <w:lang w:eastAsia="en-AU"/>
              </w:rPr>
              <w:t xml:space="preserve">to discuss how the approach in a </w:t>
            </w:r>
            <w:r w:rsidR="008A41BC">
              <w:rPr>
                <w:lang w:eastAsia="en-AU"/>
              </w:rPr>
              <w:t>B</w:t>
            </w:r>
            <w:r w:rsidR="00FA1BC8" w:rsidRPr="00FA1BC8">
              <w:rPr>
                <w:lang w:eastAsia="en-AU"/>
              </w:rPr>
              <w:t xml:space="preserve">ill differs from approaches taken to similar issues in other human rights jurisdictions. </w:t>
            </w:r>
          </w:p>
        </w:tc>
      </w:tr>
      <w:tr w:rsidR="00FA1BC8" w:rsidRPr="00FA1BC8" w14:paraId="78EABC1E" w14:textId="77777777" w:rsidTr="00B132DB">
        <w:tc>
          <w:tcPr>
            <w:tcW w:w="0" w:type="auto"/>
          </w:tcPr>
          <w:p w14:paraId="2BE88179" w14:textId="77777777" w:rsidR="00FA1BC8" w:rsidRPr="00FA1BC8" w:rsidRDefault="00FA1BC8" w:rsidP="000077B3">
            <w:pPr>
              <w:pStyle w:val="Tabletext"/>
              <w:rPr>
                <w:lang w:eastAsia="en-AU"/>
              </w:rPr>
            </w:pPr>
            <w:r w:rsidRPr="00FA1BC8">
              <w:rPr>
                <w:lang w:eastAsia="en-AU"/>
              </w:rPr>
              <w:t>Reasonably available alternatives</w:t>
            </w:r>
          </w:p>
        </w:tc>
        <w:tc>
          <w:tcPr>
            <w:tcW w:w="0" w:type="auto"/>
          </w:tcPr>
          <w:p w14:paraId="11BBDA73" w14:textId="77777777" w:rsidR="00FA1BC8" w:rsidRPr="00FA1BC8" w:rsidRDefault="00FA1BC8" w:rsidP="000077B3">
            <w:pPr>
              <w:pStyle w:val="Tabletext"/>
              <w:rPr>
                <w:lang w:eastAsia="en-AU"/>
              </w:rPr>
            </w:pPr>
            <w:r w:rsidRPr="00FA1BC8">
              <w:rPr>
                <w:lang w:eastAsia="en-AU"/>
              </w:rPr>
              <w:t>Legal Affairs and Safety Committee</w:t>
            </w:r>
          </w:p>
        </w:tc>
        <w:tc>
          <w:tcPr>
            <w:tcW w:w="0" w:type="auto"/>
          </w:tcPr>
          <w:p w14:paraId="6EB818EF" w14:textId="769D5683" w:rsidR="00FA1BC8" w:rsidRPr="00FA1BC8" w:rsidRDefault="00FA1BC8" w:rsidP="000077B3">
            <w:pPr>
              <w:pStyle w:val="Tabletext"/>
              <w:rPr>
                <w:lang w:eastAsia="en-AU"/>
              </w:rPr>
            </w:pPr>
            <w:r w:rsidRPr="00FA1BC8">
              <w:rPr>
                <w:lang w:eastAsia="en-AU"/>
              </w:rPr>
              <w:t>Report No</w:t>
            </w:r>
            <w:r w:rsidR="00DC0AE5">
              <w:rPr>
                <w:lang w:eastAsia="en-AU"/>
              </w:rPr>
              <w:t>.</w:t>
            </w:r>
            <w:r w:rsidRPr="00FA1BC8">
              <w:rPr>
                <w:lang w:eastAsia="en-AU"/>
              </w:rPr>
              <w:t xml:space="preserve"> 7, 57</w:t>
            </w:r>
            <w:r w:rsidRPr="00FA1BC8">
              <w:rPr>
                <w:vertAlign w:val="superscript"/>
                <w:lang w:eastAsia="en-AU"/>
              </w:rPr>
              <w:t>th</w:t>
            </w:r>
            <w:r w:rsidRPr="00FA1BC8">
              <w:rPr>
                <w:lang w:eastAsia="en-AU"/>
              </w:rPr>
              <w:t xml:space="preserve"> Parliament</w:t>
            </w:r>
            <w:r w:rsidR="004F651B">
              <w:rPr>
                <w:lang w:eastAsia="en-AU"/>
              </w:rPr>
              <w:t>:</w:t>
            </w:r>
            <w:r w:rsidRPr="00FA1BC8">
              <w:rPr>
                <w:lang w:eastAsia="en-AU"/>
              </w:rPr>
              <w:t xml:space="preserve"> Youth Justice and Other Legislation Amendment Bill 2021</w:t>
            </w:r>
          </w:p>
        </w:tc>
        <w:tc>
          <w:tcPr>
            <w:tcW w:w="0" w:type="auto"/>
          </w:tcPr>
          <w:p w14:paraId="27A17AA4" w14:textId="7F3708C1" w:rsidR="00FA1BC8" w:rsidRPr="00FA1BC8" w:rsidRDefault="00AA5A72" w:rsidP="000077B3">
            <w:pPr>
              <w:pStyle w:val="Tabletext"/>
              <w:rPr>
                <w:lang w:eastAsia="en-AU"/>
              </w:rPr>
            </w:pPr>
            <w:r>
              <w:rPr>
                <w:lang w:eastAsia="en-AU"/>
              </w:rPr>
              <w:t>Statements of compatibility should incorporate</w:t>
            </w:r>
            <w:r w:rsidR="00FA1BC8" w:rsidRPr="00FA1BC8">
              <w:rPr>
                <w:lang w:eastAsia="en-AU"/>
              </w:rPr>
              <w:t xml:space="preserve"> the views of stakeholders and their suggestions about reasonably available alternatives where targeted consultation </w:t>
            </w:r>
            <w:r>
              <w:rPr>
                <w:lang w:eastAsia="en-AU"/>
              </w:rPr>
              <w:t>has been</w:t>
            </w:r>
            <w:r w:rsidR="00FA1BC8" w:rsidRPr="00FA1BC8">
              <w:rPr>
                <w:lang w:eastAsia="en-AU"/>
              </w:rPr>
              <w:t xml:space="preserve"> undertaken in developing the </w:t>
            </w:r>
            <w:r w:rsidR="009F7348">
              <w:rPr>
                <w:lang w:eastAsia="en-AU"/>
              </w:rPr>
              <w:t>B</w:t>
            </w:r>
            <w:r>
              <w:rPr>
                <w:lang w:eastAsia="en-AU"/>
              </w:rPr>
              <w:t>ill.</w:t>
            </w:r>
          </w:p>
        </w:tc>
      </w:tr>
    </w:tbl>
    <w:p w14:paraId="73933E1B" w14:textId="77777777" w:rsidR="00C6641A" w:rsidRPr="00715CBB" w:rsidRDefault="00C6641A" w:rsidP="00715CBB">
      <w:pPr>
        <w:rPr>
          <w:lang w:eastAsia="en-AU"/>
        </w:rPr>
      </w:pPr>
    </w:p>
    <w:p w14:paraId="3E1172DF" w14:textId="77777777" w:rsidR="0043772E" w:rsidRDefault="0043772E">
      <w:pPr>
        <w:spacing w:after="160" w:line="259" w:lineRule="auto"/>
        <w:ind w:right="0"/>
        <w:rPr>
          <w:rFonts w:eastAsia="Times New Roman" w:cs="Times New Roman"/>
          <w:iCs/>
          <w:color w:val="337B9E"/>
          <w:kern w:val="36"/>
          <w:sz w:val="48"/>
          <w:szCs w:val="48"/>
          <w:lang w:eastAsia="en-AU"/>
        </w:rPr>
      </w:pPr>
      <w:bookmarkStart w:id="270" w:name="_Toc147757286"/>
      <w:bookmarkStart w:id="271" w:name="_Toc148086907"/>
      <w:r>
        <w:rPr>
          <w:rFonts w:eastAsia="Times New Roman" w:cs="Times New Roman"/>
          <w:color w:val="337B9E"/>
          <w:kern w:val="36"/>
          <w:szCs w:val="48"/>
          <w:lang w:eastAsia="en-AU"/>
        </w:rPr>
        <w:br w:type="page"/>
      </w:r>
    </w:p>
    <w:p w14:paraId="755F9C72" w14:textId="74B77BB3" w:rsidR="00C90591" w:rsidRPr="00C90591" w:rsidRDefault="00C90591" w:rsidP="007F0FEF">
      <w:pPr>
        <w:pStyle w:val="Heading1"/>
        <w:rPr>
          <w:rFonts w:eastAsia="Times New Roman" w:cs="Times New Roman"/>
          <w:color w:val="337B9E"/>
          <w:kern w:val="36"/>
          <w:szCs w:val="48"/>
          <w:lang w:eastAsia="en-AU"/>
        </w:rPr>
      </w:pPr>
      <w:r w:rsidRPr="00C90591">
        <w:rPr>
          <w:rFonts w:eastAsia="Times New Roman" w:cs="Times New Roman"/>
          <w:color w:val="337B9E"/>
          <w:kern w:val="36"/>
          <w:szCs w:val="48"/>
          <w:lang w:eastAsia="en-AU"/>
        </w:rPr>
        <w:t>Significant legislation 2022-</w:t>
      </w:r>
      <w:bookmarkEnd w:id="263"/>
      <w:bookmarkEnd w:id="266"/>
      <w:bookmarkEnd w:id="267"/>
      <w:bookmarkEnd w:id="268"/>
      <w:bookmarkEnd w:id="269"/>
      <w:r w:rsidR="003425D4" w:rsidRPr="00C90591">
        <w:rPr>
          <w:rFonts w:eastAsia="Times New Roman" w:cs="Times New Roman"/>
          <w:color w:val="337B9E"/>
          <w:kern w:val="36"/>
          <w:szCs w:val="48"/>
          <w:lang w:eastAsia="en-AU"/>
        </w:rPr>
        <w:t>2</w:t>
      </w:r>
      <w:r w:rsidR="003425D4">
        <w:rPr>
          <w:rFonts w:eastAsia="Times New Roman" w:cs="Times New Roman"/>
          <w:color w:val="337B9E"/>
          <w:kern w:val="36"/>
          <w:szCs w:val="48"/>
          <w:lang w:eastAsia="en-AU"/>
        </w:rPr>
        <w:t>3</w:t>
      </w:r>
      <w:bookmarkEnd w:id="270"/>
      <w:bookmarkEnd w:id="271"/>
    </w:p>
    <w:p w14:paraId="7001ADE8" w14:textId="3771DD87" w:rsidR="00C90591" w:rsidRPr="00C90591" w:rsidRDefault="00C90591" w:rsidP="003319D4">
      <w:r w:rsidRPr="00C90591">
        <w:t xml:space="preserve">A summary follows of legislation introduced in the </w:t>
      </w:r>
      <w:r w:rsidR="003425D4" w:rsidRPr="00C90591">
        <w:t>202</w:t>
      </w:r>
      <w:r w:rsidR="003425D4">
        <w:t>2</w:t>
      </w:r>
      <w:r w:rsidRPr="00C90591">
        <w:t>–</w:t>
      </w:r>
      <w:r w:rsidR="003425D4" w:rsidRPr="00C90591">
        <w:t>2</w:t>
      </w:r>
      <w:r w:rsidR="003425D4">
        <w:t>3</w:t>
      </w:r>
      <w:r w:rsidR="003425D4" w:rsidRPr="00C90591">
        <w:t xml:space="preserve"> </w:t>
      </w:r>
      <w:r w:rsidRPr="00C90591">
        <w:t>financial year that raised significant human rights issues.</w:t>
      </w:r>
    </w:p>
    <w:p w14:paraId="0B799E16" w14:textId="77DD7681" w:rsidR="00C90591" w:rsidRPr="00CB494F" w:rsidRDefault="00DA7BE1" w:rsidP="007F0FEF">
      <w:pPr>
        <w:pStyle w:val="Heading2"/>
        <w:rPr>
          <w:rFonts w:eastAsia="Yu Gothic Light" w:cs="Times New Roman"/>
          <w:color w:val="337B9E"/>
          <w:kern w:val="36"/>
          <w:szCs w:val="36"/>
          <w:lang w:eastAsia="en-AU"/>
        </w:rPr>
      </w:pPr>
      <w:bookmarkStart w:id="272" w:name="_Toc147757287"/>
      <w:bookmarkStart w:id="273" w:name="_Toc148086908"/>
      <w:r w:rsidRPr="00DA7BE1">
        <w:rPr>
          <w:lang w:eastAsia="en-AU"/>
        </w:rPr>
        <w:t>Strengthening Community Safety Bill 2023</w:t>
      </w:r>
      <w:bookmarkEnd w:id="272"/>
      <w:bookmarkEnd w:id="273"/>
    </w:p>
    <w:p w14:paraId="64097512" w14:textId="00F27618" w:rsidR="00BC3187" w:rsidRPr="0047436E" w:rsidRDefault="00BC3187" w:rsidP="00BC3187">
      <w:pPr>
        <w:spacing w:after="160"/>
        <w:rPr>
          <w:rFonts w:eastAsia="Calibri" w:cs="Arial"/>
        </w:rPr>
      </w:pPr>
      <w:r>
        <w:rPr>
          <w:rFonts w:eastAsia="Calibri" w:cs="Arial"/>
        </w:rPr>
        <w:t>Y</w:t>
      </w:r>
      <w:r w:rsidRPr="0047436E">
        <w:rPr>
          <w:rFonts w:eastAsia="Calibri" w:cs="Arial"/>
        </w:rPr>
        <w:t>outh crime in Queensland</w:t>
      </w:r>
      <w:r>
        <w:rPr>
          <w:rFonts w:eastAsia="Calibri" w:cs="Arial"/>
        </w:rPr>
        <w:t xml:space="preserve"> has raised serious community concerns in recent years. Some victims have lost their lives during tragic </w:t>
      </w:r>
      <w:r w:rsidR="00444CE6">
        <w:rPr>
          <w:rFonts w:eastAsia="Calibri" w:cs="Arial"/>
        </w:rPr>
        <w:t>and highly-publicised</w:t>
      </w:r>
      <w:r>
        <w:rPr>
          <w:rFonts w:eastAsia="Calibri" w:cs="Arial"/>
        </w:rPr>
        <w:t xml:space="preserve"> events involving </w:t>
      </w:r>
      <w:r w:rsidR="000F3BFE">
        <w:rPr>
          <w:rFonts w:eastAsia="Calibri" w:cs="Arial"/>
        </w:rPr>
        <w:t>young</w:t>
      </w:r>
      <w:r>
        <w:rPr>
          <w:rFonts w:eastAsia="Calibri" w:cs="Arial"/>
        </w:rPr>
        <w:t xml:space="preserve"> offenders. The Queensland Government undoubtedly has</w:t>
      </w:r>
      <w:r w:rsidRPr="0047436E">
        <w:rPr>
          <w:rFonts w:eastAsia="Calibri" w:cs="Arial"/>
        </w:rPr>
        <w:t xml:space="preserve"> a duty to protect </w:t>
      </w:r>
      <w:r>
        <w:rPr>
          <w:rFonts w:eastAsia="Calibri" w:cs="Arial"/>
        </w:rPr>
        <w:t xml:space="preserve">its </w:t>
      </w:r>
      <w:r w:rsidRPr="0047436E">
        <w:rPr>
          <w:rFonts w:eastAsia="Calibri" w:cs="Arial"/>
        </w:rPr>
        <w:t>citizens</w:t>
      </w:r>
      <w:r>
        <w:rPr>
          <w:rFonts w:eastAsia="Calibri" w:cs="Arial"/>
        </w:rPr>
        <w:t>, and people should be able to live safely. T</w:t>
      </w:r>
      <w:r w:rsidRPr="0047436E">
        <w:rPr>
          <w:rFonts w:eastAsia="Calibri" w:cs="Arial"/>
        </w:rPr>
        <w:t>he best outcomes for victims, young offenders</w:t>
      </w:r>
      <w:r w:rsidR="00C21E1F">
        <w:rPr>
          <w:rFonts w:eastAsia="Calibri" w:cs="Arial"/>
        </w:rPr>
        <w:t>,</w:t>
      </w:r>
      <w:r w:rsidRPr="0047436E">
        <w:rPr>
          <w:rFonts w:eastAsia="Calibri" w:cs="Arial"/>
        </w:rPr>
        <w:t xml:space="preserve"> and the broader community are achieved </w:t>
      </w:r>
      <w:r w:rsidR="00C21E1F">
        <w:rPr>
          <w:rFonts w:eastAsia="Calibri" w:cs="Arial"/>
        </w:rPr>
        <w:t>through</w:t>
      </w:r>
      <w:r w:rsidR="00C21E1F" w:rsidRPr="0047436E">
        <w:rPr>
          <w:rFonts w:eastAsia="Calibri" w:cs="Arial"/>
        </w:rPr>
        <w:t xml:space="preserve"> </w:t>
      </w:r>
      <w:r w:rsidRPr="0047436E">
        <w:rPr>
          <w:rFonts w:eastAsia="Calibri" w:cs="Arial"/>
        </w:rPr>
        <w:t xml:space="preserve">initiatives that reduce reoffending and incarceration – </w:t>
      </w:r>
      <w:r w:rsidR="00B11D83">
        <w:rPr>
          <w:rFonts w:eastAsia="Calibri" w:cs="Arial"/>
        </w:rPr>
        <w:t>th</w:t>
      </w:r>
      <w:r w:rsidR="004A49D7">
        <w:rPr>
          <w:rFonts w:eastAsia="Calibri" w:cs="Arial"/>
        </w:rPr>
        <w:t>a</w:t>
      </w:r>
      <w:r w:rsidR="00B11D83">
        <w:rPr>
          <w:rFonts w:eastAsia="Calibri" w:cs="Arial"/>
        </w:rPr>
        <w:t xml:space="preserve">t is, </w:t>
      </w:r>
      <w:r w:rsidRPr="0047436E">
        <w:rPr>
          <w:rFonts w:eastAsia="Calibri" w:cs="Arial"/>
        </w:rPr>
        <w:t>by tackling the causes and consequences of youth crime.</w:t>
      </w:r>
    </w:p>
    <w:p w14:paraId="46CD4949" w14:textId="1C039991" w:rsidR="0047436E" w:rsidRPr="0047436E" w:rsidRDefault="0047436E" w:rsidP="0047436E">
      <w:pPr>
        <w:spacing w:after="160"/>
        <w:rPr>
          <w:rFonts w:eastAsia="Calibri" w:cs="Arial"/>
        </w:rPr>
      </w:pPr>
      <w:r w:rsidRPr="0047436E">
        <w:rPr>
          <w:rFonts w:eastAsia="Calibri" w:cs="Arial"/>
        </w:rPr>
        <w:t xml:space="preserve">The Strengthening Community Safety Bill 2023 proposed amendments to various laws with the </w:t>
      </w:r>
      <w:r w:rsidR="00586A49">
        <w:rPr>
          <w:rFonts w:eastAsia="Calibri" w:cs="Arial"/>
        </w:rPr>
        <w:t xml:space="preserve">stated </w:t>
      </w:r>
      <w:r w:rsidRPr="0047436E">
        <w:rPr>
          <w:rFonts w:eastAsia="Calibri" w:cs="Arial"/>
        </w:rPr>
        <w:t xml:space="preserve">aim of strengthening community </w:t>
      </w:r>
      <w:r w:rsidR="008D761C" w:rsidRPr="0047436E">
        <w:rPr>
          <w:rFonts w:eastAsia="Calibri" w:cs="Arial"/>
        </w:rPr>
        <w:t>safety</w:t>
      </w:r>
      <w:r w:rsidR="008D761C">
        <w:rPr>
          <w:rFonts w:eastAsia="Calibri" w:cs="Arial"/>
        </w:rPr>
        <w:t xml:space="preserve"> and</w:t>
      </w:r>
      <w:r w:rsidR="008D761C">
        <w:t xml:space="preserve"> is the first instance of a law in Queensland passing with an </w:t>
      </w:r>
      <w:r w:rsidR="00E54A9D">
        <w:t>override declaration</w:t>
      </w:r>
      <w:r w:rsidRPr="0047436E">
        <w:rPr>
          <w:rFonts w:eastAsia="Calibri" w:cs="Arial"/>
        </w:rPr>
        <w:t>. Parliament may</w:t>
      </w:r>
      <w:r w:rsidR="00133938">
        <w:rPr>
          <w:rFonts w:eastAsia="Calibri" w:cs="Arial"/>
        </w:rPr>
        <w:t>,</w:t>
      </w:r>
      <w:r w:rsidR="00B84145">
        <w:rPr>
          <w:rFonts w:eastAsia="Calibri" w:cs="Arial"/>
        </w:rPr>
        <w:t xml:space="preserve"> only </w:t>
      </w:r>
      <w:r w:rsidRPr="0047436E">
        <w:rPr>
          <w:rFonts w:eastAsia="Calibri" w:cs="Arial"/>
        </w:rPr>
        <w:t>in exceptional circumstances</w:t>
      </w:r>
      <w:r w:rsidR="00133938">
        <w:rPr>
          <w:rFonts w:eastAsia="Calibri" w:cs="Arial"/>
        </w:rPr>
        <w:t>,</w:t>
      </w:r>
      <w:r w:rsidRPr="0047436E">
        <w:rPr>
          <w:rFonts w:eastAsia="Calibri" w:cs="Arial"/>
        </w:rPr>
        <w:t xml:space="preserve"> declare that a provision of an Act has effect despite being incompatible with human rights (</w:t>
      </w:r>
      <w:r w:rsidR="00E54A9D">
        <w:rPr>
          <w:rFonts w:eastAsia="Calibri" w:cs="Arial"/>
        </w:rPr>
        <w:t>o</w:t>
      </w:r>
      <w:r w:rsidRPr="00793F24">
        <w:rPr>
          <w:rFonts w:eastAsia="Calibri" w:cs="Arial"/>
        </w:rPr>
        <w:t xml:space="preserve">verride </w:t>
      </w:r>
      <w:r w:rsidR="00E54A9D">
        <w:rPr>
          <w:rFonts w:eastAsia="Calibri" w:cs="Arial"/>
        </w:rPr>
        <w:t>d</w:t>
      </w:r>
      <w:r w:rsidRPr="00793F24">
        <w:rPr>
          <w:rFonts w:eastAsia="Calibri" w:cs="Arial"/>
        </w:rPr>
        <w:t>eclaration</w:t>
      </w:r>
      <w:r w:rsidRPr="0047436E">
        <w:rPr>
          <w:rFonts w:eastAsia="Calibri" w:cs="Arial"/>
        </w:rPr>
        <w:t>).</w:t>
      </w:r>
      <w:r w:rsidR="00B84145">
        <w:rPr>
          <w:rStyle w:val="FootnoteReference"/>
          <w:rFonts w:eastAsia="Calibri" w:cs="Arial"/>
        </w:rPr>
        <w:footnoteReference w:id="37"/>
      </w:r>
      <w:r w:rsidRPr="0047436E">
        <w:rPr>
          <w:rFonts w:eastAsia="Calibri" w:cs="Arial"/>
        </w:rPr>
        <w:t xml:space="preserve"> If </w:t>
      </w:r>
      <w:r w:rsidR="00CB37E4">
        <w:rPr>
          <w:rFonts w:eastAsia="Calibri" w:cs="Arial"/>
        </w:rPr>
        <w:t>p</w:t>
      </w:r>
      <w:r w:rsidRPr="0047436E">
        <w:rPr>
          <w:rFonts w:eastAsia="Calibri" w:cs="Arial"/>
        </w:rPr>
        <w:t xml:space="preserve">arliament makes an </w:t>
      </w:r>
      <w:r w:rsidR="00E54A9D">
        <w:rPr>
          <w:rFonts w:eastAsia="Calibri" w:cs="Arial"/>
        </w:rPr>
        <w:t>o</w:t>
      </w:r>
      <w:r w:rsidRPr="00793F24">
        <w:rPr>
          <w:rFonts w:eastAsia="Calibri" w:cs="Arial"/>
        </w:rPr>
        <w:t xml:space="preserve">verride </w:t>
      </w:r>
      <w:r w:rsidR="00E54A9D">
        <w:rPr>
          <w:rFonts w:eastAsia="Calibri" w:cs="Arial"/>
        </w:rPr>
        <w:t>d</w:t>
      </w:r>
      <w:r w:rsidRPr="00793F24">
        <w:rPr>
          <w:rFonts w:eastAsia="Calibri" w:cs="Arial"/>
        </w:rPr>
        <w:t>eclaration</w:t>
      </w:r>
      <w:r w:rsidRPr="0047436E">
        <w:rPr>
          <w:rFonts w:eastAsia="Calibri" w:cs="Arial"/>
        </w:rPr>
        <w:t xml:space="preserve">, the </w:t>
      </w:r>
      <w:r w:rsidR="00793F24">
        <w:rPr>
          <w:rFonts w:eastAsia="Calibri" w:cs="Arial"/>
        </w:rPr>
        <w:t>Human Rights Act</w:t>
      </w:r>
      <w:r w:rsidRPr="0047436E">
        <w:rPr>
          <w:rFonts w:eastAsia="Calibri" w:cs="Arial"/>
        </w:rPr>
        <w:t xml:space="preserve"> does not apply to </w:t>
      </w:r>
      <w:r w:rsidR="00EE2BD2">
        <w:rPr>
          <w:rFonts w:eastAsia="Calibri" w:cs="Arial"/>
        </w:rPr>
        <w:t>the Human Rights Act</w:t>
      </w:r>
      <w:r w:rsidRPr="0047436E">
        <w:rPr>
          <w:rFonts w:eastAsia="Calibri" w:cs="Arial"/>
        </w:rPr>
        <w:t xml:space="preserve"> or provision while the declaration is in force</w:t>
      </w:r>
      <w:r w:rsidR="00793F24">
        <w:rPr>
          <w:rFonts w:eastAsia="Calibri" w:cs="Arial"/>
        </w:rPr>
        <w:t xml:space="preserve">. An </w:t>
      </w:r>
      <w:r w:rsidR="00E54A9D">
        <w:rPr>
          <w:rFonts w:eastAsia="Calibri" w:cs="Arial"/>
        </w:rPr>
        <w:t>o</w:t>
      </w:r>
      <w:r w:rsidR="00793F24">
        <w:rPr>
          <w:rFonts w:eastAsia="Calibri" w:cs="Arial"/>
        </w:rPr>
        <w:t xml:space="preserve">verride </w:t>
      </w:r>
      <w:r w:rsidR="00E54A9D">
        <w:rPr>
          <w:rFonts w:eastAsia="Calibri" w:cs="Arial"/>
        </w:rPr>
        <w:t>d</w:t>
      </w:r>
      <w:r w:rsidR="00793F24">
        <w:rPr>
          <w:rFonts w:eastAsia="Calibri" w:cs="Arial"/>
        </w:rPr>
        <w:t xml:space="preserve">eclaration must </w:t>
      </w:r>
      <w:r w:rsidRPr="0047436E">
        <w:rPr>
          <w:rFonts w:eastAsia="Calibri" w:cs="Arial"/>
        </w:rPr>
        <w:t>expire after 5 years</w:t>
      </w:r>
      <w:r w:rsidR="00793F24">
        <w:rPr>
          <w:rFonts w:eastAsia="Calibri" w:cs="Arial"/>
        </w:rPr>
        <w:t xml:space="preserve"> </w:t>
      </w:r>
      <w:r w:rsidRPr="0047436E">
        <w:rPr>
          <w:rFonts w:eastAsia="Calibri" w:cs="Arial"/>
        </w:rPr>
        <w:t xml:space="preserve">but </w:t>
      </w:r>
      <w:r w:rsidR="00793F24">
        <w:rPr>
          <w:rFonts w:eastAsia="Calibri" w:cs="Arial"/>
        </w:rPr>
        <w:t>could</w:t>
      </w:r>
      <w:r w:rsidRPr="0047436E">
        <w:rPr>
          <w:rFonts w:eastAsia="Calibri" w:cs="Arial"/>
        </w:rPr>
        <w:t xml:space="preserve"> be re-enacted</w:t>
      </w:r>
      <w:r w:rsidR="00AB4E45">
        <w:rPr>
          <w:rFonts w:eastAsia="Calibri" w:cs="Arial"/>
        </w:rPr>
        <w:t xml:space="preserve"> by </w:t>
      </w:r>
      <w:r w:rsidR="007B4451">
        <w:rPr>
          <w:rFonts w:eastAsia="Calibri" w:cs="Arial"/>
        </w:rPr>
        <w:t>p</w:t>
      </w:r>
      <w:r w:rsidR="00AB4E45">
        <w:rPr>
          <w:rFonts w:eastAsia="Calibri" w:cs="Arial"/>
        </w:rPr>
        <w:t>arliament</w:t>
      </w:r>
      <w:r w:rsidRPr="0047436E">
        <w:rPr>
          <w:rFonts w:eastAsia="Calibri" w:cs="Arial"/>
        </w:rPr>
        <w:t>. The Bill was the first to propose such an override</w:t>
      </w:r>
      <w:r w:rsidR="002D003B">
        <w:rPr>
          <w:rFonts w:eastAsia="Calibri" w:cs="Arial"/>
        </w:rPr>
        <w:t xml:space="preserve"> and concerned</w:t>
      </w:r>
      <w:r w:rsidRPr="0047436E">
        <w:rPr>
          <w:rFonts w:eastAsia="Calibri" w:cs="Arial"/>
        </w:rPr>
        <w:t xml:space="preserve"> certain provisions </w:t>
      </w:r>
      <w:r w:rsidR="00F264B8">
        <w:rPr>
          <w:rFonts w:eastAsia="Calibri" w:cs="Arial"/>
        </w:rPr>
        <w:t xml:space="preserve">to </w:t>
      </w:r>
      <w:r w:rsidRPr="0047436E">
        <w:rPr>
          <w:rFonts w:eastAsia="Calibri" w:cs="Arial"/>
        </w:rPr>
        <w:t>chang</w:t>
      </w:r>
      <w:r w:rsidR="006B21E4">
        <w:rPr>
          <w:rFonts w:eastAsia="Calibri" w:cs="Arial"/>
        </w:rPr>
        <w:t>e</w:t>
      </w:r>
      <w:r w:rsidRPr="0047436E">
        <w:rPr>
          <w:rFonts w:eastAsia="Calibri" w:cs="Arial"/>
        </w:rPr>
        <w:t xml:space="preserve"> the granting of bail and the detention of children.</w:t>
      </w:r>
      <w:r w:rsidRPr="0047436E">
        <w:rPr>
          <w:rFonts w:eastAsia="Calibri" w:cs="Arial"/>
          <w:vertAlign w:val="superscript"/>
        </w:rPr>
        <w:footnoteReference w:id="38"/>
      </w:r>
      <w:r w:rsidRPr="0047436E">
        <w:rPr>
          <w:rFonts w:eastAsia="Calibri" w:cs="Arial"/>
        </w:rPr>
        <w:t xml:space="preserve"> </w:t>
      </w:r>
      <w:r w:rsidR="00793F24">
        <w:rPr>
          <w:rFonts w:eastAsia="Calibri" w:cs="Arial"/>
        </w:rPr>
        <w:t>The Minister agreed that t</w:t>
      </w:r>
      <w:r w:rsidRPr="0047436E">
        <w:rPr>
          <w:rFonts w:eastAsia="Calibri" w:cs="Arial"/>
        </w:rPr>
        <w:t>hese provisions were incompatible with several rights including the rights of children to protection in their best interest</w:t>
      </w:r>
      <w:r w:rsidR="00793F24">
        <w:rPr>
          <w:rStyle w:val="FootnoteReference"/>
          <w:rFonts w:eastAsia="Calibri" w:cs="Arial"/>
        </w:rPr>
        <w:footnoteReference w:id="39"/>
      </w:r>
      <w:r w:rsidRPr="0047436E">
        <w:rPr>
          <w:rFonts w:eastAsia="Calibri" w:cs="Arial"/>
        </w:rPr>
        <w:t xml:space="preserve"> and the right to </w:t>
      </w:r>
      <w:r w:rsidR="00793F24">
        <w:rPr>
          <w:rFonts w:eastAsia="Calibri" w:cs="Arial"/>
        </w:rPr>
        <w:t>liberty.</w:t>
      </w:r>
      <w:r w:rsidR="00793F24">
        <w:rPr>
          <w:rStyle w:val="FootnoteReference"/>
          <w:rFonts w:eastAsia="Calibri" w:cs="Arial"/>
        </w:rPr>
        <w:footnoteReference w:id="40"/>
      </w:r>
    </w:p>
    <w:p w14:paraId="4C814D56" w14:textId="6174380B" w:rsidR="0047436E" w:rsidRDefault="0047436E" w:rsidP="0047436E">
      <w:pPr>
        <w:spacing w:after="160"/>
        <w:rPr>
          <w:rFonts w:eastAsia="Calibri" w:cs="Arial"/>
        </w:rPr>
      </w:pPr>
      <w:r w:rsidRPr="0047436E">
        <w:rPr>
          <w:rFonts w:eastAsia="Calibri" w:cs="Arial"/>
        </w:rPr>
        <w:t xml:space="preserve">The Commission recommended the Bill not be passed because of the significant and disproportionate limitations it placed on the rights of children. </w:t>
      </w:r>
      <w:r w:rsidR="00AA56A4">
        <w:rPr>
          <w:rFonts w:eastAsia="Calibri" w:cs="Arial"/>
        </w:rPr>
        <w:t xml:space="preserve">In the Commission’s view, </w:t>
      </w:r>
      <w:r w:rsidR="00CB166A">
        <w:rPr>
          <w:rFonts w:eastAsia="Calibri" w:cs="Arial"/>
        </w:rPr>
        <w:t>the</w:t>
      </w:r>
      <w:r w:rsidR="00AA56A4">
        <w:rPr>
          <w:rFonts w:eastAsia="Calibri" w:cs="Arial"/>
        </w:rPr>
        <w:t xml:space="preserve"> override was not justifiable because </w:t>
      </w:r>
      <w:r w:rsidR="00FE6533">
        <w:rPr>
          <w:rFonts w:eastAsia="Calibri" w:cs="Arial"/>
        </w:rPr>
        <w:t>the circumstances</w:t>
      </w:r>
      <w:r w:rsidR="00AA56A4">
        <w:rPr>
          <w:rFonts w:eastAsia="Calibri" w:cs="Arial"/>
        </w:rPr>
        <w:t xml:space="preserve"> did not meet the </w:t>
      </w:r>
      <w:r w:rsidR="00162BB9">
        <w:rPr>
          <w:rFonts w:eastAsia="Calibri" w:cs="Arial"/>
        </w:rPr>
        <w:t xml:space="preserve">test of an ‘emergency’ </w:t>
      </w:r>
      <w:r w:rsidR="00B520A4">
        <w:rPr>
          <w:rFonts w:eastAsia="Calibri" w:cs="Arial"/>
        </w:rPr>
        <w:t xml:space="preserve">as </w:t>
      </w:r>
      <w:r w:rsidR="00162BB9">
        <w:rPr>
          <w:rFonts w:eastAsia="Calibri" w:cs="Arial"/>
        </w:rPr>
        <w:t>set out in the Human Rights Act.</w:t>
      </w:r>
      <w:r w:rsidR="00306D13">
        <w:rPr>
          <w:rFonts w:eastAsia="Calibri" w:cs="Arial"/>
        </w:rPr>
        <w:t xml:space="preserve"> Examples provided</w:t>
      </w:r>
      <w:r w:rsidR="008E7100">
        <w:rPr>
          <w:rFonts w:eastAsia="Calibri" w:cs="Arial"/>
        </w:rPr>
        <w:t xml:space="preserve"> in </w:t>
      </w:r>
      <w:r w:rsidR="00EE2BD2">
        <w:rPr>
          <w:rFonts w:eastAsia="Calibri" w:cs="Arial"/>
        </w:rPr>
        <w:t>the Human Rights Act</w:t>
      </w:r>
      <w:r w:rsidR="00306D13">
        <w:rPr>
          <w:rFonts w:eastAsia="Calibri" w:cs="Arial"/>
        </w:rPr>
        <w:t xml:space="preserve"> </w:t>
      </w:r>
      <w:r w:rsidR="009E1149">
        <w:rPr>
          <w:rFonts w:eastAsia="Calibri" w:cs="Arial"/>
        </w:rPr>
        <w:t>are</w:t>
      </w:r>
      <w:r w:rsidR="008E7100">
        <w:rPr>
          <w:rFonts w:eastAsia="Calibri" w:cs="Arial"/>
        </w:rPr>
        <w:t xml:space="preserve">: </w:t>
      </w:r>
      <w:r w:rsidR="009E1149">
        <w:rPr>
          <w:rFonts w:eastAsia="Calibri" w:cs="Arial"/>
        </w:rPr>
        <w:t>‘</w:t>
      </w:r>
      <w:r w:rsidR="00306D13">
        <w:rPr>
          <w:rFonts w:eastAsia="Calibri" w:cs="Arial"/>
        </w:rPr>
        <w:t>war</w:t>
      </w:r>
      <w:r w:rsidR="00652587">
        <w:rPr>
          <w:rFonts w:eastAsia="Calibri" w:cs="Arial"/>
        </w:rPr>
        <w:t>,</w:t>
      </w:r>
      <w:r w:rsidR="00DF7131">
        <w:rPr>
          <w:rFonts w:eastAsia="Calibri" w:cs="Arial"/>
        </w:rPr>
        <w:t xml:space="preserve"> </w:t>
      </w:r>
      <w:r w:rsidR="001D0CCE">
        <w:rPr>
          <w:rFonts w:eastAsia="Calibri" w:cs="Arial"/>
        </w:rPr>
        <w:t>a state of emergency</w:t>
      </w:r>
      <w:r w:rsidR="00B22128">
        <w:rPr>
          <w:rFonts w:eastAsia="Calibri" w:cs="Arial"/>
        </w:rPr>
        <w:t>,</w:t>
      </w:r>
      <w:r w:rsidR="008E7100">
        <w:rPr>
          <w:rFonts w:eastAsia="Calibri" w:cs="Arial"/>
        </w:rPr>
        <w:t xml:space="preserve"> an exceptional crisis </w:t>
      </w:r>
      <w:r w:rsidR="00467D22">
        <w:rPr>
          <w:rFonts w:eastAsia="Calibri" w:cs="Arial"/>
        </w:rPr>
        <w:t xml:space="preserve">situation </w:t>
      </w:r>
      <w:r w:rsidR="008E7100">
        <w:rPr>
          <w:rFonts w:eastAsia="Calibri" w:cs="Arial"/>
        </w:rPr>
        <w:t>constituting a threat to public safety, health or order</w:t>
      </w:r>
      <w:r w:rsidR="008464E2">
        <w:rPr>
          <w:rFonts w:eastAsia="Calibri" w:cs="Arial"/>
        </w:rPr>
        <w:t>’</w:t>
      </w:r>
      <w:r w:rsidR="00DF7131">
        <w:rPr>
          <w:rFonts w:eastAsia="Calibri" w:cs="Arial"/>
        </w:rPr>
        <w:t>.</w:t>
      </w:r>
      <w:r w:rsidR="008E7100">
        <w:rPr>
          <w:rStyle w:val="FootnoteReference"/>
          <w:rFonts w:eastAsia="Calibri" w:cs="Arial"/>
        </w:rPr>
        <w:footnoteReference w:id="41"/>
      </w:r>
    </w:p>
    <w:p w14:paraId="3A7B32EC" w14:textId="33D11127" w:rsidR="0047436E" w:rsidRPr="0047436E" w:rsidRDefault="00BA0248" w:rsidP="0047436E">
      <w:pPr>
        <w:spacing w:after="160"/>
        <w:rPr>
          <w:rFonts w:eastAsia="Calibri" w:cs="Arial"/>
        </w:rPr>
      </w:pPr>
      <w:r>
        <w:rPr>
          <w:rFonts w:eastAsia="Calibri" w:cs="Arial"/>
        </w:rPr>
        <w:t>In considering the Bill, t</w:t>
      </w:r>
      <w:r w:rsidR="0047436E" w:rsidRPr="0047436E">
        <w:rPr>
          <w:rFonts w:eastAsia="Calibri" w:cs="Arial"/>
        </w:rPr>
        <w:t>he Economics and Governance Committee report concluded that the incompatibilities with human rights were justified and that other limitations o</w:t>
      </w:r>
      <w:r w:rsidR="0020694D">
        <w:rPr>
          <w:rFonts w:eastAsia="Calibri" w:cs="Arial"/>
        </w:rPr>
        <w:t>n</w:t>
      </w:r>
      <w:r w:rsidR="0047436E" w:rsidRPr="0047436E">
        <w:rPr>
          <w:rFonts w:eastAsia="Calibri" w:cs="Arial"/>
        </w:rPr>
        <w:t xml:space="preserve"> human rights struck an appropriate balance between the protection of the rights of children and strengthening community safety. </w:t>
      </w:r>
      <w:r w:rsidR="002F6CA0">
        <w:rPr>
          <w:rFonts w:eastAsia="Calibri" w:cs="Arial"/>
        </w:rPr>
        <w:t>The Committee determined that</w:t>
      </w:r>
      <w:r w:rsidR="0047436E" w:rsidRPr="0047436E">
        <w:rPr>
          <w:rFonts w:eastAsia="Calibri" w:cs="Arial"/>
        </w:rPr>
        <w:t xml:space="preserve"> </w:t>
      </w:r>
      <w:r w:rsidR="00115B1A">
        <w:rPr>
          <w:rFonts w:eastAsia="Calibri" w:cs="Arial"/>
        </w:rPr>
        <w:t xml:space="preserve">the </w:t>
      </w:r>
      <w:r w:rsidR="0047436E" w:rsidRPr="0047436E">
        <w:rPr>
          <w:rFonts w:eastAsia="Calibri" w:cs="Arial"/>
        </w:rPr>
        <w:t xml:space="preserve">Bill’s impact on human rights was justified in the circumstances and recommended </w:t>
      </w:r>
      <w:r w:rsidR="0038467B">
        <w:rPr>
          <w:rFonts w:eastAsia="Calibri" w:cs="Arial"/>
        </w:rPr>
        <w:t xml:space="preserve">that </w:t>
      </w:r>
      <w:r w:rsidR="0047436E" w:rsidRPr="0047436E">
        <w:rPr>
          <w:rFonts w:eastAsia="Calibri" w:cs="Arial"/>
        </w:rPr>
        <w:t xml:space="preserve">parliament pass the </w:t>
      </w:r>
      <w:r w:rsidR="00AB6D8E">
        <w:rPr>
          <w:rFonts w:eastAsia="Calibri" w:cs="Arial"/>
        </w:rPr>
        <w:t>B</w:t>
      </w:r>
      <w:r w:rsidR="0047436E" w:rsidRPr="0047436E">
        <w:rPr>
          <w:rFonts w:eastAsia="Calibri" w:cs="Arial"/>
        </w:rPr>
        <w:t xml:space="preserve">ill. The Committee’s report noted concerns raised in submissions about the proposed override of </w:t>
      </w:r>
      <w:r w:rsidR="00EE2BD2">
        <w:rPr>
          <w:rFonts w:eastAsia="Calibri" w:cs="Arial"/>
        </w:rPr>
        <w:t>the Human Rights Act</w:t>
      </w:r>
      <w:r w:rsidR="0047436E" w:rsidRPr="0047436E">
        <w:rPr>
          <w:rFonts w:eastAsia="Calibri" w:cs="Arial"/>
        </w:rPr>
        <w:t>, and concluded:</w:t>
      </w:r>
    </w:p>
    <w:p w14:paraId="235D65D9" w14:textId="77777777" w:rsidR="0047436E" w:rsidRPr="0047436E" w:rsidRDefault="0047436E" w:rsidP="0047436E">
      <w:pPr>
        <w:pStyle w:val="Quote"/>
        <w:rPr>
          <w:rFonts w:cs="Arial"/>
        </w:rPr>
      </w:pPr>
      <w:r w:rsidRPr="0047436E">
        <w:t>In response to these concerns, the department emphasised that the decision to override human rights and the justification for that decision are both matters for the government</w:t>
      </w:r>
      <w:r w:rsidRPr="0047436E">
        <w:rPr>
          <w:rFonts w:cs="Arial"/>
        </w:rPr>
        <w:t>.</w:t>
      </w:r>
      <w:r w:rsidRPr="002F6CA0">
        <w:rPr>
          <w:rFonts w:cs="Arial"/>
          <w:i w:val="0"/>
          <w:vertAlign w:val="superscript"/>
        </w:rPr>
        <w:footnoteReference w:id="42"/>
      </w:r>
    </w:p>
    <w:p w14:paraId="5118EEB4" w14:textId="77777777" w:rsidR="0047436E" w:rsidRPr="0047436E" w:rsidRDefault="0047436E" w:rsidP="0047436E">
      <w:pPr>
        <w:spacing w:after="160"/>
        <w:rPr>
          <w:rFonts w:eastAsia="Calibri" w:cs="Arial"/>
        </w:rPr>
      </w:pPr>
      <w:r w:rsidRPr="0047436E">
        <w:rPr>
          <w:rFonts w:eastAsia="Calibri" w:cs="Arial"/>
        </w:rPr>
        <w:t>The footnote to this statement cited the joint departmental response provided to the Committee by the Queensland Police Service (QPS), Department of Children, Youth Justice and Multicultural Affairs (DCYJMA), and Department of Justice and Attorney-General (DJAG). The briefing stated:</w:t>
      </w:r>
    </w:p>
    <w:p w14:paraId="448A440F" w14:textId="77777777" w:rsidR="0047436E" w:rsidRPr="0047436E" w:rsidRDefault="0047436E" w:rsidP="002F7BC4">
      <w:pPr>
        <w:spacing w:before="200" w:after="160"/>
        <w:ind w:left="864"/>
        <w:rPr>
          <w:rFonts w:eastAsia="Calibri" w:cs="Arial"/>
          <w:iCs/>
        </w:rPr>
      </w:pPr>
      <w:r w:rsidRPr="0047436E">
        <w:rPr>
          <w:rStyle w:val="QuoteChar"/>
        </w:rPr>
        <w:t>The decision to override human rights and its justification are both matters for Government</w:t>
      </w:r>
      <w:r w:rsidRPr="0047436E">
        <w:rPr>
          <w:rFonts w:eastAsia="Calibri" w:cs="Arial"/>
          <w:iCs/>
        </w:rPr>
        <w:t>.</w:t>
      </w:r>
      <w:r w:rsidRPr="0047436E">
        <w:rPr>
          <w:rFonts w:eastAsia="Calibri" w:cs="Arial"/>
          <w:iCs/>
          <w:vertAlign w:val="superscript"/>
        </w:rPr>
        <w:footnoteReference w:id="43"/>
      </w:r>
    </w:p>
    <w:p w14:paraId="0761D708" w14:textId="6B7649BF" w:rsidR="0047436E" w:rsidRDefault="0047436E" w:rsidP="0047436E">
      <w:pPr>
        <w:spacing w:after="160"/>
        <w:rPr>
          <w:rFonts w:eastAsia="Calibri" w:cs="Arial"/>
        </w:rPr>
      </w:pPr>
      <w:r w:rsidRPr="0047436E">
        <w:rPr>
          <w:rFonts w:eastAsia="Calibri" w:cs="Arial"/>
        </w:rPr>
        <w:t xml:space="preserve">The </w:t>
      </w:r>
      <w:r w:rsidR="00B84145">
        <w:rPr>
          <w:rFonts w:eastAsia="Calibri" w:cs="Arial"/>
        </w:rPr>
        <w:t>Commission</w:t>
      </w:r>
      <w:r w:rsidRPr="0047436E">
        <w:rPr>
          <w:rFonts w:eastAsia="Calibri" w:cs="Arial"/>
        </w:rPr>
        <w:t xml:space="preserve"> is concerned that this briefing material demonstrate</w:t>
      </w:r>
      <w:r w:rsidR="00D05171">
        <w:rPr>
          <w:rFonts w:eastAsia="Calibri" w:cs="Arial"/>
        </w:rPr>
        <w:t>s</w:t>
      </w:r>
      <w:r w:rsidRPr="0047436E">
        <w:rPr>
          <w:rFonts w:eastAsia="Calibri" w:cs="Arial"/>
        </w:rPr>
        <w:t xml:space="preserve"> a misunderstanding of the operation of the </w:t>
      </w:r>
      <w:r w:rsidR="00EB1B24">
        <w:rPr>
          <w:rFonts w:eastAsia="Calibri" w:cs="Arial"/>
        </w:rPr>
        <w:t>o</w:t>
      </w:r>
      <w:r w:rsidRPr="0047436E">
        <w:rPr>
          <w:rFonts w:eastAsia="Calibri" w:cs="Arial"/>
        </w:rPr>
        <w:t xml:space="preserve">verride </w:t>
      </w:r>
      <w:r w:rsidR="00EB1B24">
        <w:rPr>
          <w:rFonts w:eastAsia="Calibri" w:cs="Arial"/>
        </w:rPr>
        <w:t>d</w:t>
      </w:r>
      <w:r w:rsidRPr="0047436E">
        <w:rPr>
          <w:rFonts w:eastAsia="Calibri" w:cs="Arial"/>
        </w:rPr>
        <w:t>eclaratio</w:t>
      </w:r>
      <w:r w:rsidR="009F14D7">
        <w:rPr>
          <w:rFonts w:eastAsia="Calibri" w:cs="Arial"/>
        </w:rPr>
        <w:t>n</w:t>
      </w:r>
      <w:r w:rsidRPr="0047436E">
        <w:rPr>
          <w:rFonts w:eastAsia="Calibri" w:cs="Arial"/>
        </w:rPr>
        <w:t xml:space="preserve">. </w:t>
      </w:r>
      <w:r w:rsidR="009F14D7">
        <w:rPr>
          <w:rFonts w:eastAsia="Calibri" w:cs="Arial"/>
        </w:rPr>
        <w:t xml:space="preserve">It </w:t>
      </w:r>
      <w:r w:rsidRPr="0047436E">
        <w:rPr>
          <w:rFonts w:eastAsia="Calibri" w:cs="Arial"/>
        </w:rPr>
        <w:t xml:space="preserve">is a matter for an introducing member, in this case the relevant minister, to justify a proposed override. However, </w:t>
      </w:r>
      <w:r w:rsidR="00EE2BD2">
        <w:rPr>
          <w:rFonts w:eastAsia="Calibri" w:cs="Arial"/>
        </w:rPr>
        <w:t>the Human Rights Act</w:t>
      </w:r>
      <w:r w:rsidR="00456517">
        <w:rPr>
          <w:rFonts w:eastAsia="Calibri" w:cs="Arial"/>
        </w:rPr>
        <w:t xml:space="preserve"> is clear</w:t>
      </w:r>
      <w:r w:rsidRPr="0047436E">
        <w:rPr>
          <w:rFonts w:eastAsia="Calibri" w:cs="Arial"/>
        </w:rPr>
        <w:t xml:space="preserve"> that it is a decision of </w:t>
      </w:r>
      <w:r w:rsidRPr="00456517">
        <w:rPr>
          <w:rFonts w:eastAsia="Calibri" w:cs="Arial"/>
          <w:i/>
        </w:rPr>
        <w:t>parliament</w:t>
      </w:r>
      <w:r w:rsidRPr="0047436E">
        <w:rPr>
          <w:rFonts w:eastAsia="Calibri" w:cs="Arial"/>
        </w:rPr>
        <w:t>, not the government, as to whether such a declaration should be made.</w:t>
      </w:r>
      <w:r w:rsidR="00456517">
        <w:rPr>
          <w:rStyle w:val="FootnoteReference"/>
          <w:rFonts w:eastAsia="Calibri" w:cs="Arial"/>
        </w:rPr>
        <w:footnoteReference w:id="44"/>
      </w:r>
      <w:r w:rsidRPr="0047436E">
        <w:rPr>
          <w:rFonts w:eastAsia="Calibri" w:cs="Arial"/>
        </w:rPr>
        <w:t xml:space="preserve"> </w:t>
      </w:r>
    </w:p>
    <w:p w14:paraId="162901B9" w14:textId="1213A7E8" w:rsidR="003D72FF" w:rsidRPr="003D72FF" w:rsidRDefault="003D72FF" w:rsidP="0047436E">
      <w:pPr>
        <w:spacing w:after="160"/>
        <w:rPr>
          <w:rFonts w:eastAsia="Calibri" w:cs="Arial"/>
          <w:color w:val="0D0D0D"/>
        </w:rPr>
      </w:pPr>
      <w:r w:rsidRPr="0047436E">
        <w:rPr>
          <w:rFonts w:eastAsia="Calibri" w:cs="Arial"/>
        </w:rPr>
        <w:t xml:space="preserve">The Bill passed with </w:t>
      </w:r>
      <w:r w:rsidR="00D064DC">
        <w:rPr>
          <w:rFonts w:eastAsia="Calibri" w:cs="Arial"/>
        </w:rPr>
        <w:t>4</w:t>
      </w:r>
      <w:r w:rsidR="009E6607" w:rsidRPr="0047436E">
        <w:rPr>
          <w:rFonts w:eastAsia="Calibri" w:cs="Arial"/>
        </w:rPr>
        <w:t xml:space="preserve"> </w:t>
      </w:r>
      <w:r w:rsidR="00CC4750">
        <w:rPr>
          <w:rFonts w:eastAsia="Calibri" w:cs="Arial"/>
        </w:rPr>
        <w:t>o</w:t>
      </w:r>
      <w:r w:rsidRPr="0047436E">
        <w:rPr>
          <w:rFonts w:eastAsia="Calibri" w:cs="Arial"/>
        </w:rPr>
        <w:t xml:space="preserve">verride </w:t>
      </w:r>
      <w:r w:rsidR="00CC4750">
        <w:rPr>
          <w:rFonts w:eastAsia="Calibri" w:cs="Arial"/>
        </w:rPr>
        <w:t>d</w:t>
      </w:r>
      <w:r w:rsidRPr="0047436E">
        <w:rPr>
          <w:rFonts w:eastAsia="Calibri" w:cs="Arial"/>
        </w:rPr>
        <w:t>eclaration</w:t>
      </w:r>
      <w:r w:rsidR="009E6607">
        <w:rPr>
          <w:rFonts w:eastAsia="Calibri" w:cs="Arial"/>
        </w:rPr>
        <w:t>s</w:t>
      </w:r>
      <w:r w:rsidR="00527E3F">
        <w:rPr>
          <w:rFonts w:eastAsia="Calibri" w:cs="Arial"/>
        </w:rPr>
        <w:t xml:space="preserve"> in place</w:t>
      </w:r>
      <w:r w:rsidRPr="0047436E">
        <w:rPr>
          <w:rFonts w:eastAsia="Calibri" w:cs="Arial"/>
        </w:rPr>
        <w:t xml:space="preserve">. The </w:t>
      </w:r>
      <w:r>
        <w:rPr>
          <w:rFonts w:eastAsia="Calibri" w:cs="Arial"/>
        </w:rPr>
        <w:t xml:space="preserve">Human Rights </w:t>
      </w:r>
      <w:r w:rsidRPr="0047436E">
        <w:rPr>
          <w:rFonts w:eastAsia="Calibri" w:cs="Arial"/>
        </w:rPr>
        <w:t xml:space="preserve">Act was discussed throughout the debate stage, including submissions made by the </w:t>
      </w:r>
      <w:r>
        <w:rPr>
          <w:rFonts w:eastAsia="Calibri" w:cs="Arial"/>
        </w:rPr>
        <w:t>Commission</w:t>
      </w:r>
      <w:r w:rsidRPr="0047436E">
        <w:rPr>
          <w:rFonts w:eastAsia="Calibri" w:cs="Arial"/>
        </w:rPr>
        <w:t>.</w:t>
      </w:r>
      <w:r w:rsidRPr="0047436E">
        <w:rPr>
          <w:rFonts w:eastAsia="Calibri" w:cs="Arial"/>
          <w:vertAlign w:val="superscript"/>
        </w:rPr>
        <w:footnoteReference w:id="45"/>
      </w:r>
    </w:p>
    <w:p w14:paraId="4F8310BE" w14:textId="74103413" w:rsidR="0047436E" w:rsidRPr="0047436E" w:rsidRDefault="00C83918" w:rsidP="0047436E">
      <w:pPr>
        <w:spacing w:after="160"/>
        <w:rPr>
          <w:rFonts w:eastAsia="Calibri" w:cs="Arial"/>
        </w:rPr>
      </w:pPr>
      <w:r>
        <w:rPr>
          <w:rFonts w:eastAsia="Calibri" w:cs="Arial"/>
        </w:rPr>
        <w:t>In the Commission’s view, the</w:t>
      </w:r>
      <w:r w:rsidR="0047436E" w:rsidRPr="0047436E">
        <w:rPr>
          <w:rFonts w:eastAsia="Calibri" w:cs="Arial"/>
        </w:rPr>
        <w:t xml:space="preserve"> experience of </w:t>
      </w:r>
      <w:r w:rsidR="00EE2BD2">
        <w:rPr>
          <w:rFonts w:eastAsia="Calibri" w:cs="Arial"/>
        </w:rPr>
        <w:t>the Human Rights Act</w:t>
      </w:r>
      <w:r w:rsidR="0047436E" w:rsidRPr="0047436E">
        <w:rPr>
          <w:rFonts w:eastAsia="Calibri" w:cs="Arial"/>
        </w:rPr>
        <w:t xml:space="preserve">’s first </w:t>
      </w:r>
      <w:r w:rsidR="00747C0B">
        <w:rPr>
          <w:rFonts w:eastAsia="Calibri" w:cs="Arial"/>
        </w:rPr>
        <w:t>o</w:t>
      </w:r>
      <w:r w:rsidR="00B84145">
        <w:rPr>
          <w:rFonts w:eastAsia="Calibri" w:cs="Arial"/>
        </w:rPr>
        <w:t>verride</w:t>
      </w:r>
      <w:r w:rsidR="0047436E" w:rsidRPr="0047436E">
        <w:rPr>
          <w:rFonts w:eastAsia="Calibri" w:cs="Arial"/>
        </w:rPr>
        <w:t xml:space="preserve"> </w:t>
      </w:r>
      <w:r w:rsidR="00747C0B">
        <w:rPr>
          <w:rFonts w:eastAsia="Calibri" w:cs="Arial"/>
        </w:rPr>
        <w:t>d</w:t>
      </w:r>
      <w:r w:rsidR="0047436E" w:rsidRPr="0047436E">
        <w:rPr>
          <w:rFonts w:eastAsia="Calibri" w:cs="Arial"/>
        </w:rPr>
        <w:t>eclaration</w:t>
      </w:r>
      <w:r w:rsidR="009E6607">
        <w:rPr>
          <w:rFonts w:eastAsia="Calibri" w:cs="Arial"/>
        </w:rPr>
        <w:t>s</w:t>
      </w:r>
      <w:r w:rsidR="0047436E" w:rsidRPr="0047436E">
        <w:rPr>
          <w:rFonts w:eastAsia="Calibri" w:cs="Arial"/>
        </w:rPr>
        <w:t xml:space="preserve"> </w:t>
      </w:r>
      <w:r w:rsidR="00044B50">
        <w:rPr>
          <w:rFonts w:eastAsia="Calibri" w:cs="Arial"/>
        </w:rPr>
        <w:t>provides weight to the argument that</w:t>
      </w:r>
      <w:r w:rsidR="0047436E" w:rsidRPr="0047436E">
        <w:rPr>
          <w:rFonts w:eastAsia="Calibri" w:cs="Arial"/>
        </w:rPr>
        <w:t xml:space="preserve"> the provision should be removed from </w:t>
      </w:r>
      <w:r w:rsidR="00EE2BD2">
        <w:rPr>
          <w:rFonts w:eastAsia="Calibri" w:cs="Arial"/>
        </w:rPr>
        <w:t>the Human Rights Act</w:t>
      </w:r>
      <w:r w:rsidR="0047436E" w:rsidRPr="0047436E">
        <w:rPr>
          <w:rFonts w:eastAsia="Calibri" w:cs="Arial"/>
        </w:rPr>
        <w:t xml:space="preserve">. Instead, potential incompatibility should be assessed using the </w:t>
      </w:r>
      <w:r w:rsidR="0016358E">
        <w:rPr>
          <w:rFonts w:eastAsia="Calibri" w:cs="Arial"/>
        </w:rPr>
        <w:t>S</w:t>
      </w:r>
      <w:r w:rsidR="0047436E" w:rsidRPr="0047436E">
        <w:rPr>
          <w:rFonts w:eastAsia="Calibri" w:cs="Arial"/>
        </w:rPr>
        <w:t xml:space="preserve">tatements of </w:t>
      </w:r>
      <w:r w:rsidR="0016358E">
        <w:rPr>
          <w:rFonts w:eastAsia="Calibri" w:cs="Arial"/>
        </w:rPr>
        <w:t>C</w:t>
      </w:r>
      <w:r w:rsidR="0047436E" w:rsidRPr="0047436E">
        <w:rPr>
          <w:rFonts w:eastAsia="Calibri" w:cs="Arial"/>
        </w:rPr>
        <w:t xml:space="preserve">ompatibility and parliamentary scrutiny process. That process would permit parliament to consider whether sufficient justification </w:t>
      </w:r>
      <w:r w:rsidR="00B12B63" w:rsidRPr="0047436E">
        <w:rPr>
          <w:rFonts w:eastAsia="Calibri" w:cs="Arial"/>
        </w:rPr>
        <w:t xml:space="preserve">for incompatible </w:t>
      </w:r>
      <w:r w:rsidR="00FC3764">
        <w:rPr>
          <w:rFonts w:eastAsia="Calibri" w:cs="Arial"/>
        </w:rPr>
        <w:t>B</w:t>
      </w:r>
      <w:r w:rsidR="00B12B63" w:rsidRPr="0047436E">
        <w:rPr>
          <w:rFonts w:eastAsia="Calibri" w:cs="Arial"/>
        </w:rPr>
        <w:t xml:space="preserve">ills to be passed </w:t>
      </w:r>
      <w:r w:rsidR="00F036CD">
        <w:rPr>
          <w:rFonts w:eastAsia="Calibri" w:cs="Arial"/>
        </w:rPr>
        <w:t>has been</w:t>
      </w:r>
      <w:r w:rsidR="00F036CD" w:rsidRPr="0047436E">
        <w:rPr>
          <w:rFonts w:eastAsia="Calibri" w:cs="Arial"/>
        </w:rPr>
        <w:t xml:space="preserve"> </w:t>
      </w:r>
      <w:r w:rsidR="0047436E" w:rsidRPr="0047436E">
        <w:rPr>
          <w:rFonts w:eastAsia="Calibri" w:cs="Arial"/>
        </w:rPr>
        <w:t xml:space="preserve">made by introducing members, rather than removing the application of </w:t>
      </w:r>
      <w:r w:rsidR="00EE2BD2">
        <w:rPr>
          <w:rFonts w:eastAsia="Calibri" w:cs="Arial"/>
        </w:rPr>
        <w:t>the Human Rights Act</w:t>
      </w:r>
      <w:r w:rsidR="0047436E" w:rsidRPr="0047436E">
        <w:rPr>
          <w:rFonts w:eastAsia="Calibri" w:cs="Arial"/>
        </w:rPr>
        <w:t xml:space="preserve"> entirely. </w:t>
      </w:r>
    </w:p>
    <w:p w14:paraId="38731A89" w14:textId="09DFADDF" w:rsidR="00C90591" w:rsidRPr="00A96A82" w:rsidRDefault="00592644" w:rsidP="007F0FEF">
      <w:pPr>
        <w:pStyle w:val="Heading2"/>
      </w:pPr>
      <w:bookmarkStart w:id="274" w:name="_Toc147757288"/>
      <w:bookmarkStart w:id="275" w:name="_Toc148086909"/>
      <w:r w:rsidRPr="00592644">
        <w:t>Monitoring of Places of Detention (</w:t>
      </w:r>
      <w:r w:rsidR="00131A6C">
        <w:t>OPCAT</w:t>
      </w:r>
      <w:r w:rsidRPr="00592644">
        <w:t>) Bill 2022</w:t>
      </w:r>
      <w:bookmarkEnd w:id="274"/>
      <w:bookmarkEnd w:id="275"/>
    </w:p>
    <w:p w14:paraId="12ED5D90" w14:textId="4E858DEE" w:rsidR="005526E4" w:rsidRPr="005526E4" w:rsidRDefault="005526E4" w:rsidP="007E2D7F">
      <w:pPr>
        <w:spacing w:after="160"/>
        <w:rPr>
          <w:rFonts w:eastAsia="Calibri" w:cs="Arial"/>
        </w:rPr>
      </w:pPr>
      <w:bookmarkStart w:id="276" w:name="_Toc85451730"/>
      <w:bookmarkStart w:id="277" w:name="_Toc85526660"/>
      <w:bookmarkStart w:id="278" w:name="_Toc85787075"/>
      <w:bookmarkStart w:id="279" w:name="_Toc1912584462"/>
      <w:bookmarkStart w:id="280" w:name="_Toc117697145"/>
      <w:bookmarkStart w:id="281" w:name="_Toc117697852"/>
      <w:r w:rsidRPr="005526E4">
        <w:rPr>
          <w:rFonts w:eastAsia="Calibri" w:cs="Arial"/>
        </w:rPr>
        <w:t xml:space="preserve">The purpose of the Bill was to facilitate visits by the United Nations Subcommittee on Prevention of Torture (the subcommittee) to places of detention in Queensland. The subcommittee has the </w:t>
      </w:r>
      <w:r w:rsidR="000709D8">
        <w:rPr>
          <w:rFonts w:eastAsia="Calibri" w:cs="Arial"/>
        </w:rPr>
        <w:t>authority</w:t>
      </w:r>
      <w:r w:rsidRPr="005526E4">
        <w:rPr>
          <w:rFonts w:eastAsia="Calibri" w:cs="Arial"/>
        </w:rPr>
        <w:t xml:space="preserve"> to conduct visits to Australia under the </w:t>
      </w:r>
      <w:r w:rsidRPr="00EE3483">
        <w:rPr>
          <w:rFonts w:eastAsia="Calibri" w:cs="Arial"/>
          <w:i/>
        </w:rPr>
        <w:t>Optional Protocol to the Convention Against Torture</w:t>
      </w:r>
      <w:r w:rsidRPr="005526E4">
        <w:rPr>
          <w:rFonts w:eastAsia="Calibri" w:cs="Arial"/>
        </w:rPr>
        <w:t xml:space="preserve"> (OPCAT). The subcommittee has a mandate to visit places of detention and make recommendations to state parties concerning the protection of persons deprived of their liberty against torture and other cruel, inhuman or degrading treatment or punishment. </w:t>
      </w:r>
    </w:p>
    <w:p w14:paraId="372B1669" w14:textId="29A7C2D7" w:rsidR="005526E4" w:rsidRPr="005526E4" w:rsidRDefault="005526E4" w:rsidP="007E2D7F">
      <w:pPr>
        <w:spacing w:after="160"/>
        <w:rPr>
          <w:rFonts w:eastAsia="Calibri" w:cs="Arial"/>
        </w:rPr>
      </w:pPr>
      <w:r w:rsidRPr="005526E4">
        <w:rPr>
          <w:rFonts w:eastAsia="Calibri" w:cs="Arial"/>
        </w:rPr>
        <w:t xml:space="preserve">The subcommittee visited Australia in late 2022 and was refused entry to a place of detention under the control of Queensland Health. As a result, the </w:t>
      </w:r>
      <w:r w:rsidR="001D775A">
        <w:rPr>
          <w:rFonts w:eastAsia="Calibri" w:cs="Arial"/>
        </w:rPr>
        <w:t>B</w:t>
      </w:r>
      <w:r w:rsidRPr="005526E4">
        <w:rPr>
          <w:rFonts w:eastAsia="Calibri" w:cs="Arial"/>
        </w:rPr>
        <w:t xml:space="preserve">ill </w:t>
      </w:r>
      <w:r w:rsidR="00F86C53">
        <w:rPr>
          <w:rFonts w:eastAsia="Calibri" w:cs="Arial"/>
        </w:rPr>
        <w:t>was introduced</w:t>
      </w:r>
      <w:r w:rsidRPr="005526E4">
        <w:rPr>
          <w:rFonts w:eastAsia="Calibri" w:cs="Arial"/>
        </w:rPr>
        <w:t xml:space="preserve"> to provide the subcommittee with access to places of detention in Queensland and </w:t>
      </w:r>
      <w:r w:rsidR="00F53A87">
        <w:rPr>
          <w:rFonts w:eastAsia="Calibri" w:cs="Arial"/>
        </w:rPr>
        <w:t>to ensure</w:t>
      </w:r>
      <w:r w:rsidRPr="005526E4">
        <w:rPr>
          <w:rFonts w:eastAsia="Calibri" w:cs="Arial"/>
        </w:rPr>
        <w:t xml:space="preserve"> the subcommittee </w:t>
      </w:r>
      <w:r w:rsidR="00F53A87">
        <w:rPr>
          <w:rFonts w:eastAsia="Calibri" w:cs="Arial"/>
        </w:rPr>
        <w:t>could</w:t>
      </w:r>
      <w:r w:rsidRPr="005526E4">
        <w:rPr>
          <w:rFonts w:eastAsia="Calibri" w:cs="Arial"/>
        </w:rPr>
        <w:t xml:space="preserve"> fulfil its mandate under OPCAT. </w:t>
      </w:r>
    </w:p>
    <w:p w14:paraId="0B077D5C" w14:textId="021B4092" w:rsidR="005526E4" w:rsidRPr="005526E4" w:rsidRDefault="003D7B1D" w:rsidP="007E2D7F">
      <w:pPr>
        <w:spacing w:after="160"/>
        <w:rPr>
          <w:rFonts w:eastAsia="Calibri" w:cs="Arial"/>
        </w:rPr>
      </w:pPr>
      <w:r>
        <w:rPr>
          <w:rFonts w:eastAsia="Calibri" w:cs="Arial"/>
        </w:rPr>
        <w:t>Human</w:t>
      </w:r>
      <w:r w:rsidR="005526E4" w:rsidRPr="005526E4">
        <w:rPr>
          <w:rFonts w:eastAsia="Calibri" w:cs="Arial"/>
        </w:rPr>
        <w:t xml:space="preserve"> rights </w:t>
      </w:r>
      <w:r>
        <w:rPr>
          <w:rFonts w:eastAsia="Calibri" w:cs="Arial"/>
        </w:rPr>
        <w:t>issues</w:t>
      </w:r>
      <w:r w:rsidR="001A4FE3">
        <w:rPr>
          <w:rFonts w:eastAsia="Calibri" w:cs="Arial"/>
        </w:rPr>
        <w:t>,</w:t>
      </w:r>
      <w:r w:rsidR="005526E4" w:rsidRPr="005526E4">
        <w:rPr>
          <w:rFonts w:eastAsia="Calibri" w:cs="Arial"/>
        </w:rPr>
        <w:t xml:space="preserve"> such as the privacy rights of detainees, were discussed throughout the Legal Affairs and Safety Committee’s report and during debate</w:t>
      </w:r>
      <w:r w:rsidR="007039D5">
        <w:rPr>
          <w:rFonts w:eastAsia="Calibri" w:cs="Arial"/>
        </w:rPr>
        <w:t xml:space="preserve"> of the Bill</w:t>
      </w:r>
      <w:r w:rsidR="005526E4" w:rsidRPr="005526E4">
        <w:rPr>
          <w:rFonts w:eastAsia="Calibri" w:cs="Arial"/>
        </w:rPr>
        <w:t xml:space="preserve">. Additional information was included throughout the report from the department responding to submissions. </w:t>
      </w:r>
    </w:p>
    <w:p w14:paraId="1C24DA4E" w14:textId="55AD7B51" w:rsidR="008621AC" w:rsidRPr="005526E4" w:rsidRDefault="005526E4" w:rsidP="008621AC">
      <w:pPr>
        <w:spacing w:after="160"/>
        <w:rPr>
          <w:rFonts w:eastAsia="Calibri" w:cs="Arial"/>
        </w:rPr>
      </w:pPr>
      <w:r w:rsidRPr="005526E4">
        <w:rPr>
          <w:rFonts w:eastAsia="Calibri" w:cs="Arial"/>
        </w:rPr>
        <w:t xml:space="preserve">While the Committee found any limitations on rights were reasonable and recommended the </w:t>
      </w:r>
      <w:r w:rsidR="001A4FE3">
        <w:rPr>
          <w:rFonts w:eastAsia="Calibri" w:cs="Arial"/>
        </w:rPr>
        <w:t>B</w:t>
      </w:r>
      <w:r w:rsidRPr="005526E4">
        <w:rPr>
          <w:rFonts w:eastAsia="Calibri" w:cs="Arial"/>
        </w:rPr>
        <w:t xml:space="preserve">ill be passed, the Commission and other stakeholders raised concerns </w:t>
      </w:r>
      <w:r w:rsidR="008621AC">
        <w:rPr>
          <w:rFonts w:eastAsia="Calibri" w:cs="Arial"/>
        </w:rPr>
        <w:t>that</w:t>
      </w:r>
      <w:r w:rsidRPr="005526E4">
        <w:rPr>
          <w:rFonts w:eastAsia="Calibri" w:cs="Arial"/>
        </w:rPr>
        <w:t xml:space="preserve"> clauses of the Bill </w:t>
      </w:r>
      <w:r w:rsidR="008621AC">
        <w:rPr>
          <w:rFonts w:eastAsia="Calibri" w:cs="Arial"/>
        </w:rPr>
        <w:t>regarding</w:t>
      </w:r>
      <w:r w:rsidRPr="005526E4">
        <w:rPr>
          <w:rFonts w:eastAsia="Calibri" w:cs="Arial"/>
        </w:rPr>
        <w:t xml:space="preserve"> people </w:t>
      </w:r>
      <w:r w:rsidR="008621AC">
        <w:rPr>
          <w:rFonts w:eastAsia="Calibri" w:cs="Arial"/>
        </w:rPr>
        <w:t>with impaired</w:t>
      </w:r>
      <w:r w:rsidRPr="005526E4">
        <w:rPr>
          <w:rFonts w:eastAsia="Calibri" w:cs="Arial"/>
        </w:rPr>
        <w:t xml:space="preserve"> capacity </w:t>
      </w:r>
      <w:r w:rsidR="008621AC">
        <w:rPr>
          <w:rFonts w:eastAsia="Calibri" w:cs="Arial"/>
        </w:rPr>
        <w:t xml:space="preserve">who may wish to </w:t>
      </w:r>
      <w:r w:rsidRPr="005526E4">
        <w:rPr>
          <w:rFonts w:eastAsia="Calibri" w:cs="Arial"/>
        </w:rPr>
        <w:t xml:space="preserve">engage with the </w:t>
      </w:r>
      <w:r w:rsidR="008621AC">
        <w:rPr>
          <w:rFonts w:eastAsia="Calibri" w:cs="Arial"/>
        </w:rPr>
        <w:t xml:space="preserve">subcommittee were too restrictive and may prevent equitable access to participation </w:t>
      </w:r>
      <w:r w:rsidR="002B4CD9">
        <w:rPr>
          <w:rFonts w:eastAsia="Calibri" w:cs="Arial"/>
        </w:rPr>
        <w:t xml:space="preserve">in interviews </w:t>
      </w:r>
      <w:r w:rsidR="008621AC">
        <w:rPr>
          <w:rFonts w:eastAsia="Calibri" w:cs="Arial"/>
        </w:rPr>
        <w:t>by people with a disability or young people.</w:t>
      </w:r>
    </w:p>
    <w:p w14:paraId="3960E347" w14:textId="29A25FEA" w:rsidR="005526E4" w:rsidRPr="005526E4" w:rsidRDefault="005526E4" w:rsidP="007E2D7F">
      <w:pPr>
        <w:spacing w:after="160"/>
        <w:rPr>
          <w:rFonts w:eastAsia="Calibri" w:cs="Arial"/>
        </w:rPr>
      </w:pPr>
      <w:r w:rsidRPr="005526E4">
        <w:rPr>
          <w:rFonts w:eastAsia="Calibri" w:cs="Arial"/>
        </w:rPr>
        <w:t xml:space="preserve">While no recommendation was made by the Committee about this issue, in response to submissions made </w:t>
      </w:r>
      <w:r w:rsidR="00D3239A">
        <w:rPr>
          <w:rFonts w:eastAsia="Calibri" w:cs="Arial"/>
        </w:rPr>
        <w:t xml:space="preserve">by stakeholders </w:t>
      </w:r>
      <w:r w:rsidRPr="005526E4">
        <w:rPr>
          <w:rFonts w:eastAsia="Calibri" w:cs="Arial"/>
        </w:rPr>
        <w:t xml:space="preserve">during the Committee inquiry process, the government made amendments to the Bill to: </w:t>
      </w:r>
    </w:p>
    <w:p w14:paraId="54FBDEC1" w14:textId="60054BA9" w:rsidR="005526E4" w:rsidRPr="005526E4" w:rsidRDefault="005526E4" w:rsidP="007E2D7F">
      <w:pPr>
        <w:pStyle w:val="Listparagraph-bulleted"/>
      </w:pPr>
      <w:r w:rsidRPr="005526E4">
        <w:t>remove the limitations on when and where the subcommittee conducts an interview (</w:t>
      </w:r>
      <w:r w:rsidR="00FF5090">
        <w:t>in essence,</w:t>
      </w:r>
      <w:r w:rsidR="00FF5090" w:rsidRPr="005526E4">
        <w:t xml:space="preserve"> </w:t>
      </w:r>
      <w:r w:rsidRPr="005526E4">
        <w:t>to remove the requirement to visit a place of detention to be able to interview a person)</w:t>
      </w:r>
    </w:p>
    <w:p w14:paraId="5D9D6249" w14:textId="463472AD" w:rsidR="005526E4" w:rsidRPr="005526E4" w:rsidRDefault="005526E4" w:rsidP="007E2D7F">
      <w:pPr>
        <w:pStyle w:val="Listparagraph-bulleted"/>
      </w:pPr>
      <w:r w:rsidRPr="005526E4">
        <w:t xml:space="preserve">remove the requirement for a ‘legal guardian’ to consent on a detainee’s behalf </w:t>
      </w:r>
      <w:r w:rsidR="000D3ACC">
        <w:t>in order</w:t>
      </w:r>
      <w:r w:rsidRPr="005526E4">
        <w:t xml:space="preserve"> to avoid inadvertently limiting the ability of a person to provide consent</w:t>
      </w:r>
    </w:p>
    <w:p w14:paraId="79D071FE" w14:textId="77777777" w:rsidR="005526E4" w:rsidRPr="005526E4" w:rsidRDefault="005526E4" w:rsidP="007E2D7F">
      <w:pPr>
        <w:pStyle w:val="Listparagraph-bulleted"/>
      </w:pPr>
      <w:r w:rsidRPr="005526E4">
        <w:t>expand the examples of ‘detriment’ to include other forms of reprisal that may be more relevant to a person in detention.</w:t>
      </w:r>
    </w:p>
    <w:p w14:paraId="7B525835" w14:textId="65204058" w:rsidR="00866294" w:rsidRDefault="00866294" w:rsidP="007E2D7F">
      <w:pPr>
        <w:spacing w:after="160"/>
        <w:rPr>
          <w:rFonts w:eastAsia="Calibri" w:cs="Arial"/>
        </w:rPr>
      </w:pPr>
      <w:r>
        <w:rPr>
          <w:rFonts w:eastAsia="Calibri" w:cs="Arial"/>
        </w:rPr>
        <w:t xml:space="preserve">Despite the Bill passing into law, the </w:t>
      </w:r>
      <w:r w:rsidR="00D53097">
        <w:rPr>
          <w:rFonts w:eastAsia="Calibri" w:cs="Arial"/>
        </w:rPr>
        <w:t>s</w:t>
      </w:r>
      <w:r>
        <w:rPr>
          <w:rFonts w:eastAsia="Calibri" w:cs="Arial"/>
        </w:rPr>
        <w:t>ubcommittee decided to terminate its visit to Australia on 20 February 2023</w:t>
      </w:r>
      <w:r w:rsidR="00BF1B7D">
        <w:rPr>
          <w:rFonts w:eastAsia="Calibri" w:cs="Arial"/>
        </w:rPr>
        <w:t xml:space="preserve"> due to obstacles in carrying out its mandate</w:t>
      </w:r>
      <w:r w:rsidR="00BE4F54">
        <w:rPr>
          <w:rFonts w:eastAsia="Calibri" w:cs="Arial"/>
        </w:rPr>
        <w:t>, and so were unable to visit any places of detention in Queensland</w:t>
      </w:r>
      <w:r w:rsidR="00BF1B7D">
        <w:rPr>
          <w:rFonts w:eastAsia="Calibri" w:cs="Arial"/>
        </w:rPr>
        <w:t>.</w:t>
      </w:r>
      <w:r w:rsidR="00BF1B7D">
        <w:rPr>
          <w:rStyle w:val="FootnoteReference"/>
          <w:rFonts w:eastAsia="Calibri" w:cs="Arial"/>
        </w:rPr>
        <w:footnoteReference w:id="46"/>
      </w:r>
    </w:p>
    <w:p w14:paraId="4CB2178E" w14:textId="24F8E412" w:rsidR="005526E4" w:rsidRPr="005526E4" w:rsidRDefault="005526E4" w:rsidP="007E2D7F">
      <w:pPr>
        <w:spacing w:after="160"/>
        <w:rPr>
          <w:rFonts w:eastAsia="Calibri" w:cs="Arial"/>
        </w:rPr>
      </w:pPr>
      <w:r w:rsidRPr="005526E4">
        <w:rPr>
          <w:rFonts w:eastAsia="Calibri" w:cs="Arial"/>
        </w:rPr>
        <w:t>The Commission notes that even with the passage of this Bill, the Queensland Government must still take steps to:</w:t>
      </w:r>
    </w:p>
    <w:p w14:paraId="673E8D35" w14:textId="7C940851" w:rsidR="005526E4" w:rsidRPr="005526E4" w:rsidRDefault="005526E4" w:rsidP="007E2D7F">
      <w:pPr>
        <w:pStyle w:val="Listparagraph-bulleted"/>
      </w:pPr>
      <w:r w:rsidRPr="005526E4">
        <w:t xml:space="preserve">fully participate in Australia’s National Preventive Mechanism (NPM) under the </w:t>
      </w:r>
      <w:r w:rsidRPr="00EE3483">
        <w:rPr>
          <w:i/>
        </w:rPr>
        <w:t>Optional Protocol to the Convention against Torture and other Cruel, Inhuman or Degrading Treatment or Punishment</w:t>
      </w:r>
      <w:r w:rsidRPr="005526E4">
        <w:t xml:space="preserve"> (OPCAT) which </w:t>
      </w:r>
      <w:r w:rsidR="00C51808">
        <w:t>was</w:t>
      </w:r>
      <w:r w:rsidRPr="005526E4">
        <w:t xml:space="preserve"> due to commence in early 2023; and</w:t>
      </w:r>
    </w:p>
    <w:p w14:paraId="65BC164C" w14:textId="77777777" w:rsidR="005526E4" w:rsidRPr="005526E4" w:rsidRDefault="005526E4" w:rsidP="007E2D7F">
      <w:pPr>
        <w:pStyle w:val="Listparagraph-bulleted"/>
      </w:pPr>
      <w:r w:rsidRPr="005526E4">
        <w:t>clarify the roles and responsibilities of various agencies with oversight functions in Queensland.</w:t>
      </w:r>
    </w:p>
    <w:p w14:paraId="1D117ED3" w14:textId="77777777" w:rsidR="00326F3A" w:rsidRPr="00326F3A" w:rsidRDefault="00326F3A" w:rsidP="00326F3A">
      <w:pPr>
        <w:pStyle w:val="Heading2"/>
        <w:rPr>
          <w:lang w:eastAsia="en-AU"/>
        </w:rPr>
      </w:pPr>
      <w:bookmarkStart w:id="282" w:name="_Toc147757289"/>
      <w:bookmarkStart w:id="283" w:name="_Toc148086910"/>
      <w:r w:rsidRPr="00326F3A">
        <w:rPr>
          <w:lang w:eastAsia="en-AU"/>
        </w:rPr>
        <w:t>Nature Conservation and Other Legislation Amendment Bill 2022</w:t>
      </w:r>
      <w:bookmarkEnd w:id="282"/>
      <w:bookmarkEnd w:id="283"/>
    </w:p>
    <w:p w14:paraId="433B30EE" w14:textId="0835296B" w:rsidR="00326F3A" w:rsidRPr="00326F3A" w:rsidRDefault="00326F3A" w:rsidP="007E2D7F">
      <w:pPr>
        <w:spacing w:after="160"/>
        <w:rPr>
          <w:rFonts w:eastAsia="Calibri" w:cs="Arial"/>
        </w:rPr>
      </w:pPr>
      <w:r w:rsidRPr="00326F3A">
        <w:rPr>
          <w:rFonts w:eastAsia="Calibri" w:cs="Arial"/>
        </w:rPr>
        <w:t xml:space="preserve">The primary purpose of the Bill was to amend the </w:t>
      </w:r>
      <w:r w:rsidRPr="00326F3A">
        <w:rPr>
          <w:rFonts w:eastAsia="Calibri" w:cs="Arial"/>
          <w:i/>
          <w:iCs/>
        </w:rPr>
        <w:t>Nature Conservation Act 1992</w:t>
      </w:r>
      <w:r w:rsidRPr="00326F3A">
        <w:rPr>
          <w:rFonts w:eastAsia="Calibri" w:cs="Arial"/>
        </w:rPr>
        <w:t xml:space="preserve"> to provide a 20-year extension to enable beekeeping </w:t>
      </w:r>
      <w:r w:rsidR="000A7969">
        <w:rPr>
          <w:rFonts w:eastAsia="Calibri" w:cs="Arial"/>
        </w:rPr>
        <w:t>i</w:t>
      </w:r>
      <w:r w:rsidRPr="00326F3A">
        <w:rPr>
          <w:rFonts w:eastAsia="Calibri" w:cs="Arial"/>
        </w:rPr>
        <w:t>n specified national parks to continue until 31 December 2044. The proposed extension only applie</w:t>
      </w:r>
      <w:r w:rsidR="000A7969">
        <w:rPr>
          <w:rFonts w:eastAsia="Calibri" w:cs="Arial"/>
        </w:rPr>
        <w:t>s</w:t>
      </w:r>
      <w:r w:rsidRPr="00326F3A">
        <w:rPr>
          <w:rFonts w:eastAsia="Calibri" w:cs="Arial"/>
        </w:rPr>
        <w:t xml:space="preserve"> to areas where beekeeping could be lawfully undertaken immediately prior to the transfer of the land </w:t>
      </w:r>
      <w:r w:rsidR="000A7969">
        <w:rPr>
          <w:rFonts w:eastAsia="Calibri" w:cs="Arial"/>
        </w:rPr>
        <w:t xml:space="preserve">as </w:t>
      </w:r>
      <w:r w:rsidRPr="00326F3A">
        <w:rPr>
          <w:rFonts w:eastAsia="Calibri" w:cs="Arial"/>
        </w:rPr>
        <w:t>national park.</w:t>
      </w:r>
    </w:p>
    <w:p w14:paraId="50D0F0DA" w14:textId="42BC4E53" w:rsidR="00326F3A" w:rsidRPr="00326F3A" w:rsidRDefault="00326F3A" w:rsidP="007E2D7F">
      <w:pPr>
        <w:spacing w:after="160"/>
        <w:rPr>
          <w:rFonts w:eastAsia="Calibri" w:cs="Arial"/>
        </w:rPr>
      </w:pPr>
      <w:r w:rsidRPr="00326F3A">
        <w:rPr>
          <w:rFonts w:eastAsia="Calibri" w:cs="Arial"/>
        </w:rPr>
        <w:t xml:space="preserve">The </w:t>
      </w:r>
      <w:r w:rsidR="006B0EAA">
        <w:rPr>
          <w:rFonts w:eastAsia="Calibri" w:cs="Arial"/>
        </w:rPr>
        <w:t xml:space="preserve">Statement of </w:t>
      </w:r>
      <w:r w:rsidR="001610BB">
        <w:rPr>
          <w:rFonts w:eastAsia="Calibri" w:cs="Arial"/>
        </w:rPr>
        <w:t>C</w:t>
      </w:r>
      <w:r w:rsidR="006B0EAA">
        <w:rPr>
          <w:rFonts w:eastAsia="Calibri" w:cs="Arial"/>
        </w:rPr>
        <w:t>ompatibility</w:t>
      </w:r>
      <w:r w:rsidRPr="00326F3A">
        <w:rPr>
          <w:rFonts w:eastAsia="Calibri" w:cs="Arial"/>
        </w:rPr>
        <w:t xml:space="preserve"> noted </w:t>
      </w:r>
      <w:r w:rsidR="000A7969">
        <w:rPr>
          <w:rFonts w:eastAsia="Calibri" w:cs="Arial"/>
        </w:rPr>
        <w:t xml:space="preserve">that </w:t>
      </w:r>
      <w:r w:rsidRPr="00326F3A">
        <w:rPr>
          <w:rFonts w:eastAsia="Calibri" w:cs="Arial"/>
        </w:rPr>
        <w:t xml:space="preserve">aspects of the </w:t>
      </w:r>
      <w:r w:rsidR="007E2D7F">
        <w:rPr>
          <w:rFonts w:eastAsia="Calibri" w:cs="Arial"/>
        </w:rPr>
        <w:t>B</w:t>
      </w:r>
      <w:r w:rsidRPr="00326F3A">
        <w:rPr>
          <w:rFonts w:eastAsia="Calibri" w:cs="Arial"/>
        </w:rPr>
        <w:t>ill potentially limited the cultural rights of Aboriginal peoples and Torres Strait Islander peoples.</w:t>
      </w:r>
      <w:r w:rsidR="00991168" w:rsidRPr="00991168">
        <w:rPr>
          <w:rStyle w:val="FootnoteReference"/>
          <w:rFonts w:eastAsia="Calibri" w:cs="Arial"/>
        </w:rPr>
        <w:t xml:space="preserve"> </w:t>
      </w:r>
      <w:r w:rsidR="00991168">
        <w:rPr>
          <w:rStyle w:val="FootnoteReference"/>
          <w:rFonts w:eastAsia="Calibri" w:cs="Arial"/>
        </w:rPr>
        <w:footnoteReference w:id="47"/>
      </w:r>
      <w:r w:rsidRPr="00326F3A">
        <w:rPr>
          <w:rFonts w:eastAsia="Calibri" w:cs="Arial"/>
        </w:rPr>
        <w:t xml:space="preserve"> In its submission to the State Development and Regional Industries Committee, the Commission noted </w:t>
      </w:r>
      <w:r w:rsidR="001E5B52">
        <w:rPr>
          <w:rFonts w:eastAsia="Calibri" w:cs="Arial"/>
        </w:rPr>
        <w:t xml:space="preserve">that cultural rights in </w:t>
      </w:r>
      <w:r w:rsidR="00EE2BD2">
        <w:rPr>
          <w:rFonts w:eastAsia="Calibri" w:cs="Arial"/>
        </w:rPr>
        <w:t>the Human Rights Act</w:t>
      </w:r>
      <w:r w:rsidRPr="00326F3A">
        <w:rPr>
          <w:rFonts w:eastAsia="Calibri" w:cs="Arial"/>
        </w:rPr>
        <w:t xml:space="preserve"> </w:t>
      </w:r>
      <w:r w:rsidR="001E5B52">
        <w:rPr>
          <w:rFonts w:eastAsia="Calibri" w:cs="Arial"/>
        </w:rPr>
        <w:t>are</w:t>
      </w:r>
      <w:r w:rsidRPr="00326F3A">
        <w:rPr>
          <w:rFonts w:eastAsia="Calibri" w:cs="Arial"/>
        </w:rPr>
        <w:t xml:space="preserve"> modelled on articles of the </w:t>
      </w:r>
      <w:r w:rsidRPr="00EE3483">
        <w:rPr>
          <w:rFonts w:eastAsia="Calibri" w:cs="Arial"/>
          <w:i/>
        </w:rPr>
        <w:t>United Nations Declaration on the Rights of Indigenous Peoples</w:t>
      </w:r>
      <w:r w:rsidRPr="00326F3A">
        <w:rPr>
          <w:rFonts w:eastAsia="Calibri" w:cs="Arial"/>
        </w:rPr>
        <w:t xml:space="preserve"> (UNDRIP). A key obligation of UNDRIP is to seek the free, prior and informed consent </w:t>
      </w:r>
      <w:r w:rsidR="006A6A7F">
        <w:rPr>
          <w:rFonts w:eastAsia="Calibri" w:cs="Arial"/>
        </w:rPr>
        <w:t>of</w:t>
      </w:r>
      <w:r w:rsidRPr="00326F3A">
        <w:rPr>
          <w:rFonts w:eastAsia="Calibri" w:cs="Arial"/>
        </w:rPr>
        <w:t xml:space="preserve"> </w:t>
      </w:r>
      <w:r w:rsidR="006A6A7F">
        <w:rPr>
          <w:rFonts w:eastAsia="Calibri" w:cs="Arial"/>
        </w:rPr>
        <w:t>First Nations</w:t>
      </w:r>
      <w:r w:rsidRPr="00326F3A">
        <w:rPr>
          <w:rFonts w:eastAsia="Calibri" w:cs="Arial"/>
        </w:rPr>
        <w:t xml:space="preserve"> peoples. </w:t>
      </w:r>
    </w:p>
    <w:p w14:paraId="7AB4C597" w14:textId="6911741B" w:rsidR="00326F3A" w:rsidRPr="00326F3A" w:rsidRDefault="00326F3A" w:rsidP="007E2D7F">
      <w:pPr>
        <w:spacing w:after="160"/>
        <w:rPr>
          <w:rFonts w:eastAsia="Calibri" w:cs="Arial"/>
        </w:rPr>
      </w:pPr>
      <w:r w:rsidRPr="00326F3A">
        <w:rPr>
          <w:rFonts w:eastAsia="Calibri" w:cs="Arial"/>
        </w:rPr>
        <w:t xml:space="preserve">The </w:t>
      </w:r>
      <w:r w:rsidR="006B0EAA">
        <w:rPr>
          <w:rFonts w:eastAsia="Calibri" w:cs="Arial"/>
        </w:rPr>
        <w:t xml:space="preserve">Statement of </w:t>
      </w:r>
      <w:r w:rsidR="001610BB">
        <w:rPr>
          <w:rFonts w:eastAsia="Calibri" w:cs="Arial"/>
        </w:rPr>
        <w:t>C</w:t>
      </w:r>
      <w:r w:rsidR="006B0EAA">
        <w:rPr>
          <w:rFonts w:eastAsia="Calibri" w:cs="Arial"/>
        </w:rPr>
        <w:t>ompatibility</w:t>
      </w:r>
      <w:r w:rsidRPr="00326F3A">
        <w:rPr>
          <w:rFonts w:eastAsia="Calibri" w:cs="Arial"/>
        </w:rPr>
        <w:t xml:space="preserve"> noted that </w:t>
      </w:r>
      <w:r w:rsidR="00BC44E5">
        <w:rPr>
          <w:rFonts w:eastAsia="Calibri" w:cs="Arial"/>
        </w:rPr>
        <w:t>12</w:t>
      </w:r>
      <w:r w:rsidRPr="00326F3A">
        <w:rPr>
          <w:rFonts w:eastAsia="Calibri" w:cs="Arial"/>
        </w:rPr>
        <w:t xml:space="preserve"> First Nations groups currently have native title determinations or native title claims over national parks with apiary sites located on them. The Department of Environment and Science wrote to each of these </w:t>
      </w:r>
      <w:r w:rsidR="00BC44E5">
        <w:rPr>
          <w:rFonts w:eastAsia="Calibri" w:cs="Arial"/>
        </w:rPr>
        <w:t>groups</w:t>
      </w:r>
      <w:r w:rsidR="00BC44E5" w:rsidRPr="00326F3A">
        <w:rPr>
          <w:rFonts w:eastAsia="Calibri" w:cs="Arial"/>
        </w:rPr>
        <w:t xml:space="preserve"> </w:t>
      </w:r>
      <w:r w:rsidRPr="00326F3A">
        <w:rPr>
          <w:rFonts w:eastAsia="Calibri" w:cs="Arial"/>
        </w:rPr>
        <w:t>to seek feedback about the proposed amendments.</w:t>
      </w:r>
    </w:p>
    <w:p w14:paraId="040D2F5D" w14:textId="52BE7866" w:rsidR="00326F3A" w:rsidRPr="00326F3A" w:rsidRDefault="00326F3A" w:rsidP="007E2D7F">
      <w:pPr>
        <w:spacing w:after="160"/>
        <w:rPr>
          <w:rFonts w:eastAsia="Calibri" w:cs="Arial"/>
        </w:rPr>
      </w:pPr>
      <w:r w:rsidRPr="00326F3A">
        <w:rPr>
          <w:rFonts w:eastAsia="Calibri" w:cs="Arial"/>
        </w:rPr>
        <w:t xml:space="preserve">The Commission welcomed this consultation but noted that this may not be sufficient to demonstrate a reasonable and proportionate justification of </w:t>
      </w:r>
      <w:r w:rsidR="001614BC">
        <w:rPr>
          <w:rFonts w:eastAsia="Calibri" w:cs="Arial"/>
        </w:rPr>
        <w:t xml:space="preserve">the limitation </w:t>
      </w:r>
      <w:r w:rsidR="00BC44E5">
        <w:rPr>
          <w:rFonts w:eastAsia="Calibri" w:cs="Arial"/>
        </w:rPr>
        <w:t xml:space="preserve">of </w:t>
      </w:r>
      <w:r w:rsidR="001614BC">
        <w:rPr>
          <w:rFonts w:eastAsia="Calibri" w:cs="Arial"/>
        </w:rPr>
        <w:t>rights</w:t>
      </w:r>
      <w:r w:rsidRPr="00326F3A">
        <w:rPr>
          <w:rFonts w:eastAsia="Calibri" w:cs="Arial"/>
        </w:rPr>
        <w:t xml:space="preserve">. </w:t>
      </w:r>
      <w:r w:rsidR="00BA2503">
        <w:rPr>
          <w:rFonts w:eastAsia="Calibri" w:cs="Arial"/>
        </w:rPr>
        <w:t xml:space="preserve">Cultural rights under </w:t>
      </w:r>
      <w:r w:rsidR="00EE2BD2">
        <w:rPr>
          <w:rFonts w:eastAsia="Calibri" w:cs="Arial"/>
        </w:rPr>
        <w:t>the Human Rights Act</w:t>
      </w:r>
      <w:r w:rsidR="00BA2503">
        <w:rPr>
          <w:rFonts w:eastAsia="Calibri" w:cs="Arial"/>
        </w:rPr>
        <w:t xml:space="preserve"> are broader than native title</w:t>
      </w:r>
      <w:r w:rsidR="00EE32F5">
        <w:rPr>
          <w:rFonts w:eastAsia="Calibri" w:cs="Arial"/>
        </w:rPr>
        <w:t>,</w:t>
      </w:r>
      <w:r w:rsidR="00BA2503">
        <w:rPr>
          <w:rFonts w:eastAsia="Calibri" w:cs="Arial"/>
        </w:rPr>
        <w:t xml:space="preserve"> </w:t>
      </w:r>
      <w:r w:rsidR="001024E4">
        <w:rPr>
          <w:rFonts w:eastAsia="Calibri" w:cs="Arial"/>
        </w:rPr>
        <w:t xml:space="preserve">and </w:t>
      </w:r>
      <w:r w:rsidR="001024E4" w:rsidRPr="00326F3A">
        <w:rPr>
          <w:rFonts w:eastAsia="Calibri" w:cs="Arial"/>
        </w:rPr>
        <w:t>protect</w:t>
      </w:r>
      <w:r w:rsidRPr="00326F3A">
        <w:rPr>
          <w:rFonts w:eastAsia="Calibri" w:cs="Arial"/>
        </w:rPr>
        <w:t xml:space="preserve"> the cultural rights of any </w:t>
      </w:r>
      <w:r w:rsidR="00E860CE">
        <w:rPr>
          <w:rFonts w:eastAsia="Calibri" w:cs="Arial"/>
        </w:rPr>
        <w:t xml:space="preserve">First Nations </w:t>
      </w:r>
      <w:r w:rsidRPr="00326F3A">
        <w:rPr>
          <w:rFonts w:eastAsia="Calibri" w:cs="Arial"/>
        </w:rPr>
        <w:t xml:space="preserve">person with a cultural interest in lands or waters, beyond those with an interest under native </w:t>
      </w:r>
      <w:r w:rsidR="00EE32F5">
        <w:rPr>
          <w:rFonts w:eastAsia="Calibri" w:cs="Arial"/>
        </w:rPr>
        <w:t>title</w:t>
      </w:r>
      <w:r w:rsidRPr="00326F3A">
        <w:rPr>
          <w:rFonts w:eastAsia="Calibri" w:cs="Arial"/>
        </w:rPr>
        <w:t xml:space="preserve"> legislation.</w:t>
      </w:r>
      <w:r w:rsidRPr="00326F3A">
        <w:rPr>
          <w:rFonts w:eastAsia="Calibri" w:cs="Arial"/>
          <w:vertAlign w:val="superscript"/>
        </w:rPr>
        <w:footnoteReference w:id="48"/>
      </w:r>
      <w:r w:rsidRPr="00326F3A">
        <w:rPr>
          <w:rFonts w:eastAsia="Calibri" w:cs="Arial"/>
        </w:rPr>
        <w:t xml:space="preserve"> </w:t>
      </w:r>
    </w:p>
    <w:p w14:paraId="08DEBFDB" w14:textId="64AE7B73" w:rsidR="00326F3A" w:rsidRPr="00326F3A" w:rsidRDefault="00326F3A" w:rsidP="007E2D7F">
      <w:pPr>
        <w:spacing w:after="160"/>
        <w:rPr>
          <w:rFonts w:eastAsia="Calibri" w:cs="Arial"/>
        </w:rPr>
      </w:pPr>
      <w:r w:rsidRPr="00326F3A">
        <w:rPr>
          <w:rFonts w:eastAsia="Calibri" w:cs="Arial"/>
        </w:rPr>
        <w:t xml:space="preserve">The State Development and Regional Industries Committee sought more information from the government on these issues. The </w:t>
      </w:r>
      <w:r w:rsidR="00C002EC">
        <w:rPr>
          <w:rFonts w:eastAsia="Calibri" w:cs="Arial"/>
        </w:rPr>
        <w:t>d</w:t>
      </w:r>
      <w:r w:rsidRPr="00326F3A">
        <w:rPr>
          <w:rFonts w:eastAsia="Calibri" w:cs="Arial"/>
        </w:rPr>
        <w:t xml:space="preserve">epartment acknowledged that cultural and native title rights can be distinct </w:t>
      </w:r>
      <w:r w:rsidR="00594268">
        <w:rPr>
          <w:rFonts w:eastAsia="Calibri" w:cs="Arial"/>
        </w:rPr>
        <w:t xml:space="preserve">and </w:t>
      </w:r>
      <w:r w:rsidRPr="00326F3A">
        <w:rPr>
          <w:rFonts w:eastAsia="Calibri" w:cs="Arial"/>
        </w:rPr>
        <w:t xml:space="preserve">separate and </w:t>
      </w:r>
      <w:r w:rsidR="00EE32F5">
        <w:rPr>
          <w:rFonts w:eastAsia="Calibri" w:cs="Arial"/>
        </w:rPr>
        <w:t>acknowledged</w:t>
      </w:r>
      <w:r w:rsidRPr="00326F3A">
        <w:rPr>
          <w:rFonts w:eastAsia="Calibri" w:cs="Arial"/>
        </w:rPr>
        <w:t xml:space="preserve"> the deep connection that First Nations peoples have with their land. While the </w:t>
      </w:r>
      <w:r w:rsidR="004D308F">
        <w:rPr>
          <w:rFonts w:eastAsia="Calibri" w:cs="Arial"/>
        </w:rPr>
        <w:t>d</w:t>
      </w:r>
      <w:r w:rsidRPr="00326F3A">
        <w:rPr>
          <w:rFonts w:eastAsia="Calibri" w:cs="Arial"/>
        </w:rPr>
        <w:t xml:space="preserve">epartment acknowledged cultural rights extend beyond native title rights, its consultation </w:t>
      </w:r>
      <w:r w:rsidR="00FE33B2">
        <w:rPr>
          <w:rFonts w:eastAsia="Calibri" w:cs="Arial"/>
        </w:rPr>
        <w:t>regarding</w:t>
      </w:r>
      <w:r w:rsidRPr="00326F3A">
        <w:rPr>
          <w:rFonts w:eastAsia="Calibri" w:cs="Arial"/>
        </w:rPr>
        <w:t xml:space="preserve"> the potential impacts of the Bill on cultural rights </w:t>
      </w:r>
      <w:r w:rsidR="00FE33B2">
        <w:rPr>
          <w:rFonts w:eastAsia="Calibri" w:cs="Arial"/>
        </w:rPr>
        <w:t>involved seeking</w:t>
      </w:r>
      <w:r w:rsidRPr="00326F3A">
        <w:rPr>
          <w:rFonts w:eastAsia="Calibri" w:cs="Arial"/>
        </w:rPr>
        <w:t xml:space="preserve"> the views of the representatives of the people who can speak for the land to which the Bill applies.</w:t>
      </w:r>
    </w:p>
    <w:p w14:paraId="6472E975" w14:textId="1771815F" w:rsidR="00326F3A" w:rsidRPr="00326F3A" w:rsidRDefault="00326F3A" w:rsidP="007E2D7F">
      <w:pPr>
        <w:spacing w:after="160"/>
        <w:rPr>
          <w:rFonts w:eastAsia="Calibri" w:cs="Arial"/>
        </w:rPr>
      </w:pPr>
      <w:r w:rsidRPr="00326F3A">
        <w:rPr>
          <w:rFonts w:eastAsia="Calibri" w:cs="Arial"/>
        </w:rPr>
        <w:t xml:space="preserve">In the absence of an agreed cross-government framework for broader engagement with First Nations peoples regarding cultural rights under the Human Rights Act, the </w:t>
      </w:r>
      <w:r w:rsidR="009D7BC8">
        <w:rPr>
          <w:rFonts w:eastAsia="Calibri" w:cs="Arial"/>
        </w:rPr>
        <w:t>d</w:t>
      </w:r>
      <w:r w:rsidRPr="00326F3A">
        <w:rPr>
          <w:rFonts w:eastAsia="Calibri" w:cs="Arial"/>
        </w:rPr>
        <w:t xml:space="preserve">epartment considered this approach to be respectful of the practice of letting people </w:t>
      </w:r>
      <w:r w:rsidR="000655E0">
        <w:rPr>
          <w:rFonts w:eastAsia="Calibri" w:cs="Arial"/>
        </w:rPr>
        <w:t>on</w:t>
      </w:r>
      <w:r w:rsidRPr="00326F3A">
        <w:rPr>
          <w:rFonts w:eastAsia="Calibri" w:cs="Arial"/>
        </w:rPr>
        <w:t xml:space="preserve"> country speak for their country</w:t>
      </w:r>
      <w:r w:rsidR="000A01CE">
        <w:rPr>
          <w:rFonts w:eastAsia="Calibri" w:cs="Arial"/>
        </w:rPr>
        <w:t xml:space="preserve">. The </w:t>
      </w:r>
      <w:r w:rsidR="009D7BC8">
        <w:rPr>
          <w:rFonts w:eastAsia="Calibri" w:cs="Arial"/>
        </w:rPr>
        <w:t>d</w:t>
      </w:r>
      <w:r w:rsidR="000A01CE">
        <w:rPr>
          <w:rFonts w:eastAsia="Calibri" w:cs="Arial"/>
        </w:rPr>
        <w:t>epartment stated that they had provided an</w:t>
      </w:r>
      <w:r w:rsidRPr="00326F3A">
        <w:rPr>
          <w:rFonts w:eastAsia="Calibri" w:cs="Arial"/>
        </w:rPr>
        <w:t xml:space="preserve"> opportunity </w:t>
      </w:r>
      <w:r w:rsidR="000A01CE">
        <w:rPr>
          <w:rFonts w:eastAsia="Calibri" w:cs="Arial"/>
        </w:rPr>
        <w:t xml:space="preserve">for individuals </w:t>
      </w:r>
      <w:r w:rsidRPr="00326F3A">
        <w:rPr>
          <w:rFonts w:eastAsia="Calibri" w:cs="Arial"/>
        </w:rPr>
        <w:t xml:space="preserve">to advise </w:t>
      </w:r>
      <w:r w:rsidR="00D85622">
        <w:rPr>
          <w:rFonts w:eastAsia="Calibri" w:cs="Arial"/>
        </w:rPr>
        <w:t xml:space="preserve">them </w:t>
      </w:r>
      <w:r w:rsidRPr="00326F3A">
        <w:rPr>
          <w:rFonts w:eastAsia="Calibri" w:cs="Arial"/>
        </w:rPr>
        <w:t xml:space="preserve">if cultural rights </w:t>
      </w:r>
      <w:r w:rsidR="00D85622">
        <w:rPr>
          <w:rFonts w:eastAsia="Calibri" w:cs="Arial"/>
        </w:rPr>
        <w:t xml:space="preserve">are </w:t>
      </w:r>
      <w:r w:rsidRPr="00326F3A">
        <w:rPr>
          <w:rFonts w:eastAsia="Calibri" w:cs="Arial"/>
        </w:rPr>
        <w:t xml:space="preserve">held by other First Nations peoples who are not of that country, or </w:t>
      </w:r>
      <w:r w:rsidR="00BB0FAB">
        <w:rPr>
          <w:rFonts w:eastAsia="Calibri" w:cs="Arial"/>
        </w:rPr>
        <w:t xml:space="preserve">who </w:t>
      </w:r>
      <w:r w:rsidRPr="00326F3A">
        <w:rPr>
          <w:rFonts w:eastAsia="Calibri" w:cs="Arial"/>
        </w:rPr>
        <w:t>are not recognised native title holders of that country.</w:t>
      </w:r>
    </w:p>
    <w:p w14:paraId="2773107C" w14:textId="24F6DE9B" w:rsidR="00326F3A" w:rsidRPr="00326F3A" w:rsidRDefault="00326F3A" w:rsidP="007E2D7F">
      <w:pPr>
        <w:spacing w:after="160"/>
        <w:rPr>
          <w:rFonts w:eastAsia="Calibri" w:cs="Arial"/>
        </w:rPr>
      </w:pPr>
      <w:r w:rsidRPr="00326F3A">
        <w:rPr>
          <w:rFonts w:eastAsia="Calibri" w:cs="Arial"/>
        </w:rPr>
        <w:t>Separate to the</w:t>
      </w:r>
      <w:r w:rsidR="00BB740B">
        <w:rPr>
          <w:rFonts w:eastAsia="Calibri" w:cs="Arial"/>
        </w:rPr>
        <w:t>ir</w:t>
      </w:r>
      <w:r w:rsidRPr="00326F3A">
        <w:rPr>
          <w:rFonts w:eastAsia="Calibri" w:cs="Arial"/>
        </w:rPr>
        <w:t xml:space="preserve"> assessment of cultural rights</w:t>
      </w:r>
      <w:r w:rsidR="00BB740B">
        <w:rPr>
          <w:rFonts w:eastAsia="Calibri" w:cs="Arial"/>
        </w:rPr>
        <w:t>,</w:t>
      </w:r>
      <w:r w:rsidRPr="00326F3A">
        <w:rPr>
          <w:rFonts w:eastAsia="Calibri" w:cs="Arial"/>
        </w:rPr>
        <w:t xml:space="preserve"> the </w:t>
      </w:r>
      <w:r w:rsidR="009D7BC8">
        <w:rPr>
          <w:rFonts w:eastAsia="Calibri" w:cs="Arial"/>
        </w:rPr>
        <w:t>d</w:t>
      </w:r>
      <w:r w:rsidRPr="00326F3A">
        <w:rPr>
          <w:rFonts w:eastAsia="Calibri" w:cs="Arial"/>
        </w:rPr>
        <w:t xml:space="preserve">epartment noted that the </w:t>
      </w:r>
      <w:r w:rsidR="001555A9">
        <w:rPr>
          <w:rFonts w:eastAsia="Calibri" w:cs="Arial"/>
        </w:rPr>
        <w:t>c</w:t>
      </w:r>
      <w:r w:rsidRPr="00326F3A">
        <w:rPr>
          <w:rFonts w:eastAsia="Calibri" w:cs="Arial"/>
        </w:rPr>
        <w:t>ommittee’s inquiry into the Bill also provided an avenue for the public to raise any human rights matters.</w:t>
      </w:r>
    </w:p>
    <w:p w14:paraId="4995C1BA" w14:textId="08FE475F" w:rsidR="00D9555A" w:rsidRPr="00326F3A" w:rsidRDefault="002C7C38" w:rsidP="00D9555A">
      <w:pPr>
        <w:spacing w:after="160"/>
        <w:rPr>
          <w:rFonts w:eastAsia="Calibri" w:cs="Arial"/>
        </w:rPr>
      </w:pPr>
      <w:r>
        <w:rPr>
          <w:rFonts w:eastAsia="Calibri" w:cs="Arial"/>
        </w:rPr>
        <w:t xml:space="preserve">In its submission to the </w:t>
      </w:r>
      <w:r w:rsidR="00390C1F">
        <w:rPr>
          <w:rFonts w:eastAsia="Calibri" w:cs="Arial"/>
        </w:rPr>
        <w:t>c</w:t>
      </w:r>
      <w:r>
        <w:rPr>
          <w:rFonts w:eastAsia="Calibri" w:cs="Arial"/>
        </w:rPr>
        <w:t>ommittee t</w:t>
      </w:r>
      <w:r w:rsidR="00D9555A" w:rsidRPr="00326F3A">
        <w:rPr>
          <w:rFonts w:eastAsia="Calibri" w:cs="Arial"/>
        </w:rPr>
        <w:t xml:space="preserve">he Commission questioned whether new apiary permits </w:t>
      </w:r>
      <w:r w:rsidR="00D9555A">
        <w:rPr>
          <w:rFonts w:eastAsia="Calibri" w:cs="Arial"/>
        </w:rPr>
        <w:t xml:space="preserve">should </w:t>
      </w:r>
      <w:r w:rsidR="00D9555A" w:rsidRPr="00326F3A">
        <w:rPr>
          <w:rFonts w:eastAsia="Calibri" w:cs="Arial"/>
        </w:rPr>
        <w:t>only be granted with the free, prior and informed consent of First Nations peoples with cultural connections to the land</w:t>
      </w:r>
      <w:r w:rsidR="00390C1F">
        <w:rPr>
          <w:rFonts w:eastAsia="Calibri" w:cs="Arial"/>
        </w:rPr>
        <w:t>,</w:t>
      </w:r>
      <w:r w:rsidR="00D9555A" w:rsidRPr="00326F3A">
        <w:rPr>
          <w:rFonts w:eastAsia="Calibri" w:cs="Arial"/>
        </w:rPr>
        <w:t xml:space="preserve"> including those </w:t>
      </w:r>
      <w:r w:rsidR="00390C1F">
        <w:rPr>
          <w:rFonts w:eastAsia="Calibri" w:cs="Arial"/>
        </w:rPr>
        <w:t xml:space="preserve">people </w:t>
      </w:r>
      <w:r w:rsidR="00D9555A" w:rsidRPr="00326F3A">
        <w:rPr>
          <w:rFonts w:eastAsia="Calibri" w:cs="Arial"/>
        </w:rPr>
        <w:t xml:space="preserve">who have not had formal native title recognition. The </w:t>
      </w:r>
      <w:r w:rsidR="00390C1F">
        <w:rPr>
          <w:rFonts w:eastAsia="Calibri" w:cs="Arial"/>
        </w:rPr>
        <w:t>d</w:t>
      </w:r>
      <w:r w:rsidR="00D9555A" w:rsidRPr="00326F3A">
        <w:rPr>
          <w:rFonts w:eastAsia="Calibri" w:cs="Arial"/>
        </w:rPr>
        <w:t xml:space="preserve">epartment advised that new apiary permits will be granted with consideration of the requirements of the Human Rights Act and consistent with the </w:t>
      </w:r>
      <w:r w:rsidR="00B425A3">
        <w:rPr>
          <w:rFonts w:eastAsia="Calibri" w:cs="Arial"/>
        </w:rPr>
        <w:t>d</w:t>
      </w:r>
      <w:r w:rsidR="00D9555A" w:rsidRPr="00326F3A">
        <w:rPr>
          <w:rFonts w:eastAsia="Calibri" w:cs="Arial"/>
        </w:rPr>
        <w:t>epartment’s obligations as articulated in the Nature Conservation Act</w:t>
      </w:r>
      <w:r>
        <w:rPr>
          <w:rFonts w:eastAsia="Calibri" w:cs="Arial"/>
        </w:rPr>
        <w:t>.</w:t>
      </w:r>
    </w:p>
    <w:p w14:paraId="3CA69F24" w14:textId="34728582" w:rsidR="00326F3A" w:rsidRPr="00740182" w:rsidRDefault="00165161" w:rsidP="00740182">
      <w:pPr>
        <w:spacing w:after="160"/>
        <w:rPr>
          <w:rFonts w:eastAsia="Calibri" w:cs="Arial"/>
        </w:rPr>
      </w:pPr>
      <w:r w:rsidRPr="00165161">
        <w:rPr>
          <w:rFonts w:eastAsia="Calibri" w:cs="Arial"/>
        </w:rPr>
        <w:t xml:space="preserve">The </w:t>
      </w:r>
      <w:r w:rsidR="00390C1F">
        <w:rPr>
          <w:rFonts w:eastAsia="Calibri" w:cs="Arial"/>
        </w:rPr>
        <w:t>d</w:t>
      </w:r>
      <w:r w:rsidRPr="00165161">
        <w:rPr>
          <w:rFonts w:eastAsia="Calibri" w:cs="Arial"/>
        </w:rPr>
        <w:t xml:space="preserve">epartment stated that it plans to explore alternative methods to evaluate the effects on the cultural rights of First Nations peoples. This assessment </w:t>
      </w:r>
      <w:r w:rsidR="00283FF2">
        <w:rPr>
          <w:rFonts w:eastAsia="Calibri" w:cs="Arial"/>
        </w:rPr>
        <w:t>would</w:t>
      </w:r>
      <w:r w:rsidRPr="00165161">
        <w:rPr>
          <w:rFonts w:eastAsia="Calibri" w:cs="Arial"/>
        </w:rPr>
        <w:t xml:space="preserve"> go beyond considering only those </w:t>
      </w:r>
      <w:r w:rsidR="00390C1F">
        <w:rPr>
          <w:rFonts w:eastAsia="Calibri" w:cs="Arial"/>
        </w:rPr>
        <w:t xml:space="preserve">people </w:t>
      </w:r>
      <w:r w:rsidRPr="00165161">
        <w:rPr>
          <w:rFonts w:eastAsia="Calibri" w:cs="Arial"/>
        </w:rPr>
        <w:t>who hold native title or have filed claims on the land where beekeeping activities take place.</w:t>
      </w:r>
      <w:r w:rsidR="00626BB7">
        <w:rPr>
          <w:rFonts w:eastAsia="Calibri" w:cs="Arial"/>
        </w:rPr>
        <w:t xml:space="preserve"> </w:t>
      </w:r>
      <w:r w:rsidR="00326F3A" w:rsidRPr="00326F3A">
        <w:rPr>
          <w:rFonts w:eastAsia="Calibri" w:cs="Arial"/>
        </w:rPr>
        <w:t xml:space="preserve">This investigation would include engaging with the </w:t>
      </w:r>
      <w:r w:rsidR="00C7530C">
        <w:rPr>
          <w:rFonts w:eastAsia="Calibri" w:cs="Arial"/>
        </w:rPr>
        <w:t>Commission</w:t>
      </w:r>
      <w:r w:rsidR="00326F3A" w:rsidRPr="00326F3A">
        <w:rPr>
          <w:rFonts w:eastAsia="Calibri" w:cs="Arial"/>
        </w:rPr>
        <w:t xml:space="preserve"> to discuss where such approaches have been used effectively in other circumstances across government. </w:t>
      </w:r>
      <w:r w:rsidR="00FC7A19">
        <w:rPr>
          <w:rFonts w:eastAsia="Calibri" w:cs="Arial"/>
        </w:rPr>
        <w:t xml:space="preserve">The Commission views this </w:t>
      </w:r>
      <w:r w:rsidR="009032C0">
        <w:rPr>
          <w:rFonts w:eastAsia="Calibri" w:cs="Arial"/>
        </w:rPr>
        <w:t>instance as</w:t>
      </w:r>
      <w:r w:rsidR="00FC7A19">
        <w:rPr>
          <w:rFonts w:eastAsia="Calibri" w:cs="Arial"/>
        </w:rPr>
        <w:t xml:space="preserve"> a constructive illustration of human rights dialogue in the committee process.</w:t>
      </w:r>
    </w:p>
    <w:p w14:paraId="354A0F53" w14:textId="77777777" w:rsidR="00E73D25" w:rsidRPr="00E73D25" w:rsidRDefault="00E73D25" w:rsidP="00E73D25">
      <w:pPr>
        <w:pStyle w:val="Heading2"/>
      </w:pPr>
      <w:bookmarkStart w:id="284" w:name="_Toc147757290"/>
      <w:bookmarkStart w:id="285" w:name="_Toc148086911"/>
      <w:r w:rsidRPr="00E73D25">
        <w:t>Births, Deaths and Marriages Registration Bill 2022</w:t>
      </w:r>
      <w:bookmarkEnd w:id="284"/>
      <w:bookmarkEnd w:id="285"/>
    </w:p>
    <w:p w14:paraId="753AB6FF" w14:textId="4E57C12D" w:rsidR="00E73D25" w:rsidRPr="00E73D25" w:rsidRDefault="00E73D25" w:rsidP="00E73D25">
      <w:pPr>
        <w:spacing w:after="160" w:line="259" w:lineRule="auto"/>
        <w:rPr>
          <w:rFonts w:eastAsia="Calibri" w:cs="Arial"/>
        </w:rPr>
      </w:pPr>
      <w:r w:rsidRPr="00E73D25">
        <w:rPr>
          <w:rFonts w:eastAsia="Calibri" w:cs="Arial"/>
        </w:rPr>
        <w:t xml:space="preserve">The key objectives of the Bill included strengthening the legal recognition of trans and gender diverse people, and better recognising contemporary family and parenting structures. The Commission has long supported </w:t>
      </w:r>
      <w:r w:rsidR="00F50B3D">
        <w:rPr>
          <w:rFonts w:eastAsia="Calibri" w:cs="Arial"/>
        </w:rPr>
        <w:t xml:space="preserve">law </w:t>
      </w:r>
      <w:r w:rsidRPr="00E73D25">
        <w:rPr>
          <w:rFonts w:eastAsia="Calibri" w:cs="Arial"/>
        </w:rPr>
        <w:t>reform to achieve these objectives.</w:t>
      </w:r>
      <w:r w:rsidR="00E865C3">
        <w:rPr>
          <w:rFonts w:eastAsia="Calibri" w:cs="Arial"/>
        </w:rPr>
        <w:t xml:space="preserve"> </w:t>
      </w:r>
    </w:p>
    <w:p w14:paraId="688B384A" w14:textId="43761907" w:rsidR="00E73D25" w:rsidRPr="00E73D25" w:rsidRDefault="00E73D25" w:rsidP="00E73D25">
      <w:pPr>
        <w:spacing w:after="160" w:line="259" w:lineRule="auto"/>
        <w:rPr>
          <w:rFonts w:eastAsia="Calibri" w:cs="Arial"/>
        </w:rPr>
      </w:pPr>
      <w:r w:rsidRPr="00E73D25">
        <w:rPr>
          <w:rFonts w:eastAsia="Calibri" w:cs="Arial"/>
        </w:rPr>
        <w:t xml:space="preserve">The changes </w:t>
      </w:r>
      <w:r w:rsidR="00F50B3D">
        <w:rPr>
          <w:rFonts w:eastAsia="Calibri" w:cs="Arial"/>
        </w:rPr>
        <w:t>in the Bill</w:t>
      </w:r>
      <w:r w:rsidRPr="00E73D25">
        <w:rPr>
          <w:rFonts w:eastAsia="Calibri" w:cs="Arial"/>
        </w:rPr>
        <w:t xml:space="preserve"> included: removing the requirement for a person to undergo sexual reassignment surgery in order to alter the record of their sex; introducing a more accessible framework for people aged 16 years and older to apply to alter the record of their sex; enabling a person to nominate a sex descriptor of their choice (male, female, or any other sex); and allowing each of a child’s parents to be registered as mother, father</w:t>
      </w:r>
      <w:r w:rsidR="008342E6">
        <w:rPr>
          <w:rFonts w:eastAsia="Calibri" w:cs="Arial"/>
        </w:rPr>
        <w:t>,</w:t>
      </w:r>
      <w:r w:rsidRPr="00E73D25">
        <w:rPr>
          <w:rFonts w:eastAsia="Calibri" w:cs="Arial"/>
        </w:rPr>
        <w:t xml:space="preserve"> or parent, which allows combinations that are not confined to ‘mother/father’.</w:t>
      </w:r>
    </w:p>
    <w:p w14:paraId="3FFB5F33" w14:textId="4B45A04E" w:rsidR="00E73D25" w:rsidRPr="00E73D25" w:rsidRDefault="00E73D25" w:rsidP="00E73D25">
      <w:pPr>
        <w:spacing w:after="160" w:line="259" w:lineRule="auto"/>
        <w:rPr>
          <w:rFonts w:eastAsia="Calibri" w:cs="Arial"/>
        </w:rPr>
      </w:pPr>
      <w:r w:rsidRPr="00E73D25">
        <w:rPr>
          <w:rFonts w:eastAsia="Calibri" w:cs="Arial"/>
        </w:rPr>
        <w:t xml:space="preserve">The Bill also proposed amendments to the </w:t>
      </w:r>
      <w:r w:rsidRPr="00E73D25">
        <w:rPr>
          <w:rFonts w:eastAsia="Calibri" w:cs="Arial"/>
          <w:i/>
          <w:iCs/>
        </w:rPr>
        <w:t xml:space="preserve">Anti-Discrimination Act 1991 </w:t>
      </w:r>
      <w:r w:rsidRPr="00E73D25">
        <w:rPr>
          <w:rFonts w:eastAsia="Calibri" w:cs="Arial"/>
        </w:rPr>
        <w:t xml:space="preserve">to change the </w:t>
      </w:r>
      <w:r w:rsidR="00F50B3D">
        <w:rPr>
          <w:rFonts w:eastAsia="Calibri" w:cs="Arial"/>
        </w:rPr>
        <w:t>meaning</w:t>
      </w:r>
      <w:r w:rsidRPr="00E73D25">
        <w:rPr>
          <w:rFonts w:eastAsia="Calibri" w:cs="Arial"/>
        </w:rPr>
        <w:t xml:space="preserve"> of ‘gender identity’ </w:t>
      </w:r>
      <w:r w:rsidR="00F50B3D">
        <w:rPr>
          <w:rFonts w:eastAsia="Calibri" w:cs="Arial"/>
        </w:rPr>
        <w:t xml:space="preserve">to provide for a </w:t>
      </w:r>
      <w:r w:rsidRPr="00E73D25">
        <w:rPr>
          <w:rFonts w:eastAsia="Calibri" w:cs="Arial"/>
        </w:rPr>
        <w:t>more inclusive</w:t>
      </w:r>
      <w:r w:rsidR="00F50B3D">
        <w:rPr>
          <w:rFonts w:eastAsia="Calibri" w:cs="Arial"/>
        </w:rPr>
        <w:t xml:space="preserve"> definition</w:t>
      </w:r>
      <w:r w:rsidRPr="00E73D25">
        <w:rPr>
          <w:rFonts w:eastAsia="Calibri" w:cs="Arial"/>
        </w:rPr>
        <w:t xml:space="preserve">, to introduce a new protected attribute of ‘sex characteristics’ to </w:t>
      </w:r>
      <w:r w:rsidR="0082676C">
        <w:rPr>
          <w:rFonts w:eastAsia="Calibri" w:cs="Arial"/>
        </w:rPr>
        <w:t>protect</w:t>
      </w:r>
      <w:r w:rsidRPr="00E73D25">
        <w:rPr>
          <w:rFonts w:eastAsia="Calibri" w:cs="Arial"/>
        </w:rPr>
        <w:t xml:space="preserve"> the intersex community, and to repeal an exemption that allows discrimination in working with children.</w:t>
      </w:r>
    </w:p>
    <w:p w14:paraId="29800C15" w14:textId="42DC2F3B" w:rsidR="00E73D25" w:rsidRPr="00E73D25" w:rsidRDefault="00E73D25" w:rsidP="00E73D25">
      <w:pPr>
        <w:spacing w:after="160" w:line="259" w:lineRule="auto"/>
        <w:rPr>
          <w:rFonts w:eastAsia="Calibri" w:cs="Arial"/>
        </w:rPr>
      </w:pPr>
      <w:r w:rsidRPr="00E73D25">
        <w:rPr>
          <w:rFonts w:eastAsia="Calibri" w:cs="Arial"/>
        </w:rPr>
        <w:t xml:space="preserve">Human rights under </w:t>
      </w:r>
      <w:r w:rsidR="00EE2BD2">
        <w:rPr>
          <w:rFonts w:eastAsia="Calibri" w:cs="Arial"/>
        </w:rPr>
        <w:t>the Human Rights Act</w:t>
      </w:r>
      <w:r w:rsidRPr="00E73D25">
        <w:rPr>
          <w:rFonts w:eastAsia="Calibri" w:cs="Arial"/>
        </w:rPr>
        <w:t>, as informed by relevant international instruments, were discussed throughout the Legal Affairs and Safety Committee’s report</w:t>
      </w:r>
      <w:r w:rsidR="006142A7">
        <w:rPr>
          <w:rFonts w:eastAsia="Calibri" w:cs="Arial"/>
        </w:rPr>
        <w:t xml:space="preserve"> on the Bill</w:t>
      </w:r>
      <w:r w:rsidRPr="00E73D25">
        <w:rPr>
          <w:rFonts w:eastAsia="Calibri" w:cs="Arial"/>
        </w:rPr>
        <w:t xml:space="preserve">. This included additional information provided by the </w:t>
      </w:r>
      <w:r w:rsidR="008A2485">
        <w:rPr>
          <w:rFonts w:eastAsia="Calibri" w:cs="Arial"/>
        </w:rPr>
        <w:t>d</w:t>
      </w:r>
      <w:r w:rsidRPr="00E73D25">
        <w:rPr>
          <w:rFonts w:eastAsia="Calibri" w:cs="Arial"/>
        </w:rPr>
        <w:t xml:space="preserve">epartment to the </w:t>
      </w:r>
      <w:r w:rsidR="008A2485">
        <w:rPr>
          <w:rFonts w:eastAsia="Calibri" w:cs="Arial"/>
        </w:rPr>
        <w:t>c</w:t>
      </w:r>
      <w:r w:rsidRPr="00E73D25">
        <w:rPr>
          <w:rFonts w:eastAsia="Calibri" w:cs="Arial"/>
        </w:rPr>
        <w:t xml:space="preserve">ommittee regarding the </w:t>
      </w:r>
      <w:r w:rsidRPr="001024E4">
        <w:rPr>
          <w:rFonts w:eastAsia="Calibri" w:cs="Arial"/>
          <w:i/>
        </w:rPr>
        <w:t>Yogyakarta Principles</w:t>
      </w:r>
      <w:r w:rsidRPr="00E73D25">
        <w:rPr>
          <w:rFonts w:eastAsia="Calibri" w:cs="Arial"/>
        </w:rPr>
        <w:t xml:space="preserve">, which provide a universal guide to the application of human rights principles and legal standards on sexuality and gender identity. </w:t>
      </w:r>
    </w:p>
    <w:p w14:paraId="305C5254" w14:textId="41D3D785" w:rsidR="00E73D25" w:rsidRPr="00E73D25" w:rsidRDefault="00E73D25" w:rsidP="00E73D25">
      <w:pPr>
        <w:spacing w:after="160" w:line="259" w:lineRule="auto"/>
        <w:rPr>
          <w:rFonts w:eastAsia="Calibri" w:cs="Arial"/>
        </w:rPr>
      </w:pPr>
      <w:r w:rsidRPr="00E73D25">
        <w:rPr>
          <w:rFonts w:eastAsia="Calibri" w:cs="Arial"/>
        </w:rPr>
        <w:t xml:space="preserve">The Commission and other stakeholders raised concerns about the impact on human rights in relation to provisions about ‘restricted persons’ (a prisoner or a released prisoner) including the requirement that such persons seek the approval of the </w:t>
      </w:r>
      <w:r w:rsidR="00FF439C">
        <w:rPr>
          <w:rFonts w:eastAsia="Calibri" w:cs="Arial"/>
        </w:rPr>
        <w:t>Queensland Corrective Services</w:t>
      </w:r>
      <w:r w:rsidRPr="00E73D25">
        <w:rPr>
          <w:rFonts w:eastAsia="Calibri" w:cs="Arial"/>
        </w:rPr>
        <w:t xml:space="preserve"> Chief Executive to apply for a change of sex. </w:t>
      </w:r>
      <w:r w:rsidR="00FF439C">
        <w:rPr>
          <w:rFonts w:eastAsia="Calibri" w:cs="Arial"/>
        </w:rPr>
        <w:t>The Commission considered that this</w:t>
      </w:r>
      <w:r w:rsidRPr="00E73D25">
        <w:rPr>
          <w:rFonts w:eastAsia="Calibri" w:cs="Arial"/>
        </w:rPr>
        <w:t xml:space="preserve"> was a significant limitation on the right to equality before the law, the right to privacy</w:t>
      </w:r>
      <w:r w:rsidR="00E1709E">
        <w:rPr>
          <w:rFonts w:eastAsia="Calibri" w:cs="Arial"/>
        </w:rPr>
        <w:t>,</w:t>
      </w:r>
      <w:r w:rsidRPr="00E73D25">
        <w:rPr>
          <w:rFonts w:eastAsia="Calibri" w:cs="Arial"/>
        </w:rPr>
        <w:t xml:space="preserve"> and the right to humane treatment</w:t>
      </w:r>
      <w:r w:rsidR="00786D2D">
        <w:rPr>
          <w:rFonts w:eastAsia="Calibri" w:cs="Arial"/>
        </w:rPr>
        <w:t xml:space="preserve"> when deprived of liberty</w:t>
      </w:r>
      <w:r w:rsidRPr="00E73D25">
        <w:rPr>
          <w:rFonts w:eastAsia="Calibri" w:cs="Arial"/>
        </w:rPr>
        <w:t>.</w:t>
      </w:r>
    </w:p>
    <w:p w14:paraId="60CF2C0B" w14:textId="65799A4B" w:rsidR="00E73D25" w:rsidRPr="00E73D25" w:rsidRDefault="00E73D25" w:rsidP="00E73D25">
      <w:pPr>
        <w:spacing w:after="160" w:line="259" w:lineRule="auto"/>
        <w:rPr>
          <w:rFonts w:eastAsia="Calibri" w:cs="Arial"/>
        </w:rPr>
      </w:pPr>
      <w:r w:rsidRPr="00E73D25">
        <w:rPr>
          <w:rFonts w:eastAsia="Calibri" w:cs="Arial"/>
        </w:rPr>
        <w:t xml:space="preserve">The </w:t>
      </w:r>
      <w:r w:rsidR="00C10956">
        <w:rPr>
          <w:rFonts w:eastAsia="Calibri" w:cs="Arial"/>
        </w:rPr>
        <w:t>c</w:t>
      </w:r>
      <w:r w:rsidRPr="00E73D25">
        <w:rPr>
          <w:rFonts w:eastAsia="Calibri" w:cs="Arial"/>
        </w:rPr>
        <w:t xml:space="preserve">ommittee found the </w:t>
      </w:r>
      <w:r w:rsidR="006B0EAA">
        <w:rPr>
          <w:rFonts w:eastAsia="Calibri" w:cs="Arial"/>
        </w:rPr>
        <w:t xml:space="preserve">Statement of </w:t>
      </w:r>
      <w:r w:rsidR="001610BB">
        <w:rPr>
          <w:rFonts w:eastAsia="Calibri" w:cs="Arial"/>
        </w:rPr>
        <w:t>C</w:t>
      </w:r>
      <w:r w:rsidR="006B0EAA">
        <w:rPr>
          <w:rFonts w:eastAsia="Calibri" w:cs="Arial"/>
        </w:rPr>
        <w:t>ompatibility</w:t>
      </w:r>
      <w:r w:rsidRPr="00E73D25">
        <w:rPr>
          <w:rFonts w:eastAsia="Calibri" w:cs="Arial"/>
        </w:rPr>
        <w:t xml:space="preserve"> lacked sufficient detail on these issues and sought further information from the government, which was </w:t>
      </w:r>
      <w:r w:rsidR="00AE54CC">
        <w:rPr>
          <w:rFonts w:eastAsia="Calibri" w:cs="Arial"/>
        </w:rPr>
        <w:t xml:space="preserve">subsequently </w:t>
      </w:r>
      <w:r w:rsidRPr="00E73D25">
        <w:rPr>
          <w:rFonts w:eastAsia="Calibri" w:cs="Arial"/>
        </w:rPr>
        <w:t xml:space="preserve">published in the report. The </w:t>
      </w:r>
      <w:r w:rsidR="00AE54CC">
        <w:rPr>
          <w:rFonts w:eastAsia="Calibri" w:cs="Arial"/>
        </w:rPr>
        <w:t>c</w:t>
      </w:r>
      <w:r w:rsidRPr="00E73D25">
        <w:rPr>
          <w:rFonts w:eastAsia="Calibri" w:cs="Arial"/>
        </w:rPr>
        <w:t xml:space="preserve">ommittee concluded that the approval process was a reasonable limitation on human rights. </w:t>
      </w:r>
    </w:p>
    <w:p w14:paraId="60FA8C34" w14:textId="713FDCF7" w:rsidR="00E73D25" w:rsidRPr="00E73D25" w:rsidRDefault="00FF439C" w:rsidP="00E73D25">
      <w:pPr>
        <w:spacing w:after="160" w:line="259" w:lineRule="auto"/>
        <w:rPr>
          <w:rFonts w:eastAsia="Calibri" w:cs="Arial"/>
        </w:rPr>
      </w:pPr>
      <w:r w:rsidRPr="00E73D25">
        <w:rPr>
          <w:rFonts w:eastAsia="Calibri" w:cs="Arial"/>
        </w:rPr>
        <w:t>Several</w:t>
      </w:r>
      <w:r w:rsidR="00E73D25" w:rsidRPr="00E73D25">
        <w:rPr>
          <w:rFonts w:eastAsia="Calibri" w:cs="Arial"/>
        </w:rPr>
        <w:t xml:space="preserve"> submissions, including from the Commission, expressed concern that the statute book </w:t>
      </w:r>
      <w:r w:rsidR="00AE54CC">
        <w:rPr>
          <w:rFonts w:eastAsia="Calibri" w:cs="Arial"/>
        </w:rPr>
        <w:t>contains</w:t>
      </w:r>
      <w:r w:rsidR="00AE54CC" w:rsidRPr="00E73D25">
        <w:rPr>
          <w:rFonts w:eastAsia="Calibri" w:cs="Arial"/>
        </w:rPr>
        <w:t xml:space="preserve"> </w:t>
      </w:r>
      <w:r w:rsidR="00E73D25" w:rsidRPr="00E73D25">
        <w:rPr>
          <w:rFonts w:eastAsia="Calibri" w:cs="Arial"/>
        </w:rPr>
        <w:t xml:space="preserve">examples of older legislation passed before the community had a more nuanced understanding of sex and gender. </w:t>
      </w:r>
      <w:r w:rsidR="009521A1">
        <w:rPr>
          <w:rFonts w:eastAsia="Calibri" w:cs="Arial"/>
        </w:rPr>
        <w:t>Stakeholders</w:t>
      </w:r>
      <w:r w:rsidR="00E73D25" w:rsidRPr="00E73D25">
        <w:rPr>
          <w:rFonts w:eastAsia="Calibri" w:cs="Arial"/>
        </w:rPr>
        <w:t xml:space="preserve"> suggested that an audit was necessary to ensure all legal rights, entitlements, privileges</w:t>
      </w:r>
      <w:r w:rsidR="00B71C71">
        <w:rPr>
          <w:rFonts w:eastAsia="Calibri" w:cs="Arial"/>
        </w:rPr>
        <w:t>,</w:t>
      </w:r>
      <w:r w:rsidR="00E73D25" w:rsidRPr="00E73D25">
        <w:rPr>
          <w:rFonts w:eastAsia="Calibri" w:cs="Arial"/>
        </w:rPr>
        <w:t xml:space="preserve"> and responsibilities are afforded equally to all Queenslanders, regardless of their gender or sex. In response, the </w:t>
      </w:r>
      <w:r w:rsidR="00B71C71">
        <w:rPr>
          <w:rFonts w:eastAsia="Calibri" w:cs="Arial"/>
        </w:rPr>
        <w:t>c</w:t>
      </w:r>
      <w:r w:rsidR="00E73D25" w:rsidRPr="00E73D25">
        <w:rPr>
          <w:rFonts w:eastAsia="Calibri" w:cs="Arial"/>
        </w:rPr>
        <w:t xml:space="preserve">ommittee recommended that Queensland Government agencies undertake an audit of Queensland legislation within their remit </w:t>
      </w:r>
      <w:r w:rsidR="00757212">
        <w:rPr>
          <w:rFonts w:eastAsia="Calibri" w:cs="Arial"/>
        </w:rPr>
        <w:t>and</w:t>
      </w:r>
      <w:r w:rsidR="00757212" w:rsidRPr="00E73D25">
        <w:rPr>
          <w:rFonts w:eastAsia="Calibri" w:cs="Arial"/>
        </w:rPr>
        <w:t xml:space="preserve"> </w:t>
      </w:r>
      <w:r w:rsidR="00E73D25" w:rsidRPr="00E73D25">
        <w:rPr>
          <w:rFonts w:eastAsia="Calibri" w:cs="Arial"/>
        </w:rPr>
        <w:t xml:space="preserve">identify amendments required as a result of the introduction of the Bill. The government supported this recommendation. </w:t>
      </w:r>
    </w:p>
    <w:p w14:paraId="06E1A0A7" w14:textId="3A0CD974" w:rsidR="00E73D25" w:rsidRPr="00E73D25" w:rsidRDefault="00E73D25" w:rsidP="00E73D25">
      <w:pPr>
        <w:spacing w:after="160" w:line="259" w:lineRule="auto"/>
        <w:rPr>
          <w:rFonts w:eastAsia="Calibri" w:cs="Arial"/>
        </w:rPr>
      </w:pPr>
      <w:r w:rsidRPr="00E73D25">
        <w:rPr>
          <w:rFonts w:eastAsia="Calibri" w:cs="Arial"/>
        </w:rPr>
        <w:t xml:space="preserve">Human rights were discussed during the debate, both </w:t>
      </w:r>
      <w:r w:rsidR="003D6BCF">
        <w:rPr>
          <w:rFonts w:eastAsia="Calibri" w:cs="Arial"/>
        </w:rPr>
        <w:t xml:space="preserve">in relation to </w:t>
      </w:r>
      <w:r w:rsidRPr="00E73D25">
        <w:rPr>
          <w:rFonts w:eastAsia="Calibri" w:cs="Arial"/>
        </w:rPr>
        <w:t>the promotion and limitation of rights arising from the Bill. The Bill has been passed and received assent and will commence on a date to be fixed by proclamation.</w:t>
      </w:r>
    </w:p>
    <w:p w14:paraId="18DCE084" w14:textId="77777777" w:rsidR="00E73D25" w:rsidRPr="00E73D25" w:rsidRDefault="00E73D25" w:rsidP="007450E5">
      <w:pPr>
        <w:pStyle w:val="Heading2"/>
      </w:pPr>
      <w:bookmarkStart w:id="286" w:name="_Toc147757291"/>
      <w:bookmarkStart w:id="287" w:name="_Toc148086912"/>
      <w:r w:rsidRPr="00E73D25">
        <w:t>Path to Treaty Bill 2023</w:t>
      </w:r>
      <w:bookmarkEnd w:id="286"/>
      <w:bookmarkEnd w:id="287"/>
    </w:p>
    <w:p w14:paraId="6C9DE41E" w14:textId="167E2D96" w:rsidR="00E73D25" w:rsidRPr="00E73D25" w:rsidRDefault="00E73D25" w:rsidP="007450E5">
      <w:pPr>
        <w:keepNext/>
        <w:spacing w:after="160" w:line="259" w:lineRule="auto"/>
        <w:rPr>
          <w:rFonts w:eastAsia="Calibri" w:cs="Arial"/>
          <w:color w:val="000000"/>
          <w:sz w:val="36"/>
          <w:szCs w:val="36"/>
        </w:rPr>
      </w:pPr>
      <w:r w:rsidRPr="62EF9C9F">
        <w:rPr>
          <w:rFonts w:eastAsia="Calibri" w:cs="Arial"/>
          <w:color w:val="000000" w:themeColor="text1"/>
        </w:rPr>
        <w:t>This Bill establishes the legislative framework needed to progress truth and treaty in Queensland.</w:t>
      </w:r>
      <w:r w:rsidR="00E865C3">
        <w:rPr>
          <w:rFonts w:eastAsia="Calibri" w:cs="Arial"/>
          <w:color w:val="000000" w:themeColor="text1"/>
        </w:rPr>
        <w:t xml:space="preserve"> </w:t>
      </w:r>
      <w:r w:rsidRPr="62EF9C9F">
        <w:rPr>
          <w:rFonts w:eastAsia="Calibri" w:cs="Arial"/>
          <w:color w:val="000000" w:themeColor="text1"/>
        </w:rPr>
        <w:t>The Commission supported the intent of the Bill as promoting the human rights of Aboriginal people</w:t>
      </w:r>
      <w:r w:rsidR="009F4711">
        <w:rPr>
          <w:rFonts w:eastAsia="Calibri" w:cs="Arial"/>
          <w:color w:val="000000" w:themeColor="text1"/>
        </w:rPr>
        <w:t>s</w:t>
      </w:r>
      <w:r w:rsidRPr="62EF9C9F">
        <w:rPr>
          <w:rFonts w:eastAsia="Calibri" w:cs="Arial"/>
          <w:color w:val="000000" w:themeColor="text1"/>
        </w:rPr>
        <w:t xml:space="preserve"> and Torres Strait Islander people</w:t>
      </w:r>
      <w:r w:rsidR="009F4711">
        <w:rPr>
          <w:rFonts w:eastAsia="Calibri" w:cs="Arial"/>
          <w:color w:val="000000" w:themeColor="text1"/>
        </w:rPr>
        <w:t>s</w:t>
      </w:r>
      <w:r w:rsidRPr="62EF9C9F">
        <w:rPr>
          <w:rFonts w:eastAsia="Calibri" w:cs="Arial"/>
          <w:color w:val="000000" w:themeColor="text1"/>
        </w:rPr>
        <w:t xml:space="preserve"> but made several recommendations regarding </w:t>
      </w:r>
      <w:r w:rsidR="009F4711">
        <w:rPr>
          <w:rFonts w:eastAsia="Calibri" w:cs="Arial"/>
          <w:color w:val="000000" w:themeColor="text1"/>
        </w:rPr>
        <w:t>the</w:t>
      </w:r>
      <w:r w:rsidR="009F4711" w:rsidRPr="62EF9C9F">
        <w:rPr>
          <w:rFonts w:eastAsia="Calibri" w:cs="Arial"/>
          <w:color w:val="000000" w:themeColor="text1"/>
        </w:rPr>
        <w:t xml:space="preserve"> </w:t>
      </w:r>
      <w:r w:rsidRPr="62EF9C9F">
        <w:rPr>
          <w:rFonts w:eastAsia="Calibri" w:cs="Arial"/>
          <w:color w:val="000000" w:themeColor="text1"/>
        </w:rPr>
        <w:t>detail</w:t>
      </w:r>
      <w:r w:rsidR="009F4711">
        <w:rPr>
          <w:rFonts w:eastAsia="Calibri" w:cs="Arial"/>
          <w:color w:val="000000" w:themeColor="text1"/>
        </w:rPr>
        <w:t>s</w:t>
      </w:r>
      <w:r w:rsidRPr="62EF9C9F">
        <w:rPr>
          <w:rFonts w:eastAsia="Calibri" w:cs="Arial"/>
          <w:color w:val="000000" w:themeColor="text1"/>
        </w:rPr>
        <w:t xml:space="preserve">. In particular, the Commission noted that the </w:t>
      </w:r>
      <w:r w:rsidR="00EC507D">
        <w:rPr>
          <w:rFonts w:eastAsia="Calibri" w:cs="Arial"/>
          <w:color w:val="000000" w:themeColor="text1"/>
        </w:rPr>
        <w:t>T</w:t>
      </w:r>
      <w:r w:rsidRPr="62EF9C9F">
        <w:rPr>
          <w:rFonts w:eastAsia="Calibri" w:cs="Arial"/>
          <w:color w:val="000000" w:themeColor="text1"/>
        </w:rPr>
        <w:t xml:space="preserve">ruth-telling and </w:t>
      </w:r>
      <w:r w:rsidR="00BD74B8">
        <w:rPr>
          <w:rFonts w:eastAsia="Calibri" w:cs="Arial"/>
          <w:color w:val="000000" w:themeColor="text1"/>
        </w:rPr>
        <w:t>H</w:t>
      </w:r>
      <w:r w:rsidRPr="62EF9C9F">
        <w:rPr>
          <w:rFonts w:eastAsia="Calibri" w:cs="Arial"/>
          <w:color w:val="000000" w:themeColor="text1"/>
        </w:rPr>
        <w:t xml:space="preserve">ealing </w:t>
      </w:r>
      <w:r w:rsidR="00BD74B8">
        <w:rPr>
          <w:rFonts w:eastAsia="Calibri" w:cs="Arial"/>
          <w:color w:val="000000" w:themeColor="text1"/>
        </w:rPr>
        <w:t>I</w:t>
      </w:r>
      <w:r w:rsidRPr="62EF9C9F">
        <w:rPr>
          <w:rFonts w:eastAsia="Calibri" w:cs="Arial"/>
          <w:color w:val="000000" w:themeColor="text1"/>
        </w:rPr>
        <w:t>nquiry’s powers</w:t>
      </w:r>
      <w:r w:rsidR="00D57A9B">
        <w:rPr>
          <w:rFonts w:eastAsia="Calibri" w:cs="Arial"/>
          <w:color w:val="000000" w:themeColor="text1"/>
        </w:rPr>
        <w:t xml:space="preserve"> to </w:t>
      </w:r>
      <w:r w:rsidR="001024E4">
        <w:rPr>
          <w:rFonts w:eastAsia="Calibri" w:cs="Arial"/>
          <w:color w:val="000000" w:themeColor="text1"/>
        </w:rPr>
        <w:t xml:space="preserve">compel </w:t>
      </w:r>
      <w:r w:rsidR="001024E4" w:rsidRPr="62EF9C9F">
        <w:rPr>
          <w:rFonts w:eastAsia="Calibri" w:cs="Arial"/>
          <w:color w:val="000000" w:themeColor="text1"/>
        </w:rPr>
        <w:t>were</w:t>
      </w:r>
      <w:r w:rsidRPr="62EF9C9F">
        <w:rPr>
          <w:rFonts w:eastAsia="Calibri" w:cs="Arial"/>
          <w:color w:val="000000" w:themeColor="text1"/>
        </w:rPr>
        <w:t xml:space="preserve"> insufficient and did not include the power to compel the Queensland Police Service </w:t>
      </w:r>
      <w:r w:rsidR="00825C25">
        <w:rPr>
          <w:rFonts w:eastAsia="Calibri" w:cs="Arial"/>
          <w:color w:val="000000" w:themeColor="text1"/>
        </w:rPr>
        <w:t xml:space="preserve">or non-government service providers </w:t>
      </w:r>
      <w:r w:rsidRPr="62EF9C9F">
        <w:rPr>
          <w:rFonts w:eastAsia="Calibri" w:cs="Arial"/>
          <w:color w:val="000000" w:themeColor="text1"/>
        </w:rPr>
        <w:t xml:space="preserve">to give information or attend a hearing. The Commission was concerned that not providing the Inquiry with adequate powers </w:t>
      </w:r>
      <w:r w:rsidR="00225142">
        <w:rPr>
          <w:rFonts w:eastAsia="Calibri" w:cs="Arial"/>
          <w:color w:val="000000" w:themeColor="text1"/>
        </w:rPr>
        <w:t xml:space="preserve">to compel </w:t>
      </w:r>
      <w:r w:rsidRPr="62EF9C9F">
        <w:rPr>
          <w:rFonts w:eastAsia="Calibri" w:cs="Arial"/>
          <w:color w:val="000000" w:themeColor="text1"/>
        </w:rPr>
        <w:t xml:space="preserve">risked </w:t>
      </w:r>
      <w:r w:rsidR="008B45C3">
        <w:rPr>
          <w:rFonts w:eastAsia="Calibri" w:cs="Arial"/>
          <w:color w:val="000000" w:themeColor="text1"/>
        </w:rPr>
        <w:t xml:space="preserve">compromising </w:t>
      </w:r>
      <w:r w:rsidRPr="62EF9C9F">
        <w:rPr>
          <w:rFonts w:eastAsia="Calibri" w:cs="Arial"/>
          <w:color w:val="000000" w:themeColor="text1"/>
        </w:rPr>
        <w:t>the</w:t>
      </w:r>
      <w:r w:rsidR="44B6B8F3" w:rsidRPr="62EF9C9F">
        <w:rPr>
          <w:rFonts w:eastAsia="Calibri" w:cs="Arial"/>
          <w:color w:val="000000" w:themeColor="text1"/>
        </w:rPr>
        <w:t xml:space="preserve"> effectiveness and</w:t>
      </w:r>
      <w:r w:rsidRPr="62EF9C9F">
        <w:rPr>
          <w:rFonts w:eastAsia="Calibri" w:cs="Arial"/>
          <w:color w:val="000000" w:themeColor="text1"/>
        </w:rPr>
        <w:t xml:space="preserve"> cultural safety of </w:t>
      </w:r>
      <w:r w:rsidR="007754D3">
        <w:rPr>
          <w:rFonts w:eastAsia="Calibri" w:cs="Arial"/>
          <w:color w:val="000000" w:themeColor="text1"/>
        </w:rPr>
        <w:t xml:space="preserve">the </w:t>
      </w:r>
      <w:r w:rsidRPr="62EF9C9F">
        <w:rPr>
          <w:rFonts w:eastAsia="Calibri" w:cs="Arial"/>
          <w:color w:val="000000" w:themeColor="text1"/>
        </w:rPr>
        <w:t>truth telling and healing</w:t>
      </w:r>
      <w:r w:rsidR="007754D3">
        <w:rPr>
          <w:rFonts w:eastAsia="Calibri" w:cs="Arial"/>
          <w:color w:val="000000" w:themeColor="text1"/>
        </w:rPr>
        <w:t xml:space="preserve"> process</w:t>
      </w:r>
      <w:r w:rsidRPr="62EF9C9F">
        <w:rPr>
          <w:rFonts w:eastAsia="Calibri" w:cs="Arial"/>
          <w:color w:val="000000" w:themeColor="text1"/>
        </w:rPr>
        <w:t xml:space="preserve">. The Commission, along with other stakeholders, raised concerns about the compatibility of some </w:t>
      </w:r>
      <w:r w:rsidR="07C4D473" w:rsidRPr="62EF9C9F">
        <w:rPr>
          <w:rFonts w:eastAsia="Calibri" w:cs="Arial"/>
          <w:color w:val="000000" w:themeColor="text1"/>
        </w:rPr>
        <w:t>clauses</w:t>
      </w:r>
      <w:r w:rsidRPr="62EF9C9F">
        <w:rPr>
          <w:rFonts w:eastAsia="Calibri" w:cs="Arial"/>
          <w:color w:val="000000" w:themeColor="text1"/>
        </w:rPr>
        <w:t xml:space="preserve"> in the </w:t>
      </w:r>
      <w:r w:rsidR="007754D3">
        <w:rPr>
          <w:rFonts w:eastAsia="Calibri" w:cs="Arial"/>
          <w:color w:val="000000" w:themeColor="text1"/>
        </w:rPr>
        <w:t>B</w:t>
      </w:r>
      <w:r w:rsidRPr="62EF9C9F">
        <w:rPr>
          <w:rFonts w:eastAsia="Calibri" w:cs="Arial"/>
          <w:color w:val="000000" w:themeColor="text1"/>
        </w:rPr>
        <w:t>ill</w:t>
      </w:r>
      <w:r w:rsidR="48B96662" w:rsidRPr="62EF9C9F">
        <w:rPr>
          <w:rFonts w:eastAsia="Calibri" w:cs="Arial"/>
          <w:color w:val="000000" w:themeColor="text1"/>
        </w:rPr>
        <w:t>,</w:t>
      </w:r>
      <w:r w:rsidRPr="62EF9C9F">
        <w:rPr>
          <w:rFonts w:eastAsia="Calibri" w:cs="Arial"/>
          <w:color w:val="000000" w:themeColor="text1"/>
        </w:rPr>
        <w:t xml:space="preserve"> including the automatic disqualification of people convicted of indictable offences from being members of the Treaty Institute Council</w:t>
      </w:r>
      <w:r w:rsidR="007A35CE">
        <w:rPr>
          <w:rFonts w:eastAsia="Calibri" w:cs="Arial"/>
          <w:color w:val="000000" w:themeColor="text1"/>
        </w:rPr>
        <w:t>,</w:t>
      </w:r>
      <w:r w:rsidRPr="62EF9C9F">
        <w:rPr>
          <w:rFonts w:eastAsia="Calibri" w:cs="Arial"/>
          <w:color w:val="000000" w:themeColor="text1"/>
        </w:rPr>
        <w:t xml:space="preserve"> with the rights to equality</w:t>
      </w:r>
      <w:r w:rsidR="005F5CD0">
        <w:rPr>
          <w:rFonts w:eastAsia="Calibri" w:cs="Arial"/>
          <w:color w:val="000000" w:themeColor="text1"/>
        </w:rPr>
        <w:t>,</w:t>
      </w:r>
      <w:r w:rsidRPr="62EF9C9F">
        <w:rPr>
          <w:rFonts w:eastAsia="Calibri" w:cs="Arial"/>
          <w:color w:val="000000" w:themeColor="text1"/>
        </w:rPr>
        <w:t xml:space="preserve"> taking part in </w:t>
      </w:r>
      <w:r w:rsidR="00DC22E5">
        <w:rPr>
          <w:rFonts w:eastAsia="Calibri" w:cs="Arial"/>
          <w:color w:val="000000" w:themeColor="text1"/>
        </w:rPr>
        <w:t>public</w:t>
      </w:r>
      <w:r w:rsidRPr="62EF9C9F">
        <w:rPr>
          <w:rFonts w:eastAsia="Calibri" w:cs="Arial"/>
          <w:color w:val="000000" w:themeColor="text1"/>
        </w:rPr>
        <w:t xml:space="preserve"> life</w:t>
      </w:r>
      <w:r w:rsidR="005F5CD0">
        <w:rPr>
          <w:rFonts w:eastAsia="Calibri" w:cs="Arial"/>
          <w:color w:val="000000" w:themeColor="text1"/>
        </w:rPr>
        <w:t>,</w:t>
      </w:r>
      <w:r w:rsidRPr="62EF9C9F">
        <w:rPr>
          <w:rFonts w:eastAsia="Calibri" w:cs="Arial"/>
          <w:color w:val="000000" w:themeColor="text1"/>
        </w:rPr>
        <w:t xml:space="preserve"> and privacy.</w:t>
      </w:r>
    </w:p>
    <w:p w14:paraId="00454DA3" w14:textId="4745D4F3" w:rsidR="00E73D25" w:rsidRPr="00E73D25" w:rsidRDefault="00E73D25" w:rsidP="007450E5">
      <w:pPr>
        <w:spacing w:after="160" w:line="259" w:lineRule="auto"/>
        <w:rPr>
          <w:rFonts w:eastAsia="Calibri" w:cs="Arial"/>
        </w:rPr>
      </w:pPr>
      <w:r w:rsidRPr="00E73D25">
        <w:rPr>
          <w:rFonts w:eastAsia="Calibri" w:cs="Arial"/>
        </w:rPr>
        <w:t xml:space="preserve">In its report, the Community Support and Services Committee accepted that limiting appointment to the Treaty Institute Council to Aboriginal and Torres Strait Islander peoples was a special measure to redress disadvantage under </w:t>
      </w:r>
      <w:r w:rsidR="00D26BDD">
        <w:rPr>
          <w:rFonts w:eastAsia="Calibri" w:cs="Arial"/>
        </w:rPr>
        <w:t>the ‘special measures’ provision in</w:t>
      </w:r>
      <w:r w:rsidRPr="00E73D25">
        <w:rPr>
          <w:rFonts w:eastAsia="Calibri" w:cs="Arial"/>
        </w:rPr>
        <w:t xml:space="preserve"> </w:t>
      </w:r>
      <w:r w:rsidR="00EE2BD2">
        <w:rPr>
          <w:rFonts w:eastAsia="Calibri" w:cs="Arial"/>
        </w:rPr>
        <w:t>the Human Rights Act</w:t>
      </w:r>
      <w:r w:rsidRPr="00E73D25">
        <w:rPr>
          <w:rFonts w:eastAsia="Calibri" w:cs="Arial"/>
        </w:rPr>
        <w:t>.</w:t>
      </w:r>
      <w:r w:rsidR="00D26BDD">
        <w:rPr>
          <w:rStyle w:val="FootnoteReference"/>
          <w:rFonts w:eastAsia="Calibri" w:cs="Arial"/>
        </w:rPr>
        <w:footnoteReference w:id="49"/>
      </w:r>
      <w:r w:rsidRPr="00E73D25">
        <w:rPr>
          <w:rFonts w:eastAsia="Calibri" w:cs="Arial"/>
        </w:rPr>
        <w:t xml:space="preserve"> The </w:t>
      </w:r>
      <w:r w:rsidR="005A305C">
        <w:rPr>
          <w:rFonts w:eastAsia="Calibri" w:cs="Arial"/>
        </w:rPr>
        <w:t>c</w:t>
      </w:r>
      <w:r w:rsidRPr="00E73D25">
        <w:rPr>
          <w:rFonts w:eastAsia="Calibri" w:cs="Arial"/>
        </w:rPr>
        <w:t xml:space="preserve">ommittee considered the potential impact on an individual’s right to privacy and confidentiality </w:t>
      </w:r>
      <w:r w:rsidR="00D5746A">
        <w:rPr>
          <w:rFonts w:eastAsia="Calibri" w:cs="Arial"/>
        </w:rPr>
        <w:t>in relation</w:t>
      </w:r>
      <w:r w:rsidRPr="00E73D25">
        <w:rPr>
          <w:rFonts w:eastAsia="Calibri" w:cs="Arial"/>
        </w:rPr>
        <w:t xml:space="preserve"> to </w:t>
      </w:r>
      <w:r w:rsidR="00D5746A">
        <w:rPr>
          <w:rFonts w:eastAsia="Calibri" w:cs="Arial"/>
        </w:rPr>
        <w:t xml:space="preserve">the </w:t>
      </w:r>
      <w:r w:rsidRPr="00E73D25">
        <w:rPr>
          <w:rFonts w:eastAsia="Calibri" w:cs="Arial"/>
        </w:rPr>
        <w:t xml:space="preserve">criminal history provisions </w:t>
      </w:r>
      <w:r w:rsidR="00A05F22">
        <w:rPr>
          <w:rFonts w:eastAsia="Calibri" w:cs="Arial"/>
        </w:rPr>
        <w:t>may</w:t>
      </w:r>
      <w:r w:rsidRPr="00E73D25">
        <w:rPr>
          <w:rFonts w:eastAsia="Calibri" w:cs="Arial"/>
        </w:rPr>
        <w:t xml:space="preserve"> be justifi</w:t>
      </w:r>
      <w:r w:rsidR="00A05F22">
        <w:rPr>
          <w:rFonts w:eastAsia="Calibri" w:cs="Arial"/>
        </w:rPr>
        <w:t>able</w:t>
      </w:r>
      <w:r w:rsidRPr="00E73D25">
        <w:rPr>
          <w:rFonts w:eastAsia="Calibri" w:cs="Arial"/>
        </w:rPr>
        <w:t xml:space="preserve">. However, the </w:t>
      </w:r>
      <w:r w:rsidR="00D5746A">
        <w:rPr>
          <w:rFonts w:eastAsia="Calibri" w:cs="Arial"/>
        </w:rPr>
        <w:t>c</w:t>
      </w:r>
      <w:r w:rsidRPr="00E73D25">
        <w:rPr>
          <w:rFonts w:eastAsia="Calibri" w:cs="Arial"/>
        </w:rPr>
        <w:t xml:space="preserve">ommittee suggested that in the context of the over-representation of First Nations people in the criminal justice system, more tailored disqualification provisions would be appropriate. </w:t>
      </w:r>
      <w:r w:rsidR="00A05F22">
        <w:rPr>
          <w:rFonts w:eastAsia="Calibri" w:cs="Arial"/>
        </w:rPr>
        <w:t>The Committee</w:t>
      </w:r>
      <w:r w:rsidRPr="00E73D25">
        <w:rPr>
          <w:rFonts w:eastAsia="Calibri" w:cs="Arial"/>
        </w:rPr>
        <w:t xml:space="preserve"> recommended that the relevant clause be omitted and replaced with a new provision providing that a person’s criminal history </w:t>
      </w:r>
      <w:r w:rsidR="005B0F25">
        <w:rPr>
          <w:rFonts w:eastAsia="Calibri" w:cs="Arial"/>
        </w:rPr>
        <w:t xml:space="preserve">may </w:t>
      </w:r>
      <w:r w:rsidRPr="00E73D25">
        <w:rPr>
          <w:rFonts w:eastAsia="Calibri" w:cs="Arial"/>
        </w:rPr>
        <w:t>be taken into account in making appointments to the Treaty Institute and senior executive</w:t>
      </w:r>
      <w:r w:rsidR="00796BE7">
        <w:rPr>
          <w:rFonts w:eastAsia="Calibri" w:cs="Arial"/>
        </w:rPr>
        <w:t xml:space="preserve"> positions</w:t>
      </w:r>
      <w:r w:rsidRPr="00E73D25">
        <w:rPr>
          <w:rFonts w:eastAsia="Calibri" w:cs="Arial"/>
        </w:rPr>
        <w:t xml:space="preserve">. </w:t>
      </w:r>
    </w:p>
    <w:p w14:paraId="7DC007B4" w14:textId="1B4AEE39" w:rsidR="00E73D25" w:rsidRPr="00E73D25" w:rsidRDefault="00E73D25" w:rsidP="007450E5">
      <w:pPr>
        <w:spacing w:after="160" w:line="259" w:lineRule="auto"/>
        <w:rPr>
          <w:rFonts w:eastAsia="Calibri" w:cs="Arial"/>
        </w:rPr>
      </w:pPr>
      <w:r w:rsidRPr="00E73D25">
        <w:rPr>
          <w:rFonts w:eastAsia="Calibri" w:cs="Arial"/>
        </w:rPr>
        <w:t xml:space="preserve">The </w:t>
      </w:r>
      <w:r w:rsidR="00796BE7">
        <w:rPr>
          <w:rFonts w:eastAsia="Calibri" w:cs="Arial"/>
        </w:rPr>
        <w:t>c</w:t>
      </w:r>
      <w:r w:rsidRPr="00E73D25">
        <w:rPr>
          <w:rFonts w:eastAsia="Calibri" w:cs="Arial"/>
        </w:rPr>
        <w:t xml:space="preserve">ommittee noted concerns about the </w:t>
      </w:r>
      <w:r w:rsidR="00796BE7">
        <w:rPr>
          <w:rFonts w:eastAsia="Calibri" w:cs="Arial"/>
        </w:rPr>
        <w:t>in</w:t>
      </w:r>
      <w:r w:rsidRPr="00E73D25">
        <w:rPr>
          <w:rFonts w:eastAsia="Calibri" w:cs="Arial"/>
        </w:rPr>
        <w:t xml:space="preserve">ability for the inquiry to compel the Commissioner of the </w:t>
      </w:r>
      <w:r w:rsidR="003C0117">
        <w:rPr>
          <w:rFonts w:eastAsia="Calibri" w:cs="Arial"/>
        </w:rPr>
        <w:t>Queensland Police Service</w:t>
      </w:r>
      <w:r w:rsidRPr="00E73D25">
        <w:rPr>
          <w:rFonts w:eastAsia="Calibri" w:cs="Arial"/>
        </w:rPr>
        <w:t>, but noted with approval that the department has made a commitment to amend the relevant clauses prior to the passage of the Bill</w:t>
      </w:r>
      <w:r w:rsidR="003C0117">
        <w:rPr>
          <w:rFonts w:eastAsia="Calibri" w:cs="Arial"/>
        </w:rPr>
        <w:t xml:space="preserve"> in response to the issue being raised by stakeholders during the submission process</w:t>
      </w:r>
      <w:r w:rsidRPr="00E73D25">
        <w:rPr>
          <w:rFonts w:eastAsia="Calibri" w:cs="Arial"/>
        </w:rPr>
        <w:t>.</w:t>
      </w:r>
    </w:p>
    <w:p w14:paraId="4AF48C03" w14:textId="7A5284FB" w:rsidR="00E73D25" w:rsidRPr="00E73D25" w:rsidRDefault="00E73D25" w:rsidP="007450E5">
      <w:pPr>
        <w:spacing w:after="160" w:line="259" w:lineRule="auto"/>
        <w:rPr>
          <w:rFonts w:eastAsia="Calibri" w:cs="Arial"/>
        </w:rPr>
      </w:pPr>
      <w:r w:rsidRPr="00E73D25">
        <w:rPr>
          <w:rFonts w:eastAsia="Calibri" w:cs="Arial"/>
        </w:rPr>
        <w:t xml:space="preserve">The Bill was amended to remove the automatic disqualification of people with convictions for indictable offences from holding positions </w:t>
      </w:r>
      <w:r w:rsidR="00126E3B">
        <w:rPr>
          <w:rFonts w:eastAsia="Calibri" w:cs="Arial"/>
        </w:rPr>
        <w:t>i</w:t>
      </w:r>
      <w:r w:rsidRPr="00E73D25">
        <w:rPr>
          <w:rFonts w:eastAsia="Calibri" w:cs="Arial"/>
        </w:rPr>
        <w:t xml:space="preserve">n the First Nations Treaty Institute, to enable the Queensland Police Commissioner to be compelled to provide information, and to require the Minister to provide a report on the operation and efficiency of the Inquiry within one year after it is established. Compatibility with </w:t>
      </w:r>
      <w:r w:rsidR="00EE2BD2">
        <w:rPr>
          <w:rFonts w:eastAsia="Calibri" w:cs="Arial"/>
        </w:rPr>
        <w:t>the Human Rights Act</w:t>
      </w:r>
      <w:r w:rsidRPr="00E73D25">
        <w:rPr>
          <w:rFonts w:eastAsia="Calibri" w:cs="Arial"/>
        </w:rPr>
        <w:t xml:space="preserve"> and</w:t>
      </w:r>
      <w:r w:rsidR="00850B1C">
        <w:rPr>
          <w:rFonts w:eastAsia="Calibri" w:cs="Arial"/>
        </w:rPr>
        <w:t xml:space="preserve"> the</w:t>
      </w:r>
      <w:r w:rsidRPr="00E73D25">
        <w:rPr>
          <w:rFonts w:eastAsia="Calibri" w:cs="Arial"/>
        </w:rPr>
        <w:t xml:space="preserve"> </w:t>
      </w:r>
      <w:r w:rsidR="00567FB5" w:rsidRPr="001024E4">
        <w:rPr>
          <w:rFonts w:eastAsia="Calibri" w:cs="Arial"/>
          <w:i/>
        </w:rPr>
        <w:t>United Nations Declaration on the Rights of Indigenous Peoples</w:t>
      </w:r>
      <w:r w:rsidRPr="00E73D25">
        <w:rPr>
          <w:rFonts w:eastAsia="Calibri" w:cs="Arial"/>
        </w:rPr>
        <w:t xml:space="preserve"> w</w:t>
      </w:r>
      <w:r w:rsidR="00530F1D">
        <w:rPr>
          <w:rFonts w:eastAsia="Calibri" w:cs="Arial"/>
        </w:rPr>
        <w:t>as</w:t>
      </w:r>
      <w:r w:rsidRPr="00E73D25">
        <w:rPr>
          <w:rFonts w:eastAsia="Calibri" w:cs="Arial"/>
        </w:rPr>
        <w:t xml:space="preserve"> discussed during the debate </w:t>
      </w:r>
      <w:r w:rsidR="00CC2047">
        <w:rPr>
          <w:rFonts w:eastAsia="Calibri" w:cs="Arial"/>
        </w:rPr>
        <w:t>stage. T</w:t>
      </w:r>
      <w:r w:rsidRPr="00E73D25">
        <w:rPr>
          <w:rFonts w:eastAsia="Calibri" w:cs="Arial"/>
        </w:rPr>
        <w:t>he Bill has been passed and received assent</w:t>
      </w:r>
      <w:r w:rsidR="00CC2047">
        <w:rPr>
          <w:rFonts w:eastAsia="Calibri" w:cs="Arial"/>
        </w:rPr>
        <w:t xml:space="preserve"> and</w:t>
      </w:r>
      <w:r w:rsidRPr="00E73D25">
        <w:rPr>
          <w:rFonts w:eastAsia="Calibri" w:cs="Arial"/>
        </w:rPr>
        <w:t xml:space="preserve"> will commence on a date to be fixed by proclamation.</w:t>
      </w:r>
    </w:p>
    <w:p w14:paraId="22AC2E7A" w14:textId="77777777" w:rsidR="00E73D25" w:rsidRPr="00E73D25" w:rsidRDefault="00E73D25" w:rsidP="00EE2E52">
      <w:pPr>
        <w:pStyle w:val="Heading2"/>
        <w:rPr>
          <w:bCs/>
        </w:rPr>
      </w:pPr>
      <w:bookmarkStart w:id="288" w:name="_Toc147757292"/>
      <w:bookmarkStart w:id="289" w:name="_Toc148086913"/>
      <w:r w:rsidRPr="00E73D25">
        <w:t>Land and Other Legislation Amendment Bill 2022</w:t>
      </w:r>
      <w:bookmarkEnd w:id="288"/>
      <w:bookmarkEnd w:id="289"/>
    </w:p>
    <w:p w14:paraId="427FBA90" w14:textId="44125CAD" w:rsidR="00E73D25" w:rsidRPr="00E73D25" w:rsidRDefault="00E73D25" w:rsidP="00E73D25">
      <w:pPr>
        <w:spacing w:after="160" w:line="259" w:lineRule="auto"/>
        <w:rPr>
          <w:rFonts w:eastAsia="Calibri" w:cs="Arial"/>
        </w:rPr>
      </w:pPr>
      <w:r w:rsidRPr="00E73D25">
        <w:rPr>
          <w:rFonts w:eastAsia="Calibri" w:cs="Arial"/>
        </w:rPr>
        <w:t xml:space="preserve">The purpose of the Bill was to ensure the regulatory frameworks within the </w:t>
      </w:r>
      <w:r w:rsidR="008F3418">
        <w:rPr>
          <w:rFonts w:eastAsia="Calibri" w:cs="Arial"/>
        </w:rPr>
        <w:t>r</w:t>
      </w:r>
      <w:r w:rsidRPr="00E73D25">
        <w:rPr>
          <w:rFonts w:eastAsia="Calibri" w:cs="Arial"/>
        </w:rPr>
        <w:t xml:space="preserve">esources portfolio remain efficient, effective, and responsive to change. The Transport and Resources Committee identified two significant issues in relation to this </w:t>
      </w:r>
      <w:r w:rsidR="00B979C7">
        <w:rPr>
          <w:rFonts w:eastAsia="Calibri" w:cs="Arial"/>
        </w:rPr>
        <w:t>B</w:t>
      </w:r>
      <w:r w:rsidRPr="00E73D25">
        <w:rPr>
          <w:rFonts w:eastAsia="Calibri" w:cs="Arial"/>
        </w:rPr>
        <w:t>ill:</w:t>
      </w:r>
    </w:p>
    <w:p w14:paraId="392501A7" w14:textId="22E73E57" w:rsidR="00E73D25" w:rsidRPr="00E73D25" w:rsidRDefault="00BD0C5C" w:rsidP="00315B25">
      <w:pPr>
        <w:pStyle w:val="Listparagraph-bulleted"/>
      </w:pPr>
      <w:r>
        <w:t>T</w:t>
      </w:r>
      <w:r w:rsidR="005E6403">
        <w:t>he</w:t>
      </w:r>
      <w:r w:rsidR="00E73D25" w:rsidRPr="00E73D25">
        <w:t xml:space="preserve"> </w:t>
      </w:r>
      <w:r w:rsidR="006B0EAA">
        <w:t xml:space="preserve">Statement of </w:t>
      </w:r>
      <w:r w:rsidR="001610BB">
        <w:t>C</w:t>
      </w:r>
      <w:r w:rsidR="006B0EAA">
        <w:t>ompatibility</w:t>
      </w:r>
      <w:r w:rsidR="00E73D25" w:rsidRPr="00E73D25">
        <w:t xml:space="preserve"> </w:t>
      </w:r>
      <w:r w:rsidR="005E6403">
        <w:t>failed to</w:t>
      </w:r>
      <w:r w:rsidR="00E73D25" w:rsidRPr="00E73D25">
        <w:t xml:space="preserve"> </w:t>
      </w:r>
      <w:r w:rsidR="005E6403">
        <w:t>address</w:t>
      </w:r>
      <w:r w:rsidR="00E73D25" w:rsidRPr="00E73D25">
        <w:t xml:space="preserve"> the limitation on </w:t>
      </w:r>
      <w:r w:rsidR="005E6403">
        <w:t>cultural rights of Aboriginal and Torres Strait Islander peoples.</w:t>
      </w:r>
      <w:r w:rsidR="005E6403">
        <w:rPr>
          <w:rStyle w:val="FootnoteReference"/>
        </w:rPr>
        <w:footnoteReference w:id="50"/>
      </w:r>
    </w:p>
    <w:p w14:paraId="5BBD2740" w14:textId="771546A3" w:rsidR="00E73D25" w:rsidRPr="00E73D25" w:rsidRDefault="00BD0C5C" w:rsidP="00315B25">
      <w:pPr>
        <w:pStyle w:val="Listparagraph-bulleted"/>
      </w:pPr>
      <w:r>
        <w:t>A</w:t>
      </w:r>
      <w:r w:rsidR="00E73D25" w:rsidRPr="00E73D25">
        <w:t xml:space="preserve"> potential unintended consequence of the Bill </w:t>
      </w:r>
      <w:r w:rsidR="00242EB1">
        <w:t xml:space="preserve">was that it </w:t>
      </w:r>
      <w:r w:rsidR="00E575AC">
        <w:t>may</w:t>
      </w:r>
      <w:r w:rsidR="00242EB1">
        <w:t xml:space="preserve"> override</w:t>
      </w:r>
      <w:r w:rsidR="00E73D25" w:rsidRPr="00E73D25">
        <w:t xml:space="preserve"> the obligations </w:t>
      </w:r>
      <w:r w:rsidR="00242EB1">
        <w:t>of</w:t>
      </w:r>
      <w:r w:rsidR="00E73D25" w:rsidRPr="00E73D25">
        <w:t xml:space="preserve"> public entities under the </w:t>
      </w:r>
      <w:r w:rsidR="00242EB1">
        <w:t>Human Rights Act</w:t>
      </w:r>
      <w:r w:rsidR="00E73D25" w:rsidRPr="00E73D25">
        <w:t>, or at least mak</w:t>
      </w:r>
      <w:r w:rsidR="00850B1C">
        <w:t>e</w:t>
      </w:r>
      <w:r w:rsidR="00E73D25" w:rsidRPr="00E73D25">
        <w:t xml:space="preserve"> enforcement of those obligations more difficult.</w:t>
      </w:r>
    </w:p>
    <w:p w14:paraId="0297BC50" w14:textId="4823545A" w:rsidR="00E73D25" w:rsidRPr="00E73D25" w:rsidRDefault="00E73D25" w:rsidP="00E73D25">
      <w:pPr>
        <w:spacing w:after="160" w:line="259" w:lineRule="auto"/>
        <w:rPr>
          <w:rFonts w:eastAsia="Calibri" w:cs="Arial"/>
        </w:rPr>
      </w:pPr>
      <w:r w:rsidRPr="00E73D25">
        <w:rPr>
          <w:rFonts w:eastAsia="Calibri" w:cs="Arial"/>
        </w:rPr>
        <w:t xml:space="preserve">In the body of the </w:t>
      </w:r>
      <w:r w:rsidR="00E575AC">
        <w:rPr>
          <w:rFonts w:eastAsia="Calibri" w:cs="Arial"/>
        </w:rPr>
        <w:t xml:space="preserve">Committee’s </w:t>
      </w:r>
      <w:r w:rsidRPr="00E73D25">
        <w:rPr>
          <w:rFonts w:eastAsia="Calibri" w:cs="Arial"/>
        </w:rPr>
        <w:t>report</w:t>
      </w:r>
      <w:r w:rsidR="00E575AC">
        <w:rPr>
          <w:rFonts w:eastAsia="Calibri" w:cs="Arial"/>
        </w:rPr>
        <w:t xml:space="preserve">, </w:t>
      </w:r>
      <w:r w:rsidRPr="00E73D25">
        <w:rPr>
          <w:rFonts w:eastAsia="Calibri" w:cs="Arial"/>
        </w:rPr>
        <w:t xml:space="preserve">but not </w:t>
      </w:r>
      <w:r w:rsidR="00E575AC">
        <w:rPr>
          <w:rFonts w:eastAsia="Calibri" w:cs="Arial"/>
        </w:rPr>
        <w:t xml:space="preserve">included </w:t>
      </w:r>
      <w:r w:rsidRPr="00E73D25">
        <w:rPr>
          <w:rFonts w:eastAsia="Calibri" w:cs="Arial"/>
        </w:rPr>
        <w:t xml:space="preserve">as </w:t>
      </w:r>
      <w:r w:rsidR="00E575AC">
        <w:rPr>
          <w:rFonts w:eastAsia="Calibri" w:cs="Arial"/>
        </w:rPr>
        <w:t xml:space="preserve">a </w:t>
      </w:r>
      <w:r w:rsidRPr="00E73D25">
        <w:rPr>
          <w:rFonts w:eastAsia="Calibri" w:cs="Arial"/>
        </w:rPr>
        <w:t xml:space="preserve">formal </w:t>
      </w:r>
      <w:r w:rsidR="00E575AC">
        <w:rPr>
          <w:rFonts w:eastAsia="Calibri" w:cs="Arial"/>
        </w:rPr>
        <w:t>recommendation,</w:t>
      </w:r>
      <w:r w:rsidRPr="00E73D25">
        <w:rPr>
          <w:rFonts w:eastAsia="Calibri" w:cs="Arial"/>
        </w:rPr>
        <w:t xml:space="preserve"> </w:t>
      </w:r>
      <w:r w:rsidR="00DE1F6C">
        <w:rPr>
          <w:rFonts w:eastAsia="Calibri" w:cs="Arial"/>
        </w:rPr>
        <w:t xml:space="preserve">the </w:t>
      </w:r>
      <w:r w:rsidR="00E575AC">
        <w:rPr>
          <w:rFonts w:eastAsia="Calibri" w:cs="Arial"/>
        </w:rPr>
        <w:t>C</w:t>
      </w:r>
      <w:r w:rsidR="00DE1F6C">
        <w:rPr>
          <w:rFonts w:eastAsia="Calibri" w:cs="Arial"/>
        </w:rPr>
        <w:t>ommittee</w:t>
      </w:r>
      <w:r w:rsidRPr="00E73D25">
        <w:rPr>
          <w:rFonts w:eastAsia="Calibri" w:cs="Arial"/>
        </w:rPr>
        <w:t xml:space="preserve"> sought </w:t>
      </w:r>
      <w:r w:rsidR="00DE1F6C">
        <w:rPr>
          <w:rFonts w:eastAsia="Calibri" w:cs="Arial"/>
        </w:rPr>
        <w:t>further</w:t>
      </w:r>
      <w:r w:rsidRPr="00E73D25">
        <w:rPr>
          <w:rFonts w:eastAsia="Calibri" w:cs="Arial"/>
        </w:rPr>
        <w:t xml:space="preserve"> justification about the limitation on </w:t>
      </w:r>
      <w:r w:rsidR="00E575AC">
        <w:rPr>
          <w:rFonts w:eastAsia="Calibri" w:cs="Arial"/>
        </w:rPr>
        <w:t xml:space="preserve">First </w:t>
      </w:r>
      <w:r w:rsidR="00323A5B">
        <w:rPr>
          <w:rFonts w:eastAsia="Calibri" w:cs="Arial"/>
        </w:rPr>
        <w:t>N</w:t>
      </w:r>
      <w:r w:rsidR="00E575AC">
        <w:rPr>
          <w:rFonts w:eastAsia="Calibri" w:cs="Arial"/>
        </w:rPr>
        <w:t>ations</w:t>
      </w:r>
      <w:r w:rsidR="00323A5B">
        <w:rPr>
          <w:rFonts w:eastAsia="Calibri" w:cs="Arial"/>
        </w:rPr>
        <w:t>’</w:t>
      </w:r>
      <w:r w:rsidR="00E575AC">
        <w:rPr>
          <w:rFonts w:eastAsia="Calibri" w:cs="Arial"/>
        </w:rPr>
        <w:t xml:space="preserve"> cultural rights</w:t>
      </w:r>
      <w:r w:rsidRPr="00E73D25">
        <w:rPr>
          <w:rFonts w:eastAsia="Calibri" w:cs="Arial"/>
        </w:rPr>
        <w:t xml:space="preserve"> and suggested an amendment to deal with the enforceability issue. The Committee went </w:t>
      </w:r>
      <w:r w:rsidR="000C1CB9">
        <w:rPr>
          <w:rFonts w:eastAsia="Calibri" w:cs="Arial"/>
        </w:rPr>
        <w:t>so</w:t>
      </w:r>
      <w:r w:rsidRPr="00E73D25">
        <w:rPr>
          <w:rFonts w:eastAsia="Calibri" w:cs="Arial"/>
        </w:rPr>
        <w:t xml:space="preserve"> far as to suggest </w:t>
      </w:r>
      <w:r w:rsidR="00E40F00">
        <w:rPr>
          <w:rFonts w:eastAsia="Calibri" w:cs="Arial"/>
        </w:rPr>
        <w:t>that</w:t>
      </w:r>
      <w:r w:rsidRPr="00E73D25">
        <w:rPr>
          <w:rFonts w:eastAsia="Calibri" w:cs="Arial"/>
        </w:rPr>
        <w:t xml:space="preserve"> a failure to respond </w:t>
      </w:r>
      <w:r w:rsidR="00E40F00">
        <w:rPr>
          <w:rFonts w:eastAsia="Calibri" w:cs="Arial"/>
        </w:rPr>
        <w:t>appropriately</w:t>
      </w:r>
      <w:r w:rsidRPr="00E73D25">
        <w:rPr>
          <w:rFonts w:eastAsia="Calibri" w:cs="Arial"/>
        </w:rPr>
        <w:t xml:space="preserve"> to these issues </w:t>
      </w:r>
      <w:r w:rsidR="00F32C64">
        <w:rPr>
          <w:rFonts w:eastAsia="Calibri" w:cs="Arial"/>
        </w:rPr>
        <w:t>may reduce</w:t>
      </w:r>
      <w:r w:rsidRPr="00E73D25">
        <w:rPr>
          <w:rFonts w:eastAsia="Calibri" w:cs="Arial"/>
        </w:rPr>
        <w:t xml:space="preserve"> the </w:t>
      </w:r>
      <w:r w:rsidR="00F32C64">
        <w:rPr>
          <w:rFonts w:eastAsia="Calibri" w:cs="Arial"/>
        </w:rPr>
        <w:t>government’s</w:t>
      </w:r>
      <w:r w:rsidRPr="00E73D25">
        <w:rPr>
          <w:rFonts w:eastAsia="Calibri" w:cs="Arial"/>
        </w:rPr>
        <w:t xml:space="preserve"> commitment to upholding the </w:t>
      </w:r>
      <w:r w:rsidR="00E40F00">
        <w:rPr>
          <w:rFonts w:eastAsia="Calibri" w:cs="Arial"/>
        </w:rPr>
        <w:t>human</w:t>
      </w:r>
      <w:r w:rsidRPr="00E73D25">
        <w:rPr>
          <w:rFonts w:eastAsia="Calibri" w:cs="Arial"/>
        </w:rPr>
        <w:t xml:space="preserve"> rights of First Nations people </w:t>
      </w:r>
      <w:r w:rsidR="00F32C64">
        <w:rPr>
          <w:rFonts w:eastAsia="Calibri" w:cs="Arial"/>
        </w:rPr>
        <w:t>to</w:t>
      </w:r>
      <w:r w:rsidRPr="00E73D25">
        <w:rPr>
          <w:rFonts w:eastAsia="Calibri" w:cs="Arial"/>
        </w:rPr>
        <w:t xml:space="preserve"> </w:t>
      </w:r>
      <w:r w:rsidR="001C2110">
        <w:rPr>
          <w:rFonts w:eastAsia="Calibri" w:cs="Arial"/>
        </w:rPr>
        <w:t>mere</w:t>
      </w:r>
      <w:r w:rsidRPr="00E73D25">
        <w:rPr>
          <w:rFonts w:eastAsia="Calibri" w:cs="Arial"/>
        </w:rPr>
        <w:t xml:space="preserve"> ‘lip service’. </w:t>
      </w:r>
    </w:p>
    <w:p w14:paraId="121FF86C" w14:textId="0E67D332" w:rsidR="00E73D25" w:rsidRPr="00E73D25" w:rsidRDefault="00E73D25" w:rsidP="00E73D25">
      <w:pPr>
        <w:spacing w:after="160" w:line="259" w:lineRule="auto"/>
        <w:rPr>
          <w:rFonts w:eastAsia="Calibri" w:cs="Arial"/>
        </w:rPr>
      </w:pPr>
      <w:r w:rsidRPr="00E73D25">
        <w:rPr>
          <w:rFonts w:eastAsia="Calibri" w:cs="Arial"/>
        </w:rPr>
        <w:t xml:space="preserve">The </w:t>
      </w:r>
      <w:r w:rsidR="000C1CB9">
        <w:rPr>
          <w:rFonts w:eastAsia="Calibri" w:cs="Arial"/>
        </w:rPr>
        <w:t>d</w:t>
      </w:r>
      <w:r w:rsidRPr="00E73D25">
        <w:rPr>
          <w:rFonts w:eastAsia="Calibri" w:cs="Arial"/>
        </w:rPr>
        <w:t>epartment’s response to the Committee indicated it did not agree it should address all the identified issues because:</w:t>
      </w:r>
    </w:p>
    <w:p w14:paraId="6F89F2EB" w14:textId="77777777" w:rsidR="00E73D25" w:rsidRPr="00E73D25" w:rsidRDefault="00E73D25" w:rsidP="00B979C7">
      <w:pPr>
        <w:pStyle w:val="Quote"/>
      </w:pPr>
      <w:r w:rsidRPr="00E73D25">
        <w:t>The compatibility of a Bill with the HR Act should only be considered in the context of the amendments being proposed in a Bill. Compatibility should not consider human rights more generally across Acts or its provisions that are not the subject of the proposed amendments.</w:t>
      </w:r>
    </w:p>
    <w:p w14:paraId="19E43785" w14:textId="150854A8" w:rsidR="00E73D25" w:rsidRPr="00E73D25" w:rsidRDefault="00E73D25" w:rsidP="00E73D25">
      <w:pPr>
        <w:spacing w:after="160" w:line="259" w:lineRule="auto"/>
        <w:rPr>
          <w:rFonts w:eastAsia="Calibri" w:cs="Arial"/>
        </w:rPr>
      </w:pPr>
      <w:r w:rsidRPr="00E73D25">
        <w:rPr>
          <w:rFonts w:eastAsia="Calibri" w:cs="Arial"/>
        </w:rPr>
        <w:t xml:space="preserve">This </w:t>
      </w:r>
      <w:r w:rsidR="00FD3216">
        <w:rPr>
          <w:rFonts w:eastAsia="Calibri" w:cs="Arial"/>
        </w:rPr>
        <w:t>interpretation contrasts with the conclusion</w:t>
      </w:r>
      <w:r w:rsidRPr="00E73D25">
        <w:rPr>
          <w:rFonts w:eastAsia="Calibri" w:cs="Arial"/>
        </w:rPr>
        <w:t xml:space="preserve"> reached previously by the Economics and Governance Committee, which in a report discussed in last year’s </w:t>
      </w:r>
      <w:r w:rsidR="00147E63">
        <w:rPr>
          <w:rFonts w:eastAsia="Calibri" w:cs="Arial"/>
        </w:rPr>
        <w:t>a</w:t>
      </w:r>
      <w:r w:rsidRPr="00E73D25">
        <w:rPr>
          <w:rFonts w:eastAsia="Calibri" w:cs="Arial"/>
        </w:rPr>
        <w:t xml:space="preserve">nnual </w:t>
      </w:r>
      <w:r w:rsidR="00147E63">
        <w:rPr>
          <w:rFonts w:eastAsia="Calibri" w:cs="Arial"/>
        </w:rPr>
        <w:t>r</w:t>
      </w:r>
      <w:r w:rsidRPr="00E73D25">
        <w:rPr>
          <w:rFonts w:eastAsia="Calibri" w:cs="Arial"/>
        </w:rPr>
        <w:t xml:space="preserve">eport </w:t>
      </w:r>
      <w:r w:rsidR="00147E63">
        <w:rPr>
          <w:rFonts w:eastAsia="Calibri" w:cs="Arial"/>
        </w:rPr>
        <w:t>on the operation of the Human Rights Act</w:t>
      </w:r>
      <w:r w:rsidR="00FC370A">
        <w:rPr>
          <w:rFonts w:eastAsia="Calibri" w:cs="Arial"/>
        </w:rPr>
        <w:t>,</w:t>
      </w:r>
      <w:r w:rsidR="00147E63">
        <w:rPr>
          <w:rFonts w:eastAsia="Calibri" w:cs="Arial"/>
        </w:rPr>
        <w:t xml:space="preserve"> </w:t>
      </w:r>
      <w:r w:rsidRPr="00E73D25">
        <w:rPr>
          <w:rFonts w:eastAsia="Calibri" w:cs="Arial"/>
        </w:rPr>
        <w:t xml:space="preserve">concluded that </w:t>
      </w:r>
      <w:r w:rsidR="00FD3216">
        <w:rPr>
          <w:rFonts w:eastAsia="Calibri" w:cs="Arial"/>
        </w:rPr>
        <w:t>statements</w:t>
      </w:r>
      <w:r w:rsidRPr="00E73D25">
        <w:rPr>
          <w:rFonts w:eastAsia="Calibri" w:cs="Arial"/>
        </w:rPr>
        <w:t xml:space="preserve"> of </w:t>
      </w:r>
      <w:r w:rsidR="00FD3216">
        <w:rPr>
          <w:rFonts w:eastAsia="Calibri" w:cs="Arial"/>
        </w:rPr>
        <w:t>compatibility</w:t>
      </w:r>
      <w:r w:rsidRPr="00E73D25">
        <w:rPr>
          <w:rFonts w:eastAsia="Calibri" w:cs="Arial"/>
        </w:rPr>
        <w:t xml:space="preserve"> should justify any limitation on human rights arising from existing legislation as amended, including in relation to aspects of legislation not amended by the Bill.</w:t>
      </w:r>
      <w:r w:rsidRPr="00E73D25">
        <w:rPr>
          <w:rFonts w:eastAsia="Calibri" w:cs="Arial"/>
          <w:vertAlign w:val="superscript"/>
        </w:rPr>
        <w:footnoteReference w:id="51"/>
      </w:r>
      <w:r w:rsidR="00DE1F6C">
        <w:rPr>
          <w:rFonts w:eastAsia="Calibri" w:cs="Arial"/>
        </w:rPr>
        <w:t xml:space="preserve"> </w:t>
      </w:r>
      <w:r w:rsidRPr="00E73D25">
        <w:rPr>
          <w:rFonts w:eastAsia="Calibri" w:cs="Arial"/>
        </w:rPr>
        <w:t xml:space="preserve">The </w:t>
      </w:r>
      <w:r w:rsidR="006D0D06">
        <w:rPr>
          <w:rFonts w:eastAsia="Calibri" w:cs="Arial"/>
        </w:rPr>
        <w:t>d</w:t>
      </w:r>
      <w:r w:rsidRPr="00E73D25">
        <w:rPr>
          <w:rFonts w:eastAsia="Calibri" w:cs="Arial"/>
        </w:rPr>
        <w:t xml:space="preserve">epartment provided no justification as to why it reached a different conclusion to the </w:t>
      </w:r>
      <w:r w:rsidR="001A5D09">
        <w:rPr>
          <w:rFonts w:eastAsia="Calibri" w:cs="Arial"/>
        </w:rPr>
        <w:t>approach set out in the previous Economics and Governance Committee</w:t>
      </w:r>
      <w:r w:rsidRPr="00E73D25">
        <w:rPr>
          <w:rFonts w:eastAsia="Calibri" w:cs="Arial"/>
        </w:rPr>
        <w:t xml:space="preserve"> report. </w:t>
      </w:r>
    </w:p>
    <w:p w14:paraId="20422C7B" w14:textId="42014926" w:rsidR="000E67A8" w:rsidRDefault="00E73D25" w:rsidP="000E67A8">
      <w:pPr>
        <w:spacing w:after="160" w:line="259" w:lineRule="auto"/>
        <w:rPr>
          <w:rFonts w:eastAsia="Calibri" w:cs="Arial"/>
        </w:rPr>
      </w:pPr>
      <w:r w:rsidRPr="00E73D25">
        <w:rPr>
          <w:rFonts w:eastAsia="Calibri" w:cs="Arial"/>
        </w:rPr>
        <w:t xml:space="preserve">This </w:t>
      </w:r>
      <w:r w:rsidR="00470E1E">
        <w:rPr>
          <w:rFonts w:eastAsia="Calibri" w:cs="Arial"/>
        </w:rPr>
        <w:t>example illustrates</w:t>
      </w:r>
      <w:r w:rsidRPr="00E73D25">
        <w:rPr>
          <w:rFonts w:eastAsia="Calibri" w:cs="Arial"/>
        </w:rPr>
        <w:t xml:space="preserve"> a </w:t>
      </w:r>
      <w:r w:rsidR="00470E1E">
        <w:rPr>
          <w:rFonts w:eastAsia="Calibri" w:cs="Arial"/>
        </w:rPr>
        <w:t>drawback</w:t>
      </w:r>
      <w:r w:rsidRPr="00E73D25">
        <w:rPr>
          <w:rFonts w:eastAsia="Calibri" w:cs="Arial"/>
        </w:rPr>
        <w:t xml:space="preserve"> of the Queensland parliamentary committee system</w:t>
      </w:r>
      <w:r w:rsidR="00470E1E">
        <w:rPr>
          <w:rFonts w:eastAsia="Calibri" w:cs="Arial"/>
        </w:rPr>
        <w:t>.</w:t>
      </w:r>
      <w:r w:rsidR="000E67A8">
        <w:rPr>
          <w:rFonts w:eastAsia="Calibri" w:cs="Arial"/>
        </w:rPr>
        <w:t xml:space="preserve"> The formulation of clear and consistent</w:t>
      </w:r>
      <w:r w:rsidRPr="00E73D25">
        <w:rPr>
          <w:rFonts w:eastAsia="Calibri" w:cs="Arial"/>
        </w:rPr>
        <w:t xml:space="preserve"> rules and </w:t>
      </w:r>
      <w:r w:rsidR="000E67A8">
        <w:rPr>
          <w:rFonts w:eastAsia="Calibri" w:cs="Arial"/>
        </w:rPr>
        <w:t xml:space="preserve">expectations for the preparation of </w:t>
      </w:r>
      <w:r w:rsidRPr="00E73D25">
        <w:rPr>
          <w:rFonts w:eastAsia="Calibri" w:cs="Arial"/>
        </w:rPr>
        <w:t xml:space="preserve">statements of compatibility </w:t>
      </w:r>
      <w:r w:rsidR="000E67A8">
        <w:rPr>
          <w:rFonts w:eastAsia="Calibri" w:cs="Arial"/>
        </w:rPr>
        <w:t>is</w:t>
      </w:r>
      <w:r w:rsidRPr="00E73D25">
        <w:rPr>
          <w:rFonts w:eastAsia="Calibri" w:cs="Arial"/>
        </w:rPr>
        <w:t xml:space="preserve"> frustrated by multiple committees undertaking scrutiny functions. </w:t>
      </w:r>
    </w:p>
    <w:p w14:paraId="6332985F" w14:textId="604FB8BA" w:rsidR="00E73D25" w:rsidRPr="00E73D25" w:rsidRDefault="00D65F06" w:rsidP="00E73D25">
      <w:pPr>
        <w:spacing w:after="160" w:line="259" w:lineRule="auto"/>
        <w:rPr>
          <w:rFonts w:eastAsia="Calibri" w:cs="Arial"/>
        </w:rPr>
      </w:pPr>
      <w:r>
        <w:rPr>
          <w:rFonts w:eastAsia="Calibri" w:cs="Arial"/>
        </w:rPr>
        <w:t>The</w:t>
      </w:r>
      <w:r w:rsidR="004638E1">
        <w:rPr>
          <w:rFonts w:eastAsia="Calibri" w:cs="Arial"/>
        </w:rPr>
        <w:t xml:space="preserve"> Commission </w:t>
      </w:r>
      <w:r w:rsidR="00E73D25" w:rsidRPr="00E73D25">
        <w:rPr>
          <w:rFonts w:eastAsia="Calibri" w:cs="Arial"/>
        </w:rPr>
        <w:t>support</w:t>
      </w:r>
      <w:r w:rsidR="000F477F">
        <w:rPr>
          <w:rFonts w:eastAsia="Calibri" w:cs="Arial"/>
        </w:rPr>
        <w:t>s</w:t>
      </w:r>
      <w:r w:rsidR="00E73D25" w:rsidRPr="00E73D25">
        <w:rPr>
          <w:rFonts w:eastAsia="Calibri" w:cs="Arial"/>
        </w:rPr>
        <w:t xml:space="preserve"> the conclusions reached by the Economics and Governance Committee that statements of compatibility should consider the compatibility of </w:t>
      </w:r>
      <w:r w:rsidR="000F477F">
        <w:rPr>
          <w:rFonts w:eastAsia="Calibri" w:cs="Arial"/>
        </w:rPr>
        <w:t xml:space="preserve">the </w:t>
      </w:r>
      <w:r w:rsidR="00E73D25" w:rsidRPr="00E73D25">
        <w:rPr>
          <w:rFonts w:eastAsia="Calibri" w:cs="Arial"/>
        </w:rPr>
        <w:t xml:space="preserve">entirety of existing legislation, as amended. </w:t>
      </w:r>
    </w:p>
    <w:p w14:paraId="270C510D" w14:textId="77777777" w:rsidR="00E73D25" w:rsidRPr="00E73D25" w:rsidRDefault="00E73D25" w:rsidP="00CF2A57">
      <w:pPr>
        <w:pStyle w:val="Heading2"/>
        <w:rPr>
          <w:bCs/>
        </w:rPr>
      </w:pPr>
      <w:bookmarkStart w:id="290" w:name="_Toc147757293"/>
      <w:bookmarkStart w:id="291" w:name="_Toc148086914"/>
      <w:r w:rsidRPr="00E73D25">
        <w:t>Animal Care and Protection Amendment Bill 2022</w:t>
      </w:r>
      <w:bookmarkEnd w:id="290"/>
      <w:bookmarkEnd w:id="291"/>
    </w:p>
    <w:p w14:paraId="1E8E1FB7" w14:textId="44F93F61" w:rsidR="00E73D25" w:rsidRPr="00E73D25" w:rsidRDefault="00E73D25" w:rsidP="00E73D25">
      <w:pPr>
        <w:spacing w:after="160" w:line="259" w:lineRule="auto"/>
        <w:rPr>
          <w:rFonts w:eastAsia="Calibri" w:cs="Arial"/>
        </w:rPr>
      </w:pPr>
      <w:r w:rsidRPr="00E73D25">
        <w:rPr>
          <w:rFonts w:eastAsia="Calibri" w:cs="Arial"/>
        </w:rPr>
        <w:t>The objective of the Bill was to modernise Queensland’s animal welfare laws to reflect modern scientific knowledge, community attitudes</w:t>
      </w:r>
      <w:r w:rsidR="002B2994">
        <w:rPr>
          <w:rFonts w:eastAsia="Calibri" w:cs="Arial"/>
        </w:rPr>
        <w:t>,</w:t>
      </w:r>
      <w:r w:rsidRPr="00E73D25">
        <w:rPr>
          <w:rFonts w:eastAsia="Calibri" w:cs="Arial"/>
        </w:rPr>
        <w:t xml:space="preserve"> and expectations.</w:t>
      </w:r>
    </w:p>
    <w:p w14:paraId="4D63679A" w14:textId="01A651B0" w:rsidR="00E73D25" w:rsidRPr="00E73D25" w:rsidRDefault="00E73D25" w:rsidP="00E73D25">
      <w:pPr>
        <w:spacing w:after="160" w:line="259" w:lineRule="auto"/>
        <w:rPr>
          <w:rFonts w:eastAsia="Calibri" w:cs="Arial"/>
        </w:rPr>
      </w:pPr>
      <w:r w:rsidRPr="00E73D25">
        <w:rPr>
          <w:rFonts w:eastAsia="Calibri" w:cs="Arial"/>
        </w:rPr>
        <w:t>The State Development Committee noted that proposed section (93T) would require livestock slaughter facilities to install, maintain</w:t>
      </w:r>
      <w:r w:rsidR="002B2994">
        <w:rPr>
          <w:rFonts w:eastAsia="Calibri" w:cs="Arial"/>
        </w:rPr>
        <w:t>,</w:t>
      </w:r>
      <w:r w:rsidRPr="00E73D25">
        <w:rPr>
          <w:rFonts w:eastAsia="Calibri" w:cs="Arial"/>
        </w:rPr>
        <w:t xml:space="preserve"> and operate closed</w:t>
      </w:r>
      <w:r w:rsidRPr="00E73D25">
        <w:rPr>
          <w:rFonts w:ascii="Cambria Math" w:eastAsia="Calibri" w:hAnsi="Cambria Math" w:cs="Cambria Math"/>
        </w:rPr>
        <w:t>‐</w:t>
      </w:r>
      <w:r w:rsidRPr="00E73D25">
        <w:rPr>
          <w:rFonts w:eastAsia="Calibri" w:cs="Arial"/>
        </w:rPr>
        <w:t>circuit television (CCTV) equipment. The Committee noted that CCTV equipment in public places may record employees or visitors and engages the right for a person not to have their privacy unlawfully or arbitrarily interfered with. While noting that the Bill included some protections, the Committee found that no mention was made in the proposed Bill about who may view the recordings and associated records, and no specific requirements about storage were outlined.</w:t>
      </w:r>
      <w:r w:rsidR="00E865C3">
        <w:rPr>
          <w:rFonts w:eastAsia="Calibri" w:cs="Arial"/>
        </w:rPr>
        <w:t xml:space="preserve"> </w:t>
      </w:r>
    </w:p>
    <w:p w14:paraId="798A5AA8" w14:textId="4BADFB38" w:rsidR="00E73D25" w:rsidRPr="00E73D25" w:rsidRDefault="00E73D25" w:rsidP="00E73D25">
      <w:pPr>
        <w:spacing w:after="160" w:line="259" w:lineRule="auto"/>
        <w:rPr>
          <w:rFonts w:eastAsia="Calibri" w:cs="Arial"/>
        </w:rPr>
      </w:pPr>
      <w:r w:rsidRPr="00E73D25">
        <w:rPr>
          <w:rFonts w:eastAsia="Calibri" w:cs="Arial"/>
        </w:rPr>
        <w:t>The Committee suggested it could be argued that a more appropriate balance could be struck between the legitimate purpose of protecting animals and the importance of preserving individuals’ rights to privacy by further amendments.</w:t>
      </w:r>
      <w:r w:rsidR="00E865C3">
        <w:rPr>
          <w:rFonts w:eastAsia="Calibri" w:cs="Arial"/>
        </w:rPr>
        <w:t xml:space="preserve"> </w:t>
      </w:r>
    </w:p>
    <w:p w14:paraId="4BC4C575" w14:textId="675D0179" w:rsidR="00E73D25" w:rsidRPr="00E73D25" w:rsidRDefault="00E73D25" w:rsidP="00E73D25">
      <w:pPr>
        <w:spacing w:after="160" w:line="259" w:lineRule="auto"/>
        <w:rPr>
          <w:rFonts w:eastAsia="Calibri" w:cs="Arial"/>
        </w:rPr>
      </w:pPr>
      <w:r w:rsidRPr="00E73D25">
        <w:rPr>
          <w:rFonts w:eastAsia="Calibri" w:cs="Arial"/>
        </w:rPr>
        <w:t xml:space="preserve">As </w:t>
      </w:r>
      <w:r w:rsidR="00505473">
        <w:rPr>
          <w:rFonts w:eastAsia="Calibri" w:cs="Arial"/>
        </w:rPr>
        <w:t xml:space="preserve">the Committee made no </w:t>
      </w:r>
      <w:r w:rsidR="00CF2A57">
        <w:rPr>
          <w:rFonts w:eastAsia="Calibri" w:cs="Arial"/>
        </w:rPr>
        <w:t>formal recommendations</w:t>
      </w:r>
      <w:r w:rsidR="00505473">
        <w:rPr>
          <w:rFonts w:eastAsia="Calibri" w:cs="Arial"/>
        </w:rPr>
        <w:t xml:space="preserve"> on this point</w:t>
      </w:r>
      <w:r w:rsidRPr="00E73D25">
        <w:rPr>
          <w:rFonts w:eastAsia="Calibri" w:cs="Arial"/>
        </w:rPr>
        <w:t xml:space="preserve">, the </w:t>
      </w:r>
      <w:r w:rsidR="00505473">
        <w:rPr>
          <w:rFonts w:eastAsia="Calibri" w:cs="Arial"/>
        </w:rPr>
        <w:t>g</w:t>
      </w:r>
      <w:r w:rsidRPr="00E73D25">
        <w:rPr>
          <w:rFonts w:eastAsia="Calibri" w:cs="Arial"/>
        </w:rPr>
        <w:t>overnment did not respond to these suggestions in its response to the Committee, and no amendments</w:t>
      </w:r>
      <w:r w:rsidR="00CF2A57">
        <w:rPr>
          <w:rFonts w:eastAsia="Calibri" w:cs="Arial"/>
        </w:rPr>
        <w:t xml:space="preserve"> to the Bill</w:t>
      </w:r>
      <w:r w:rsidRPr="00E73D25">
        <w:rPr>
          <w:rFonts w:eastAsia="Calibri" w:cs="Arial"/>
        </w:rPr>
        <w:t xml:space="preserve"> were moved. </w:t>
      </w:r>
    </w:p>
    <w:p w14:paraId="56D7FF08" w14:textId="77777777" w:rsidR="00E73D25" w:rsidRPr="00E73D25" w:rsidRDefault="00E73D25" w:rsidP="00CF2A57">
      <w:pPr>
        <w:pStyle w:val="Heading2"/>
        <w:rPr>
          <w:bCs/>
        </w:rPr>
      </w:pPr>
      <w:bookmarkStart w:id="292" w:name="_Toc147757294"/>
      <w:bookmarkStart w:id="293" w:name="_Toc148086915"/>
      <w:r w:rsidRPr="00E73D25">
        <w:t>Casino Control and Other Legislation Amendment Bill 2022</w:t>
      </w:r>
      <w:bookmarkEnd w:id="292"/>
      <w:bookmarkEnd w:id="293"/>
    </w:p>
    <w:p w14:paraId="375FB477" w14:textId="3EC2F514" w:rsidR="00E73D25" w:rsidRPr="00E73D25" w:rsidRDefault="00E73D25" w:rsidP="00E73D25">
      <w:pPr>
        <w:spacing w:after="160" w:line="259" w:lineRule="auto"/>
        <w:rPr>
          <w:rFonts w:eastAsia="Calibri" w:cs="Arial"/>
        </w:rPr>
      </w:pPr>
      <w:r w:rsidRPr="00E73D25">
        <w:rPr>
          <w:rFonts w:eastAsia="Calibri" w:cs="Arial"/>
        </w:rPr>
        <w:t xml:space="preserve">The purpose of this Bill was to ensure casino integrity and </w:t>
      </w:r>
      <w:r w:rsidR="00B36E91">
        <w:rPr>
          <w:rFonts w:eastAsia="Calibri" w:cs="Arial"/>
        </w:rPr>
        <w:t xml:space="preserve">to </w:t>
      </w:r>
      <w:r w:rsidRPr="00E73D25">
        <w:rPr>
          <w:rFonts w:eastAsia="Calibri" w:cs="Arial"/>
        </w:rPr>
        <w:t xml:space="preserve">modernise gambling legislation. </w:t>
      </w:r>
    </w:p>
    <w:p w14:paraId="6D9B1BE9" w14:textId="3F18D105" w:rsidR="00E73D25" w:rsidRPr="00E73D25" w:rsidRDefault="00E73D25" w:rsidP="00E73D25">
      <w:pPr>
        <w:spacing w:after="160" w:line="259" w:lineRule="auto"/>
        <w:rPr>
          <w:rFonts w:eastAsia="Calibri" w:cs="Arial"/>
        </w:rPr>
      </w:pPr>
      <w:r w:rsidRPr="00E73D25">
        <w:rPr>
          <w:rFonts w:eastAsia="Calibri" w:cs="Arial"/>
        </w:rPr>
        <w:t xml:space="preserve">Significantly, </w:t>
      </w:r>
      <w:r w:rsidR="00D6012B">
        <w:rPr>
          <w:rFonts w:eastAsia="Calibri" w:cs="Arial"/>
        </w:rPr>
        <w:t>the Bill</w:t>
      </w:r>
      <w:r w:rsidR="00D6012B" w:rsidRPr="00E73D25">
        <w:rPr>
          <w:rFonts w:eastAsia="Calibri" w:cs="Arial"/>
        </w:rPr>
        <w:t xml:space="preserve"> </w:t>
      </w:r>
      <w:r w:rsidRPr="00E73D25">
        <w:rPr>
          <w:rFonts w:eastAsia="Calibri" w:cs="Arial"/>
        </w:rPr>
        <w:t xml:space="preserve">proposed to remove an existing detention power under the </w:t>
      </w:r>
      <w:r w:rsidRPr="00E73D25">
        <w:rPr>
          <w:rFonts w:eastAsia="Calibri" w:cs="Arial"/>
          <w:i/>
          <w:iCs/>
        </w:rPr>
        <w:t xml:space="preserve">Casino Control Act 1982 </w:t>
      </w:r>
      <w:r w:rsidRPr="00E73D25">
        <w:rPr>
          <w:rFonts w:eastAsia="Calibri" w:cs="Arial"/>
        </w:rPr>
        <w:t>due to its potential incompatibility with human rights. The power could be used by an inspector, casino operator</w:t>
      </w:r>
      <w:r w:rsidR="00D6012B">
        <w:rPr>
          <w:rFonts w:eastAsia="Calibri" w:cs="Arial"/>
        </w:rPr>
        <w:t>,</w:t>
      </w:r>
      <w:r w:rsidRPr="00E73D25">
        <w:rPr>
          <w:rFonts w:eastAsia="Calibri" w:cs="Arial"/>
        </w:rPr>
        <w:t xml:space="preserve"> or casino operator’s employees and agents. The </w:t>
      </w:r>
      <w:r w:rsidR="006B0EAA">
        <w:rPr>
          <w:rFonts w:eastAsia="Calibri" w:cs="Arial"/>
        </w:rPr>
        <w:t xml:space="preserve">Statement of </w:t>
      </w:r>
      <w:r w:rsidR="001610BB">
        <w:rPr>
          <w:rFonts w:eastAsia="Calibri" w:cs="Arial"/>
        </w:rPr>
        <w:t>C</w:t>
      </w:r>
      <w:r w:rsidR="006B0EAA">
        <w:rPr>
          <w:rFonts w:eastAsia="Calibri" w:cs="Arial"/>
        </w:rPr>
        <w:t>ompatibility</w:t>
      </w:r>
      <w:r w:rsidRPr="00E73D25">
        <w:rPr>
          <w:rFonts w:eastAsia="Calibri" w:cs="Arial"/>
        </w:rPr>
        <w:t xml:space="preserve"> noted that Office of Liquor and Gaming Regulation inspectors do not use the detention power, and so the government concluded it could not justify retaining the detention power for </w:t>
      </w:r>
      <w:r w:rsidR="00C1575A">
        <w:rPr>
          <w:rFonts w:eastAsia="Calibri" w:cs="Arial"/>
        </w:rPr>
        <w:t>others</w:t>
      </w:r>
      <w:r w:rsidRPr="00E73D25">
        <w:rPr>
          <w:rFonts w:eastAsia="Calibri" w:cs="Arial"/>
        </w:rPr>
        <w:t>. The Bill passed and received asset on 21 October 2022.</w:t>
      </w:r>
      <w:r w:rsidR="00E865C3">
        <w:rPr>
          <w:rFonts w:eastAsia="Calibri" w:cs="Arial"/>
        </w:rPr>
        <w:t xml:space="preserve"> </w:t>
      </w:r>
    </w:p>
    <w:p w14:paraId="5EAD676E" w14:textId="77777777" w:rsidR="00E73D25" w:rsidRPr="00E73D25" w:rsidRDefault="00E73D25" w:rsidP="004A7ABB">
      <w:pPr>
        <w:pStyle w:val="Heading2"/>
        <w:rPr>
          <w:bCs/>
        </w:rPr>
      </w:pPr>
      <w:bookmarkStart w:id="294" w:name="_Toc147757295"/>
      <w:bookmarkStart w:id="295" w:name="_Toc148086916"/>
      <w:r w:rsidRPr="00E73D25">
        <w:t>Domestic and Family Violence Protection (Combating Coercive Control) and Other Legislation Amendment Bill 2022</w:t>
      </w:r>
      <w:bookmarkEnd w:id="294"/>
      <w:bookmarkEnd w:id="295"/>
    </w:p>
    <w:p w14:paraId="6789BAAE" w14:textId="192CC086" w:rsidR="009E1F01" w:rsidRDefault="00E73D25" w:rsidP="00E73D25">
      <w:pPr>
        <w:spacing w:after="160" w:line="259" w:lineRule="auto"/>
        <w:rPr>
          <w:rFonts w:eastAsia="Calibri" w:cs="Arial"/>
        </w:rPr>
      </w:pPr>
      <w:r w:rsidRPr="00E73D25">
        <w:rPr>
          <w:rFonts w:eastAsia="Calibri" w:cs="Arial"/>
        </w:rPr>
        <w:t xml:space="preserve">The Bill proposed to implement reforms </w:t>
      </w:r>
      <w:r w:rsidR="003B33C0">
        <w:rPr>
          <w:rFonts w:eastAsia="Calibri" w:cs="Arial"/>
        </w:rPr>
        <w:t xml:space="preserve">to </w:t>
      </w:r>
      <w:r w:rsidRPr="00E73D25">
        <w:rPr>
          <w:rFonts w:eastAsia="Calibri" w:cs="Arial"/>
        </w:rPr>
        <w:t xml:space="preserve">address coercive control as recommended by the Women’s Safety and Justice Taskforce in its report, </w:t>
      </w:r>
      <w:r w:rsidRPr="00E73D25">
        <w:rPr>
          <w:rFonts w:eastAsia="Calibri" w:cs="Arial"/>
          <w:i/>
          <w:iCs/>
        </w:rPr>
        <w:t>Hear her Voice – Report one – Addressing coercive control and domestic and family violence in Queensland</w:t>
      </w:r>
      <w:r w:rsidRPr="00E73D25">
        <w:rPr>
          <w:rFonts w:eastAsia="Calibri" w:cs="Arial"/>
        </w:rPr>
        <w:t xml:space="preserve">. </w:t>
      </w:r>
    </w:p>
    <w:p w14:paraId="1B05DDEA" w14:textId="74C45C5C" w:rsidR="009E1F01" w:rsidRDefault="00E73D25" w:rsidP="00E73D25">
      <w:pPr>
        <w:spacing w:after="160" w:line="259" w:lineRule="auto"/>
        <w:rPr>
          <w:rFonts w:eastAsia="Calibri" w:cs="Arial"/>
        </w:rPr>
      </w:pPr>
      <w:r w:rsidRPr="00E73D25">
        <w:rPr>
          <w:rFonts w:eastAsia="Calibri" w:cs="Arial"/>
        </w:rPr>
        <w:t xml:space="preserve">The amendments proposed in this </w:t>
      </w:r>
      <w:r w:rsidR="009E1F01">
        <w:rPr>
          <w:rFonts w:eastAsia="Calibri" w:cs="Arial"/>
        </w:rPr>
        <w:t>B</w:t>
      </w:r>
      <w:r w:rsidRPr="00E73D25">
        <w:rPr>
          <w:rFonts w:eastAsia="Calibri" w:cs="Arial"/>
        </w:rPr>
        <w:t>ill included updating the language used to describe sexualised violence</w:t>
      </w:r>
      <w:r w:rsidR="00FD25B5">
        <w:rPr>
          <w:rFonts w:eastAsia="Calibri" w:cs="Arial"/>
        </w:rPr>
        <w:t>,</w:t>
      </w:r>
      <w:r w:rsidRPr="00E73D25">
        <w:rPr>
          <w:rFonts w:eastAsia="Calibri" w:cs="Arial"/>
        </w:rPr>
        <w:t xml:space="preserve"> including changing the term ‘carnal knowledge’ to ‘penile intercourse’. Several submissions raised concerns about this change </w:t>
      </w:r>
      <w:r w:rsidR="00324158">
        <w:rPr>
          <w:rFonts w:eastAsia="Calibri" w:cs="Arial"/>
        </w:rPr>
        <w:t>arguing that</w:t>
      </w:r>
      <w:r w:rsidR="005F46A3">
        <w:rPr>
          <w:rFonts w:eastAsia="Calibri" w:cs="Arial"/>
        </w:rPr>
        <w:t xml:space="preserve"> </w:t>
      </w:r>
      <w:r w:rsidR="00AC0182">
        <w:rPr>
          <w:rFonts w:eastAsia="Calibri" w:cs="Arial"/>
        </w:rPr>
        <w:t xml:space="preserve">the language was not </w:t>
      </w:r>
      <w:r w:rsidRPr="00E73D25">
        <w:rPr>
          <w:rFonts w:eastAsia="Calibri" w:cs="Arial"/>
        </w:rPr>
        <w:t xml:space="preserve">gender neutral and the terminology implied certain offences could only be perpetrated by </w:t>
      </w:r>
      <w:r w:rsidR="005F46A3">
        <w:rPr>
          <w:rFonts w:eastAsia="Calibri" w:cs="Arial"/>
        </w:rPr>
        <w:t>men</w:t>
      </w:r>
      <w:r w:rsidRPr="00E73D25">
        <w:rPr>
          <w:rFonts w:eastAsia="Calibri" w:cs="Arial"/>
        </w:rPr>
        <w:t xml:space="preserve">. </w:t>
      </w:r>
    </w:p>
    <w:p w14:paraId="3D65D82E" w14:textId="429286C7" w:rsidR="00E73D25" w:rsidRPr="00E73D25" w:rsidRDefault="00E73D25" w:rsidP="00E73D25">
      <w:pPr>
        <w:spacing w:after="160" w:line="259" w:lineRule="auto"/>
        <w:rPr>
          <w:rFonts w:eastAsia="Calibri" w:cs="Arial"/>
        </w:rPr>
      </w:pPr>
      <w:r w:rsidRPr="00E73D25">
        <w:rPr>
          <w:rFonts w:eastAsia="Calibri" w:cs="Arial"/>
        </w:rPr>
        <w:t xml:space="preserve">In the human rights compatibility section of its report, the Legal Affairs and Safety Committee noted the proposed change could be seen as discriminatory against potential victims and not compatible with human rights norms and expectations. However, the </w:t>
      </w:r>
      <w:r w:rsidR="008E335D">
        <w:rPr>
          <w:rFonts w:eastAsia="Calibri" w:cs="Arial"/>
        </w:rPr>
        <w:t>d</w:t>
      </w:r>
      <w:r w:rsidRPr="00E73D25">
        <w:rPr>
          <w:rFonts w:eastAsia="Calibri" w:cs="Arial"/>
        </w:rPr>
        <w:t xml:space="preserve">epartment provided further advice that the term ‘penile intercourse’ is not considered to be gendered language and therefore discriminatory because it relates to physical anatomy, including a surgically constructed penis. It further advised that amending the terminology was for the purpose of modernising the language, not to substantively alter the scope or operation of the offence. Finally, the </w:t>
      </w:r>
      <w:r w:rsidR="00BD5B7B">
        <w:rPr>
          <w:rFonts w:eastAsia="Calibri" w:cs="Arial"/>
        </w:rPr>
        <w:t>d</w:t>
      </w:r>
      <w:r w:rsidRPr="00E73D25">
        <w:rPr>
          <w:rFonts w:eastAsia="Calibri" w:cs="Arial"/>
        </w:rPr>
        <w:t xml:space="preserve">epartment advised other types of abuse are captured by other offence provisions in the Criminal Code. Based on this additional information, the Committee was satisfied the limits on the human rights were reasonable and demonstrably justifiable. </w:t>
      </w:r>
    </w:p>
    <w:p w14:paraId="072321CC" w14:textId="534A1BEA" w:rsidR="00E73D25" w:rsidRDefault="00E73D25" w:rsidP="00E73D25">
      <w:pPr>
        <w:spacing w:after="160" w:line="259" w:lineRule="auto"/>
        <w:rPr>
          <w:rFonts w:eastAsia="Calibri" w:cs="Arial"/>
        </w:rPr>
      </w:pPr>
      <w:r w:rsidRPr="00E73D25">
        <w:rPr>
          <w:rFonts w:eastAsia="Calibri" w:cs="Arial"/>
        </w:rPr>
        <w:t xml:space="preserve">The potentially discriminatory aspects of this provision were also discussed in the debate stage of the Bill, but the Bill was passed with this definition. </w:t>
      </w:r>
    </w:p>
    <w:p w14:paraId="4BC59180" w14:textId="3CF5D0F9" w:rsidR="00C90591" w:rsidRPr="00C90591" w:rsidRDefault="00C90591" w:rsidP="003C01A2">
      <w:pPr>
        <w:pStyle w:val="Heading2"/>
        <w:rPr>
          <w:lang w:eastAsia="en-AU"/>
        </w:rPr>
      </w:pPr>
      <w:bookmarkStart w:id="296" w:name="_Toc147757296"/>
      <w:bookmarkStart w:id="297" w:name="_Toc148086917"/>
      <w:r w:rsidRPr="00C90591">
        <w:rPr>
          <w:lang w:eastAsia="en-AU"/>
        </w:rPr>
        <w:t>COVID-19 related legislation</w:t>
      </w:r>
      <w:bookmarkEnd w:id="276"/>
      <w:bookmarkEnd w:id="277"/>
      <w:bookmarkEnd w:id="278"/>
      <w:bookmarkEnd w:id="279"/>
      <w:bookmarkEnd w:id="280"/>
      <w:bookmarkEnd w:id="281"/>
      <w:bookmarkEnd w:id="296"/>
      <w:bookmarkEnd w:id="297"/>
    </w:p>
    <w:p w14:paraId="5181C1F1" w14:textId="0A495291" w:rsidR="00B12D39" w:rsidRPr="00E73D25" w:rsidRDefault="00B12D39" w:rsidP="004A7ABB">
      <w:pPr>
        <w:spacing w:after="160" w:line="259" w:lineRule="auto"/>
        <w:rPr>
          <w:rFonts w:eastAsia="Calibri" w:cs="Arial"/>
        </w:rPr>
      </w:pPr>
      <w:bookmarkStart w:id="298" w:name="_Toc55482294"/>
      <w:bookmarkStart w:id="299" w:name="_Toc84593869"/>
      <w:bookmarkStart w:id="300" w:name="_Toc85451741"/>
      <w:bookmarkStart w:id="301" w:name="_Toc85526671"/>
      <w:bookmarkStart w:id="302" w:name="_Toc85787086"/>
      <w:r w:rsidRPr="00E73D25">
        <w:rPr>
          <w:rFonts w:eastAsia="Calibri" w:cs="Arial"/>
        </w:rPr>
        <w:t xml:space="preserve">The key objective of the </w:t>
      </w:r>
      <w:r w:rsidRPr="00B12D39">
        <w:rPr>
          <w:rFonts w:eastAsia="Calibri" w:cs="Arial"/>
        </w:rPr>
        <w:t>Public Health and Other Legislation (COVID-19 Management) Amendment Bill 2022</w:t>
      </w:r>
      <w:r w:rsidRPr="00E73D25">
        <w:rPr>
          <w:rFonts w:eastAsia="Calibri" w:cs="Arial"/>
        </w:rPr>
        <w:t xml:space="preserve"> was to replace the temporary amendments made to the </w:t>
      </w:r>
      <w:r w:rsidRPr="00E73D25">
        <w:rPr>
          <w:rFonts w:eastAsia="Calibri" w:cs="Arial"/>
          <w:i/>
          <w:iCs/>
        </w:rPr>
        <w:t>Public Health Act 2005</w:t>
      </w:r>
      <w:r w:rsidRPr="00E73D25">
        <w:rPr>
          <w:rFonts w:eastAsia="Calibri" w:cs="Arial"/>
        </w:rPr>
        <w:t xml:space="preserve"> </w:t>
      </w:r>
      <w:r w:rsidR="002D32CB">
        <w:rPr>
          <w:rFonts w:eastAsia="Calibri" w:cs="Arial"/>
        </w:rPr>
        <w:t>in response</w:t>
      </w:r>
      <w:r w:rsidRPr="00E73D25">
        <w:rPr>
          <w:rFonts w:eastAsia="Calibri" w:cs="Arial"/>
        </w:rPr>
        <w:t xml:space="preserve"> to COVID-19. These temporary changes provided extraordinary powers to the Chief Health Officer and emergency officers to contain and respond to the spread of COVID-19. Without further extension by parliament, the framework would have expired on 31 October 2022 or earlier</w:t>
      </w:r>
      <w:r w:rsidR="00206277">
        <w:rPr>
          <w:rFonts w:eastAsia="Calibri" w:cs="Arial"/>
        </w:rPr>
        <w:t>,</w:t>
      </w:r>
      <w:r w:rsidRPr="00E73D25">
        <w:rPr>
          <w:rFonts w:eastAsia="Calibri" w:cs="Arial"/>
        </w:rPr>
        <w:t xml:space="preserve"> if the Minister for Health and Ambulance Services ended the public health emergency. </w:t>
      </w:r>
    </w:p>
    <w:p w14:paraId="79FA1476" w14:textId="5436FBE8" w:rsidR="00B12D39" w:rsidRPr="00E73D25" w:rsidRDefault="00B12D39" w:rsidP="004A7ABB">
      <w:pPr>
        <w:spacing w:after="160" w:line="259" w:lineRule="auto"/>
        <w:rPr>
          <w:rFonts w:eastAsia="Calibri" w:cs="Arial"/>
        </w:rPr>
      </w:pPr>
      <w:r w:rsidRPr="00E73D25">
        <w:rPr>
          <w:rFonts w:eastAsia="Calibri" w:cs="Arial"/>
        </w:rPr>
        <w:t>The Bill proposed to replace the temporary framework with more targeted powers to manage COVID-19</w:t>
      </w:r>
      <w:r w:rsidR="000A3860">
        <w:rPr>
          <w:rFonts w:eastAsia="Calibri" w:cs="Arial"/>
        </w:rPr>
        <w:softHyphen/>
      </w:r>
      <w:r w:rsidR="000A3860">
        <w:rPr>
          <w:rFonts w:eastAsia="Calibri" w:cs="Arial"/>
        </w:rPr>
        <w:softHyphen/>
      </w:r>
      <w:r w:rsidRPr="00E73D25">
        <w:rPr>
          <w:rFonts w:eastAsia="Calibri" w:cs="Arial"/>
        </w:rPr>
        <w:t xml:space="preserve"> as a notifiable condition under the Public Health Act. This was intended to provide a ‘step-down’ approach to managing the pandemic response. The power of the Chief Health Officer to make public health directions would be limited to: masks, isolation and quarantine, and vaccinations for workers in high-risk settings. Directions would undergo a parliamentary process </w:t>
      </w:r>
      <w:r w:rsidR="008479D7">
        <w:rPr>
          <w:rFonts w:eastAsia="Calibri" w:cs="Arial"/>
        </w:rPr>
        <w:t>to</w:t>
      </w:r>
      <w:r w:rsidR="008479D7" w:rsidRPr="00E73D25">
        <w:rPr>
          <w:rFonts w:eastAsia="Calibri" w:cs="Arial"/>
        </w:rPr>
        <w:t xml:space="preserve"> </w:t>
      </w:r>
      <w:r w:rsidRPr="00E73D25">
        <w:rPr>
          <w:rFonts w:eastAsia="Calibri" w:cs="Arial"/>
        </w:rPr>
        <w:t xml:space="preserve">include a statement explaining the rationale and compatibility with human rights. </w:t>
      </w:r>
      <w:r w:rsidR="00C70428">
        <w:rPr>
          <w:rFonts w:eastAsia="Calibri" w:cs="Arial"/>
        </w:rPr>
        <w:t>These d</w:t>
      </w:r>
      <w:r w:rsidRPr="00E73D25">
        <w:rPr>
          <w:rFonts w:eastAsia="Calibri" w:cs="Arial"/>
        </w:rPr>
        <w:t xml:space="preserve">irections would expire automatically after 90 days. </w:t>
      </w:r>
      <w:r w:rsidR="00C70428">
        <w:rPr>
          <w:rFonts w:eastAsia="Calibri" w:cs="Arial"/>
        </w:rPr>
        <w:t>The Bill contained</w:t>
      </w:r>
      <w:r w:rsidRPr="00E73D25">
        <w:rPr>
          <w:rFonts w:eastAsia="Calibri" w:cs="Arial"/>
        </w:rPr>
        <w:t xml:space="preserve"> additional safeguards that require a person to be given an opportunity to voluntarily comply with a direction before compliance is enforced.</w:t>
      </w:r>
    </w:p>
    <w:p w14:paraId="09EFF1E0" w14:textId="4F641F6D" w:rsidR="00B12D39" w:rsidRPr="00E73D25" w:rsidRDefault="00B12D39" w:rsidP="004A7ABB">
      <w:pPr>
        <w:spacing w:after="160" w:line="259" w:lineRule="auto"/>
        <w:rPr>
          <w:rFonts w:eastAsia="Calibri" w:cs="Arial"/>
        </w:rPr>
      </w:pPr>
      <w:r w:rsidRPr="00E73D25">
        <w:rPr>
          <w:rFonts w:eastAsia="Calibri" w:cs="Arial"/>
        </w:rPr>
        <w:t>The Commission had previously made several submissions to parliament recommending changes to the temporary COVID-19 framework. In introducing the Bill, the Minister suggested the advocacy of several stakeholders</w:t>
      </w:r>
      <w:r w:rsidR="00F9654B">
        <w:rPr>
          <w:rFonts w:eastAsia="Calibri" w:cs="Arial"/>
        </w:rPr>
        <w:t>,</w:t>
      </w:r>
      <w:r w:rsidRPr="00E73D25">
        <w:rPr>
          <w:rFonts w:eastAsia="Calibri" w:cs="Arial"/>
        </w:rPr>
        <w:t xml:space="preserve"> including the Commission</w:t>
      </w:r>
      <w:r w:rsidR="00F9654B">
        <w:rPr>
          <w:rFonts w:eastAsia="Calibri" w:cs="Arial"/>
        </w:rPr>
        <w:t>, had</w:t>
      </w:r>
      <w:r w:rsidRPr="00E73D25">
        <w:rPr>
          <w:rFonts w:eastAsia="Calibri" w:cs="Arial"/>
        </w:rPr>
        <w:t xml:space="preserve"> informed the </w:t>
      </w:r>
      <w:r w:rsidR="00353F02">
        <w:rPr>
          <w:rFonts w:eastAsia="Calibri" w:cs="Arial"/>
        </w:rPr>
        <w:t>B</w:t>
      </w:r>
      <w:r w:rsidRPr="00E73D25">
        <w:rPr>
          <w:rFonts w:eastAsia="Calibri" w:cs="Arial"/>
        </w:rPr>
        <w:t xml:space="preserve">ill. </w:t>
      </w:r>
    </w:p>
    <w:p w14:paraId="551ECD5B" w14:textId="73C500CB" w:rsidR="00B12D39" w:rsidRPr="00E73D25" w:rsidRDefault="00B12D39" w:rsidP="004A7ABB">
      <w:pPr>
        <w:spacing w:after="160" w:line="259" w:lineRule="auto"/>
        <w:rPr>
          <w:rFonts w:eastAsia="Calibri" w:cs="Arial"/>
        </w:rPr>
      </w:pPr>
      <w:r w:rsidRPr="00E73D25">
        <w:rPr>
          <w:rFonts w:eastAsia="Calibri" w:cs="Arial"/>
        </w:rPr>
        <w:t xml:space="preserve">The </w:t>
      </w:r>
      <w:r w:rsidR="000F6FB5">
        <w:rPr>
          <w:rFonts w:eastAsia="Calibri" w:cs="Arial"/>
        </w:rPr>
        <w:t>Human Rights</w:t>
      </w:r>
      <w:r w:rsidRPr="00E73D25">
        <w:rPr>
          <w:rFonts w:eastAsia="Calibri" w:cs="Arial"/>
        </w:rPr>
        <w:t xml:space="preserve"> Act was raised in several submissions and discussed extensively throughout the Health and Environment Committee’s report. </w:t>
      </w:r>
      <w:r w:rsidR="00EE2BD2">
        <w:rPr>
          <w:rFonts w:eastAsia="Calibri" w:cs="Arial"/>
        </w:rPr>
        <w:t>The Human Rights Act</w:t>
      </w:r>
      <w:r w:rsidRPr="00E73D25">
        <w:rPr>
          <w:rFonts w:eastAsia="Calibri" w:cs="Arial"/>
        </w:rPr>
        <w:t xml:space="preserve"> was discussed in debate, however the Bill passed unamended and has received assent. The temporary changes to the Public Health Act commenced on 1 November 2022. </w:t>
      </w:r>
    </w:p>
    <w:p w14:paraId="35A55619" w14:textId="53401F68" w:rsidR="00C90591" w:rsidRPr="00C90591" w:rsidRDefault="00C90591" w:rsidP="00715CBB">
      <w:pPr>
        <w:pStyle w:val="Heading2"/>
        <w:rPr>
          <w:rFonts w:eastAsia="Times New Roman" w:cs="Times New Roman"/>
          <w:bCs/>
          <w:color w:val="337B9E"/>
          <w:kern w:val="36"/>
          <w:sz w:val="48"/>
          <w:szCs w:val="48"/>
          <w:highlight w:val="yellow"/>
          <w:lang w:eastAsia="en-AU"/>
        </w:rPr>
      </w:pPr>
      <w:r w:rsidRPr="00C90591">
        <w:rPr>
          <w:highlight w:val="yellow"/>
        </w:rPr>
        <w:br w:type="page"/>
      </w:r>
    </w:p>
    <w:p w14:paraId="22E4E084" w14:textId="04647177" w:rsidR="00C90591" w:rsidRPr="00C90591" w:rsidRDefault="00C90591" w:rsidP="001B26A2">
      <w:pPr>
        <w:pStyle w:val="Heading1"/>
        <w:rPr>
          <w:rFonts w:eastAsia="Times New Roman" w:cs="Times New Roman"/>
          <w:color w:val="337B9E"/>
          <w:kern w:val="36"/>
          <w:szCs w:val="48"/>
          <w:lang w:eastAsia="en-AU"/>
        </w:rPr>
      </w:pPr>
      <w:bookmarkStart w:id="303" w:name="_Toc458603771"/>
      <w:bookmarkStart w:id="304" w:name="_Toc117697146"/>
      <w:bookmarkStart w:id="305" w:name="_Toc147757297"/>
      <w:bookmarkStart w:id="306" w:name="_Toc148086918"/>
      <w:r w:rsidRPr="00C90591">
        <w:rPr>
          <w:lang w:eastAsia="en-AU"/>
        </w:rPr>
        <w:t xml:space="preserve">Summary of the role of parliament in </w:t>
      </w:r>
      <w:bookmarkEnd w:id="298"/>
      <w:bookmarkEnd w:id="299"/>
      <w:bookmarkEnd w:id="300"/>
      <w:bookmarkEnd w:id="301"/>
      <w:bookmarkEnd w:id="302"/>
      <w:r w:rsidR="007D27F7">
        <w:rPr>
          <w:lang w:eastAsia="en-AU"/>
        </w:rPr>
        <w:t>2022-23</w:t>
      </w:r>
      <w:bookmarkEnd w:id="303"/>
      <w:bookmarkEnd w:id="304"/>
      <w:bookmarkEnd w:id="305"/>
      <w:bookmarkEnd w:id="306"/>
    </w:p>
    <w:p w14:paraId="180613B9" w14:textId="3FFE2A06" w:rsidR="009F4EA5" w:rsidRPr="005C7115" w:rsidRDefault="009F4EA5" w:rsidP="009F4EA5">
      <w:pPr>
        <w:keepLines/>
        <w:widowControl w:val="0"/>
        <w:rPr>
          <w:rFonts w:eastAsia="Calibri" w:cs="Arial"/>
        </w:rPr>
      </w:pPr>
      <w:r w:rsidRPr="005C7115">
        <w:rPr>
          <w:rFonts w:eastAsia="Calibri" w:cs="Arial"/>
        </w:rPr>
        <w:t xml:space="preserve">The Commission’s analysis focuses on the passage of primary legislation through the </w:t>
      </w:r>
      <w:r w:rsidR="00B70053">
        <w:rPr>
          <w:rFonts w:eastAsia="Calibri" w:cs="Arial"/>
        </w:rPr>
        <w:t>p</w:t>
      </w:r>
      <w:r w:rsidRPr="005C7115">
        <w:rPr>
          <w:rFonts w:eastAsia="Calibri" w:cs="Arial"/>
        </w:rPr>
        <w:t>arliament, including the assessment of B</w:t>
      </w:r>
      <w:r w:rsidRPr="005C7115" w:rsidDel="004C094C">
        <w:rPr>
          <w:rFonts w:eastAsia="Calibri" w:cs="Arial"/>
        </w:rPr>
        <w:t xml:space="preserve">ills </w:t>
      </w:r>
      <w:r w:rsidRPr="005C7115">
        <w:rPr>
          <w:rFonts w:eastAsia="Calibri" w:cs="Arial"/>
        </w:rPr>
        <w:t xml:space="preserve">and </w:t>
      </w:r>
      <w:r w:rsidR="00095892" w:rsidRPr="005C7115">
        <w:rPr>
          <w:rFonts w:eastAsia="Calibri" w:cs="Arial"/>
        </w:rPr>
        <w:t>s</w:t>
      </w:r>
      <w:r w:rsidRPr="005C7115">
        <w:rPr>
          <w:rFonts w:eastAsia="Calibri" w:cs="Arial"/>
        </w:rPr>
        <w:t xml:space="preserve">tatements of </w:t>
      </w:r>
      <w:r w:rsidR="00095892" w:rsidRPr="005C7115">
        <w:rPr>
          <w:rFonts w:eastAsia="Calibri" w:cs="Arial"/>
        </w:rPr>
        <w:t>c</w:t>
      </w:r>
      <w:r w:rsidRPr="005C7115">
        <w:rPr>
          <w:rFonts w:eastAsia="Calibri" w:cs="Arial"/>
        </w:rPr>
        <w:t xml:space="preserve">ompatibility by portfolio </w:t>
      </w:r>
      <w:r w:rsidR="00095892" w:rsidRPr="005C7115">
        <w:rPr>
          <w:rFonts w:eastAsia="Calibri" w:cs="Arial"/>
        </w:rPr>
        <w:t>c</w:t>
      </w:r>
      <w:r w:rsidRPr="005C7115">
        <w:rPr>
          <w:rFonts w:eastAsia="Calibri" w:cs="Arial"/>
        </w:rPr>
        <w:t xml:space="preserve">ommittees. </w:t>
      </w:r>
    </w:p>
    <w:p w14:paraId="3C2F5B2D" w14:textId="149F0E29" w:rsidR="009F4EA5" w:rsidRPr="009F4EA5" w:rsidRDefault="002022B7" w:rsidP="009F4EA5">
      <w:pPr>
        <w:keepLines/>
        <w:widowControl w:val="0"/>
        <w:rPr>
          <w:rFonts w:eastAsia="Calibri" w:cs="Arial"/>
        </w:rPr>
      </w:pPr>
      <w:r>
        <w:rPr>
          <w:rFonts w:eastAsia="Calibri" w:cs="Arial"/>
        </w:rPr>
        <w:t>T</w:t>
      </w:r>
      <w:r w:rsidR="009F4EA5" w:rsidRPr="009F4EA5">
        <w:rPr>
          <w:rFonts w:eastAsia="Calibri" w:cs="Arial"/>
        </w:rPr>
        <w:t xml:space="preserve">he application of these indicators to legislation considered in the reporting period suggests that human rights compatibility is being addressed both through submissions to Committees and in the discussion in Committee reports. Comparing </w:t>
      </w:r>
      <w:r w:rsidR="00884DBA">
        <w:rPr>
          <w:rFonts w:eastAsia="Calibri" w:cs="Arial"/>
        </w:rPr>
        <w:t>the progress on the</w:t>
      </w:r>
      <w:r w:rsidR="009F4EA5" w:rsidRPr="009F4EA5">
        <w:rPr>
          <w:rFonts w:eastAsia="Calibri" w:cs="Arial"/>
        </w:rPr>
        <w:t xml:space="preserve"> indicators </w:t>
      </w:r>
      <w:r w:rsidR="00884DBA">
        <w:rPr>
          <w:rFonts w:eastAsia="Calibri" w:cs="Arial"/>
        </w:rPr>
        <w:t>this year</w:t>
      </w:r>
      <w:r w:rsidR="009F4EA5" w:rsidRPr="009F4EA5">
        <w:rPr>
          <w:rFonts w:eastAsia="Calibri" w:cs="Arial"/>
        </w:rPr>
        <w:t xml:space="preserve"> </w:t>
      </w:r>
      <w:r w:rsidR="00884DBA">
        <w:rPr>
          <w:rFonts w:eastAsia="Calibri" w:cs="Arial"/>
        </w:rPr>
        <w:t>with</w:t>
      </w:r>
      <w:r w:rsidR="009F4EA5" w:rsidRPr="009F4EA5">
        <w:rPr>
          <w:rFonts w:eastAsia="Calibri" w:cs="Arial"/>
        </w:rPr>
        <w:t xml:space="preserve"> previous years, there are positive signs that a human rights culture </w:t>
      </w:r>
      <w:r w:rsidR="00911511">
        <w:rPr>
          <w:rFonts w:eastAsia="Calibri" w:cs="Arial"/>
        </w:rPr>
        <w:t>is continuing</w:t>
      </w:r>
      <w:r w:rsidR="009F4EA5" w:rsidRPr="009F4EA5">
        <w:rPr>
          <w:rFonts w:eastAsia="Calibri" w:cs="Arial"/>
        </w:rPr>
        <w:t xml:space="preserve"> to develop</w:t>
      </w:r>
      <w:r w:rsidR="00911511">
        <w:rPr>
          <w:rFonts w:eastAsia="Calibri" w:cs="Arial"/>
        </w:rPr>
        <w:t>.</w:t>
      </w:r>
      <w:r w:rsidR="009F4EA5" w:rsidRPr="009F4EA5">
        <w:rPr>
          <w:rFonts w:eastAsia="Calibri" w:cs="Arial"/>
        </w:rPr>
        <w:t xml:space="preserve"> </w:t>
      </w:r>
      <w:r w:rsidR="00911511">
        <w:rPr>
          <w:rFonts w:eastAsia="Calibri" w:cs="Arial"/>
        </w:rPr>
        <w:t>This is reflected in</w:t>
      </w:r>
      <w:r w:rsidR="003F7009">
        <w:rPr>
          <w:rFonts w:eastAsia="Calibri" w:cs="Arial"/>
        </w:rPr>
        <w:t xml:space="preserve"> more</w:t>
      </w:r>
      <w:r w:rsidR="009F4EA5" w:rsidRPr="009F4EA5">
        <w:rPr>
          <w:rFonts w:eastAsia="Calibri" w:cs="Arial"/>
        </w:rPr>
        <w:t xml:space="preserve"> amendments</w:t>
      </w:r>
      <w:r w:rsidR="003F7009">
        <w:rPr>
          <w:rFonts w:eastAsia="Calibri" w:cs="Arial"/>
        </w:rPr>
        <w:t xml:space="preserve"> being</w:t>
      </w:r>
      <w:r w:rsidR="009F4EA5" w:rsidRPr="009F4EA5">
        <w:rPr>
          <w:rFonts w:eastAsia="Calibri" w:cs="Arial"/>
        </w:rPr>
        <w:t xml:space="preserve"> made to </w:t>
      </w:r>
      <w:r w:rsidR="00A208B8">
        <w:rPr>
          <w:rFonts w:eastAsia="Calibri" w:cs="Arial"/>
        </w:rPr>
        <w:t>B</w:t>
      </w:r>
      <w:r w:rsidR="009F4EA5" w:rsidRPr="009F4EA5">
        <w:rPr>
          <w:rFonts w:eastAsia="Calibri" w:cs="Arial"/>
        </w:rPr>
        <w:t>ills to address human rights concerns</w:t>
      </w:r>
      <w:r w:rsidR="003F7009">
        <w:rPr>
          <w:rFonts w:eastAsia="Calibri" w:cs="Arial"/>
        </w:rPr>
        <w:t xml:space="preserve"> raised through the scrutiny process</w:t>
      </w:r>
      <w:r w:rsidR="009F4EA5" w:rsidRPr="009F4EA5">
        <w:rPr>
          <w:rFonts w:eastAsia="Calibri" w:cs="Arial"/>
        </w:rPr>
        <w:t>. It remains a positive feature of the Queensland Parliament’s process that Committees</w:t>
      </w:r>
      <w:r w:rsidR="003F7009">
        <w:rPr>
          <w:rFonts w:eastAsia="Calibri" w:cs="Arial"/>
        </w:rPr>
        <w:t xml:space="preserve"> continue to</w:t>
      </w:r>
      <w:r w:rsidR="009F4EA5" w:rsidRPr="009F4EA5">
        <w:rPr>
          <w:rFonts w:eastAsia="Calibri" w:cs="Arial"/>
        </w:rPr>
        <w:t xml:space="preserve"> collate and publish additional information</w:t>
      </w:r>
      <w:r w:rsidR="003F7009">
        <w:rPr>
          <w:rFonts w:eastAsia="Calibri" w:cs="Arial"/>
        </w:rPr>
        <w:t xml:space="preserve"> about compatibility obtained</w:t>
      </w:r>
      <w:r w:rsidR="009F4EA5" w:rsidRPr="009F4EA5">
        <w:rPr>
          <w:rFonts w:eastAsia="Calibri" w:cs="Arial"/>
        </w:rPr>
        <w:t xml:space="preserve"> through the inquiry process. </w:t>
      </w:r>
    </w:p>
    <w:p w14:paraId="7FC9A54F" w14:textId="6C12F531" w:rsidR="009F4EA5" w:rsidRPr="009F4EA5" w:rsidRDefault="009F4EA5" w:rsidP="009F4EA5">
      <w:pPr>
        <w:keepLines/>
        <w:widowControl w:val="0"/>
        <w:rPr>
          <w:rFonts w:eastAsia="Calibri" w:cs="Arial"/>
        </w:rPr>
      </w:pPr>
      <w:r w:rsidRPr="009F4EA5">
        <w:rPr>
          <w:rFonts w:eastAsia="Calibri" w:cs="Arial"/>
        </w:rPr>
        <w:t>Committees also continue to refine the format and structure of their reports, often extending their consideration of human rights compatibility to all sections of the report</w:t>
      </w:r>
      <w:r w:rsidR="003F7009">
        <w:rPr>
          <w:rFonts w:eastAsia="Calibri" w:cs="Arial"/>
        </w:rPr>
        <w:t xml:space="preserve"> and including graphical analysis of human rights limitations and justifications</w:t>
      </w:r>
      <w:r w:rsidRPr="009F4EA5">
        <w:rPr>
          <w:rFonts w:eastAsia="Calibri" w:cs="Arial"/>
        </w:rPr>
        <w:t>.</w:t>
      </w:r>
      <w:r w:rsidR="00376632">
        <w:rPr>
          <w:rStyle w:val="FootnoteReference"/>
          <w:rFonts w:eastAsia="Calibri" w:cs="Arial"/>
        </w:rPr>
        <w:footnoteReference w:id="52"/>
      </w:r>
      <w:r w:rsidRPr="009F4EA5">
        <w:rPr>
          <w:rFonts w:eastAsia="Calibri" w:cs="Arial"/>
        </w:rPr>
        <w:t xml:space="preserve"> </w:t>
      </w:r>
    </w:p>
    <w:p w14:paraId="75D7D157" w14:textId="5CDD418E" w:rsidR="009F4EA5" w:rsidRPr="009F4EA5" w:rsidRDefault="003F7009" w:rsidP="009F4EA5">
      <w:pPr>
        <w:keepLines/>
        <w:widowControl w:val="0"/>
        <w:rPr>
          <w:rFonts w:eastAsia="Calibri" w:cs="Arial"/>
        </w:rPr>
      </w:pPr>
      <w:r>
        <w:rPr>
          <w:rFonts w:eastAsia="Calibri" w:cs="Arial"/>
        </w:rPr>
        <w:t xml:space="preserve">During </w:t>
      </w:r>
      <w:r w:rsidR="00B52994">
        <w:rPr>
          <w:rFonts w:eastAsia="Calibri" w:cs="Arial"/>
        </w:rPr>
        <w:t>the</w:t>
      </w:r>
      <w:r>
        <w:rPr>
          <w:rFonts w:eastAsia="Calibri" w:cs="Arial"/>
        </w:rPr>
        <w:t xml:space="preserve"> reporting period, </w:t>
      </w:r>
      <w:r w:rsidR="009F4EA5" w:rsidRPr="009F4EA5">
        <w:rPr>
          <w:rFonts w:eastAsia="Calibri" w:cs="Arial"/>
        </w:rPr>
        <w:t xml:space="preserve">Committees also made more recommendations to improve </w:t>
      </w:r>
      <w:r w:rsidR="00D26167">
        <w:rPr>
          <w:rFonts w:eastAsia="Calibri" w:cs="Arial"/>
        </w:rPr>
        <w:t>B</w:t>
      </w:r>
      <w:r w:rsidR="009F4EA5" w:rsidRPr="009F4EA5">
        <w:rPr>
          <w:rFonts w:eastAsia="Calibri" w:cs="Arial"/>
        </w:rPr>
        <w:t>ills and statements of compatibility</w:t>
      </w:r>
      <w:r w:rsidR="00B52994">
        <w:rPr>
          <w:rFonts w:eastAsia="Calibri" w:cs="Arial"/>
        </w:rPr>
        <w:t xml:space="preserve"> based on human rights considerations</w:t>
      </w:r>
      <w:r w:rsidR="009F4EA5" w:rsidRPr="009F4EA5">
        <w:rPr>
          <w:rFonts w:eastAsia="Calibri" w:cs="Arial"/>
        </w:rPr>
        <w:t xml:space="preserve">. The government generally accepted these recommendations </w:t>
      </w:r>
      <w:r w:rsidR="00F2494D">
        <w:rPr>
          <w:rFonts w:eastAsia="Calibri" w:cs="Arial"/>
        </w:rPr>
        <w:t>and made some</w:t>
      </w:r>
      <w:r w:rsidR="009F4EA5" w:rsidRPr="009F4EA5">
        <w:rPr>
          <w:rFonts w:eastAsia="Calibri" w:cs="Arial"/>
        </w:rPr>
        <w:t xml:space="preserve"> amendments. In one case,</w:t>
      </w:r>
      <w:r>
        <w:rPr>
          <w:rFonts w:eastAsia="Calibri" w:cs="Arial"/>
        </w:rPr>
        <w:t xml:space="preserve"> in response to issues raised during the inquiry process,</w:t>
      </w:r>
      <w:r w:rsidR="009F4EA5" w:rsidRPr="009F4EA5">
        <w:rPr>
          <w:rFonts w:eastAsia="Calibri" w:cs="Arial"/>
        </w:rPr>
        <w:t xml:space="preserve"> the relevant department agreed to amend a </w:t>
      </w:r>
      <w:r w:rsidR="006C2D3B">
        <w:rPr>
          <w:rFonts w:eastAsia="Calibri" w:cs="Arial"/>
        </w:rPr>
        <w:t>B</w:t>
      </w:r>
      <w:r w:rsidR="009F4EA5" w:rsidRPr="009F4EA5">
        <w:rPr>
          <w:rFonts w:eastAsia="Calibri" w:cs="Arial"/>
        </w:rPr>
        <w:t xml:space="preserve">ill </w:t>
      </w:r>
      <w:r w:rsidR="007263D9">
        <w:rPr>
          <w:rFonts w:eastAsia="Calibri" w:cs="Arial"/>
        </w:rPr>
        <w:t xml:space="preserve">after reading stakeholder submissions, even </w:t>
      </w:r>
      <w:r>
        <w:rPr>
          <w:rFonts w:eastAsia="Calibri" w:cs="Arial"/>
        </w:rPr>
        <w:t>before the committee report</w:t>
      </w:r>
      <w:r w:rsidR="00F2494D">
        <w:rPr>
          <w:rFonts w:eastAsia="Calibri" w:cs="Arial"/>
        </w:rPr>
        <w:t xml:space="preserve"> was published</w:t>
      </w:r>
      <w:r w:rsidR="009F4EA5" w:rsidRPr="009F4EA5">
        <w:rPr>
          <w:rFonts w:eastAsia="Calibri" w:cs="Arial"/>
        </w:rPr>
        <w:t>.</w:t>
      </w:r>
      <w:r w:rsidR="009F4EA5" w:rsidRPr="009F4EA5">
        <w:rPr>
          <w:rFonts w:eastAsia="Calibri" w:cs="Times New Roman"/>
          <w:vertAlign w:val="superscript"/>
        </w:rPr>
        <w:footnoteReference w:id="53"/>
      </w:r>
      <w:r w:rsidR="009F4EA5" w:rsidRPr="009F4EA5">
        <w:rPr>
          <w:rFonts w:eastAsia="Calibri" w:cs="Arial"/>
        </w:rPr>
        <w:t xml:space="preserve"> </w:t>
      </w:r>
    </w:p>
    <w:p w14:paraId="7386EA5E" w14:textId="483A24E5" w:rsidR="009F4EA5" w:rsidRPr="009F4EA5" w:rsidRDefault="00A81D65" w:rsidP="009F4EA5">
      <w:pPr>
        <w:keepLines/>
        <w:widowControl w:val="0"/>
        <w:rPr>
          <w:rFonts w:eastAsia="Calibri" w:cs="Arial"/>
        </w:rPr>
      </w:pPr>
      <w:r>
        <w:rPr>
          <w:rFonts w:eastAsia="Calibri" w:cs="Arial"/>
        </w:rPr>
        <w:t>S</w:t>
      </w:r>
      <w:r w:rsidR="009F4EA5" w:rsidRPr="009F4EA5">
        <w:rPr>
          <w:rFonts w:eastAsia="Calibri" w:cs="Arial"/>
        </w:rPr>
        <w:t xml:space="preserve">ome </w:t>
      </w:r>
      <w:r w:rsidR="004935F7">
        <w:rPr>
          <w:rFonts w:eastAsia="Calibri" w:cs="Arial"/>
        </w:rPr>
        <w:t>Committee</w:t>
      </w:r>
      <w:r w:rsidR="009F4EA5" w:rsidRPr="009F4EA5">
        <w:rPr>
          <w:rFonts w:eastAsia="Calibri" w:cs="Arial"/>
        </w:rPr>
        <w:t xml:space="preserve"> recommendations required only clarification of an issue</w:t>
      </w:r>
      <w:r w:rsidR="009E7505">
        <w:rPr>
          <w:rFonts w:eastAsia="Calibri" w:cs="Arial"/>
        </w:rPr>
        <w:t xml:space="preserve"> rather than </w:t>
      </w:r>
      <w:r w:rsidR="00911D2E">
        <w:rPr>
          <w:rFonts w:eastAsia="Calibri" w:cs="Arial"/>
        </w:rPr>
        <w:t xml:space="preserve">proposing </w:t>
      </w:r>
      <w:r w:rsidR="009E7505">
        <w:rPr>
          <w:rFonts w:eastAsia="Calibri" w:cs="Arial"/>
        </w:rPr>
        <w:t>an amendment</w:t>
      </w:r>
      <w:r w:rsidR="005B411D">
        <w:rPr>
          <w:rFonts w:eastAsia="Calibri" w:cs="Arial"/>
        </w:rPr>
        <w:t>, while</w:t>
      </w:r>
      <w:r w:rsidR="009F4EA5" w:rsidRPr="009F4EA5">
        <w:rPr>
          <w:rFonts w:eastAsia="Calibri" w:cs="Arial"/>
        </w:rPr>
        <w:t xml:space="preserve"> </w:t>
      </w:r>
      <w:r w:rsidR="00EA6D8E">
        <w:rPr>
          <w:rFonts w:eastAsia="Calibri" w:cs="Arial"/>
        </w:rPr>
        <w:t xml:space="preserve">other </w:t>
      </w:r>
      <w:r w:rsidR="009F4EA5" w:rsidRPr="009F4EA5">
        <w:rPr>
          <w:rFonts w:eastAsia="Calibri" w:cs="Arial"/>
        </w:rPr>
        <w:t>committee reports discuss</w:t>
      </w:r>
      <w:r w:rsidR="00EA6D8E">
        <w:rPr>
          <w:rFonts w:eastAsia="Calibri" w:cs="Arial"/>
        </w:rPr>
        <w:t>ed</w:t>
      </w:r>
      <w:r w:rsidR="009F4EA5" w:rsidRPr="009F4EA5">
        <w:rPr>
          <w:rFonts w:eastAsia="Calibri" w:cs="Arial"/>
        </w:rPr>
        <w:t xml:space="preserve"> human rights concerns but </w:t>
      </w:r>
      <w:r w:rsidR="003A4024">
        <w:rPr>
          <w:rFonts w:eastAsia="Calibri" w:cs="Arial"/>
        </w:rPr>
        <w:t xml:space="preserve">did </w:t>
      </w:r>
      <w:r w:rsidR="009F4EA5" w:rsidRPr="009F4EA5">
        <w:rPr>
          <w:rFonts w:eastAsia="Calibri" w:cs="Arial"/>
        </w:rPr>
        <w:t>not mak</w:t>
      </w:r>
      <w:r w:rsidR="003A4024">
        <w:rPr>
          <w:rFonts w:eastAsia="Calibri" w:cs="Arial"/>
        </w:rPr>
        <w:t>e</w:t>
      </w:r>
      <w:r w:rsidR="009F4EA5" w:rsidRPr="009F4EA5">
        <w:rPr>
          <w:rFonts w:eastAsia="Calibri" w:cs="Arial"/>
        </w:rPr>
        <w:t xml:space="preserve"> recommendations, and therefore a formal response</w:t>
      </w:r>
      <w:r w:rsidR="003A4024">
        <w:rPr>
          <w:rFonts w:eastAsia="Calibri" w:cs="Arial"/>
        </w:rPr>
        <w:t xml:space="preserve"> was not required</w:t>
      </w:r>
      <w:r w:rsidR="009F4EA5" w:rsidRPr="009F4EA5">
        <w:rPr>
          <w:rFonts w:eastAsia="Calibri" w:cs="Arial"/>
        </w:rPr>
        <w:t xml:space="preserve"> from government. </w:t>
      </w:r>
      <w:r w:rsidR="004935F7">
        <w:rPr>
          <w:rFonts w:eastAsia="Calibri" w:cs="Arial"/>
        </w:rPr>
        <w:t xml:space="preserve">This meant that some human rights compatibility </w:t>
      </w:r>
      <w:r w:rsidR="00BB6E58">
        <w:rPr>
          <w:rFonts w:eastAsia="Calibri" w:cs="Arial"/>
        </w:rPr>
        <w:t xml:space="preserve">issues </w:t>
      </w:r>
      <w:r w:rsidR="004935F7">
        <w:rPr>
          <w:rFonts w:eastAsia="Calibri" w:cs="Arial"/>
        </w:rPr>
        <w:t xml:space="preserve">went unaddressed, and the </w:t>
      </w:r>
      <w:r w:rsidR="00BB6E58">
        <w:rPr>
          <w:rFonts w:eastAsia="Calibri" w:cs="Arial"/>
        </w:rPr>
        <w:t>B</w:t>
      </w:r>
      <w:r w:rsidR="004935F7">
        <w:rPr>
          <w:rFonts w:eastAsia="Calibri" w:cs="Arial"/>
        </w:rPr>
        <w:t xml:space="preserve">ills were passed </w:t>
      </w:r>
      <w:r w:rsidR="00BB6E58">
        <w:rPr>
          <w:rFonts w:eastAsia="Calibri" w:cs="Arial"/>
        </w:rPr>
        <w:t xml:space="preserve">despite </w:t>
      </w:r>
      <w:r w:rsidR="004935F7">
        <w:rPr>
          <w:rFonts w:eastAsia="Calibri" w:cs="Arial"/>
        </w:rPr>
        <w:t>the Committees</w:t>
      </w:r>
      <w:r w:rsidR="00BB6E58">
        <w:rPr>
          <w:rFonts w:eastAsia="Calibri" w:cs="Arial"/>
        </w:rPr>
        <w:t>’</w:t>
      </w:r>
      <w:r w:rsidR="004935F7">
        <w:rPr>
          <w:rFonts w:eastAsia="Calibri" w:cs="Arial"/>
        </w:rPr>
        <w:t xml:space="preserve"> concerns.</w:t>
      </w:r>
      <w:r w:rsidR="00E865C3">
        <w:rPr>
          <w:rFonts w:eastAsia="Calibri" w:cs="Arial"/>
        </w:rPr>
        <w:t xml:space="preserve"> </w:t>
      </w:r>
    </w:p>
    <w:p w14:paraId="7DA147E0" w14:textId="4CBBC3A0" w:rsidR="0086298E" w:rsidRDefault="009F4EA5" w:rsidP="009F4EA5">
      <w:pPr>
        <w:keepLines/>
        <w:widowControl w:val="0"/>
        <w:rPr>
          <w:rFonts w:eastAsia="Calibri" w:cs="Arial"/>
        </w:rPr>
      </w:pPr>
      <w:r w:rsidRPr="009F4EA5">
        <w:rPr>
          <w:rFonts w:eastAsia="Calibri" w:cs="Arial"/>
        </w:rPr>
        <w:t xml:space="preserve">On several occasions, amendments </w:t>
      </w:r>
      <w:r w:rsidR="00D15BD0" w:rsidRPr="009F4EA5">
        <w:rPr>
          <w:rFonts w:eastAsia="Calibri" w:cs="Arial"/>
        </w:rPr>
        <w:t>unrelated to the original subject matter</w:t>
      </w:r>
      <w:r w:rsidR="00794311">
        <w:rPr>
          <w:rFonts w:eastAsia="Calibri" w:cs="Arial"/>
        </w:rPr>
        <w:t xml:space="preserve"> </w:t>
      </w:r>
      <w:r w:rsidR="004308A4">
        <w:rPr>
          <w:rFonts w:eastAsia="Calibri" w:cs="Arial"/>
        </w:rPr>
        <w:t xml:space="preserve">of the Bills </w:t>
      </w:r>
      <w:r w:rsidRPr="009F4EA5">
        <w:rPr>
          <w:rFonts w:eastAsia="Calibri" w:cs="Arial"/>
        </w:rPr>
        <w:t>were made after committees had reported.</w:t>
      </w:r>
      <w:r w:rsidRPr="009F4EA5">
        <w:rPr>
          <w:rFonts w:eastAsia="Calibri" w:cs="Arial"/>
          <w:vertAlign w:val="superscript"/>
        </w:rPr>
        <w:footnoteReference w:id="54"/>
      </w:r>
      <w:r w:rsidRPr="009F4EA5">
        <w:rPr>
          <w:rFonts w:eastAsia="Calibri" w:cs="Arial"/>
        </w:rPr>
        <w:t xml:space="preserve"> </w:t>
      </w:r>
      <w:r w:rsidR="0086298E" w:rsidRPr="0086298E">
        <w:rPr>
          <w:rFonts w:eastAsia="Calibri" w:cs="Arial"/>
        </w:rPr>
        <w:t xml:space="preserve">In past </w:t>
      </w:r>
      <w:r w:rsidR="00794311">
        <w:rPr>
          <w:rFonts w:eastAsia="Calibri" w:cs="Arial"/>
        </w:rPr>
        <w:t>a</w:t>
      </w:r>
      <w:r w:rsidR="0086298E" w:rsidRPr="0086298E">
        <w:rPr>
          <w:rFonts w:eastAsia="Calibri" w:cs="Arial"/>
        </w:rPr>
        <w:t xml:space="preserve">nnual </w:t>
      </w:r>
      <w:r w:rsidR="00794311">
        <w:rPr>
          <w:rFonts w:eastAsia="Calibri" w:cs="Arial"/>
        </w:rPr>
        <w:t>r</w:t>
      </w:r>
      <w:r w:rsidR="0086298E" w:rsidRPr="0086298E">
        <w:rPr>
          <w:rFonts w:eastAsia="Calibri" w:cs="Arial"/>
        </w:rPr>
        <w:t xml:space="preserve">eports, the Commission has raised </w:t>
      </w:r>
      <w:r w:rsidR="0086298E">
        <w:rPr>
          <w:rFonts w:eastAsia="Calibri" w:cs="Arial"/>
        </w:rPr>
        <w:t>concerns</w:t>
      </w:r>
      <w:r w:rsidR="0086298E" w:rsidRPr="0086298E">
        <w:rPr>
          <w:rFonts w:eastAsia="Calibri" w:cs="Arial"/>
        </w:rPr>
        <w:t xml:space="preserve"> regarding this practice. Even though these amendments were accompanied by statements of compatibility, </w:t>
      </w:r>
      <w:r w:rsidR="005C550A">
        <w:rPr>
          <w:rFonts w:eastAsia="Calibri" w:cs="Arial"/>
        </w:rPr>
        <w:t>it is</w:t>
      </w:r>
      <w:r w:rsidR="0086298E" w:rsidRPr="0086298E">
        <w:rPr>
          <w:rFonts w:eastAsia="Calibri" w:cs="Arial"/>
        </w:rPr>
        <w:t xml:space="preserve"> deeply concerning that they were not subject to any scrutiny by a portfolio committee</w:t>
      </w:r>
      <w:r w:rsidR="004308A4">
        <w:rPr>
          <w:rFonts w:eastAsia="Calibri" w:cs="Arial"/>
        </w:rPr>
        <w:t>. This</w:t>
      </w:r>
      <w:r w:rsidR="00D9715F">
        <w:rPr>
          <w:rFonts w:eastAsia="Calibri" w:cs="Arial"/>
        </w:rPr>
        <w:t xml:space="preserve"> raises</w:t>
      </w:r>
      <w:r w:rsidR="0086298E" w:rsidRPr="0086298E">
        <w:rPr>
          <w:rFonts w:eastAsia="Calibri" w:cs="Arial"/>
        </w:rPr>
        <w:t xml:space="preserve"> fundamental questions about the integrity of the legislative process.</w:t>
      </w:r>
    </w:p>
    <w:p w14:paraId="1C9EFC1C" w14:textId="4B821F01" w:rsidR="00B47541" w:rsidRDefault="009F4EA5" w:rsidP="00E0764E">
      <w:pPr>
        <w:keepLines/>
        <w:widowControl w:val="0"/>
        <w:rPr>
          <w:rFonts w:eastAsia="Calibri" w:cs="Arial"/>
        </w:rPr>
      </w:pPr>
      <w:r w:rsidRPr="009F4EA5">
        <w:rPr>
          <w:rFonts w:eastAsia="Calibri" w:cs="Arial"/>
        </w:rPr>
        <w:t>The most concerning development of the year was parliament agreeing to the first override declaration</w:t>
      </w:r>
      <w:r w:rsidR="002F66D2">
        <w:rPr>
          <w:rFonts w:eastAsia="Calibri" w:cs="Arial"/>
        </w:rPr>
        <w:t>s</w:t>
      </w:r>
      <w:r w:rsidRPr="009F4EA5">
        <w:rPr>
          <w:rFonts w:eastAsia="Calibri" w:cs="Arial"/>
        </w:rPr>
        <w:t xml:space="preserve"> under </w:t>
      </w:r>
      <w:r w:rsidR="00EE2BD2">
        <w:rPr>
          <w:rFonts w:eastAsia="Calibri" w:cs="Arial"/>
        </w:rPr>
        <w:t>the Human Rights Act</w:t>
      </w:r>
      <w:r w:rsidRPr="009F4EA5">
        <w:rPr>
          <w:rFonts w:eastAsia="Calibri" w:cs="Arial"/>
        </w:rPr>
        <w:t>. The limited justification for the proposed override</w:t>
      </w:r>
      <w:r w:rsidR="002F66D2">
        <w:rPr>
          <w:rFonts w:eastAsia="Calibri" w:cs="Arial"/>
        </w:rPr>
        <w:t>s</w:t>
      </w:r>
      <w:r w:rsidRPr="009F4EA5">
        <w:rPr>
          <w:rFonts w:eastAsia="Calibri" w:cs="Arial"/>
        </w:rPr>
        <w:t>, coupled with confusion through the parliamentary process as to how the declaration</w:t>
      </w:r>
      <w:r w:rsidR="002F66D2">
        <w:rPr>
          <w:rFonts w:eastAsia="Calibri" w:cs="Arial"/>
        </w:rPr>
        <w:t>s</w:t>
      </w:r>
      <w:r w:rsidRPr="009F4EA5">
        <w:rPr>
          <w:rFonts w:eastAsia="Calibri" w:cs="Arial"/>
        </w:rPr>
        <w:t xml:space="preserve"> </w:t>
      </w:r>
      <w:r w:rsidR="002F66D2">
        <w:rPr>
          <w:rFonts w:eastAsia="Calibri" w:cs="Arial"/>
        </w:rPr>
        <w:t>are</w:t>
      </w:r>
      <w:r w:rsidR="002F66D2" w:rsidRPr="009F4EA5">
        <w:rPr>
          <w:rFonts w:eastAsia="Calibri" w:cs="Arial"/>
        </w:rPr>
        <w:t xml:space="preserve"> </w:t>
      </w:r>
      <w:r w:rsidRPr="009F4EA5">
        <w:rPr>
          <w:rFonts w:eastAsia="Calibri" w:cs="Arial"/>
        </w:rPr>
        <w:t>made</w:t>
      </w:r>
      <w:r w:rsidR="00670BAB">
        <w:rPr>
          <w:rFonts w:eastAsia="Calibri" w:cs="Arial"/>
        </w:rPr>
        <w:t xml:space="preserve"> should prompt consideration about whether</w:t>
      </w:r>
      <w:r w:rsidR="00051749">
        <w:rPr>
          <w:rFonts w:eastAsia="Calibri" w:cs="Arial"/>
        </w:rPr>
        <w:t xml:space="preserve"> this </w:t>
      </w:r>
      <w:r w:rsidR="00670BAB">
        <w:rPr>
          <w:rFonts w:eastAsia="Calibri" w:cs="Arial"/>
        </w:rPr>
        <w:t>option should be removed</w:t>
      </w:r>
      <w:r w:rsidRPr="009F4EA5">
        <w:rPr>
          <w:rFonts w:eastAsia="Calibri" w:cs="Arial"/>
        </w:rPr>
        <w:t xml:space="preserve"> from </w:t>
      </w:r>
      <w:r w:rsidR="00EE2BD2">
        <w:rPr>
          <w:rFonts w:eastAsia="Calibri" w:cs="Arial"/>
        </w:rPr>
        <w:t>the Act</w:t>
      </w:r>
      <w:r w:rsidRPr="009F4EA5">
        <w:rPr>
          <w:rFonts w:eastAsia="Calibri" w:cs="Arial"/>
        </w:rPr>
        <w:t xml:space="preserve">. </w:t>
      </w:r>
    </w:p>
    <w:p w14:paraId="134FD3BB" w14:textId="1D39993B" w:rsidR="0069437F" w:rsidRPr="00E0764E" w:rsidRDefault="00E0764E" w:rsidP="00E0764E">
      <w:pPr>
        <w:keepLines/>
        <w:widowControl w:val="0"/>
        <w:rPr>
          <w:rFonts w:eastAsia="Calibri" w:cs="Arial"/>
        </w:rPr>
      </w:pPr>
      <w:r>
        <w:rPr>
          <w:rFonts w:eastAsia="Calibri" w:cs="Arial"/>
        </w:rPr>
        <w:t>Where a</w:t>
      </w:r>
      <w:r w:rsidR="00A20779">
        <w:rPr>
          <w:rFonts w:eastAsia="Calibri" w:cs="Arial"/>
        </w:rPr>
        <w:t>n override declaration is made, the relevant legislation or provisions</w:t>
      </w:r>
      <w:r w:rsidR="009169DF">
        <w:rPr>
          <w:rFonts w:eastAsia="Calibri" w:cs="Arial"/>
        </w:rPr>
        <w:t xml:space="preserve"> subject to the override</w:t>
      </w:r>
      <w:r w:rsidR="00A20779">
        <w:rPr>
          <w:rFonts w:eastAsia="Calibri" w:cs="Arial"/>
        </w:rPr>
        <w:t xml:space="preserve"> do not </w:t>
      </w:r>
      <w:r w:rsidR="00B15785">
        <w:rPr>
          <w:rFonts w:eastAsia="Calibri" w:cs="Arial"/>
        </w:rPr>
        <w:t xml:space="preserve">undergo any scrutiny by </w:t>
      </w:r>
      <w:r w:rsidR="00882ED3">
        <w:rPr>
          <w:rFonts w:eastAsia="Calibri" w:cs="Arial"/>
        </w:rPr>
        <w:t>c</w:t>
      </w:r>
      <w:r w:rsidR="00B15785">
        <w:rPr>
          <w:rFonts w:eastAsia="Calibri" w:cs="Arial"/>
        </w:rPr>
        <w:t xml:space="preserve">ommittees, and stakeholders have no opportunity for input. </w:t>
      </w:r>
      <w:r w:rsidR="00322EFE">
        <w:rPr>
          <w:rFonts w:eastAsia="Calibri" w:cs="Arial"/>
        </w:rPr>
        <w:t>A key benefit to removing</w:t>
      </w:r>
      <w:r w:rsidR="00882ED3">
        <w:rPr>
          <w:rFonts w:eastAsia="Calibri" w:cs="Arial"/>
        </w:rPr>
        <w:t xml:space="preserve"> </w:t>
      </w:r>
      <w:r w:rsidR="00EE2BD2">
        <w:rPr>
          <w:rFonts w:eastAsia="Calibri" w:cs="Arial"/>
        </w:rPr>
        <w:t>the Human Rights Act</w:t>
      </w:r>
      <w:r w:rsidR="00882ED3">
        <w:rPr>
          <w:rFonts w:eastAsia="Calibri" w:cs="Arial"/>
        </w:rPr>
        <w:t>’s</w:t>
      </w:r>
      <w:r w:rsidR="00601677">
        <w:rPr>
          <w:rFonts w:eastAsia="Calibri" w:cs="Arial"/>
        </w:rPr>
        <w:t xml:space="preserve"> override </w:t>
      </w:r>
      <w:r w:rsidR="003E3105">
        <w:rPr>
          <w:rFonts w:eastAsia="Calibri" w:cs="Arial"/>
        </w:rPr>
        <w:t>provision</w:t>
      </w:r>
      <w:r w:rsidR="00320D33">
        <w:rPr>
          <w:rFonts w:eastAsia="Calibri" w:cs="Arial"/>
        </w:rPr>
        <w:t xml:space="preserve"> </w:t>
      </w:r>
      <w:r w:rsidR="00322EFE">
        <w:rPr>
          <w:rFonts w:eastAsia="Calibri" w:cs="Arial"/>
        </w:rPr>
        <w:t xml:space="preserve">would </w:t>
      </w:r>
      <w:r w:rsidR="003E3105">
        <w:rPr>
          <w:rFonts w:eastAsia="Calibri" w:cs="Arial"/>
        </w:rPr>
        <w:t xml:space="preserve">be </w:t>
      </w:r>
      <w:r w:rsidR="00322EFE">
        <w:rPr>
          <w:rFonts w:eastAsia="Calibri" w:cs="Arial"/>
        </w:rPr>
        <w:t>ensuring the continued scrutiny of all legislation including those laws which</w:t>
      </w:r>
      <w:r w:rsidR="003E3105">
        <w:rPr>
          <w:rFonts w:eastAsia="Calibri" w:cs="Arial"/>
        </w:rPr>
        <w:t xml:space="preserve"> parliament </w:t>
      </w:r>
      <w:r w:rsidR="00322EFE">
        <w:rPr>
          <w:rFonts w:eastAsia="Calibri" w:cs="Arial"/>
        </w:rPr>
        <w:t>has conceded are</w:t>
      </w:r>
      <w:r w:rsidR="003E3105">
        <w:rPr>
          <w:rFonts w:eastAsia="Calibri" w:cs="Arial"/>
        </w:rPr>
        <w:t xml:space="preserve"> incompatible with human rights</w:t>
      </w:r>
      <w:r>
        <w:rPr>
          <w:rFonts w:eastAsia="Calibri" w:cs="Arial"/>
        </w:rPr>
        <w:t>.</w:t>
      </w:r>
    </w:p>
    <w:p w14:paraId="7D8C7E76" w14:textId="6A5BE20B" w:rsidR="00322EFE" w:rsidRPr="00E0764E" w:rsidRDefault="00322EFE" w:rsidP="00E0764E">
      <w:pPr>
        <w:keepLines/>
        <w:widowControl w:val="0"/>
        <w:rPr>
          <w:rFonts w:eastAsia="Calibri" w:cs="Arial"/>
        </w:rPr>
      </w:pPr>
      <w:r>
        <w:rPr>
          <w:rFonts w:eastAsia="Calibri" w:cs="Arial"/>
        </w:rPr>
        <w:t xml:space="preserve">However, the effect of removing the override provision from the Act would need to be closely evaluated, particularly considering that the benefit of the current framework </w:t>
      </w:r>
      <w:r w:rsidR="001A352B">
        <w:rPr>
          <w:rFonts w:eastAsia="Calibri" w:cs="Arial"/>
        </w:rPr>
        <w:t>is that overrides</w:t>
      </w:r>
      <w:r>
        <w:rPr>
          <w:rFonts w:eastAsia="Calibri" w:cs="Arial"/>
        </w:rPr>
        <w:t xml:space="preserve"> expire automatically after 5 years. This prompts parliament to periodically reassess whether the crisis justifying the override</w:t>
      </w:r>
      <w:r w:rsidR="000B44A7">
        <w:rPr>
          <w:rFonts w:eastAsia="Calibri" w:cs="Arial"/>
        </w:rPr>
        <w:t xml:space="preserve"> declaration</w:t>
      </w:r>
      <w:r>
        <w:rPr>
          <w:rFonts w:eastAsia="Calibri" w:cs="Arial"/>
        </w:rPr>
        <w:t xml:space="preserve"> still prevails.</w:t>
      </w:r>
    </w:p>
    <w:p w14:paraId="482AF5BC" w14:textId="77777777" w:rsidR="00042A32" w:rsidRDefault="00042A32">
      <w:pPr>
        <w:spacing w:after="160" w:line="259" w:lineRule="auto"/>
        <w:ind w:right="0"/>
        <w:rPr>
          <w:rFonts w:eastAsiaTheme="majorEastAsia" w:cstheme="majorBidi"/>
          <w:iCs/>
          <w:color w:val="FFFFFF" w:themeColor="background1"/>
          <w:sz w:val="96"/>
          <w:szCs w:val="72"/>
        </w:rPr>
      </w:pPr>
      <w:bookmarkStart w:id="307" w:name="_Toc110506629"/>
      <w:bookmarkStart w:id="308" w:name="_Toc1501804119"/>
      <w:r>
        <w:br w:type="page"/>
      </w:r>
    </w:p>
    <w:p w14:paraId="3BDA56FD" w14:textId="3FE0A55F" w:rsidR="00042A32" w:rsidRDefault="00D02D5B" w:rsidP="00042A32">
      <w:r w:rsidRPr="00CA5DA3">
        <w:rPr>
          <w:noProof/>
          <w:color w:val="2B579A"/>
          <w:shd w:val="clear" w:color="auto" w:fill="E6E6E6"/>
          <w:lang w:eastAsia="en-AU"/>
        </w:rPr>
        <w:drawing>
          <wp:anchor distT="0" distB="0" distL="114300" distR="114300" simplePos="0" relativeHeight="251658261" behindDoc="1" locked="0" layoutInCell="1" allowOverlap="1" wp14:anchorId="467A496F" wp14:editId="21BD5693">
            <wp:simplePos x="0" y="0"/>
            <wp:positionH relativeFrom="page">
              <wp:posOffset>7258050</wp:posOffset>
            </wp:positionH>
            <wp:positionV relativeFrom="paragraph">
              <wp:posOffset>-952500</wp:posOffset>
            </wp:positionV>
            <wp:extent cx="370205" cy="10758829"/>
            <wp:effectExtent l="0" t="0" r="0" b="4445"/>
            <wp:wrapNone/>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0214" cy="10759094"/>
                    </a:xfrm>
                    <a:prstGeom prst="rect">
                      <a:avLst/>
                    </a:prstGeom>
                    <a:noFill/>
                    <a:ln>
                      <a:noFill/>
                    </a:ln>
                  </pic:spPr>
                </pic:pic>
              </a:graphicData>
            </a:graphic>
            <wp14:sizeRelH relativeFrom="page">
              <wp14:pctWidth>0</wp14:pctWidth>
            </wp14:sizeRelH>
            <wp14:sizeRelV relativeFrom="page">
              <wp14:pctHeight>0</wp14:pctHeight>
            </wp14:sizeRelV>
          </wp:anchor>
        </w:drawing>
      </w:r>
      <w:r w:rsidR="00A578D4">
        <w:rPr>
          <w:noProof/>
          <w:color w:val="2B579A"/>
          <w:shd w:val="clear" w:color="auto" w:fill="E6E6E6"/>
          <w:lang w:eastAsia="en-AU"/>
        </w:rPr>
        <w:drawing>
          <wp:anchor distT="0" distB="0" distL="114300" distR="114300" simplePos="0" relativeHeight="251658244" behindDoc="1" locked="0" layoutInCell="1" allowOverlap="1" wp14:anchorId="03265621" wp14:editId="58DE5DA4">
            <wp:simplePos x="0" y="0"/>
            <wp:positionH relativeFrom="page">
              <wp:posOffset>0</wp:posOffset>
            </wp:positionH>
            <wp:positionV relativeFrom="paragraph">
              <wp:posOffset>-902525</wp:posOffset>
            </wp:positionV>
            <wp:extent cx="7467600" cy="10667412"/>
            <wp:effectExtent l="0" t="0" r="0" b="635"/>
            <wp:wrapNone/>
            <wp:docPr id="43" name="Picture 43" descr="Entrance to a court building - most of the focus is on the building's pillars out the front, with a blue and brass light in the foreg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Entrance to a court building - most of the focus is on the building's pillars out the front, with a blue and brass light in the foreground. "/>
                    <pic:cNvPicPr/>
                  </pic:nvPicPr>
                  <pic:blipFill rotWithShape="1">
                    <a:blip r:embed="rId25" cstate="print">
                      <a:extLst>
                        <a:ext uri="{28A0092B-C50C-407E-A947-70E740481C1C}">
                          <a14:useLocalDpi xmlns:a14="http://schemas.microsoft.com/office/drawing/2010/main" val="0"/>
                        </a:ext>
                      </a:extLst>
                    </a:blip>
                    <a:srcRect l="20701" r="32634"/>
                    <a:stretch/>
                  </pic:blipFill>
                  <pic:spPr bwMode="auto">
                    <a:xfrm>
                      <a:off x="0" y="0"/>
                      <a:ext cx="7467600" cy="106674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665E2D" w14:textId="4635B505" w:rsidR="00042A32" w:rsidRDefault="00042A32" w:rsidP="00042A32"/>
    <w:p w14:paraId="0B79273B" w14:textId="28AD8793" w:rsidR="00042A32" w:rsidRDefault="00042A32" w:rsidP="00042A32"/>
    <w:p w14:paraId="308387AA" w14:textId="12B7A364" w:rsidR="00042A32" w:rsidRDefault="00042A32" w:rsidP="00042A32"/>
    <w:p w14:paraId="10EAC0EF" w14:textId="6A8F769B" w:rsidR="00042A32" w:rsidRDefault="00042A32" w:rsidP="00042A32"/>
    <w:p w14:paraId="073E9133" w14:textId="00D95A28" w:rsidR="00042A32" w:rsidRDefault="00042A32" w:rsidP="00042A32"/>
    <w:p w14:paraId="0845F6AD" w14:textId="78DDC000" w:rsidR="00042A32" w:rsidRDefault="00042A32" w:rsidP="00042A32"/>
    <w:p w14:paraId="7A2B2F62" w14:textId="77777777" w:rsidR="00042A32" w:rsidRDefault="00042A32" w:rsidP="00042A32"/>
    <w:p w14:paraId="0FE9EF25" w14:textId="77777777" w:rsidR="00042A32" w:rsidRDefault="00042A32" w:rsidP="00042A32"/>
    <w:p w14:paraId="79D3CE22" w14:textId="77777777" w:rsidR="00042A32" w:rsidRDefault="00042A32" w:rsidP="00042A32"/>
    <w:p w14:paraId="58FAEB82" w14:textId="77777777" w:rsidR="00042A32" w:rsidRDefault="00042A32" w:rsidP="00042A32"/>
    <w:p w14:paraId="3332EA41" w14:textId="77777777" w:rsidR="00042A32" w:rsidRDefault="00042A32" w:rsidP="00042A32"/>
    <w:p w14:paraId="2C4DAAC1" w14:textId="77777777" w:rsidR="00042A32" w:rsidRDefault="00042A32" w:rsidP="00042A32"/>
    <w:p w14:paraId="1FCB27D4" w14:textId="77777777" w:rsidR="00042A32" w:rsidRDefault="00042A32" w:rsidP="00042A32"/>
    <w:p w14:paraId="1F7249CD" w14:textId="2287C5CB" w:rsidR="00042A32" w:rsidRDefault="00CA5DA3" w:rsidP="00042A32">
      <w:r w:rsidRPr="00CA5DA3">
        <w:rPr>
          <w:noProof/>
          <w:color w:val="2B579A"/>
          <w:shd w:val="clear" w:color="auto" w:fill="E6E6E6"/>
          <w:lang w:eastAsia="en-AU"/>
        </w:rPr>
        <mc:AlternateContent>
          <mc:Choice Requires="wps">
            <w:drawing>
              <wp:anchor distT="0" distB="0" distL="114300" distR="114300" simplePos="0" relativeHeight="251658252" behindDoc="1" locked="0" layoutInCell="1" allowOverlap="1" wp14:anchorId="65F6480E" wp14:editId="6BDD862C">
                <wp:simplePos x="0" y="0"/>
                <wp:positionH relativeFrom="page">
                  <wp:posOffset>-19050</wp:posOffset>
                </wp:positionH>
                <wp:positionV relativeFrom="paragraph">
                  <wp:posOffset>370205</wp:posOffset>
                </wp:positionV>
                <wp:extent cx="5372100" cy="723900"/>
                <wp:effectExtent l="0" t="0" r="0" b="0"/>
                <wp:wrapNone/>
                <wp:docPr id="20" name="Rectangle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372100" cy="723900"/>
                        </a:xfrm>
                        <a:prstGeom prst="rect">
                          <a:avLst/>
                        </a:prstGeom>
                        <a:solidFill>
                          <a:srgbClr val="00427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9531091" id="Rectangle 20" o:spid="_x0000_s1026" alt="&quot;&quot;" style="position:absolute;margin-left:-1.5pt;margin-top:29.15pt;width:423pt;height:57pt;z-index:-2516582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" fillcolor="#004270" stroked="f" strokeweight="1pt">
                <w10:wrap anchorx="page"/>
              </v:rect>
            </w:pict>
          </mc:Fallback>
        </mc:AlternateContent>
      </w:r>
    </w:p>
    <w:bookmarkStart w:id="309" w:name="_Toc117697147"/>
    <w:bookmarkStart w:id="310" w:name="_Toc147757298"/>
    <w:bookmarkStart w:id="311" w:name="_Toc148086919"/>
    <w:p w14:paraId="28FB5E03" w14:textId="5EE8C2D8" w:rsidR="005F552A" w:rsidRDefault="00042A32" w:rsidP="0069437F">
      <w:pPr>
        <w:pStyle w:val="Sectiontitle"/>
      </w:pPr>
      <w:r w:rsidRPr="00CA5DA3">
        <w:rPr>
          <w:noProof/>
          <w:color w:val="2B579A"/>
          <w:shd w:val="clear" w:color="auto" w:fill="E6E6E6"/>
          <w:lang w:eastAsia="en-AU"/>
        </w:rPr>
        <mc:AlternateContent>
          <mc:Choice Requires="wps">
            <w:drawing>
              <wp:anchor distT="0" distB="0" distL="114300" distR="114300" simplePos="0" relativeHeight="251658251" behindDoc="1" locked="0" layoutInCell="1" allowOverlap="1" wp14:anchorId="00FFC6D3" wp14:editId="2C714404">
                <wp:simplePos x="0" y="0"/>
                <wp:positionH relativeFrom="page">
                  <wp:posOffset>-19050</wp:posOffset>
                </wp:positionH>
                <wp:positionV relativeFrom="paragraph">
                  <wp:posOffset>893445</wp:posOffset>
                </wp:positionV>
                <wp:extent cx="6496050" cy="723900"/>
                <wp:effectExtent l="0" t="0" r="0" b="0"/>
                <wp:wrapNone/>
                <wp:docPr id="19" name="Rectangle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96050" cy="723900"/>
                        </a:xfrm>
                        <a:prstGeom prst="rect">
                          <a:avLst/>
                        </a:prstGeom>
                        <a:solidFill>
                          <a:srgbClr val="00427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D4F3BB5" id="Rectangle 19" o:spid="_x0000_s1026" alt="&quot;&quot;" style="position:absolute;margin-left:-1.5pt;margin-top:70.35pt;width:511.5pt;height:57pt;z-index:-25165822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" fillcolor="#004270" stroked="f" strokeweight="1pt">
                <w10:wrap anchorx="page"/>
              </v:rect>
            </w:pict>
          </mc:Fallback>
        </mc:AlternateContent>
      </w:r>
      <w:r w:rsidR="0069437F">
        <w:t>Human rights in courts and tribunals</w:t>
      </w:r>
      <w:bookmarkEnd w:id="307"/>
      <w:bookmarkEnd w:id="308"/>
      <w:bookmarkEnd w:id="309"/>
      <w:bookmarkEnd w:id="310"/>
      <w:bookmarkEnd w:id="311"/>
    </w:p>
    <w:p w14:paraId="0E6EC48F" w14:textId="0D66CAAC" w:rsidR="005F552A" w:rsidRDefault="005F552A">
      <w:pPr>
        <w:spacing w:after="160" w:line="259" w:lineRule="auto"/>
        <w:ind w:right="0"/>
        <w:rPr>
          <w:rFonts w:eastAsiaTheme="majorEastAsia" w:cstheme="majorBidi"/>
          <w:color w:val="347B9F"/>
          <w:sz w:val="72"/>
          <w:szCs w:val="72"/>
        </w:rPr>
      </w:pPr>
      <w:r>
        <w:br w:type="page"/>
      </w:r>
    </w:p>
    <w:p w14:paraId="34D497D4" w14:textId="65FD9F6E" w:rsidR="00EB191B" w:rsidRPr="00042A32" w:rsidRDefault="00EB191B" w:rsidP="00EB191B">
      <w:pPr>
        <w:pStyle w:val="Heading1"/>
        <w:rPr>
          <w:color w:val="004270"/>
        </w:rPr>
      </w:pPr>
      <w:bookmarkStart w:id="312" w:name="_Toc85526673"/>
      <w:bookmarkStart w:id="313" w:name="_Toc85787088"/>
      <w:bookmarkStart w:id="314" w:name="_Toc110506630"/>
      <w:bookmarkStart w:id="315" w:name="_Toc1974113933"/>
      <w:bookmarkStart w:id="316" w:name="_Toc117697148"/>
      <w:bookmarkStart w:id="317" w:name="_Toc147757299"/>
      <w:bookmarkStart w:id="318" w:name="_Toc148086920"/>
      <w:r w:rsidRPr="12BFC48B">
        <w:rPr>
          <w:color w:val="004270"/>
        </w:rPr>
        <w:t>The role of courts and tribunals</w:t>
      </w:r>
      <w:bookmarkEnd w:id="312"/>
      <w:bookmarkEnd w:id="313"/>
      <w:bookmarkEnd w:id="314"/>
      <w:bookmarkEnd w:id="315"/>
      <w:bookmarkEnd w:id="316"/>
      <w:bookmarkEnd w:id="317"/>
      <w:bookmarkEnd w:id="318"/>
    </w:p>
    <w:p w14:paraId="5AD178E1" w14:textId="6585E0E5" w:rsidR="00EB191B" w:rsidRDefault="007B3546" w:rsidP="00EB191B">
      <w:pPr>
        <w:rPr>
          <w:lang w:val="en-US"/>
        </w:rPr>
      </w:pPr>
      <w:r>
        <w:rPr>
          <w:lang w:val="en-US"/>
        </w:rPr>
        <w:t>The Westminster system of government</w:t>
      </w:r>
      <w:r w:rsidR="00AD042E">
        <w:rPr>
          <w:lang w:val="en-US"/>
        </w:rPr>
        <w:t>,</w:t>
      </w:r>
      <w:r>
        <w:rPr>
          <w:lang w:val="en-US"/>
        </w:rPr>
        <w:t xml:space="preserve"> as it op</w:t>
      </w:r>
      <w:r w:rsidR="00D37907">
        <w:rPr>
          <w:lang w:val="en-US"/>
        </w:rPr>
        <w:t>e</w:t>
      </w:r>
      <w:r>
        <w:rPr>
          <w:lang w:val="en-US"/>
        </w:rPr>
        <w:t>rates</w:t>
      </w:r>
      <w:r w:rsidR="00D37907">
        <w:rPr>
          <w:lang w:val="en-US"/>
        </w:rPr>
        <w:t xml:space="preserve"> in Queensland</w:t>
      </w:r>
      <w:r w:rsidR="00AD042E">
        <w:rPr>
          <w:lang w:val="en-US"/>
        </w:rPr>
        <w:t>,</w:t>
      </w:r>
      <w:r w:rsidR="00D37907">
        <w:rPr>
          <w:lang w:val="en-US"/>
        </w:rPr>
        <w:t xml:space="preserve"> </w:t>
      </w:r>
      <w:r w:rsidR="00465DD2">
        <w:rPr>
          <w:lang w:val="en-US"/>
        </w:rPr>
        <w:t xml:space="preserve">requires separation of the three </w:t>
      </w:r>
      <w:r w:rsidR="006C22A0">
        <w:rPr>
          <w:lang w:val="en-US"/>
        </w:rPr>
        <w:t>arms</w:t>
      </w:r>
      <w:r w:rsidR="006F1EFC">
        <w:rPr>
          <w:lang w:val="en-US"/>
        </w:rPr>
        <w:t xml:space="preserve"> of government</w:t>
      </w:r>
      <w:r w:rsidR="009F10FF">
        <w:rPr>
          <w:lang w:val="en-US"/>
        </w:rPr>
        <w:t>:</w:t>
      </w:r>
      <w:r w:rsidR="006F1EFC">
        <w:rPr>
          <w:lang w:val="en-US"/>
        </w:rPr>
        <w:t xml:space="preserve"> </w:t>
      </w:r>
      <w:r w:rsidR="00583BDD">
        <w:rPr>
          <w:lang w:val="en-US"/>
        </w:rPr>
        <w:t xml:space="preserve">the </w:t>
      </w:r>
      <w:r w:rsidR="00DF1E23">
        <w:rPr>
          <w:lang w:val="en-US"/>
        </w:rPr>
        <w:t>l</w:t>
      </w:r>
      <w:r w:rsidR="00583BDD">
        <w:rPr>
          <w:lang w:val="en-US"/>
        </w:rPr>
        <w:t>egislature (</w:t>
      </w:r>
      <w:r w:rsidR="00DF1E23">
        <w:rPr>
          <w:lang w:val="en-US"/>
        </w:rPr>
        <w:t>p</w:t>
      </w:r>
      <w:r w:rsidR="00583BDD">
        <w:rPr>
          <w:lang w:val="en-US"/>
        </w:rPr>
        <w:t xml:space="preserve">arliament), </w:t>
      </w:r>
      <w:r w:rsidR="000352E7">
        <w:rPr>
          <w:lang w:val="en-US"/>
        </w:rPr>
        <w:t xml:space="preserve">the </w:t>
      </w:r>
      <w:r w:rsidR="003B1598">
        <w:rPr>
          <w:lang w:val="en-US"/>
        </w:rPr>
        <w:t>e</w:t>
      </w:r>
      <w:r w:rsidR="000352E7">
        <w:rPr>
          <w:lang w:val="en-US"/>
        </w:rPr>
        <w:t xml:space="preserve">xecutive, and the </w:t>
      </w:r>
      <w:r w:rsidR="003B1598">
        <w:rPr>
          <w:lang w:val="en-US"/>
        </w:rPr>
        <w:t>j</w:t>
      </w:r>
      <w:r w:rsidR="000352E7">
        <w:rPr>
          <w:lang w:val="en-US"/>
        </w:rPr>
        <w:t>udiciary.</w:t>
      </w:r>
      <w:r>
        <w:rPr>
          <w:lang w:val="en-US"/>
        </w:rPr>
        <w:t xml:space="preserve"> </w:t>
      </w:r>
      <w:r w:rsidR="00FA4B70">
        <w:rPr>
          <w:lang w:val="en-US"/>
        </w:rPr>
        <w:t xml:space="preserve">However, each of these </w:t>
      </w:r>
      <w:r w:rsidR="00340CD7">
        <w:rPr>
          <w:lang w:val="en-US"/>
        </w:rPr>
        <w:t>arms</w:t>
      </w:r>
      <w:r w:rsidR="00FA4B70">
        <w:rPr>
          <w:lang w:val="en-US"/>
        </w:rPr>
        <w:t xml:space="preserve"> </w:t>
      </w:r>
      <w:r w:rsidR="00D32D36">
        <w:rPr>
          <w:lang w:val="en-US"/>
        </w:rPr>
        <w:t xml:space="preserve">is required to consider the </w:t>
      </w:r>
      <w:r w:rsidR="00D32D36" w:rsidRPr="009B69F1">
        <w:rPr>
          <w:i/>
          <w:iCs/>
          <w:lang w:val="en-US"/>
        </w:rPr>
        <w:t>Human Rights Act 2019</w:t>
      </w:r>
      <w:r w:rsidR="00E520F5">
        <w:rPr>
          <w:lang w:val="en-US"/>
        </w:rPr>
        <w:t xml:space="preserve"> when acting or making decisions. C</w:t>
      </w:r>
      <w:r w:rsidR="00EB191B" w:rsidRPr="43FC7218">
        <w:rPr>
          <w:rFonts w:eastAsia="Arial" w:cs="Arial"/>
          <w:lang w:val="en-US"/>
        </w:rPr>
        <w:t xml:space="preserve">ourts and tribunals are required to consider </w:t>
      </w:r>
      <w:r w:rsidR="00EE2BD2">
        <w:rPr>
          <w:rFonts w:eastAsia="Arial" w:cs="Arial"/>
          <w:lang w:val="en-US"/>
        </w:rPr>
        <w:t>the Human Rights Act</w:t>
      </w:r>
      <w:r w:rsidR="00225259">
        <w:rPr>
          <w:rFonts w:eastAsia="Arial" w:cs="Arial"/>
          <w:lang w:val="en-US"/>
        </w:rPr>
        <w:t xml:space="preserve"> </w:t>
      </w:r>
      <w:r w:rsidR="00EB191B" w:rsidRPr="43FC7218">
        <w:rPr>
          <w:rFonts w:eastAsia="Arial" w:cs="Arial"/>
          <w:lang w:val="en-US"/>
        </w:rPr>
        <w:t>when:</w:t>
      </w:r>
    </w:p>
    <w:p w14:paraId="311739EA" w14:textId="77777777" w:rsidR="00EB191B" w:rsidRDefault="00EB191B" w:rsidP="008A3205">
      <w:pPr>
        <w:pStyle w:val="ListParagraph"/>
        <w:ind w:left="567" w:hanging="283"/>
        <w:rPr>
          <w:szCs w:val="22"/>
        </w:rPr>
      </w:pPr>
      <w:r w:rsidRPr="651486F3">
        <w:rPr>
          <w:szCs w:val="22"/>
        </w:rPr>
        <w:t>interpreting legislation</w:t>
      </w:r>
    </w:p>
    <w:p w14:paraId="6315883E" w14:textId="77777777" w:rsidR="00EB191B" w:rsidRDefault="00EB191B" w:rsidP="008A3205">
      <w:pPr>
        <w:pStyle w:val="ListParagraph"/>
        <w:ind w:left="567" w:hanging="283"/>
        <w:rPr>
          <w:szCs w:val="22"/>
        </w:rPr>
      </w:pPr>
      <w:r w:rsidRPr="651486F3">
        <w:rPr>
          <w:szCs w:val="22"/>
        </w:rPr>
        <w:t>acting in an administrative capacity</w:t>
      </w:r>
    </w:p>
    <w:p w14:paraId="4C18A23E" w14:textId="7CA03BFD" w:rsidR="00EB191B" w:rsidRDefault="006D1B50" w:rsidP="008A3205">
      <w:pPr>
        <w:pStyle w:val="ListParagraph"/>
        <w:ind w:left="567" w:hanging="283"/>
        <w:rPr>
          <w:szCs w:val="22"/>
        </w:rPr>
      </w:pPr>
      <w:r>
        <w:rPr>
          <w:szCs w:val="22"/>
        </w:rPr>
        <w:t xml:space="preserve">carrying out functions where </w:t>
      </w:r>
      <w:r w:rsidR="00EB191B" w:rsidRPr="651486F3">
        <w:rPr>
          <w:szCs w:val="22"/>
        </w:rPr>
        <w:t xml:space="preserve">human rights have direct application, and </w:t>
      </w:r>
    </w:p>
    <w:p w14:paraId="6814F7B1" w14:textId="2B2432A0" w:rsidR="00EB191B" w:rsidRDefault="0083201B" w:rsidP="008A3205">
      <w:pPr>
        <w:pStyle w:val="ListParagraph"/>
        <w:ind w:left="567" w:hanging="283"/>
        <w:rPr>
          <w:szCs w:val="22"/>
        </w:rPr>
      </w:pPr>
      <w:r>
        <w:rPr>
          <w:szCs w:val="22"/>
        </w:rPr>
        <w:t xml:space="preserve">dealing with </w:t>
      </w:r>
      <w:r w:rsidR="00EF105F">
        <w:rPr>
          <w:szCs w:val="22"/>
        </w:rPr>
        <w:t xml:space="preserve">matters in which </w:t>
      </w:r>
      <w:r w:rsidR="00EB191B" w:rsidRPr="651486F3">
        <w:rPr>
          <w:szCs w:val="22"/>
        </w:rPr>
        <w:t xml:space="preserve">human rights grounds have been ‘piggy-backed’ </w:t>
      </w:r>
      <w:r w:rsidR="002D7D7F">
        <w:rPr>
          <w:szCs w:val="22"/>
        </w:rPr>
        <w:t>onto an existing cause of action</w:t>
      </w:r>
      <w:r w:rsidR="00EB191B" w:rsidRPr="651486F3">
        <w:rPr>
          <w:szCs w:val="22"/>
        </w:rPr>
        <w:t>.</w:t>
      </w:r>
    </w:p>
    <w:p w14:paraId="076F32F9" w14:textId="77777777" w:rsidR="00EB191B" w:rsidRPr="00042A32" w:rsidRDefault="00EB191B" w:rsidP="00EB191B">
      <w:pPr>
        <w:pStyle w:val="Heading2"/>
        <w:rPr>
          <w:color w:val="004270"/>
        </w:rPr>
      </w:pPr>
      <w:bookmarkStart w:id="319" w:name="_Toc84593872"/>
      <w:bookmarkStart w:id="320" w:name="_Toc85451744"/>
      <w:bookmarkStart w:id="321" w:name="_Toc85526674"/>
      <w:bookmarkStart w:id="322" w:name="_Toc85787089"/>
      <w:bookmarkStart w:id="323" w:name="_Toc110506631"/>
      <w:bookmarkStart w:id="324" w:name="_Toc117697149"/>
      <w:bookmarkStart w:id="325" w:name="_Toc117697856"/>
      <w:bookmarkStart w:id="326" w:name="_Toc147757300"/>
      <w:bookmarkStart w:id="327" w:name="_Toc148086921"/>
      <w:bookmarkStart w:id="328" w:name="_Toc215785534"/>
      <w:r w:rsidRPr="00042A32">
        <w:rPr>
          <w:color w:val="004270"/>
        </w:rPr>
        <w:t>Interpreting legislation</w:t>
      </w:r>
      <w:bookmarkEnd w:id="319"/>
      <w:bookmarkEnd w:id="320"/>
      <w:bookmarkEnd w:id="321"/>
      <w:bookmarkEnd w:id="322"/>
      <w:bookmarkEnd w:id="323"/>
      <w:bookmarkEnd w:id="324"/>
      <w:bookmarkEnd w:id="325"/>
      <w:bookmarkEnd w:id="326"/>
      <w:bookmarkEnd w:id="327"/>
      <w:r w:rsidRPr="00042A32">
        <w:rPr>
          <w:color w:val="004270"/>
        </w:rPr>
        <w:t xml:space="preserve"> </w:t>
      </w:r>
      <w:bookmarkEnd w:id="328"/>
    </w:p>
    <w:p w14:paraId="50031CA0" w14:textId="2C3713BB" w:rsidR="00EB191B" w:rsidRDefault="00EB191B" w:rsidP="00EB191B">
      <w:pPr>
        <w:spacing w:line="257" w:lineRule="auto"/>
      </w:pPr>
      <w:r w:rsidRPr="43FC7218">
        <w:rPr>
          <w:rFonts w:eastAsia="Arial" w:cs="Arial"/>
        </w:rPr>
        <w:t xml:space="preserve">Section 48 of </w:t>
      </w:r>
      <w:r w:rsidR="00EE2BD2">
        <w:rPr>
          <w:rFonts w:eastAsia="Arial" w:cs="Arial"/>
        </w:rPr>
        <w:t>the Human Rights Act</w:t>
      </w:r>
      <w:r w:rsidRPr="43FC7218">
        <w:rPr>
          <w:rFonts w:eastAsia="Arial" w:cs="Arial"/>
        </w:rPr>
        <w:t xml:space="preserve"> requires all legislation </w:t>
      </w:r>
      <w:r w:rsidR="002D758D">
        <w:rPr>
          <w:rFonts w:eastAsia="Arial" w:cs="Arial"/>
        </w:rPr>
        <w:t xml:space="preserve">to </w:t>
      </w:r>
      <w:r w:rsidR="00626F3B">
        <w:rPr>
          <w:rFonts w:eastAsia="Arial" w:cs="Arial"/>
        </w:rPr>
        <w:t>be</w:t>
      </w:r>
      <w:r w:rsidRPr="43FC7218">
        <w:rPr>
          <w:rFonts w:eastAsia="Arial" w:cs="Arial"/>
        </w:rPr>
        <w:t xml:space="preserve"> interpreted in a way that is compatible with human rights, to the extent </w:t>
      </w:r>
      <w:r w:rsidR="004651D2">
        <w:rPr>
          <w:rFonts w:eastAsia="Arial" w:cs="Arial"/>
        </w:rPr>
        <w:t xml:space="preserve">possible </w:t>
      </w:r>
      <w:r w:rsidRPr="43FC7218">
        <w:rPr>
          <w:rFonts w:eastAsia="Arial" w:cs="Arial"/>
        </w:rPr>
        <w:t>that is consistent with the purpose of the legislation.</w:t>
      </w:r>
    </w:p>
    <w:p w14:paraId="226DF95F" w14:textId="1583104D" w:rsidR="00EB191B" w:rsidRDefault="00EB191B" w:rsidP="00EB191B">
      <w:pPr>
        <w:spacing w:line="257" w:lineRule="auto"/>
      </w:pPr>
      <w:r w:rsidRPr="43FC7218">
        <w:rPr>
          <w:rFonts w:eastAsia="Arial" w:cs="Arial"/>
        </w:rPr>
        <w:t xml:space="preserve">If legislation cannot be interpreted in a way that is compatible with human rights, it is to be interpreted in a way that is most compatible with human rights, to the extent </w:t>
      </w:r>
      <w:r w:rsidR="005F2197">
        <w:rPr>
          <w:rFonts w:eastAsia="Arial" w:cs="Arial"/>
        </w:rPr>
        <w:t xml:space="preserve">possible </w:t>
      </w:r>
      <w:r w:rsidRPr="43FC7218">
        <w:rPr>
          <w:rFonts w:eastAsia="Arial" w:cs="Arial"/>
        </w:rPr>
        <w:t>that is consistent with the purpose of the legislation.</w:t>
      </w:r>
    </w:p>
    <w:p w14:paraId="700483C8" w14:textId="13071DC8" w:rsidR="00EB191B" w:rsidRDefault="0009583B" w:rsidP="00EB191B">
      <w:pPr>
        <w:spacing w:line="257" w:lineRule="auto"/>
        <w:rPr>
          <w:rFonts w:eastAsia="Arial" w:cs="Arial"/>
        </w:rPr>
      </w:pPr>
      <w:r>
        <w:rPr>
          <w:rFonts w:eastAsia="Arial" w:cs="Arial"/>
        </w:rPr>
        <w:t xml:space="preserve">A statutory provision is </w:t>
      </w:r>
      <w:r w:rsidR="00EB191B" w:rsidRPr="411C2AAF">
        <w:rPr>
          <w:rFonts w:eastAsia="Arial" w:cs="Arial"/>
        </w:rPr>
        <w:t>‘</w:t>
      </w:r>
      <w:r>
        <w:rPr>
          <w:rFonts w:eastAsia="Arial" w:cs="Arial"/>
        </w:rPr>
        <w:t>c</w:t>
      </w:r>
      <w:r w:rsidR="00EB191B" w:rsidRPr="411C2AAF">
        <w:rPr>
          <w:rFonts w:eastAsia="Arial" w:cs="Arial"/>
        </w:rPr>
        <w:t xml:space="preserve">ompatible with human rights’ </w:t>
      </w:r>
      <w:r w:rsidR="002F650E">
        <w:rPr>
          <w:rFonts w:eastAsia="Arial" w:cs="Arial"/>
        </w:rPr>
        <w:t>if it</w:t>
      </w:r>
      <w:r w:rsidR="009554E8">
        <w:rPr>
          <w:rFonts w:eastAsia="Arial" w:cs="Arial"/>
        </w:rPr>
        <w:t xml:space="preserve"> does</w:t>
      </w:r>
      <w:r w:rsidR="00EB191B" w:rsidRPr="411C2AAF">
        <w:rPr>
          <w:rFonts w:eastAsia="Arial" w:cs="Arial"/>
        </w:rPr>
        <w:t xml:space="preserve"> not limit a human right, or limits a human right only to the extent that is reasonable and demonstrably justifiable in a free and democratic society based on human dignity, equality, and freedom. </w:t>
      </w:r>
      <w:r w:rsidR="00F0480F">
        <w:rPr>
          <w:rFonts w:eastAsia="Arial" w:cs="Arial"/>
        </w:rPr>
        <w:t>S</w:t>
      </w:r>
      <w:r w:rsidR="00F90F06" w:rsidRPr="411C2AAF">
        <w:rPr>
          <w:rFonts w:eastAsia="Arial" w:cs="Arial"/>
        </w:rPr>
        <w:t>ection 13</w:t>
      </w:r>
      <w:r w:rsidR="00F0480F">
        <w:rPr>
          <w:rFonts w:eastAsia="Arial" w:cs="Arial"/>
        </w:rPr>
        <w:t xml:space="preserve"> of</w:t>
      </w:r>
      <w:r w:rsidR="00F90F06" w:rsidRPr="411C2AAF">
        <w:rPr>
          <w:rFonts w:eastAsia="Arial" w:cs="Arial"/>
        </w:rPr>
        <w:t xml:space="preserve"> </w:t>
      </w:r>
      <w:r w:rsidR="00EE2BD2">
        <w:rPr>
          <w:rFonts w:eastAsia="Arial" w:cs="Arial"/>
        </w:rPr>
        <w:t>the Human Rights Act</w:t>
      </w:r>
      <w:r w:rsidR="00EB191B" w:rsidRPr="411C2AAF">
        <w:rPr>
          <w:rFonts w:eastAsia="Arial" w:cs="Arial"/>
        </w:rPr>
        <w:t xml:space="preserve"> sets out factors that may be relevant in deciding whether a limit on a human right is reasonable and justifiable. </w:t>
      </w:r>
    </w:p>
    <w:p w14:paraId="4A25BBF2" w14:textId="452310B4" w:rsidR="00F72D75" w:rsidRDefault="00F72D75" w:rsidP="00EB191B">
      <w:pPr>
        <w:spacing w:line="257" w:lineRule="auto"/>
      </w:pPr>
      <w:bookmarkStart w:id="329" w:name="_Hlk141950301"/>
      <w:r>
        <w:rPr>
          <w:rFonts w:eastAsia="Arial" w:cs="Arial"/>
        </w:rPr>
        <w:t xml:space="preserve">In </w:t>
      </w:r>
      <w:r w:rsidRPr="005C5D4D">
        <w:rPr>
          <w:i/>
          <w:iCs/>
        </w:rPr>
        <w:t xml:space="preserve">BA, DC, FE v State of Queensland </w:t>
      </w:r>
      <w:r w:rsidRPr="007F3CA1">
        <w:t>[2022] QCAT 332</w:t>
      </w:r>
      <w:r>
        <w:rPr>
          <w:i/>
          <w:iCs/>
        </w:rPr>
        <w:t xml:space="preserve">, </w:t>
      </w:r>
      <w:r w:rsidR="0035561B">
        <w:t xml:space="preserve">one of </w:t>
      </w:r>
      <w:r>
        <w:t>the issue</w:t>
      </w:r>
      <w:r w:rsidR="0035561B">
        <w:t>s</w:t>
      </w:r>
      <w:r>
        <w:t xml:space="preserve"> before the </w:t>
      </w:r>
      <w:r w:rsidR="001D302C">
        <w:t>T</w:t>
      </w:r>
      <w:r>
        <w:t xml:space="preserve">ribunal was whether proceedings </w:t>
      </w:r>
      <w:r w:rsidR="0035561B">
        <w:t xml:space="preserve">under the </w:t>
      </w:r>
      <w:r w:rsidR="0035561B" w:rsidRPr="0035561B">
        <w:rPr>
          <w:i/>
          <w:iCs/>
        </w:rPr>
        <w:t>Anti-Discrimination Act 1991</w:t>
      </w:r>
      <w:r w:rsidR="0035561B">
        <w:t xml:space="preserve"> </w:t>
      </w:r>
      <w:r>
        <w:t xml:space="preserve">had been properly </w:t>
      </w:r>
      <w:r w:rsidR="0035561B">
        <w:t xml:space="preserve">made and referred </w:t>
      </w:r>
      <w:r w:rsidR="00613C96">
        <w:t xml:space="preserve">to the tribunal </w:t>
      </w:r>
      <w:r w:rsidR="007F1826">
        <w:t xml:space="preserve">in circumstances </w:t>
      </w:r>
      <w:r>
        <w:t xml:space="preserve">where </w:t>
      </w:r>
      <w:r w:rsidR="007F3CA1">
        <w:t xml:space="preserve">complaints </w:t>
      </w:r>
      <w:r>
        <w:t xml:space="preserve">were </w:t>
      </w:r>
      <w:r w:rsidR="0002488E">
        <w:t xml:space="preserve">made by a lawyer for </w:t>
      </w:r>
      <w:r w:rsidR="005950D5">
        <w:t xml:space="preserve">three </w:t>
      </w:r>
      <w:r w:rsidR="00D16DC6">
        <w:t>young people</w:t>
      </w:r>
      <w:r>
        <w:t xml:space="preserve"> under 18 years of age</w:t>
      </w:r>
      <w:r w:rsidR="006E473C">
        <w:t>,</w:t>
      </w:r>
      <w:r w:rsidR="00E315DE">
        <w:t xml:space="preserve"> some of whom </w:t>
      </w:r>
      <w:r w:rsidR="00E15ADF">
        <w:t>identified that they have</w:t>
      </w:r>
      <w:r w:rsidR="00E315DE">
        <w:t xml:space="preserve"> </w:t>
      </w:r>
      <w:r w:rsidR="00524079">
        <w:t xml:space="preserve">a </w:t>
      </w:r>
      <w:r w:rsidR="00E315DE">
        <w:t>disabilit</w:t>
      </w:r>
      <w:r w:rsidR="00FA1EE7">
        <w:t>y</w:t>
      </w:r>
      <w:r w:rsidR="00131F3A">
        <w:t>,</w:t>
      </w:r>
      <w:r w:rsidR="007012F9">
        <w:t xml:space="preserve"> and </w:t>
      </w:r>
      <w:r w:rsidR="00253D59">
        <w:t xml:space="preserve">no person </w:t>
      </w:r>
      <w:r w:rsidR="00A4211B">
        <w:t>had been</w:t>
      </w:r>
      <w:r w:rsidR="00253D59">
        <w:t xml:space="preserve"> authorised to act on behalf of them</w:t>
      </w:r>
      <w:r>
        <w:t xml:space="preserve">. The </w:t>
      </w:r>
      <w:r w:rsidR="001D302C">
        <w:t>T</w:t>
      </w:r>
      <w:r>
        <w:t xml:space="preserve">ribunal held </w:t>
      </w:r>
      <w:r w:rsidR="0035561B">
        <w:t xml:space="preserve">that </w:t>
      </w:r>
      <w:r w:rsidR="00E26BC3">
        <w:t>the</w:t>
      </w:r>
      <w:r w:rsidR="004E0871">
        <w:t xml:space="preserve"> statutory regime contemplated </w:t>
      </w:r>
      <w:r w:rsidR="008F1FA7">
        <w:t>that a person under the age of 18 may bring a complaint and have it referred</w:t>
      </w:r>
      <w:r w:rsidR="001F1536">
        <w:t>,</w:t>
      </w:r>
      <w:r w:rsidR="008F1FA7">
        <w:t xml:space="preserve"> and the tribunal </w:t>
      </w:r>
      <w:r w:rsidR="000F6D18">
        <w:t>would then assist the young perso</w:t>
      </w:r>
      <w:r w:rsidR="00D16DC6">
        <w:t>n</w:t>
      </w:r>
      <w:r w:rsidR="000F6D18">
        <w:t xml:space="preserve"> without the need for a litigation guardian</w:t>
      </w:r>
      <w:r w:rsidR="00D16DC6">
        <w:t>.</w:t>
      </w:r>
      <w:r>
        <w:t xml:space="preserve"> </w:t>
      </w:r>
      <w:r w:rsidR="00D761A0">
        <w:t>T</w:t>
      </w:r>
      <w:r>
        <w:t>his interpretation was</w:t>
      </w:r>
      <w:r w:rsidR="005F55A7">
        <w:t xml:space="preserve"> said to be</w:t>
      </w:r>
      <w:r>
        <w:t xml:space="preserve"> </w:t>
      </w:r>
      <w:r w:rsidR="007C36D6">
        <w:t>‘</w:t>
      </w:r>
      <w:r>
        <w:t>most compatible</w:t>
      </w:r>
      <w:r w:rsidR="00DB0489">
        <w:t>’</w:t>
      </w:r>
      <w:r>
        <w:t xml:space="preserve"> with the </w:t>
      </w:r>
      <w:r w:rsidR="008D6CE8">
        <w:t>young pe</w:t>
      </w:r>
      <w:r w:rsidR="00DB0489">
        <w:t>rson’s</w:t>
      </w:r>
      <w:r w:rsidR="008D6CE8">
        <w:t xml:space="preserve"> </w:t>
      </w:r>
      <w:r>
        <w:t xml:space="preserve">human </w:t>
      </w:r>
      <w:r w:rsidRPr="007F3CA1">
        <w:t>rights</w:t>
      </w:r>
      <w:r w:rsidR="00F15AA2">
        <w:t xml:space="preserve"> and took into consideration the fact that the young people were legally represented and that lawyers </w:t>
      </w:r>
      <w:r w:rsidR="00C169F1">
        <w:t>have obligations</w:t>
      </w:r>
      <w:r w:rsidR="00321D58">
        <w:t xml:space="preserve"> </w:t>
      </w:r>
      <w:r w:rsidR="00F15AA2">
        <w:t xml:space="preserve">to </w:t>
      </w:r>
      <w:r w:rsidR="00321D58">
        <w:t>the tribunal and thei</w:t>
      </w:r>
      <w:r w:rsidR="00F15AA2">
        <w:t>r clients</w:t>
      </w:r>
      <w:r w:rsidR="007C36D6" w:rsidRPr="007F3CA1">
        <w:t>.</w:t>
      </w:r>
      <w:r w:rsidR="00E4290E">
        <w:t xml:space="preserve"> However</w:t>
      </w:r>
      <w:r w:rsidR="0051194E">
        <w:t>,</w:t>
      </w:r>
      <w:r w:rsidR="00E4290E">
        <w:t xml:space="preserve"> </w:t>
      </w:r>
      <w:r w:rsidR="0051194E">
        <w:t>i</w:t>
      </w:r>
      <w:r w:rsidR="00E4290E" w:rsidRPr="001201D5">
        <w:t xml:space="preserve">n the interests of a fair hearing, the tribunal ordered that a litigation guardian be appointed for </w:t>
      </w:r>
      <w:r w:rsidR="0051194E">
        <w:t xml:space="preserve">one of the young people </w:t>
      </w:r>
      <w:r w:rsidR="001B71C0">
        <w:t>whose lawyer was taking instructions from the mother rather than the young pe</w:t>
      </w:r>
      <w:r w:rsidR="007A36B8">
        <w:t>rson themself</w:t>
      </w:r>
      <w:r w:rsidR="00E4290E" w:rsidRPr="001201D5">
        <w:t>.</w:t>
      </w:r>
      <w:r w:rsidR="008A0003" w:rsidRPr="007F3CA1">
        <w:t xml:space="preserve"> </w:t>
      </w:r>
      <w:bookmarkStart w:id="330" w:name="_Hlk141950257"/>
      <w:r w:rsidR="0091335D">
        <w:t>S</w:t>
      </w:r>
      <w:r w:rsidR="007C36D6">
        <w:t xml:space="preserve">pecific </w:t>
      </w:r>
      <w:r w:rsidR="0091335D">
        <w:t>human</w:t>
      </w:r>
      <w:r w:rsidR="007C36D6">
        <w:t xml:space="preserve"> rights were not identified</w:t>
      </w:r>
      <w:r>
        <w:t xml:space="preserve"> </w:t>
      </w:r>
      <w:r w:rsidR="00E7351F">
        <w:t xml:space="preserve">in the </w:t>
      </w:r>
      <w:r w:rsidR="007F3CA1">
        <w:t xml:space="preserve">tribunal’s </w:t>
      </w:r>
      <w:r w:rsidR="0091335D">
        <w:t xml:space="preserve">reasons for </w:t>
      </w:r>
      <w:r w:rsidR="00E7351F">
        <w:t xml:space="preserve">decision, </w:t>
      </w:r>
      <w:r w:rsidR="00B06DCF">
        <w:t xml:space="preserve">but </w:t>
      </w:r>
      <w:r w:rsidR="007F3CA1">
        <w:t>the Commission</w:t>
      </w:r>
      <w:r w:rsidR="00B06DCF">
        <w:t xml:space="preserve"> raised</w:t>
      </w:r>
      <w:r w:rsidR="007F3CA1">
        <w:t xml:space="preserve"> the rights of the child and recognition and equality before the law</w:t>
      </w:r>
      <w:r w:rsidR="003206BA">
        <w:t xml:space="preserve"> in its submissions</w:t>
      </w:r>
      <w:r w:rsidR="004813A8">
        <w:t xml:space="preserve"> to the tribunal</w:t>
      </w:r>
      <w:r w:rsidR="007F3CA1">
        <w:t xml:space="preserve">. </w:t>
      </w:r>
      <w:bookmarkEnd w:id="330"/>
    </w:p>
    <w:bookmarkEnd w:id="329"/>
    <w:p w14:paraId="42744842" w14:textId="0D59EA1D" w:rsidR="00700899" w:rsidRPr="008E01BC" w:rsidRDefault="007012F9" w:rsidP="008E01BC">
      <w:pPr>
        <w:spacing w:line="257" w:lineRule="auto"/>
      </w:pPr>
      <w:r>
        <w:rPr>
          <w:rFonts w:eastAsia="Arial" w:cs="Arial"/>
        </w:rPr>
        <w:t>In</w:t>
      </w:r>
      <w:r w:rsidR="00F404F6">
        <w:rPr>
          <w:rFonts w:eastAsia="Arial" w:cs="Arial"/>
        </w:rPr>
        <w:t xml:space="preserve"> </w:t>
      </w:r>
      <w:r w:rsidR="00750B59" w:rsidRPr="00F404F6">
        <w:rPr>
          <w:rFonts w:eastAsia="Arial" w:cs="Arial"/>
          <w:i/>
          <w:iCs/>
        </w:rPr>
        <w:t>SBN v Department of Children, Youth Justice and Multicultural Affairs</w:t>
      </w:r>
      <w:r w:rsidR="00750B59" w:rsidRPr="00750B59">
        <w:rPr>
          <w:rFonts w:eastAsia="Arial" w:cs="Arial"/>
        </w:rPr>
        <w:t xml:space="preserve"> [2022] QCAT 321</w:t>
      </w:r>
      <w:r w:rsidR="00424B23">
        <w:rPr>
          <w:rFonts w:eastAsia="Arial" w:cs="Arial"/>
        </w:rPr>
        <w:t xml:space="preserve"> </w:t>
      </w:r>
      <w:r w:rsidR="00700899" w:rsidRPr="008E01BC">
        <w:t>a</w:t>
      </w:r>
      <w:r w:rsidR="00424B23" w:rsidRPr="008E01BC">
        <w:t xml:space="preserve">n application was made by a mother to review </w:t>
      </w:r>
      <w:r w:rsidR="006F75F7" w:rsidRPr="008E01BC">
        <w:t xml:space="preserve">the </w:t>
      </w:r>
      <w:r w:rsidR="008E01BC">
        <w:t>D</w:t>
      </w:r>
      <w:r w:rsidR="006F75F7" w:rsidRPr="008E01BC">
        <w:t xml:space="preserve">epartment’s </w:t>
      </w:r>
      <w:r w:rsidR="00A9688B" w:rsidRPr="008E01BC">
        <w:t xml:space="preserve">decision </w:t>
      </w:r>
      <w:r w:rsidR="009D0646" w:rsidRPr="008E01BC">
        <w:t xml:space="preserve">designed to facilitate </w:t>
      </w:r>
      <w:r w:rsidR="00424B23" w:rsidRPr="008E01BC">
        <w:t>contact</w:t>
      </w:r>
      <w:r w:rsidR="009A3B18" w:rsidRPr="008E01BC">
        <w:t xml:space="preserve"> between her children</w:t>
      </w:r>
      <w:r w:rsidR="00424B23" w:rsidRPr="008E01BC">
        <w:t xml:space="preserve">. As the decision did not involve the mother, the department sought to have the application dismissed on the basis the mother </w:t>
      </w:r>
      <w:r w:rsidR="00700899" w:rsidRPr="008E01BC">
        <w:t xml:space="preserve">was not ‘a person affected by the decision’ </w:t>
      </w:r>
      <w:r w:rsidRPr="008E01BC">
        <w:t xml:space="preserve">as required </w:t>
      </w:r>
      <w:r w:rsidR="001676F2" w:rsidRPr="008E01BC">
        <w:t xml:space="preserve">by </w:t>
      </w:r>
      <w:r w:rsidRPr="008E01BC">
        <w:t xml:space="preserve">the </w:t>
      </w:r>
      <w:r w:rsidRPr="008E01BC">
        <w:rPr>
          <w:i/>
        </w:rPr>
        <w:t>Child Protection Act 1999</w:t>
      </w:r>
      <w:r w:rsidRPr="008E01BC">
        <w:t xml:space="preserve">. </w:t>
      </w:r>
      <w:r w:rsidR="00700899" w:rsidRPr="008E01BC">
        <w:t xml:space="preserve">While not expressly </w:t>
      </w:r>
      <w:r w:rsidRPr="008E01BC">
        <w:t xml:space="preserve">referring to </w:t>
      </w:r>
      <w:r w:rsidR="00700899" w:rsidRPr="008E01BC">
        <w:t xml:space="preserve">section 48 of the Human Rights Act, </w:t>
      </w:r>
      <w:r w:rsidR="001676F2" w:rsidRPr="008E01BC">
        <w:t xml:space="preserve">the tribunal </w:t>
      </w:r>
      <w:r w:rsidR="00700899" w:rsidRPr="008E01BC">
        <w:t xml:space="preserve">considered the right to </w:t>
      </w:r>
      <w:r w:rsidR="006C33F2" w:rsidRPr="008E01BC">
        <w:t xml:space="preserve">protection of </w:t>
      </w:r>
      <w:r w:rsidR="00700899" w:rsidRPr="008E01BC">
        <w:t xml:space="preserve">families and children in section 26 of that Act in concluding that the mother was a person affected by a decision concerning contact </w:t>
      </w:r>
      <w:r w:rsidR="009F705D">
        <w:t>between</w:t>
      </w:r>
      <w:r w:rsidR="00615E45" w:rsidRPr="008E01BC">
        <w:t xml:space="preserve"> </w:t>
      </w:r>
      <w:r w:rsidR="00983CD1">
        <w:t xml:space="preserve">her </w:t>
      </w:r>
      <w:r w:rsidR="00700899" w:rsidRPr="008E01BC">
        <w:t>child</w:t>
      </w:r>
      <w:r w:rsidR="009F705D">
        <w:t>ren</w:t>
      </w:r>
      <w:r w:rsidR="00700899" w:rsidRPr="008E01BC">
        <w:t xml:space="preserve">. </w:t>
      </w:r>
    </w:p>
    <w:p w14:paraId="2437D6DF" w14:textId="26F03ECC" w:rsidR="00700899" w:rsidRPr="00091397" w:rsidRDefault="007812C1" w:rsidP="411C2AAF">
      <w:pPr>
        <w:spacing w:line="257" w:lineRule="auto"/>
      </w:pPr>
      <w:r w:rsidRPr="00091397">
        <w:t>T</w:t>
      </w:r>
      <w:r w:rsidR="006A243C" w:rsidRPr="00091397">
        <w:t xml:space="preserve">he </w:t>
      </w:r>
      <w:r w:rsidR="000B4348" w:rsidRPr="00091397">
        <w:t xml:space="preserve">Human Rights </w:t>
      </w:r>
      <w:r w:rsidR="006A243C" w:rsidRPr="00091397">
        <w:t xml:space="preserve">Act requires that </w:t>
      </w:r>
      <w:r w:rsidR="002A0A26" w:rsidRPr="00091397">
        <w:t xml:space="preserve">all statutory provisions must, to the extent possible that is consistent with their purpose, be interpreted in a way that is compatible with human rights. </w:t>
      </w:r>
      <w:r w:rsidR="00BE4E8E" w:rsidRPr="00091397">
        <w:t>S</w:t>
      </w:r>
      <w:r w:rsidRPr="00091397">
        <w:t xml:space="preserve">ection </w:t>
      </w:r>
      <w:r w:rsidR="002A0A26" w:rsidRPr="00091397">
        <w:t xml:space="preserve">48 of </w:t>
      </w:r>
      <w:r w:rsidR="00EE2BD2">
        <w:t>the Human Rights Act</w:t>
      </w:r>
      <w:r w:rsidR="002A0A26" w:rsidRPr="00091397">
        <w:t xml:space="preserve"> forms part of the body of interpretative rules to be applied in ascertaining the meaning of a statutory provision</w:t>
      </w:r>
      <w:r w:rsidR="009F705D">
        <w:t>.</w:t>
      </w:r>
      <w:r w:rsidR="004160D6" w:rsidRPr="00091397">
        <w:t xml:space="preserve"> </w:t>
      </w:r>
    </w:p>
    <w:p w14:paraId="5CA5A1A8" w14:textId="2018206A" w:rsidR="00EB191B" w:rsidRPr="00042A32" w:rsidRDefault="00EB191B" w:rsidP="7C9A4EA6">
      <w:pPr>
        <w:pStyle w:val="Heading3"/>
        <w:rPr>
          <w:rFonts w:eastAsia="Yu Gothic Light" w:cs="Times New Roman"/>
          <w:color w:val="004270"/>
        </w:rPr>
      </w:pPr>
      <w:bookmarkStart w:id="331" w:name="_Toc85451745"/>
      <w:bookmarkStart w:id="332" w:name="_Toc85526675"/>
      <w:bookmarkStart w:id="333" w:name="_Toc85787090"/>
      <w:bookmarkStart w:id="334" w:name="_Toc110506632"/>
      <w:bookmarkStart w:id="335" w:name="_Toc491982931"/>
      <w:r w:rsidRPr="00042A32">
        <w:rPr>
          <w:color w:val="004270"/>
        </w:rPr>
        <w:t xml:space="preserve">Declarations of </w:t>
      </w:r>
      <w:r w:rsidR="005730B5" w:rsidRPr="00042A32">
        <w:rPr>
          <w:color w:val="004270"/>
        </w:rPr>
        <w:t>I</w:t>
      </w:r>
      <w:r w:rsidRPr="00042A32">
        <w:rPr>
          <w:color w:val="004270"/>
        </w:rPr>
        <w:t>ncompatibility</w:t>
      </w:r>
      <w:bookmarkEnd w:id="331"/>
      <w:bookmarkEnd w:id="332"/>
      <w:bookmarkEnd w:id="333"/>
      <w:bookmarkEnd w:id="334"/>
      <w:r w:rsidRPr="00042A32">
        <w:rPr>
          <w:color w:val="004270"/>
        </w:rPr>
        <w:t xml:space="preserve"> </w:t>
      </w:r>
      <w:bookmarkEnd w:id="335"/>
    </w:p>
    <w:p w14:paraId="59377FD3" w14:textId="3E78DC16" w:rsidR="00EB191B" w:rsidRDefault="00EB191B" w:rsidP="00EB191B">
      <w:r>
        <w:t xml:space="preserve">The Supreme Court or the Court of Appeal may make a </w:t>
      </w:r>
      <w:r w:rsidR="00E92324">
        <w:t>d</w:t>
      </w:r>
      <w:r>
        <w:t xml:space="preserve">eclaration of </w:t>
      </w:r>
      <w:r w:rsidR="00E92324">
        <w:t>i</w:t>
      </w:r>
      <w:r>
        <w:t xml:space="preserve">ncompatibility if the court considers that </w:t>
      </w:r>
      <w:r w:rsidR="00227F60">
        <w:t>a statutory provision</w:t>
      </w:r>
      <w:r>
        <w:t xml:space="preserve"> cannot be interpreted in a way that is compatible with human rights. The experience of other jurisdictions is that this power is </w:t>
      </w:r>
      <w:r w:rsidR="00617D88">
        <w:t xml:space="preserve">rarely </w:t>
      </w:r>
      <w:r>
        <w:t>used</w:t>
      </w:r>
      <w:r w:rsidR="00B632BD">
        <w:t>, and</w:t>
      </w:r>
      <w:r>
        <w:t xml:space="preserve"> </w:t>
      </w:r>
      <w:r w:rsidR="00431AC1">
        <w:t xml:space="preserve">Queensland’s </w:t>
      </w:r>
      <w:r w:rsidR="00617D88">
        <w:t>Supreme C</w:t>
      </w:r>
      <w:r>
        <w:t>ourt did not exercise th</w:t>
      </w:r>
      <w:r w:rsidR="004818B8">
        <w:t>e</w:t>
      </w:r>
      <w:r>
        <w:t xml:space="preserve"> power in the </w:t>
      </w:r>
      <w:r w:rsidR="006941D7">
        <w:t>2022</w:t>
      </w:r>
      <w:r>
        <w:t>–2</w:t>
      </w:r>
      <w:r w:rsidR="006941D7">
        <w:t>3</w:t>
      </w:r>
      <w:r>
        <w:t xml:space="preserve"> year.</w:t>
      </w:r>
    </w:p>
    <w:p w14:paraId="412F9AAB" w14:textId="77777777" w:rsidR="00EB191B" w:rsidRPr="00042A32" w:rsidRDefault="00EB191B" w:rsidP="00EB191B">
      <w:pPr>
        <w:pStyle w:val="Heading2"/>
        <w:rPr>
          <w:color w:val="004270"/>
        </w:rPr>
      </w:pPr>
      <w:bookmarkStart w:id="336" w:name="_Toc84593873"/>
      <w:bookmarkStart w:id="337" w:name="_Toc85451746"/>
      <w:bookmarkStart w:id="338" w:name="_Toc85526676"/>
      <w:bookmarkStart w:id="339" w:name="_Toc85787091"/>
      <w:bookmarkStart w:id="340" w:name="_Toc110506633"/>
      <w:bookmarkStart w:id="341" w:name="_Toc117697150"/>
      <w:bookmarkStart w:id="342" w:name="_Toc117697857"/>
      <w:bookmarkStart w:id="343" w:name="_Toc147757301"/>
      <w:bookmarkStart w:id="344" w:name="_Toc148086922"/>
      <w:bookmarkStart w:id="345" w:name="_Toc359604733"/>
      <w:r w:rsidRPr="00042A32">
        <w:rPr>
          <w:color w:val="004270"/>
        </w:rPr>
        <w:t>Acting in an administrative capacity</w:t>
      </w:r>
      <w:bookmarkEnd w:id="336"/>
      <w:bookmarkEnd w:id="337"/>
      <w:bookmarkEnd w:id="338"/>
      <w:bookmarkEnd w:id="339"/>
      <w:bookmarkEnd w:id="340"/>
      <w:bookmarkEnd w:id="341"/>
      <w:bookmarkEnd w:id="342"/>
      <w:bookmarkEnd w:id="343"/>
      <w:bookmarkEnd w:id="344"/>
      <w:r w:rsidRPr="00042A32">
        <w:rPr>
          <w:color w:val="004270"/>
        </w:rPr>
        <w:t xml:space="preserve"> </w:t>
      </w:r>
      <w:bookmarkEnd w:id="345"/>
    </w:p>
    <w:p w14:paraId="5A4D63DE" w14:textId="19EFFA9D" w:rsidR="00EB191B" w:rsidRDefault="00EB191B" w:rsidP="00EB191B">
      <w:r w:rsidRPr="43FC7218">
        <w:t>When courts and tribunals are actin</w:t>
      </w:r>
      <w:r>
        <w:t>g in an administrative capacity</w:t>
      </w:r>
      <w:r w:rsidR="00683CC8">
        <w:t>,</w:t>
      </w:r>
      <w:r>
        <w:t xml:space="preserve"> </w:t>
      </w:r>
      <w:r w:rsidRPr="43FC7218">
        <w:t xml:space="preserve">they are public entities under </w:t>
      </w:r>
      <w:r w:rsidR="00EE2BD2">
        <w:t>the Human Rights Act</w:t>
      </w:r>
      <w:r w:rsidRPr="43FC7218">
        <w:t xml:space="preserve"> and are required</w:t>
      </w:r>
      <w:r w:rsidR="00E45990">
        <w:t xml:space="preserve"> to</w:t>
      </w:r>
      <w:r w:rsidRPr="43FC7218">
        <w:t xml:space="preserve">: </w:t>
      </w:r>
    </w:p>
    <w:p w14:paraId="65FD1C01" w14:textId="564B7EE8" w:rsidR="00EB191B" w:rsidRDefault="00EB191B" w:rsidP="00E1244B">
      <w:pPr>
        <w:pStyle w:val="Listparagraph-123"/>
        <w:numPr>
          <w:ilvl w:val="0"/>
          <w:numId w:val="20"/>
        </w:numPr>
      </w:pPr>
      <w:r w:rsidRPr="43FC7218">
        <w:t>act and make decisions in a way that is compatible with human rights</w:t>
      </w:r>
      <w:r>
        <w:t>,</w:t>
      </w:r>
      <w:r w:rsidRPr="43FC7218">
        <w:t xml:space="preserve"> and</w:t>
      </w:r>
    </w:p>
    <w:p w14:paraId="3A2842D5" w14:textId="0EAD2D73" w:rsidR="00EB191B" w:rsidRDefault="00EB191B" w:rsidP="00E1244B">
      <w:pPr>
        <w:pStyle w:val="Listparagraph-123"/>
        <w:numPr>
          <w:ilvl w:val="0"/>
          <w:numId w:val="20"/>
        </w:numPr>
      </w:pPr>
      <w:r w:rsidRPr="43FC7218">
        <w:t>give proper consideration to human rights relevant to decision</w:t>
      </w:r>
      <w:r w:rsidR="00AF444B">
        <w:t>s they make</w:t>
      </w:r>
      <w:r w:rsidRPr="43FC7218">
        <w:t xml:space="preserve">. </w:t>
      </w:r>
    </w:p>
    <w:p w14:paraId="7E842D50" w14:textId="66FBE6C7" w:rsidR="00526F06" w:rsidRDefault="00526F06" w:rsidP="00526F06">
      <w:pPr>
        <w:spacing w:line="257" w:lineRule="auto"/>
      </w:pPr>
      <w:r>
        <w:t xml:space="preserve">In 2022–23, the following Queensland courts and tribunals acknowledged that they </w:t>
      </w:r>
      <w:r w:rsidR="001429B7">
        <w:t xml:space="preserve">were </w:t>
      </w:r>
      <w:r>
        <w:t>acting in an administrative capacity and are therefore a public entity with obligations under the Human Rights Act,</w:t>
      </w:r>
      <w:r w:rsidRPr="1741396A">
        <w:rPr>
          <w:i/>
          <w:iCs/>
        </w:rPr>
        <w:t xml:space="preserve"> </w:t>
      </w:r>
      <w:r>
        <w:t xml:space="preserve">in the circumstances outlined in Table </w:t>
      </w:r>
      <w:r w:rsidR="00F164BD">
        <w:t>2a</w:t>
      </w:r>
      <w:r>
        <w:t>.</w:t>
      </w:r>
    </w:p>
    <w:p w14:paraId="3C18D370" w14:textId="430C50B4" w:rsidR="00194DCC" w:rsidRDefault="00194DCC" w:rsidP="00194DCC">
      <w:pPr>
        <w:pStyle w:val="Caption"/>
      </w:pPr>
      <w:r w:rsidRPr="00194DCC">
        <w:t>Table 2</w:t>
      </w:r>
      <w:r w:rsidR="00DA6B27">
        <w:t>a</w:t>
      </w:r>
      <w:r w:rsidRPr="00194DCC">
        <w:t>: Cases</w:t>
      </w:r>
      <w:r>
        <w:t xml:space="preserve"> confirming where courts and tribunals </w:t>
      </w:r>
      <w:r w:rsidR="008B7CD6">
        <w:t>were</w:t>
      </w:r>
      <w:r w:rsidR="00FB16C2">
        <w:t xml:space="preserve"> </w:t>
      </w:r>
      <w:r>
        <w:t xml:space="preserve">acting in an administrative capacity in </w:t>
      </w:r>
      <w:r w:rsidR="007D27F7">
        <w:t>2022-23</w:t>
      </w:r>
    </w:p>
    <w:tbl>
      <w:tblPr>
        <w:tblW w:w="0" w:type="auto"/>
        <w:tblBorders>
          <w:top w:val="single" w:sz="4" w:space="0" w:color="004270"/>
          <w:bottom w:val="single" w:sz="4" w:space="0" w:color="004270"/>
          <w:insideH w:val="single" w:sz="4" w:space="0" w:color="004270"/>
        </w:tblBorders>
        <w:tblLayout w:type="fixed"/>
        <w:tblLook w:val="06A0" w:firstRow="1" w:lastRow="0" w:firstColumn="1" w:lastColumn="0" w:noHBand="1" w:noVBand="1"/>
      </w:tblPr>
      <w:tblGrid>
        <w:gridCol w:w="3828"/>
        <w:gridCol w:w="3543"/>
      </w:tblGrid>
      <w:tr w:rsidR="000F15E7" w:rsidRPr="000F15E7" w14:paraId="5DB101A1" w14:textId="77777777" w:rsidTr="00B132DB">
        <w:tc>
          <w:tcPr>
            <w:tcW w:w="3828" w:type="dxa"/>
          </w:tcPr>
          <w:p w14:paraId="380A72E1" w14:textId="44A37BAA" w:rsidR="0D15CD6B" w:rsidRPr="000F15E7" w:rsidRDefault="0D15CD6B" w:rsidP="0061148E">
            <w:pPr>
              <w:pStyle w:val="Tableheading"/>
              <w:rPr>
                <w:color w:val="004270"/>
              </w:rPr>
            </w:pPr>
            <w:r w:rsidRPr="000F15E7">
              <w:rPr>
                <w:color w:val="004270"/>
              </w:rPr>
              <w:t>Subject matter</w:t>
            </w:r>
          </w:p>
        </w:tc>
        <w:tc>
          <w:tcPr>
            <w:tcW w:w="3543" w:type="dxa"/>
          </w:tcPr>
          <w:p w14:paraId="7BFABAC6" w14:textId="782CCBCD" w:rsidR="0D15CD6B" w:rsidRPr="000F15E7" w:rsidRDefault="0D15CD6B" w:rsidP="0061148E">
            <w:pPr>
              <w:pStyle w:val="Tableheading"/>
              <w:rPr>
                <w:color w:val="004270"/>
              </w:rPr>
            </w:pPr>
            <w:r w:rsidRPr="000F15E7">
              <w:rPr>
                <w:color w:val="004270"/>
              </w:rPr>
              <w:t>Case</w:t>
            </w:r>
          </w:p>
        </w:tc>
      </w:tr>
      <w:tr w:rsidR="00526F06" w14:paraId="58C5F832" w14:textId="77777777" w:rsidTr="00B132DB">
        <w:tc>
          <w:tcPr>
            <w:tcW w:w="3828" w:type="dxa"/>
          </w:tcPr>
          <w:p w14:paraId="32EC5A81" w14:textId="77777777" w:rsidR="00526F06" w:rsidRPr="04E5B0C6" w:rsidRDefault="00526F06" w:rsidP="00311886">
            <w:pPr>
              <w:pStyle w:val="Tabletext"/>
            </w:pPr>
            <w:r>
              <w:t>Land Court in deciding whether to recommend the approval of a mining lease and environmental authority for a coal mine</w:t>
            </w:r>
          </w:p>
        </w:tc>
        <w:tc>
          <w:tcPr>
            <w:tcW w:w="3543" w:type="dxa"/>
          </w:tcPr>
          <w:p w14:paraId="3058C68E" w14:textId="77777777" w:rsidR="00526F06" w:rsidRPr="00CC491B" w:rsidRDefault="00526F06" w:rsidP="00311886">
            <w:pPr>
              <w:ind w:right="0"/>
              <w:rPr>
                <w:rFonts w:cs="Arial"/>
                <w:i/>
                <w:iCs/>
              </w:rPr>
            </w:pPr>
            <w:r w:rsidRPr="00575651">
              <w:rPr>
                <w:i/>
                <w:iCs/>
              </w:rPr>
              <w:t>Waratah Coal Pty Ltd v Youth Verdict Ltd &amp; Ors (No 6)</w:t>
            </w:r>
            <w:r w:rsidRPr="00575651">
              <w:t xml:space="preserve"> [2022] QLC 21</w:t>
            </w:r>
          </w:p>
        </w:tc>
      </w:tr>
      <w:tr w:rsidR="00526F06" w14:paraId="228691E0" w14:textId="77777777" w:rsidTr="00B132DB">
        <w:tc>
          <w:tcPr>
            <w:tcW w:w="3828" w:type="dxa"/>
          </w:tcPr>
          <w:p w14:paraId="3DCF825C" w14:textId="4A80E0AF" w:rsidR="00526F06" w:rsidRDefault="00526F06" w:rsidP="00311886">
            <w:pPr>
              <w:pStyle w:val="Tabletext"/>
            </w:pPr>
            <w:r w:rsidRPr="04E5B0C6">
              <w:t xml:space="preserve">QCAT </w:t>
            </w:r>
            <w:r w:rsidR="008B7CD6">
              <w:t>in</w:t>
            </w:r>
            <w:r w:rsidR="008B7CD6" w:rsidRPr="04E5B0C6">
              <w:t xml:space="preserve"> </w:t>
            </w:r>
            <w:r w:rsidRPr="04E5B0C6">
              <w:t xml:space="preserve">deciding an exemption application under section 113 of the </w:t>
            </w:r>
            <w:r w:rsidRPr="04E5B0C6">
              <w:rPr>
                <w:i/>
                <w:iCs/>
              </w:rPr>
              <w:t>Anti-Discrimination Act 1991</w:t>
            </w:r>
          </w:p>
        </w:tc>
        <w:tc>
          <w:tcPr>
            <w:tcW w:w="3543" w:type="dxa"/>
          </w:tcPr>
          <w:p w14:paraId="5CC8E859" w14:textId="77777777" w:rsidR="00526F06" w:rsidRDefault="00526F06" w:rsidP="00311886">
            <w:pPr>
              <w:pStyle w:val="Tabletext"/>
              <w:rPr>
                <w:i/>
                <w:iCs/>
              </w:rPr>
            </w:pPr>
            <w:r w:rsidRPr="009961E4">
              <w:rPr>
                <w:i/>
                <w:iCs/>
              </w:rPr>
              <w:t>Burleigh Town Village Pty Ltd (3) [2022] QCAT 285</w:t>
            </w:r>
          </w:p>
        </w:tc>
      </w:tr>
      <w:tr w:rsidR="00526F06" w14:paraId="18336A03" w14:textId="77777777" w:rsidTr="00B132DB">
        <w:tc>
          <w:tcPr>
            <w:tcW w:w="3828" w:type="dxa"/>
            <w:tcBorders>
              <w:bottom w:val="single" w:sz="4" w:space="0" w:color="004270"/>
            </w:tcBorders>
          </w:tcPr>
          <w:p w14:paraId="1F96F54D" w14:textId="19B61CDC" w:rsidR="00526F06" w:rsidRDefault="00526F06" w:rsidP="00311886">
            <w:pPr>
              <w:pStyle w:val="Tabletext"/>
              <w:rPr>
                <w:rFonts w:cs="Arial"/>
              </w:rPr>
            </w:pPr>
            <w:r>
              <w:rPr>
                <w:rFonts w:cs="Arial"/>
              </w:rPr>
              <w:t xml:space="preserve">QCAT in a review of a decision to cancel a </w:t>
            </w:r>
            <w:r w:rsidR="00AC4904">
              <w:rPr>
                <w:rFonts w:cs="Arial"/>
              </w:rPr>
              <w:t>b</w:t>
            </w:r>
            <w:r>
              <w:rPr>
                <w:rFonts w:cs="Arial"/>
              </w:rPr>
              <w:t xml:space="preserve">lue </w:t>
            </w:r>
            <w:r w:rsidR="00AC4904">
              <w:rPr>
                <w:rFonts w:cs="Arial"/>
              </w:rPr>
              <w:t>c</w:t>
            </w:r>
            <w:r>
              <w:rPr>
                <w:rFonts w:cs="Arial"/>
              </w:rPr>
              <w:t>ard</w:t>
            </w:r>
          </w:p>
        </w:tc>
        <w:tc>
          <w:tcPr>
            <w:tcW w:w="3543" w:type="dxa"/>
            <w:tcBorders>
              <w:bottom w:val="single" w:sz="4" w:space="0" w:color="004270"/>
            </w:tcBorders>
          </w:tcPr>
          <w:p w14:paraId="7D4D43EA" w14:textId="20E499C6" w:rsidR="00526F06" w:rsidRDefault="00526F06" w:rsidP="00311886">
            <w:pPr>
              <w:pStyle w:val="Tabletext"/>
              <w:rPr>
                <w:rFonts w:cs="Arial"/>
                <w:i/>
                <w:iCs/>
              </w:rPr>
            </w:pPr>
            <w:r w:rsidRPr="00575651">
              <w:rPr>
                <w:i/>
                <w:iCs/>
              </w:rPr>
              <w:t>LM v Director-General, Department of Justice and Atto</w:t>
            </w:r>
            <w:r w:rsidR="00B66894">
              <w:rPr>
                <w:i/>
                <w:iCs/>
              </w:rPr>
              <w:t>r</w:t>
            </w:r>
            <w:r w:rsidRPr="00575651">
              <w:rPr>
                <w:i/>
                <w:iCs/>
              </w:rPr>
              <w:t>ney-General</w:t>
            </w:r>
            <w:r w:rsidRPr="001752E3">
              <w:t xml:space="preserve"> [2022] QCAT 333</w:t>
            </w:r>
          </w:p>
        </w:tc>
      </w:tr>
      <w:tr w:rsidR="00526F06" w14:paraId="2288636A" w14:textId="77777777" w:rsidTr="00B132DB">
        <w:tc>
          <w:tcPr>
            <w:tcW w:w="3828" w:type="dxa"/>
            <w:tcBorders>
              <w:top w:val="single" w:sz="4" w:space="0" w:color="004270"/>
              <w:bottom w:val="single" w:sz="4" w:space="0" w:color="004270"/>
              <w:right w:val="nil"/>
            </w:tcBorders>
          </w:tcPr>
          <w:p w14:paraId="0776AE44" w14:textId="77777777" w:rsidR="00526F06" w:rsidRPr="008D121D" w:rsidRDefault="00526F06" w:rsidP="00311886">
            <w:pPr>
              <w:pStyle w:val="Tabletext"/>
              <w:rPr>
                <w:rFonts w:cs="Arial"/>
              </w:rPr>
            </w:pPr>
            <w:r w:rsidRPr="008D121D">
              <w:rPr>
                <w:rFonts w:cs="Arial"/>
              </w:rPr>
              <w:t>Coroners Court in holding an inquest and making findings and recommendations to prevent deaths in the future</w:t>
            </w:r>
          </w:p>
        </w:tc>
        <w:tc>
          <w:tcPr>
            <w:tcW w:w="3543" w:type="dxa"/>
            <w:tcBorders>
              <w:top w:val="single" w:sz="4" w:space="0" w:color="004270"/>
              <w:left w:val="nil"/>
              <w:bottom w:val="single" w:sz="4" w:space="0" w:color="004270"/>
            </w:tcBorders>
          </w:tcPr>
          <w:p w14:paraId="6F080A84" w14:textId="77777777" w:rsidR="00526F06" w:rsidRPr="008D121D" w:rsidRDefault="00526F06" w:rsidP="00311886">
            <w:pPr>
              <w:pStyle w:val="Tabletext"/>
              <w:rPr>
                <w:i/>
                <w:iCs/>
              </w:rPr>
            </w:pPr>
            <w:r w:rsidRPr="008D121D">
              <w:rPr>
                <w:i/>
                <w:iCs/>
              </w:rPr>
              <w:t>Inquest into the deaths of Yvette Michelle Wilma Booth, Adele Estelle Sandy, Shakaya George (Findings of inquest, Coroners Court of Queensland, Coroner Wilson, 30 June 2023)</w:t>
            </w:r>
          </w:p>
        </w:tc>
      </w:tr>
    </w:tbl>
    <w:p w14:paraId="0143AC8E" w14:textId="6401F8CB" w:rsidR="000176E0" w:rsidRDefault="000176E0" w:rsidP="000176E0">
      <w:pPr>
        <w:spacing w:line="257" w:lineRule="auto"/>
        <w:ind w:right="2430"/>
      </w:pPr>
    </w:p>
    <w:p w14:paraId="6CD61A73" w14:textId="7C312C07" w:rsidR="00BE389C" w:rsidRDefault="00BE389C" w:rsidP="00BE389C">
      <w:pPr>
        <w:spacing w:line="257" w:lineRule="auto"/>
        <w:ind w:right="2430"/>
      </w:pPr>
      <w:r>
        <w:t xml:space="preserve">The following Queensland courts and tribunals confirmed they </w:t>
      </w:r>
      <w:r w:rsidR="008748C9">
        <w:t xml:space="preserve">were </w:t>
      </w:r>
      <w:r>
        <w:t>acting in a judicial capacity, and are therefore not public entities under the Human Rights Act, in the circumstances outlined.</w:t>
      </w:r>
      <w:r w:rsidR="00E865C3">
        <w:t xml:space="preserve"> </w:t>
      </w:r>
    </w:p>
    <w:p w14:paraId="3F70851C" w14:textId="7C677CF4" w:rsidR="000176E0" w:rsidRDefault="00FB1B66" w:rsidP="00C65CB8">
      <w:pPr>
        <w:pStyle w:val="Caption"/>
      </w:pPr>
      <w:r>
        <w:t>Table 2b: Cases where</w:t>
      </w:r>
      <w:r w:rsidR="000176E0" w:rsidRPr="27C6306F">
        <w:t xml:space="preserve"> </w:t>
      </w:r>
      <w:r w:rsidR="7C56BEFD" w:rsidRPr="27C6306F">
        <w:t xml:space="preserve">tribunals </w:t>
      </w:r>
      <w:r w:rsidR="000176E0" w:rsidRPr="27C6306F">
        <w:t>have stated the</w:t>
      </w:r>
      <w:r w:rsidR="3186004A" w:rsidRPr="27C6306F">
        <w:t>y</w:t>
      </w:r>
      <w:r w:rsidR="000176E0" w:rsidRPr="27C6306F">
        <w:t xml:space="preserve"> are</w:t>
      </w:r>
      <w:r w:rsidR="00C73800">
        <w:t xml:space="preserve"> not</w:t>
      </w:r>
      <w:r w:rsidR="000176E0" w:rsidRPr="27C6306F">
        <w:t xml:space="preserve"> </w:t>
      </w:r>
      <w:r w:rsidR="00C65CB8">
        <w:t xml:space="preserve">acting in an administrative capacity in </w:t>
      </w:r>
      <w:r w:rsidR="007D27F7">
        <w:t>2022-23</w:t>
      </w:r>
    </w:p>
    <w:tbl>
      <w:tblPr>
        <w:tblW w:w="0" w:type="auto"/>
        <w:tblBorders>
          <w:top w:val="single" w:sz="4" w:space="0" w:color="004270"/>
          <w:bottom w:val="single" w:sz="4" w:space="0" w:color="004270"/>
          <w:insideH w:val="single" w:sz="4" w:space="0" w:color="004270"/>
        </w:tblBorders>
        <w:tblLayout w:type="fixed"/>
        <w:tblLook w:val="06A0" w:firstRow="1" w:lastRow="0" w:firstColumn="1" w:lastColumn="0" w:noHBand="1" w:noVBand="1"/>
      </w:tblPr>
      <w:tblGrid>
        <w:gridCol w:w="3828"/>
        <w:gridCol w:w="3543"/>
      </w:tblGrid>
      <w:tr w:rsidR="004C2AFC" w:rsidRPr="004C2AFC" w14:paraId="3F1735E0" w14:textId="77777777" w:rsidTr="00B132DB">
        <w:tc>
          <w:tcPr>
            <w:tcW w:w="3828" w:type="dxa"/>
          </w:tcPr>
          <w:p w14:paraId="0D969663" w14:textId="44A37BAA" w:rsidR="04E5B0C6" w:rsidRPr="004C2AFC" w:rsidRDefault="04E5B0C6" w:rsidP="004C2AFC">
            <w:pPr>
              <w:pStyle w:val="Tableheading"/>
              <w:rPr>
                <w:color w:val="004270"/>
              </w:rPr>
            </w:pPr>
            <w:r w:rsidRPr="004C2AFC">
              <w:rPr>
                <w:color w:val="004270"/>
              </w:rPr>
              <w:t>Subject matter</w:t>
            </w:r>
          </w:p>
        </w:tc>
        <w:tc>
          <w:tcPr>
            <w:tcW w:w="3543" w:type="dxa"/>
          </w:tcPr>
          <w:p w14:paraId="6B09C133" w14:textId="782CCBCD" w:rsidR="04E5B0C6" w:rsidRPr="004C2AFC" w:rsidRDefault="04E5B0C6" w:rsidP="004C2AFC">
            <w:pPr>
              <w:pStyle w:val="Tableheading"/>
              <w:rPr>
                <w:color w:val="004270"/>
              </w:rPr>
            </w:pPr>
            <w:r w:rsidRPr="004C2AFC">
              <w:rPr>
                <w:color w:val="004270"/>
              </w:rPr>
              <w:t>Case</w:t>
            </w:r>
          </w:p>
        </w:tc>
      </w:tr>
      <w:tr w:rsidR="00526F06" w14:paraId="65C23D88" w14:textId="77777777" w:rsidTr="00B132DB">
        <w:tc>
          <w:tcPr>
            <w:tcW w:w="3828" w:type="dxa"/>
          </w:tcPr>
          <w:p w14:paraId="2DDE0E4A" w14:textId="77777777" w:rsidR="00526F06" w:rsidRDefault="00526F06" w:rsidP="00311886">
            <w:pPr>
              <w:pStyle w:val="Tabletext"/>
            </w:pPr>
            <w:r>
              <w:t xml:space="preserve">QCAT in deciding a complaint about a contravention of the </w:t>
            </w:r>
            <w:r w:rsidRPr="00727192">
              <w:rPr>
                <w:i/>
                <w:iCs/>
              </w:rPr>
              <w:t>Anti-Discrimination Act 1991</w:t>
            </w:r>
            <w:r>
              <w:t xml:space="preserve"> </w:t>
            </w:r>
          </w:p>
        </w:tc>
        <w:tc>
          <w:tcPr>
            <w:tcW w:w="3543" w:type="dxa"/>
          </w:tcPr>
          <w:p w14:paraId="3AD70406" w14:textId="77777777" w:rsidR="00526F06" w:rsidRDefault="00526F06" w:rsidP="00311886">
            <w:pPr>
              <w:pStyle w:val="Tabletext"/>
            </w:pPr>
            <w:r w:rsidRPr="00727192">
              <w:rPr>
                <w:i/>
                <w:iCs/>
              </w:rPr>
              <w:t>Gorgievski v Gold Coast City Council &amp; Anor</w:t>
            </w:r>
            <w:r w:rsidRPr="00D863AF">
              <w:t xml:space="preserve"> [2022] QCAT 365</w:t>
            </w:r>
          </w:p>
        </w:tc>
      </w:tr>
    </w:tbl>
    <w:p w14:paraId="089D08A7" w14:textId="01B8CAB5" w:rsidR="04E5B0C6" w:rsidRDefault="04E5B0C6" w:rsidP="04E5B0C6">
      <w:pPr>
        <w:spacing w:line="257" w:lineRule="auto"/>
        <w:ind w:right="2430"/>
        <w:rPr>
          <w:rFonts w:eastAsia="Calibri"/>
          <w:highlight w:val="yellow"/>
        </w:rPr>
      </w:pPr>
    </w:p>
    <w:p w14:paraId="4826BD3F" w14:textId="57AB146A" w:rsidR="007A3BDF" w:rsidRPr="004C2AFC" w:rsidRDefault="007A3BDF" w:rsidP="00CF3FCF">
      <w:pPr>
        <w:pStyle w:val="Heading2"/>
        <w:rPr>
          <w:color w:val="004270"/>
        </w:rPr>
      </w:pPr>
      <w:bookmarkStart w:id="346" w:name="_Toc84593874"/>
      <w:bookmarkStart w:id="347" w:name="_Toc85451747"/>
      <w:bookmarkStart w:id="348" w:name="_Toc85526677"/>
      <w:bookmarkStart w:id="349" w:name="_Toc85787092"/>
      <w:bookmarkStart w:id="350" w:name="_Toc110506634"/>
      <w:bookmarkStart w:id="351" w:name="_Toc117697151"/>
      <w:bookmarkStart w:id="352" w:name="_Toc117697858"/>
      <w:bookmarkStart w:id="353" w:name="_Toc147757302"/>
      <w:bookmarkStart w:id="354" w:name="_Toc148086923"/>
      <w:bookmarkStart w:id="355" w:name="_Toc1674746556"/>
      <w:r w:rsidRPr="004C2AFC">
        <w:rPr>
          <w:color w:val="004270"/>
        </w:rPr>
        <w:t>Direct application</w:t>
      </w:r>
      <w:bookmarkEnd w:id="346"/>
      <w:bookmarkEnd w:id="347"/>
      <w:bookmarkEnd w:id="348"/>
      <w:bookmarkEnd w:id="349"/>
      <w:bookmarkEnd w:id="350"/>
      <w:bookmarkEnd w:id="351"/>
      <w:bookmarkEnd w:id="352"/>
      <w:bookmarkEnd w:id="353"/>
      <w:bookmarkEnd w:id="354"/>
      <w:r w:rsidRPr="004C2AFC">
        <w:rPr>
          <w:color w:val="004270"/>
        </w:rPr>
        <w:t xml:space="preserve"> </w:t>
      </w:r>
      <w:bookmarkEnd w:id="355"/>
    </w:p>
    <w:p w14:paraId="1136E9C3" w14:textId="78B4F9B0" w:rsidR="007A3BDF" w:rsidRDefault="008E23C8" w:rsidP="007A3BDF">
      <w:r>
        <w:t xml:space="preserve">Section 5(2)(a) of the Human Rights </w:t>
      </w:r>
      <w:r w:rsidR="007A3BDF" w:rsidRPr="43FC7218">
        <w:t xml:space="preserve">Act imposes direct obligations on courts and tribunals to act compatibly with human rights to the extent that the court or tribunal has the function of applying or enforcing those rights. The obligation applies whether or not the court or tribunal is acting in a judicial or administrative capacity. </w:t>
      </w:r>
    </w:p>
    <w:p w14:paraId="270E6806" w14:textId="29C451E5" w:rsidR="00BE389C" w:rsidRPr="00BE389C" w:rsidRDefault="00BE389C" w:rsidP="00BE389C">
      <w:pPr>
        <w:rPr>
          <w:shd w:val="clear" w:color="auto" w:fill="FFFFFF"/>
        </w:rPr>
      </w:pPr>
      <w:r w:rsidRPr="00BE389C">
        <w:rPr>
          <w:shd w:val="clear" w:color="auto" w:fill="FFFFFF"/>
        </w:rPr>
        <w:t xml:space="preserve">The Supreme Court in </w:t>
      </w:r>
      <w:r w:rsidRPr="00BE389C">
        <w:rPr>
          <w:i/>
          <w:iCs/>
          <w:shd w:val="clear" w:color="auto" w:fill="FFFFFF"/>
        </w:rPr>
        <w:t>Attorney-General for the State of Queensland v Grant</w:t>
      </w:r>
      <w:r w:rsidRPr="00BE389C">
        <w:rPr>
          <w:shd w:val="clear" w:color="auto" w:fill="FFFFFF"/>
        </w:rPr>
        <w:t xml:space="preserve"> (No 2) [2022] QSC 252 confirmed that a court is required to </w:t>
      </w:r>
      <w:r w:rsidR="00A404C0">
        <w:rPr>
          <w:shd w:val="clear" w:color="auto" w:fill="FFFFFF"/>
        </w:rPr>
        <w:t>consider</w:t>
      </w:r>
      <w:r w:rsidRPr="00BE389C">
        <w:rPr>
          <w:shd w:val="clear" w:color="auto" w:fill="FFFFFF"/>
        </w:rPr>
        <w:t xml:space="preserve"> </w:t>
      </w:r>
      <w:r w:rsidR="00376876">
        <w:rPr>
          <w:shd w:val="clear" w:color="auto" w:fill="FFFFFF"/>
        </w:rPr>
        <w:t>the human</w:t>
      </w:r>
      <w:r w:rsidRPr="00BE389C">
        <w:rPr>
          <w:shd w:val="clear" w:color="auto" w:fill="FFFFFF"/>
        </w:rPr>
        <w:t xml:space="preserve"> rights </w:t>
      </w:r>
      <w:r w:rsidR="0079382A">
        <w:rPr>
          <w:shd w:val="clear" w:color="auto" w:fill="FFFFFF"/>
        </w:rPr>
        <w:t>relevant to the subject matter</w:t>
      </w:r>
      <w:r w:rsidRPr="00BE389C">
        <w:rPr>
          <w:shd w:val="clear" w:color="auto" w:fill="FFFFFF"/>
        </w:rPr>
        <w:t xml:space="preserve"> in the particular proceedings.</w:t>
      </w:r>
      <w:r w:rsidR="008E23C8">
        <w:rPr>
          <w:shd w:val="clear" w:color="auto" w:fill="FFFFFF"/>
        </w:rPr>
        <w:t xml:space="preserve"> This has been referred to in other jurisdictions as the ‘intermediate construction’ </w:t>
      </w:r>
      <w:r w:rsidR="00761387">
        <w:rPr>
          <w:shd w:val="clear" w:color="auto" w:fill="FFFFFF"/>
        </w:rPr>
        <w:t xml:space="preserve">of section 5(2)(a) </w:t>
      </w:r>
      <w:r w:rsidR="004049FD">
        <w:rPr>
          <w:shd w:val="clear" w:color="auto" w:fill="FFFFFF"/>
        </w:rPr>
        <w:t xml:space="preserve">of </w:t>
      </w:r>
      <w:r w:rsidR="00761387">
        <w:rPr>
          <w:shd w:val="clear" w:color="auto" w:fill="FFFFFF"/>
        </w:rPr>
        <w:t>the Human Rights Act</w:t>
      </w:r>
      <w:r w:rsidR="009F0CB8">
        <w:rPr>
          <w:shd w:val="clear" w:color="auto" w:fill="FFFFFF"/>
        </w:rPr>
        <w:t>, and a ‘functional approach’ to identifying rights</w:t>
      </w:r>
      <w:r w:rsidR="008E23C8">
        <w:rPr>
          <w:shd w:val="clear" w:color="auto" w:fill="FFFFFF"/>
        </w:rPr>
        <w:t>.</w:t>
      </w:r>
      <w:r w:rsidR="00E865C3">
        <w:rPr>
          <w:shd w:val="clear" w:color="auto" w:fill="FFFFFF"/>
        </w:rPr>
        <w:t xml:space="preserve"> </w:t>
      </w:r>
      <w:r w:rsidRPr="00BE389C">
        <w:rPr>
          <w:shd w:val="clear" w:color="auto" w:fill="FFFFFF"/>
        </w:rPr>
        <w:t>Whether this required the Court to ‘act compatibly’ with the identified right or to merely consider the right depended on the specific function being performed, the relevant right</w:t>
      </w:r>
      <w:r w:rsidR="00CA04FC">
        <w:rPr>
          <w:shd w:val="clear" w:color="auto" w:fill="FFFFFF"/>
        </w:rPr>
        <w:t>,</w:t>
      </w:r>
      <w:r w:rsidRPr="00BE389C">
        <w:rPr>
          <w:shd w:val="clear" w:color="auto" w:fill="FFFFFF"/>
        </w:rPr>
        <w:t xml:space="preserve"> and the circumstances of the case, although the Court regarded the difference as ‘more apparent than real’. </w:t>
      </w:r>
    </w:p>
    <w:p w14:paraId="6EB96D1E" w14:textId="1131443A" w:rsidR="00BE389C" w:rsidRPr="00BE389C" w:rsidRDefault="00BE389C" w:rsidP="00BE389C">
      <w:pPr>
        <w:rPr>
          <w:shd w:val="clear" w:color="auto" w:fill="FFFFFF"/>
        </w:rPr>
      </w:pPr>
      <w:r w:rsidRPr="00BE389C">
        <w:rPr>
          <w:shd w:val="clear" w:color="auto" w:fill="FFFFFF"/>
        </w:rPr>
        <w:t xml:space="preserve">In this case, the </w:t>
      </w:r>
      <w:r w:rsidR="00232ADA">
        <w:rPr>
          <w:shd w:val="clear" w:color="auto" w:fill="FFFFFF"/>
        </w:rPr>
        <w:t>C</w:t>
      </w:r>
      <w:r w:rsidRPr="00BE389C">
        <w:rPr>
          <w:shd w:val="clear" w:color="auto" w:fill="FFFFFF"/>
        </w:rPr>
        <w:t xml:space="preserve">ourt applied the </w:t>
      </w:r>
      <w:r w:rsidRPr="006C145F">
        <w:rPr>
          <w:shd w:val="clear" w:color="auto" w:fill="FFFFFF"/>
        </w:rPr>
        <w:t>right to liberty</w:t>
      </w:r>
      <w:r w:rsidRPr="00BE389C">
        <w:rPr>
          <w:shd w:val="clear" w:color="auto" w:fill="FFFFFF"/>
        </w:rPr>
        <w:t xml:space="preserve"> (section 29) and the </w:t>
      </w:r>
      <w:r w:rsidRPr="006C145F">
        <w:rPr>
          <w:shd w:val="clear" w:color="auto" w:fill="FFFFFF"/>
        </w:rPr>
        <w:t>right to humane treatment</w:t>
      </w:r>
      <w:r w:rsidRPr="00BE389C">
        <w:rPr>
          <w:shd w:val="clear" w:color="auto" w:fill="FFFFFF"/>
        </w:rPr>
        <w:t xml:space="preserve"> </w:t>
      </w:r>
      <w:r w:rsidRPr="006C145F">
        <w:rPr>
          <w:shd w:val="clear" w:color="auto" w:fill="FFFFFF"/>
        </w:rPr>
        <w:t>when deprived of liberty</w:t>
      </w:r>
      <w:r w:rsidRPr="00BE389C">
        <w:rPr>
          <w:shd w:val="clear" w:color="auto" w:fill="FFFFFF"/>
        </w:rPr>
        <w:t xml:space="preserve"> </w:t>
      </w:r>
      <w:r w:rsidR="00D7375F" w:rsidRPr="00BE389C">
        <w:rPr>
          <w:shd w:val="clear" w:color="auto" w:fill="FFFFFF"/>
        </w:rPr>
        <w:t xml:space="preserve">(section 30) </w:t>
      </w:r>
      <w:r w:rsidRPr="00BE389C">
        <w:rPr>
          <w:shd w:val="clear" w:color="auto" w:fill="FFFFFF"/>
        </w:rPr>
        <w:t>in determining whether a</w:t>
      </w:r>
      <w:r w:rsidR="00112E76">
        <w:rPr>
          <w:shd w:val="clear" w:color="auto" w:fill="FFFFFF"/>
        </w:rPr>
        <w:t xml:space="preserve"> sexual offender who had completed his sentence </w:t>
      </w:r>
      <w:r w:rsidRPr="00BE389C">
        <w:rPr>
          <w:shd w:val="clear" w:color="auto" w:fill="FFFFFF"/>
        </w:rPr>
        <w:t xml:space="preserve">should be released under supervision or be </w:t>
      </w:r>
      <w:r w:rsidR="00112E76">
        <w:rPr>
          <w:shd w:val="clear" w:color="auto" w:fill="FFFFFF"/>
        </w:rPr>
        <w:t xml:space="preserve">subject to </w:t>
      </w:r>
      <w:r w:rsidRPr="00BE389C">
        <w:rPr>
          <w:shd w:val="clear" w:color="auto" w:fill="FFFFFF"/>
        </w:rPr>
        <w:t xml:space="preserve">continuing detention under the </w:t>
      </w:r>
      <w:r w:rsidRPr="00BE389C">
        <w:rPr>
          <w:i/>
          <w:iCs/>
          <w:shd w:val="clear" w:color="auto" w:fill="FFFFFF"/>
        </w:rPr>
        <w:t xml:space="preserve">Dangerous Prisoners (Sexual Offenders) Act 2003. </w:t>
      </w:r>
    </w:p>
    <w:p w14:paraId="5A9C07EA" w14:textId="77C4773E" w:rsidR="00BE389C" w:rsidRDefault="000F3BAF" w:rsidP="00BE389C">
      <w:pPr>
        <w:rPr>
          <w:shd w:val="clear" w:color="auto" w:fill="FFFFFF"/>
        </w:rPr>
      </w:pPr>
      <w:r>
        <w:rPr>
          <w:shd w:val="clear" w:color="auto" w:fill="FFFFFF"/>
        </w:rPr>
        <w:t xml:space="preserve">In </w:t>
      </w:r>
      <w:r w:rsidR="00BE389C" w:rsidRPr="000F3BAF">
        <w:rPr>
          <w:i/>
          <w:shd w:val="clear" w:color="auto" w:fill="FFFFFF"/>
        </w:rPr>
        <w:t>Queensland Police Service v Ahmed</w:t>
      </w:r>
      <w:r w:rsidR="00BE389C" w:rsidRPr="00BE389C">
        <w:rPr>
          <w:shd w:val="clear" w:color="auto" w:fill="FFFFFF"/>
        </w:rPr>
        <w:t xml:space="preserve"> [2023] QMC 2</w:t>
      </w:r>
      <w:r>
        <w:rPr>
          <w:shd w:val="clear" w:color="auto" w:fill="FFFFFF"/>
        </w:rPr>
        <w:t>,</w:t>
      </w:r>
      <w:r w:rsidR="00BE389C" w:rsidRPr="00BE389C">
        <w:rPr>
          <w:shd w:val="clear" w:color="auto" w:fill="FFFFFF"/>
        </w:rPr>
        <w:t xml:space="preserve"> </w:t>
      </w:r>
      <w:r>
        <w:rPr>
          <w:shd w:val="clear" w:color="auto" w:fill="FFFFFF"/>
        </w:rPr>
        <w:t>t</w:t>
      </w:r>
      <w:r w:rsidR="00BE389C" w:rsidRPr="00BE389C">
        <w:rPr>
          <w:shd w:val="clear" w:color="auto" w:fill="FFFFFF"/>
        </w:rPr>
        <w:t xml:space="preserve">he defendant </w:t>
      </w:r>
      <w:r>
        <w:rPr>
          <w:shd w:val="clear" w:color="auto" w:fill="FFFFFF"/>
        </w:rPr>
        <w:t xml:space="preserve">was charged with </w:t>
      </w:r>
      <w:r w:rsidR="00EB1E20">
        <w:rPr>
          <w:shd w:val="clear" w:color="auto" w:fill="FFFFFF"/>
        </w:rPr>
        <w:t xml:space="preserve">contravening an order </w:t>
      </w:r>
      <w:r w:rsidR="00B43DF3">
        <w:rPr>
          <w:shd w:val="clear" w:color="auto" w:fill="FFFFFF"/>
        </w:rPr>
        <w:t xml:space="preserve">by </w:t>
      </w:r>
      <w:r>
        <w:rPr>
          <w:shd w:val="clear" w:color="auto" w:fill="FFFFFF"/>
        </w:rPr>
        <w:t xml:space="preserve">refusing </w:t>
      </w:r>
      <w:r w:rsidR="00BE389C" w:rsidRPr="00BE389C">
        <w:rPr>
          <w:shd w:val="clear" w:color="auto" w:fill="FFFFFF"/>
        </w:rPr>
        <w:t>to provide the passcode to his phone to police</w:t>
      </w:r>
      <w:r>
        <w:rPr>
          <w:shd w:val="clear" w:color="auto" w:fill="FFFFFF"/>
        </w:rPr>
        <w:t xml:space="preserve">. The defendant claimed he had a ‘reasonable excuse’ defence because it would </w:t>
      </w:r>
      <w:r w:rsidR="00BE389C" w:rsidRPr="00BE389C">
        <w:rPr>
          <w:shd w:val="clear" w:color="auto" w:fill="FFFFFF"/>
        </w:rPr>
        <w:t>offend his faith to expose photographs of his wife to male police officers</w:t>
      </w:r>
      <w:r w:rsidR="00B10685">
        <w:rPr>
          <w:shd w:val="clear" w:color="auto" w:fill="FFFFFF"/>
        </w:rPr>
        <w:t>. This</w:t>
      </w:r>
      <w:r w:rsidR="007338A4">
        <w:rPr>
          <w:shd w:val="clear" w:color="auto" w:fill="FFFFFF"/>
        </w:rPr>
        <w:t xml:space="preserve"> engag</w:t>
      </w:r>
      <w:r w:rsidR="00FE4673">
        <w:rPr>
          <w:shd w:val="clear" w:color="auto" w:fill="FFFFFF"/>
        </w:rPr>
        <w:t>ed</w:t>
      </w:r>
      <w:r w:rsidR="007338A4">
        <w:rPr>
          <w:shd w:val="clear" w:color="auto" w:fill="FFFFFF"/>
        </w:rPr>
        <w:t xml:space="preserve"> </w:t>
      </w:r>
      <w:r w:rsidR="00FE4673">
        <w:rPr>
          <w:shd w:val="clear" w:color="auto" w:fill="FFFFFF"/>
        </w:rPr>
        <w:t xml:space="preserve">the </w:t>
      </w:r>
      <w:r w:rsidR="007338A4">
        <w:rPr>
          <w:shd w:val="clear" w:color="auto" w:fill="FFFFFF"/>
        </w:rPr>
        <w:t xml:space="preserve">rights to </w:t>
      </w:r>
      <w:r w:rsidR="007338A4" w:rsidRPr="006C145F">
        <w:rPr>
          <w:shd w:val="clear" w:color="auto" w:fill="FFFFFF"/>
        </w:rPr>
        <w:t>freedom of thought</w:t>
      </w:r>
      <w:r w:rsidR="00132820">
        <w:rPr>
          <w:bCs/>
          <w:shd w:val="clear" w:color="auto" w:fill="FFFFFF"/>
        </w:rPr>
        <w:t>,</w:t>
      </w:r>
      <w:r w:rsidR="007338A4" w:rsidRPr="006C145F">
        <w:rPr>
          <w:shd w:val="clear" w:color="auto" w:fill="FFFFFF"/>
        </w:rPr>
        <w:t xml:space="preserve"> conscience, religion and belief</w:t>
      </w:r>
      <w:r w:rsidR="007338A4" w:rsidRPr="006C145F">
        <w:rPr>
          <w:i/>
          <w:shd w:val="clear" w:color="auto" w:fill="FFFFFF"/>
        </w:rPr>
        <w:t xml:space="preserve"> </w:t>
      </w:r>
      <w:r w:rsidR="007338A4">
        <w:rPr>
          <w:shd w:val="clear" w:color="auto" w:fill="FFFFFF"/>
        </w:rPr>
        <w:t xml:space="preserve">(section 20), and </w:t>
      </w:r>
      <w:r w:rsidR="007338A4" w:rsidRPr="006C145F">
        <w:rPr>
          <w:shd w:val="clear" w:color="auto" w:fill="FFFFFF"/>
        </w:rPr>
        <w:t>cultural rights</w:t>
      </w:r>
      <w:r w:rsidR="007338A4">
        <w:rPr>
          <w:shd w:val="clear" w:color="auto" w:fill="FFFFFF"/>
        </w:rPr>
        <w:t xml:space="preserve"> (section 27)</w:t>
      </w:r>
      <w:r w:rsidR="00891484">
        <w:rPr>
          <w:shd w:val="clear" w:color="auto" w:fill="FFFFFF"/>
        </w:rPr>
        <w:t>. The Court held that whe</w:t>
      </w:r>
      <w:r w:rsidR="00FD2D56">
        <w:rPr>
          <w:shd w:val="clear" w:color="auto" w:fill="FFFFFF"/>
        </w:rPr>
        <w:t>n</w:t>
      </w:r>
      <w:r w:rsidR="00891484">
        <w:rPr>
          <w:shd w:val="clear" w:color="auto" w:fill="FFFFFF"/>
        </w:rPr>
        <w:t xml:space="preserve"> police fail to comply with their obligations under the </w:t>
      </w:r>
      <w:r w:rsidR="00891484" w:rsidRPr="007338A4">
        <w:rPr>
          <w:i/>
          <w:shd w:val="clear" w:color="auto" w:fill="FFFFFF"/>
        </w:rPr>
        <w:t>Human Rights Act</w:t>
      </w:r>
      <w:r w:rsidR="00891484">
        <w:rPr>
          <w:shd w:val="clear" w:color="auto" w:fill="FFFFFF"/>
        </w:rPr>
        <w:t xml:space="preserve">, </w:t>
      </w:r>
      <w:r w:rsidR="007338A4">
        <w:rPr>
          <w:shd w:val="clear" w:color="auto" w:fill="FFFFFF"/>
        </w:rPr>
        <w:t>this may give rise to</w:t>
      </w:r>
      <w:r w:rsidR="00FD2D56">
        <w:rPr>
          <w:shd w:val="clear" w:color="auto" w:fill="FFFFFF"/>
        </w:rPr>
        <w:t>,</w:t>
      </w:r>
      <w:r w:rsidR="007338A4">
        <w:rPr>
          <w:shd w:val="clear" w:color="auto" w:fill="FFFFFF"/>
        </w:rPr>
        <w:t xml:space="preserve"> or bolster</w:t>
      </w:r>
      <w:r w:rsidR="00FD2D56">
        <w:rPr>
          <w:shd w:val="clear" w:color="auto" w:fill="FFFFFF"/>
        </w:rPr>
        <w:t>,</w:t>
      </w:r>
      <w:r w:rsidR="007338A4">
        <w:rPr>
          <w:shd w:val="clear" w:color="auto" w:fill="FFFFFF"/>
        </w:rPr>
        <w:t xml:space="preserve"> the reasonable excuse to withhold information in compliance with the order. </w:t>
      </w:r>
    </w:p>
    <w:p w14:paraId="0F50BF79" w14:textId="51CE74F7" w:rsidR="00E06029" w:rsidRPr="00B6194C" w:rsidRDefault="00B6194C" w:rsidP="00866A06">
      <w:pPr>
        <w:spacing w:line="300" w:lineRule="auto"/>
        <w:ind w:right="1985"/>
      </w:pPr>
      <w:r>
        <w:t>E</w:t>
      </w:r>
      <w:r w:rsidR="00D7375F">
        <w:t xml:space="preserve">ven where a human right </w:t>
      </w:r>
      <w:r w:rsidR="00656AB9">
        <w:t xml:space="preserve">relates </w:t>
      </w:r>
      <w:r w:rsidR="00D7375F">
        <w:t xml:space="preserve">directly to a court’s proceedings, it does not provide an independent remedy or cause of action. In </w:t>
      </w:r>
      <w:bookmarkStart w:id="356" w:name="_Hlk141951566"/>
      <w:r w:rsidR="00073D68" w:rsidRPr="00D7375F">
        <w:rPr>
          <w:rFonts w:eastAsia="Calibri"/>
          <w:i/>
        </w:rPr>
        <w:t>Wood v The King &amp; Anor</w:t>
      </w:r>
      <w:r w:rsidR="00073D68" w:rsidRPr="00073D68">
        <w:rPr>
          <w:rFonts w:eastAsia="Calibri"/>
        </w:rPr>
        <w:t xml:space="preserve"> [2022] QSC 216</w:t>
      </w:r>
      <w:bookmarkEnd w:id="356"/>
      <w:r w:rsidR="00827152">
        <w:rPr>
          <w:rFonts w:eastAsia="Calibri"/>
        </w:rPr>
        <w:t>, the applicant</w:t>
      </w:r>
      <w:r w:rsidR="0021666E">
        <w:rPr>
          <w:rFonts w:eastAsia="Calibri"/>
        </w:rPr>
        <w:t xml:space="preserve"> </w:t>
      </w:r>
      <w:r w:rsidR="00D7375F" w:rsidRPr="00B6194C">
        <w:t xml:space="preserve">applied for a declaration under the section </w:t>
      </w:r>
      <w:r w:rsidR="0021666E" w:rsidRPr="00B6194C">
        <w:t>29(7)</w:t>
      </w:r>
      <w:r w:rsidR="00827152" w:rsidRPr="00B6194C">
        <w:t xml:space="preserve"> o</w:t>
      </w:r>
      <w:r w:rsidR="0021666E" w:rsidRPr="00B6194C">
        <w:t>f the </w:t>
      </w:r>
      <w:r w:rsidR="0021666E" w:rsidRPr="00B6194C">
        <w:rPr>
          <w:rStyle w:val="Emphasis"/>
          <w:rFonts w:eastAsiaTheme="majorEastAsia" w:cs="Arial"/>
          <w:i w:val="0"/>
        </w:rPr>
        <w:t>Human Rights Act</w:t>
      </w:r>
      <w:r w:rsidR="0021666E" w:rsidRPr="00B6194C">
        <w:rPr>
          <w:rStyle w:val="Emphasis"/>
          <w:rFonts w:eastAsiaTheme="majorEastAsia" w:cs="Arial"/>
        </w:rPr>
        <w:t> </w:t>
      </w:r>
      <w:r w:rsidR="00D7375F" w:rsidRPr="00B6194C">
        <w:t xml:space="preserve">that </w:t>
      </w:r>
      <w:r w:rsidR="0021666E" w:rsidRPr="00B6194C">
        <w:t xml:space="preserve">his detention </w:t>
      </w:r>
      <w:r w:rsidR="00D7375F" w:rsidRPr="00B6194C">
        <w:t xml:space="preserve">on remand </w:t>
      </w:r>
      <w:r w:rsidR="0021666E" w:rsidRPr="00B6194C">
        <w:t xml:space="preserve">was unlawful. He argued this would oblige the District Court to order his release. </w:t>
      </w:r>
      <w:r w:rsidR="00E06029" w:rsidRPr="00B6194C">
        <w:t>The District Court referred a question of law to the Supreme Court</w:t>
      </w:r>
      <w:r w:rsidR="00424802">
        <w:t>, which</w:t>
      </w:r>
      <w:r w:rsidR="00E06029" w:rsidRPr="00B6194C">
        <w:t xml:space="preserve"> determined that section 29(7) did not vest jurisdiction in the District Court to grant a declaration that a prisoner was being held in custody unlawfully. To make such a challenge, a prisoner ought to seek </w:t>
      </w:r>
      <w:proofErr w:type="spellStart"/>
      <w:r w:rsidR="00E06029" w:rsidRPr="00B6194C">
        <w:rPr>
          <w:i/>
        </w:rPr>
        <w:t>habeus</w:t>
      </w:r>
      <w:proofErr w:type="spellEnd"/>
      <w:r w:rsidR="00E06029" w:rsidRPr="00B6194C">
        <w:rPr>
          <w:i/>
        </w:rPr>
        <w:t xml:space="preserve"> corpus</w:t>
      </w:r>
      <w:r w:rsidR="00E06029" w:rsidRPr="00B6194C">
        <w:t>, which accommodates the right provided under section 29(7) of the Human Rights Act</w:t>
      </w:r>
      <w:r w:rsidR="00827152" w:rsidRPr="00B6194C">
        <w:t xml:space="preserve">. However, </w:t>
      </w:r>
      <w:r w:rsidR="00E06029" w:rsidRPr="00B6194C">
        <w:t>the real remedy was a bail application</w:t>
      </w:r>
      <w:r w:rsidR="00827152" w:rsidRPr="00B6194C">
        <w:t>,</w:t>
      </w:r>
      <w:r w:rsidR="00E06029" w:rsidRPr="00B6194C">
        <w:t xml:space="preserve"> which </w:t>
      </w:r>
      <w:r w:rsidR="00A32632">
        <w:t>the Court found</w:t>
      </w:r>
      <w:r w:rsidR="00E06029" w:rsidRPr="00B6194C">
        <w:t xml:space="preserve"> is not concerned with the lawfulness of the detention</w:t>
      </w:r>
      <w:r w:rsidR="00827152" w:rsidRPr="00B6194C">
        <w:t xml:space="preserve"> and is therefore not relevant to section 29(7) of the Human Rights Act</w:t>
      </w:r>
      <w:r w:rsidR="00E06029" w:rsidRPr="00B6194C">
        <w:t xml:space="preserve">. </w:t>
      </w:r>
    </w:p>
    <w:p w14:paraId="3B1EBAE7" w14:textId="77777777" w:rsidR="00CF3FCF" w:rsidRPr="00893CEF" w:rsidRDefault="00CF3FCF" w:rsidP="00CF3FCF">
      <w:pPr>
        <w:pStyle w:val="Heading2"/>
        <w:rPr>
          <w:color w:val="004270"/>
        </w:rPr>
      </w:pPr>
      <w:bookmarkStart w:id="357" w:name="_Toc84593875"/>
      <w:bookmarkStart w:id="358" w:name="_Toc85451748"/>
      <w:bookmarkStart w:id="359" w:name="_Toc85526678"/>
      <w:bookmarkStart w:id="360" w:name="_Toc85787093"/>
      <w:bookmarkStart w:id="361" w:name="_Toc110506635"/>
      <w:bookmarkStart w:id="362" w:name="_Toc1621163248"/>
      <w:bookmarkStart w:id="363" w:name="_Toc117697152"/>
      <w:bookmarkStart w:id="364" w:name="_Toc117697859"/>
      <w:bookmarkStart w:id="365" w:name="_Toc147757303"/>
      <w:bookmarkStart w:id="366" w:name="_Toc148086924"/>
      <w:r w:rsidRPr="00893CEF">
        <w:rPr>
          <w:color w:val="004270"/>
        </w:rPr>
        <w:t>Piggy-back matters</w:t>
      </w:r>
      <w:bookmarkEnd w:id="357"/>
      <w:bookmarkEnd w:id="358"/>
      <w:bookmarkEnd w:id="359"/>
      <w:bookmarkEnd w:id="360"/>
      <w:bookmarkEnd w:id="361"/>
      <w:bookmarkEnd w:id="362"/>
      <w:bookmarkEnd w:id="363"/>
      <w:bookmarkEnd w:id="364"/>
      <w:bookmarkEnd w:id="365"/>
      <w:bookmarkEnd w:id="366"/>
    </w:p>
    <w:p w14:paraId="24F513A6" w14:textId="6DB6A1DC" w:rsidR="00CF3FCF" w:rsidRDefault="00CF3FCF" w:rsidP="00CF3FCF">
      <w:r>
        <w:t>There</w:t>
      </w:r>
      <w:r w:rsidRPr="43FC7218">
        <w:t xml:space="preserve"> is no standalone </w:t>
      </w:r>
      <w:r w:rsidR="00692505">
        <w:t xml:space="preserve">legal remedy </w:t>
      </w:r>
      <w:r w:rsidR="00E236D5">
        <w:t xml:space="preserve">available </w:t>
      </w:r>
      <w:r w:rsidR="00692505">
        <w:t>through the courts</w:t>
      </w:r>
      <w:r w:rsidRPr="43FC7218">
        <w:t xml:space="preserve"> for </w:t>
      </w:r>
      <w:r w:rsidR="00EF02E3">
        <w:t>an alleged</w:t>
      </w:r>
      <w:r w:rsidRPr="43FC7218">
        <w:t xml:space="preserve"> </w:t>
      </w:r>
      <w:r w:rsidR="00A95EAF">
        <w:t>limitation</w:t>
      </w:r>
      <w:r w:rsidR="00A95EAF" w:rsidRPr="43FC7218">
        <w:t xml:space="preserve"> </w:t>
      </w:r>
      <w:r w:rsidRPr="43FC7218">
        <w:t>of human rights.</w:t>
      </w:r>
      <w:r>
        <w:t xml:space="preserve"> </w:t>
      </w:r>
      <w:r w:rsidR="00CE00DB">
        <w:t>However, h</w:t>
      </w:r>
      <w:r w:rsidRPr="43FC7218">
        <w:t xml:space="preserve">uman rights arguments can be </w:t>
      </w:r>
      <w:r w:rsidR="00950CE7">
        <w:t>added to</w:t>
      </w:r>
      <w:r w:rsidR="00320A29">
        <w:t>, or</w:t>
      </w:r>
      <w:r w:rsidRPr="43FC7218">
        <w:t xml:space="preserve"> ‘piggy</w:t>
      </w:r>
      <w:r>
        <w:t>-</w:t>
      </w:r>
      <w:r w:rsidRPr="43FC7218">
        <w:t>backed’ on</w:t>
      </w:r>
      <w:r w:rsidR="00EA0C5D">
        <w:t>to</w:t>
      </w:r>
      <w:r w:rsidR="00A57CEC">
        <w:t>,</w:t>
      </w:r>
      <w:r w:rsidRPr="43FC7218">
        <w:t xml:space="preserve"> </w:t>
      </w:r>
      <w:r w:rsidR="000325CD">
        <w:t xml:space="preserve">a separate and independent cause of action against the public </w:t>
      </w:r>
      <w:r w:rsidRPr="43FC7218">
        <w:t xml:space="preserve">entity. For example, an application for judicial review of a decision made by a public entity </w:t>
      </w:r>
      <w:r w:rsidR="004E07F9">
        <w:t>might</w:t>
      </w:r>
      <w:r w:rsidR="00C913C4">
        <w:t xml:space="preserve"> also</w:t>
      </w:r>
      <w:r w:rsidR="004E07F9" w:rsidRPr="43FC7218">
        <w:t xml:space="preserve"> </w:t>
      </w:r>
      <w:r w:rsidRPr="43FC7218">
        <w:t xml:space="preserve">include a </w:t>
      </w:r>
      <w:r w:rsidR="00C46BEA">
        <w:t>claim</w:t>
      </w:r>
      <w:r w:rsidR="00C46BEA" w:rsidRPr="43FC7218">
        <w:t xml:space="preserve"> </w:t>
      </w:r>
      <w:r w:rsidRPr="43FC7218">
        <w:t xml:space="preserve">that the public entity breached its section 58 obligations under the </w:t>
      </w:r>
      <w:r w:rsidRPr="43FC7218">
        <w:rPr>
          <w:i/>
        </w:rPr>
        <w:t>Human Rights Act 2019</w:t>
      </w:r>
      <w:r>
        <w:t xml:space="preserve"> </w:t>
      </w:r>
      <w:r w:rsidR="001337FE">
        <w:t>to act or make a decision in a way that is compatible with human rights</w:t>
      </w:r>
      <w:r w:rsidR="00FB0638">
        <w:t xml:space="preserve"> </w:t>
      </w:r>
      <w:r w:rsidR="00384A7B">
        <w:t xml:space="preserve">and to give proper consideration </w:t>
      </w:r>
      <w:r w:rsidR="000A5BA1">
        <w:t xml:space="preserve">to a human right relevant to the decision. </w:t>
      </w:r>
    </w:p>
    <w:p w14:paraId="68FF9813" w14:textId="126C6697" w:rsidR="00CF3FCF" w:rsidRDefault="00F759FD" w:rsidP="00CF3FCF">
      <w:r>
        <w:t>In these actions, a</w:t>
      </w:r>
      <w:r w:rsidR="00CF3FCF" w:rsidRPr="43FC7218">
        <w:t xml:space="preserve"> person </w:t>
      </w:r>
      <w:r w:rsidR="00B35B5D">
        <w:t>may</w:t>
      </w:r>
      <w:r w:rsidR="00B35B5D" w:rsidRPr="43FC7218">
        <w:t xml:space="preserve"> </w:t>
      </w:r>
      <w:r w:rsidR="00CF3FCF" w:rsidRPr="43FC7218">
        <w:t xml:space="preserve">obtain (non-financial) relief if they successfully demonstrate a breach of section 58 of the </w:t>
      </w:r>
      <w:r w:rsidR="00CF3FCF" w:rsidRPr="43FC7218">
        <w:rPr>
          <w:i/>
        </w:rPr>
        <w:t>Human Rights Act 2019</w:t>
      </w:r>
      <w:r w:rsidR="00CF3FCF" w:rsidRPr="43FC7218">
        <w:t xml:space="preserve">, even if they are not successful in their primary </w:t>
      </w:r>
      <w:r w:rsidR="00D24E58">
        <w:t>claim</w:t>
      </w:r>
      <w:r w:rsidR="00D24E58" w:rsidRPr="43FC7218">
        <w:t xml:space="preserve"> </w:t>
      </w:r>
      <w:r w:rsidR="00CF3FCF" w:rsidRPr="43FC7218">
        <w:t xml:space="preserve">for relief. </w:t>
      </w:r>
    </w:p>
    <w:p w14:paraId="3AD4F591" w14:textId="659E27C7" w:rsidR="00CB1268" w:rsidRDefault="00494E46" w:rsidP="00494E46">
      <w:pPr>
        <w:rPr>
          <w:rFonts w:eastAsia="Calibri" w:cs="Arial"/>
          <w:iCs/>
        </w:rPr>
      </w:pPr>
      <w:r w:rsidRPr="00494E46">
        <w:rPr>
          <w:i/>
        </w:rPr>
        <w:t xml:space="preserve">Austin BMI Pty Ltd v Deputy Premier </w:t>
      </w:r>
      <w:r w:rsidRPr="00494E46">
        <w:t>[2023] QSC 95</w:t>
      </w:r>
      <w:r>
        <w:t xml:space="preserve"> and </w:t>
      </w:r>
      <w:bookmarkStart w:id="367" w:name="_Toc56451574"/>
      <w:bookmarkStart w:id="368" w:name="_Toc56452148"/>
      <w:bookmarkStart w:id="369" w:name="_Toc84593876"/>
      <w:bookmarkStart w:id="370" w:name="_Toc85451749"/>
      <w:bookmarkStart w:id="371" w:name="_Toc85526679"/>
      <w:bookmarkStart w:id="372" w:name="_Toc85787094"/>
      <w:bookmarkStart w:id="373" w:name="_Toc110506636"/>
      <w:bookmarkStart w:id="374" w:name="_Toc2087684184"/>
      <w:bookmarkStart w:id="375" w:name="_Toc117697153"/>
      <w:bookmarkStart w:id="376" w:name="_Toc117697860"/>
      <w:r w:rsidR="003B6855" w:rsidRPr="003B6855">
        <w:rPr>
          <w:rFonts w:eastAsia="Calibri" w:cs="Arial"/>
          <w:i/>
          <w:iCs/>
        </w:rPr>
        <w:t xml:space="preserve">Wallace v Tannock &amp; Anor </w:t>
      </w:r>
      <w:r w:rsidR="003B6855" w:rsidRPr="00494E46">
        <w:rPr>
          <w:rFonts w:eastAsia="Calibri" w:cs="Arial"/>
          <w:iCs/>
        </w:rPr>
        <w:t>[2023] QSC 122</w:t>
      </w:r>
      <w:r>
        <w:rPr>
          <w:rFonts w:eastAsia="Calibri" w:cs="Arial"/>
          <w:i/>
          <w:iCs/>
        </w:rPr>
        <w:t xml:space="preserve"> </w:t>
      </w:r>
      <w:r>
        <w:rPr>
          <w:rFonts w:eastAsia="Calibri" w:cs="Arial"/>
          <w:iCs/>
        </w:rPr>
        <w:t xml:space="preserve">are examples of judicial review proceedings </w:t>
      </w:r>
      <w:r w:rsidR="00A15EBC">
        <w:rPr>
          <w:rFonts w:eastAsia="Calibri" w:cs="Arial"/>
          <w:iCs/>
        </w:rPr>
        <w:t>to</w:t>
      </w:r>
      <w:r w:rsidR="0073066E">
        <w:rPr>
          <w:rFonts w:eastAsia="Calibri" w:cs="Arial"/>
          <w:iCs/>
        </w:rPr>
        <w:t xml:space="preserve"> </w:t>
      </w:r>
      <w:r>
        <w:rPr>
          <w:rFonts w:eastAsia="Calibri" w:cs="Arial"/>
          <w:iCs/>
        </w:rPr>
        <w:t xml:space="preserve">which </w:t>
      </w:r>
      <w:r w:rsidR="002D521E">
        <w:rPr>
          <w:rFonts w:eastAsia="Calibri" w:cs="Arial"/>
          <w:iCs/>
        </w:rPr>
        <w:t xml:space="preserve">claims </w:t>
      </w:r>
      <w:r w:rsidR="00A15EBC">
        <w:rPr>
          <w:rFonts w:eastAsia="Calibri" w:cs="Arial"/>
          <w:iCs/>
        </w:rPr>
        <w:t>of</w:t>
      </w:r>
      <w:r w:rsidR="002D521E">
        <w:rPr>
          <w:rFonts w:eastAsia="Calibri" w:cs="Arial"/>
          <w:iCs/>
        </w:rPr>
        <w:t xml:space="preserve"> unlawfulness under the Human Rights Act </w:t>
      </w:r>
      <w:r w:rsidR="004E710D">
        <w:rPr>
          <w:rFonts w:eastAsia="Calibri" w:cs="Arial"/>
          <w:iCs/>
        </w:rPr>
        <w:t>were piggy-backed</w:t>
      </w:r>
      <w:r w:rsidR="00484A07">
        <w:rPr>
          <w:rFonts w:eastAsia="Calibri" w:cs="Arial"/>
          <w:iCs/>
        </w:rPr>
        <w:t>.</w:t>
      </w:r>
      <w:r>
        <w:rPr>
          <w:rFonts w:eastAsia="Calibri" w:cs="Arial"/>
          <w:iCs/>
        </w:rPr>
        <w:t xml:space="preserve"> </w:t>
      </w:r>
    </w:p>
    <w:p w14:paraId="5E496131" w14:textId="44A5E6AE" w:rsidR="003B6855" w:rsidRPr="00494E46" w:rsidRDefault="00637567" w:rsidP="00494E46">
      <w:r w:rsidRPr="00123ECA">
        <w:rPr>
          <w:rFonts w:eastAsia="Calibri" w:cs="Arial"/>
          <w:i/>
        </w:rPr>
        <w:t>Wallace v Tannock</w:t>
      </w:r>
      <w:r w:rsidR="00CB1268">
        <w:rPr>
          <w:rFonts w:eastAsia="Calibri" w:cs="Arial"/>
          <w:iCs/>
        </w:rPr>
        <w:t xml:space="preserve"> </w:t>
      </w:r>
      <w:r w:rsidR="00AE10BC">
        <w:rPr>
          <w:rFonts w:eastAsia="Calibri" w:cs="Arial"/>
          <w:iCs/>
        </w:rPr>
        <w:t xml:space="preserve">concerned </w:t>
      </w:r>
      <w:r w:rsidR="00BE7A74">
        <w:rPr>
          <w:rFonts w:eastAsia="Calibri" w:cs="Arial"/>
          <w:iCs/>
        </w:rPr>
        <w:t xml:space="preserve">a review of </w:t>
      </w:r>
      <w:r w:rsidR="00494E46">
        <w:rPr>
          <w:rFonts w:eastAsia="Calibri" w:cs="Arial"/>
          <w:iCs/>
        </w:rPr>
        <w:t xml:space="preserve">directions issued </w:t>
      </w:r>
      <w:r w:rsidR="00023B8B">
        <w:rPr>
          <w:rFonts w:eastAsia="Calibri" w:cs="Arial"/>
          <w:iCs/>
        </w:rPr>
        <w:t xml:space="preserve">by Queensland Corrective Services </w:t>
      </w:r>
      <w:r w:rsidR="00494E46">
        <w:rPr>
          <w:rFonts w:eastAsia="Calibri" w:cs="Arial"/>
          <w:iCs/>
        </w:rPr>
        <w:t xml:space="preserve">to a person subject to a supervision order made under the </w:t>
      </w:r>
      <w:r w:rsidR="00494E46" w:rsidRPr="00494E46">
        <w:rPr>
          <w:rFonts w:eastAsia="Calibri" w:cs="Arial"/>
          <w:i/>
          <w:iCs/>
        </w:rPr>
        <w:t>Dangerous</w:t>
      </w:r>
      <w:r w:rsidR="00494E46">
        <w:rPr>
          <w:rFonts w:eastAsia="Calibri" w:cs="Arial"/>
          <w:iCs/>
        </w:rPr>
        <w:t xml:space="preserve"> </w:t>
      </w:r>
      <w:r w:rsidR="00494E46" w:rsidRPr="00494E46">
        <w:rPr>
          <w:rFonts w:eastAsia="Calibri" w:cs="Arial"/>
          <w:i/>
          <w:iCs/>
        </w:rPr>
        <w:t>Prisoners (Sexual Offenders) Act 2003</w:t>
      </w:r>
      <w:r w:rsidR="00AE10BC">
        <w:rPr>
          <w:rFonts w:eastAsia="Calibri" w:cs="Arial"/>
          <w:iCs/>
        </w:rPr>
        <w:t xml:space="preserve">. </w:t>
      </w:r>
      <w:r w:rsidR="00B75438">
        <w:rPr>
          <w:rFonts w:eastAsia="Calibri" w:cs="Arial"/>
          <w:iCs/>
        </w:rPr>
        <w:t xml:space="preserve">The Court </w:t>
      </w:r>
      <w:r w:rsidR="00716C4A">
        <w:rPr>
          <w:rFonts w:eastAsia="Calibri" w:cs="Arial"/>
          <w:iCs/>
        </w:rPr>
        <w:t xml:space="preserve">concluded that the man was not provided with </w:t>
      </w:r>
      <w:r w:rsidR="00F53268">
        <w:rPr>
          <w:rFonts w:eastAsia="Calibri" w:cs="Arial"/>
          <w:iCs/>
        </w:rPr>
        <w:t xml:space="preserve">procedural fairness </w:t>
      </w:r>
      <w:r w:rsidR="00432D77">
        <w:rPr>
          <w:rFonts w:eastAsia="Calibri" w:cs="Arial"/>
          <w:iCs/>
        </w:rPr>
        <w:t>in the making of the direction</w:t>
      </w:r>
      <w:r w:rsidR="0013157E">
        <w:rPr>
          <w:rFonts w:eastAsia="Calibri" w:cs="Arial"/>
          <w:iCs/>
        </w:rPr>
        <w:t>s</w:t>
      </w:r>
      <w:r w:rsidR="00432D77">
        <w:rPr>
          <w:rFonts w:eastAsia="Calibri" w:cs="Arial"/>
          <w:iCs/>
        </w:rPr>
        <w:t xml:space="preserve"> </w:t>
      </w:r>
      <w:r w:rsidR="006823A1">
        <w:rPr>
          <w:rFonts w:eastAsia="Calibri" w:cs="Arial"/>
          <w:iCs/>
        </w:rPr>
        <w:t>and also found</w:t>
      </w:r>
      <w:r w:rsidR="00CB50E3">
        <w:rPr>
          <w:rFonts w:eastAsia="Calibri" w:cs="Arial"/>
          <w:iCs/>
        </w:rPr>
        <w:t xml:space="preserve"> an invalid limitation </w:t>
      </w:r>
      <w:r w:rsidR="00FD2A13">
        <w:rPr>
          <w:rFonts w:eastAsia="Calibri" w:cs="Arial"/>
          <w:iCs/>
        </w:rPr>
        <w:t xml:space="preserve">had been placed </w:t>
      </w:r>
      <w:r w:rsidR="00CB50E3">
        <w:rPr>
          <w:rFonts w:eastAsia="Calibri" w:cs="Arial"/>
          <w:iCs/>
        </w:rPr>
        <w:t xml:space="preserve">on the applicant’s right to </w:t>
      </w:r>
      <w:r w:rsidR="00CB50E3" w:rsidRPr="00123ECA">
        <w:rPr>
          <w:rFonts w:eastAsia="Calibri" w:cs="Arial"/>
        </w:rPr>
        <w:t>freedom of association</w:t>
      </w:r>
      <w:r w:rsidR="00CB50E3">
        <w:rPr>
          <w:rFonts w:eastAsia="Calibri" w:cs="Arial"/>
          <w:iCs/>
        </w:rPr>
        <w:t>.</w:t>
      </w:r>
    </w:p>
    <w:p w14:paraId="307A09C3" w14:textId="288A5771" w:rsidR="00CF3FCF" w:rsidRPr="00893CEF" w:rsidRDefault="00CF3FCF" w:rsidP="00CF3FCF">
      <w:pPr>
        <w:pStyle w:val="Heading2"/>
        <w:rPr>
          <w:color w:val="004270"/>
        </w:rPr>
      </w:pPr>
      <w:bookmarkStart w:id="377" w:name="_Toc147757304"/>
      <w:bookmarkStart w:id="378" w:name="_Toc148086925"/>
      <w:r w:rsidRPr="00893CEF">
        <w:rPr>
          <w:color w:val="004270"/>
        </w:rPr>
        <w:t>Referrals to Supreme Court</w:t>
      </w:r>
      <w:bookmarkEnd w:id="367"/>
      <w:bookmarkEnd w:id="368"/>
      <w:bookmarkEnd w:id="369"/>
      <w:bookmarkEnd w:id="370"/>
      <w:bookmarkEnd w:id="371"/>
      <w:bookmarkEnd w:id="372"/>
      <w:bookmarkEnd w:id="373"/>
      <w:bookmarkEnd w:id="374"/>
      <w:bookmarkEnd w:id="375"/>
      <w:bookmarkEnd w:id="376"/>
      <w:bookmarkEnd w:id="377"/>
      <w:bookmarkEnd w:id="378"/>
    </w:p>
    <w:p w14:paraId="54D55727" w14:textId="77777777" w:rsidR="00CF3FCF" w:rsidRDefault="00CF3FCF" w:rsidP="00CF3FCF">
      <w:pPr>
        <w:rPr>
          <w:lang w:val="en-US"/>
        </w:rPr>
      </w:pPr>
      <w:r w:rsidRPr="43FC7218">
        <w:rPr>
          <w:lang w:val="en-US"/>
        </w:rPr>
        <w:t xml:space="preserve">If a question of law arises in a court or tribunal proceeding about the application of the </w:t>
      </w:r>
      <w:r w:rsidRPr="43FC7218">
        <w:rPr>
          <w:i/>
          <w:iCs/>
          <w:lang w:val="en-US"/>
        </w:rPr>
        <w:t>Human Rights Act 2019</w:t>
      </w:r>
      <w:r w:rsidRPr="43FC7218">
        <w:rPr>
          <w:lang w:val="en-US"/>
        </w:rPr>
        <w:t xml:space="preserve">, or statutory interpretation in accordance with the Act, it may be referred to the Supreme Court of Queensland. </w:t>
      </w:r>
    </w:p>
    <w:p w14:paraId="55EC5700" w14:textId="656BBBB4" w:rsidR="00E06029" w:rsidRDefault="00254246" w:rsidP="00254246">
      <w:pPr>
        <w:rPr>
          <w:rStyle w:val="Emphasis"/>
          <w:rFonts w:eastAsiaTheme="majorEastAsia" w:cs="Arial"/>
          <w:color w:val="484848"/>
          <w:sz w:val="22"/>
        </w:rPr>
      </w:pPr>
      <w:r w:rsidRPr="006F6740">
        <w:rPr>
          <w:lang w:val="en-US"/>
        </w:rPr>
        <w:t xml:space="preserve">In 2022-23, there was one referral from the District Court on the question of whether </w:t>
      </w:r>
      <w:r w:rsidRPr="006F6740">
        <w:rPr>
          <w:rStyle w:val="Emphasis"/>
          <w:rFonts w:eastAsiaTheme="majorEastAsia" w:cs="Arial"/>
          <w:i w:val="0"/>
        </w:rPr>
        <w:t xml:space="preserve">an application purportedly made pursuant to section 29(7) of the Human Rights Act (liberty and security) was appropriately brought to the District Court. The decision in </w:t>
      </w:r>
      <w:r w:rsidRPr="006F6740">
        <w:rPr>
          <w:rStyle w:val="Emphasis"/>
          <w:rFonts w:eastAsiaTheme="majorEastAsia" w:cs="Arial"/>
          <w:iCs w:val="0"/>
        </w:rPr>
        <w:t>Wood v The King &amp; Anor</w:t>
      </w:r>
      <w:r w:rsidRPr="006F6740">
        <w:rPr>
          <w:rStyle w:val="Emphasis"/>
          <w:rFonts w:eastAsiaTheme="majorEastAsia" w:cs="Arial"/>
          <w:i w:val="0"/>
        </w:rPr>
        <w:t xml:space="preserve"> [2022] QSC 216 was that the application was not appropriately brought because the Human Rights Act </w:t>
      </w:r>
      <w:bookmarkStart w:id="379" w:name="_Toc110506637"/>
      <w:bookmarkStart w:id="380" w:name="_Toc809722664"/>
      <w:bookmarkStart w:id="381" w:name="_Toc117697154"/>
      <w:bookmarkStart w:id="382" w:name="_Toc117697861"/>
      <w:r w:rsidR="00827152">
        <w:rPr>
          <w:rStyle w:val="Emphasis"/>
          <w:rFonts w:eastAsiaTheme="majorEastAsia" w:cs="Arial"/>
          <w:i w:val="0"/>
          <w:color w:val="484848"/>
          <w:sz w:val="22"/>
        </w:rPr>
        <w:t xml:space="preserve">does </w:t>
      </w:r>
      <w:r w:rsidR="00827152" w:rsidRPr="006F6740">
        <w:rPr>
          <w:rFonts w:cs="Arial"/>
        </w:rPr>
        <w:t>not provide an independent remedy or cause of action.</w:t>
      </w:r>
    </w:p>
    <w:p w14:paraId="17E52946" w14:textId="68417F7B" w:rsidR="00EF7637" w:rsidRPr="00C70033" w:rsidRDefault="00EF7637" w:rsidP="00E06029">
      <w:pPr>
        <w:pStyle w:val="Heading2"/>
        <w:rPr>
          <w:color w:val="004270"/>
        </w:rPr>
      </w:pPr>
      <w:bookmarkStart w:id="383" w:name="_Toc147757305"/>
      <w:bookmarkStart w:id="384" w:name="_Toc148086926"/>
      <w:r w:rsidRPr="00C70033">
        <w:rPr>
          <w:color w:val="004270"/>
        </w:rPr>
        <w:t xml:space="preserve">Queensland cases that have considered or mentioned </w:t>
      </w:r>
      <w:r w:rsidR="00EE2BD2">
        <w:rPr>
          <w:color w:val="004270"/>
        </w:rPr>
        <w:t>the Human Rights Act</w:t>
      </w:r>
      <w:bookmarkEnd w:id="379"/>
      <w:bookmarkEnd w:id="380"/>
      <w:bookmarkEnd w:id="381"/>
      <w:bookmarkEnd w:id="382"/>
      <w:bookmarkEnd w:id="383"/>
      <w:bookmarkEnd w:id="384"/>
    </w:p>
    <w:p w14:paraId="24593E13" w14:textId="43650582" w:rsidR="00D94587" w:rsidRDefault="15428A58" w:rsidP="00D94587">
      <w:r>
        <w:t>In the financial year ending 30 June 202</w:t>
      </w:r>
      <w:r w:rsidR="00CF1A74">
        <w:t>3</w:t>
      </w:r>
      <w:r>
        <w:t xml:space="preserve">, courts and tribunals considered or mentioned the Act </w:t>
      </w:r>
      <w:r w:rsidR="00294781">
        <w:t xml:space="preserve">in 202 </w:t>
      </w:r>
      <w:r>
        <w:t xml:space="preserve">matters. </w:t>
      </w:r>
      <w:r w:rsidR="00F84AC0">
        <w:t xml:space="preserve">Of these, </w:t>
      </w:r>
      <w:r w:rsidR="00923E1A">
        <w:t>136</w:t>
      </w:r>
      <w:r w:rsidR="003716F3">
        <w:t xml:space="preserve"> </w:t>
      </w:r>
      <w:r w:rsidR="00724B3B">
        <w:t>involved</w:t>
      </w:r>
      <w:r w:rsidR="003716F3">
        <w:t xml:space="preserve"> detailed consideration</w:t>
      </w:r>
      <w:r w:rsidR="00C912EF">
        <w:t xml:space="preserve">. </w:t>
      </w:r>
      <w:r w:rsidR="00AB37F3">
        <w:t>On</w:t>
      </w:r>
      <w:r w:rsidR="00C912EF">
        <w:t xml:space="preserve"> </w:t>
      </w:r>
      <w:r w:rsidR="00923E1A">
        <w:t>66</w:t>
      </w:r>
      <w:r w:rsidR="00C912EF">
        <w:t xml:space="preserve"> </w:t>
      </w:r>
      <w:r w:rsidR="00AB37F3">
        <w:t>occasions</w:t>
      </w:r>
      <w:r w:rsidR="003716F3">
        <w:t xml:space="preserve"> the </w:t>
      </w:r>
      <w:r w:rsidR="00EE6B59">
        <w:t>Human Rights Act</w:t>
      </w:r>
      <w:r w:rsidR="003716F3">
        <w:t xml:space="preserve"> only received a minor mention</w:t>
      </w:r>
      <w:r w:rsidR="0037067F">
        <w:t xml:space="preserve"> by the decision-maker</w:t>
      </w:r>
      <w:r w:rsidR="00EE6B59">
        <w:t>. For the first time</w:t>
      </w:r>
      <w:r w:rsidR="00294781">
        <w:t xml:space="preserve"> this year</w:t>
      </w:r>
      <w:r w:rsidR="00EE6B59">
        <w:t xml:space="preserve"> we have reported on 2 overseas courts that considered or mentioned the Queensland Act. </w:t>
      </w:r>
    </w:p>
    <w:p w14:paraId="626BD430" w14:textId="77777777" w:rsidR="000D67C1" w:rsidRDefault="00A22438" w:rsidP="000D67C1">
      <w:r w:rsidRPr="000D67C1">
        <w:t>T</w:t>
      </w:r>
      <w:r w:rsidR="003D5469" w:rsidRPr="000D67C1">
        <w:t xml:space="preserve">he number of times that courts or tribunals considered or mentioned the Human Rights Act </w:t>
      </w:r>
      <w:r w:rsidR="003846F1" w:rsidRPr="000D67C1">
        <w:t>more than doubl</w:t>
      </w:r>
      <w:r w:rsidRPr="000D67C1">
        <w:t>ed</w:t>
      </w:r>
      <w:r w:rsidR="003846F1" w:rsidRPr="000D67C1">
        <w:t xml:space="preserve"> in number from the previous year.</w:t>
      </w:r>
      <w:r w:rsidR="003846F1">
        <w:t xml:space="preserve"> </w:t>
      </w:r>
    </w:p>
    <w:p w14:paraId="3F7DABBB" w14:textId="70C576CF" w:rsidR="007C6401" w:rsidRDefault="007C6401" w:rsidP="007C6401">
      <w:pPr>
        <w:pStyle w:val="Caption"/>
      </w:pPr>
      <w:r>
        <w:t xml:space="preserve">Table </w:t>
      </w:r>
      <w:r w:rsidR="00194DCC">
        <w:t>3</w:t>
      </w:r>
      <w:r>
        <w:t>: Number of matters where courts and tribunals considered or mentioned the Human Rights Act</w:t>
      </w:r>
      <w:r w:rsidR="00EF02E3">
        <w:t>.</w:t>
      </w:r>
    </w:p>
    <w:tbl>
      <w:tblPr>
        <w:tblW w:w="0" w:type="auto"/>
        <w:tblBorders>
          <w:top w:val="single" w:sz="4" w:space="0" w:color="124370"/>
          <w:bottom w:val="single" w:sz="4" w:space="0" w:color="124370"/>
          <w:insideH w:val="single" w:sz="4" w:space="0" w:color="124370"/>
        </w:tblBorders>
        <w:tblLook w:val="04A0" w:firstRow="1" w:lastRow="0" w:firstColumn="1" w:lastColumn="0" w:noHBand="0" w:noVBand="1"/>
      </w:tblPr>
      <w:tblGrid>
        <w:gridCol w:w="4820"/>
        <w:gridCol w:w="1417"/>
        <w:gridCol w:w="1134"/>
      </w:tblGrid>
      <w:tr w:rsidR="003773EA" w:rsidRPr="00533A97" w14:paraId="18E595D5" w14:textId="2692218B" w:rsidTr="00B132DB">
        <w:trPr>
          <w:trHeight w:val="550"/>
        </w:trPr>
        <w:tc>
          <w:tcPr>
            <w:tcW w:w="4820" w:type="dxa"/>
          </w:tcPr>
          <w:p w14:paraId="5331F2C9" w14:textId="77777777" w:rsidR="003773EA" w:rsidRPr="00533A97" w:rsidRDefault="003773EA" w:rsidP="007C6401">
            <w:pPr>
              <w:pStyle w:val="Tableheading"/>
              <w:rPr>
                <w:rFonts w:cs="Arial"/>
                <w:color w:val="004270"/>
              </w:rPr>
            </w:pPr>
            <w:r w:rsidRPr="00533A97">
              <w:rPr>
                <w:color w:val="004270"/>
              </w:rPr>
              <w:t>Court</w:t>
            </w:r>
          </w:p>
        </w:tc>
        <w:tc>
          <w:tcPr>
            <w:tcW w:w="1417" w:type="dxa"/>
          </w:tcPr>
          <w:p w14:paraId="3E3BD84B" w14:textId="0A519544" w:rsidR="003773EA" w:rsidRPr="00533A97" w:rsidRDefault="003773EA" w:rsidP="007C6401">
            <w:pPr>
              <w:pStyle w:val="Tableheading"/>
              <w:rPr>
                <w:rFonts w:cs="Arial"/>
                <w:color w:val="004270"/>
              </w:rPr>
            </w:pPr>
            <w:r>
              <w:rPr>
                <w:color w:val="004270"/>
              </w:rPr>
              <w:t>202</w:t>
            </w:r>
            <w:r w:rsidR="003B0B4D">
              <w:rPr>
                <w:color w:val="004270"/>
              </w:rPr>
              <w:t>1-22</w:t>
            </w:r>
          </w:p>
        </w:tc>
        <w:tc>
          <w:tcPr>
            <w:tcW w:w="1134" w:type="dxa"/>
          </w:tcPr>
          <w:p w14:paraId="4F1DA2CB" w14:textId="0EB942A2" w:rsidR="003773EA" w:rsidRPr="00533A97" w:rsidRDefault="003B0B4D" w:rsidP="007C6401">
            <w:pPr>
              <w:pStyle w:val="Tableheading"/>
              <w:rPr>
                <w:color w:val="004270"/>
              </w:rPr>
            </w:pPr>
            <w:r>
              <w:rPr>
                <w:color w:val="004270"/>
              </w:rPr>
              <w:t>2022-23</w:t>
            </w:r>
          </w:p>
        </w:tc>
      </w:tr>
      <w:tr w:rsidR="00273FEB" w14:paraId="293DF6F7" w14:textId="77777777" w:rsidTr="00B132DB">
        <w:tc>
          <w:tcPr>
            <w:tcW w:w="4820" w:type="dxa"/>
          </w:tcPr>
          <w:p w14:paraId="4DFE7612" w14:textId="0C9A6F73" w:rsidR="00273FEB" w:rsidRPr="1C89FEF5" w:rsidRDefault="00273FEB" w:rsidP="009E1FC7">
            <w:pPr>
              <w:pStyle w:val="Tabletext"/>
            </w:pPr>
            <w:r>
              <w:t>Federal</w:t>
            </w:r>
            <w:r w:rsidR="00617245">
              <w:t xml:space="preserve"> Court of Australia, Full Court</w:t>
            </w:r>
          </w:p>
        </w:tc>
        <w:tc>
          <w:tcPr>
            <w:tcW w:w="1417" w:type="dxa"/>
          </w:tcPr>
          <w:p w14:paraId="36047A30" w14:textId="2C5C8DFB" w:rsidR="00273FEB" w:rsidRPr="1C89FEF5" w:rsidRDefault="009C0A36" w:rsidP="009E1FC7">
            <w:pPr>
              <w:pStyle w:val="Tabletext"/>
              <w:rPr>
                <w:rFonts w:eastAsia="Calibri"/>
              </w:rPr>
            </w:pPr>
            <w:r>
              <w:rPr>
                <w:rFonts w:eastAsia="Calibri"/>
              </w:rPr>
              <w:t>0</w:t>
            </w:r>
          </w:p>
        </w:tc>
        <w:tc>
          <w:tcPr>
            <w:tcW w:w="1134" w:type="dxa"/>
          </w:tcPr>
          <w:p w14:paraId="64D0619F" w14:textId="3834622A" w:rsidR="00273FEB" w:rsidRDefault="5DB08784" w:rsidP="009E1FC7">
            <w:pPr>
              <w:pStyle w:val="Tabletext"/>
            </w:pPr>
            <w:r w:rsidRPr="3FDF3946">
              <w:rPr>
                <w:rFonts w:eastAsia="Calibri"/>
              </w:rPr>
              <w:t>2</w:t>
            </w:r>
          </w:p>
        </w:tc>
      </w:tr>
      <w:tr w:rsidR="009E1FC7" w14:paraId="2CC09FE9" w14:textId="57830D2A" w:rsidTr="00B132DB">
        <w:tc>
          <w:tcPr>
            <w:tcW w:w="4820" w:type="dxa"/>
          </w:tcPr>
          <w:p w14:paraId="5A2A0BBF" w14:textId="49EB1FA5" w:rsidR="009E1FC7" w:rsidRDefault="009E1FC7" w:rsidP="009E1FC7">
            <w:pPr>
              <w:pStyle w:val="Tabletext"/>
            </w:pPr>
            <w:r w:rsidRPr="1C89FEF5">
              <w:t xml:space="preserve">Federal Court of Australia </w:t>
            </w:r>
          </w:p>
        </w:tc>
        <w:tc>
          <w:tcPr>
            <w:tcW w:w="1417" w:type="dxa"/>
          </w:tcPr>
          <w:p w14:paraId="1A26A6B8" w14:textId="4791E0A0" w:rsidR="009E1FC7" w:rsidRDefault="009E1FC7" w:rsidP="009E1FC7">
            <w:pPr>
              <w:pStyle w:val="Tabletext"/>
              <w:rPr>
                <w:rFonts w:eastAsia="Calibri"/>
              </w:rPr>
            </w:pPr>
            <w:r w:rsidRPr="1C89FEF5">
              <w:rPr>
                <w:rFonts w:eastAsia="Calibri"/>
              </w:rPr>
              <w:t>1</w:t>
            </w:r>
          </w:p>
        </w:tc>
        <w:tc>
          <w:tcPr>
            <w:tcW w:w="1134" w:type="dxa"/>
          </w:tcPr>
          <w:p w14:paraId="599CE1D8" w14:textId="01F2B734" w:rsidR="009E1FC7" w:rsidRDefault="00C1449D" w:rsidP="009E1FC7">
            <w:pPr>
              <w:pStyle w:val="Tabletext"/>
              <w:rPr>
                <w:rFonts w:eastAsia="Calibri"/>
              </w:rPr>
            </w:pPr>
            <w:r>
              <w:rPr>
                <w:rFonts w:eastAsia="Calibri"/>
              </w:rPr>
              <w:t>1</w:t>
            </w:r>
          </w:p>
        </w:tc>
      </w:tr>
      <w:tr w:rsidR="00B22152" w14:paraId="0738A7FD" w14:textId="77777777" w:rsidTr="00B132DB">
        <w:tc>
          <w:tcPr>
            <w:tcW w:w="4820" w:type="dxa"/>
          </w:tcPr>
          <w:p w14:paraId="58923E56" w14:textId="41D344CA" w:rsidR="00B22152" w:rsidRPr="1C89FEF5" w:rsidRDefault="00B15320" w:rsidP="009E1FC7">
            <w:pPr>
              <w:pStyle w:val="Tabletext"/>
            </w:pPr>
            <w:r>
              <w:t xml:space="preserve">Federal Circuit and Family Court of Australia </w:t>
            </w:r>
          </w:p>
        </w:tc>
        <w:tc>
          <w:tcPr>
            <w:tcW w:w="1417" w:type="dxa"/>
          </w:tcPr>
          <w:p w14:paraId="7D6E42B4" w14:textId="4E15934F" w:rsidR="00B22152" w:rsidRPr="1C89FEF5" w:rsidRDefault="00615695" w:rsidP="009E1FC7">
            <w:pPr>
              <w:pStyle w:val="Tabletext"/>
              <w:rPr>
                <w:rFonts w:eastAsia="Calibri"/>
              </w:rPr>
            </w:pPr>
            <w:r>
              <w:rPr>
                <w:rFonts w:eastAsia="Calibri"/>
              </w:rPr>
              <w:t>0</w:t>
            </w:r>
          </w:p>
        </w:tc>
        <w:tc>
          <w:tcPr>
            <w:tcW w:w="1134" w:type="dxa"/>
          </w:tcPr>
          <w:p w14:paraId="0A01EEF3" w14:textId="718F7FEB" w:rsidR="00B22152" w:rsidRDefault="00615695" w:rsidP="009E1FC7">
            <w:pPr>
              <w:pStyle w:val="Tabletext"/>
              <w:rPr>
                <w:rFonts w:eastAsia="Calibri"/>
              </w:rPr>
            </w:pPr>
            <w:r>
              <w:rPr>
                <w:rFonts w:eastAsia="Calibri"/>
              </w:rPr>
              <w:t>1</w:t>
            </w:r>
          </w:p>
        </w:tc>
      </w:tr>
      <w:tr w:rsidR="009E1FC7" w14:paraId="1DEC57D9" w14:textId="0343C44E" w:rsidTr="00B132DB">
        <w:tc>
          <w:tcPr>
            <w:tcW w:w="4820" w:type="dxa"/>
          </w:tcPr>
          <w:p w14:paraId="4FE08B2B" w14:textId="35CC04F4" w:rsidR="009E1FC7" w:rsidRDefault="009E1FC7" w:rsidP="009E1FC7">
            <w:pPr>
              <w:pStyle w:val="Tabletext"/>
              <w:rPr>
                <w:rFonts w:eastAsia="Calibri"/>
              </w:rPr>
            </w:pPr>
            <w:r w:rsidRPr="1C89FEF5">
              <w:rPr>
                <w:rFonts w:eastAsia="Calibri"/>
              </w:rPr>
              <w:t>Fair Work Commission</w:t>
            </w:r>
          </w:p>
        </w:tc>
        <w:tc>
          <w:tcPr>
            <w:tcW w:w="1417" w:type="dxa"/>
          </w:tcPr>
          <w:p w14:paraId="5F24659A" w14:textId="42632C65" w:rsidR="009E1FC7" w:rsidRDefault="009E1FC7" w:rsidP="009E1FC7">
            <w:pPr>
              <w:pStyle w:val="Tabletext"/>
              <w:rPr>
                <w:rFonts w:eastAsia="Calibri"/>
              </w:rPr>
            </w:pPr>
            <w:r w:rsidRPr="1C89FEF5">
              <w:rPr>
                <w:rFonts w:eastAsia="Calibri"/>
              </w:rPr>
              <w:t>2</w:t>
            </w:r>
          </w:p>
        </w:tc>
        <w:tc>
          <w:tcPr>
            <w:tcW w:w="1134" w:type="dxa"/>
          </w:tcPr>
          <w:p w14:paraId="59CEA06D" w14:textId="196F3D89" w:rsidR="009E1FC7" w:rsidRDefault="00C1449D" w:rsidP="009E1FC7">
            <w:pPr>
              <w:pStyle w:val="Tabletext"/>
              <w:rPr>
                <w:rFonts w:eastAsia="Calibri"/>
              </w:rPr>
            </w:pPr>
            <w:r>
              <w:rPr>
                <w:rFonts w:eastAsia="Calibri"/>
              </w:rPr>
              <w:t>1</w:t>
            </w:r>
          </w:p>
        </w:tc>
      </w:tr>
      <w:tr w:rsidR="009E1FC7" w14:paraId="4A686947" w14:textId="5CFB3247" w:rsidTr="00B132DB">
        <w:tc>
          <w:tcPr>
            <w:tcW w:w="4820" w:type="dxa"/>
          </w:tcPr>
          <w:p w14:paraId="3AB1C506" w14:textId="77777777" w:rsidR="009E1FC7" w:rsidRPr="00705114" w:rsidRDefault="009E1FC7" w:rsidP="009E1FC7">
            <w:pPr>
              <w:pStyle w:val="Tabletext"/>
              <w:rPr>
                <w:shd w:val="clear" w:color="auto" w:fill="FFFFFF"/>
              </w:rPr>
            </w:pPr>
            <w:r>
              <w:rPr>
                <w:shd w:val="clear" w:color="auto" w:fill="FFFFFF"/>
              </w:rPr>
              <w:t>Court of Appeal Queensland</w:t>
            </w:r>
          </w:p>
        </w:tc>
        <w:tc>
          <w:tcPr>
            <w:tcW w:w="1417" w:type="dxa"/>
          </w:tcPr>
          <w:p w14:paraId="50E05D4E" w14:textId="71AB0976" w:rsidR="009E1FC7" w:rsidRDefault="009E1FC7" w:rsidP="009E1FC7">
            <w:pPr>
              <w:pStyle w:val="Tabletext"/>
            </w:pPr>
            <w:r w:rsidRPr="1C89FEF5">
              <w:t>1</w:t>
            </w:r>
          </w:p>
        </w:tc>
        <w:tc>
          <w:tcPr>
            <w:tcW w:w="1134" w:type="dxa"/>
          </w:tcPr>
          <w:p w14:paraId="2BC4AB61" w14:textId="6ECB315F" w:rsidR="009E1FC7" w:rsidRDefault="00C1449D" w:rsidP="009E1FC7">
            <w:pPr>
              <w:pStyle w:val="Tabletext"/>
            </w:pPr>
            <w:r>
              <w:t>3</w:t>
            </w:r>
          </w:p>
        </w:tc>
      </w:tr>
      <w:tr w:rsidR="009E1FC7" w14:paraId="42396F4C" w14:textId="3B68BBE7" w:rsidTr="00B132DB">
        <w:tc>
          <w:tcPr>
            <w:tcW w:w="4820" w:type="dxa"/>
          </w:tcPr>
          <w:p w14:paraId="229BB0DF" w14:textId="77777777" w:rsidR="009E1FC7" w:rsidRDefault="009E1FC7" w:rsidP="009E1FC7">
            <w:pPr>
              <w:pStyle w:val="Tabletext"/>
            </w:pPr>
            <w:r w:rsidRPr="00705114">
              <w:rPr>
                <w:shd w:val="clear" w:color="auto" w:fill="FFFFFF"/>
              </w:rPr>
              <w:t>Supreme Court of Queensland</w:t>
            </w:r>
          </w:p>
        </w:tc>
        <w:tc>
          <w:tcPr>
            <w:tcW w:w="1417" w:type="dxa"/>
          </w:tcPr>
          <w:p w14:paraId="49DD19F4" w14:textId="4996EDDA" w:rsidR="009E1FC7" w:rsidRDefault="009E1FC7" w:rsidP="009E1FC7">
            <w:pPr>
              <w:pStyle w:val="Tabletext"/>
            </w:pPr>
            <w:r w:rsidRPr="1C89FEF5">
              <w:t>3</w:t>
            </w:r>
          </w:p>
        </w:tc>
        <w:tc>
          <w:tcPr>
            <w:tcW w:w="1134" w:type="dxa"/>
          </w:tcPr>
          <w:p w14:paraId="3BFD6868" w14:textId="5159B855" w:rsidR="009E1FC7" w:rsidRDefault="00C1449D" w:rsidP="009E1FC7">
            <w:pPr>
              <w:pStyle w:val="Tabletext"/>
            </w:pPr>
            <w:r>
              <w:t>14</w:t>
            </w:r>
          </w:p>
        </w:tc>
      </w:tr>
      <w:tr w:rsidR="003413F8" w14:paraId="77257888" w14:textId="77777777" w:rsidTr="00B132DB">
        <w:tc>
          <w:tcPr>
            <w:tcW w:w="4820" w:type="dxa"/>
          </w:tcPr>
          <w:p w14:paraId="76214982" w14:textId="1FC852D6" w:rsidR="003413F8" w:rsidRPr="00705114" w:rsidRDefault="003413F8" w:rsidP="009E1FC7">
            <w:pPr>
              <w:pStyle w:val="Tabletext"/>
              <w:rPr>
                <w:shd w:val="clear" w:color="auto" w:fill="FFFFFF"/>
              </w:rPr>
            </w:pPr>
            <w:r>
              <w:rPr>
                <w:shd w:val="clear" w:color="auto" w:fill="FFFFFF"/>
              </w:rPr>
              <w:t>Industrial Court Queensland</w:t>
            </w:r>
          </w:p>
        </w:tc>
        <w:tc>
          <w:tcPr>
            <w:tcW w:w="1417" w:type="dxa"/>
          </w:tcPr>
          <w:p w14:paraId="760DEEF8" w14:textId="37558A76" w:rsidR="003413F8" w:rsidRPr="1C89FEF5" w:rsidRDefault="003413F8" w:rsidP="009E1FC7">
            <w:pPr>
              <w:pStyle w:val="Tabletext"/>
            </w:pPr>
            <w:r>
              <w:t>0</w:t>
            </w:r>
          </w:p>
        </w:tc>
        <w:tc>
          <w:tcPr>
            <w:tcW w:w="1134" w:type="dxa"/>
          </w:tcPr>
          <w:p w14:paraId="0F958BEB" w14:textId="5378AEE4" w:rsidR="003413F8" w:rsidRDefault="003413F8" w:rsidP="009E1FC7">
            <w:pPr>
              <w:pStyle w:val="Tabletext"/>
            </w:pPr>
            <w:r>
              <w:t>1</w:t>
            </w:r>
          </w:p>
        </w:tc>
      </w:tr>
      <w:tr w:rsidR="009E1FC7" w14:paraId="1AE22535" w14:textId="0CDCB1DB" w:rsidTr="00B132DB">
        <w:tc>
          <w:tcPr>
            <w:tcW w:w="4820" w:type="dxa"/>
          </w:tcPr>
          <w:p w14:paraId="306F7F4B" w14:textId="08B16161" w:rsidR="009E1FC7" w:rsidRPr="00705114" w:rsidRDefault="009E1FC7" w:rsidP="009E1FC7">
            <w:pPr>
              <w:pStyle w:val="Tabletext"/>
              <w:rPr>
                <w:shd w:val="clear" w:color="auto" w:fill="FFFFFF"/>
              </w:rPr>
            </w:pPr>
            <w:r w:rsidRPr="00705114">
              <w:rPr>
                <w:shd w:val="clear" w:color="auto" w:fill="FFFFFF"/>
              </w:rPr>
              <w:t>District Court of Queensland</w:t>
            </w:r>
            <w:r>
              <w:rPr>
                <w:shd w:val="clear" w:color="auto" w:fill="FFFFFF"/>
              </w:rPr>
              <w:t xml:space="preserve"> </w:t>
            </w:r>
          </w:p>
        </w:tc>
        <w:tc>
          <w:tcPr>
            <w:tcW w:w="1417" w:type="dxa"/>
          </w:tcPr>
          <w:p w14:paraId="40731B11" w14:textId="3E2F92F2" w:rsidR="009E1FC7" w:rsidRPr="00705114" w:rsidRDefault="009E1FC7" w:rsidP="009E1FC7">
            <w:pPr>
              <w:pStyle w:val="Tabletext"/>
              <w:rPr>
                <w:shd w:val="clear" w:color="auto" w:fill="FFFFFF"/>
              </w:rPr>
            </w:pPr>
            <w:r>
              <w:t>4</w:t>
            </w:r>
          </w:p>
        </w:tc>
        <w:tc>
          <w:tcPr>
            <w:tcW w:w="1134" w:type="dxa"/>
          </w:tcPr>
          <w:p w14:paraId="099FC35A" w14:textId="0C984DED" w:rsidR="009E1FC7" w:rsidRPr="00705114" w:rsidRDefault="00C1449D" w:rsidP="009E1FC7">
            <w:pPr>
              <w:pStyle w:val="Tabletext"/>
              <w:rPr>
                <w:shd w:val="clear" w:color="auto" w:fill="FFFFFF"/>
              </w:rPr>
            </w:pPr>
            <w:r>
              <w:rPr>
                <w:shd w:val="clear" w:color="auto" w:fill="FFFFFF"/>
              </w:rPr>
              <w:t>3</w:t>
            </w:r>
          </w:p>
        </w:tc>
      </w:tr>
      <w:tr w:rsidR="009E1FC7" w14:paraId="07913DC0" w14:textId="6560F608" w:rsidTr="00B132DB">
        <w:tc>
          <w:tcPr>
            <w:tcW w:w="4820" w:type="dxa"/>
          </w:tcPr>
          <w:p w14:paraId="2DF49327" w14:textId="69692CC8" w:rsidR="009E1FC7" w:rsidRDefault="009E1FC7" w:rsidP="009E1FC7">
            <w:pPr>
              <w:pStyle w:val="Tabletext"/>
            </w:pPr>
            <w:r>
              <w:t>Land Court of Queensland</w:t>
            </w:r>
          </w:p>
        </w:tc>
        <w:tc>
          <w:tcPr>
            <w:tcW w:w="1417" w:type="dxa"/>
          </w:tcPr>
          <w:p w14:paraId="42D352FF" w14:textId="42252415" w:rsidR="009E1FC7" w:rsidRDefault="009E1FC7" w:rsidP="009E1FC7">
            <w:pPr>
              <w:pStyle w:val="Tabletext"/>
              <w:rPr>
                <w:rFonts w:eastAsia="Calibri"/>
              </w:rPr>
            </w:pPr>
            <w:r w:rsidRPr="1C89FEF5">
              <w:rPr>
                <w:rFonts w:eastAsia="Calibri"/>
              </w:rPr>
              <w:t>2</w:t>
            </w:r>
          </w:p>
        </w:tc>
        <w:tc>
          <w:tcPr>
            <w:tcW w:w="1134" w:type="dxa"/>
          </w:tcPr>
          <w:p w14:paraId="53CB82B9" w14:textId="1B062111" w:rsidR="009E1FC7" w:rsidRDefault="00232525" w:rsidP="009E1FC7">
            <w:pPr>
              <w:pStyle w:val="Tabletext"/>
              <w:rPr>
                <w:rFonts w:eastAsia="Calibri"/>
              </w:rPr>
            </w:pPr>
            <w:r>
              <w:rPr>
                <w:rFonts w:eastAsia="Calibri"/>
              </w:rPr>
              <w:t>4</w:t>
            </w:r>
          </w:p>
        </w:tc>
      </w:tr>
      <w:tr w:rsidR="009E1FC7" w14:paraId="0BD24BC9" w14:textId="735CCA37" w:rsidTr="00B132DB">
        <w:tc>
          <w:tcPr>
            <w:tcW w:w="4820" w:type="dxa"/>
          </w:tcPr>
          <w:p w14:paraId="2DF88EC5" w14:textId="73A2FBFB" w:rsidR="009E1FC7" w:rsidRDefault="009E1FC7" w:rsidP="009E1FC7">
            <w:pPr>
              <w:pStyle w:val="Tabletext"/>
              <w:rPr>
                <w:rFonts w:eastAsia="Calibri"/>
              </w:rPr>
            </w:pPr>
            <w:r w:rsidRPr="1C89FEF5">
              <w:rPr>
                <w:rFonts w:eastAsia="Calibri"/>
              </w:rPr>
              <w:t>Mental Health Court Queensland</w:t>
            </w:r>
          </w:p>
        </w:tc>
        <w:tc>
          <w:tcPr>
            <w:tcW w:w="1417" w:type="dxa"/>
          </w:tcPr>
          <w:p w14:paraId="308390DE" w14:textId="25E60F20" w:rsidR="009E1FC7" w:rsidRDefault="009E1FC7" w:rsidP="009E1FC7">
            <w:pPr>
              <w:pStyle w:val="Tabletext"/>
              <w:rPr>
                <w:rFonts w:eastAsia="Calibri"/>
              </w:rPr>
            </w:pPr>
            <w:r w:rsidRPr="1C89FEF5">
              <w:rPr>
                <w:rFonts w:eastAsia="Calibri"/>
              </w:rPr>
              <w:t>1</w:t>
            </w:r>
          </w:p>
        </w:tc>
        <w:tc>
          <w:tcPr>
            <w:tcW w:w="1134" w:type="dxa"/>
          </w:tcPr>
          <w:p w14:paraId="49C683B6" w14:textId="2B713790" w:rsidR="009E1FC7" w:rsidRDefault="00232525" w:rsidP="009E1FC7">
            <w:pPr>
              <w:pStyle w:val="Tabletext"/>
              <w:rPr>
                <w:rFonts w:eastAsia="Calibri"/>
              </w:rPr>
            </w:pPr>
            <w:r>
              <w:rPr>
                <w:rFonts w:eastAsia="Calibri"/>
              </w:rPr>
              <w:t>1</w:t>
            </w:r>
          </w:p>
        </w:tc>
      </w:tr>
      <w:tr w:rsidR="009E1FC7" w14:paraId="40694A0B" w14:textId="37EF715C" w:rsidTr="00B132DB">
        <w:tc>
          <w:tcPr>
            <w:tcW w:w="4820" w:type="dxa"/>
          </w:tcPr>
          <w:p w14:paraId="70BA2769" w14:textId="77777777" w:rsidR="009E1FC7" w:rsidRPr="00705114" w:rsidRDefault="009E1FC7" w:rsidP="009E1FC7">
            <w:pPr>
              <w:pStyle w:val="Tabletext"/>
              <w:rPr>
                <w:shd w:val="clear" w:color="auto" w:fill="FFFFFF"/>
              </w:rPr>
            </w:pPr>
            <w:r w:rsidRPr="00705114">
              <w:rPr>
                <w:shd w:val="clear" w:color="auto" w:fill="FFFFFF"/>
              </w:rPr>
              <w:t>Coroners</w:t>
            </w:r>
            <w:r>
              <w:rPr>
                <w:shd w:val="clear" w:color="auto" w:fill="FFFFFF"/>
              </w:rPr>
              <w:t xml:space="preserve"> </w:t>
            </w:r>
            <w:r w:rsidRPr="00705114">
              <w:rPr>
                <w:shd w:val="clear" w:color="auto" w:fill="FFFFFF"/>
              </w:rPr>
              <w:t>Court Queensland</w:t>
            </w:r>
          </w:p>
        </w:tc>
        <w:tc>
          <w:tcPr>
            <w:tcW w:w="1417" w:type="dxa"/>
          </w:tcPr>
          <w:p w14:paraId="3086DA16" w14:textId="05DEFBC5" w:rsidR="009E1FC7" w:rsidRPr="00705114" w:rsidRDefault="009E1FC7" w:rsidP="009E1FC7">
            <w:pPr>
              <w:pStyle w:val="Tabletext"/>
              <w:rPr>
                <w:shd w:val="clear" w:color="auto" w:fill="FFFFFF"/>
              </w:rPr>
            </w:pPr>
            <w:r>
              <w:t>1</w:t>
            </w:r>
          </w:p>
        </w:tc>
        <w:tc>
          <w:tcPr>
            <w:tcW w:w="1134" w:type="dxa"/>
          </w:tcPr>
          <w:p w14:paraId="77DC9E0D" w14:textId="22F914D3" w:rsidR="009E1FC7" w:rsidRPr="00705114" w:rsidRDefault="00232525" w:rsidP="009E1FC7">
            <w:pPr>
              <w:pStyle w:val="Tabletext"/>
              <w:rPr>
                <w:shd w:val="clear" w:color="auto" w:fill="FFFFFF"/>
              </w:rPr>
            </w:pPr>
            <w:r>
              <w:rPr>
                <w:shd w:val="clear" w:color="auto" w:fill="FFFFFF"/>
              </w:rPr>
              <w:t>2</w:t>
            </w:r>
          </w:p>
        </w:tc>
      </w:tr>
      <w:tr w:rsidR="00615695" w14:paraId="6B9781A2" w14:textId="77777777" w:rsidTr="00B132DB">
        <w:tc>
          <w:tcPr>
            <w:tcW w:w="4820" w:type="dxa"/>
          </w:tcPr>
          <w:p w14:paraId="1B4AE396" w14:textId="7C3A1481" w:rsidR="00615695" w:rsidRPr="00705114" w:rsidRDefault="00950801" w:rsidP="009E1FC7">
            <w:pPr>
              <w:pStyle w:val="Tabletext"/>
              <w:rPr>
                <w:shd w:val="clear" w:color="auto" w:fill="FFFFFF"/>
              </w:rPr>
            </w:pPr>
            <w:r>
              <w:rPr>
                <w:shd w:val="clear" w:color="auto" w:fill="FFFFFF"/>
              </w:rPr>
              <w:t>Magistrates</w:t>
            </w:r>
            <w:r w:rsidR="00615695">
              <w:rPr>
                <w:shd w:val="clear" w:color="auto" w:fill="FFFFFF"/>
              </w:rPr>
              <w:t xml:space="preserve"> Court of Queensland </w:t>
            </w:r>
          </w:p>
        </w:tc>
        <w:tc>
          <w:tcPr>
            <w:tcW w:w="1417" w:type="dxa"/>
          </w:tcPr>
          <w:p w14:paraId="2309B980" w14:textId="345B5076" w:rsidR="00615695" w:rsidRDefault="00950801" w:rsidP="009E1FC7">
            <w:pPr>
              <w:pStyle w:val="Tabletext"/>
            </w:pPr>
            <w:r>
              <w:t>0</w:t>
            </w:r>
          </w:p>
        </w:tc>
        <w:tc>
          <w:tcPr>
            <w:tcW w:w="1134" w:type="dxa"/>
          </w:tcPr>
          <w:p w14:paraId="471E2C55" w14:textId="4FAE1DFF" w:rsidR="00615695" w:rsidRDefault="00950801" w:rsidP="009E1FC7">
            <w:pPr>
              <w:pStyle w:val="Tabletext"/>
              <w:rPr>
                <w:shd w:val="clear" w:color="auto" w:fill="FFFFFF"/>
              </w:rPr>
            </w:pPr>
            <w:r>
              <w:rPr>
                <w:shd w:val="clear" w:color="auto" w:fill="FFFFFF"/>
              </w:rPr>
              <w:t>2</w:t>
            </w:r>
          </w:p>
        </w:tc>
      </w:tr>
      <w:tr w:rsidR="009E1FC7" w14:paraId="668FB573" w14:textId="60FCC381" w:rsidTr="00B132DB">
        <w:tc>
          <w:tcPr>
            <w:tcW w:w="4820" w:type="dxa"/>
          </w:tcPr>
          <w:p w14:paraId="224A6FD9" w14:textId="77777777" w:rsidR="009E1FC7" w:rsidRPr="00705114" w:rsidRDefault="009E1FC7" w:rsidP="009E1FC7">
            <w:pPr>
              <w:pStyle w:val="Tabletext"/>
              <w:rPr>
                <w:shd w:val="clear" w:color="auto" w:fill="FFFFFF"/>
              </w:rPr>
            </w:pPr>
            <w:r w:rsidRPr="00705114">
              <w:rPr>
                <w:shd w:val="clear" w:color="auto" w:fill="FFFFFF"/>
              </w:rPr>
              <w:t>Queensland Civil and Administrative Tribunal, Appeals</w:t>
            </w:r>
          </w:p>
        </w:tc>
        <w:tc>
          <w:tcPr>
            <w:tcW w:w="1417" w:type="dxa"/>
          </w:tcPr>
          <w:p w14:paraId="1CB1A83C" w14:textId="566D706F" w:rsidR="009E1FC7" w:rsidRPr="00705114" w:rsidRDefault="009E1FC7" w:rsidP="009E1FC7">
            <w:pPr>
              <w:pStyle w:val="Tabletext"/>
              <w:rPr>
                <w:shd w:val="clear" w:color="auto" w:fill="FFFFFF"/>
              </w:rPr>
            </w:pPr>
            <w:r>
              <w:t>4</w:t>
            </w:r>
          </w:p>
        </w:tc>
        <w:tc>
          <w:tcPr>
            <w:tcW w:w="1134" w:type="dxa"/>
          </w:tcPr>
          <w:p w14:paraId="5BE5259F" w14:textId="061184D7" w:rsidR="009E1FC7" w:rsidRPr="00705114" w:rsidRDefault="00485256" w:rsidP="009E1FC7">
            <w:pPr>
              <w:pStyle w:val="Tabletext"/>
              <w:rPr>
                <w:shd w:val="clear" w:color="auto" w:fill="FFFFFF"/>
              </w:rPr>
            </w:pPr>
            <w:r>
              <w:rPr>
                <w:shd w:val="clear" w:color="auto" w:fill="FFFFFF"/>
              </w:rPr>
              <w:t>4</w:t>
            </w:r>
          </w:p>
        </w:tc>
      </w:tr>
      <w:tr w:rsidR="009E1FC7" w14:paraId="74388FA0" w14:textId="2E746E7F" w:rsidTr="00B132DB">
        <w:tc>
          <w:tcPr>
            <w:tcW w:w="4820" w:type="dxa"/>
          </w:tcPr>
          <w:p w14:paraId="3230EAB3" w14:textId="77777777" w:rsidR="009E1FC7" w:rsidRPr="00705114" w:rsidRDefault="009E1FC7" w:rsidP="009E1FC7">
            <w:pPr>
              <w:pStyle w:val="Tabletext"/>
              <w:rPr>
                <w:shd w:val="clear" w:color="auto" w:fill="FFFFFF"/>
              </w:rPr>
            </w:pPr>
            <w:r w:rsidRPr="00705114">
              <w:rPr>
                <w:shd w:val="clear" w:color="auto" w:fill="FFFFFF"/>
              </w:rPr>
              <w:t>Queensland Civil and Administrative Tribunal</w:t>
            </w:r>
          </w:p>
        </w:tc>
        <w:tc>
          <w:tcPr>
            <w:tcW w:w="1417" w:type="dxa"/>
          </w:tcPr>
          <w:p w14:paraId="19A89A6A" w14:textId="3F7F312F" w:rsidR="009E1FC7" w:rsidRPr="00705114" w:rsidRDefault="009E1FC7" w:rsidP="009E1FC7">
            <w:pPr>
              <w:pStyle w:val="Tabletext"/>
              <w:rPr>
                <w:shd w:val="clear" w:color="auto" w:fill="FFFFFF"/>
              </w:rPr>
            </w:pPr>
            <w:r>
              <w:t>44</w:t>
            </w:r>
          </w:p>
        </w:tc>
        <w:tc>
          <w:tcPr>
            <w:tcW w:w="1134" w:type="dxa"/>
          </w:tcPr>
          <w:p w14:paraId="43BFD14F" w14:textId="68D27C0F" w:rsidR="009E1FC7" w:rsidRPr="00705114" w:rsidRDefault="00485256" w:rsidP="009E1FC7">
            <w:pPr>
              <w:pStyle w:val="Tabletext"/>
              <w:rPr>
                <w:shd w:val="clear" w:color="auto" w:fill="FFFFFF"/>
              </w:rPr>
            </w:pPr>
            <w:r>
              <w:rPr>
                <w:shd w:val="clear" w:color="auto" w:fill="FFFFFF"/>
              </w:rPr>
              <w:t>77</w:t>
            </w:r>
          </w:p>
        </w:tc>
      </w:tr>
      <w:tr w:rsidR="009E1FC7" w14:paraId="7AA0B833" w14:textId="1F2DE170" w:rsidTr="00B132DB">
        <w:tc>
          <w:tcPr>
            <w:tcW w:w="4820" w:type="dxa"/>
          </w:tcPr>
          <w:p w14:paraId="38EAD307" w14:textId="77777777" w:rsidR="009E1FC7" w:rsidRPr="00705114" w:rsidRDefault="009E1FC7" w:rsidP="009E1FC7">
            <w:pPr>
              <w:pStyle w:val="Tabletext"/>
              <w:rPr>
                <w:shd w:val="clear" w:color="auto" w:fill="FFFFFF"/>
              </w:rPr>
            </w:pPr>
            <w:r w:rsidRPr="00705114">
              <w:rPr>
                <w:shd w:val="clear" w:color="auto" w:fill="FFFFFF"/>
              </w:rPr>
              <w:t xml:space="preserve">Queensland Industrial Relations Commission </w:t>
            </w:r>
          </w:p>
        </w:tc>
        <w:tc>
          <w:tcPr>
            <w:tcW w:w="1417" w:type="dxa"/>
          </w:tcPr>
          <w:p w14:paraId="23AE8E95" w14:textId="0D8EB045" w:rsidR="009E1FC7" w:rsidRPr="00705114" w:rsidRDefault="009E1FC7" w:rsidP="009E1FC7">
            <w:pPr>
              <w:pStyle w:val="Tabletext"/>
              <w:rPr>
                <w:shd w:val="clear" w:color="auto" w:fill="FFFFFF"/>
              </w:rPr>
            </w:pPr>
            <w:r>
              <w:t>23</w:t>
            </w:r>
          </w:p>
        </w:tc>
        <w:tc>
          <w:tcPr>
            <w:tcW w:w="1134" w:type="dxa"/>
          </w:tcPr>
          <w:p w14:paraId="3E2E57F6" w14:textId="37F3CEDB" w:rsidR="009E1FC7" w:rsidRPr="00705114" w:rsidRDefault="00485256" w:rsidP="009E1FC7">
            <w:pPr>
              <w:pStyle w:val="Tabletext"/>
              <w:rPr>
                <w:shd w:val="clear" w:color="auto" w:fill="FFFFFF"/>
              </w:rPr>
            </w:pPr>
            <w:r>
              <w:t>50</w:t>
            </w:r>
          </w:p>
        </w:tc>
      </w:tr>
      <w:tr w:rsidR="008E24FE" w14:paraId="6D304BD2" w14:textId="77777777" w:rsidTr="00B132DB">
        <w:tc>
          <w:tcPr>
            <w:tcW w:w="4820" w:type="dxa"/>
          </w:tcPr>
          <w:p w14:paraId="369F2A2A" w14:textId="71593C20" w:rsidR="008E24FE" w:rsidRPr="00705114" w:rsidRDefault="00467D13" w:rsidP="009E1FC7">
            <w:pPr>
              <w:pStyle w:val="Tabletext"/>
              <w:rPr>
                <w:shd w:val="clear" w:color="auto" w:fill="FFFFFF"/>
              </w:rPr>
            </w:pPr>
            <w:r>
              <w:rPr>
                <w:shd w:val="clear" w:color="auto" w:fill="FFFFFF"/>
              </w:rPr>
              <w:t xml:space="preserve">Office of </w:t>
            </w:r>
            <w:r w:rsidR="00AF38DF">
              <w:rPr>
                <w:shd w:val="clear" w:color="auto" w:fill="FFFFFF"/>
              </w:rPr>
              <w:t>Information</w:t>
            </w:r>
            <w:r>
              <w:rPr>
                <w:shd w:val="clear" w:color="auto" w:fill="FFFFFF"/>
              </w:rPr>
              <w:t xml:space="preserve"> Commissioner </w:t>
            </w:r>
          </w:p>
        </w:tc>
        <w:tc>
          <w:tcPr>
            <w:tcW w:w="1417" w:type="dxa"/>
          </w:tcPr>
          <w:p w14:paraId="1321587D" w14:textId="549A7887" w:rsidR="008E24FE" w:rsidRDefault="00AF38DF" w:rsidP="009E1FC7">
            <w:pPr>
              <w:pStyle w:val="Tabletext"/>
            </w:pPr>
            <w:r>
              <w:t>0</w:t>
            </w:r>
          </w:p>
        </w:tc>
        <w:tc>
          <w:tcPr>
            <w:tcW w:w="1134" w:type="dxa"/>
          </w:tcPr>
          <w:p w14:paraId="014C74FA" w14:textId="1E5827D5" w:rsidR="008E24FE" w:rsidRDefault="00AF38DF" w:rsidP="009E1FC7">
            <w:pPr>
              <w:pStyle w:val="Tabletext"/>
              <w:rPr>
                <w:shd w:val="clear" w:color="auto" w:fill="FFFFFF"/>
              </w:rPr>
            </w:pPr>
            <w:r>
              <w:rPr>
                <w:shd w:val="clear" w:color="auto" w:fill="FFFFFF"/>
              </w:rPr>
              <w:t>34</w:t>
            </w:r>
          </w:p>
        </w:tc>
      </w:tr>
      <w:tr w:rsidR="009C0A36" w14:paraId="1AAC0C3E" w14:textId="77777777" w:rsidTr="00B132DB">
        <w:tc>
          <w:tcPr>
            <w:tcW w:w="4820" w:type="dxa"/>
          </w:tcPr>
          <w:p w14:paraId="7E785D7D" w14:textId="19DCCF6C" w:rsidR="009C0A36" w:rsidRPr="00705114" w:rsidRDefault="009C0A36" w:rsidP="009E1FC7">
            <w:pPr>
              <w:pStyle w:val="Tabletext"/>
              <w:rPr>
                <w:shd w:val="clear" w:color="auto" w:fill="FFFFFF"/>
              </w:rPr>
            </w:pPr>
            <w:r>
              <w:rPr>
                <w:shd w:val="clear" w:color="auto" w:fill="FFFFFF"/>
              </w:rPr>
              <w:t>New Zealand Supreme Court</w:t>
            </w:r>
          </w:p>
        </w:tc>
        <w:tc>
          <w:tcPr>
            <w:tcW w:w="1417" w:type="dxa"/>
          </w:tcPr>
          <w:p w14:paraId="6AA792D9" w14:textId="17A890D2" w:rsidR="009C0A36" w:rsidRDefault="009C0A36" w:rsidP="009E1FC7">
            <w:pPr>
              <w:pStyle w:val="Tabletext"/>
            </w:pPr>
            <w:r>
              <w:t>0</w:t>
            </w:r>
          </w:p>
        </w:tc>
        <w:tc>
          <w:tcPr>
            <w:tcW w:w="1134" w:type="dxa"/>
          </w:tcPr>
          <w:p w14:paraId="39B97436" w14:textId="1E92FB22" w:rsidR="009C0A36" w:rsidRDefault="009C0A36" w:rsidP="009E1FC7">
            <w:pPr>
              <w:pStyle w:val="Tabletext"/>
              <w:rPr>
                <w:shd w:val="clear" w:color="auto" w:fill="FFFFFF"/>
              </w:rPr>
            </w:pPr>
            <w:r>
              <w:rPr>
                <w:shd w:val="clear" w:color="auto" w:fill="FFFFFF"/>
              </w:rPr>
              <w:t>1</w:t>
            </w:r>
          </w:p>
        </w:tc>
      </w:tr>
      <w:tr w:rsidR="009C0A36" w14:paraId="24695A30" w14:textId="77777777" w:rsidTr="00B132DB">
        <w:tc>
          <w:tcPr>
            <w:tcW w:w="4820" w:type="dxa"/>
          </w:tcPr>
          <w:p w14:paraId="18C66B25" w14:textId="7CA22DF5" w:rsidR="009C0A36" w:rsidRPr="00705114" w:rsidRDefault="009C0A36" w:rsidP="009E1FC7">
            <w:pPr>
              <w:pStyle w:val="Tabletext"/>
              <w:rPr>
                <w:shd w:val="clear" w:color="auto" w:fill="FFFFFF"/>
              </w:rPr>
            </w:pPr>
            <w:r>
              <w:rPr>
                <w:shd w:val="clear" w:color="auto" w:fill="FFFFFF"/>
              </w:rPr>
              <w:t xml:space="preserve">United Kingdom Supreme Court </w:t>
            </w:r>
          </w:p>
        </w:tc>
        <w:tc>
          <w:tcPr>
            <w:tcW w:w="1417" w:type="dxa"/>
          </w:tcPr>
          <w:p w14:paraId="0F0933FD" w14:textId="39615B79" w:rsidR="009C0A36" w:rsidRDefault="009C0A36" w:rsidP="009E1FC7">
            <w:pPr>
              <w:pStyle w:val="Tabletext"/>
            </w:pPr>
            <w:r>
              <w:t>0</w:t>
            </w:r>
          </w:p>
        </w:tc>
        <w:tc>
          <w:tcPr>
            <w:tcW w:w="1134" w:type="dxa"/>
          </w:tcPr>
          <w:p w14:paraId="6F1C1BF4" w14:textId="60522A2D" w:rsidR="009C0A36" w:rsidRDefault="009C0A36" w:rsidP="009E1FC7">
            <w:pPr>
              <w:pStyle w:val="Tabletext"/>
              <w:rPr>
                <w:shd w:val="clear" w:color="auto" w:fill="FFFFFF"/>
              </w:rPr>
            </w:pPr>
            <w:r>
              <w:rPr>
                <w:shd w:val="clear" w:color="auto" w:fill="FFFFFF"/>
              </w:rPr>
              <w:t>1</w:t>
            </w:r>
          </w:p>
        </w:tc>
      </w:tr>
      <w:tr w:rsidR="009E1FC7" w:rsidRPr="00781D2B" w14:paraId="74087F7B" w14:textId="0ADFECC3" w:rsidTr="00B132DB">
        <w:tc>
          <w:tcPr>
            <w:tcW w:w="4820" w:type="dxa"/>
          </w:tcPr>
          <w:p w14:paraId="02C78713" w14:textId="77777777" w:rsidR="009E1FC7" w:rsidRPr="00781D2B" w:rsidRDefault="009E1FC7" w:rsidP="009E1FC7">
            <w:pPr>
              <w:pStyle w:val="Tabletext"/>
              <w:rPr>
                <w:b/>
                <w:shd w:val="clear" w:color="auto" w:fill="FFFFFF"/>
              </w:rPr>
            </w:pPr>
            <w:r w:rsidRPr="00781D2B">
              <w:rPr>
                <w:b/>
                <w:shd w:val="clear" w:color="auto" w:fill="FFFFFF"/>
              </w:rPr>
              <w:t>Total</w:t>
            </w:r>
          </w:p>
        </w:tc>
        <w:tc>
          <w:tcPr>
            <w:tcW w:w="1417" w:type="dxa"/>
          </w:tcPr>
          <w:p w14:paraId="3B9591D6" w14:textId="360CF287" w:rsidR="009E1FC7" w:rsidRPr="00781D2B" w:rsidRDefault="009E1FC7" w:rsidP="009E1FC7">
            <w:pPr>
              <w:pStyle w:val="Tabletext"/>
              <w:rPr>
                <w:b/>
                <w:shd w:val="clear" w:color="auto" w:fill="FFFFFF"/>
              </w:rPr>
            </w:pPr>
            <w:r w:rsidRPr="1C89FEF5">
              <w:rPr>
                <w:b/>
                <w:bCs/>
              </w:rPr>
              <w:t>86</w:t>
            </w:r>
          </w:p>
        </w:tc>
        <w:tc>
          <w:tcPr>
            <w:tcW w:w="1134" w:type="dxa"/>
          </w:tcPr>
          <w:p w14:paraId="4B8AA4A5" w14:textId="4E2E5CE2" w:rsidR="009E1FC7" w:rsidRPr="00781D2B" w:rsidRDefault="00DF3FE3" w:rsidP="009E1FC7">
            <w:pPr>
              <w:pStyle w:val="Tabletext"/>
              <w:rPr>
                <w:b/>
                <w:shd w:val="clear" w:color="auto" w:fill="FFFFFF"/>
              </w:rPr>
            </w:pPr>
            <w:r w:rsidRPr="003D5469">
              <w:rPr>
                <w:b/>
                <w:shd w:val="clear" w:color="auto" w:fill="FFFFFF"/>
              </w:rPr>
              <w:t>202</w:t>
            </w:r>
          </w:p>
        </w:tc>
      </w:tr>
    </w:tbl>
    <w:p w14:paraId="050F8022" w14:textId="77777777" w:rsidR="007C6401" w:rsidRDefault="007C6401" w:rsidP="007C6401">
      <w:pPr>
        <w:rPr>
          <w:color w:val="124370"/>
        </w:rPr>
      </w:pPr>
    </w:p>
    <w:p w14:paraId="64FEF32B" w14:textId="77777777" w:rsidR="00CE2E6A" w:rsidRPr="00581A01" w:rsidRDefault="00CE2E6A" w:rsidP="00FB3D03">
      <w:pPr>
        <w:pStyle w:val="Heading1"/>
        <w:rPr>
          <w:color w:val="004270"/>
        </w:rPr>
      </w:pPr>
      <w:bookmarkStart w:id="385" w:name="_Toc85526681"/>
      <w:bookmarkStart w:id="386" w:name="_Toc85787096"/>
      <w:bookmarkStart w:id="387" w:name="_Toc110506638"/>
      <w:bookmarkStart w:id="388" w:name="_Toc2067811541"/>
      <w:bookmarkStart w:id="389" w:name="_Toc117697155"/>
      <w:bookmarkStart w:id="390" w:name="_Toc147757306"/>
      <w:bookmarkStart w:id="391" w:name="_Toc148086927"/>
      <w:r w:rsidRPr="00581A01">
        <w:rPr>
          <w:color w:val="004270"/>
        </w:rPr>
        <w:t>Key cases</w:t>
      </w:r>
      <w:bookmarkEnd w:id="385"/>
      <w:bookmarkEnd w:id="386"/>
      <w:bookmarkEnd w:id="387"/>
      <w:bookmarkEnd w:id="388"/>
      <w:bookmarkEnd w:id="389"/>
      <w:bookmarkEnd w:id="390"/>
      <w:bookmarkEnd w:id="391"/>
    </w:p>
    <w:p w14:paraId="23C3AD83" w14:textId="2113F3B5" w:rsidR="00CE2E6A" w:rsidRPr="008A00EB" w:rsidRDefault="00CE2E6A" w:rsidP="00CE2E6A">
      <w:r>
        <w:t xml:space="preserve">Queensland courts </w:t>
      </w:r>
      <w:r w:rsidR="003C623D">
        <w:t xml:space="preserve">from a range of jurisdictions </w:t>
      </w:r>
      <w:r>
        <w:t xml:space="preserve">considered the </w:t>
      </w:r>
      <w:r w:rsidRPr="00341538">
        <w:t>Human Rights Act</w:t>
      </w:r>
      <w:r w:rsidR="0093278E">
        <w:t>, and a</w:t>
      </w:r>
      <w:r>
        <w:t xml:space="preserve"> </w:t>
      </w:r>
      <w:r w:rsidR="0093278E">
        <w:t xml:space="preserve">selection </w:t>
      </w:r>
      <w:r>
        <w:t xml:space="preserve">of key cases from the reporting period are </w:t>
      </w:r>
      <w:r w:rsidR="00D82B3F">
        <w:t xml:space="preserve">summarised </w:t>
      </w:r>
      <w:r>
        <w:t>below.</w:t>
      </w:r>
    </w:p>
    <w:p w14:paraId="5ABFDC95" w14:textId="7970169B" w:rsidR="008608B1" w:rsidRPr="00B132DB" w:rsidRDefault="001E333F" w:rsidP="008608B1">
      <w:pPr>
        <w:pStyle w:val="Heading2"/>
        <w:shd w:val="clear" w:color="auto" w:fill="FFFFFF"/>
        <w:textAlignment w:val="baseline"/>
        <w:rPr>
          <w:rFonts w:cs="Arial"/>
          <w:color w:val="004270"/>
        </w:rPr>
      </w:pPr>
      <w:bookmarkStart w:id="392" w:name="_Toc147757307"/>
      <w:bookmarkStart w:id="393" w:name="_Toc148086928"/>
      <w:r w:rsidRPr="00B132DB">
        <w:rPr>
          <w:rFonts w:cs="Arial"/>
          <w:color w:val="004270"/>
        </w:rPr>
        <w:t>P</w:t>
      </w:r>
      <w:r w:rsidR="008608B1" w:rsidRPr="00B132DB">
        <w:rPr>
          <w:rFonts w:cs="Arial"/>
          <w:color w:val="004270"/>
        </w:rPr>
        <w:t>roperty and development</w:t>
      </w:r>
      <w:bookmarkEnd w:id="392"/>
      <w:bookmarkEnd w:id="393"/>
    </w:p>
    <w:p w14:paraId="0D7E1FD1" w14:textId="5DDFDCCF" w:rsidR="008608B1" w:rsidRPr="00B132DB" w:rsidRDefault="008608B1" w:rsidP="008608B1">
      <w:pPr>
        <w:pStyle w:val="Heading3"/>
        <w:rPr>
          <w:color w:val="004270"/>
        </w:rPr>
      </w:pPr>
      <w:bookmarkStart w:id="394" w:name="_Hlk141891404"/>
      <w:r w:rsidRPr="00B132DB">
        <w:rPr>
          <w:i/>
          <w:color w:val="004270"/>
        </w:rPr>
        <w:t>Austin BMI Pty Ltd v Deputy Premier</w:t>
      </w:r>
      <w:r w:rsidRPr="00B132DB">
        <w:rPr>
          <w:color w:val="004270"/>
        </w:rPr>
        <w:t xml:space="preserve"> [2023] QSC 95</w:t>
      </w:r>
    </w:p>
    <w:bookmarkEnd w:id="394"/>
    <w:p w14:paraId="3A9746AE" w14:textId="66DA63BE" w:rsidR="008608B1" w:rsidRPr="003E1C9A" w:rsidRDefault="008608B1" w:rsidP="00B132DB">
      <w:pPr>
        <w:rPr>
          <w:rFonts w:cs="Arial"/>
          <w:sz w:val="22"/>
        </w:rPr>
      </w:pPr>
      <w:r w:rsidRPr="00B132DB">
        <w:t>Three groups appl</w:t>
      </w:r>
      <w:r w:rsidRPr="003E1C9A">
        <w:t xml:space="preserve">ied for judicial review of a decision made by </w:t>
      </w:r>
      <w:r w:rsidR="0084348B">
        <w:t>Queensland’s</w:t>
      </w:r>
      <w:r w:rsidR="0084348B" w:rsidRPr="003E1C9A">
        <w:t xml:space="preserve"> </w:t>
      </w:r>
      <w:r w:rsidRPr="003E1C9A">
        <w:t>Deputy Premier to ‘call-in’ a development application made by Wanless Recycling Park to establish a new resource recovery and landfill facility west of Ipswich. The call-in meant the decision on whether to ap</w:t>
      </w:r>
      <w:r w:rsidRPr="003E1C9A">
        <w:rPr>
          <w:rFonts w:cs="Arial"/>
          <w:sz w:val="22"/>
        </w:rPr>
        <w:t>prove the application would be made by the Deputy Premier, rather than through the usual development application process. The Deputy Premier had not yet decided whether to approve or reject the application.</w:t>
      </w:r>
    </w:p>
    <w:p w14:paraId="587F4C10" w14:textId="3EA90377" w:rsidR="008608B1" w:rsidRPr="003E1C9A" w:rsidRDefault="009B6D65" w:rsidP="00B132DB">
      <w:pPr>
        <w:rPr>
          <w:rFonts w:cs="Arial"/>
          <w:sz w:val="22"/>
        </w:rPr>
      </w:pPr>
      <w:r w:rsidRPr="00B132DB">
        <w:t>A</w:t>
      </w:r>
      <w:r w:rsidR="008608B1" w:rsidRPr="003E1C9A">
        <w:t xml:space="preserve"> group of local residents alleged that the call-in decision was incompatible with their human rights under the </w:t>
      </w:r>
      <w:r w:rsidR="005F2A4B" w:rsidRPr="00B132DB">
        <w:t>Human Rights Act</w:t>
      </w:r>
      <w:r w:rsidR="008608B1" w:rsidRPr="003E1C9A">
        <w:t xml:space="preserve">. The Court considered their right to </w:t>
      </w:r>
      <w:r w:rsidR="00F87AFA" w:rsidRPr="003E1C9A">
        <w:t>take part</w:t>
      </w:r>
      <w:r w:rsidR="008608B1" w:rsidRPr="003E1C9A">
        <w:t xml:space="preserve"> in public life, property </w:t>
      </w:r>
      <w:r w:rsidR="000368B3">
        <w:t xml:space="preserve">rights, </w:t>
      </w:r>
      <w:r w:rsidR="008608B1" w:rsidRPr="003E1C9A">
        <w:t xml:space="preserve">and </w:t>
      </w:r>
      <w:r w:rsidR="000368B3">
        <w:t xml:space="preserve">right to </w:t>
      </w:r>
      <w:r w:rsidR="000F21F7">
        <w:t xml:space="preserve">a </w:t>
      </w:r>
      <w:r w:rsidR="008608B1" w:rsidRPr="003E1C9A">
        <w:t>fair hearing. The Court concluded that the Deputy Premier’s decision did not lim</w:t>
      </w:r>
      <w:r w:rsidR="008608B1" w:rsidRPr="003E1C9A">
        <w:rPr>
          <w:rFonts w:cs="Arial"/>
          <w:sz w:val="22"/>
        </w:rPr>
        <w:t>it human rights, and even if it did, any limitation was reasonable and proportionate.</w:t>
      </w:r>
    </w:p>
    <w:p w14:paraId="2695ED43" w14:textId="0EC0FE2C" w:rsidR="008608B1" w:rsidRPr="003E1C9A" w:rsidRDefault="008608B1" w:rsidP="00B132DB">
      <w:pPr>
        <w:rPr>
          <w:rFonts w:cs="Arial"/>
          <w:sz w:val="22"/>
        </w:rPr>
      </w:pPr>
      <w:r w:rsidRPr="00B132DB">
        <w:t xml:space="preserve">In </w:t>
      </w:r>
      <w:r w:rsidR="001A47B7">
        <w:t>considering</w:t>
      </w:r>
      <w:r w:rsidR="000D5F11">
        <w:t xml:space="preserve"> the right</w:t>
      </w:r>
      <w:r w:rsidR="001A47B7">
        <w:t>s</w:t>
      </w:r>
      <w:r w:rsidRPr="003E1C9A">
        <w:t xml:space="preserve"> of </w:t>
      </w:r>
      <w:r w:rsidR="001A47B7">
        <w:t xml:space="preserve">the local residents </w:t>
      </w:r>
      <w:r w:rsidR="000D5F11" w:rsidRPr="000D5F11">
        <w:t>to</w:t>
      </w:r>
      <w:r w:rsidRPr="000D5F11">
        <w:t xml:space="preserve"> </w:t>
      </w:r>
      <w:r w:rsidR="00F87AFA" w:rsidRPr="000D5F11">
        <w:t>tak</w:t>
      </w:r>
      <w:r w:rsidR="000D5F11" w:rsidRPr="000D5F11">
        <w:t>e</w:t>
      </w:r>
      <w:r w:rsidR="00F87AFA" w:rsidRPr="000D5F11">
        <w:t xml:space="preserve"> part in </w:t>
      </w:r>
      <w:r w:rsidRPr="000D5F11">
        <w:t>public life</w:t>
      </w:r>
      <w:r w:rsidRPr="003E1C9A">
        <w:t>,</w:t>
      </w:r>
      <w:r w:rsidR="000D5F11" w:rsidRPr="000D5F11">
        <w:rPr>
          <w:rStyle w:val="FootnoteReference"/>
          <w:rFonts w:cs="Arial"/>
          <w:sz w:val="22"/>
        </w:rPr>
        <w:footnoteReference w:id="55"/>
      </w:r>
      <w:r w:rsidRPr="003E1C9A">
        <w:t xml:space="preserve"> the Court concluded that </w:t>
      </w:r>
      <w:r w:rsidR="001A47B7">
        <w:t>they</w:t>
      </w:r>
      <w:r w:rsidRPr="003E1C9A">
        <w:t xml:space="preserve"> had the opportunity, without discrimination, to participate in the conduct of the call-in process. Even if </w:t>
      </w:r>
      <w:r w:rsidR="008C7573">
        <w:t>opposing</w:t>
      </w:r>
      <w:r w:rsidR="008C7573" w:rsidRPr="003E1C9A">
        <w:t xml:space="preserve"> </w:t>
      </w:r>
      <w:r w:rsidRPr="003E1C9A">
        <w:t xml:space="preserve">lobbyists had </w:t>
      </w:r>
      <w:r w:rsidR="008C7573">
        <w:t>better</w:t>
      </w:r>
      <w:r w:rsidRPr="003E1C9A">
        <w:t xml:space="preserve"> prospects of persuading the Deputy Premier, the right to take part in public life does not guarantee an equal voice or equality of bargaining power.</w:t>
      </w:r>
    </w:p>
    <w:p w14:paraId="60BBE8F2" w14:textId="535F202C" w:rsidR="008608B1" w:rsidRPr="003E1C9A" w:rsidRDefault="008608B1" w:rsidP="00B132DB">
      <w:pPr>
        <w:rPr>
          <w:rFonts w:cs="Arial"/>
          <w:sz w:val="22"/>
        </w:rPr>
      </w:pPr>
      <w:r w:rsidRPr="00B132DB">
        <w:t xml:space="preserve">The Court also considered the meaning of the term ‘without discrimination’ as it </w:t>
      </w:r>
      <w:r w:rsidR="008C7573">
        <w:t>forms part of</w:t>
      </w:r>
      <w:r w:rsidRPr="003E1C9A">
        <w:t xml:space="preserve"> the right to take part in public life. The </w:t>
      </w:r>
      <w:r w:rsidR="00E11FA9">
        <w:t>word</w:t>
      </w:r>
      <w:r w:rsidR="00E11FA9" w:rsidRPr="003E1C9A">
        <w:t xml:space="preserve"> </w:t>
      </w:r>
      <w:r w:rsidRPr="003E1C9A">
        <w:t xml:space="preserve">‘discrimination’ is defined </w:t>
      </w:r>
      <w:r w:rsidR="00097A21">
        <w:t>in</w:t>
      </w:r>
      <w:r w:rsidR="00097A21" w:rsidRPr="003E1C9A">
        <w:t xml:space="preserve"> </w:t>
      </w:r>
      <w:r w:rsidR="00DC0346" w:rsidRPr="003E1C9A">
        <w:t xml:space="preserve">the </w:t>
      </w:r>
      <w:r w:rsidR="00834E53">
        <w:t>Human Rights</w:t>
      </w:r>
      <w:r w:rsidR="00DC0346" w:rsidRPr="003E1C9A">
        <w:t xml:space="preserve"> Act </w:t>
      </w:r>
      <w:r w:rsidRPr="003E1C9A">
        <w:t xml:space="preserve">as </w:t>
      </w:r>
      <w:r w:rsidRPr="000D0207">
        <w:rPr>
          <w:i/>
        </w:rPr>
        <w:t>including</w:t>
      </w:r>
      <w:r w:rsidRPr="003E1C9A">
        <w:t xml:space="preserve"> direct or indirect discrimination </w:t>
      </w:r>
      <w:r w:rsidR="007E125E">
        <w:t xml:space="preserve">within the meaning of </w:t>
      </w:r>
      <w:r w:rsidRPr="003E1C9A">
        <w:t>the </w:t>
      </w:r>
      <w:r w:rsidRPr="0095278D">
        <w:rPr>
          <w:rStyle w:val="Emphasis"/>
          <w:rFonts w:eastAsiaTheme="majorEastAsia" w:cs="Arial"/>
          <w:sz w:val="22"/>
        </w:rPr>
        <w:t>Anti-Discrimination Act 1991</w:t>
      </w:r>
      <w:r w:rsidRPr="003E1C9A">
        <w:t xml:space="preserve">. </w:t>
      </w:r>
      <w:r w:rsidR="004146D1">
        <w:t>The Court found that this</w:t>
      </w:r>
      <w:r w:rsidRPr="003E1C9A">
        <w:t xml:space="preserve"> </w:t>
      </w:r>
      <w:r w:rsidR="0017181F">
        <w:t xml:space="preserve">definition allows </w:t>
      </w:r>
      <w:r w:rsidRPr="003E1C9A">
        <w:t>for analogous grounds of discrimination</w:t>
      </w:r>
      <w:r w:rsidR="004E7E39">
        <w:t xml:space="preserve"> </w:t>
      </w:r>
      <w:r w:rsidR="002C23F1">
        <w:t xml:space="preserve">beyond what is protected by </w:t>
      </w:r>
      <w:r w:rsidR="004E7E39">
        <w:t>the Anti-Discrimination Act</w:t>
      </w:r>
      <w:r w:rsidR="0056535A">
        <w:t>,</w:t>
      </w:r>
      <w:r w:rsidRPr="003E1C9A">
        <w:t xml:space="preserve"> </w:t>
      </w:r>
      <w:r w:rsidR="00321D97">
        <w:t>by applying the ordinary use of the word ‘discrimination’</w:t>
      </w:r>
      <w:r w:rsidR="002C23F1">
        <w:t xml:space="preserve">. This </w:t>
      </w:r>
      <w:r w:rsidR="00834E53">
        <w:t>involves</w:t>
      </w:r>
      <w:r w:rsidRPr="003E1C9A">
        <w:t xml:space="preserve"> </w:t>
      </w:r>
      <w:r w:rsidR="00E34CB2" w:rsidRPr="003E1C9A">
        <w:t>‘</w:t>
      </w:r>
      <w:r w:rsidRPr="003E1C9A">
        <w:t>making a distinction, as in to discriminate against a minority</w:t>
      </w:r>
      <w:r w:rsidR="00E34CB2" w:rsidRPr="003E1C9A">
        <w:t>’</w:t>
      </w:r>
      <w:r w:rsidR="002C23F1">
        <w:t>, and not merely differential treatment.</w:t>
      </w:r>
      <w:r w:rsidRPr="003E1C9A">
        <w:rPr>
          <w:rFonts w:cs="Arial"/>
          <w:sz w:val="22"/>
        </w:rPr>
        <w:t xml:space="preserve"> </w:t>
      </w:r>
    </w:p>
    <w:p w14:paraId="23E4824E" w14:textId="121D90DD" w:rsidR="008608B1" w:rsidRPr="003E1C9A" w:rsidRDefault="008608B1" w:rsidP="00B132DB">
      <w:pPr>
        <w:rPr>
          <w:rFonts w:cs="Arial"/>
          <w:sz w:val="22"/>
        </w:rPr>
      </w:pPr>
      <w:r w:rsidRPr="00B132DB">
        <w:t xml:space="preserve">The </w:t>
      </w:r>
      <w:r w:rsidRPr="003E1C9A">
        <w:t>applicants had also argued that the call</w:t>
      </w:r>
      <w:r w:rsidR="00D67515">
        <w:t>-</w:t>
      </w:r>
      <w:r w:rsidRPr="003E1C9A">
        <w:t xml:space="preserve">in deprived them of </w:t>
      </w:r>
      <w:r w:rsidR="000D5F11">
        <w:t xml:space="preserve">their rights to </w:t>
      </w:r>
      <w:r w:rsidRPr="000D5F11">
        <w:t>property</w:t>
      </w:r>
      <w:r w:rsidR="000D5F11">
        <w:rPr>
          <w:rStyle w:val="FootnoteReference"/>
          <w:rFonts w:cs="Arial"/>
          <w:sz w:val="22"/>
        </w:rPr>
        <w:footnoteReference w:id="56"/>
      </w:r>
      <w:r w:rsidRPr="006E6CDD">
        <w:rPr>
          <w:b/>
        </w:rPr>
        <w:t xml:space="preserve"> </w:t>
      </w:r>
      <w:r w:rsidRPr="003E1C9A">
        <w:rPr>
          <w:rFonts w:cs="Arial"/>
          <w:sz w:val="22"/>
        </w:rPr>
        <w:t>in the form of a statutory right to elect to be a co-respondent and participate as a party to a planning appeal. Even at its most liberal interpretation, the Court disagreed this amounted to property, which goes to a person’s dignity and ability to enjoy other human rights. The Court further found that the applicants had not demonstrated how they had been ‘arbitrarily’ deprived of the right to property and that the Deputy Premier’s actions in accordance with the statutory regime could not be described as arbitrary.</w:t>
      </w:r>
    </w:p>
    <w:p w14:paraId="10679D84" w14:textId="4366DBEE" w:rsidR="008608B1" w:rsidRPr="003E1C9A" w:rsidRDefault="00072591" w:rsidP="00B132DB">
      <w:r w:rsidRPr="00B132DB">
        <w:t xml:space="preserve">The </w:t>
      </w:r>
      <w:r w:rsidR="00807FD4">
        <w:t>call</w:t>
      </w:r>
      <w:r w:rsidR="00BE7954">
        <w:t>-</w:t>
      </w:r>
      <w:r w:rsidR="00807FD4">
        <w:t xml:space="preserve">in decision meant </w:t>
      </w:r>
      <w:r w:rsidR="00141DCF">
        <w:t>the planning appeal</w:t>
      </w:r>
      <w:r w:rsidR="00AA1372">
        <w:t>,</w:t>
      </w:r>
      <w:r>
        <w:t xml:space="preserve"> </w:t>
      </w:r>
      <w:r w:rsidR="00141DCF">
        <w:t xml:space="preserve">to which the </w:t>
      </w:r>
      <w:r>
        <w:t>applicants were a party</w:t>
      </w:r>
      <w:r w:rsidR="00141DCF">
        <w:t>, was discontinued</w:t>
      </w:r>
      <w:r>
        <w:t>. However, t</w:t>
      </w:r>
      <w:r w:rsidR="008608B1" w:rsidRPr="003E1C9A">
        <w:t xml:space="preserve">he Court followed case law </w:t>
      </w:r>
      <w:r w:rsidR="00030FFA">
        <w:t>from the United Kingdom</w:t>
      </w:r>
      <w:r w:rsidR="008608B1" w:rsidRPr="003E1C9A">
        <w:t xml:space="preserve"> to conclude that the </w:t>
      </w:r>
      <w:r>
        <w:t>applicants</w:t>
      </w:r>
      <w:r w:rsidR="0068332E">
        <w:t>’</w:t>
      </w:r>
      <w:r>
        <w:t xml:space="preserve"> </w:t>
      </w:r>
      <w:r w:rsidR="008608B1" w:rsidRPr="003E1C9A">
        <w:t xml:space="preserve">right to </w:t>
      </w:r>
      <w:r w:rsidR="00BE7954">
        <w:t>a</w:t>
      </w:r>
      <w:r w:rsidR="008608B1" w:rsidRPr="003E1C9A">
        <w:t xml:space="preserve"> </w:t>
      </w:r>
      <w:r w:rsidR="008608B1" w:rsidRPr="0095278D">
        <w:t>fair hearing</w:t>
      </w:r>
      <w:r w:rsidR="0095278D">
        <w:rPr>
          <w:rStyle w:val="FootnoteReference"/>
          <w:rFonts w:cs="Arial"/>
          <w:sz w:val="22"/>
        </w:rPr>
        <w:footnoteReference w:id="57"/>
      </w:r>
      <w:r w:rsidR="008608B1" w:rsidRPr="003E1C9A">
        <w:t xml:space="preserve"> </w:t>
      </w:r>
      <w:r w:rsidR="00BC599F">
        <w:t xml:space="preserve">would </w:t>
      </w:r>
      <w:r w:rsidR="008608B1" w:rsidRPr="003E1C9A">
        <w:t xml:space="preserve">not </w:t>
      </w:r>
      <w:r w:rsidR="00BC599F">
        <w:t xml:space="preserve">be </w:t>
      </w:r>
      <w:r w:rsidR="008608B1" w:rsidRPr="003E1C9A">
        <w:t>limited</w:t>
      </w:r>
      <w:r w:rsidR="00BE7954">
        <w:t>,</w:t>
      </w:r>
      <w:r w:rsidR="008608B1" w:rsidRPr="003E1C9A">
        <w:t xml:space="preserve"> </w:t>
      </w:r>
      <w:r w:rsidR="00BC599F">
        <w:t xml:space="preserve">provided </w:t>
      </w:r>
      <w:r w:rsidR="008608B1" w:rsidRPr="003E1C9A">
        <w:t>the call-in decision was subject to independent review which looked at ‘the legality of the decisions and of the procedures followed’</w:t>
      </w:r>
      <w:r w:rsidR="00D37CB9">
        <w:t xml:space="preserve"> </w:t>
      </w:r>
      <w:r w:rsidR="00BE7954">
        <w:t>–</w:t>
      </w:r>
      <w:r w:rsidR="00D37CB9">
        <w:t xml:space="preserve"> in this case, judicial review</w:t>
      </w:r>
      <w:r w:rsidR="008608B1" w:rsidRPr="003E1C9A">
        <w:t>.</w:t>
      </w:r>
    </w:p>
    <w:p w14:paraId="67D5D61A" w14:textId="675DBED9" w:rsidR="00A509B8" w:rsidRDefault="008608B1" w:rsidP="00B132DB">
      <w:pPr>
        <w:rPr>
          <w:rFonts w:cs="Arial"/>
          <w:sz w:val="22"/>
        </w:rPr>
      </w:pPr>
      <w:r w:rsidRPr="00B132DB">
        <w:t>The Co</w:t>
      </w:r>
      <w:r w:rsidRPr="003E1C9A">
        <w:t xml:space="preserve">urt also found the Deputy Premier had given </w:t>
      </w:r>
      <w:r w:rsidRPr="00B51DD9">
        <w:t>proper consideration</w:t>
      </w:r>
      <w:r w:rsidRPr="003E1C9A">
        <w:t xml:space="preserve"> to human rights</w:t>
      </w:r>
      <w:r w:rsidR="002F52EB">
        <w:t xml:space="preserve">. </w:t>
      </w:r>
      <w:r w:rsidR="007A771A">
        <w:t xml:space="preserve">The Deputy Premier </w:t>
      </w:r>
      <w:r w:rsidR="00035934">
        <w:t xml:space="preserve">expressly referred to a </w:t>
      </w:r>
      <w:r w:rsidR="00A509B8">
        <w:t>human rights assessment prepared by the department to assist with his consideration</w:t>
      </w:r>
      <w:r w:rsidR="003D03E2">
        <w:t xml:space="preserve">, which he was entitled to do. </w:t>
      </w:r>
      <w:r w:rsidR="003E0787">
        <w:t>The human rights assessment primarily discussed freedom of expression</w:t>
      </w:r>
      <w:r w:rsidR="005F2A4B">
        <w:t xml:space="preserve"> and did not refer to the rights to take part in public life, property</w:t>
      </w:r>
      <w:r w:rsidR="006E4AED">
        <w:t>,</w:t>
      </w:r>
      <w:r w:rsidR="005F2A4B">
        <w:t xml:space="preserve"> or fair hearing under the Human Rights Act</w:t>
      </w:r>
      <w:r w:rsidR="003E0787">
        <w:t>.</w:t>
      </w:r>
      <w:r w:rsidR="003A36A7">
        <w:t xml:space="preserve"> </w:t>
      </w:r>
      <w:r w:rsidR="005F2A4B">
        <w:t xml:space="preserve">The Court </w:t>
      </w:r>
      <w:r w:rsidR="006E4AED">
        <w:t xml:space="preserve">nevertheless </w:t>
      </w:r>
      <w:r w:rsidR="005F2A4B">
        <w:t xml:space="preserve">held that proper consideration had been given by the Deputy Premier </w:t>
      </w:r>
      <w:r w:rsidR="00181F0F">
        <w:t>because those rights had not been affected by the call-in decision</w:t>
      </w:r>
      <w:r w:rsidR="00A77771">
        <w:t xml:space="preserve">. Further, the Deputy Premier had </w:t>
      </w:r>
      <w:r w:rsidR="00874FCF">
        <w:t>identified and considered the potential impact</w:t>
      </w:r>
      <w:r w:rsidR="00E10C4E">
        <w:t xml:space="preserve"> of the call</w:t>
      </w:r>
      <w:r w:rsidR="006E4AED">
        <w:t>-</w:t>
      </w:r>
      <w:r w:rsidR="00E10C4E">
        <w:t>in decision</w:t>
      </w:r>
      <w:r w:rsidR="00874FCF">
        <w:rPr>
          <w:rFonts w:cs="Arial"/>
          <w:sz w:val="22"/>
        </w:rPr>
        <w:t xml:space="preserve"> on the right to property, although </w:t>
      </w:r>
      <w:r w:rsidR="00E10C4E">
        <w:rPr>
          <w:rFonts w:cs="Arial"/>
          <w:sz w:val="22"/>
        </w:rPr>
        <w:t xml:space="preserve">the </w:t>
      </w:r>
      <w:r w:rsidR="00E934CE">
        <w:rPr>
          <w:rFonts w:cs="Arial"/>
          <w:sz w:val="22"/>
        </w:rPr>
        <w:t xml:space="preserve">human rights assessment </w:t>
      </w:r>
      <w:r w:rsidR="00874FCF">
        <w:rPr>
          <w:rFonts w:cs="Arial"/>
          <w:sz w:val="22"/>
        </w:rPr>
        <w:t xml:space="preserve">did not refer to that right expressly. </w:t>
      </w:r>
    </w:p>
    <w:p w14:paraId="4BC85DA0" w14:textId="698F0E22" w:rsidR="008608B1" w:rsidRPr="003E1C9A" w:rsidRDefault="001217D4" w:rsidP="008608B1">
      <w:pPr>
        <w:rPr>
          <w:rFonts w:eastAsia="Calibri"/>
        </w:rPr>
      </w:pPr>
      <w:r>
        <w:rPr>
          <w:rFonts w:eastAsia="Calibri"/>
        </w:rPr>
        <w:t>T</w:t>
      </w:r>
      <w:r w:rsidR="008608B1" w:rsidRPr="003E1C9A">
        <w:rPr>
          <w:rFonts w:eastAsia="Calibri"/>
        </w:rPr>
        <w:t xml:space="preserve">he Court confirmed </w:t>
      </w:r>
      <w:r w:rsidR="006F6740">
        <w:rPr>
          <w:rFonts w:eastAsia="Calibri"/>
        </w:rPr>
        <w:t>that section 58(</w:t>
      </w:r>
      <w:r w:rsidR="006F6740">
        <w:rPr>
          <w:rFonts w:eastAsia="Calibri"/>
          <w:iCs/>
        </w:rPr>
        <w:t>6</w:t>
      </w:r>
      <w:r w:rsidR="006F6740">
        <w:rPr>
          <w:rFonts w:eastAsia="Calibri"/>
        </w:rPr>
        <w:t>) of the H</w:t>
      </w:r>
      <w:r w:rsidR="003A6546">
        <w:rPr>
          <w:rFonts w:eastAsia="Calibri"/>
        </w:rPr>
        <w:t>u</w:t>
      </w:r>
      <w:r w:rsidR="006F6740">
        <w:rPr>
          <w:rFonts w:eastAsia="Calibri"/>
        </w:rPr>
        <w:t xml:space="preserve">man Rights Act </w:t>
      </w:r>
      <w:r w:rsidR="006F6740">
        <w:rPr>
          <w:rFonts w:eastAsia="Calibri"/>
          <w:iCs/>
        </w:rPr>
        <w:t xml:space="preserve">makes clear that breach of section 58(1) </w:t>
      </w:r>
      <w:r w:rsidR="006F6740">
        <w:rPr>
          <w:rFonts w:eastAsia="Calibri"/>
        </w:rPr>
        <w:t xml:space="preserve">by a public entity </w:t>
      </w:r>
      <w:r w:rsidR="006F6740">
        <w:rPr>
          <w:rFonts w:eastAsia="Calibri"/>
          <w:iCs/>
        </w:rPr>
        <w:t>amounts to</w:t>
      </w:r>
      <w:r w:rsidR="006F6740">
        <w:rPr>
          <w:rFonts w:eastAsia="Calibri"/>
        </w:rPr>
        <w:t xml:space="preserve"> </w:t>
      </w:r>
      <w:r w:rsidR="008608B1" w:rsidRPr="003E1C9A">
        <w:rPr>
          <w:rFonts w:eastAsia="Calibri"/>
        </w:rPr>
        <w:t xml:space="preserve">‘non-jurisdictional error’. That means that even if a decision is ‘unlawful’ under section 58(1), it does not make the decision ‘invalid’. </w:t>
      </w:r>
    </w:p>
    <w:p w14:paraId="60BC8FED" w14:textId="77777777" w:rsidR="008608B1" w:rsidRPr="00B132DB" w:rsidRDefault="008608B1" w:rsidP="008608B1">
      <w:pPr>
        <w:pStyle w:val="Heading3"/>
        <w:rPr>
          <w:color w:val="004270"/>
        </w:rPr>
      </w:pPr>
      <w:bookmarkStart w:id="395" w:name="_Hlk141955757"/>
      <w:r w:rsidRPr="00F47C36">
        <w:rPr>
          <w:i/>
          <w:color w:val="004270"/>
        </w:rPr>
        <w:t xml:space="preserve">Waratah Coal Pty Ltd v Youth Verdict Ltd &amp; Ors (No 6) </w:t>
      </w:r>
      <w:r w:rsidRPr="00B132DB">
        <w:rPr>
          <w:color w:val="004270"/>
        </w:rPr>
        <w:t>[2022] QLC 21</w:t>
      </w:r>
    </w:p>
    <w:bookmarkEnd w:id="395"/>
    <w:p w14:paraId="0E941673" w14:textId="0E421B90" w:rsidR="00840767" w:rsidRPr="00243A08" w:rsidRDefault="00D20415" w:rsidP="003957CD">
      <w:pPr>
        <w:rPr>
          <w:rFonts w:cs="Arial"/>
          <w:color w:val="484848"/>
          <w:sz w:val="22"/>
        </w:rPr>
      </w:pPr>
      <w:r w:rsidRPr="00243A08">
        <w:t xml:space="preserve">Waratah Coal applied for a mining lease and an environmental authority to allow it to mine thermal coal in the Galilee Basin. </w:t>
      </w:r>
      <w:r w:rsidR="000A1C42" w:rsidRPr="00243A08">
        <w:t xml:space="preserve">Youth Verdict and others objected to </w:t>
      </w:r>
      <w:r w:rsidR="00C97930" w:rsidRPr="00243A08">
        <w:t xml:space="preserve">the </w:t>
      </w:r>
      <w:r w:rsidR="000915FD">
        <w:t>grant of a mining lease</w:t>
      </w:r>
      <w:r w:rsidR="000915FD" w:rsidRPr="00DA2DAD">
        <w:rPr>
          <w:rFonts w:cs="Arial"/>
        </w:rPr>
        <w:t xml:space="preserve"> </w:t>
      </w:r>
      <w:r w:rsidR="00A574E3" w:rsidRPr="00DA2DAD">
        <w:rPr>
          <w:rFonts w:cs="Arial"/>
        </w:rPr>
        <w:t xml:space="preserve">and environmental authority </w:t>
      </w:r>
      <w:r w:rsidR="00C97930" w:rsidRPr="00DA2DAD">
        <w:rPr>
          <w:rFonts w:cs="Arial"/>
        </w:rPr>
        <w:t>and the matter was referred to the Land Court to make recom</w:t>
      </w:r>
      <w:r w:rsidR="003408C5">
        <w:rPr>
          <w:rFonts w:cs="Arial"/>
        </w:rPr>
        <w:softHyphen/>
      </w:r>
      <w:r w:rsidR="00C97930" w:rsidRPr="00DA2DAD">
        <w:rPr>
          <w:rFonts w:cs="Arial"/>
        </w:rPr>
        <w:t xml:space="preserve">mendations. </w:t>
      </w:r>
      <w:r w:rsidR="008C3F2B" w:rsidRPr="00DA2DAD">
        <w:rPr>
          <w:rFonts w:cs="Arial"/>
        </w:rPr>
        <w:t>T</w:t>
      </w:r>
      <w:r w:rsidR="008608B1" w:rsidRPr="00DA2DAD">
        <w:rPr>
          <w:rFonts w:cs="Arial"/>
        </w:rPr>
        <w:t>he Land Court recommended that the mining lease and environmental authority be refused</w:t>
      </w:r>
      <w:r w:rsidR="00840767" w:rsidRPr="00243A08">
        <w:rPr>
          <w:rFonts w:cs="Arial"/>
          <w:color w:val="484848"/>
          <w:sz w:val="22"/>
        </w:rPr>
        <w:t xml:space="preserve"> on several grounds, including that the resulting limitation on human rights caused by climate change could not be justified</w:t>
      </w:r>
      <w:r w:rsidR="008608B1" w:rsidRPr="00243A08">
        <w:rPr>
          <w:rFonts w:cs="Arial"/>
          <w:color w:val="484848"/>
          <w:sz w:val="22"/>
        </w:rPr>
        <w:t>.</w:t>
      </w:r>
      <w:r w:rsidR="000A6F64" w:rsidRPr="00243A08">
        <w:rPr>
          <w:rFonts w:cs="Arial"/>
          <w:color w:val="484848"/>
          <w:sz w:val="22"/>
        </w:rPr>
        <w:t xml:space="preserve"> </w:t>
      </w:r>
    </w:p>
    <w:p w14:paraId="6CBB4C38" w14:textId="6EE33240" w:rsidR="009A22F2" w:rsidRPr="00243A08" w:rsidRDefault="008412A5" w:rsidP="003957CD">
      <w:pPr>
        <w:rPr>
          <w:rFonts w:cs="Arial"/>
          <w:sz w:val="22"/>
        </w:rPr>
      </w:pPr>
      <w:r w:rsidRPr="003957CD">
        <w:t xml:space="preserve">The Land Court was acting in an administrative capacity and therefore required to properly consider </w:t>
      </w:r>
      <w:r w:rsidR="000A6F64" w:rsidRPr="00243A08">
        <w:t>human rights that might be limited by the mining project, and to make a decision that is compatible with human rights.</w:t>
      </w:r>
      <w:r w:rsidR="00ED627F" w:rsidRPr="00243A08">
        <w:t xml:space="preserve"> </w:t>
      </w:r>
      <w:r w:rsidR="009A22F2" w:rsidRPr="00243A08">
        <w:t xml:space="preserve">The Court accepted </w:t>
      </w:r>
      <w:r w:rsidR="00F7631D" w:rsidRPr="00243A08">
        <w:t xml:space="preserve">the connection between the act of authorising the </w:t>
      </w:r>
      <w:r w:rsidR="00AB2E08">
        <w:t>grant of the</w:t>
      </w:r>
      <w:r w:rsidR="00AC368A">
        <w:t xml:space="preserve"> lease</w:t>
      </w:r>
      <w:r w:rsidR="00AB2E08" w:rsidRPr="00243A08">
        <w:t xml:space="preserve"> </w:t>
      </w:r>
      <w:r w:rsidR="00A96703" w:rsidRPr="00243A08">
        <w:t xml:space="preserve">and the harm that </w:t>
      </w:r>
      <w:r w:rsidR="00AC368A">
        <w:t>would</w:t>
      </w:r>
      <w:r w:rsidR="00AC368A" w:rsidRPr="00243A08">
        <w:t xml:space="preserve"> </w:t>
      </w:r>
      <w:r w:rsidR="00A96703" w:rsidRPr="00243A08">
        <w:t xml:space="preserve">be caused by the emission of greenhouse gas when the mined coal </w:t>
      </w:r>
      <w:r w:rsidR="00AC368A">
        <w:t>was</w:t>
      </w:r>
      <w:r w:rsidR="00A96703" w:rsidRPr="00243A08">
        <w:t xml:space="preserve"> burnt. </w:t>
      </w:r>
      <w:r w:rsidR="00803548" w:rsidRPr="00243A08">
        <w:rPr>
          <w:rFonts w:cs="Arial"/>
          <w:sz w:val="22"/>
        </w:rPr>
        <w:t xml:space="preserve">This meant </w:t>
      </w:r>
      <w:r w:rsidR="00775BEA" w:rsidRPr="00243A08">
        <w:rPr>
          <w:rFonts w:cs="Arial"/>
          <w:sz w:val="22"/>
        </w:rPr>
        <w:t xml:space="preserve">that </w:t>
      </w:r>
      <w:r w:rsidR="003D334F" w:rsidRPr="00243A08">
        <w:rPr>
          <w:rFonts w:cs="Arial"/>
          <w:sz w:val="22"/>
        </w:rPr>
        <w:t xml:space="preserve">authorising </w:t>
      </w:r>
      <w:r w:rsidR="00DA79B5" w:rsidRPr="00243A08">
        <w:rPr>
          <w:rFonts w:cs="Arial"/>
          <w:sz w:val="22"/>
        </w:rPr>
        <w:t xml:space="preserve">the project </w:t>
      </w:r>
      <w:r w:rsidR="0023269E" w:rsidRPr="00243A08">
        <w:rPr>
          <w:rFonts w:cs="Arial"/>
          <w:sz w:val="22"/>
        </w:rPr>
        <w:t>ha</w:t>
      </w:r>
      <w:r w:rsidR="003D334F" w:rsidRPr="00243A08">
        <w:rPr>
          <w:rFonts w:cs="Arial"/>
          <w:sz w:val="22"/>
        </w:rPr>
        <w:t>d</w:t>
      </w:r>
      <w:r w:rsidR="0023269E" w:rsidRPr="00243A08">
        <w:rPr>
          <w:rFonts w:cs="Arial"/>
          <w:sz w:val="22"/>
        </w:rPr>
        <w:t xml:space="preserve"> the capacity to </w:t>
      </w:r>
      <w:r w:rsidR="00DA79B5" w:rsidRPr="00243A08">
        <w:rPr>
          <w:rFonts w:cs="Arial"/>
          <w:sz w:val="22"/>
        </w:rPr>
        <w:t xml:space="preserve">limit human rights. </w:t>
      </w:r>
    </w:p>
    <w:p w14:paraId="48EE81E2" w14:textId="0F3500BE" w:rsidR="00CF5132" w:rsidRPr="00243A08" w:rsidRDefault="002754B9" w:rsidP="00A22438">
      <w:pPr>
        <w:rPr>
          <w:rFonts w:cs="Arial"/>
          <w:sz w:val="22"/>
        </w:rPr>
      </w:pPr>
      <w:r>
        <w:rPr>
          <w:rFonts w:cs="Arial"/>
        </w:rPr>
        <w:t>T</w:t>
      </w:r>
      <w:r w:rsidR="002E5630" w:rsidRPr="00243A08">
        <w:rPr>
          <w:rFonts w:cs="Arial"/>
        </w:rPr>
        <w:t xml:space="preserve">he Court </w:t>
      </w:r>
      <w:r w:rsidR="000F5383" w:rsidRPr="00243A08">
        <w:rPr>
          <w:rFonts w:cs="Arial"/>
        </w:rPr>
        <w:t xml:space="preserve">held it </w:t>
      </w:r>
      <w:r w:rsidR="0063523C" w:rsidRPr="00243A08">
        <w:rPr>
          <w:rFonts w:cs="Arial"/>
        </w:rPr>
        <w:t xml:space="preserve">was not necessary for the claimant to have suffered harm to establish a limit on </w:t>
      </w:r>
      <w:r>
        <w:rPr>
          <w:rFonts w:cs="Arial"/>
        </w:rPr>
        <w:t xml:space="preserve">the </w:t>
      </w:r>
      <w:r w:rsidRPr="003957CD">
        <w:rPr>
          <w:rFonts w:cs="Arial"/>
        </w:rPr>
        <w:t>right to life</w:t>
      </w:r>
      <w:r w:rsidR="0063523C" w:rsidRPr="00243A08">
        <w:rPr>
          <w:rFonts w:cs="Arial"/>
        </w:rPr>
        <w:t>.</w:t>
      </w:r>
      <w:r w:rsidR="003957CD">
        <w:rPr>
          <w:rStyle w:val="FootnoteReference"/>
          <w:rFonts w:cs="Arial"/>
        </w:rPr>
        <w:footnoteReference w:id="58"/>
      </w:r>
      <w:r w:rsidR="0063523C" w:rsidRPr="00243A08">
        <w:rPr>
          <w:rFonts w:cs="Arial"/>
        </w:rPr>
        <w:t xml:space="preserve"> The increased risks of climate change, even if the risks did not materialise, were sufficient to demonstrate a </w:t>
      </w:r>
      <w:r w:rsidR="0063523C" w:rsidRPr="00243A08">
        <w:rPr>
          <w:rFonts w:cs="Arial"/>
          <w:sz w:val="22"/>
        </w:rPr>
        <w:t>limitation because of the life-threatening consequences of climate change caused by burning the mined coa</w:t>
      </w:r>
      <w:r w:rsidR="00E406BC" w:rsidRPr="00243A08">
        <w:rPr>
          <w:rFonts w:cs="Arial"/>
          <w:sz w:val="22"/>
        </w:rPr>
        <w:t>l.</w:t>
      </w:r>
    </w:p>
    <w:p w14:paraId="3D7E4BB1" w14:textId="20A69494" w:rsidR="00E406BC" w:rsidRPr="00243A08" w:rsidRDefault="006C7FE4" w:rsidP="00A22438">
      <w:pPr>
        <w:rPr>
          <w:rFonts w:cs="Arial"/>
          <w:sz w:val="22"/>
        </w:rPr>
      </w:pPr>
      <w:r w:rsidRPr="00243A08">
        <w:rPr>
          <w:rFonts w:cs="Arial"/>
        </w:rPr>
        <w:t xml:space="preserve">Climate change impacts </w:t>
      </w:r>
      <w:r w:rsidR="00173C30" w:rsidRPr="00243A08">
        <w:rPr>
          <w:rFonts w:cs="Arial"/>
        </w:rPr>
        <w:t xml:space="preserve">would </w:t>
      </w:r>
      <w:r w:rsidR="00C535B7" w:rsidRPr="00243A08">
        <w:rPr>
          <w:rFonts w:cs="Arial"/>
        </w:rPr>
        <w:t xml:space="preserve">also </w:t>
      </w:r>
      <w:r w:rsidRPr="00243A08">
        <w:rPr>
          <w:rFonts w:cs="Arial"/>
        </w:rPr>
        <w:t xml:space="preserve">have a profound impact on </w:t>
      </w:r>
      <w:r w:rsidR="00C535B7" w:rsidRPr="00243A08">
        <w:rPr>
          <w:rFonts w:cs="Arial"/>
        </w:rPr>
        <w:t xml:space="preserve">the </w:t>
      </w:r>
      <w:r w:rsidR="00C535B7" w:rsidRPr="003957CD">
        <w:rPr>
          <w:rFonts w:cs="Arial"/>
        </w:rPr>
        <w:t xml:space="preserve">cultural </w:t>
      </w:r>
      <w:r w:rsidR="00C535B7" w:rsidRPr="00F26086">
        <w:rPr>
          <w:rFonts w:cs="Arial"/>
        </w:rPr>
        <w:t>rights of Aboriginal peoples and Torres Strait Islander</w:t>
      </w:r>
      <w:r w:rsidR="00C535B7" w:rsidRPr="00243A08">
        <w:rPr>
          <w:rFonts w:cs="Arial"/>
        </w:rPr>
        <w:t xml:space="preserve"> </w:t>
      </w:r>
      <w:r w:rsidR="00C535B7" w:rsidRPr="00F26086">
        <w:rPr>
          <w:rFonts w:cs="Arial"/>
        </w:rPr>
        <w:t>peoples</w:t>
      </w:r>
      <w:r w:rsidR="003957CD" w:rsidRPr="00F26086">
        <w:rPr>
          <w:rStyle w:val="FootnoteReference"/>
          <w:rFonts w:cs="Arial"/>
        </w:rPr>
        <w:footnoteReference w:id="59"/>
      </w:r>
      <w:r w:rsidR="00C535B7" w:rsidRPr="00243A08">
        <w:rPr>
          <w:rFonts w:cs="Arial"/>
        </w:rPr>
        <w:t xml:space="preserve"> </w:t>
      </w:r>
      <w:r w:rsidRPr="00243A08">
        <w:rPr>
          <w:rFonts w:cs="Arial"/>
        </w:rPr>
        <w:t>and</w:t>
      </w:r>
      <w:r w:rsidR="00061324" w:rsidRPr="00243A08">
        <w:rPr>
          <w:rFonts w:cs="Arial"/>
        </w:rPr>
        <w:t>,</w:t>
      </w:r>
      <w:r w:rsidRPr="00243A08">
        <w:rPr>
          <w:rFonts w:cs="Arial"/>
        </w:rPr>
        <w:t xml:space="preserve"> for </w:t>
      </w:r>
      <w:r w:rsidR="002340EB" w:rsidRPr="00243A08">
        <w:rPr>
          <w:rFonts w:cs="Arial"/>
        </w:rPr>
        <w:t>people who would be displaced from their country, the survival of their culture</w:t>
      </w:r>
      <w:r w:rsidR="009417F7">
        <w:rPr>
          <w:rFonts w:cs="Arial"/>
        </w:rPr>
        <w:t xml:space="preserve"> was at r</w:t>
      </w:r>
      <w:r w:rsidR="008558F1">
        <w:rPr>
          <w:rFonts w:cs="Arial"/>
        </w:rPr>
        <w:t>isk</w:t>
      </w:r>
      <w:r w:rsidR="002340EB" w:rsidRPr="00243A08">
        <w:rPr>
          <w:rFonts w:cs="Arial"/>
        </w:rPr>
        <w:t>.</w:t>
      </w:r>
      <w:r w:rsidR="001E0913" w:rsidRPr="00243A08">
        <w:rPr>
          <w:rFonts w:cs="Arial"/>
        </w:rPr>
        <w:t xml:space="preserve"> </w:t>
      </w:r>
      <w:r w:rsidR="0058035F" w:rsidRPr="00243A08">
        <w:rPr>
          <w:rFonts w:cs="Arial"/>
        </w:rPr>
        <w:t>The impacts of climate change and d</w:t>
      </w:r>
      <w:r w:rsidR="001E0913" w:rsidRPr="00243A08">
        <w:rPr>
          <w:rFonts w:cs="Arial"/>
        </w:rPr>
        <w:t xml:space="preserve">isplacement also limit </w:t>
      </w:r>
      <w:r w:rsidR="00167053">
        <w:rPr>
          <w:rFonts w:cs="Arial"/>
        </w:rPr>
        <w:t xml:space="preserve">the </w:t>
      </w:r>
      <w:r w:rsidR="001E0913" w:rsidRPr="00F26086">
        <w:rPr>
          <w:rFonts w:cs="Arial"/>
        </w:rPr>
        <w:t>right</w:t>
      </w:r>
      <w:r w:rsidR="001E0913" w:rsidRPr="00243A08">
        <w:rPr>
          <w:rFonts w:cs="Arial"/>
        </w:rPr>
        <w:t xml:space="preserve"> to </w:t>
      </w:r>
      <w:r w:rsidR="001E0913" w:rsidRPr="00F26086">
        <w:rPr>
          <w:rFonts w:cs="Arial"/>
        </w:rPr>
        <w:t>privacy</w:t>
      </w:r>
      <w:r w:rsidR="001E0913" w:rsidRPr="00243A08">
        <w:rPr>
          <w:rFonts w:cs="Arial"/>
        </w:rPr>
        <w:t xml:space="preserve"> </w:t>
      </w:r>
      <w:r w:rsidR="001E0913" w:rsidRPr="00F26086">
        <w:rPr>
          <w:rFonts w:cs="Arial"/>
        </w:rPr>
        <w:t>and home</w:t>
      </w:r>
      <w:r w:rsidR="001E0913" w:rsidRPr="00243A08">
        <w:rPr>
          <w:rFonts w:cs="Arial"/>
        </w:rPr>
        <w:t>,</w:t>
      </w:r>
      <w:r w:rsidR="003957CD" w:rsidRPr="00F26086">
        <w:rPr>
          <w:rStyle w:val="FootnoteReference"/>
          <w:rFonts w:cs="Arial"/>
        </w:rPr>
        <w:footnoteReference w:id="60"/>
      </w:r>
      <w:r w:rsidR="001E0913" w:rsidRPr="00243A08">
        <w:rPr>
          <w:rFonts w:cs="Arial"/>
        </w:rPr>
        <w:t xml:space="preserve"> </w:t>
      </w:r>
      <w:r w:rsidR="00EF242D" w:rsidRPr="00243A08">
        <w:rPr>
          <w:rFonts w:cs="Arial"/>
        </w:rPr>
        <w:t xml:space="preserve">and the right to enjoy </w:t>
      </w:r>
      <w:r w:rsidR="00EF242D" w:rsidRPr="00F26086">
        <w:rPr>
          <w:rFonts w:cs="Arial"/>
        </w:rPr>
        <w:t>human rights equally.</w:t>
      </w:r>
      <w:r w:rsidR="00F26086" w:rsidRPr="00F26086">
        <w:rPr>
          <w:rStyle w:val="FootnoteReference"/>
          <w:rFonts w:cs="Arial"/>
        </w:rPr>
        <w:footnoteReference w:id="61"/>
      </w:r>
      <w:r w:rsidR="00E865C3">
        <w:rPr>
          <w:rFonts w:cs="Arial"/>
        </w:rPr>
        <w:t xml:space="preserve"> </w:t>
      </w:r>
    </w:p>
    <w:p w14:paraId="0E96E14C" w14:textId="3536E8D3" w:rsidR="002340EB" w:rsidRPr="00243A08" w:rsidRDefault="001A12F7" w:rsidP="00A22438">
      <w:pPr>
        <w:rPr>
          <w:rFonts w:cs="Arial"/>
          <w:sz w:val="22"/>
        </w:rPr>
      </w:pPr>
      <w:r w:rsidRPr="00243A08">
        <w:rPr>
          <w:rFonts w:cs="Arial"/>
        </w:rPr>
        <w:t>The</w:t>
      </w:r>
      <w:r w:rsidRPr="00F26086">
        <w:rPr>
          <w:rFonts w:cs="Arial"/>
        </w:rPr>
        <w:t xml:space="preserve"> rights of c</w:t>
      </w:r>
      <w:r w:rsidR="00580667" w:rsidRPr="00F26086">
        <w:rPr>
          <w:rFonts w:cs="Arial"/>
        </w:rPr>
        <w:t>hildren</w:t>
      </w:r>
      <w:r w:rsidR="00F26086" w:rsidRPr="00F26086">
        <w:rPr>
          <w:rStyle w:val="FootnoteReference"/>
          <w:rFonts w:cs="Arial"/>
        </w:rPr>
        <w:footnoteReference w:id="62"/>
      </w:r>
      <w:r w:rsidR="00580667" w:rsidRPr="00243A08">
        <w:rPr>
          <w:rFonts w:cs="Arial"/>
        </w:rPr>
        <w:t xml:space="preserve"> </w:t>
      </w:r>
      <w:r w:rsidRPr="00243A08">
        <w:rPr>
          <w:rFonts w:cs="Arial"/>
          <w:sz w:val="22"/>
        </w:rPr>
        <w:t xml:space="preserve">were limited due to their vulnerability </w:t>
      </w:r>
      <w:r w:rsidR="00580667" w:rsidRPr="00243A08">
        <w:rPr>
          <w:rFonts w:cs="Arial"/>
          <w:sz w:val="22"/>
        </w:rPr>
        <w:t xml:space="preserve">to climate change impacts and </w:t>
      </w:r>
      <w:r w:rsidR="002D2AE7" w:rsidRPr="00243A08">
        <w:rPr>
          <w:rFonts w:cs="Arial"/>
          <w:sz w:val="22"/>
        </w:rPr>
        <w:t xml:space="preserve">the </w:t>
      </w:r>
      <w:r w:rsidR="00580667" w:rsidRPr="00243A08">
        <w:rPr>
          <w:rFonts w:cs="Arial"/>
          <w:sz w:val="22"/>
        </w:rPr>
        <w:t xml:space="preserve">disproportionate burden </w:t>
      </w:r>
      <w:r w:rsidR="002D2AE7" w:rsidRPr="00243A08">
        <w:rPr>
          <w:rFonts w:cs="Arial"/>
          <w:sz w:val="22"/>
        </w:rPr>
        <w:t xml:space="preserve">of those impacts on children </w:t>
      </w:r>
      <w:r w:rsidR="00580667" w:rsidRPr="00243A08">
        <w:rPr>
          <w:rFonts w:cs="Arial"/>
          <w:sz w:val="22"/>
        </w:rPr>
        <w:t xml:space="preserve">today and in the future. </w:t>
      </w:r>
    </w:p>
    <w:p w14:paraId="32138233" w14:textId="5B5D7120" w:rsidR="004D6F83" w:rsidRPr="00243A08" w:rsidRDefault="002D2AE7" w:rsidP="003B1D24">
      <w:pPr>
        <w:rPr>
          <w:rFonts w:cs="Arial"/>
          <w:sz w:val="22"/>
        </w:rPr>
      </w:pPr>
      <w:r w:rsidRPr="00243A08">
        <w:rPr>
          <w:rFonts w:cs="Arial"/>
        </w:rPr>
        <w:t xml:space="preserve">The </w:t>
      </w:r>
      <w:r w:rsidR="008558F1" w:rsidRPr="00F26086">
        <w:rPr>
          <w:rFonts w:cs="Arial"/>
        </w:rPr>
        <w:t>C</w:t>
      </w:r>
      <w:r w:rsidRPr="00F26086">
        <w:rPr>
          <w:rFonts w:cs="Arial"/>
        </w:rPr>
        <w:t>ourt</w:t>
      </w:r>
      <w:r w:rsidRPr="00243A08">
        <w:rPr>
          <w:rFonts w:cs="Arial"/>
        </w:rPr>
        <w:t xml:space="preserve"> </w:t>
      </w:r>
      <w:r w:rsidR="599CBC86" w:rsidRPr="287F50F0">
        <w:rPr>
          <w:rFonts w:cs="Arial"/>
        </w:rPr>
        <w:t>also accepted</w:t>
      </w:r>
      <w:r w:rsidR="00A362B8" w:rsidRPr="00243A08">
        <w:rPr>
          <w:rFonts w:cs="Arial"/>
        </w:rPr>
        <w:t xml:space="preserve"> that </w:t>
      </w:r>
      <w:r w:rsidR="00735966" w:rsidRPr="00243A08">
        <w:rPr>
          <w:rFonts w:cs="Arial"/>
        </w:rPr>
        <w:t>‘</w:t>
      </w:r>
      <w:r w:rsidR="007E0512" w:rsidRPr="00243A08">
        <w:rPr>
          <w:rFonts w:cs="Arial"/>
        </w:rPr>
        <w:t>climate change impacts will include destruction of property or a sufficient restriction on the ability to use and enjoy property to amount to a de facto expropriation’</w:t>
      </w:r>
      <w:r w:rsidR="00735966" w:rsidRPr="00243A08">
        <w:rPr>
          <w:rFonts w:cs="Arial"/>
        </w:rPr>
        <w:t xml:space="preserve">. This deprivation </w:t>
      </w:r>
      <w:r w:rsidR="72C6B93D" w:rsidRPr="10530F39">
        <w:rPr>
          <w:rFonts w:cs="Arial"/>
        </w:rPr>
        <w:t xml:space="preserve">of </w:t>
      </w:r>
      <w:r w:rsidR="72C6B93D" w:rsidRPr="00F26086">
        <w:rPr>
          <w:rFonts w:cs="Arial"/>
        </w:rPr>
        <w:t>property</w:t>
      </w:r>
      <w:r w:rsidR="00F26086" w:rsidRPr="00F26086">
        <w:rPr>
          <w:rStyle w:val="FootnoteReference"/>
          <w:rFonts w:cs="Arial"/>
        </w:rPr>
        <w:footnoteReference w:id="63"/>
      </w:r>
      <w:r w:rsidR="00735966" w:rsidRPr="10530F39">
        <w:rPr>
          <w:rFonts w:cs="Arial"/>
        </w:rPr>
        <w:t xml:space="preserve"> </w:t>
      </w:r>
      <w:r w:rsidR="00735966" w:rsidRPr="00243A08">
        <w:rPr>
          <w:rFonts w:cs="Arial"/>
        </w:rPr>
        <w:t>was arbitrary in t</w:t>
      </w:r>
      <w:r w:rsidR="005F501F" w:rsidRPr="00243A08">
        <w:rPr>
          <w:rFonts w:cs="Arial"/>
          <w:sz w:val="22"/>
        </w:rPr>
        <w:t>h</w:t>
      </w:r>
      <w:r w:rsidR="00735966" w:rsidRPr="00243A08">
        <w:rPr>
          <w:rFonts w:cs="Arial"/>
          <w:sz w:val="22"/>
        </w:rPr>
        <w:t>e sense of not being proportionate to the legitimate aim.</w:t>
      </w:r>
      <w:r w:rsidR="00120986" w:rsidRPr="00243A08">
        <w:rPr>
          <w:rFonts w:cs="Arial"/>
          <w:sz w:val="22"/>
        </w:rPr>
        <w:t xml:space="preserve"> T</w:t>
      </w:r>
      <w:r w:rsidR="00735966" w:rsidRPr="00243A08">
        <w:rPr>
          <w:rFonts w:cs="Arial"/>
          <w:sz w:val="22"/>
        </w:rPr>
        <w:t xml:space="preserve">he Court </w:t>
      </w:r>
      <w:r w:rsidR="00120986" w:rsidRPr="00243A08">
        <w:rPr>
          <w:rFonts w:cs="Arial"/>
          <w:sz w:val="22"/>
        </w:rPr>
        <w:t xml:space="preserve">considered </w:t>
      </w:r>
      <w:r w:rsidR="00735966" w:rsidRPr="00243A08">
        <w:rPr>
          <w:rFonts w:cs="Arial"/>
          <w:sz w:val="22"/>
        </w:rPr>
        <w:t xml:space="preserve">the </w:t>
      </w:r>
      <w:r w:rsidR="00820933" w:rsidRPr="00243A08">
        <w:rPr>
          <w:rFonts w:cs="Arial"/>
          <w:sz w:val="22"/>
        </w:rPr>
        <w:t xml:space="preserve">importance of preserving the right, both as a fundamental common law right, and the human and cultural loss </w:t>
      </w:r>
      <w:r w:rsidR="005F501F" w:rsidRPr="00243A08">
        <w:rPr>
          <w:rFonts w:cs="Arial"/>
          <w:sz w:val="22"/>
        </w:rPr>
        <w:t xml:space="preserve">for First Nations peoples. </w:t>
      </w:r>
    </w:p>
    <w:p w14:paraId="37A2ED5D" w14:textId="07EC83E6" w:rsidR="001A12F7" w:rsidRPr="00243A08" w:rsidRDefault="000668A3" w:rsidP="003B1D24">
      <w:pPr>
        <w:rPr>
          <w:rFonts w:cs="Arial"/>
          <w:sz w:val="22"/>
        </w:rPr>
      </w:pPr>
      <w:r w:rsidRPr="00243A08">
        <w:t>The Court was not persuaded that the limits on human rights identified were demonstrably justified, even taking into acc</w:t>
      </w:r>
      <w:r w:rsidRPr="00243A08">
        <w:rPr>
          <w:rFonts w:cs="Arial"/>
        </w:rPr>
        <w:t>ount the economic benefit and supply of thermal coal in South</w:t>
      </w:r>
      <w:r w:rsidR="00446679">
        <w:rPr>
          <w:rFonts w:cs="Arial"/>
        </w:rPr>
        <w:t>-</w:t>
      </w:r>
      <w:r w:rsidRPr="00243A08">
        <w:rPr>
          <w:rFonts w:cs="Arial"/>
        </w:rPr>
        <w:t xml:space="preserve">East Asia. </w:t>
      </w:r>
    </w:p>
    <w:p w14:paraId="3EAE0483" w14:textId="14F8689F" w:rsidR="004D6F83" w:rsidRPr="00243A08" w:rsidRDefault="004D6F83" w:rsidP="00F26086">
      <w:pPr>
        <w:rPr>
          <w:rFonts w:cs="Arial"/>
          <w:sz w:val="22"/>
        </w:rPr>
      </w:pPr>
      <w:r w:rsidRPr="00243A08">
        <w:t>Additionally, the court found that limits on the rights to pro</w:t>
      </w:r>
      <w:r w:rsidRPr="00243A08">
        <w:rPr>
          <w:rFonts w:cs="Arial"/>
          <w:color w:val="484848"/>
          <w:sz w:val="22"/>
        </w:rPr>
        <w:t xml:space="preserve">perty and privacy of landholders </w:t>
      </w:r>
      <w:r w:rsidR="00243A08" w:rsidRPr="00243A08">
        <w:rPr>
          <w:rFonts w:cs="Arial"/>
          <w:color w:val="484848"/>
          <w:sz w:val="22"/>
        </w:rPr>
        <w:t xml:space="preserve">as a result of </w:t>
      </w:r>
      <w:r w:rsidRPr="00243A08">
        <w:rPr>
          <w:rFonts w:cs="Arial"/>
          <w:color w:val="484848"/>
          <w:sz w:val="22"/>
        </w:rPr>
        <w:t>nuisance and environmental damage caused by the project were not justified.</w:t>
      </w:r>
    </w:p>
    <w:p w14:paraId="15FF717E" w14:textId="77777777" w:rsidR="008608B1" w:rsidRPr="00B132DB" w:rsidRDefault="008608B1" w:rsidP="008608B1">
      <w:pPr>
        <w:pStyle w:val="Heading3"/>
        <w:rPr>
          <w:color w:val="004270"/>
        </w:rPr>
      </w:pPr>
      <w:bookmarkStart w:id="396" w:name="_Hlk141955811"/>
      <w:r w:rsidRPr="00F47C36">
        <w:rPr>
          <w:i/>
          <w:color w:val="004270"/>
        </w:rPr>
        <w:t>Burleigh Town Village Pty Ltd (3)</w:t>
      </w:r>
      <w:r w:rsidRPr="00B132DB">
        <w:rPr>
          <w:color w:val="004270"/>
        </w:rPr>
        <w:t xml:space="preserve"> [2022] QCAT 285</w:t>
      </w:r>
    </w:p>
    <w:bookmarkEnd w:id="396"/>
    <w:p w14:paraId="03B1BE0D" w14:textId="26DA2D39" w:rsidR="008608B1" w:rsidRDefault="00CD6CA8" w:rsidP="008608B1">
      <w:r>
        <w:t xml:space="preserve">The applicant sought renewal of an exemption from the operation of the </w:t>
      </w:r>
      <w:r w:rsidRPr="002754B9">
        <w:rPr>
          <w:i/>
        </w:rPr>
        <w:t>Anti-Discrimination Act 1991</w:t>
      </w:r>
      <w:r>
        <w:t xml:space="preserve"> in order to operate a manufactured home park </w:t>
      </w:r>
      <w:r w:rsidR="0067575F">
        <w:t xml:space="preserve">reserved for persons over 50 years. </w:t>
      </w:r>
    </w:p>
    <w:p w14:paraId="224646F5" w14:textId="19C50DBC" w:rsidR="0069442C" w:rsidRDefault="00043ED3" w:rsidP="008608B1">
      <w:r>
        <w:t xml:space="preserve">The </w:t>
      </w:r>
      <w:r w:rsidR="00871278">
        <w:t xml:space="preserve">tribunal </w:t>
      </w:r>
      <w:r w:rsidR="000B47C7">
        <w:t>held that</w:t>
      </w:r>
      <w:r>
        <w:t xml:space="preserve"> the </w:t>
      </w:r>
      <w:r w:rsidRPr="00140BC8">
        <w:t xml:space="preserve">right to </w:t>
      </w:r>
      <w:r w:rsidR="00D26782" w:rsidRPr="00140BC8">
        <w:t xml:space="preserve">own </w:t>
      </w:r>
      <w:r w:rsidRPr="00140BC8">
        <w:t>property</w:t>
      </w:r>
      <w:r>
        <w:t xml:space="preserve"> is not limited to the taking of a person’s title to their property, but included preventing a person from exercising their property rights</w:t>
      </w:r>
      <w:r w:rsidR="00140BC8" w:rsidRPr="00140BC8">
        <w:rPr>
          <w:rStyle w:val="FootnoteReference"/>
        </w:rPr>
        <w:footnoteReference w:id="64"/>
      </w:r>
      <w:r>
        <w:t xml:space="preserve"> in a way that is ‘practical and effective’. </w:t>
      </w:r>
      <w:r w:rsidR="00710776" w:rsidRPr="00710776">
        <w:t xml:space="preserve">The exemption, if granted, would </w:t>
      </w:r>
      <w:r w:rsidR="006001A7">
        <w:t xml:space="preserve">limit property rights by </w:t>
      </w:r>
      <w:r w:rsidR="00710776">
        <w:t>prevent</w:t>
      </w:r>
      <w:r w:rsidR="006001A7">
        <w:t>ing</w:t>
      </w:r>
      <w:r w:rsidR="00710776">
        <w:t xml:space="preserve"> </w:t>
      </w:r>
      <w:r w:rsidR="00EB79E9">
        <w:t>a person</w:t>
      </w:r>
      <w:r w:rsidR="00EB79E9" w:rsidRPr="00710776">
        <w:t xml:space="preserve"> </w:t>
      </w:r>
      <w:r w:rsidR="00710776" w:rsidRPr="00710776">
        <w:t xml:space="preserve">from owning a home in the park if they are under </w:t>
      </w:r>
      <w:r w:rsidR="0069442C">
        <w:t xml:space="preserve">age </w:t>
      </w:r>
      <w:r w:rsidR="00710776" w:rsidRPr="00710776">
        <w:t xml:space="preserve">50, and </w:t>
      </w:r>
      <w:r w:rsidR="0069442C">
        <w:t>restrict</w:t>
      </w:r>
      <w:r w:rsidR="006001A7">
        <w:t>ing</w:t>
      </w:r>
      <w:r w:rsidR="0069442C">
        <w:t xml:space="preserve"> homeowners </w:t>
      </w:r>
      <w:r w:rsidR="0F57E3EF">
        <w:t xml:space="preserve">to </w:t>
      </w:r>
      <w:r w:rsidR="0069442C">
        <w:t xml:space="preserve">selling their homes </w:t>
      </w:r>
      <w:r w:rsidR="00312D77">
        <w:t xml:space="preserve">only </w:t>
      </w:r>
      <w:r w:rsidR="0069442C">
        <w:t>to persons over age 50</w:t>
      </w:r>
      <w:r w:rsidR="1E9174E5">
        <w:t xml:space="preserve">, which in turn significantly affected </w:t>
      </w:r>
      <w:r w:rsidR="50552781">
        <w:t>market</w:t>
      </w:r>
      <w:r w:rsidR="1E9174E5">
        <w:t xml:space="preserve"> value.</w:t>
      </w:r>
    </w:p>
    <w:p w14:paraId="1B2A157E" w14:textId="002656CB" w:rsidR="006001A7" w:rsidRDefault="00871278" w:rsidP="008608B1">
      <w:r>
        <w:t xml:space="preserve">The tribunal also considered the right to </w:t>
      </w:r>
      <w:r w:rsidR="00A13175" w:rsidRPr="00140BC8">
        <w:t>recognition and equality before the law</w:t>
      </w:r>
      <w:r w:rsidR="00A13175">
        <w:t>.</w:t>
      </w:r>
      <w:r w:rsidR="00140BC8" w:rsidRPr="00140BC8">
        <w:rPr>
          <w:rStyle w:val="FootnoteReference"/>
        </w:rPr>
        <w:footnoteReference w:id="65"/>
      </w:r>
      <w:r w:rsidR="00A13175">
        <w:t xml:space="preserve"> If the measure proposed is </w:t>
      </w:r>
      <w:r w:rsidR="00FC2D1C">
        <w:t xml:space="preserve">a ‘special measure’ </w:t>
      </w:r>
      <w:r w:rsidR="009B2358">
        <w:t xml:space="preserve">to achieve equality for groups of disadvantaged persons, then </w:t>
      </w:r>
      <w:r w:rsidR="002B4687">
        <w:t>it is not discrimination.</w:t>
      </w:r>
      <w:r w:rsidR="00341C2C">
        <w:t xml:space="preserve"> That was not the case here. </w:t>
      </w:r>
      <w:r w:rsidR="00A84319">
        <w:t xml:space="preserve">It followed that the discrimination that would occur by excluding persons under 50 years from ownership and occupation limited </w:t>
      </w:r>
      <w:r w:rsidR="00FF101D">
        <w:t xml:space="preserve">the right to recognition and equality before the law </w:t>
      </w:r>
      <w:r w:rsidR="00A84319">
        <w:t xml:space="preserve">and had to be justified. </w:t>
      </w:r>
    </w:p>
    <w:p w14:paraId="57310C60" w14:textId="4363AC75" w:rsidR="00FF101D" w:rsidRDefault="00FA08D7" w:rsidP="008608B1">
      <w:r>
        <w:t xml:space="preserve">QCAT was not persuaded that the limitation of either right was reasonable and demonstrably justified ‘to the objective of providing affordable housing in a community environment for older people’. </w:t>
      </w:r>
    </w:p>
    <w:p w14:paraId="233551C6" w14:textId="03D1A7DE" w:rsidR="4FBEF764" w:rsidRPr="00B132DB" w:rsidRDefault="003F5448" w:rsidP="651486F3">
      <w:pPr>
        <w:pStyle w:val="Heading2"/>
        <w:rPr>
          <w:color w:val="004270"/>
        </w:rPr>
      </w:pPr>
      <w:bookmarkStart w:id="397" w:name="_Toc147757308"/>
      <w:bookmarkStart w:id="398" w:name="_Toc148086929"/>
      <w:r w:rsidRPr="00B132DB">
        <w:rPr>
          <w:color w:val="004270"/>
        </w:rPr>
        <w:t>Coronial inquest</w:t>
      </w:r>
      <w:bookmarkEnd w:id="397"/>
      <w:bookmarkEnd w:id="398"/>
    </w:p>
    <w:p w14:paraId="1D21B52F" w14:textId="020F4020" w:rsidR="005461D1" w:rsidRPr="00B132DB" w:rsidRDefault="005461D1" w:rsidP="00B74F59">
      <w:pPr>
        <w:pStyle w:val="Heading3"/>
        <w:rPr>
          <w:color w:val="004270"/>
        </w:rPr>
      </w:pPr>
      <w:bookmarkStart w:id="399" w:name="_Hlk141955870"/>
      <w:r w:rsidRPr="00B132DB">
        <w:rPr>
          <w:i/>
          <w:color w:val="004270"/>
        </w:rPr>
        <w:t>Inquest into the deaths of Yvette Michelle Wilma Booth, Adele Estelle Sandy, Shakaya George</w:t>
      </w:r>
      <w:r w:rsidRPr="00B132DB">
        <w:rPr>
          <w:color w:val="004270"/>
        </w:rPr>
        <w:t xml:space="preserve"> (Findings of inquest, Coroners Court of Queensland, 30 June 2023)</w:t>
      </w:r>
    </w:p>
    <w:bookmarkEnd w:id="399"/>
    <w:p w14:paraId="3FCACA5E" w14:textId="7A46745C" w:rsidR="002D48BE" w:rsidRDefault="002D48BE" w:rsidP="0026305D">
      <w:pPr>
        <w:rPr>
          <w:rFonts w:cs="Arial"/>
          <w:color w:val="484848"/>
          <w:sz w:val="22"/>
        </w:rPr>
      </w:pPr>
      <w:r w:rsidRPr="0026305D">
        <w:t xml:space="preserve">This inquest investigated the deaths of three young Aboriginal women </w:t>
      </w:r>
      <w:r w:rsidR="000B47C7" w:rsidRPr="0026305D">
        <w:t xml:space="preserve">from the remote community </w:t>
      </w:r>
      <w:r w:rsidR="000A60DB" w:rsidRPr="0026305D">
        <w:t xml:space="preserve">of Doomadgee </w:t>
      </w:r>
      <w:r w:rsidR="000B47C7" w:rsidRPr="0026305D">
        <w:t xml:space="preserve">who died as a result of </w:t>
      </w:r>
      <w:r w:rsidRPr="0026305D">
        <w:t xml:space="preserve">rheumatic heart disease. The issues for the </w:t>
      </w:r>
      <w:r w:rsidR="00B14DC7" w:rsidRPr="0026305D">
        <w:t>C</w:t>
      </w:r>
      <w:r w:rsidRPr="0026305D">
        <w:t xml:space="preserve">oroner included the adequacy of health services and prevention strategies in </w:t>
      </w:r>
      <w:r w:rsidR="000B47C7">
        <w:rPr>
          <w:rFonts w:cs="Arial"/>
          <w:color w:val="484848"/>
          <w:sz w:val="22"/>
        </w:rPr>
        <w:t xml:space="preserve">the community </w:t>
      </w:r>
      <w:r>
        <w:rPr>
          <w:rFonts w:cs="Arial"/>
          <w:color w:val="484848"/>
          <w:sz w:val="22"/>
        </w:rPr>
        <w:t>for rheumatic heart disease.</w:t>
      </w:r>
    </w:p>
    <w:p w14:paraId="61C25C40" w14:textId="0D3F4113" w:rsidR="002D48BE" w:rsidRDefault="002D48BE" w:rsidP="0026305D">
      <w:pPr>
        <w:rPr>
          <w:rFonts w:cs="Arial"/>
          <w:color w:val="484848"/>
          <w:sz w:val="22"/>
        </w:rPr>
      </w:pPr>
      <w:r w:rsidRPr="0026305D">
        <w:t xml:space="preserve">The Coroner </w:t>
      </w:r>
      <w:r w:rsidR="005D0E0D" w:rsidRPr="0026305D">
        <w:rPr>
          <w:rFonts w:cs="Arial"/>
        </w:rPr>
        <w:t xml:space="preserve">found </w:t>
      </w:r>
      <w:r w:rsidRPr="0026305D">
        <w:rPr>
          <w:rFonts w:cs="Arial"/>
        </w:rPr>
        <w:t xml:space="preserve">that holding an inquest and making findings and recommendations to prevent deaths in the future is an administrative function of the Court and </w:t>
      </w:r>
      <w:r w:rsidR="00A30234" w:rsidRPr="0026305D">
        <w:rPr>
          <w:rFonts w:cs="Arial"/>
        </w:rPr>
        <w:t xml:space="preserve">is </w:t>
      </w:r>
      <w:r w:rsidRPr="0026305D">
        <w:rPr>
          <w:rFonts w:cs="Arial"/>
        </w:rPr>
        <w:t>therefore subject to the obligations on a public entity under section 58 of the </w:t>
      </w:r>
      <w:r w:rsidRPr="0026305D">
        <w:rPr>
          <w:rStyle w:val="HTMLCite"/>
          <w:rFonts w:eastAsiaTheme="majorEastAsia" w:cs="Arial"/>
        </w:rPr>
        <w:t>Human Rights Act 2019.</w:t>
      </w:r>
      <w:r w:rsidR="005461D1">
        <w:rPr>
          <w:rFonts w:cs="Arial"/>
          <w:color w:val="484848"/>
          <w:sz w:val="22"/>
        </w:rPr>
        <w:t xml:space="preserve"> This means that the Coroner must:</w:t>
      </w:r>
    </w:p>
    <w:p w14:paraId="2DCCF565" w14:textId="0B9D9702" w:rsidR="005461D1" w:rsidRDefault="005461D1" w:rsidP="00140BC8">
      <w:pPr>
        <w:pStyle w:val="Listparagraph-bulleted"/>
      </w:pPr>
      <w:r>
        <w:t>conduct the inquest in a manner that is compatible with human rights</w:t>
      </w:r>
    </w:p>
    <w:p w14:paraId="595EE6B7" w14:textId="37B6CE8A" w:rsidR="005461D1" w:rsidRDefault="005461D1" w:rsidP="00140BC8">
      <w:pPr>
        <w:pStyle w:val="Listparagraph-bulleted"/>
      </w:pPr>
      <w:r>
        <w:t xml:space="preserve">undertake a thorough and effective investigation that takes into account all surrounding circumstances, in accordance with the </w:t>
      </w:r>
      <w:r w:rsidRPr="003E6743">
        <w:t>right to life</w:t>
      </w:r>
      <w:r>
        <w:t>. This may include making findings on failures by public entities to comply with the Human Rights Act that may have caused or contributed to the deaths</w:t>
      </w:r>
    </w:p>
    <w:p w14:paraId="3EA97EA1" w14:textId="7B1E616A" w:rsidR="005461D1" w:rsidRPr="0026305D" w:rsidRDefault="005461D1" w:rsidP="00140BC8">
      <w:pPr>
        <w:pStyle w:val="Listparagraph-bulleted"/>
      </w:pPr>
      <w:r>
        <w:t>give proper consideration to human rights, and to make decisions, findings</w:t>
      </w:r>
      <w:r w:rsidR="0007386B">
        <w:t>,</w:t>
      </w:r>
      <w:r>
        <w:t xml:space="preserve"> and comments that are compatible with </w:t>
      </w:r>
      <w:r w:rsidRPr="0026305D">
        <w:t>human rights</w:t>
      </w:r>
    </w:p>
    <w:p w14:paraId="74DE3362" w14:textId="1A3BB7CE" w:rsidR="005461D1" w:rsidRDefault="005461D1" w:rsidP="00140BC8">
      <w:pPr>
        <w:pStyle w:val="Listparagraph-bulleted"/>
        <w:rPr>
          <w:rFonts w:cs="Arial"/>
          <w:color w:val="484848"/>
          <w:sz w:val="22"/>
        </w:rPr>
      </w:pPr>
      <w:r w:rsidRPr="0026305D">
        <w:t>in making recommendations, take into account</w:t>
      </w:r>
      <w:r>
        <w:rPr>
          <w:rFonts w:cs="Arial"/>
          <w:color w:val="484848"/>
          <w:sz w:val="22"/>
        </w:rPr>
        <w:t xml:space="preserve"> the protection of human rights, including a consideration that recommendations should be designed to protect human rights and should not disproportionately limit human rights.</w:t>
      </w:r>
    </w:p>
    <w:p w14:paraId="165AEEF2" w14:textId="3AFA4608" w:rsidR="003E1E40" w:rsidRDefault="003E1E40" w:rsidP="00F902AA">
      <w:pPr>
        <w:rPr>
          <w:lang w:val="en"/>
        </w:rPr>
      </w:pPr>
      <w:bookmarkStart w:id="400" w:name="_Hlk141883716"/>
      <w:r w:rsidRPr="003E1E40">
        <w:rPr>
          <w:lang w:val="en"/>
        </w:rPr>
        <w:t xml:space="preserve">The Coroner </w:t>
      </w:r>
      <w:r w:rsidR="0083275B" w:rsidRPr="00202074">
        <w:rPr>
          <w:lang w:val="en"/>
        </w:rPr>
        <w:t>found</w:t>
      </w:r>
      <w:r w:rsidRPr="003E1E40">
        <w:rPr>
          <w:lang w:val="en"/>
        </w:rPr>
        <w:t xml:space="preserve"> that failures in information sharing between </w:t>
      </w:r>
      <w:r w:rsidR="00C20FFC">
        <w:rPr>
          <w:lang w:val="en"/>
        </w:rPr>
        <w:t xml:space="preserve">the </w:t>
      </w:r>
      <w:r w:rsidR="00CF2E8C">
        <w:rPr>
          <w:lang w:val="en"/>
        </w:rPr>
        <w:t xml:space="preserve">separate </w:t>
      </w:r>
      <w:r w:rsidRPr="003E1E40">
        <w:rPr>
          <w:lang w:val="en"/>
        </w:rPr>
        <w:t xml:space="preserve">health services </w:t>
      </w:r>
      <w:r w:rsidR="005D1572">
        <w:rPr>
          <w:lang w:val="en"/>
        </w:rPr>
        <w:t>as</w:t>
      </w:r>
      <w:r w:rsidR="00805CBD">
        <w:rPr>
          <w:lang w:val="en"/>
        </w:rPr>
        <w:t xml:space="preserve"> well as</w:t>
      </w:r>
      <w:r w:rsidR="005D1572" w:rsidRPr="003E1E40">
        <w:rPr>
          <w:lang w:val="en"/>
        </w:rPr>
        <w:t xml:space="preserve"> </w:t>
      </w:r>
      <w:r w:rsidRPr="003E1E40">
        <w:rPr>
          <w:lang w:val="en"/>
        </w:rPr>
        <w:t>between health services, patients</w:t>
      </w:r>
      <w:r w:rsidR="00C20FFC">
        <w:rPr>
          <w:lang w:val="en"/>
        </w:rPr>
        <w:t>,</w:t>
      </w:r>
      <w:r w:rsidRPr="003E1E40">
        <w:rPr>
          <w:lang w:val="en"/>
        </w:rPr>
        <w:t xml:space="preserve"> and their families, had </w:t>
      </w:r>
      <w:r w:rsidR="004A7F8F">
        <w:rPr>
          <w:lang w:val="en"/>
        </w:rPr>
        <w:t xml:space="preserve">an </w:t>
      </w:r>
      <w:r w:rsidRPr="00202074">
        <w:rPr>
          <w:lang w:val="en"/>
        </w:rPr>
        <w:t>impact</w:t>
      </w:r>
      <w:r w:rsidRPr="003E1E40">
        <w:rPr>
          <w:lang w:val="en"/>
        </w:rPr>
        <w:t xml:space="preserve"> on the patients’ </w:t>
      </w:r>
      <w:r w:rsidRPr="00202074">
        <w:rPr>
          <w:lang w:val="en"/>
        </w:rPr>
        <w:t>right to life</w:t>
      </w:r>
      <w:r w:rsidR="00202074" w:rsidRPr="00202074">
        <w:rPr>
          <w:rStyle w:val="FootnoteReference"/>
          <w:lang w:val="en"/>
        </w:rPr>
        <w:footnoteReference w:id="66"/>
      </w:r>
      <w:r w:rsidRPr="003E1E40">
        <w:rPr>
          <w:lang w:val="en"/>
        </w:rPr>
        <w:t xml:space="preserve"> and their </w:t>
      </w:r>
      <w:r w:rsidRPr="00202074">
        <w:rPr>
          <w:lang w:val="en"/>
        </w:rPr>
        <w:t>right to access health services</w:t>
      </w:r>
      <w:r w:rsidR="00AD6893" w:rsidRPr="00202074">
        <w:rPr>
          <w:lang w:val="en"/>
        </w:rPr>
        <w:t xml:space="preserve"> without discrimination</w:t>
      </w:r>
      <w:r w:rsidRPr="003E1E40">
        <w:rPr>
          <w:lang w:val="en"/>
        </w:rPr>
        <w:t>.</w:t>
      </w:r>
      <w:r w:rsidR="00202074" w:rsidRPr="00202074">
        <w:rPr>
          <w:rStyle w:val="FootnoteReference"/>
          <w:lang w:val="en"/>
        </w:rPr>
        <w:footnoteReference w:id="67"/>
      </w:r>
      <w:r w:rsidRPr="003E1E40">
        <w:rPr>
          <w:lang w:val="en"/>
        </w:rPr>
        <w:t xml:space="preserve"> </w:t>
      </w:r>
      <w:r w:rsidR="003E6743">
        <w:rPr>
          <w:lang w:val="en"/>
        </w:rPr>
        <w:t xml:space="preserve">The Coroner also made findings that </w:t>
      </w:r>
      <w:r w:rsidR="00AD6893">
        <w:rPr>
          <w:lang w:val="en"/>
        </w:rPr>
        <w:t xml:space="preserve">the </w:t>
      </w:r>
      <w:r w:rsidR="003E6743" w:rsidRPr="00202074">
        <w:rPr>
          <w:lang w:val="en"/>
        </w:rPr>
        <w:t>c</w:t>
      </w:r>
      <w:r w:rsidRPr="00202074">
        <w:rPr>
          <w:lang w:val="en"/>
        </w:rPr>
        <w:t>ultural rights of Aboriginal Peoples and Torres Strait Islander peoples</w:t>
      </w:r>
      <w:r w:rsidR="003E6743" w:rsidRPr="00202074">
        <w:rPr>
          <w:lang w:val="en"/>
        </w:rPr>
        <w:t>,</w:t>
      </w:r>
      <w:r w:rsidR="00202074" w:rsidRPr="00202074">
        <w:rPr>
          <w:rStyle w:val="FootnoteReference"/>
          <w:lang w:val="en"/>
        </w:rPr>
        <w:footnoteReference w:id="68"/>
      </w:r>
      <w:r w:rsidR="003E6743" w:rsidRPr="00202074">
        <w:rPr>
          <w:lang w:val="en"/>
        </w:rPr>
        <w:t xml:space="preserve"> </w:t>
      </w:r>
      <w:r w:rsidR="00AD6893" w:rsidRPr="00202074">
        <w:rPr>
          <w:lang w:val="en"/>
        </w:rPr>
        <w:t xml:space="preserve">the </w:t>
      </w:r>
      <w:r w:rsidR="003E6743" w:rsidRPr="00202074">
        <w:rPr>
          <w:lang w:val="en"/>
        </w:rPr>
        <w:t>right to equality</w:t>
      </w:r>
      <w:r w:rsidR="00D54C55" w:rsidRPr="00202074">
        <w:rPr>
          <w:lang w:val="en"/>
        </w:rPr>
        <w:t>,</w:t>
      </w:r>
      <w:r w:rsidR="00202074" w:rsidRPr="00202074">
        <w:rPr>
          <w:rStyle w:val="FootnoteReference"/>
          <w:lang w:val="en"/>
        </w:rPr>
        <w:footnoteReference w:id="69"/>
      </w:r>
      <w:r>
        <w:rPr>
          <w:lang w:val="en"/>
        </w:rPr>
        <w:t xml:space="preserve"> and </w:t>
      </w:r>
      <w:r w:rsidRPr="00202074">
        <w:rPr>
          <w:lang w:val="en"/>
        </w:rPr>
        <w:t>children</w:t>
      </w:r>
      <w:r w:rsidR="00316EC4" w:rsidRPr="00202074">
        <w:rPr>
          <w:lang w:val="en"/>
        </w:rPr>
        <w:t>’</w:t>
      </w:r>
      <w:r w:rsidRPr="00202074">
        <w:rPr>
          <w:lang w:val="en"/>
        </w:rPr>
        <w:t>s rights</w:t>
      </w:r>
      <w:r w:rsidR="00202074" w:rsidRPr="00202074">
        <w:rPr>
          <w:rStyle w:val="FootnoteReference"/>
          <w:lang w:val="en"/>
        </w:rPr>
        <w:footnoteReference w:id="70"/>
      </w:r>
      <w:r>
        <w:rPr>
          <w:lang w:val="en"/>
        </w:rPr>
        <w:t xml:space="preserve"> </w:t>
      </w:r>
      <w:r w:rsidR="003E6743">
        <w:rPr>
          <w:lang w:val="en"/>
        </w:rPr>
        <w:t>had been affected</w:t>
      </w:r>
      <w:r>
        <w:rPr>
          <w:lang w:val="en"/>
        </w:rPr>
        <w:t>.</w:t>
      </w:r>
    </w:p>
    <w:p w14:paraId="6B30AA41" w14:textId="4539E741" w:rsidR="003E1E40" w:rsidRPr="003E1E40" w:rsidRDefault="003E1E40" w:rsidP="00F902AA">
      <w:pPr>
        <w:rPr>
          <w:lang w:val="en"/>
        </w:rPr>
      </w:pPr>
      <w:r w:rsidRPr="003E1E40">
        <w:rPr>
          <w:lang w:val="en"/>
        </w:rPr>
        <w:t xml:space="preserve">The Coroner acknowledged concerns regarding cultural safety at the health services in the community and made recommendations to address this. The findings outline how cultural rights are preserved by the existence of an Aboriginal Community Controlled Health </w:t>
      </w:r>
      <w:proofErr w:type="spellStart"/>
      <w:r w:rsidRPr="003E1E40">
        <w:rPr>
          <w:lang w:val="en"/>
        </w:rPr>
        <w:t>Organisation</w:t>
      </w:r>
      <w:proofErr w:type="spellEnd"/>
      <w:r w:rsidRPr="003E1E40">
        <w:rPr>
          <w:lang w:val="en"/>
        </w:rPr>
        <w:t xml:space="preserve"> in the community, including because </w:t>
      </w:r>
      <w:r w:rsidR="00B04D91">
        <w:rPr>
          <w:lang w:val="en"/>
        </w:rPr>
        <w:t>it</w:t>
      </w:r>
      <w:r w:rsidRPr="003E1E40">
        <w:rPr>
          <w:lang w:val="en"/>
        </w:rPr>
        <w:t xml:space="preserve"> support</w:t>
      </w:r>
      <w:r w:rsidR="00B04D91">
        <w:rPr>
          <w:lang w:val="en"/>
        </w:rPr>
        <w:t>s</w:t>
      </w:r>
      <w:r w:rsidRPr="003E1E40">
        <w:rPr>
          <w:lang w:val="en"/>
        </w:rPr>
        <w:t xml:space="preserve"> community identity by employing locals, ensure</w:t>
      </w:r>
      <w:r w:rsidR="00B04D91">
        <w:rPr>
          <w:lang w:val="en"/>
        </w:rPr>
        <w:t>s</w:t>
      </w:r>
      <w:r w:rsidRPr="003E1E40">
        <w:rPr>
          <w:lang w:val="en"/>
        </w:rPr>
        <w:t xml:space="preserve"> observance of language and cultural expression, </w:t>
      </w:r>
      <w:proofErr w:type="spellStart"/>
      <w:r w:rsidRPr="003E1E40">
        <w:rPr>
          <w:lang w:val="en"/>
        </w:rPr>
        <w:t>recognise</w:t>
      </w:r>
      <w:r w:rsidR="00B04D91">
        <w:rPr>
          <w:lang w:val="en"/>
        </w:rPr>
        <w:t>s</w:t>
      </w:r>
      <w:proofErr w:type="spellEnd"/>
      <w:r w:rsidRPr="003E1E40">
        <w:rPr>
          <w:lang w:val="en"/>
        </w:rPr>
        <w:t xml:space="preserve"> kinship ties and how those relationships may be impacted, and </w:t>
      </w:r>
      <w:r w:rsidR="00B04D91">
        <w:rPr>
          <w:lang w:val="en"/>
        </w:rPr>
        <w:t xml:space="preserve">is </w:t>
      </w:r>
      <w:r w:rsidRPr="003E1E40">
        <w:rPr>
          <w:lang w:val="en"/>
        </w:rPr>
        <w:t>governed by a predominantly First Nations Board of Directors and CEO, some of whom have close cultural connections to the community.</w:t>
      </w:r>
    </w:p>
    <w:p w14:paraId="6044BF27" w14:textId="44263354" w:rsidR="00120866" w:rsidRPr="00B132DB" w:rsidRDefault="00F36BAA" w:rsidP="00776944">
      <w:pPr>
        <w:pStyle w:val="Heading2"/>
        <w:shd w:val="clear" w:color="auto" w:fill="FFFFFF"/>
        <w:textAlignment w:val="baseline"/>
        <w:rPr>
          <w:rFonts w:cs="Arial"/>
          <w:color w:val="004270"/>
        </w:rPr>
      </w:pPr>
      <w:bookmarkStart w:id="401" w:name="_Toc147757309"/>
      <w:bookmarkStart w:id="402" w:name="_Toc148086930"/>
      <w:bookmarkEnd w:id="400"/>
      <w:r w:rsidRPr="00B132DB">
        <w:rPr>
          <w:rFonts w:cs="Arial"/>
          <w:color w:val="004270"/>
        </w:rPr>
        <w:t>Cases</w:t>
      </w:r>
      <w:r w:rsidR="00CB50E3" w:rsidRPr="00B132DB">
        <w:rPr>
          <w:rFonts w:cs="Arial"/>
          <w:color w:val="004270"/>
        </w:rPr>
        <w:t xml:space="preserve"> relating to </w:t>
      </w:r>
      <w:r w:rsidRPr="00B132DB">
        <w:rPr>
          <w:rFonts w:cs="Arial"/>
          <w:color w:val="004270"/>
        </w:rPr>
        <w:t xml:space="preserve">the </w:t>
      </w:r>
      <w:r w:rsidR="00651393" w:rsidRPr="00B132DB">
        <w:rPr>
          <w:rFonts w:cs="Arial"/>
          <w:i/>
          <w:color w:val="004270"/>
        </w:rPr>
        <w:t>Dangerous Prisoners (Sexual Offender) Act 2003</w:t>
      </w:r>
      <w:bookmarkEnd w:id="401"/>
      <w:bookmarkEnd w:id="402"/>
    </w:p>
    <w:p w14:paraId="7D10BDD6" w14:textId="77777777" w:rsidR="00CB50E3" w:rsidRPr="00B132DB" w:rsidRDefault="00CB50E3" w:rsidP="005461D1">
      <w:pPr>
        <w:pStyle w:val="Heading3"/>
        <w:rPr>
          <w:color w:val="004270"/>
          <w:shd w:val="clear" w:color="auto" w:fill="FFFFFF"/>
        </w:rPr>
      </w:pPr>
      <w:r w:rsidRPr="00B132DB">
        <w:rPr>
          <w:i/>
          <w:color w:val="004270"/>
          <w:shd w:val="clear" w:color="auto" w:fill="FFFFFF"/>
        </w:rPr>
        <w:t xml:space="preserve">Attorney-General for the State of Queensland v Grant (No 2) </w:t>
      </w:r>
      <w:r w:rsidRPr="00B132DB">
        <w:rPr>
          <w:color w:val="004270"/>
          <w:shd w:val="clear" w:color="auto" w:fill="FFFFFF"/>
        </w:rPr>
        <w:t xml:space="preserve">[2022] QSC 252 </w:t>
      </w:r>
    </w:p>
    <w:p w14:paraId="4050D4F9" w14:textId="7A18D08B" w:rsidR="00BE389C" w:rsidRPr="00202074" w:rsidRDefault="005461D1" w:rsidP="00BE389C">
      <w:pPr>
        <w:rPr>
          <w:u w:val="single"/>
          <w:shd w:val="clear" w:color="auto" w:fill="FFFFFF"/>
        </w:rPr>
      </w:pPr>
      <w:r>
        <w:rPr>
          <w:shd w:val="clear" w:color="auto" w:fill="FFFFFF"/>
        </w:rPr>
        <w:t>A</w:t>
      </w:r>
      <w:r w:rsidR="00BE389C">
        <w:rPr>
          <w:shd w:val="clear" w:color="auto" w:fill="FFFFFF"/>
        </w:rPr>
        <w:t xml:space="preserve"> 78</w:t>
      </w:r>
      <w:r w:rsidR="004422A8">
        <w:rPr>
          <w:shd w:val="clear" w:color="auto" w:fill="FFFFFF"/>
        </w:rPr>
        <w:t>-</w:t>
      </w:r>
      <w:r w:rsidR="00BE389C">
        <w:rPr>
          <w:shd w:val="clear" w:color="auto" w:fill="FFFFFF"/>
        </w:rPr>
        <w:t>year</w:t>
      </w:r>
      <w:r w:rsidR="004422A8">
        <w:rPr>
          <w:shd w:val="clear" w:color="auto" w:fill="FFFFFF"/>
        </w:rPr>
        <w:t>-</w:t>
      </w:r>
      <w:r w:rsidR="00BE389C">
        <w:rPr>
          <w:shd w:val="clear" w:color="auto" w:fill="FFFFFF"/>
        </w:rPr>
        <w:t xml:space="preserve">old man’s sentence for sexual offences had expired. The decision for the Court was whether to make a supervision order, which would allow </w:t>
      </w:r>
      <w:r w:rsidR="00CF2E70">
        <w:rPr>
          <w:shd w:val="clear" w:color="auto" w:fill="FFFFFF"/>
        </w:rPr>
        <w:t xml:space="preserve">the </w:t>
      </w:r>
      <w:r w:rsidR="00BE389C">
        <w:rPr>
          <w:shd w:val="clear" w:color="auto" w:fill="FFFFFF"/>
        </w:rPr>
        <w:t xml:space="preserve">prisoner to be released under supervision, or a continuing detention order under the </w:t>
      </w:r>
      <w:r w:rsidR="00BE389C" w:rsidRPr="000D09EC">
        <w:rPr>
          <w:i/>
          <w:shd w:val="clear" w:color="auto" w:fill="FFFFFF"/>
        </w:rPr>
        <w:t>Dangerous Prisoners (Sexual Offenders) Act 2003</w:t>
      </w:r>
      <w:r w:rsidR="00BE389C">
        <w:rPr>
          <w:i/>
          <w:shd w:val="clear" w:color="auto" w:fill="FFFFFF"/>
        </w:rPr>
        <w:t xml:space="preserve">. </w:t>
      </w:r>
      <w:r w:rsidR="00BE389C" w:rsidRPr="000D09EC">
        <w:rPr>
          <w:shd w:val="clear" w:color="auto" w:fill="FFFFFF"/>
        </w:rPr>
        <w:t>While</w:t>
      </w:r>
      <w:r w:rsidR="00BE389C">
        <w:rPr>
          <w:i/>
          <w:shd w:val="clear" w:color="auto" w:fill="FFFFFF"/>
        </w:rPr>
        <w:t xml:space="preserve"> </w:t>
      </w:r>
      <w:r w:rsidR="00BE389C" w:rsidRPr="000D09EC">
        <w:rPr>
          <w:shd w:val="clear" w:color="auto" w:fill="FFFFFF"/>
        </w:rPr>
        <w:t>the prisoner’s risk</w:t>
      </w:r>
      <w:r>
        <w:rPr>
          <w:shd w:val="clear" w:color="auto" w:fill="FFFFFF"/>
        </w:rPr>
        <w:t xml:space="preserve"> to the community</w:t>
      </w:r>
      <w:r w:rsidR="00BE389C">
        <w:rPr>
          <w:i/>
          <w:shd w:val="clear" w:color="auto" w:fill="FFFFFF"/>
        </w:rPr>
        <w:t xml:space="preserve"> </w:t>
      </w:r>
      <w:r w:rsidR="00BE389C" w:rsidRPr="000D09EC">
        <w:rPr>
          <w:shd w:val="clear" w:color="auto" w:fill="FFFFFF"/>
        </w:rPr>
        <w:t xml:space="preserve">could be appropriately managed if released, his health and disability needs would not be met by </w:t>
      </w:r>
      <w:r w:rsidR="00BE389C">
        <w:rPr>
          <w:shd w:val="clear" w:color="auto" w:fill="FFFFFF"/>
        </w:rPr>
        <w:t xml:space="preserve">the placement chosen by Queensland Corrective </w:t>
      </w:r>
      <w:r w:rsidR="00BE389C" w:rsidRPr="00202074">
        <w:rPr>
          <w:shd w:val="clear" w:color="auto" w:fill="FFFFFF"/>
        </w:rPr>
        <w:t>Services</w:t>
      </w:r>
      <w:r w:rsidR="008E23C8" w:rsidRPr="00202074">
        <w:rPr>
          <w:shd w:val="clear" w:color="auto" w:fill="FFFFFF"/>
        </w:rPr>
        <w:t xml:space="preserve"> (QCS)</w:t>
      </w:r>
      <w:r w:rsidR="00BE389C" w:rsidRPr="00202074">
        <w:rPr>
          <w:shd w:val="clear" w:color="auto" w:fill="FFFFFF"/>
        </w:rPr>
        <w:t xml:space="preserve">. </w:t>
      </w:r>
    </w:p>
    <w:p w14:paraId="7807206E" w14:textId="327AC792" w:rsidR="00BE389C" w:rsidRDefault="008E23C8" w:rsidP="00BE389C">
      <w:pPr>
        <w:rPr>
          <w:shd w:val="clear" w:color="auto" w:fill="FFFFFF"/>
        </w:rPr>
      </w:pPr>
      <w:r w:rsidRPr="00202074">
        <w:rPr>
          <w:shd w:val="clear" w:color="auto" w:fill="FFFFFF"/>
        </w:rPr>
        <w:t>Applying section 5(2)(a) of the Human Rights Act, t</w:t>
      </w:r>
      <w:r w:rsidR="00BE389C" w:rsidRPr="00202074">
        <w:rPr>
          <w:shd w:val="clear" w:color="auto" w:fill="FFFFFF"/>
        </w:rPr>
        <w:t xml:space="preserve">he Court concluded that the function of making a continuing detention order would involve </w:t>
      </w:r>
      <w:r w:rsidR="007339CE" w:rsidRPr="00202074">
        <w:rPr>
          <w:shd w:val="clear" w:color="auto" w:fill="FFFFFF"/>
        </w:rPr>
        <w:t xml:space="preserve">consideration of </w:t>
      </w:r>
      <w:r w:rsidR="00BE389C" w:rsidRPr="00202074">
        <w:rPr>
          <w:shd w:val="clear" w:color="auto" w:fill="FFFFFF"/>
        </w:rPr>
        <w:t>at least the right to liberty</w:t>
      </w:r>
      <w:r w:rsidR="00202074" w:rsidRPr="00202074">
        <w:rPr>
          <w:rStyle w:val="FootnoteReference"/>
          <w:shd w:val="clear" w:color="auto" w:fill="FFFFFF"/>
        </w:rPr>
        <w:footnoteReference w:id="71"/>
      </w:r>
      <w:r w:rsidR="00BE389C" w:rsidRPr="00202074">
        <w:rPr>
          <w:shd w:val="clear" w:color="auto" w:fill="FFFFFF"/>
        </w:rPr>
        <w:t xml:space="preserve"> and the right to protection against arbitrary detention</w:t>
      </w:r>
      <w:r w:rsidR="00202074" w:rsidRPr="00202074">
        <w:rPr>
          <w:shd w:val="clear" w:color="auto" w:fill="FFFFFF"/>
        </w:rPr>
        <w:t>.</w:t>
      </w:r>
      <w:r w:rsidR="00202074" w:rsidRPr="00202074">
        <w:rPr>
          <w:rStyle w:val="FootnoteReference"/>
          <w:shd w:val="clear" w:color="auto" w:fill="FFFFFF"/>
        </w:rPr>
        <w:footnoteReference w:id="72"/>
      </w:r>
      <w:r w:rsidR="00BE389C">
        <w:rPr>
          <w:shd w:val="clear" w:color="auto" w:fill="FFFFFF"/>
        </w:rPr>
        <w:t xml:space="preserve"> If a continuing detention order was only made because of </w:t>
      </w:r>
      <w:r w:rsidR="004A1F39">
        <w:rPr>
          <w:shd w:val="clear" w:color="auto" w:fill="FFFFFF"/>
        </w:rPr>
        <w:t xml:space="preserve">QCS’s </w:t>
      </w:r>
      <w:r w:rsidR="00BE389C">
        <w:rPr>
          <w:shd w:val="clear" w:color="auto" w:fill="FFFFFF"/>
        </w:rPr>
        <w:t xml:space="preserve">decision to not provide suitable and humane conditions for </w:t>
      </w:r>
      <w:r w:rsidR="009A7F5F">
        <w:rPr>
          <w:shd w:val="clear" w:color="auto" w:fill="FFFFFF"/>
        </w:rPr>
        <w:t xml:space="preserve">placement of </w:t>
      </w:r>
      <w:r w:rsidR="00BE389C">
        <w:rPr>
          <w:shd w:val="clear" w:color="auto" w:fill="FFFFFF"/>
        </w:rPr>
        <w:t xml:space="preserve">the, then the prisoner’s detention would arguably be arbitrary. </w:t>
      </w:r>
    </w:p>
    <w:p w14:paraId="3BE5C6A4" w14:textId="6468D35B" w:rsidR="008E23C8" w:rsidRPr="00CC0263" w:rsidRDefault="00BE389C" w:rsidP="00BE389C">
      <w:pPr>
        <w:rPr>
          <w:shd w:val="clear" w:color="auto" w:fill="FFFFFF"/>
        </w:rPr>
      </w:pPr>
      <w:r w:rsidRPr="00CC0263">
        <w:rPr>
          <w:shd w:val="clear" w:color="auto" w:fill="FFFFFF"/>
        </w:rPr>
        <w:t>In contrast, the making of a supervision order in preference to a continuing detention order would involve</w:t>
      </w:r>
      <w:r w:rsidR="00506970">
        <w:rPr>
          <w:shd w:val="clear" w:color="auto" w:fill="FFFFFF"/>
        </w:rPr>
        <w:t>,</w:t>
      </w:r>
      <w:r>
        <w:rPr>
          <w:shd w:val="clear" w:color="auto" w:fill="FFFFFF"/>
        </w:rPr>
        <w:t xml:space="preserve"> at </w:t>
      </w:r>
      <w:r w:rsidR="00506970">
        <w:rPr>
          <w:shd w:val="clear" w:color="auto" w:fill="FFFFFF"/>
        </w:rPr>
        <w:t>a minimum,</w:t>
      </w:r>
      <w:r w:rsidRPr="00CC0263">
        <w:rPr>
          <w:shd w:val="clear" w:color="auto" w:fill="FFFFFF"/>
        </w:rPr>
        <w:t xml:space="preserve"> </w:t>
      </w:r>
      <w:r w:rsidR="009A7F5F" w:rsidRPr="00CC0263">
        <w:rPr>
          <w:shd w:val="clear" w:color="auto" w:fill="FFFFFF"/>
        </w:rPr>
        <w:t>consideration</w:t>
      </w:r>
      <w:r w:rsidRPr="00CC0263">
        <w:rPr>
          <w:shd w:val="clear" w:color="auto" w:fill="FFFFFF"/>
        </w:rPr>
        <w:t xml:space="preserve"> of the right to humane treatment when deprived of liberty</w:t>
      </w:r>
      <w:r w:rsidR="00CC0263" w:rsidRPr="00CC0263">
        <w:rPr>
          <w:shd w:val="clear" w:color="auto" w:fill="FFFFFF"/>
        </w:rPr>
        <w:t>.</w:t>
      </w:r>
      <w:r w:rsidR="00CC0263" w:rsidRPr="00CC0263">
        <w:rPr>
          <w:rStyle w:val="FootnoteReference"/>
          <w:shd w:val="clear" w:color="auto" w:fill="FFFFFF"/>
        </w:rPr>
        <w:footnoteReference w:id="73"/>
      </w:r>
      <w:r>
        <w:rPr>
          <w:shd w:val="clear" w:color="auto" w:fill="FFFFFF"/>
        </w:rPr>
        <w:t xml:space="preserve"> </w:t>
      </w:r>
      <w:r w:rsidRPr="00CC0263">
        <w:rPr>
          <w:shd w:val="clear" w:color="auto" w:fill="FFFFFF"/>
        </w:rPr>
        <w:t xml:space="preserve">The prisoner required a high level of support which made his proposed </w:t>
      </w:r>
      <w:r w:rsidR="00A17949" w:rsidRPr="00CC0263">
        <w:rPr>
          <w:shd w:val="clear" w:color="auto" w:fill="FFFFFF"/>
        </w:rPr>
        <w:t>placement</w:t>
      </w:r>
      <w:r w:rsidRPr="00CC0263">
        <w:rPr>
          <w:shd w:val="clear" w:color="auto" w:fill="FFFFFF"/>
        </w:rPr>
        <w:t xml:space="preserve"> unsafe for his health. </w:t>
      </w:r>
    </w:p>
    <w:p w14:paraId="44742335" w14:textId="6868A1DF" w:rsidR="00BE389C" w:rsidRDefault="00BE389C" w:rsidP="00BE389C">
      <w:pPr>
        <w:rPr>
          <w:shd w:val="clear" w:color="auto" w:fill="FFFFFF"/>
        </w:rPr>
      </w:pPr>
      <w:r w:rsidRPr="00CC0263">
        <w:rPr>
          <w:shd w:val="clear" w:color="auto" w:fill="FFFFFF"/>
        </w:rPr>
        <w:t>Ultimately, the Court</w:t>
      </w:r>
      <w:r w:rsidR="00B74F59" w:rsidRPr="00CC0263">
        <w:rPr>
          <w:shd w:val="clear" w:color="auto" w:fill="FFFFFF"/>
        </w:rPr>
        <w:t xml:space="preserve"> applied the principle that supervised release should generally be preferred to a continuing detention order. This principle rests on the basis that intrusions</w:t>
      </w:r>
      <w:r w:rsidR="00B74F59">
        <w:rPr>
          <w:shd w:val="clear" w:color="auto" w:fill="FFFFFF"/>
        </w:rPr>
        <w:t xml:space="preserve"> on the right to liberty are exceptional and that liberty should be constrained to no greater extent than is warranted by the law. This was reinforced in this case by the prisoner’s preference for a supervision order. The Court </w:t>
      </w:r>
      <w:r>
        <w:rPr>
          <w:shd w:val="clear" w:color="auto" w:fill="FFFFFF"/>
        </w:rPr>
        <w:t>ordered the prisoner be released under a supervision order</w:t>
      </w:r>
      <w:r w:rsidR="00B74F59">
        <w:rPr>
          <w:shd w:val="clear" w:color="auto" w:fill="FFFFFF"/>
        </w:rPr>
        <w:t>.</w:t>
      </w:r>
      <w:r>
        <w:rPr>
          <w:shd w:val="clear" w:color="auto" w:fill="FFFFFF"/>
        </w:rPr>
        <w:t xml:space="preserve"> </w:t>
      </w:r>
    </w:p>
    <w:p w14:paraId="4D148BF6" w14:textId="3E08C5EC" w:rsidR="00BE389C" w:rsidRPr="00B132DB" w:rsidRDefault="00CB50E3" w:rsidP="00CB50E3">
      <w:pPr>
        <w:pStyle w:val="Heading3"/>
        <w:rPr>
          <w:color w:val="004270"/>
        </w:rPr>
      </w:pPr>
      <w:r w:rsidRPr="00B132DB">
        <w:rPr>
          <w:i/>
          <w:color w:val="004270"/>
        </w:rPr>
        <w:t xml:space="preserve">Wallace v Tannock &amp; Anor </w:t>
      </w:r>
      <w:r w:rsidRPr="00B132DB">
        <w:rPr>
          <w:color w:val="004270"/>
        </w:rPr>
        <w:t>[2023] QSC 122</w:t>
      </w:r>
    </w:p>
    <w:p w14:paraId="719DB3D1" w14:textId="330EAB10" w:rsidR="00A17949" w:rsidRDefault="00A17949" w:rsidP="00A17949">
      <w:r>
        <w:t>A man had a history of sexual offending</w:t>
      </w:r>
      <w:r w:rsidR="00C34C35">
        <w:t xml:space="preserve"> against women</w:t>
      </w:r>
      <w:r>
        <w:t>. Following the expiry of his prison sentence, he was released from prison on a supervision order which required that he comply with every reasonable direction of a Queensland Corrective Services (QCS) officer.</w:t>
      </w:r>
    </w:p>
    <w:p w14:paraId="432C8932" w14:textId="13DE06B9" w:rsidR="00A17949" w:rsidRDefault="00A17949" w:rsidP="00A17949">
      <w:r>
        <w:t xml:space="preserve">QCS became concerned about the man’s behaviour with respect to female NDIS workers and </w:t>
      </w:r>
      <w:r w:rsidR="006E4EE0">
        <w:t xml:space="preserve">in 2022 </w:t>
      </w:r>
      <w:r>
        <w:t xml:space="preserve">issued a direction requiring that the man have </w:t>
      </w:r>
      <w:r w:rsidR="0014410F">
        <w:t>only</w:t>
      </w:r>
      <w:r>
        <w:t xml:space="preserve"> male NDIS support workers and </w:t>
      </w:r>
      <w:r w:rsidR="006E0224">
        <w:t>that</w:t>
      </w:r>
      <w:r>
        <w:t xml:space="preserve"> he obtain approval to have any person in his home, including family members. </w:t>
      </w:r>
      <w:r w:rsidR="006E4EE0">
        <w:t>T</w:t>
      </w:r>
      <w:r>
        <w:t xml:space="preserve">he man’s risk had not been assessed </w:t>
      </w:r>
      <w:r w:rsidR="006E4EE0">
        <w:t>since 2015.</w:t>
      </w:r>
    </w:p>
    <w:p w14:paraId="601F1BDF" w14:textId="42EDD96C" w:rsidR="00A17949" w:rsidRDefault="00A17949" w:rsidP="00A17949">
      <w:r>
        <w:t>The man sought judicial review of the QCS direction.</w:t>
      </w:r>
    </w:p>
    <w:p w14:paraId="39BAD90E" w14:textId="294DE72C" w:rsidR="00A17949" w:rsidRDefault="00A17949" w:rsidP="00A17949">
      <w:r>
        <w:t xml:space="preserve">The Court concluded that the man had not been provided with procedural fairness in the making of the directions and ordered the QCS direction </w:t>
      </w:r>
      <w:r w:rsidR="00DB648C">
        <w:t xml:space="preserve">to </w:t>
      </w:r>
      <w:r>
        <w:t>be set aside and remitted for reconsideration according to law.</w:t>
      </w:r>
    </w:p>
    <w:p w14:paraId="0CB7BD7F" w14:textId="311BABD5" w:rsidR="00C34C35" w:rsidRPr="00A17949" w:rsidRDefault="00A17949" w:rsidP="00A17949">
      <w:r>
        <w:t xml:space="preserve">The Court also considered the man’s human </w:t>
      </w:r>
      <w:r w:rsidR="006E4EE0">
        <w:t xml:space="preserve">right </w:t>
      </w:r>
      <w:r w:rsidR="006E4EE0" w:rsidRPr="008957A8">
        <w:t xml:space="preserve">to </w:t>
      </w:r>
      <w:r w:rsidRPr="008957A8">
        <w:t>freedom of association.</w:t>
      </w:r>
      <w:r w:rsidR="002F7546" w:rsidRPr="008957A8">
        <w:rPr>
          <w:rStyle w:val="FootnoteReference"/>
        </w:rPr>
        <w:footnoteReference w:id="74"/>
      </w:r>
      <w:r>
        <w:t xml:space="preserve"> The Court found that the direction regarding male NDIS support workers was justified </w:t>
      </w:r>
      <w:r w:rsidR="00C04B8E">
        <w:t xml:space="preserve">and </w:t>
      </w:r>
      <w:r>
        <w:t xml:space="preserve">calculated to mitigate the damage to society that may arise from the </w:t>
      </w:r>
      <w:r w:rsidR="006E4EE0">
        <w:t xml:space="preserve">man’s </w:t>
      </w:r>
      <w:r>
        <w:t xml:space="preserve">offending against a female support worker. </w:t>
      </w:r>
      <w:r w:rsidR="00C34C35">
        <w:t>However, the limitation on visitors, including male visitors from the man’s own family, was not justified.</w:t>
      </w:r>
      <w:r w:rsidR="00E865C3">
        <w:t xml:space="preserve"> </w:t>
      </w:r>
      <w:r w:rsidR="00C34C35">
        <w:t xml:space="preserve">There was no rational basis for concern </w:t>
      </w:r>
      <w:r w:rsidR="00CB1268">
        <w:t xml:space="preserve">that the man would offend against </w:t>
      </w:r>
      <w:r w:rsidR="006C633F">
        <w:t xml:space="preserve">a </w:t>
      </w:r>
      <w:r w:rsidR="00C34C35">
        <w:t>male</w:t>
      </w:r>
      <w:r w:rsidR="00CB1268">
        <w:t xml:space="preserve">, or any evidence that QCS </w:t>
      </w:r>
      <w:r w:rsidR="00661D51">
        <w:t xml:space="preserve">needed </w:t>
      </w:r>
      <w:r w:rsidR="00CB1268">
        <w:t xml:space="preserve">to be aware of all male visitors to ensure </w:t>
      </w:r>
      <w:r w:rsidR="00C34C35">
        <w:t xml:space="preserve">community safety. The </w:t>
      </w:r>
      <w:r w:rsidR="007A5A6F">
        <w:t>C</w:t>
      </w:r>
      <w:r w:rsidR="00C34C35">
        <w:t xml:space="preserve">ourt indicated that it would have set aside the QCS </w:t>
      </w:r>
      <w:r w:rsidR="006E4EE0">
        <w:t xml:space="preserve">direction </w:t>
      </w:r>
      <w:r w:rsidR="00C34C35">
        <w:t xml:space="preserve">on the basis that it was an invalid limitation on the man’s freedom of association. </w:t>
      </w:r>
    </w:p>
    <w:p w14:paraId="16F3895E" w14:textId="56CEADF1" w:rsidR="00265B0F" w:rsidRPr="00B132DB" w:rsidRDefault="001E333F" w:rsidP="00737B2A">
      <w:pPr>
        <w:pStyle w:val="Heading2"/>
        <w:rPr>
          <w:color w:val="004270"/>
        </w:rPr>
      </w:pPr>
      <w:bookmarkStart w:id="403" w:name="_Toc147757310"/>
      <w:bookmarkStart w:id="404" w:name="_Toc148086931"/>
      <w:r w:rsidRPr="00B132DB">
        <w:rPr>
          <w:color w:val="004270"/>
        </w:rPr>
        <w:t>Legal capacity</w:t>
      </w:r>
      <w:bookmarkEnd w:id="403"/>
      <w:bookmarkEnd w:id="404"/>
    </w:p>
    <w:p w14:paraId="1371FA37" w14:textId="4C926EE9" w:rsidR="00265B0F" w:rsidRPr="00B132DB" w:rsidRDefault="0099781F" w:rsidP="009F1AE1">
      <w:pPr>
        <w:pStyle w:val="Heading3"/>
        <w:rPr>
          <w:color w:val="004270"/>
        </w:rPr>
      </w:pPr>
      <w:bookmarkStart w:id="405" w:name="_Hlk141956301"/>
      <w:r w:rsidRPr="00F47C36">
        <w:rPr>
          <w:i/>
          <w:color w:val="004270"/>
        </w:rPr>
        <w:t>BA, DC, FE v State of Queensland</w:t>
      </w:r>
      <w:r w:rsidRPr="00B132DB">
        <w:rPr>
          <w:color w:val="004270"/>
        </w:rPr>
        <w:t xml:space="preserve"> [2022] QCAT 332</w:t>
      </w:r>
    </w:p>
    <w:p w14:paraId="662E017C" w14:textId="706F3A8A" w:rsidR="0078729A" w:rsidRDefault="68DB7612" w:rsidP="00086426">
      <w:pPr>
        <w:rPr>
          <w:shd w:val="clear" w:color="auto" w:fill="FFFFFF"/>
        </w:rPr>
      </w:pPr>
      <w:bookmarkStart w:id="406" w:name="_Hlk141950204"/>
      <w:bookmarkEnd w:id="405"/>
      <w:r>
        <w:rPr>
          <w:shd w:val="clear" w:color="auto" w:fill="FFFFFF"/>
        </w:rPr>
        <w:t>T</w:t>
      </w:r>
      <w:r w:rsidR="0039048F">
        <w:rPr>
          <w:shd w:val="clear" w:color="auto" w:fill="FFFFFF"/>
        </w:rPr>
        <w:t>he tribunal</w:t>
      </w:r>
      <w:r w:rsidR="00086426">
        <w:rPr>
          <w:shd w:val="clear" w:color="auto" w:fill="FFFFFF"/>
        </w:rPr>
        <w:t xml:space="preserve"> considered whether</w:t>
      </w:r>
      <w:r w:rsidR="006415F7">
        <w:rPr>
          <w:shd w:val="clear" w:color="auto" w:fill="FFFFFF"/>
        </w:rPr>
        <w:t xml:space="preserve"> complaints</w:t>
      </w:r>
      <w:r w:rsidR="00086426">
        <w:rPr>
          <w:shd w:val="clear" w:color="auto" w:fill="FFFFFF"/>
        </w:rPr>
        <w:t xml:space="preserve"> </w:t>
      </w:r>
      <w:r w:rsidR="006415F7">
        <w:rPr>
          <w:shd w:val="clear" w:color="auto" w:fill="FFFFFF"/>
        </w:rPr>
        <w:t xml:space="preserve">made by persons </w:t>
      </w:r>
      <w:r w:rsidR="00086426">
        <w:rPr>
          <w:shd w:val="clear" w:color="auto" w:fill="FFFFFF"/>
        </w:rPr>
        <w:t xml:space="preserve">all under 18 years </w:t>
      </w:r>
      <w:r w:rsidR="00722971">
        <w:rPr>
          <w:shd w:val="clear" w:color="auto" w:fill="FFFFFF"/>
        </w:rPr>
        <w:t>of age</w:t>
      </w:r>
      <w:r w:rsidR="00086426" w:rsidDel="00722971">
        <w:rPr>
          <w:shd w:val="clear" w:color="auto" w:fill="FFFFFF"/>
        </w:rPr>
        <w:t xml:space="preserve"> </w:t>
      </w:r>
      <w:r w:rsidR="006415F7">
        <w:rPr>
          <w:shd w:val="clear" w:color="auto" w:fill="FFFFFF"/>
        </w:rPr>
        <w:t xml:space="preserve">had been properly made and referred under the </w:t>
      </w:r>
      <w:r w:rsidR="006415F7" w:rsidRPr="5FE3E0D6">
        <w:rPr>
          <w:i/>
          <w:shd w:val="clear" w:color="auto" w:fill="FFFFFF"/>
        </w:rPr>
        <w:t>Anti-Discrimination Act 1991</w:t>
      </w:r>
      <w:r w:rsidR="006415F7">
        <w:rPr>
          <w:shd w:val="clear" w:color="auto" w:fill="FFFFFF"/>
        </w:rPr>
        <w:t xml:space="preserve">. The concern arose because of the position in the civil courts that a litigation guardian is required for a person under 18 to bring </w:t>
      </w:r>
      <w:r w:rsidR="00722971">
        <w:rPr>
          <w:shd w:val="clear" w:color="auto" w:fill="FFFFFF"/>
        </w:rPr>
        <w:t>a</w:t>
      </w:r>
      <w:r w:rsidR="006415F7">
        <w:rPr>
          <w:shd w:val="clear" w:color="auto" w:fill="FFFFFF"/>
        </w:rPr>
        <w:t xml:space="preserve"> proceeding. The tribunal asked the Commission to make submissions. </w:t>
      </w:r>
    </w:p>
    <w:p w14:paraId="2D083123" w14:textId="2C61BA20" w:rsidR="004571A4" w:rsidRPr="00DA405C" w:rsidRDefault="006415F7" w:rsidP="00086426">
      <w:pPr>
        <w:rPr>
          <w:shd w:val="clear" w:color="auto" w:fill="FFFFFF"/>
        </w:rPr>
      </w:pPr>
      <w:r>
        <w:rPr>
          <w:shd w:val="clear" w:color="auto" w:fill="FFFFFF"/>
        </w:rPr>
        <w:t xml:space="preserve">The tribunal </w:t>
      </w:r>
      <w:r w:rsidR="00086426">
        <w:rPr>
          <w:shd w:val="clear" w:color="auto" w:fill="FFFFFF"/>
        </w:rPr>
        <w:t>accepted that</w:t>
      </w:r>
      <w:r>
        <w:rPr>
          <w:shd w:val="clear" w:color="auto" w:fill="FFFFFF"/>
        </w:rPr>
        <w:t xml:space="preserve"> a complainant did not have to be over 18 years </w:t>
      </w:r>
      <w:r w:rsidR="002121BD">
        <w:rPr>
          <w:shd w:val="clear" w:color="auto" w:fill="FFFFFF"/>
        </w:rPr>
        <w:t xml:space="preserve">of age </w:t>
      </w:r>
      <w:r>
        <w:rPr>
          <w:shd w:val="clear" w:color="auto" w:fill="FFFFFF"/>
        </w:rPr>
        <w:t>to make a valid complaint and</w:t>
      </w:r>
      <w:r w:rsidR="006E767F">
        <w:rPr>
          <w:shd w:val="clear" w:color="auto" w:fill="FFFFFF"/>
        </w:rPr>
        <w:t xml:space="preserve">, as the complainants were persons </w:t>
      </w:r>
      <w:r w:rsidR="006E767F" w:rsidRPr="00DA405C">
        <w:rPr>
          <w:shd w:val="clear" w:color="auto" w:fill="FFFFFF"/>
        </w:rPr>
        <w:t xml:space="preserve">subjected to an alleged contravention within section 134(1)(a) of the Anti-Discrimination Act, </w:t>
      </w:r>
      <w:r w:rsidRPr="00DA405C">
        <w:rPr>
          <w:shd w:val="clear" w:color="auto" w:fill="FFFFFF"/>
        </w:rPr>
        <w:t>the complaints had been properly made. T</w:t>
      </w:r>
      <w:r w:rsidR="00086426" w:rsidRPr="00DA405C">
        <w:rPr>
          <w:shd w:val="clear" w:color="auto" w:fill="FFFFFF"/>
        </w:rPr>
        <w:t>his interpretation</w:t>
      </w:r>
      <w:r w:rsidR="00ED45AB" w:rsidRPr="00DA405C">
        <w:rPr>
          <w:shd w:val="clear" w:color="auto" w:fill="FFFFFF"/>
        </w:rPr>
        <w:t xml:space="preserve"> </w:t>
      </w:r>
      <w:r w:rsidR="00A9711B" w:rsidRPr="00DA405C">
        <w:rPr>
          <w:shd w:val="clear" w:color="auto" w:fill="FFFFFF"/>
        </w:rPr>
        <w:t xml:space="preserve">of </w:t>
      </w:r>
      <w:r w:rsidR="00ED45AB" w:rsidRPr="00DA405C">
        <w:rPr>
          <w:shd w:val="clear" w:color="auto" w:fill="FFFFFF"/>
        </w:rPr>
        <w:t xml:space="preserve">the </w:t>
      </w:r>
      <w:r w:rsidRPr="00DA405C">
        <w:rPr>
          <w:shd w:val="clear" w:color="auto" w:fill="FFFFFF"/>
        </w:rPr>
        <w:t>legislation</w:t>
      </w:r>
      <w:r w:rsidRPr="00DA405C">
        <w:rPr>
          <w:i/>
          <w:shd w:val="clear" w:color="auto" w:fill="FFFFFF"/>
        </w:rPr>
        <w:t xml:space="preserve"> </w:t>
      </w:r>
      <w:r w:rsidR="00086426" w:rsidRPr="00DA405C">
        <w:rPr>
          <w:shd w:val="clear" w:color="auto" w:fill="FFFFFF"/>
        </w:rPr>
        <w:t>was most compatible with human rights.</w:t>
      </w:r>
      <w:r w:rsidR="00E865C3">
        <w:rPr>
          <w:shd w:val="clear" w:color="auto" w:fill="FFFFFF"/>
        </w:rPr>
        <w:t xml:space="preserve"> </w:t>
      </w:r>
      <w:r w:rsidR="006E767F">
        <w:t xml:space="preserve">Although specific rights were not identified in the tribunal’s decision, rights raised in the Commission’s submissions were the </w:t>
      </w:r>
      <w:r w:rsidR="006E767F" w:rsidRPr="00DA405C">
        <w:t>rights of the child</w:t>
      </w:r>
      <w:r w:rsidR="0075329C" w:rsidRPr="00DA405C">
        <w:rPr>
          <w:rStyle w:val="FootnoteReference"/>
        </w:rPr>
        <w:footnoteReference w:id="75"/>
      </w:r>
      <w:r w:rsidR="006E767F">
        <w:t xml:space="preserve"> and </w:t>
      </w:r>
      <w:r w:rsidR="006E767F" w:rsidRPr="00DA405C">
        <w:t>recognition and equality before the law</w:t>
      </w:r>
      <w:r w:rsidR="006E767F">
        <w:t>.</w:t>
      </w:r>
      <w:r w:rsidR="00DA405C" w:rsidRPr="00DA405C">
        <w:rPr>
          <w:rStyle w:val="FootnoteReference"/>
        </w:rPr>
        <w:footnoteReference w:id="76"/>
      </w:r>
    </w:p>
    <w:p w14:paraId="28B5C068" w14:textId="31F541FC" w:rsidR="00086426" w:rsidRPr="00086426" w:rsidRDefault="00086426" w:rsidP="00086426">
      <w:r>
        <w:rPr>
          <w:shd w:val="clear" w:color="auto" w:fill="FFFFFF"/>
        </w:rPr>
        <w:t xml:space="preserve">Further, </w:t>
      </w:r>
      <w:r w:rsidR="006E767F">
        <w:rPr>
          <w:shd w:val="clear" w:color="auto" w:fill="FFFFFF"/>
        </w:rPr>
        <w:t xml:space="preserve">the tribunal </w:t>
      </w:r>
      <w:r>
        <w:rPr>
          <w:shd w:val="clear" w:color="auto" w:fill="FFFFFF"/>
        </w:rPr>
        <w:t xml:space="preserve">found that </w:t>
      </w:r>
      <w:r w:rsidR="006E767F">
        <w:rPr>
          <w:shd w:val="clear" w:color="auto" w:fill="FFFFFF"/>
        </w:rPr>
        <w:t xml:space="preserve">provided </w:t>
      </w:r>
      <w:r>
        <w:rPr>
          <w:shd w:val="clear" w:color="auto" w:fill="FFFFFF"/>
        </w:rPr>
        <w:t xml:space="preserve">a person under 18 years </w:t>
      </w:r>
      <w:r w:rsidR="006E767F">
        <w:rPr>
          <w:shd w:val="clear" w:color="auto" w:fill="FFFFFF"/>
        </w:rPr>
        <w:t xml:space="preserve">was </w:t>
      </w:r>
      <w:r>
        <w:rPr>
          <w:shd w:val="clear" w:color="auto" w:fill="FFFFFF"/>
        </w:rPr>
        <w:t xml:space="preserve">‘Gillick </w:t>
      </w:r>
      <w:r w:rsidRPr="00734A00">
        <w:rPr>
          <w:shd w:val="clear" w:color="auto" w:fill="FFFFFF"/>
        </w:rPr>
        <w:t xml:space="preserve">competent’, </w:t>
      </w:r>
      <w:r w:rsidR="006E767F" w:rsidRPr="00734A00">
        <w:rPr>
          <w:shd w:val="clear" w:color="auto" w:fill="FFFFFF"/>
        </w:rPr>
        <w:t xml:space="preserve">they </w:t>
      </w:r>
      <w:r w:rsidRPr="00734A00">
        <w:rPr>
          <w:shd w:val="clear" w:color="auto" w:fill="FFFFFF"/>
        </w:rPr>
        <w:t xml:space="preserve">may pursue the matter without a litigation guardian. </w:t>
      </w:r>
      <w:r w:rsidR="006E767F" w:rsidRPr="00734A00">
        <w:rPr>
          <w:shd w:val="clear" w:color="auto" w:fill="FFFFFF"/>
        </w:rPr>
        <w:t xml:space="preserve">The tribunal </w:t>
      </w:r>
      <w:r w:rsidRPr="00734A00">
        <w:rPr>
          <w:shd w:val="clear" w:color="auto" w:fill="FFFFFF"/>
        </w:rPr>
        <w:t xml:space="preserve">assessed the competency of each of the </w:t>
      </w:r>
      <w:r w:rsidR="006E767F" w:rsidRPr="00734A00">
        <w:rPr>
          <w:shd w:val="clear" w:color="auto" w:fill="FFFFFF"/>
        </w:rPr>
        <w:t xml:space="preserve">complainants </w:t>
      </w:r>
      <w:r w:rsidRPr="00734A00">
        <w:rPr>
          <w:shd w:val="clear" w:color="auto" w:fill="FFFFFF"/>
        </w:rPr>
        <w:t xml:space="preserve">and made directions that one of the </w:t>
      </w:r>
      <w:r w:rsidR="006E767F" w:rsidRPr="00734A00">
        <w:rPr>
          <w:shd w:val="clear" w:color="auto" w:fill="FFFFFF"/>
        </w:rPr>
        <w:t xml:space="preserve">complainants </w:t>
      </w:r>
      <w:r w:rsidRPr="00734A00">
        <w:rPr>
          <w:shd w:val="clear" w:color="auto" w:fill="FFFFFF"/>
        </w:rPr>
        <w:t>be appointed a litigation guardian. QCAT considered that by requiring a litigation guardian, the </w:t>
      </w:r>
      <w:r w:rsidR="006E767F" w:rsidRPr="00734A00">
        <w:rPr>
          <w:shd w:val="clear" w:color="auto" w:fill="FFFFFF"/>
        </w:rPr>
        <w:t xml:space="preserve">complainant’s </w:t>
      </w:r>
      <w:r w:rsidRPr="00734A00">
        <w:rPr>
          <w:rStyle w:val="Strong"/>
          <w:rFonts w:cs="Arial"/>
          <w:b w:val="0"/>
          <w:shd w:val="clear" w:color="auto" w:fill="FFFFFF"/>
        </w:rPr>
        <w:t>rights to equality</w:t>
      </w:r>
      <w:r w:rsidRPr="00734A00">
        <w:rPr>
          <w:b/>
          <w:shd w:val="clear" w:color="auto" w:fill="FFFFFF"/>
        </w:rPr>
        <w:t>,</w:t>
      </w:r>
      <w:r w:rsidR="00734A00" w:rsidRPr="00734A00">
        <w:rPr>
          <w:rStyle w:val="FootnoteReference"/>
          <w:rFonts w:cs="Arial"/>
          <w:b/>
          <w:bCs/>
          <w:shd w:val="clear" w:color="auto" w:fill="FFFFFF"/>
        </w:rPr>
        <w:footnoteReference w:id="77"/>
      </w:r>
      <w:r w:rsidRPr="00734A00">
        <w:rPr>
          <w:b/>
          <w:shd w:val="clear" w:color="auto" w:fill="FFFFFF"/>
        </w:rPr>
        <w:t> </w:t>
      </w:r>
      <w:r w:rsidRPr="00734A00">
        <w:rPr>
          <w:rStyle w:val="Strong"/>
          <w:rFonts w:cs="Arial"/>
          <w:b w:val="0"/>
          <w:shd w:val="clear" w:color="auto" w:fill="FFFFFF"/>
        </w:rPr>
        <w:t>protection of families and children</w:t>
      </w:r>
      <w:r w:rsidR="00734A00" w:rsidRPr="00734A00">
        <w:rPr>
          <w:rStyle w:val="FootnoteReference"/>
          <w:rFonts w:cs="Arial"/>
          <w:b/>
          <w:bCs/>
          <w:shd w:val="clear" w:color="auto" w:fill="FFFFFF"/>
        </w:rPr>
        <w:footnoteReference w:id="78"/>
      </w:r>
      <w:r w:rsidRPr="00734A00">
        <w:rPr>
          <w:b/>
          <w:shd w:val="clear" w:color="auto" w:fill="FFFFFF"/>
        </w:rPr>
        <w:t> </w:t>
      </w:r>
      <w:r w:rsidRPr="00734A00">
        <w:rPr>
          <w:shd w:val="clear" w:color="auto" w:fill="FFFFFF"/>
        </w:rPr>
        <w:t>and</w:t>
      </w:r>
      <w:r w:rsidRPr="00734A00">
        <w:rPr>
          <w:b/>
          <w:shd w:val="clear" w:color="auto" w:fill="FFFFFF"/>
        </w:rPr>
        <w:t> </w:t>
      </w:r>
      <w:r w:rsidRPr="00734A00">
        <w:rPr>
          <w:rStyle w:val="Strong"/>
          <w:rFonts w:cs="Arial"/>
          <w:b w:val="0"/>
          <w:shd w:val="clear" w:color="auto" w:fill="FFFFFF"/>
        </w:rPr>
        <w:t>fair hearing</w:t>
      </w:r>
      <w:r w:rsidR="00734A00" w:rsidRPr="00734A00">
        <w:rPr>
          <w:rStyle w:val="FootnoteReference"/>
          <w:rFonts w:cs="Arial"/>
          <w:b/>
          <w:bCs/>
          <w:shd w:val="clear" w:color="auto" w:fill="FFFFFF"/>
        </w:rPr>
        <w:footnoteReference w:id="79"/>
      </w:r>
      <w:r w:rsidRPr="00734A00">
        <w:rPr>
          <w:b/>
          <w:shd w:val="clear" w:color="auto" w:fill="FFFFFF"/>
        </w:rPr>
        <w:t> </w:t>
      </w:r>
      <w:r w:rsidRPr="00734A00">
        <w:rPr>
          <w:shd w:val="clear" w:color="auto" w:fill="FFFFFF"/>
        </w:rPr>
        <w:t>were limited. However, that limitation was justified because of its purpose to ensure a fair hearing for all parties based on reliable and informed instructions from</w:t>
      </w:r>
      <w:r>
        <w:rPr>
          <w:shd w:val="clear" w:color="auto" w:fill="FFFFFF"/>
        </w:rPr>
        <w:t xml:space="preserve"> a party competent to give instructions and the fair administration of justice.</w:t>
      </w:r>
    </w:p>
    <w:bookmarkEnd w:id="406"/>
    <w:p w14:paraId="10F9C427" w14:textId="77777777" w:rsidR="004C5C2B" w:rsidRPr="00B132DB" w:rsidRDefault="004C5C2B" w:rsidP="009F1AE1">
      <w:pPr>
        <w:pStyle w:val="Heading3"/>
        <w:rPr>
          <w:color w:val="004270"/>
        </w:rPr>
      </w:pPr>
      <w:r w:rsidRPr="00F47C36">
        <w:rPr>
          <w:i/>
          <w:color w:val="004270"/>
        </w:rPr>
        <w:t>In the matter of ICO</w:t>
      </w:r>
      <w:r w:rsidRPr="00B132DB">
        <w:rPr>
          <w:color w:val="004270"/>
        </w:rPr>
        <w:t xml:space="preserve"> [2023] QMHC 1</w:t>
      </w:r>
    </w:p>
    <w:p w14:paraId="3AED53F6" w14:textId="4B7946C2" w:rsidR="005B75A4" w:rsidRDefault="005B75A4" w:rsidP="00734A00">
      <w:pPr>
        <w:rPr>
          <w:rFonts w:cs="Arial"/>
          <w:color w:val="484848"/>
          <w:sz w:val="22"/>
        </w:rPr>
      </w:pPr>
      <w:r>
        <w:t>The</w:t>
      </w:r>
      <w:r w:rsidR="006E767F">
        <w:t xml:space="preserve"> Mental Health Court was asked to consider an application for the approval of involuntary treatment of a woman </w:t>
      </w:r>
      <w:r>
        <w:t>with electroconvulsive therapy (ECT)</w:t>
      </w:r>
      <w:r w:rsidR="00C378EB">
        <w:t xml:space="preserve"> under the </w:t>
      </w:r>
      <w:r w:rsidR="00C378EB" w:rsidRPr="00C378EB">
        <w:rPr>
          <w:i/>
        </w:rPr>
        <w:t>Mental Health Act 2016</w:t>
      </w:r>
      <w:r>
        <w:t xml:space="preserve">. </w:t>
      </w:r>
      <w:r w:rsidR="001E51E8">
        <w:t xml:space="preserve">Before treatment with </w:t>
      </w:r>
      <w:r w:rsidR="001E51E8" w:rsidRPr="007104DB">
        <w:t xml:space="preserve">ECT can be approved, the </w:t>
      </w:r>
      <w:r w:rsidR="00D072DD" w:rsidRPr="007104DB">
        <w:t>C</w:t>
      </w:r>
      <w:r w:rsidR="001E51E8" w:rsidRPr="007104DB">
        <w:t xml:space="preserve">ourt must be satisfied that the person </w:t>
      </w:r>
      <w:r w:rsidR="00A73F27">
        <w:rPr>
          <w:rFonts w:cs="Arial"/>
          <w:color w:val="484848"/>
          <w:sz w:val="22"/>
        </w:rPr>
        <w:t xml:space="preserve">is not able to give informed consent to ECT. </w:t>
      </w:r>
    </w:p>
    <w:p w14:paraId="0117B0B2" w14:textId="0671DFFD" w:rsidR="00D27DFD" w:rsidRDefault="00413EFD" w:rsidP="00734A00">
      <w:pPr>
        <w:rPr>
          <w:rFonts w:cs="Arial"/>
          <w:color w:val="484848"/>
        </w:rPr>
      </w:pPr>
      <w:r>
        <w:t xml:space="preserve">The Court identified </w:t>
      </w:r>
      <w:r w:rsidR="00734A00">
        <w:t>several</w:t>
      </w:r>
      <w:r>
        <w:t xml:space="preserve"> of human rights engaged</w:t>
      </w:r>
      <w:r w:rsidR="00BF1235">
        <w:t xml:space="preserve"> by the decision, including the right to equality,</w:t>
      </w:r>
      <w:r w:rsidR="00734A00">
        <w:rPr>
          <w:rStyle w:val="FootnoteReference"/>
        </w:rPr>
        <w:footnoteReference w:id="80"/>
      </w:r>
      <w:r w:rsidR="00BF1235">
        <w:t xml:space="preserve"> privacy,</w:t>
      </w:r>
      <w:r w:rsidR="00734A00">
        <w:rPr>
          <w:rStyle w:val="FootnoteReference"/>
        </w:rPr>
        <w:footnoteReference w:id="81"/>
      </w:r>
      <w:r w:rsidR="00BF1235">
        <w:t xml:space="preserve"> liberty and security,</w:t>
      </w:r>
      <w:r w:rsidR="00734A00">
        <w:rPr>
          <w:rStyle w:val="FootnoteReference"/>
        </w:rPr>
        <w:footnoteReference w:id="82"/>
      </w:r>
      <w:r w:rsidR="00BF1235">
        <w:t xml:space="preserve"> humane treatment when deprived of liberty</w:t>
      </w:r>
      <w:r w:rsidR="00C543D1">
        <w:t>,</w:t>
      </w:r>
      <w:r w:rsidR="00734A00">
        <w:rPr>
          <w:rStyle w:val="FootnoteReference"/>
        </w:rPr>
        <w:footnoteReference w:id="83"/>
      </w:r>
      <w:r w:rsidR="00BF1235">
        <w:t xml:space="preserve"> the right to access health services without discrimination</w:t>
      </w:r>
      <w:r w:rsidR="00C543D1">
        <w:t>,</w:t>
      </w:r>
      <w:r w:rsidR="00734A00">
        <w:rPr>
          <w:rStyle w:val="FootnoteReference"/>
        </w:rPr>
        <w:footnoteReference w:id="84"/>
      </w:r>
      <w:r w:rsidR="00C543D1">
        <w:t xml:space="preserve"> and the right not to be subjected to medical treatment without the person’s full, free and informed consent</w:t>
      </w:r>
      <w:r w:rsidR="00BF1235">
        <w:t>.</w:t>
      </w:r>
      <w:r w:rsidR="00734A00">
        <w:rPr>
          <w:rStyle w:val="FootnoteReference"/>
        </w:rPr>
        <w:footnoteReference w:id="85"/>
      </w:r>
      <w:r w:rsidR="00C543D1">
        <w:t xml:space="preserve"> The Court noted that these rights were consistent with the Mental Health Act’s objects and principles that must be applied when performing a function or power under the Mental Health Act.</w:t>
      </w:r>
      <w:r w:rsidR="00E865C3">
        <w:t xml:space="preserve"> </w:t>
      </w:r>
    </w:p>
    <w:p w14:paraId="194CCEB2" w14:textId="20A6ABBC" w:rsidR="004C5C2B" w:rsidRDefault="004C5C2B" w:rsidP="007104DB">
      <w:pPr>
        <w:rPr>
          <w:rFonts w:cs="Arial"/>
          <w:color w:val="484848"/>
          <w:sz w:val="22"/>
        </w:rPr>
      </w:pPr>
      <w:r>
        <w:t xml:space="preserve">In setting out what was required to determine whether a person can understand the nature and effect of a decision relating to ECT, the </w:t>
      </w:r>
      <w:r w:rsidR="00603E15">
        <w:t>C</w:t>
      </w:r>
      <w:r>
        <w:t xml:space="preserve">ourt drew upon aspects of the Victorian </w:t>
      </w:r>
      <w:r w:rsidRPr="00734A00">
        <w:t>case of </w:t>
      </w:r>
      <w:r w:rsidRPr="00734A00">
        <w:rPr>
          <w:i/>
        </w:rPr>
        <w:t>PBU and NJE v Mental Health Tribunal</w:t>
      </w:r>
      <w:r w:rsidRPr="00734A00">
        <w:t> (2018) 56 VR 141</w:t>
      </w:r>
      <w:r w:rsidR="000C5A58" w:rsidRPr="00734A00">
        <w:t xml:space="preserve">. This included that </w:t>
      </w:r>
      <w:r w:rsidRPr="00734A00">
        <w:t>to have capacity, it is not necessary for a person to give careful</w:t>
      </w:r>
      <w:r>
        <w:t xml:space="preserve"> consideration to the advantages or disadvantages of treatment, or that the person makes a </w:t>
      </w:r>
      <w:r w:rsidRPr="007104DB">
        <w:t>rational or balanced decision. It is enough, like most people, to be able to make and communicate a decision in broad terms as to the general nature and effect of treatment. A person’s insight into their illness is relevant to considering whether a person has the ability to understand the nature and effect of a decision relating to ECT treatment but is not deter</w:t>
      </w:r>
      <w:r>
        <w:rPr>
          <w:rFonts w:cs="Arial"/>
          <w:color w:val="484848"/>
          <w:sz w:val="22"/>
        </w:rPr>
        <w:t xml:space="preserve">minative. The question of capacity under the </w:t>
      </w:r>
      <w:r w:rsidR="000C0710">
        <w:rPr>
          <w:rFonts w:cs="Arial"/>
          <w:color w:val="484848"/>
          <w:sz w:val="22"/>
        </w:rPr>
        <w:t xml:space="preserve">Mental Health </w:t>
      </w:r>
      <w:r>
        <w:rPr>
          <w:rFonts w:cs="Arial"/>
          <w:color w:val="484848"/>
          <w:sz w:val="22"/>
        </w:rPr>
        <w:t>Act will be fact and context specific.</w:t>
      </w:r>
    </w:p>
    <w:p w14:paraId="32A25490" w14:textId="6CC39A76" w:rsidR="004C5C2B" w:rsidRDefault="004C5C2B" w:rsidP="007104DB">
      <w:pPr>
        <w:rPr>
          <w:rFonts w:cs="Arial"/>
          <w:color w:val="484848"/>
          <w:sz w:val="22"/>
        </w:rPr>
      </w:pPr>
      <w:r w:rsidRPr="007104DB">
        <w:t>In this case, the Court determined the woman did not have capacity to consent to ECT</w:t>
      </w:r>
      <w:r w:rsidR="00877D59" w:rsidRPr="007104DB">
        <w:rPr>
          <w:rFonts w:cs="Arial"/>
        </w:rPr>
        <w:t>.</w:t>
      </w:r>
      <w:r w:rsidRPr="007104DB">
        <w:rPr>
          <w:rFonts w:cs="Arial"/>
        </w:rPr>
        <w:t xml:space="preserve"> </w:t>
      </w:r>
      <w:r w:rsidR="00877D59" w:rsidRPr="007104DB">
        <w:rPr>
          <w:rFonts w:cs="Arial"/>
        </w:rPr>
        <w:t>H</w:t>
      </w:r>
      <w:r w:rsidRPr="007104DB">
        <w:rPr>
          <w:rFonts w:cs="Arial"/>
        </w:rPr>
        <w:t>owever</w:t>
      </w:r>
      <w:r w:rsidR="000C0710" w:rsidRPr="007104DB">
        <w:rPr>
          <w:rFonts w:cs="Arial"/>
        </w:rPr>
        <w:t xml:space="preserve">, </w:t>
      </w:r>
      <w:r w:rsidR="00F50281" w:rsidRPr="007104DB">
        <w:rPr>
          <w:rFonts w:cs="Arial"/>
        </w:rPr>
        <w:t xml:space="preserve">ECT was refused on the basis the Court was not satisfied that it was appropriate in the circumstances, </w:t>
      </w:r>
      <w:r w:rsidR="000C5A58" w:rsidRPr="007104DB">
        <w:rPr>
          <w:rFonts w:cs="Arial"/>
        </w:rPr>
        <w:t xml:space="preserve">given </w:t>
      </w:r>
      <w:r w:rsidRPr="007104DB">
        <w:rPr>
          <w:rFonts w:cs="Arial"/>
        </w:rPr>
        <w:t xml:space="preserve">there remained alternatives to ECT </w:t>
      </w:r>
      <w:r w:rsidR="00F50281" w:rsidRPr="007104DB">
        <w:rPr>
          <w:rFonts w:cs="Arial"/>
        </w:rPr>
        <w:t xml:space="preserve">to </w:t>
      </w:r>
      <w:r w:rsidRPr="007104DB">
        <w:rPr>
          <w:rFonts w:cs="Arial"/>
        </w:rPr>
        <w:t>be explored.</w:t>
      </w:r>
    </w:p>
    <w:p w14:paraId="4EAEC73B" w14:textId="77777777" w:rsidR="002B24E6" w:rsidRDefault="002B24E6">
      <w:pPr>
        <w:spacing w:after="160" w:line="259" w:lineRule="auto"/>
        <w:ind w:right="0"/>
        <w:rPr>
          <w:rFonts w:eastAsiaTheme="majorEastAsia" w:cstheme="majorBidi"/>
          <w:iCs/>
          <w:color w:val="004270"/>
          <w:sz w:val="48"/>
          <w:szCs w:val="32"/>
        </w:rPr>
      </w:pPr>
      <w:bookmarkStart w:id="407" w:name="_Toc84593879"/>
      <w:bookmarkStart w:id="408" w:name="_Toc85451757"/>
      <w:bookmarkStart w:id="409" w:name="_Toc85526687"/>
      <w:bookmarkStart w:id="410" w:name="_Toc85787102"/>
      <w:bookmarkStart w:id="411" w:name="_Toc110506641"/>
      <w:bookmarkStart w:id="412" w:name="_Toc202992737"/>
      <w:bookmarkStart w:id="413" w:name="_Toc117697164"/>
      <w:bookmarkStart w:id="414" w:name="_Toc147757311"/>
      <w:bookmarkStart w:id="415" w:name="_Toc148086932"/>
      <w:r>
        <w:rPr>
          <w:color w:val="004270"/>
        </w:rPr>
        <w:br w:type="page"/>
      </w:r>
    </w:p>
    <w:p w14:paraId="3BA299A1" w14:textId="55559129" w:rsidR="004F5A90" w:rsidRPr="0017166D" w:rsidRDefault="004F5A90" w:rsidP="00D17411">
      <w:pPr>
        <w:pStyle w:val="Heading1"/>
        <w:rPr>
          <w:color w:val="004270"/>
        </w:rPr>
      </w:pPr>
      <w:r w:rsidRPr="0017166D">
        <w:rPr>
          <w:color w:val="004270"/>
        </w:rPr>
        <w:t>Interventions</w:t>
      </w:r>
      <w:bookmarkEnd w:id="407"/>
      <w:bookmarkEnd w:id="408"/>
      <w:bookmarkEnd w:id="409"/>
      <w:bookmarkEnd w:id="410"/>
      <w:bookmarkEnd w:id="411"/>
      <w:bookmarkEnd w:id="412"/>
      <w:bookmarkEnd w:id="413"/>
      <w:bookmarkEnd w:id="414"/>
      <w:bookmarkEnd w:id="415"/>
    </w:p>
    <w:p w14:paraId="384D7849" w14:textId="16710AE6" w:rsidR="00595A2F" w:rsidRDefault="00595A2F" w:rsidP="00595A2F">
      <w:r w:rsidRPr="43FC7218">
        <w:rPr>
          <w:lang w:val="en-US"/>
        </w:rPr>
        <w:t xml:space="preserve">The Attorney-General and the Queensland Human Rights Commission </w:t>
      </w:r>
      <w:r w:rsidR="00FC4F13">
        <w:rPr>
          <w:lang w:val="en-US"/>
        </w:rPr>
        <w:t>may</w:t>
      </w:r>
      <w:r w:rsidRPr="43FC7218">
        <w:rPr>
          <w:lang w:val="en-US"/>
        </w:rPr>
        <w:t xml:space="preserve"> intervene in proceedings before a court </w:t>
      </w:r>
      <w:r>
        <w:rPr>
          <w:lang w:val="en-US"/>
        </w:rPr>
        <w:t>or</w:t>
      </w:r>
      <w:r w:rsidRPr="43FC7218">
        <w:rPr>
          <w:lang w:val="en-US"/>
        </w:rPr>
        <w:t xml:space="preserve"> tribunal </w:t>
      </w:r>
      <w:r w:rsidR="00720D3E">
        <w:rPr>
          <w:lang w:val="en-US"/>
        </w:rPr>
        <w:t xml:space="preserve">in which </w:t>
      </w:r>
      <w:r w:rsidRPr="43FC7218">
        <w:rPr>
          <w:lang w:val="en-US"/>
        </w:rPr>
        <w:t xml:space="preserve">a question of law about the application of the </w:t>
      </w:r>
      <w:r>
        <w:rPr>
          <w:lang w:val="en-US"/>
        </w:rPr>
        <w:t xml:space="preserve">Human Rights </w:t>
      </w:r>
      <w:r w:rsidRPr="43FC7218">
        <w:rPr>
          <w:lang w:val="en-US"/>
        </w:rPr>
        <w:t>Act</w:t>
      </w:r>
      <w:r w:rsidR="00720D3E">
        <w:rPr>
          <w:lang w:val="en-US"/>
        </w:rPr>
        <w:t xml:space="preserve"> arises</w:t>
      </w:r>
      <w:r w:rsidRPr="43FC7218">
        <w:rPr>
          <w:lang w:val="en-US"/>
        </w:rPr>
        <w:t xml:space="preserve">, or a question about how legislation is to be interpreted in accordance with </w:t>
      </w:r>
      <w:r w:rsidR="00EE2BD2">
        <w:rPr>
          <w:lang w:val="en-US"/>
        </w:rPr>
        <w:t>the Human Rights Act</w:t>
      </w:r>
      <w:r w:rsidRPr="43FC7218">
        <w:rPr>
          <w:lang w:val="en-US"/>
        </w:rPr>
        <w:t>.</w:t>
      </w:r>
    </w:p>
    <w:p w14:paraId="1F0F6ACB" w14:textId="46C5FFE9" w:rsidR="000D7CB2" w:rsidRPr="0017166D" w:rsidRDefault="000D7CB2" w:rsidP="00A70E21">
      <w:pPr>
        <w:pStyle w:val="Heading2"/>
        <w:rPr>
          <w:color w:val="004270"/>
        </w:rPr>
      </w:pPr>
      <w:bookmarkStart w:id="416" w:name="_Toc84593880"/>
      <w:bookmarkStart w:id="417" w:name="_Toc85451758"/>
      <w:bookmarkStart w:id="418" w:name="_Toc85526688"/>
      <w:bookmarkStart w:id="419" w:name="_Toc85787103"/>
      <w:bookmarkStart w:id="420" w:name="_Toc110506642"/>
      <w:bookmarkStart w:id="421" w:name="_Toc117697165"/>
      <w:bookmarkStart w:id="422" w:name="_Toc117697872"/>
      <w:bookmarkStart w:id="423" w:name="_Toc147757312"/>
      <w:bookmarkStart w:id="424" w:name="_Toc148086933"/>
      <w:bookmarkStart w:id="425" w:name="_Toc36032933"/>
      <w:r w:rsidRPr="0017166D">
        <w:rPr>
          <w:color w:val="004270"/>
        </w:rPr>
        <w:t>Commission notifications</w:t>
      </w:r>
      <w:bookmarkEnd w:id="416"/>
      <w:bookmarkEnd w:id="417"/>
      <w:bookmarkEnd w:id="418"/>
      <w:bookmarkEnd w:id="419"/>
      <w:bookmarkEnd w:id="420"/>
      <w:bookmarkEnd w:id="421"/>
      <w:bookmarkEnd w:id="422"/>
      <w:bookmarkEnd w:id="423"/>
      <w:bookmarkEnd w:id="424"/>
      <w:r w:rsidRPr="0017166D">
        <w:rPr>
          <w:color w:val="004270"/>
        </w:rPr>
        <w:t xml:space="preserve"> </w:t>
      </w:r>
      <w:bookmarkEnd w:id="425"/>
    </w:p>
    <w:p w14:paraId="2D80A545" w14:textId="78CC09C4" w:rsidR="000D7CB2" w:rsidRDefault="000D7CB2" w:rsidP="000D7CB2">
      <w:pPr>
        <w:rPr>
          <w:lang w:val="en"/>
        </w:rPr>
      </w:pPr>
      <w:r w:rsidRPr="43FC7218">
        <w:rPr>
          <w:lang w:val="en"/>
        </w:rPr>
        <w:t xml:space="preserve">For proceedings </w:t>
      </w:r>
      <w:r w:rsidR="0000229A">
        <w:rPr>
          <w:lang w:val="en"/>
        </w:rPr>
        <w:t>in</w:t>
      </w:r>
      <w:r w:rsidR="0000229A" w:rsidRPr="43FC7218">
        <w:rPr>
          <w:lang w:val="en"/>
        </w:rPr>
        <w:t xml:space="preserve"> </w:t>
      </w:r>
      <w:r w:rsidRPr="43FC7218">
        <w:rPr>
          <w:lang w:val="en"/>
        </w:rPr>
        <w:t>the Supreme Court or District Court in which</w:t>
      </w:r>
      <w:r w:rsidR="009E2646">
        <w:rPr>
          <w:lang w:val="en"/>
        </w:rPr>
        <w:t xml:space="preserve"> a question of law arises that relates to the application of </w:t>
      </w:r>
      <w:r w:rsidR="00EE2BD2">
        <w:rPr>
          <w:lang w:val="en"/>
        </w:rPr>
        <w:t>the Human Rights Act</w:t>
      </w:r>
      <w:r w:rsidR="009E2646">
        <w:rPr>
          <w:lang w:val="en"/>
        </w:rPr>
        <w:t xml:space="preserve"> or the interpretation of a statutory provision</w:t>
      </w:r>
      <w:r w:rsidRPr="43FC7218">
        <w:rPr>
          <w:lang w:val="en"/>
        </w:rPr>
        <w:t xml:space="preserve">, parties must give notice in the approved form under section 52 of the </w:t>
      </w:r>
      <w:r w:rsidRPr="43FC7218">
        <w:rPr>
          <w:i/>
          <w:lang w:val="en"/>
        </w:rPr>
        <w:t>Human Rights Act 2019</w:t>
      </w:r>
      <w:r w:rsidRPr="43FC7218">
        <w:rPr>
          <w:lang w:val="en"/>
        </w:rPr>
        <w:t xml:space="preserve"> to the Attorney-General and the Queensland Human Rights Commission. The Commission also receives notifications of proceedings </w:t>
      </w:r>
      <w:r w:rsidR="6CBBE764" w:rsidRPr="18777BED">
        <w:rPr>
          <w:lang w:val="en"/>
        </w:rPr>
        <w:t xml:space="preserve">that are not required under section 52 of </w:t>
      </w:r>
      <w:r w:rsidR="00EE2BD2">
        <w:rPr>
          <w:lang w:val="en"/>
        </w:rPr>
        <w:t>the Human Rights Act</w:t>
      </w:r>
      <w:r w:rsidR="6CBBE764" w:rsidRPr="18777BED">
        <w:rPr>
          <w:lang w:val="en"/>
        </w:rPr>
        <w:t>.</w:t>
      </w:r>
    </w:p>
    <w:p w14:paraId="5F0954A0" w14:textId="76E8AAB6" w:rsidR="000D7CB2" w:rsidRDefault="000D7CB2" w:rsidP="3ACC95D7">
      <w:pPr>
        <w:rPr>
          <w:lang w:val="en"/>
        </w:rPr>
      </w:pPr>
      <w:r w:rsidRPr="43FC7218">
        <w:rPr>
          <w:lang w:val="en"/>
        </w:rPr>
        <w:t>In 202</w:t>
      </w:r>
      <w:r w:rsidR="00251AAE">
        <w:rPr>
          <w:lang w:val="en"/>
        </w:rPr>
        <w:t>2</w:t>
      </w:r>
      <w:r w:rsidR="00871367">
        <w:rPr>
          <w:lang w:val="en"/>
        </w:rPr>
        <w:t>–</w:t>
      </w:r>
      <w:r w:rsidRPr="43FC7218">
        <w:rPr>
          <w:lang w:val="en"/>
        </w:rPr>
        <w:t>2</w:t>
      </w:r>
      <w:r w:rsidR="00251AAE">
        <w:rPr>
          <w:lang w:val="en"/>
        </w:rPr>
        <w:t>3</w:t>
      </w:r>
      <w:r w:rsidRPr="43FC7218">
        <w:rPr>
          <w:lang w:val="en"/>
        </w:rPr>
        <w:t xml:space="preserve">, the Commission received </w:t>
      </w:r>
      <w:r w:rsidR="00A9390D">
        <w:rPr>
          <w:lang w:val="en"/>
        </w:rPr>
        <w:t xml:space="preserve">26 </w:t>
      </w:r>
      <w:r w:rsidR="1DCC393C" w:rsidRPr="2CD6F2C6">
        <w:rPr>
          <w:lang w:val="en"/>
        </w:rPr>
        <w:t>notifications</w:t>
      </w:r>
      <w:r w:rsidRPr="43FC7218">
        <w:rPr>
          <w:lang w:val="en"/>
        </w:rPr>
        <w:t xml:space="preserve"> or requests to intervene under the </w:t>
      </w:r>
      <w:r w:rsidRPr="4690365F">
        <w:rPr>
          <w:lang w:val="en"/>
        </w:rPr>
        <w:t>Human Rights Act.</w:t>
      </w:r>
      <w:r w:rsidRPr="43FC7218">
        <w:rPr>
          <w:lang w:val="en"/>
        </w:rPr>
        <w:t xml:space="preserve"> Of those, </w:t>
      </w:r>
      <w:r w:rsidR="00A9390D">
        <w:rPr>
          <w:lang w:val="en"/>
        </w:rPr>
        <w:t xml:space="preserve">16 </w:t>
      </w:r>
      <w:r w:rsidRPr="43FC7218">
        <w:rPr>
          <w:lang w:val="en"/>
        </w:rPr>
        <w:t xml:space="preserve">were notices under section 52 of </w:t>
      </w:r>
      <w:r w:rsidR="00EE2BD2">
        <w:rPr>
          <w:lang w:val="en"/>
        </w:rPr>
        <w:t>the Human Rights Act</w:t>
      </w:r>
      <w:r>
        <w:rPr>
          <w:lang w:val="en"/>
        </w:rPr>
        <w:t xml:space="preserve">. </w:t>
      </w:r>
    </w:p>
    <w:p w14:paraId="6C9380BD" w14:textId="5FE1D24C" w:rsidR="23D70255" w:rsidRPr="00F7068E" w:rsidRDefault="23D70255" w:rsidP="116FC0E1">
      <w:pPr>
        <w:pStyle w:val="Heading2"/>
        <w:rPr>
          <w:rFonts w:eastAsia="Yu Gothic Light" w:cs="Times New Roman"/>
          <w:color w:val="004270"/>
        </w:rPr>
      </w:pPr>
      <w:bookmarkStart w:id="426" w:name="_Toc354556638"/>
      <w:bookmarkStart w:id="427" w:name="_Toc117697166"/>
      <w:bookmarkStart w:id="428" w:name="_Toc117697873"/>
      <w:bookmarkStart w:id="429" w:name="_Toc147757313"/>
      <w:bookmarkStart w:id="430" w:name="_Toc148086934"/>
      <w:r w:rsidRPr="00F7068E">
        <w:rPr>
          <w:color w:val="004270"/>
        </w:rPr>
        <w:t>Commission interventions</w:t>
      </w:r>
      <w:bookmarkEnd w:id="426"/>
      <w:bookmarkEnd w:id="427"/>
      <w:bookmarkEnd w:id="428"/>
      <w:bookmarkEnd w:id="429"/>
      <w:bookmarkEnd w:id="430"/>
    </w:p>
    <w:p w14:paraId="359151D3" w14:textId="7F6803B2" w:rsidR="000D7CB2" w:rsidRDefault="002E2FD0" w:rsidP="053E93F8">
      <w:pPr>
        <w:rPr>
          <w:lang w:val="en"/>
        </w:rPr>
      </w:pPr>
      <w:r w:rsidRPr="549A14E1">
        <w:rPr>
          <w:lang w:val="en"/>
        </w:rPr>
        <w:t>In the reporting period, t</w:t>
      </w:r>
      <w:r w:rsidR="443C94D7" w:rsidRPr="549A14E1">
        <w:rPr>
          <w:lang w:val="en"/>
        </w:rPr>
        <w:t xml:space="preserve">he Commission intervened in </w:t>
      </w:r>
      <w:r w:rsidR="004C63A6" w:rsidRPr="549A14E1">
        <w:rPr>
          <w:lang w:val="en"/>
        </w:rPr>
        <w:t>5</w:t>
      </w:r>
      <w:r w:rsidR="0012381D" w:rsidRPr="549A14E1">
        <w:rPr>
          <w:lang w:val="en"/>
        </w:rPr>
        <w:t xml:space="preserve"> </w:t>
      </w:r>
      <w:r w:rsidR="443C94D7" w:rsidRPr="549A14E1">
        <w:rPr>
          <w:lang w:val="en"/>
        </w:rPr>
        <w:t>matters</w:t>
      </w:r>
      <w:r w:rsidR="001B6809" w:rsidRPr="549A14E1">
        <w:rPr>
          <w:lang w:val="en"/>
        </w:rPr>
        <w:t xml:space="preserve"> </w:t>
      </w:r>
      <w:r w:rsidR="443C94D7" w:rsidRPr="549A14E1">
        <w:rPr>
          <w:lang w:val="en"/>
        </w:rPr>
        <w:t xml:space="preserve">before the </w:t>
      </w:r>
      <w:r w:rsidR="00EE5300" w:rsidRPr="549A14E1">
        <w:rPr>
          <w:lang w:val="en"/>
        </w:rPr>
        <w:t xml:space="preserve">Supreme </w:t>
      </w:r>
      <w:r w:rsidR="443C94D7" w:rsidRPr="549A14E1">
        <w:rPr>
          <w:lang w:val="en"/>
        </w:rPr>
        <w:t xml:space="preserve">Court and </w:t>
      </w:r>
      <w:r w:rsidR="00EE5300" w:rsidRPr="2ED99EFF">
        <w:rPr>
          <w:lang w:val="en"/>
        </w:rPr>
        <w:t>one</w:t>
      </w:r>
      <w:r w:rsidR="00EE5300" w:rsidRPr="549A14E1">
        <w:rPr>
          <w:lang w:val="en"/>
        </w:rPr>
        <w:t xml:space="preserve"> </w:t>
      </w:r>
      <w:r w:rsidR="443C94D7" w:rsidRPr="549A14E1">
        <w:rPr>
          <w:lang w:val="en"/>
        </w:rPr>
        <w:t xml:space="preserve">matter in the </w:t>
      </w:r>
      <w:r w:rsidR="00EE5300" w:rsidRPr="549A14E1">
        <w:rPr>
          <w:lang w:val="en"/>
        </w:rPr>
        <w:t xml:space="preserve">District </w:t>
      </w:r>
      <w:r w:rsidR="443C94D7" w:rsidRPr="549A14E1">
        <w:rPr>
          <w:lang w:val="en"/>
        </w:rPr>
        <w:t>Court.</w:t>
      </w:r>
      <w:r w:rsidR="00E865C3">
        <w:rPr>
          <w:lang w:val="en"/>
        </w:rPr>
        <w:t xml:space="preserve"> </w:t>
      </w:r>
      <w:r w:rsidRPr="549A14E1">
        <w:rPr>
          <w:lang w:val="en"/>
        </w:rPr>
        <w:t>A</w:t>
      </w:r>
      <w:r w:rsidR="001B6809" w:rsidRPr="549A14E1">
        <w:rPr>
          <w:lang w:val="en"/>
        </w:rPr>
        <w:t xml:space="preserve"> </w:t>
      </w:r>
      <w:r w:rsidRPr="549A14E1">
        <w:rPr>
          <w:lang w:val="en"/>
        </w:rPr>
        <w:t xml:space="preserve">decision was also made in a coronial inquest </w:t>
      </w:r>
      <w:r w:rsidR="00DC111B" w:rsidRPr="549A14E1">
        <w:rPr>
          <w:lang w:val="en"/>
        </w:rPr>
        <w:t>in whi</w:t>
      </w:r>
      <w:r w:rsidR="009651BD" w:rsidRPr="549A14E1">
        <w:rPr>
          <w:lang w:val="en"/>
        </w:rPr>
        <w:t xml:space="preserve">ch </w:t>
      </w:r>
      <w:r w:rsidR="00EE5300" w:rsidRPr="549A14E1">
        <w:rPr>
          <w:lang w:val="en"/>
        </w:rPr>
        <w:t>the Commission had previously intervened.</w:t>
      </w:r>
    </w:p>
    <w:p w14:paraId="21828CD9" w14:textId="6DB8B988" w:rsidR="003463A6" w:rsidRPr="009A740B" w:rsidRDefault="00174D7D" w:rsidP="001C615E">
      <w:pPr>
        <w:rPr>
          <w:lang w:val="en"/>
        </w:rPr>
      </w:pPr>
      <w:r w:rsidRPr="549A14E1">
        <w:rPr>
          <w:lang w:val="en"/>
        </w:rPr>
        <w:t>One</w:t>
      </w:r>
      <w:r w:rsidR="003463A6" w:rsidRPr="549A14E1">
        <w:rPr>
          <w:lang w:val="en"/>
        </w:rPr>
        <w:t xml:space="preserve"> Supreme Court matter was an application by the Attorney-General under the </w:t>
      </w:r>
      <w:r w:rsidR="003463A6" w:rsidRPr="549A14E1">
        <w:rPr>
          <w:i/>
          <w:iCs/>
          <w:lang w:val="en"/>
        </w:rPr>
        <w:t xml:space="preserve">Dangerous Prisoners (Sexual Offences) Act 2003 </w:t>
      </w:r>
      <w:r w:rsidR="003463A6" w:rsidRPr="549A14E1">
        <w:rPr>
          <w:lang w:val="en"/>
        </w:rPr>
        <w:t xml:space="preserve">about a person who had been convicted of sexual offences and served their time, </w:t>
      </w:r>
      <w:r w:rsidR="007A6B59" w:rsidRPr="549A14E1">
        <w:rPr>
          <w:lang w:val="en"/>
        </w:rPr>
        <w:t xml:space="preserve">but </w:t>
      </w:r>
      <w:r w:rsidR="003463A6" w:rsidRPr="549A14E1">
        <w:rPr>
          <w:lang w:val="en"/>
        </w:rPr>
        <w:t xml:space="preserve">remained a risk if released </w:t>
      </w:r>
      <w:r w:rsidR="00F65207">
        <w:rPr>
          <w:lang w:val="en"/>
        </w:rPr>
        <w:t xml:space="preserve">from prison </w:t>
      </w:r>
      <w:r w:rsidR="003463A6" w:rsidRPr="549A14E1">
        <w:rPr>
          <w:lang w:val="en"/>
        </w:rPr>
        <w:t>without a supervision order.</w:t>
      </w:r>
      <w:r w:rsidR="00E865C3">
        <w:rPr>
          <w:lang w:val="en"/>
        </w:rPr>
        <w:t xml:space="preserve"> </w:t>
      </w:r>
      <w:r w:rsidR="003463A6" w:rsidRPr="549A14E1">
        <w:rPr>
          <w:lang w:val="en"/>
        </w:rPr>
        <w:t xml:space="preserve">The Commission made submissions about the </w:t>
      </w:r>
      <w:r w:rsidR="00426E3D" w:rsidRPr="549A14E1">
        <w:rPr>
          <w:lang w:val="en"/>
        </w:rPr>
        <w:t xml:space="preserve">direct </w:t>
      </w:r>
      <w:r w:rsidR="003463A6" w:rsidRPr="549A14E1">
        <w:rPr>
          <w:lang w:val="en"/>
        </w:rPr>
        <w:t xml:space="preserve">application of the </w:t>
      </w:r>
      <w:r w:rsidR="00C61199" w:rsidRPr="549A14E1">
        <w:rPr>
          <w:lang w:val="en"/>
        </w:rPr>
        <w:t>Human Rights Act</w:t>
      </w:r>
      <w:r w:rsidR="00C61199" w:rsidRPr="549A14E1">
        <w:rPr>
          <w:i/>
          <w:iCs/>
          <w:lang w:val="en"/>
        </w:rPr>
        <w:t xml:space="preserve"> </w:t>
      </w:r>
      <w:r w:rsidR="003463A6" w:rsidRPr="549A14E1">
        <w:rPr>
          <w:lang w:val="en"/>
        </w:rPr>
        <w:t xml:space="preserve">when a court </w:t>
      </w:r>
      <w:r w:rsidR="007C3907">
        <w:rPr>
          <w:lang w:val="en"/>
        </w:rPr>
        <w:t>is</w:t>
      </w:r>
      <w:r w:rsidR="007C3907" w:rsidRPr="549A14E1">
        <w:rPr>
          <w:lang w:val="en"/>
        </w:rPr>
        <w:t xml:space="preserve"> </w:t>
      </w:r>
      <w:r w:rsidR="007C3907">
        <w:rPr>
          <w:lang w:val="en"/>
        </w:rPr>
        <w:t>performing</w:t>
      </w:r>
      <w:r w:rsidR="00DF4E82">
        <w:rPr>
          <w:lang w:val="en"/>
        </w:rPr>
        <w:t xml:space="preserve"> function</w:t>
      </w:r>
      <w:r w:rsidR="00141B52">
        <w:rPr>
          <w:lang w:val="en"/>
        </w:rPr>
        <w:t>s</w:t>
      </w:r>
      <w:r w:rsidR="007C3907">
        <w:rPr>
          <w:lang w:val="en"/>
        </w:rPr>
        <w:t xml:space="preserve"> </w:t>
      </w:r>
      <w:r w:rsidR="00E3142F">
        <w:rPr>
          <w:lang w:val="en"/>
        </w:rPr>
        <w:t xml:space="preserve">relevant to </w:t>
      </w:r>
      <w:r w:rsidR="003463A6" w:rsidRPr="549A14E1">
        <w:rPr>
          <w:lang w:val="en"/>
        </w:rPr>
        <w:t>human rights</w:t>
      </w:r>
      <w:r w:rsidR="00E3142F">
        <w:rPr>
          <w:lang w:val="en"/>
        </w:rPr>
        <w:t>, including judicial functions</w:t>
      </w:r>
      <w:r w:rsidR="00C61199" w:rsidRPr="549A14E1">
        <w:rPr>
          <w:lang w:val="en"/>
        </w:rPr>
        <w:t xml:space="preserve"> The </w:t>
      </w:r>
      <w:r w:rsidR="004F62B5" w:rsidRPr="549A14E1">
        <w:rPr>
          <w:lang w:val="en"/>
        </w:rPr>
        <w:t>C</w:t>
      </w:r>
      <w:r w:rsidR="00C61199" w:rsidRPr="549A14E1">
        <w:rPr>
          <w:lang w:val="en"/>
        </w:rPr>
        <w:t xml:space="preserve">ourt’s decision was published </w:t>
      </w:r>
      <w:r w:rsidR="00FB743F" w:rsidRPr="549A14E1">
        <w:rPr>
          <w:lang w:val="en"/>
        </w:rPr>
        <w:t xml:space="preserve">on 16 November 2022 </w:t>
      </w:r>
      <w:r w:rsidR="00C61199" w:rsidRPr="549A14E1">
        <w:rPr>
          <w:lang w:val="en"/>
        </w:rPr>
        <w:t xml:space="preserve">as </w:t>
      </w:r>
      <w:r w:rsidR="00C61199" w:rsidRPr="549A14E1">
        <w:rPr>
          <w:i/>
          <w:iCs/>
          <w:lang w:val="en"/>
        </w:rPr>
        <w:t xml:space="preserve">Attorney-General for the State of Queensland v Grant (No 2) </w:t>
      </w:r>
      <w:r w:rsidR="00C61199" w:rsidRPr="549A14E1">
        <w:rPr>
          <w:lang w:val="en"/>
        </w:rPr>
        <w:t>[2022] QSC 253.</w:t>
      </w:r>
    </w:p>
    <w:p w14:paraId="6A3392BE" w14:textId="75B66E1B" w:rsidR="00D535B4" w:rsidRDefault="003C45B4" w:rsidP="001C615E">
      <w:pPr>
        <w:rPr>
          <w:lang w:val="en"/>
        </w:rPr>
      </w:pPr>
      <w:r>
        <w:rPr>
          <w:lang w:val="en"/>
        </w:rPr>
        <w:t>Four</w:t>
      </w:r>
      <w:r w:rsidR="0012381D" w:rsidRPr="009A740B">
        <w:rPr>
          <w:lang w:val="en"/>
        </w:rPr>
        <w:t xml:space="preserve"> </w:t>
      </w:r>
      <w:r w:rsidR="007D368A" w:rsidRPr="009A740B">
        <w:rPr>
          <w:lang w:val="en"/>
        </w:rPr>
        <w:t>Supreme Court matter</w:t>
      </w:r>
      <w:r w:rsidR="0012381D" w:rsidRPr="009A740B">
        <w:rPr>
          <w:lang w:val="en"/>
        </w:rPr>
        <w:t>s</w:t>
      </w:r>
      <w:r w:rsidR="007D368A" w:rsidRPr="009A740B">
        <w:rPr>
          <w:lang w:val="en"/>
        </w:rPr>
        <w:t xml:space="preserve"> </w:t>
      </w:r>
      <w:r w:rsidR="00DB07A1">
        <w:rPr>
          <w:lang w:val="en"/>
        </w:rPr>
        <w:t>related to</w:t>
      </w:r>
      <w:r w:rsidR="00DB07A1" w:rsidRPr="009A740B">
        <w:rPr>
          <w:lang w:val="en"/>
        </w:rPr>
        <w:t xml:space="preserve"> </w:t>
      </w:r>
      <w:r w:rsidR="00D535B4" w:rsidRPr="009A740B">
        <w:rPr>
          <w:lang w:val="en"/>
        </w:rPr>
        <w:t>application</w:t>
      </w:r>
      <w:r w:rsidR="00042EBA">
        <w:rPr>
          <w:lang w:val="en"/>
        </w:rPr>
        <w:t>s</w:t>
      </w:r>
      <w:r w:rsidR="00D535B4" w:rsidRPr="009A740B">
        <w:rPr>
          <w:lang w:val="en"/>
        </w:rPr>
        <w:t xml:space="preserve"> </w:t>
      </w:r>
      <w:r w:rsidR="0034683E">
        <w:rPr>
          <w:lang w:val="en"/>
        </w:rPr>
        <w:t>seeking</w:t>
      </w:r>
      <w:r w:rsidR="0034683E" w:rsidRPr="009A740B">
        <w:rPr>
          <w:lang w:val="en"/>
        </w:rPr>
        <w:t xml:space="preserve"> </w:t>
      </w:r>
      <w:r w:rsidR="00D535B4" w:rsidRPr="009A740B">
        <w:rPr>
          <w:lang w:val="en"/>
        </w:rPr>
        <w:t xml:space="preserve">review of a </w:t>
      </w:r>
      <w:r w:rsidR="00CE752F">
        <w:rPr>
          <w:lang w:val="en"/>
        </w:rPr>
        <w:t xml:space="preserve">magistrate’s </w:t>
      </w:r>
      <w:r w:rsidR="00D535B4" w:rsidRPr="009A740B">
        <w:rPr>
          <w:lang w:val="en"/>
        </w:rPr>
        <w:t xml:space="preserve">decision </w:t>
      </w:r>
      <w:r w:rsidR="0034683E">
        <w:rPr>
          <w:lang w:val="en"/>
        </w:rPr>
        <w:t xml:space="preserve">not </w:t>
      </w:r>
      <w:r w:rsidR="00D535B4" w:rsidRPr="009A740B">
        <w:rPr>
          <w:lang w:val="en"/>
        </w:rPr>
        <w:t>to release children on bail. The Commission made written submissions about the extent to which limitation of human rights is relevant to the consideration of risk when deciding whether to release</w:t>
      </w:r>
      <w:r w:rsidR="00D535B4" w:rsidRPr="0C1C37C7">
        <w:rPr>
          <w:lang w:val="en"/>
        </w:rPr>
        <w:t xml:space="preserve"> </w:t>
      </w:r>
      <w:r w:rsidR="002E1D02">
        <w:rPr>
          <w:lang w:val="en"/>
        </w:rPr>
        <w:t>a person</w:t>
      </w:r>
      <w:r w:rsidR="002E1D02" w:rsidRPr="0C1C37C7">
        <w:rPr>
          <w:lang w:val="en"/>
        </w:rPr>
        <w:t xml:space="preserve"> </w:t>
      </w:r>
      <w:r w:rsidR="00D535B4" w:rsidRPr="0C1C37C7">
        <w:rPr>
          <w:lang w:val="en"/>
        </w:rPr>
        <w:t>on bail.</w:t>
      </w:r>
      <w:r w:rsidR="00E865C3">
        <w:rPr>
          <w:lang w:val="en"/>
        </w:rPr>
        <w:t xml:space="preserve"> </w:t>
      </w:r>
      <w:r w:rsidR="00D535B4" w:rsidRPr="0C1C37C7">
        <w:rPr>
          <w:lang w:val="en"/>
        </w:rPr>
        <w:t xml:space="preserve">However, the applications were withdrawn before being heard. </w:t>
      </w:r>
    </w:p>
    <w:p w14:paraId="7667A082" w14:textId="25312226" w:rsidR="008E0D5E" w:rsidRDefault="00D535B4" w:rsidP="001C615E">
      <w:pPr>
        <w:rPr>
          <w:lang w:val="en"/>
        </w:rPr>
      </w:pPr>
      <w:r w:rsidRPr="0C1C37C7">
        <w:rPr>
          <w:lang w:val="en"/>
        </w:rPr>
        <w:t xml:space="preserve">The District Court matter </w:t>
      </w:r>
      <w:r w:rsidR="00661E76" w:rsidRPr="0C1C37C7">
        <w:rPr>
          <w:lang w:val="en"/>
        </w:rPr>
        <w:t xml:space="preserve">concerned an application to exclude certain evidence in </w:t>
      </w:r>
      <w:r w:rsidR="00977BD1">
        <w:rPr>
          <w:lang w:val="en"/>
        </w:rPr>
        <w:t xml:space="preserve">a </w:t>
      </w:r>
      <w:r w:rsidR="00661E76" w:rsidRPr="0C1C37C7">
        <w:rPr>
          <w:lang w:val="en"/>
        </w:rPr>
        <w:t xml:space="preserve">criminal proceeding. </w:t>
      </w:r>
      <w:r w:rsidR="008E0D5E" w:rsidRPr="0C1C37C7">
        <w:rPr>
          <w:lang w:val="en"/>
        </w:rPr>
        <w:t xml:space="preserve">The Commission made submissions about the right to privacy and how it applied to questioning and seizure of property by police, and the obligations on police to give proper consideration </w:t>
      </w:r>
      <w:r w:rsidR="00D15CDD">
        <w:rPr>
          <w:lang w:val="en"/>
        </w:rPr>
        <w:t>to</w:t>
      </w:r>
      <w:r w:rsidR="00D15CDD" w:rsidRPr="0C1C37C7">
        <w:rPr>
          <w:lang w:val="en"/>
        </w:rPr>
        <w:t xml:space="preserve"> </w:t>
      </w:r>
      <w:r w:rsidR="008E0D5E" w:rsidRPr="0C1C37C7">
        <w:rPr>
          <w:lang w:val="en"/>
        </w:rPr>
        <w:t>human rights when deciding to seize property.</w:t>
      </w:r>
      <w:r w:rsidR="00E865C3">
        <w:rPr>
          <w:lang w:val="en"/>
        </w:rPr>
        <w:t xml:space="preserve"> </w:t>
      </w:r>
      <w:r w:rsidR="008E0D5E" w:rsidRPr="0C1C37C7">
        <w:rPr>
          <w:lang w:val="en"/>
        </w:rPr>
        <w:t xml:space="preserve">At the hearing of the application the prosecution entered a </w:t>
      </w:r>
      <w:r w:rsidR="008E0D5E" w:rsidRPr="00AF1185">
        <w:rPr>
          <w:i/>
          <w:lang w:val="en"/>
        </w:rPr>
        <w:t>nolle prosequi</w:t>
      </w:r>
      <w:r w:rsidR="008E0D5E" w:rsidRPr="0C1C37C7">
        <w:rPr>
          <w:lang w:val="en"/>
        </w:rPr>
        <w:t xml:space="preserve"> </w:t>
      </w:r>
      <w:r w:rsidR="00F22472">
        <w:rPr>
          <w:lang w:val="en"/>
        </w:rPr>
        <w:t xml:space="preserve">(no wish to prosecute) </w:t>
      </w:r>
      <w:r w:rsidR="008E0D5E" w:rsidRPr="0C1C37C7">
        <w:rPr>
          <w:lang w:val="en"/>
        </w:rPr>
        <w:t>which ha</w:t>
      </w:r>
      <w:r w:rsidR="00485182">
        <w:rPr>
          <w:lang w:val="en"/>
        </w:rPr>
        <w:t>d</w:t>
      </w:r>
      <w:r w:rsidR="008E0D5E" w:rsidRPr="0C1C37C7">
        <w:rPr>
          <w:lang w:val="en"/>
        </w:rPr>
        <w:t xml:space="preserve"> the effect of discharging the accused person. As </w:t>
      </w:r>
      <w:r w:rsidR="00670269" w:rsidRPr="0C1C37C7">
        <w:rPr>
          <w:lang w:val="en"/>
        </w:rPr>
        <w:t>a result, t</w:t>
      </w:r>
      <w:r w:rsidR="008E0D5E" w:rsidRPr="0C1C37C7">
        <w:rPr>
          <w:lang w:val="en"/>
        </w:rPr>
        <w:t xml:space="preserve">here </w:t>
      </w:r>
      <w:r w:rsidR="009B2C5B" w:rsidRPr="0C1C37C7">
        <w:rPr>
          <w:lang w:val="en"/>
        </w:rPr>
        <w:t>were no findings on human rights issues.</w:t>
      </w:r>
    </w:p>
    <w:p w14:paraId="2698401F" w14:textId="03AB7C3F" w:rsidR="00D535B4" w:rsidRDefault="008C120D" w:rsidP="00323809">
      <w:pPr>
        <w:rPr>
          <w:lang w:val="en"/>
        </w:rPr>
      </w:pPr>
      <w:r>
        <w:rPr>
          <w:lang w:val="en"/>
        </w:rPr>
        <w:t xml:space="preserve">On 30 June 2023, the Coroners Court made a decision in the </w:t>
      </w:r>
      <w:r w:rsidRPr="008C120D">
        <w:rPr>
          <w:i/>
          <w:iCs/>
          <w:lang w:val="en"/>
        </w:rPr>
        <w:t>Inquest into the deaths of Yvette Michelle Wilma Booth, Adele Estelle Sandy, Shakaya George</w:t>
      </w:r>
      <w:r>
        <w:rPr>
          <w:lang w:val="en"/>
        </w:rPr>
        <w:t xml:space="preserve"> (‘RHD Doomadgee cluster’).</w:t>
      </w:r>
      <w:r w:rsidR="00E865C3">
        <w:rPr>
          <w:lang w:val="en"/>
        </w:rPr>
        <w:t xml:space="preserve"> </w:t>
      </w:r>
      <w:r>
        <w:rPr>
          <w:lang w:val="en"/>
        </w:rPr>
        <w:t>The Commission</w:t>
      </w:r>
      <w:r w:rsidR="00C61199">
        <w:rPr>
          <w:lang w:val="en"/>
        </w:rPr>
        <w:t>’</w:t>
      </w:r>
      <w:r>
        <w:rPr>
          <w:lang w:val="en"/>
        </w:rPr>
        <w:t xml:space="preserve">s submissions as intervener </w:t>
      </w:r>
      <w:r w:rsidR="002148B9">
        <w:rPr>
          <w:lang w:val="en"/>
        </w:rPr>
        <w:t xml:space="preserve">included the application of the Human Rights Act to the Coroners Court and </w:t>
      </w:r>
      <w:r w:rsidR="00EC2837">
        <w:rPr>
          <w:lang w:val="en"/>
        </w:rPr>
        <w:t>the scope of rights relevant to the investigation</w:t>
      </w:r>
      <w:r>
        <w:rPr>
          <w:lang w:val="en"/>
        </w:rPr>
        <w:t>.</w:t>
      </w:r>
    </w:p>
    <w:p w14:paraId="61BD5830" w14:textId="437C3916" w:rsidR="00F60EB4" w:rsidRDefault="00901EB6" w:rsidP="00323809">
      <w:pPr>
        <w:rPr>
          <w:lang w:val="en"/>
        </w:rPr>
      </w:pPr>
      <w:r>
        <w:rPr>
          <w:lang w:val="en"/>
        </w:rPr>
        <w:t xml:space="preserve">The Commission </w:t>
      </w:r>
      <w:r w:rsidR="00F60EB4">
        <w:rPr>
          <w:lang w:val="en"/>
        </w:rPr>
        <w:t xml:space="preserve">has </w:t>
      </w:r>
      <w:r w:rsidR="00853C1F">
        <w:rPr>
          <w:lang w:val="en"/>
        </w:rPr>
        <w:t xml:space="preserve">also commenced </w:t>
      </w:r>
      <w:r w:rsidR="00D9602C">
        <w:rPr>
          <w:lang w:val="en"/>
        </w:rPr>
        <w:t xml:space="preserve">or continued </w:t>
      </w:r>
      <w:r w:rsidR="005910EE">
        <w:rPr>
          <w:lang w:val="en"/>
        </w:rPr>
        <w:t>to intervene as follows</w:t>
      </w:r>
      <w:r w:rsidR="00F60EB4">
        <w:rPr>
          <w:lang w:val="en"/>
        </w:rPr>
        <w:t>:</w:t>
      </w:r>
    </w:p>
    <w:p w14:paraId="1971D0C9" w14:textId="083A6544" w:rsidR="00D5297C" w:rsidRDefault="00901EB6" w:rsidP="00323809">
      <w:pPr>
        <w:pStyle w:val="Listparagraph-bulleted"/>
        <w:rPr>
          <w:lang w:val="en"/>
        </w:rPr>
      </w:pPr>
      <w:r w:rsidRPr="00F60EB4">
        <w:rPr>
          <w:lang w:val="en"/>
        </w:rPr>
        <w:t xml:space="preserve">seven applications </w:t>
      </w:r>
      <w:r w:rsidR="005910EE">
        <w:rPr>
          <w:lang w:val="en"/>
        </w:rPr>
        <w:t xml:space="preserve">awaiting decision </w:t>
      </w:r>
      <w:r w:rsidR="00D5297C" w:rsidRPr="00F60EB4">
        <w:rPr>
          <w:lang w:val="en"/>
        </w:rPr>
        <w:t xml:space="preserve">before the Supreme Court seeking </w:t>
      </w:r>
      <w:r w:rsidR="00FF5EBA" w:rsidRPr="00F60EB4">
        <w:rPr>
          <w:lang w:val="en"/>
        </w:rPr>
        <w:t xml:space="preserve">judicial review </w:t>
      </w:r>
      <w:r w:rsidR="00D5297C" w:rsidRPr="00F60EB4">
        <w:rPr>
          <w:lang w:val="en"/>
        </w:rPr>
        <w:t xml:space="preserve">of </w:t>
      </w:r>
      <w:r w:rsidR="1F7EA149" w:rsidRPr="00F60EB4">
        <w:rPr>
          <w:lang w:val="en"/>
        </w:rPr>
        <w:t xml:space="preserve">mandatory requirements for vaccination against COVID-19. </w:t>
      </w:r>
      <w:r w:rsidR="00F60EB4" w:rsidRPr="00F60EB4">
        <w:rPr>
          <w:lang w:val="en"/>
        </w:rPr>
        <w:t xml:space="preserve">While </w:t>
      </w:r>
      <w:r w:rsidR="00F97A32">
        <w:rPr>
          <w:lang w:val="en"/>
        </w:rPr>
        <w:t xml:space="preserve">some of </w:t>
      </w:r>
      <w:r w:rsidR="00F60EB4" w:rsidRPr="00F60EB4">
        <w:rPr>
          <w:lang w:val="en"/>
        </w:rPr>
        <w:t xml:space="preserve">the matters have been heard, </w:t>
      </w:r>
      <w:r w:rsidR="00B2383A" w:rsidRPr="00F60EB4">
        <w:rPr>
          <w:lang w:val="en"/>
        </w:rPr>
        <w:t xml:space="preserve">at the time of writing </w:t>
      </w:r>
      <w:r w:rsidR="00F60EB4" w:rsidRPr="00F60EB4">
        <w:rPr>
          <w:lang w:val="en"/>
        </w:rPr>
        <w:t>no decisions</w:t>
      </w:r>
      <w:r w:rsidR="009C17B8">
        <w:rPr>
          <w:lang w:val="en"/>
        </w:rPr>
        <w:t xml:space="preserve"> about the human rights compatibility of these requirements have been delivered</w:t>
      </w:r>
      <w:r w:rsidR="00EB1459">
        <w:rPr>
          <w:lang w:val="en"/>
        </w:rPr>
        <w:t>.</w:t>
      </w:r>
    </w:p>
    <w:p w14:paraId="66E35CD3" w14:textId="62115466" w:rsidR="00117662" w:rsidRPr="00117662" w:rsidRDefault="00520964" w:rsidP="00323809">
      <w:pPr>
        <w:pStyle w:val="Listparagraph-bulleted"/>
        <w:rPr>
          <w:lang w:val="en"/>
        </w:rPr>
      </w:pPr>
      <w:r w:rsidRPr="00117662">
        <w:rPr>
          <w:lang w:val="en"/>
        </w:rPr>
        <w:t xml:space="preserve">a </w:t>
      </w:r>
      <w:r w:rsidR="00920E48" w:rsidRPr="00117662">
        <w:rPr>
          <w:lang w:val="en"/>
        </w:rPr>
        <w:t xml:space="preserve">coronial investigation into a death in custody which </w:t>
      </w:r>
      <w:r w:rsidR="00D9602C">
        <w:rPr>
          <w:lang w:val="en"/>
        </w:rPr>
        <w:t>was</w:t>
      </w:r>
      <w:r w:rsidR="00920E48" w:rsidRPr="00117662">
        <w:rPr>
          <w:lang w:val="en"/>
        </w:rPr>
        <w:t xml:space="preserve"> not heard</w:t>
      </w:r>
      <w:r w:rsidR="00D9602C">
        <w:rPr>
          <w:lang w:val="en"/>
        </w:rPr>
        <w:t xml:space="preserve"> in the reporting period</w:t>
      </w:r>
      <w:r w:rsidR="005910EE">
        <w:rPr>
          <w:lang w:val="en"/>
        </w:rPr>
        <w:t>. At the time of writing, t</w:t>
      </w:r>
      <w:r w:rsidR="00D9602C">
        <w:rPr>
          <w:lang w:val="en"/>
        </w:rPr>
        <w:t>he hearing</w:t>
      </w:r>
      <w:r w:rsidR="005910EE">
        <w:rPr>
          <w:lang w:val="en"/>
        </w:rPr>
        <w:t xml:space="preserve"> into this matter</w:t>
      </w:r>
      <w:r w:rsidR="00D9602C">
        <w:rPr>
          <w:lang w:val="en"/>
        </w:rPr>
        <w:t xml:space="preserve"> has now commenced</w:t>
      </w:r>
      <w:r w:rsidR="005910EE">
        <w:rPr>
          <w:lang w:val="en"/>
        </w:rPr>
        <w:t>.</w:t>
      </w:r>
    </w:p>
    <w:p w14:paraId="42866BCD" w14:textId="2BA58C00" w:rsidR="005568E3" w:rsidRPr="00D321D3" w:rsidRDefault="005568E3" w:rsidP="00862AC2">
      <w:pPr>
        <w:pStyle w:val="Heading2"/>
        <w:rPr>
          <w:color w:val="004270"/>
        </w:rPr>
      </w:pPr>
      <w:bookmarkStart w:id="431" w:name="_Toc56451580"/>
      <w:bookmarkStart w:id="432" w:name="_Toc56452154"/>
      <w:bookmarkStart w:id="433" w:name="_Toc84593882"/>
      <w:bookmarkStart w:id="434" w:name="_Toc85451760"/>
      <w:bookmarkStart w:id="435" w:name="_Toc85526690"/>
      <w:bookmarkStart w:id="436" w:name="_Toc85787105"/>
      <w:bookmarkStart w:id="437" w:name="_Toc110506643"/>
      <w:bookmarkStart w:id="438" w:name="_Toc1602629298"/>
      <w:bookmarkStart w:id="439" w:name="_Toc117697167"/>
      <w:bookmarkStart w:id="440" w:name="_Toc117697874"/>
      <w:bookmarkStart w:id="441" w:name="_Toc147757314"/>
      <w:bookmarkStart w:id="442" w:name="_Toc148086935"/>
      <w:r w:rsidRPr="00D321D3">
        <w:rPr>
          <w:color w:val="004270"/>
        </w:rPr>
        <w:t>Attorney-General interventions</w:t>
      </w:r>
      <w:bookmarkEnd w:id="431"/>
      <w:bookmarkEnd w:id="432"/>
      <w:bookmarkEnd w:id="433"/>
      <w:bookmarkEnd w:id="434"/>
      <w:bookmarkEnd w:id="435"/>
      <w:bookmarkEnd w:id="436"/>
      <w:bookmarkEnd w:id="437"/>
      <w:bookmarkEnd w:id="438"/>
      <w:bookmarkEnd w:id="439"/>
      <w:bookmarkEnd w:id="440"/>
      <w:bookmarkEnd w:id="441"/>
      <w:bookmarkEnd w:id="442"/>
    </w:p>
    <w:p w14:paraId="7609C4C8" w14:textId="6C7BD5E1" w:rsidR="00447A30" w:rsidRDefault="00447A30" w:rsidP="00447A30">
      <w:r>
        <w:t xml:space="preserve">During 2022–23, the Attorney-General intervened </w:t>
      </w:r>
      <w:r w:rsidR="006D5C3F">
        <w:t xml:space="preserve">under section 50 of the </w:t>
      </w:r>
      <w:r w:rsidR="006D5C3F" w:rsidRPr="009C318F">
        <w:t>Human Rights Act</w:t>
      </w:r>
      <w:r w:rsidR="006D5C3F">
        <w:t xml:space="preserve"> </w:t>
      </w:r>
      <w:r>
        <w:t>in 1</w:t>
      </w:r>
      <w:r w:rsidR="00D94587">
        <w:t>2</w:t>
      </w:r>
      <w:r>
        <w:t xml:space="preserve"> proceedings and provided</w:t>
      </w:r>
      <w:r w:rsidR="00D94F6E">
        <w:t>,</w:t>
      </w:r>
      <w:r>
        <w:t xml:space="preserve"> or will provide</w:t>
      </w:r>
      <w:r w:rsidR="00D94F6E">
        <w:t>,</w:t>
      </w:r>
      <w:r>
        <w:t xml:space="preserve"> submissions on the operation of </w:t>
      </w:r>
      <w:r w:rsidR="00EE2BD2">
        <w:t>the Human Rights Act</w:t>
      </w:r>
      <w:r>
        <w:t xml:space="preserve"> in </w:t>
      </w:r>
      <w:r w:rsidR="00615F58">
        <w:t>3</w:t>
      </w:r>
      <w:r w:rsidDel="006404E0">
        <w:t xml:space="preserve"> </w:t>
      </w:r>
      <w:r>
        <w:t>proceedings to which the Attorney-General was already a party:</w:t>
      </w:r>
    </w:p>
    <w:p w14:paraId="6FCF1960" w14:textId="73CDACF1" w:rsidR="00447A30" w:rsidRDefault="00447A30" w:rsidP="00447A30">
      <w:pPr>
        <w:pStyle w:val="ListParagraph"/>
        <w:keepLines w:val="0"/>
        <w:widowControl/>
        <w:numPr>
          <w:ilvl w:val="0"/>
          <w:numId w:val="24"/>
        </w:numPr>
      </w:pPr>
      <w:r>
        <w:t xml:space="preserve">One of those was the case of </w:t>
      </w:r>
      <w:r>
        <w:rPr>
          <w:i/>
          <w:iCs w:val="0"/>
        </w:rPr>
        <w:t>Wood v The King</w:t>
      </w:r>
      <w:r>
        <w:t xml:space="preserve"> [2022] QSC 216, which concerned a referral to the Supreme Court under s</w:t>
      </w:r>
      <w:r w:rsidR="002E758F">
        <w:t>ection</w:t>
      </w:r>
      <w:r>
        <w:t xml:space="preserve"> 49 of the </w:t>
      </w:r>
      <w:r>
        <w:rPr>
          <w:i/>
          <w:iCs w:val="0"/>
        </w:rPr>
        <w:t>Human Rights Act</w:t>
      </w:r>
      <w:r>
        <w:t xml:space="preserve">. The Supreme Court accepted submissions made on behalf of the Attorney-General that the </w:t>
      </w:r>
      <w:r w:rsidRPr="00323809">
        <w:rPr>
          <w:i/>
        </w:rPr>
        <w:t>habeas corpus</w:t>
      </w:r>
      <w:r>
        <w:t xml:space="preserve"> right </w:t>
      </w:r>
      <w:r w:rsidR="00F42159">
        <w:t>(</w:t>
      </w:r>
      <w:r w:rsidR="006A7358">
        <w:t xml:space="preserve">requiring a person under arrest to be brought before </w:t>
      </w:r>
      <w:r w:rsidR="00B0292F">
        <w:t>a court</w:t>
      </w:r>
      <w:r w:rsidR="00005F2B">
        <w:t xml:space="preserve"> and </w:t>
      </w:r>
      <w:r w:rsidR="00C743D1">
        <w:t xml:space="preserve">released unless lawful grounds for detention are shown) </w:t>
      </w:r>
      <w:r>
        <w:t>in s</w:t>
      </w:r>
      <w:r w:rsidR="002E758F">
        <w:t>ection</w:t>
      </w:r>
      <w:r>
        <w:t> 29(7) is not a standalone cause of action.</w:t>
      </w:r>
    </w:p>
    <w:p w14:paraId="770D674A" w14:textId="4E9F1B49" w:rsidR="00447A30" w:rsidRDefault="00447A30" w:rsidP="00447A30">
      <w:pPr>
        <w:pStyle w:val="ListParagraph"/>
        <w:keepLines w:val="0"/>
        <w:widowControl/>
        <w:numPr>
          <w:ilvl w:val="0"/>
          <w:numId w:val="24"/>
        </w:numPr>
        <w:rPr>
          <w:color w:val="auto"/>
        </w:rPr>
      </w:pPr>
      <w:r>
        <w:t xml:space="preserve">In </w:t>
      </w:r>
      <w:r>
        <w:rPr>
          <w:i/>
          <w:iCs w:val="0"/>
        </w:rPr>
        <w:t xml:space="preserve">Attorney-General (Qld) v Grant </w:t>
      </w:r>
      <w:r w:rsidR="0068082C">
        <w:rPr>
          <w:i/>
          <w:iCs w:val="0"/>
        </w:rPr>
        <w:t>(</w:t>
      </w:r>
      <w:r>
        <w:rPr>
          <w:i/>
          <w:iCs w:val="0"/>
        </w:rPr>
        <w:t>No 2</w:t>
      </w:r>
      <w:r w:rsidR="0068082C">
        <w:rPr>
          <w:i/>
          <w:iCs w:val="0"/>
        </w:rPr>
        <w:t>)</w:t>
      </w:r>
      <w:r>
        <w:t xml:space="preserve"> [2022] QSC 252, the Supreme Court held that it is required to </w:t>
      </w:r>
      <w:r w:rsidR="00CC35B9">
        <w:t xml:space="preserve">consider </w:t>
      </w:r>
      <w:r>
        <w:t xml:space="preserve">some human rights directly when exercising its discretion to make a supervision order under the </w:t>
      </w:r>
      <w:r>
        <w:rPr>
          <w:i/>
          <w:iCs w:val="0"/>
        </w:rPr>
        <w:t>Dangerous Prisoner (Sexual Offenders) Act 2003</w:t>
      </w:r>
      <w:r>
        <w:t>.</w:t>
      </w:r>
    </w:p>
    <w:p w14:paraId="584085FB" w14:textId="261E1379" w:rsidR="00447A30" w:rsidRDefault="00447A30" w:rsidP="00447A30">
      <w:pPr>
        <w:pStyle w:val="ListParagraph"/>
        <w:keepLines w:val="0"/>
        <w:widowControl/>
        <w:numPr>
          <w:ilvl w:val="0"/>
          <w:numId w:val="24"/>
        </w:numPr>
        <w:rPr>
          <w:color w:val="auto"/>
        </w:rPr>
      </w:pPr>
      <w:r>
        <w:t xml:space="preserve">In </w:t>
      </w:r>
      <w:r>
        <w:rPr>
          <w:i/>
          <w:iCs w:val="0"/>
        </w:rPr>
        <w:t>Morant v Ryan (The State Coroner)</w:t>
      </w:r>
      <w:r>
        <w:t xml:space="preserve"> [2023] QCA 109, submissions were made on behalf of the Attorney-General in relation to the relevance of the </w:t>
      </w:r>
      <w:r>
        <w:rPr>
          <w:i/>
          <w:iCs w:val="0"/>
        </w:rPr>
        <w:t>Human Rights Act</w:t>
      </w:r>
      <w:r>
        <w:rPr>
          <w:i/>
          <w:iCs w:val="0"/>
          <w:color w:val="auto"/>
        </w:rPr>
        <w:t xml:space="preserve"> </w:t>
      </w:r>
      <w:r>
        <w:t>to</w:t>
      </w:r>
      <w:r>
        <w:rPr>
          <w:color w:val="auto"/>
        </w:rPr>
        <w:t xml:space="preserve"> the appeal to the District Court. </w:t>
      </w:r>
    </w:p>
    <w:p w14:paraId="59E8A518" w14:textId="60395133" w:rsidR="00D94587" w:rsidRPr="006C11B7" w:rsidRDefault="00D94587" w:rsidP="00D94587">
      <w:pPr>
        <w:pStyle w:val="ListParagraph"/>
        <w:keepLines w:val="0"/>
        <w:widowControl/>
        <w:numPr>
          <w:ilvl w:val="0"/>
          <w:numId w:val="24"/>
        </w:numPr>
        <w:rPr>
          <w:color w:val="000000"/>
        </w:rPr>
      </w:pPr>
      <w:r w:rsidRPr="006C11B7">
        <w:rPr>
          <w:color w:val="auto"/>
          <w:szCs w:val="22"/>
        </w:rPr>
        <w:t xml:space="preserve">In </w:t>
      </w:r>
      <w:r w:rsidRPr="006C11B7">
        <w:rPr>
          <w:i/>
          <w:iCs w:val="0"/>
          <w:color w:val="auto"/>
          <w:szCs w:val="22"/>
        </w:rPr>
        <w:t>Wallace v Tannock &amp; Anor</w:t>
      </w:r>
      <w:r w:rsidRPr="006C11B7">
        <w:rPr>
          <w:color w:val="auto"/>
          <w:szCs w:val="22"/>
        </w:rPr>
        <w:t xml:space="preserve"> [2023] QSC 122, the Supreme Court </w:t>
      </w:r>
      <w:r w:rsidR="006C11B7" w:rsidRPr="006C11B7">
        <w:rPr>
          <w:color w:val="auto"/>
          <w:szCs w:val="22"/>
        </w:rPr>
        <w:t xml:space="preserve">determined that a direction made by Queensland Corrective Services in relation to a man subject to a supervision order under the </w:t>
      </w:r>
      <w:r w:rsidR="006C11B7" w:rsidRPr="006C11B7">
        <w:rPr>
          <w:i/>
          <w:iCs w:val="0"/>
          <w:color w:val="auto"/>
          <w:szCs w:val="22"/>
        </w:rPr>
        <w:t xml:space="preserve">Dangerous Prisoner (Sexual Offenders) Act 2003 </w:t>
      </w:r>
      <w:r w:rsidR="006C11B7" w:rsidRPr="006C11B7">
        <w:rPr>
          <w:color w:val="auto"/>
        </w:rPr>
        <w:t xml:space="preserve">was not compatible </w:t>
      </w:r>
      <w:r w:rsidR="006C11B7" w:rsidRPr="006C11B7">
        <w:t>with human rights</w:t>
      </w:r>
      <w:r w:rsidR="006C11B7" w:rsidRPr="006C11B7">
        <w:rPr>
          <w:i/>
          <w:iCs w:val="0"/>
          <w:color w:val="1F497D"/>
          <w:szCs w:val="22"/>
        </w:rPr>
        <w:t>.</w:t>
      </w:r>
      <w:r w:rsidR="006C11B7" w:rsidRPr="006C11B7">
        <w:rPr>
          <w:color w:val="1F497D"/>
          <w:szCs w:val="22"/>
        </w:rPr>
        <w:t xml:space="preserve"> </w:t>
      </w:r>
    </w:p>
    <w:p w14:paraId="3E60D104" w14:textId="50388E0A" w:rsidR="00447A30" w:rsidRPr="009A740B" w:rsidRDefault="00447A30" w:rsidP="00447A30">
      <w:pPr>
        <w:pStyle w:val="ListParagraph"/>
        <w:keepLines w:val="0"/>
        <w:widowControl/>
        <w:numPr>
          <w:ilvl w:val="0"/>
          <w:numId w:val="24"/>
        </w:numPr>
        <w:rPr>
          <w:color w:val="000000"/>
        </w:rPr>
      </w:pPr>
      <w:r w:rsidRPr="006C11B7">
        <w:t>The Attorney-General intervened in the judicial review</w:t>
      </w:r>
      <w:r>
        <w:t xml:space="preserve"> application of </w:t>
      </w:r>
      <w:r>
        <w:rPr>
          <w:i/>
          <w:iCs w:val="0"/>
        </w:rPr>
        <w:t>Waratah Coal Pty Ltd v President Kingham</w:t>
      </w:r>
      <w:r>
        <w:t xml:space="preserve"> (Supreme Court No 16196/22), however the application was </w:t>
      </w:r>
      <w:r w:rsidRPr="009A740B">
        <w:t>later discontinued.</w:t>
      </w:r>
    </w:p>
    <w:p w14:paraId="233F5056" w14:textId="0CD2F13E" w:rsidR="00447A30" w:rsidRDefault="00447A30" w:rsidP="00447A30">
      <w:pPr>
        <w:pStyle w:val="ListParagraph"/>
        <w:keepLines w:val="0"/>
        <w:widowControl/>
        <w:numPr>
          <w:ilvl w:val="0"/>
          <w:numId w:val="24"/>
        </w:numPr>
      </w:pPr>
      <w:r w:rsidRPr="009A740B">
        <w:t>Four matters concerned appeals in the Supreme Court against a grant of bail for young people and are subject to publication</w:t>
      </w:r>
      <w:r>
        <w:t xml:space="preserve"> restrictions.</w:t>
      </w:r>
    </w:p>
    <w:p w14:paraId="4EF9AA77" w14:textId="639CD704" w:rsidR="00447A30" w:rsidRDefault="00447A30" w:rsidP="00447A30">
      <w:pPr>
        <w:pStyle w:val="ListParagraph"/>
        <w:keepLines w:val="0"/>
        <w:widowControl/>
        <w:numPr>
          <w:ilvl w:val="0"/>
          <w:numId w:val="24"/>
        </w:numPr>
        <w:rPr>
          <w:color w:val="auto"/>
        </w:rPr>
      </w:pPr>
      <w:r>
        <w:t xml:space="preserve">One matter concerned an application in the District Court to exclude evidence on the basis that it was obtained in breach of s 58 of the </w:t>
      </w:r>
      <w:r>
        <w:rPr>
          <w:i/>
          <w:iCs w:val="0"/>
        </w:rPr>
        <w:t>Human Rights Act</w:t>
      </w:r>
      <w:r>
        <w:t xml:space="preserve">, however the matter resolved without the issue being determined. </w:t>
      </w:r>
    </w:p>
    <w:p w14:paraId="5B0D6C0C" w14:textId="77777777" w:rsidR="00447A30" w:rsidRDefault="00447A30" w:rsidP="00447A30">
      <w:pPr>
        <w:pStyle w:val="ListParagraph"/>
        <w:keepLines w:val="0"/>
        <w:widowControl/>
        <w:numPr>
          <w:ilvl w:val="0"/>
          <w:numId w:val="24"/>
        </w:numPr>
        <w:rPr>
          <w:color w:val="auto"/>
        </w:rPr>
      </w:pPr>
      <w:r>
        <w:t xml:space="preserve">Five other matters are </w:t>
      </w:r>
      <w:r>
        <w:rPr>
          <w:color w:val="auto"/>
        </w:rPr>
        <w:t>ongoing.</w:t>
      </w:r>
    </w:p>
    <w:p w14:paraId="5C972F48" w14:textId="2901493A" w:rsidR="00293EB9" w:rsidRPr="00131215" w:rsidRDefault="00293EB9" w:rsidP="00293EB9">
      <w:pPr>
        <w:pStyle w:val="Heading1"/>
        <w:rPr>
          <w:color w:val="004270"/>
        </w:rPr>
      </w:pPr>
      <w:bookmarkStart w:id="443" w:name="_Toc84593883"/>
      <w:bookmarkStart w:id="444" w:name="_Toc85451761"/>
      <w:bookmarkStart w:id="445" w:name="_Toc85526691"/>
      <w:bookmarkStart w:id="446" w:name="_Toc85787106"/>
      <w:bookmarkStart w:id="447" w:name="_Toc110506644"/>
      <w:bookmarkStart w:id="448" w:name="_Toc717933610"/>
      <w:bookmarkStart w:id="449" w:name="_Toc117697168"/>
      <w:bookmarkStart w:id="450" w:name="_Toc147757315"/>
      <w:bookmarkStart w:id="451" w:name="_Toc148086936"/>
      <w:r w:rsidRPr="00131215">
        <w:rPr>
          <w:color w:val="004270"/>
        </w:rPr>
        <w:t xml:space="preserve">Summary of the role of courts and tribunals in </w:t>
      </w:r>
      <w:r w:rsidR="007D27F7">
        <w:rPr>
          <w:color w:val="004270"/>
        </w:rPr>
        <w:t>2022-23</w:t>
      </w:r>
      <w:bookmarkEnd w:id="443"/>
      <w:bookmarkEnd w:id="444"/>
      <w:bookmarkEnd w:id="445"/>
      <w:bookmarkEnd w:id="446"/>
      <w:bookmarkEnd w:id="447"/>
      <w:bookmarkEnd w:id="448"/>
      <w:bookmarkEnd w:id="449"/>
      <w:bookmarkEnd w:id="450"/>
      <w:bookmarkEnd w:id="451"/>
    </w:p>
    <w:p w14:paraId="3D9712B0" w14:textId="74634B0A" w:rsidR="00AB28DE" w:rsidRDefault="001E7F84" w:rsidP="00AB28DE">
      <w:pPr>
        <w:rPr>
          <w:lang w:val="en"/>
        </w:rPr>
      </w:pPr>
      <w:r>
        <w:t>Judgments delivered t</w:t>
      </w:r>
      <w:r w:rsidR="00841EF5">
        <w:t xml:space="preserve">his year </w:t>
      </w:r>
      <w:r w:rsidR="006B7245">
        <w:t xml:space="preserve">provided </w:t>
      </w:r>
      <w:r w:rsidR="00AB28DE">
        <w:t xml:space="preserve">guidance </w:t>
      </w:r>
      <w:r w:rsidR="007C5434">
        <w:t xml:space="preserve">to courts and tribunals </w:t>
      </w:r>
      <w:r w:rsidR="00AB28DE">
        <w:t xml:space="preserve">on </w:t>
      </w:r>
      <w:r w:rsidR="007C5434">
        <w:t>direct application of</w:t>
      </w:r>
      <w:r w:rsidR="00AB28DE">
        <w:t xml:space="preserve"> the Human Rights Act under section 5(2)(a)</w:t>
      </w:r>
      <w:r w:rsidR="00AB28DE" w:rsidDel="00BC14DE">
        <w:t xml:space="preserve"> </w:t>
      </w:r>
      <w:r w:rsidR="00AB28DE">
        <w:t xml:space="preserve">when acting in a judicial capacity. In </w:t>
      </w:r>
      <w:r w:rsidR="00AB28DE">
        <w:rPr>
          <w:i/>
          <w:iCs/>
          <w:lang w:val="en"/>
        </w:rPr>
        <w:t xml:space="preserve">Attorney-General for the State of Queensland v Grant (No 2) </w:t>
      </w:r>
      <w:r w:rsidR="00AB28DE">
        <w:rPr>
          <w:lang w:val="en"/>
        </w:rPr>
        <w:t>[2022] QSC 253, t</w:t>
      </w:r>
      <w:r w:rsidR="00AB28DE">
        <w:t xml:space="preserve">he Supreme Court clarified that the court is required to </w:t>
      </w:r>
      <w:r w:rsidR="00DA2BDA">
        <w:t xml:space="preserve">consider </w:t>
      </w:r>
      <w:r w:rsidR="00AB28DE">
        <w:t>the human rights that relate to the functions the court is performing</w:t>
      </w:r>
      <w:r w:rsidR="00AB28DE">
        <w:rPr>
          <w:lang w:val="en"/>
        </w:rPr>
        <w:t>, rather than limiting its consideration to those rights explicitly addressed to courts (for example, the right to</w:t>
      </w:r>
      <w:r w:rsidR="00766295">
        <w:rPr>
          <w:lang w:val="en"/>
        </w:rPr>
        <w:t xml:space="preserve"> a</w:t>
      </w:r>
      <w:r w:rsidR="00AB28DE">
        <w:rPr>
          <w:lang w:val="en"/>
        </w:rPr>
        <w:t xml:space="preserve"> fair hearing and rights in criminal proceedings). However, rights protected by the Human Rights Act do not give rise to an independent remedy or cause of action.</w:t>
      </w:r>
      <w:r w:rsidR="00AB28DE">
        <w:rPr>
          <w:rStyle w:val="FootnoteReference"/>
          <w:lang w:val="en"/>
        </w:rPr>
        <w:footnoteReference w:id="86"/>
      </w:r>
      <w:r w:rsidR="00AB28DE">
        <w:rPr>
          <w:lang w:val="en"/>
        </w:rPr>
        <w:t xml:space="preserve"> </w:t>
      </w:r>
    </w:p>
    <w:p w14:paraId="67B4B5EA" w14:textId="721486FE" w:rsidR="00AB28DE" w:rsidRDefault="00AB28DE" w:rsidP="00AB28DE">
      <w:pPr>
        <w:rPr>
          <w:lang w:val="en"/>
        </w:rPr>
      </w:pPr>
      <w:r w:rsidRPr="005B3331">
        <w:t>Further judicial consideration was given to the obligation on public entities to give proper consideration</w:t>
      </w:r>
      <w:r w:rsidR="00F17667" w:rsidRPr="005B3331">
        <w:t xml:space="preserve"> to human rights</w:t>
      </w:r>
      <w:r w:rsidRPr="005B3331">
        <w:t xml:space="preserve">. The Supreme Court in Austin BMI Pty Ltd v Deputy Premier </w:t>
      </w:r>
      <w:r w:rsidRPr="006D7286">
        <w:t xml:space="preserve">[2023] QSC 95 reinforced comments made in </w:t>
      </w:r>
      <w:r w:rsidRPr="006D7286">
        <w:rPr>
          <w:i/>
        </w:rPr>
        <w:t>Owen-D’Arcy v Chief Executive, Queensland Corrective Services</w:t>
      </w:r>
      <w:r w:rsidRPr="006D7286">
        <w:t> </w:t>
      </w:r>
      <w:hyperlink r:id="rId26" w:history="1">
        <w:r w:rsidRPr="006D7286">
          <w:t>[2021] QSC 273</w:t>
        </w:r>
      </w:hyperlink>
      <w:r w:rsidR="486D505D" w:rsidRPr="006D7286">
        <w:t xml:space="preserve"> </w:t>
      </w:r>
      <w:r w:rsidRPr="006D7286">
        <w:t>that</w:t>
      </w:r>
      <w:r w:rsidRPr="006D7286">
        <w:rPr>
          <w:rFonts w:asciiTheme="minorBidi" w:hAnsiTheme="minorBidi"/>
          <w:lang w:val="en"/>
        </w:rPr>
        <w:t xml:space="preserve"> the identification of affected</w:t>
      </w:r>
      <w:r>
        <w:rPr>
          <w:lang w:val="en"/>
        </w:rPr>
        <w:t xml:space="preserve"> human rights required for proper consideration must be approached in a ‘common sense and practical manner’. In </w:t>
      </w:r>
      <w:r w:rsidR="00F71D4F" w:rsidRPr="00A35C9C">
        <w:rPr>
          <w:i/>
          <w:iCs/>
          <w:lang w:val="en"/>
        </w:rPr>
        <w:t>Austin BMI Pty Ltd v Deputy Premier</w:t>
      </w:r>
      <w:r w:rsidR="00F71D4F" w:rsidRPr="006849A2">
        <w:rPr>
          <w:lang w:val="en"/>
        </w:rPr>
        <w:t xml:space="preserve"> [2023] QSC 95</w:t>
      </w:r>
      <w:r>
        <w:rPr>
          <w:lang w:val="en"/>
        </w:rPr>
        <w:t>, the Court held that the decision</w:t>
      </w:r>
      <w:r w:rsidR="00B502E5">
        <w:rPr>
          <w:lang w:val="en"/>
        </w:rPr>
        <w:t>-</w:t>
      </w:r>
      <w:r>
        <w:rPr>
          <w:lang w:val="en"/>
        </w:rPr>
        <w:t>maker was entitled to rely on briefings from the department to demonstrate proper consideration, and that the briefing did not have to identify and consider rights that were ‘not affected’ by the decision. The Court also confirmed section 58(6) of the Human Rights Act makes clear that a contravention of section 58(1) obligations by a public entity when making a decision amounts to non-jurisdictional error and does not make the decision invalid.</w:t>
      </w:r>
    </w:p>
    <w:p w14:paraId="1AB3B2E5" w14:textId="2193F1BE" w:rsidR="00AB28DE" w:rsidRDefault="00AB28DE" w:rsidP="00AB28DE">
      <w:pPr>
        <w:rPr>
          <w:lang w:val="en"/>
        </w:rPr>
      </w:pPr>
      <w:r>
        <w:rPr>
          <w:lang w:val="en"/>
        </w:rPr>
        <w:t>In 2022-23, there was limited commentary on the application of the interpretative provision under section 48 of the Human Rights Act</w:t>
      </w:r>
      <w:r w:rsidR="0064231C">
        <w:rPr>
          <w:lang w:val="en"/>
        </w:rPr>
        <w:t xml:space="preserve">. </w:t>
      </w:r>
    </w:p>
    <w:p w14:paraId="7AE2A958" w14:textId="53B1166C" w:rsidR="00AB28DE" w:rsidRDefault="00AB28DE" w:rsidP="00AB28DE">
      <w:pPr>
        <w:rPr>
          <w:lang w:val="en"/>
        </w:rPr>
      </w:pPr>
      <w:r>
        <w:rPr>
          <w:lang w:val="en"/>
        </w:rPr>
        <w:t xml:space="preserve">Significant decisions were made by the Land Court </w:t>
      </w:r>
      <w:r w:rsidR="00460B46">
        <w:rPr>
          <w:lang w:val="en"/>
        </w:rPr>
        <w:t xml:space="preserve">of Queensland </w:t>
      </w:r>
      <w:r>
        <w:rPr>
          <w:lang w:val="en"/>
        </w:rPr>
        <w:t xml:space="preserve">and the Coroners Court </w:t>
      </w:r>
      <w:r w:rsidR="00606D75">
        <w:rPr>
          <w:lang w:val="en"/>
        </w:rPr>
        <w:t xml:space="preserve">of Queensland </w:t>
      </w:r>
      <w:r>
        <w:rPr>
          <w:lang w:val="en"/>
        </w:rPr>
        <w:t>acting in an administrative capacity and therefore with public entity obligations.</w:t>
      </w:r>
      <w:r>
        <w:rPr>
          <w:rStyle w:val="FootnoteReference"/>
          <w:lang w:val="en"/>
        </w:rPr>
        <w:footnoteReference w:id="87"/>
      </w:r>
      <w:r>
        <w:rPr>
          <w:lang w:val="en"/>
        </w:rPr>
        <w:t xml:space="preserve"> </w:t>
      </w:r>
      <w:r w:rsidR="00F50281">
        <w:rPr>
          <w:lang w:val="en"/>
        </w:rPr>
        <w:t>T</w:t>
      </w:r>
      <w:r>
        <w:rPr>
          <w:lang w:val="en"/>
        </w:rPr>
        <w:t xml:space="preserve">he Mental Health Court </w:t>
      </w:r>
      <w:r w:rsidR="00502E05">
        <w:rPr>
          <w:lang w:val="en"/>
        </w:rPr>
        <w:t xml:space="preserve">also took a human rights approach in a decision regarding approval of electroconvulsive therapy by applying the principles of the </w:t>
      </w:r>
      <w:r w:rsidR="00502E05" w:rsidRPr="00502E05">
        <w:rPr>
          <w:i/>
          <w:iCs/>
          <w:lang w:val="en"/>
        </w:rPr>
        <w:t>Mental Health Act 2016,</w:t>
      </w:r>
      <w:r w:rsidR="00502E05">
        <w:rPr>
          <w:lang w:val="en"/>
        </w:rPr>
        <w:t xml:space="preserve"> which the Court found were consistent with the Human Rights Act.</w:t>
      </w:r>
      <w:r>
        <w:rPr>
          <w:rStyle w:val="FootnoteReference"/>
          <w:lang w:val="en"/>
        </w:rPr>
        <w:footnoteReference w:id="88"/>
      </w:r>
    </w:p>
    <w:p w14:paraId="648790F9" w14:textId="232AB77A" w:rsidR="00AB28DE" w:rsidRDefault="00AB28DE" w:rsidP="00AB28DE">
      <w:pPr>
        <w:rPr>
          <w:lang w:val="en"/>
        </w:rPr>
      </w:pPr>
      <w:r w:rsidRPr="007C5EEE">
        <w:rPr>
          <w:lang w:val="en"/>
        </w:rPr>
        <w:t xml:space="preserve">Courts and tribunals </w:t>
      </w:r>
      <w:r w:rsidR="00D01989">
        <w:rPr>
          <w:lang w:val="en"/>
        </w:rPr>
        <w:t xml:space="preserve">provided guidance on particular rights in 2022-23, which is reflected in </w:t>
      </w:r>
      <w:r w:rsidR="004747C0">
        <w:rPr>
          <w:lang w:val="en"/>
        </w:rPr>
        <w:t>table 4</w:t>
      </w:r>
      <w:r w:rsidR="00D01989">
        <w:rPr>
          <w:lang w:val="en"/>
        </w:rPr>
        <w:t>.</w:t>
      </w:r>
    </w:p>
    <w:p w14:paraId="3E10F93F" w14:textId="77777777" w:rsidR="004747C0" w:rsidRDefault="004747C0">
      <w:pPr>
        <w:spacing w:after="160" w:line="259" w:lineRule="auto"/>
        <w:ind w:right="0"/>
        <w:rPr>
          <w:i/>
          <w:iCs/>
          <w:color w:val="000000" w:themeColor="text1"/>
          <w:szCs w:val="18"/>
          <w:lang w:val="en"/>
        </w:rPr>
      </w:pPr>
      <w:r>
        <w:rPr>
          <w:lang w:val="en"/>
        </w:rPr>
        <w:br w:type="page"/>
      </w:r>
    </w:p>
    <w:p w14:paraId="23E78EE6" w14:textId="38CD7BBE" w:rsidR="00B132DB" w:rsidRDefault="00B132DB" w:rsidP="00B132DB">
      <w:pPr>
        <w:pStyle w:val="Caption"/>
        <w:rPr>
          <w:lang w:val="en"/>
        </w:rPr>
      </w:pPr>
      <w:r>
        <w:rPr>
          <w:lang w:val="en"/>
        </w:rPr>
        <w:t xml:space="preserve">Table 4: </w:t>
      </w:r>
      <w:r w:rsidR="00070C00">
        <w:rPr>
          <w:lang w:val="en"/>
        </w:rPr>
        <w:t>Consideration of specific rights by courts and tribunals,</w:t>
      </w:r>
      <w:r w:rsidR="00070C00" w:rsidRPr="00070C00">
        <w:rPr>
          <w:lang w:val="en"/>
        </w:rPr>
        <w:t xml:space="preserve"> 2022-23</w:t>
      </w:r>
    </w:p>
    <w:tbl>
      <w:tblPr>
        <w:tblStyle w:val="TableGrid"/>
        <w:tblW w:w="0" w:type="auto"/>
        <w:tblBorders>
          <w:top w:val="single" w:sz="4" w:space="0" w:color="004270"/>
          <w:left w:val="none" w:sz="0" w:space="0" w:color="auto"/>
          <w:bottom w:val="single" w:sz="4" w:space="0" w:color="004270"/>
          <w:right w:val="none" w:sz="0" w:space="0" w:color="auto"/>
          <w:insideH w:val="single" w:sz="4" w:space="0" w:color="004270"/>
          <w:insideV w:val="none" w:sz="0" w:space="0" w:color="auto"/>
        </w:tblBorders>
        <w:tblLook w:val="04A0" w:firstRow="1" w:lastRow="0" w:firstColumn="1" w:lastColumn="0" w:noHBand="0" w:noVBand="1"/>
      </w:tblPr>
      <w:tblGrid>
        <w:gridCol w:w="2410"/>
        <w:gridCol w:w="5670"/>
      </w:tblGrid>
      <w:tr w:rsidR="00B132DB" w:rsidRPr="00B132DB" w14:paraId="690B90B9" w14:textId="77777777" w:rsidTr="004747C0">
        <w:tc>
          <w:tcPr>
            <w:tcW w:w="2410" w:type="dxa"/>
          </w:tcPr>
          <w:p w14:paraId="2D6A7187" w14:textId="3D77F743" w:rsidR="00B132DB" w:rsidRPr="00B132DB" w:rsidRDefault="00B132DB" w:rsidP="00B132DB">
            <w:pPr>
              <w:pStyle w:val="Tableheading"/>
              <w:rPr>
                <w:color w:val="004270"/>
                <w:lang w:val="en"/>
              </w:rPr>
            </w:pPr>
            <w:r w:rsidRPr="00B132DB">
              <w:rPr>
                <w:color w:val="004270"/>
                <w:lang w:val="en"/>
              </w:rPr>
              <w:t>Protected rights</w:t>
            </w:r>
          </w:p>
        </w:tc>
        <w:tc>
          <w:tcPr>
            <w:tcW w:w="5670" w:type="dxa"/>
          </w:tcPr>
          <w:p w14:paraId="67920D0D" w14:textId="07967C57" w:rsidR="00B132DB" w:rsidRPr="00B132DB" w:rsidRDefault="00B132DB" w:rsidP="00B132DB">
            <w:pPr>
              <w:pStyle w:val="Tableheading"/>
              <w:rPr>
                <w:color w:val="004270"/>
                <w:lang w:val="en"/>
              </w:rPr>
            </w:pPr>
            <w:r w:rsidRPr="00B132DB">
              <w:rPr>
                <w:color w:val="004270"/>
                <w:lang w:val="en"/>
              </w:rPr>
              <w:t>Cases which considered this right</w:t>
            </w:r>
          </w:p>
        </w:tc>
      </w:tr>
      <w:tr w:rsidR="00AB28DE" w14:paraId="723663FE" w14:textId="77777777" w:rsidTr="004747C0">
        <w:tc>
          <w:tcPr>
            <w:tcW w:w="2410" w:type="dxa"/>
          </w:tcPr>
          <w:p w14:paraId="3FD191F9" w14:textId="2F99F6D3" w:rsidR="00AB28DE" w:rsidRPr="00B132DB" w:rsidRDefault="00AB28DE" w:rsidP="00B132DB">
            <w:pPr>
              <w:pStyle w:val="Tabletext"/>
            </w:pPr>
            <w:r w:rsidRPr="00B132DB">
              <w:t>Recognition and equality before the law</w:t>
            </w:r>
            <w:r w:rsidR="0012381D" w:rsidRPr="00B132DB">
              <w:t xml:space="preserve"> (section 15)</w:t>
            </w:r>
          </w:p>
        </w:tc>
        <w:tc>
          <w:tcPr>
            <w:tcW w:w="5670" w:type="dxa"/>
          </w:tcPr>
          <w:p w14:paraId="65D9DE6A" w14:textId="1C225E74" w:rsidR="00AB28DE" w:rsidRPr="00B132DB" w:rsidRDefault="00AB28DE" w:rsidP="00B132DB">
            <w:pPr>
              <w:pStyle w:val="Tabletext"/>
            </w:pPr>
            <w:r w:rsidRPr="00B132DB">
              <w:rPr>
                <w:i/>
              </w:rPr>
              <w:t>Burleigh Town Village Pty Ltd (3)</w:t>
            </w:r>
            <w:r w:rsidRPr="00B132DB">
              <w:t xml:space="preserve"> [2022] QCAT 285; </w:t>
            </w:r>
            <w:r w:rsidRPr="00B132DB">
              <w:rPr>
                <w:i/>
              </w:rPr>
              <w:t>Waratah Coal Pty Ltd v Youth Verdict Ltd &amp; Ors</w:t>
            </w:r>
            <w:r w:rsidRPr="00B132DB">
              <w:t xml:space="preserve"> </w:t>
            </w:r>
            <w:r w:rsidRPr="00B132DB">
              <w:rPr>
                <w:i/>
              </w:rPr>
              <w:t>(No 6)</w:t>
            </w:r>
            <w:r w:rsidRPr="00B132DB">
              <w:t xml:space="preserve"> [2022] QLC 21; </w:t>
            </w:r>
            <w:r w:rsidRPr="00B132DB">
              <w:rPr>
                <w:i/>
              </w:rPr>
              <w:t>Austin BMI Pty Ltd v Deputy Premier</w:t>
            </w:r>
            <w:r w:rsidRPr="00B132DB">
              <w:t xml:space="preserve"> [2023] QSC 95 (considered the meaning of ‘without discrimination’ in the context of the right to take part in public life)</w:t>
            </w:r>
          </w:p>
        </w:tc>
      </w:tr>
      <w:tr w:rsidR="00AB28DE" w14:paraId="21BEEA7A" w14:textId="77777777" w:rsidTr="004747C0">
        <w:tc>
          <w:tcPr>
            <w:tcW w:w="2410" w:type="dxa"/>
          </w:tcPr>
          <w:p w14:paraId="2BA6FF29" w14:textId="3F692229" w:rsidR="00AB28DE" w:rsidRPr="00B132DB" w:rsidRDefault="00AB28DE" w:rsidP="00B132DB">
            <w:pPr>
              <w:pStyle w:val="Tabletext"/>
            </w:pPr>
            <w:r w:rsidRPr="00B132DB">
              <w:t>Right to life</w:t>
            </w:r>
            <w:r w:rsidR="0012381D" w:rsidRPr="00B132DB">
              <w:t xml:space="preserve"> (section 16)</w:t>
            </w:r>
          </w:p>
        </w:tc>
        <w:tc>
          <w:tcPr>
            <w:tcW w:w="5670" w:type="dxa"/>
          </w:tcPr>
          <w:p w14:paraId="40979359" w14:textId="77777777" w:rsidR="00AB28DE" w:rsidRPr="00B132DB" w:rsidRDefault="00AB28DE" w:rsidP="00B132DB">
            <w:pPr>
              <w:pStyle w:val="Tabletext"/>
            </w:pPr>
            <w:r w:rsidRPr="00B132DB">
              <w:rPr>
                <w:i/>
              </w:rPr>
              <w:t>Waratah Coal Pty Ltd v Youth Verdict Ltd &amp; Ors (No 6)</w:t>
            </w:r>
            <w:r w:rsidRPr="00B132DB">
              <w:t xml:space="preserve"> [2022] QLC 21; </w:t>
            </w:r>
            <w:r w:rsidRPr="00B132DB">
              <w:rPr>
                <w:i/>
              </w:rPr>
              <w:t>Inquest into the deaths of Yvette Michelle Wilma Booth, Adele Estelle Sandy, Shakaya George</w:t>
            </w:r>
            <w:r w:rsidRPr="00B132DB">
              <w:t xml:space="preserve"> (Findings of inquest, Coroners Court of Queensland, 30 June 2023)</w:t>
            </w:r>
          </w:p>
          <w:p w14:paraId="11FC93CD" w14:textId="77777777" w:rsidR="00AB28DE" w:rsidRPr="00B132DB" w:rsidRDefault="00AB28DE" w:rsidP="00B132DB">
            <w:pPr>
              <w:pStyle w:val="Tabletext"/>
            </w:pPr>
          </w:p>
        </w:tc>
      </w:tr>
      <w:tr w:rsidR="00AB28DE" w14:paraId="61989203" w14:textId="77777777" w:rsidTr="004747C0">
        <w:tc>
          <w:tcPr>
            <w:tcW w:w="2410" w:type="dxa"/>
          </w:tcPr>
          <w:p w14:paraId="34361D58" w14:textId="7B87CEC2" w:rsidR="00AB28DE" w:rsidRPr="00B132DB" w:rsidRDefault="00AB28DE" w:rsidP="00B132DB">
            <w:pPr>
              <w:pStyle w:val="Tabletext"/>
            </w:pPr>
            <w:r w:rsidRPr="00B132DB">
              <w:t>Peaceful assembly and freedom of association</w:t>
            </w:r>
            <w:r w:rsidR="0012381D" w:rsidRPr="00B132DB">
              <w:t xml:space="preserve"> (section 22)</w:t>
            </w:r>
          </w:p>
        </w:tc>
        <w:tc>
          <w:tcPr>
            <w:tcW w:w="5670" w:type="dxa"/>
          </w:tcPr>
          <w:p w14:paraId="1B107656" w14:textId="77777777" w:rsidR="00AB28DE" w:rsidRPr="00B132DB" w:rsidRDefault="00AB28DE" w:rsidP="00B132DB">
            <w:pPr>
              <w:pStyle w:val="Tabletext"/>
            </w:pPr>
            <w:r w:rsidRPr="00B132DB">
              <w:rPr>
                <w:i/>
              </w:rPr>
              <w:t>Wallace v Tannock &amp; Anor</w:t>
            </w:r>
            <w:r w:rsidRPr="00B132DB">
              <w:t xml:space="preserve"> [2023] QSC 122</w:t>
            </w:r>
          </w:p>
        </w:tc>
      </w:tr>
      <w:tr w:rsidR="00AB28DE" w14:paraId="368DC27A" w14:textId="77777777" w:rsidTr="004747C0">
        <w:tc>
          <w:tcPr>
            <w:tcW w:w="2410" w:type="dxa"/>
          </w:tcPr>
          <w:p w14:paraId="352675F3" w14:textId="0C25E0D3" w:rsidR="00AB28DE" w:rsidRPr="00B132DB" w:rsidRDefault="0012381D" w:rsidP="00B132DB">
            <w:pPr>
              <w:pStyle w:val="Tabletext"/>
            </w:pPr>
            <w:r w:rsidRPr="00B132DB">
              <w:t>Property rights (section 24)</w:t>
            </w:r>
          </w:p>
        </w:tc>
        <w:tc>
          <w:tcPr>
            <w:tcW w:w="5670" w:type="dxa"/>
          </w:tcPr>
          <w:p w14:paraId="1F87C498" w14:textId="630271A3" w:rsidR="00AB28DE" w:rsidRPr="00B132DB" w:rsidRDefault="00AB28DE" w:rsidP="00B132DB">
            <w:pPr>
              <w:pStyle w:val="Tabletext"/>
            </w:pPr>
            <w:r w:rsidRPr="00B132DB">
              <w:rPr>
                <w:i/>
              </w:rPr>
              <w:t>Austin BMI Pty Ltd v Deputy Premier</w:t>
            </w:r>
            <w:r w:rsidRPr="00B132DB">
              <w:t xml:space="preserve"> [2023] QSC 95; </w:t>
            </w:r>
            <w:r w:rsidRPr="00B132DB">
              <w:rPr>
                <w:i/>
              </w:rPr>
              <w:t>Waratah Coal Pty Ltd v Youth Verdict Ltd &amp; Ors (No 6)</w:t>
            </w:r>
            <w:r w:rsidRPr="00B132DB">
              <w:t xml:space="preserve"> [2022] QLC 21</w:t>
            </w:r>
            <w:r w:rsidR="00B132DB">
              <w:t>;</w:t>
            </w:r>
            <w:r w:rsidRPr="00B132DB">
              <w:t xml:space="preserve"> </w:t>
            </w:r>
            <w:r w:rsidRPr="00B132DB">
              <w:rPr>
                <w:i/>
              </w:rPr>
              <w:t>Burleigh Town Village Pty Ltd (3)</w:t>
            </w:r>
            <w:r w:rsidRPr="00B132DB">
              <w:t xml:space="preserve"> [2022] QCAT 285</w:t>
            </w:r>
          </w:p>
        </w:tc>
      </w:tr>
      <w:tr w:rsidR="005051FF" w14:paraId="452F7ACA" w14:textId="77777777" w:rsidTr="004747C0">
        <w:tc>
          <w:tcPr>
            <w:tcW w:w="2410" w:type="dxa"/>
          </w:tcPr>
          <w:p w14:paraId="4B6325D1" w14:textId="16959129" w:rsidR="005051FF" w:rsidRPr="00B132DB" w:rsidRDefault="005051FF" w:rsidP="00B132DB">
            <w:pPr>
              <w:pStyle w:val="Tabletext"/>
            </w:pPr>
            <w:r w:rsidRPr="00B132DB">
              <w:t>Cultural rights</w:t>
            </w:r>
            <w:r w:rsidR="00F92127" w:rsidRPr="00B132DB">
              <w:t>–</w:t>
            </w:r>
            <w:r w:rsidRPr="00B132DB">
              <w:t>Aboriginal peoples and Torres Strait Islander peoples (section 28)</w:t>
            </w:r>
          </w:p>
        </w:tc>
        <w:tc>
          <w:tcPr>
            <w:tcW w:w="5670" w:type="dxa"/>
          </w:tcPr>
          <w:p w14:paraId="35AEABD4" w14:textId="77777777" w:rsidR="005051FF" w:rsidRPr="00B132DB" w:rsidRDefault="005051FF" w:rsidP="00B132DB">
            <w:pPr>
              <w:pStyle w:val="Tabletext"/>
            </w:pPr>
            <w:r w:rsidRPr="00B132DB">
              <w:rPr>
                <w:i/>
              </w:rPr>
              <w:t>Waratah Coal Pty Ltd v Youth Verdict Ltd &amp; Ors (No 6)</w:t>
            </w:r>
            <w:r w:rsidRPr="00B132DB">
              <w:t xml:space="preserve"> [2022] QLC 21, </w:t>
            </w:r>
            <w:r w:rsidRPr="00B132DB">
              <w:rPr>
                <w:i/>
              </w:rPr>
              <w:t>Inquest into the deaths of Yvette Michelle Wilma Booth, Adele Estelle Sandy, Shakaya George</w:t>
            </w:r>
            <w:r w:rsidRPr="00B132DB">
              <w:t xml:space="preserve"> (Findings of inquest, Coroners Court of Queensland, 30 June 2023)</w:t>
            </w:r>
          </w:p>
          <w:p w14:paraId="0902A2E2" w14:textId="77777777" w:rsidR="005051FF" w:rsidRPr="00B132DB" w:rsidRDefault="005051FF" w:rsidP="00B132DB">
            <w:pPr>
              <w:pStyle w:val="Tabletext"/>
            </w:pPr>
          </w:p>
        </w:tc>
      </w:tr>
      <w:tr w:rsidR="00AB28DE" w14:paraId="52D56AAE" w14:textId="77777777" w:rsidTr="004747C0">
        <w:tc>
          <w:tcPr>
            <w:tcW w:w="2410" w:type="dxa"/>
          </w:tcPr>
          <w:p w14:paraId="776A9231" w14:textId="398585FA" w:rsidR="00AB28DE" w:rsidRPr="00B132DB" w:rsidRDefault="00AB28DE" w:rsidP="00B132DB">
            <w:pPr>
              <w:pStyle w:val="Tabletext"/>
            </w:pPr>
            <w:r w:rsidRPr="00B132DB">
              <w:t>Right to liberty</w:t>
            </w:r>
            <w:r w:rsidR="005051FF" w:rsidRPr="00B132DB">
              <w:t xml:space="preserve"> and security of person (section 29)</w:t>
            </w:r>
          </w:p>
        </w:tc>
        <w:tc>
          <w:tcPr>
            <w:tcW w:w="5670" w:type="dxa"/>
          </w:tcPr>
          <w:p w14:paraId="4E7753C4" w14:textId="77777777" w:rsidR="00AB28DE" w:rsidRPr="00B132DB" w:rsidRDefault="00AB28DE" w:rsidP="00B132DB">
            <w:pPr>
              <w:pStyle w:val="Tabletext"/>
            </w:pPr>
            <w:r w:rsidRPr="00B132DB">
              <w:rPr>
                <w:i/>
              </w:rPr>
              <w:t>Attorney-General for the State of Queensland v Grant (No 2)</w:t>
            </w:r>
            <w:r w:rsidRPr="00B132DB">
              <w:t xml:space="preserve"> [2022] QSC 252</w:t>
            </w:r>
          </w:p>
        </w:tc>
      </w:tr>
      <w:tr w:rsidR="00591CCF" w14:paraId="3FAFC1B9" w14:textId="77777777" w:rsidTr="004747C0">
        <w:tc>
          <w:tcPr>
            <w:tcW w:w="2410" w:type="dxa"/>
          </w:tcPr>
          <w:p w14:paraId="4F5DDD81" w14:textId="7101B922" w:rsidR="00591CCF" w:rsidRPr="00B132DB" w:rsidRDefault="00591CCF" w:rsidP="00B132DB">
            <w:pPr>
              <w:pStyle w:val="Tabletext"/>
            </w:pPr>
            <w:r w:rsidRPr="00B132DB">
              <w:t>Fair hearing</w:t>
            </w:r>
            <w:r w:rsidR="005051FF" w:rsidRPr="00B132DB">
              <w:t xml:space="preserve"> (section 31)</w:t>
            </w:r>
          </w:p>
        </w:tc>
        <w:tc>
          <w:tcPr>
            <w:tcW w:w="5670" w:type="dxa"/>
          </w:tcPr>
          <w:p w14:paraId="5F078CC1" w14:textId="2594C5B5" w:rsidR="00591CCF" w:rsidRPr="00B132DB" w:rsidRDefault="00591CCF" w:rsidP="00B132DB">
            <w:pPr>
              <w:pStyle w:val="Tabletext"/>
            </w:pPr>
            <w:r w:rsidRPr="00B132DB">
              <w:rPr>
                <w:i/>
              </w:rPr>
              <w:t>Austin BMI Pty Ltd v Deputy Premier</w:t>
            </w:r>
            <w:r w:rsidRPr="00B132DB">
              <w:t xml:space="preserve"> [2023] QSC 95; </w:t>
            </w:r>
            <w:r w:rsidRPr="00B132DB">
              <w:rPr>
                <w:i/>
              </w:rPr>
              <w:t>BA, DC, FE v State of Queensland</w:t>
            </w:r>
            <w:r w:rsidRPr="00B132DB">
              <w:t xml:space="preserve"> [2022] QCAT 332</w:t>
            </w:r>
          </w:p>
        </w:tc>
      </w:tr>
    </w:tbl>
    <w:p w14:paraId="45B781B9" w14:textId="42A135BB" w:rsidR="78ACA43F" w:rsidRDefault="78ACA43F" w:rsidP="78ACA43F">
      <w:pPr>
        <w:rPr>
          <w:rFonts w:eastAsia="Calibri" w:cs="Arial"/>
        </w:rPr>
      </w:pPr>
    </w:p>
    <w:p w14:paraId="68E3DFF2" w14:textId="7A6D4254" w:rsidR="00D64205" w:rsidRDefault="00E76F27" w:rsidP="78ACA43F">
      <w:pPr>
        <w:rPr>
          <w:rFonts w:eastAsia="Calibri" w:cs="Arial"/>
        </w:rPr>
      </w:pPr>
      <w:r w:rsidRPr="00E76F27">
        <w:t xml:space="preserve">With the growing number of cases addressing human rights issues in Queensland and the increasing depth of analysis within these cases, it is evident that the jurisprudence surrounding human rights in Queensland is evolving. The rise in such cases may signify a heightened willingness and confidence among advocates to incorporate human rights arguments in their litigation efforts, as well as an increasing openness of courts to thoroughly delve into these matters. As this body of case law continues to expand, both public entities and the community at large will gain a clearer understanding of how the Human Rights Act is applicable in </w:t>
      </w:r>
      <w:r>
        <w:t>a range of</w:t>
      </w:r>
      <w:r w:rsidRPr="00E76F27">
        <w:t xml:space="preserve"> contexts.</w:t>
      </w:r>
      <w:r w:rsidR="00AC64E9">
        <w:t xml:space="preserve"> </w:t>
      </w:r>
      <w:r w:rsidR="00B54B12" w:rsidRPr="00B54B12">
        <w:t xml:space="preserve">The Commission's ongoing participation as an intervenor in significant cases will continue to be instrumental in </w:t>
      </w:r>
      <w:r w:rsidR="00F71D4F">
        <w:t>emphasis</w:t>
      </w:r>
      <w:r w:rsidR="00B54B12" w:rsidRPr="00B54B12">
        <w:t>ing the significance of human rights in Queensland.</w:t>
      </w:r>
    </w:p>
    <w:p w14:paraId="4971C037" w14:textId="77777777" w:rsidR="00FF49F6" w:rsidRDefault="00FF49F6">
      <w:pPr>
        <w:spacing w:after="160" w:line="259" w:lineRule="auto"/>
        <w:ind w:right="0"/>
      </w:pPr>
      <w:r>
        <w:br w:type="page"/>
      </w:r>
    </w:p>
    <w:p w14:paraId="0C4BE48D" w14:textId="6CCD4684" w:rsidR="00065245" w:rsidRDefault="00624635" w:rsidP="002D3CF1">
      <w:bookmarkStart w:id="452" w:name="_Toc87192059"/>
      <w:r>
        <w:rPr>
          <w:noProof/>
          <w:color w:val="2B579A"/>
          <w:shd w:val="clear" w:color="auto" w:fill="E6E6E6"/>
          <w:lang w:eastAsia="en-AU"/>
        </w:rPr>
        <w:drawing>
          <wp:anchor distT="0" distB="0" distL="114300" distR="114300" simplePos="0" relativeHeight="251658241" behindDoc="1" locked="0" layoutInCell="1" allowOverlap="1" wp14:anchorId="50C968CA" wp14:editId="257F5BFF">
            <wp:simplePos x="0" y="0"/>
            <wp:positionH relativeFrom="page">
              <wp:align>left</wp:align>
            </wp:positionH>
            <wp:positionV relativeFrom="paragraph">
              <wp:posOffset>-914400</wp:posOffset>
            </wp:positionV>
            <wp:extent cx="7472435" cy="10677525"/>
            <wp:effectExtent l="0" t="0" r="0" b="0"/>
            <wp:wrapNone/>
            <wp:docPr id="38" name="Picture 38" descr="Brisbane City not long after sunrise, as seen over the river. The tower at 1 William Street is the focal point, with the Riverside Expressway in front and cranes visible at a building site in the left of the fra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Brisbane City not long after sunrise, as seen over the river. The tower at 1 William Street is the focal point, with the Riverside Expressway in front and cranes visible at a building site in the left of the frame. "/>
                    <pic:cNvPicPr/>
                  </pic:nvPicPr>
                  <pic:blipFill rotWithShape="1">
                    <a:blip r:embed="rId27" cstate="print">
                      <a:extLst>
                        <a:ext uri="{28A0092B-C50C-407E-A947-70E740481C1C}">
                          <a14:useLocalDpi xmlns:a14="http://schemas.microsoft.com/office/drawing/2010/main" val="0"/>
                        </a:ext>
                      </a:extLst>
                    </a:blip>
                    <a:srcRect l="6731" t="4365" r="2321" b="8997"/>
                    <a:stretch/>
                  </pic:blipFill>
                  <pic:spPr bwMode="auto">
                    <a:xfrm>
                      <a:off x="0" y="0"/>
                      <a:ext cx="7472435" cy="10677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87917" w:rsidRPr="00CA5DA3">
        <w:rPr>
          <w:noProof/>
          <w:color w:val="2B579A"/>
          <w:shd w:val="clear" w:color="auto" w:fill="E6E6E6"/>
          <w:lang w:eastAsia="en-AU"/>
        </w:rPr>
        <w:drawing>
          <wp:anchor distT="0" distB="0" distL="114300" distR="114300" simplePos="0" relativeHeight="251658262" behindDoc="1" locked="0" layoutInCell="1" allowOverlap="1" wp14:anchorId="390D7529" wp14:editId="2B71D97A">
            <wp:simplePos x="0" y="0"/>
            <wp:positionH relativeFrom="page">
              <wp:posOffset>7251700</wp:posOffset>
            </wp:positionH>
            <wp:positionV relativeFrom="paragraph">
              <wp:posOffset>-910590</wp:posOffset>
            </wp:positionV>
            <wp:extent cx="370205" cy="10725150"/>
            <wp:effectExtent l="0" t="0" r="0" b="0"/>
            <wp:wrapNone/>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a:extLst>
                        <a:ext uri="{C183D7F6-B498-43B3-948B-1728B52AA6E4}">
                          <adec:decorative xmlns:adec="http://schemas.microsoft.com/office/drawing/2017/decorative" val="1"/>
                        </a:ext>
                      </a:extLs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0205" cy="10725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38482C" w14:textId="39474E70" w:rsidR="00065245" w:rsidRDefault="00065245" w:rsidP="002D3CF1"/>
    <w:p w14:paraId="05AB5632" w14:textId="70A2B276" w:rsidR="00065245" w:rsidRDefault="00065245" w:rsidP="002D3CF1"/>
    <w:p w14:paraId="0F2FBC73" w14:textId="53A4D03A" w:rsidR="00065245" w:rsidRDefault="00065245" w:rsidP="002D3CF1"/>
    <w:p w14:paraId="5418E566" w14:textId="77777777" w:rsidR="00065245" w:rsidRDefault="00065245" w:rsidP="002D3CF1"/>
    <w:p w14:paraId="5015855E" w14:textId="77777777" w:rsidR="00065245" w:rsidRDefault="00065245" w:rsidP="002D3CF1"/>
    <w:p w14:paraId="6DC7A764" w14:textId="1787CD29" w:rsidR="00065245" w:rsidRDefault="00065245" w:rsidP="002D3CF1"/>
    <w:p w14:paraId="73F0F52B" w14:textId="77777777" w:rsidR="00065245" w:rsidRDefault="00065245" w:rsidP="002D3CF1"/>
    <w:p w14:paraId="089302C1" w14:textId="77777777" w:rsidR="00065245" w:rsidRDefault="00065245" w:rsidP="002D3CF1"/>
    <w:p w14:paraId="66F6DC38" w14:textId="77777777" w:rsidR="00065245" w:rsidRDefault="00065245" w:rsidP="002D3CF1"/>
    <w:p w14:paraId="5640D31B" w14:textId="77777777" w:rsidR="00065245" w:rsidRDefault="00065245" w:rsidP="002D3CF1"/>
    <w:p w14:paraId="4C8760BD" w14:textId="77777777" w:rsidR="00065245" w:rsidRDefault="00065245" w:rsidP="002D3CF1"/>
    <w:p w14:paraId="6477F0B7" w14:textId="77777777" w:rsidR="00065245" w:rsidRDefault="00065245" w:rsidP="002D3CF1"/>
    <w:p w14:paraId="75652C53" w14:textId="77777777" w:rsidR="00065245" w:rsidRDefault="00065245" w:rsidP="002D3CF1"/>
    <w:p w14:paraId="2657774F" w14:textId="0DDC4A8C" w:rsidR="002D3CF1" w:rsidRDefault="00CA5DA3" w:rsidP="002D3CF1">
      <w:r w:rsidRPr="00CA5DA3">
        <w:rPr>
          <w:noProof/>
          <w:color w:val="2B579A"/>
          <w:shd w:val="clear" w:color="auto" w:fill="E6E6E6"/>
          <w:lang w:eastAsia="en-AU"/>
        </w:rPr>
        <mc:AlternateContent>
          <mc:Choice Requires="wps">
            <w:drawing>
              <wp:anchor distT="0" distB="0" distL="114300" distR="114300" simplePos="0" relativeHeight="251658254" behindDoc="1" locked="0" layoutInCell="1" allowOverlap="1" wp14:anchorId="0939A891" wp14:editId="49B0D870">
                <wp:simplePos x="0" y="0"/>
                <wp:positionH relativeFrom="page">
                  <wp:posOffset>-35626</wp:posOffset>
                </wp:positionH>
                <wp:positionV relativeFrom="paragraph">
                  <wp:posOffset>363525</wp:posOffset>
                </wp:positionV>
                <wp:extent cx="6080166" cy="723900"/>
                <wp:effectExtent l="0" t="0" r="0" b="0"/>
                <wp:wrapNone/>
                <wp:docPr id="24" name="Rectangle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66" cy="723900"/>
                        </a:xfrm>
                        <a:prstGeom prst="rect">
                          <a:avLst/>
                        </a:prstGeom>
                        <a:solidFill>
                          <a:srgbClr val="8D361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C338010" id="Rectangle 24" o:spid="_x0000_s1026" alt="&quot;&quot;" style="position:absolute;margin-left:-2.8pt;margin-top:28.6pt;width:478.75pt;height:57pt;z-index:-25165822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" fillcolor="#8d361e" stroked="f" strokeweight="1pt">
                <w10:wrap anchorx="page"/>
              </v:rect>
            </w:pict>
          </mc:Fallback>
        </mc:AlternateContent>
      </w:r>
    </w:p>
    <w:bookmarkStart w:id="453" w:name="_Toc117697169"/>
    <w:bookmarkStart w:id="454" w:name="_Toc147757316"/>
    <w:bookmarkStart w:id="455" w:name="_Toc148086937"/>
    <w:p w14:paraId="594BA2A1" w14:textId="7C4F6B82" w:rsidR="00293EB9" w:rsidRDefault="00065245" w:rsidP="00FF49F6">
      <w:pPr>
        <w:pStyle w:val="Sectiontitle"/>
      </w:pPr>
      <w:r w:rsidRPr="002D3CF1">
        <w:rPr>
          <w:noProof/>
          <w:color w:val="2B579A"/>
          <w:shd w:val="clear" w:color="auto" w:fill="E6E6E6"/>
          <w:lang w:eastAsia="en-AU"/>
        </w:rPr>
        <mc:AlternateContent>
          <mc:Choice Requires="wps">
            <w:drawing>
              <wp:anchor distT="0" distB="0" distL="114300" distR="114300" simplePos="0" relativeHeight="251658253" behindDoc="1" locked="0" layoutInCell="1" allowOverlap="1" wp14:anchorId="713F2144" wp14:editId="72327417">
                <wp:simplePos x="0" y="0"/>
                <wp:positionH relativeFrom="page">
                  <wp:posOffset>-35560</wp:posOffset>
                </wp:positionH>
                <wp:positionV relativeFrom="paragraph">
                  <wp:posOffset>850900</wp:posOffset>
                </wp:positionV>
                <wp:extent cx="5676405" cy="723900"/>
                <wp:effectExtent l="0" t="0" r="635" b="0"/>
                <wp:wrapNone/>
                <wp:docPr id="23" name="Rectangle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76405" cy="723900"/>
                        </a:xfrm>
                        <a:prstGeom prst="rect">
                          <a:avLst/>
                        </a:prstGeom>
                        <a:solidFill>
                          <a:srgbClr val="8D361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02CFBDC" id="Rectangle 23" o:spid="_x0000_s1026" alt="&quot;&quot;" style="position:absolute;margin-left:-2.8pt;margin-top:67pt;width:446.95pt;height:57pt;z-index:-25165822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" fillcolor="#8d361e" stroked="f" strokeweight="1pt">
                <w10:wrap anchorx="page"/>
              </v:rect>
            </w:pict>
          </mc:Fallback>
        </mc:AlternateContent>
      </w:r>
      <w:r w:rsidR="00FF49F6">
        <w:t>Human rights and the public sector</w:t>
      </w:r>
      <w:bookmarkEnd w:id="452"/>
      <w:bookmarkEnd w:id="453"/>
      <w:bookmarkEnd w:id="454"/>
      <w:bookmarkEnd w:id="455"/>
    </w:p>
    <w:p w14:paraId="6CAA4EA0" w14:textId="4981060C" w:rsidR="00293EB9" w:rsidRDefault="00293EB9" w:rsidP="005568E3"/>
    <w:p w14:paraId="1D329366" w14:textId="6DC81DF2" w:rsidR="00FF49F6" w:rsidRDefault="00FF49F6">
      <w:pPr>
        <w:spacing w:after="160" w:line="259" w:lineRule="auto"/>
        <w:ind w:right="0"/>
      </w:pPr>
      <w:r>
        <w:br w:type="page"/>
      </w:r>
    </w:p>
    <w:p w14:paraId="43F76E42" w14:textId="77777777" w:rsidR="00425A3F" w:rsidRPr="00065245" w:rsidRDefault="00425A3F" w:rsidP="00425A3F">
      <w:pPr>
        <w:pStyle w:val="Heading1"/>
        <w:rPr>
          <w:color w:val="8D361E"/>
        </w:rPr>
      </w:pPr>
      <w:bookmarkStart w:id="456" w:name="_Toc84593886"/>
      <w:bookmarkStart w:id="457" w:name="_Toc85451763"/>
      <w:bookmarkStart w:id="458" w:name="_Toc85526693"/>
      <w:bookmarkStart w:id="459" w:name="_Toc85787108"/>
      <w:bookmarkStart w:id="460" w:name="_Toc950085686"/>
      <w:bookmarkStart w:id="461" w:name="_Toc117697170"/>
      <w:bookmarkStart w:id="462" w:name="_Toc147757317"/>
      <w:bookmarkStart w:id="463" w:name="_Toc148086938"/>
      <w:r w:rsidRPr="00065245">
        <w:rPr>
          <w:color w:val="8D361E"/>
        </w:rPr>
        <w:t>Obligations on public entities</w:t>
      </w:r>
      <w:bookmarkEnd w:id="456"/>
      <w:bookmarkEnd w:id="457"/>
      <w:bookmarkEnd w:id="458"/>
      <w:bookmarkEnd w:id="459"/>
      <w:bookmarkEnd w:id="460"/>
      <w:bookmarkEnd w:id="461"/>
      <w:bookmarkEnd w:id="462"/>
      <w:bookmarkEnd w:id="463"/>
    </w:p>
    <w:p w14:paraId="651ED47A" w14:textId="6D225AA4" w:rsidR="00595A2F" w:rsidRPr="00595A2F" w:rsidRDefault="00425A3F" w:rsidP="00F01328">
      <w:r w:rsidRPr="008A00EB">
        <w:t xml:space="preserve">Public entities have obligations to act and make decisions in a way that is compatible with human rights. </w:t>
      </w:r>
      <w:r>
        <w:t xml:space="preserve">This section provides an update on how </w:t>
      </w:r>
      <w:r w:rsidR="00EE2BD2">
        <w:t>the Human Rights Act</w:t>
      </w:r>
      <w:r>
        <w:t xml:space="preserve"> is making an impact on state public entities, councils, tertiary institutions and functional public entities.</w:t>
      </w:r>
    </w:p>
    <w:p w14:paraId="7F56DF7A" w14:textId="34AB6E88" w:rsidR="008649FE" w:rsidRPr="00415D1E" w:rsidRDefault="008649FE" w:rsidP="008649FE">
      <w:pPr>
        <w:pStyle w:val="Heading1"/>
        <w:rPr>
          <w:color w:val="8D361E"/>
        </w:rPr>
      </w:pPr>
      <w:bookmarkStart w:id="464" w:name="_Toc84593889"/>
      <w:bookmarkStart w:id="465" w:name="_Toc85451766"/>
      <w:bookmarkStart w:id="466" w:name="_Toc85526696"/>
      <w:bookmarkStart w:id="467" w:name="_Toc85787111"/>
      <w:bookmarkStart w:id="468" w:name="_Toc1285346562"/>
      <w:bookmarkStart w:id="469" w:name="_Toc117697171"/>
      <w:bookmarkStart w:id="470" w:name="_Toc147757318"/>
      <w:bookmarkStart w:id="471" w:name="_Toc148086939"/>
      <w:r w:rsidRPr="00415D1E">
        <w:rPr>
          <w:color w:val="8D361E"/>
        </w:rPr>
        <w:t>Developing a human rights culture</w:t>
      </w:r>
      <w:bookmarkEnd w:id="464"/>
      <w:bookmarkEnd w:id="465"/>
      <w:bookmarkEnd w:id="466"/>
      <w:bookmarkEnd w:id="467"/>
      <w:bookmarkEnd w:id="468"/>
      <w:bookmarkEnd w:id="469"/>
      <w:bookmarkEnd w:id="470"/>
      <w:bookmarkEnd w:id="471"/>
    </w:p>
    <w:p w14:paraId="42C85869" w14:textId="2022E05E" w:rsidR="008649FE" w:rsidRDefault="008649FE" w:rsidP="008649FE">
      <w:r>
        <w:t xml:space="preserve">The </w:t>
      </w:r>
      <w:r>
        <w:rPr>
          <w:i/>
        </w:rPr>
        <w:t>Human Rights Act 2019</w:t>
      </w:r>
      <w:r>
        <w:t xml:space="preserve"> </w:t>
      </w:r>
      <w:r w:rsidR="00AA19A5">
        <w:t>aims to</w:t>
      </w:r>
      <w:r>
        <w:t xml:space="preserve"> </w:t>
      </w:r>
      <w:r w:rsidR="00921B12">
        <w:t>develop</w:t>
      </w:r>
      <w:r>
        <w:t xml:space="preserve"> a human rights culture in the Queensland public sector, where the human rights of individual people are respected and promoted.</w:t>
      </w:r>
    </w:p>
    <w:p w14:paraId="1AF48F2F" w14:textId="77777777" w:rsidR="008649FE" w:rsidRPr="00415D1E" w:rsidRDefault="008649FE" w:rsidP="008649FE">
      <w:pPr>
        <w:pStyle w:val="Heading2"/>
        <w:rPr>
          <w:color w:val="8D361E"/>
        </w:rPr>
      </w:pPr>
      <w:bookmarkStart w:id="472" w:name="_Toc56451588"/>
      <w:bookmarkStart w:id="473" w:name="_Toc56452162"/>
      <w:bookmarkStart w:id="474" w:name="_Toc84593890"/>
      <w:bookmarkStart w:id="475" w:name="_Toc85451767"/>
      <w:bookmarkStart w:id="476" w:name="_Toc85526697"/>
      <w:bookmarkStart w:id="477" w:name="_Toc85787112"/>
      <w:bookmarkStart w:id="478" w:name="_Toc100342780"/>
      <w:bookmarkStart w:id="479" w:name="_Toc117697172"/>
      <w:bookmarkStart w:id="480" w:name="_Toc117697879"/>
      <w:bookmarkStart w:id="481" w:name="_Toc147757319"/>
      <w:bookmarkStart w:id="482" w:name="_Toc148086940"/>
      <w:r w:rsidRPr="00415D1E">
        <w:rPr>
          <w:color w:val="8D361E"/>
        </w:rPr>
        <w:t>Cascading culture change model</w:t>
      </w:r>
      <w:bookmarkEnd w:id="472"/>
      <w:bookmarkEnd w:id="473"/>
      <w:bookmarkEnd w:id="474"/>
      <w:bookmarkEnd w:id="475"/>
      <w:bookmarkEnd w:id="476"/>
      <w:bookmarkEnd w:id="477"/>
      <w:bookmarkEnd w:id="478"/>
      <w:bookmarkEnd w:id="479"/>
      <w:bookmarkEnd w:id="480"/>
      <w:bookmarkEnd w:id="481"/>
      <w:bookmarkEnd w:id="482"/>
    </w:p>
    <w:p w14:paraId="3325CC27" w14:textId="5B62BB74" w:rsidR="008649FE" w:rsidRDefault="00943E5D" w:rsidP="008649FE">
      <w:r>
        <w:t>The</w:t>
      </w:r>
      <w:r w:rsidR="008649FE">
        <w:t xml:space="preserve"> Commission </w:t>
      </w:r>
      <w:r>
        <w:t xml:space="preserve">has </w:t>
      </w:r>
      <w:r w:rsidR="00100F8E">
        <w:t>developed</w:t>
      </w:r>
      <w:r w:rsidR="008649FE">
        <w:t xml:space="preserve"> the cascading culture change model </w:t>
      </w:r>
      <w:r>
        <w:t xml:space="preserve">to illustrate </w:t>
      </w:r>
      <w:r w:rsidR="00307BDC">
        <w:t>how</w:t>
      </w:r>
      <w:r w:rsidR="008649FE">
        <w:t xml:space="preserve"> human rights culture </w:t>
      </w:r>
      <w:r w:rsidR="008649FE" w:rsidRPr="008A00EB">
        <w:t>starts with legislation and flows down</w:t>
      </w:r>
      <w:r w:rsidR="008649FE">
        <w:t xml:space="preserve"> through regulations, policies, procedures, and services through to</w:t>
      </w:r>
      <w:r w:rsidR="008649FE" w:rsidRPr="008A00EB">
        <w:t xml:space="preserve"> the individual</w:t>
      </w:r>
      <w:r w:rsidR="008649FE">
        <w:t>.</w:t>
      </w:r>
    </w:p>
    <w:p w14:paraId="4C15B1FC" w14:textId="77777777" w:rsidR="008649FE" w:rsidRDefault="008649FE" w:rsidP="008649FE">
      <w:pPr>
        <w:pStyle w:val="Caption"/>
      </w:pPr>
      <w:r w:rsidRPr="001D5577">
        <w:t>Figure 3</w:t>
      </w:r>
      <w:r w:rsidRPr="00DB29EA">
        <w:t xml:space="preserve">: Cascading culture change model </w:t>
      </w:r>
    </w:p>
    <w:p w14:paraId="7E551DDD" w14:textId="75B276B4" w:rsidR="00006044" w:rsidRDefault="00A21FB4" w:rsidP="00621A84">
      <w:r>
        <w:rPr>
          <w:noProof/>
          <w:color w:val="2B579A"/>
          <w:shd w:val="clear" w:color="auto" w:fill="E6E6E6"/>
          <w:lang w:eastAsia="en-AU"/>
        </w:rPr>
        <w:drawing>
          <wp:inline distT="0" distB="0" distL="0" distR="0" wp14:anchorId="495825F0" wp14:editId="6F32C3A5">
            <wp:extent cx="5731510" cy="2538095"/>
            <wp:effectExtent l="0" t="0" r="2540" b="0"/>
            <wp:docPr id="29" name="Picture 29" descr="Figure 3: Cascading culture change model&#10;&#10;This diagram shows the cascading culture change model of human rights, where change flows from legislation through regulations, policies, procedures and service delivery to individual members of the community. &#10;&#10;The diagram shows a series of six rectangles stepping downward from the top left corner of the image to the bottom right. Each has an arrow curving down to the rectangle below it, to demonstrate the flow of change. From top to bottom these rectangles are labelled in white text: Legislation (navy rectangle), Regulations (blue), Policies (aqua), Procedures (gold), Service Delivery (orange), and a brown box at the bottom contains white people icons to represent the community. &#10;&#10;Down the left hand side of the image is a grey rectangle which says Leadership. Grey arrows extend from this to each of the top five boxes of the cascade, to demonstrate that leadership is needed at each level to champion human rights culture chan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Figure 3: Cascading culture change model&#10;&#10;This diagram shows the cascading culture change model of human rights, where change flows from legislation through regulations, policies, procedures and service delivery to individual members of the community. &#10;&#10;The diagram shows a series of six rectangles stepping downward from the top left corner of the image to the bottom right. Each has an arrow curving down to the rectangle below it, to demonstrate the flow of change. From top to bottom these rectangles are labelled in white text: Legislation (navy rectangle), Regulations (blue), Policies (aqua), Procedures (gold), Service Delivery (orange), and a brown box at the bottom contains white people icons to represent the community. &#10;&#10;Down the left hand side of the image is a grey rectangle which says Leadership. Grey arrows extend from this to each of the top five boxes of the cascade, to demonstrate that leadership is needed at each level to champion human rights culture change. "/>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1510" cy="2538095"/>
                    </a:xfrm>
                    <a:prstGeom prst="rect">
                      <a:avLst/>
                    </a:prstGeom>
                  </pic:spPr>
                </pic:pic>
              </a:graphicData>
            </a:graphic>
          </wp:inline>
        </w:drawing>
      </w:r>
    </w:p>
    <w:p w14:paraId="5D100273" w14:textId="77777777" w:rsidR="00EC5807" w:rsidRDefault="00EC5807" w:rsidP="00EC5807">
      <w:r>
        <w:t xml:space="preserve">The model recognises that unless legislation and regulations are human rights compatible, there will be limited benefit in changing policies and procedures. Similarly, service delivery is unlikely to improve if policies and procedures are not human rights compliant. </w:t>
      </w:r>
      <w:r w:rsidRPr="00016078">
        <w:t>For a human rights culture to develop, strong leadership needs to be present at every stage: at the strategic, operational levels and among individual public sector workers on the front line.</w:t>
      </w:r>
    </w:p>
    <w:p w14:paraId="23A63F62" w14:textId="77777777" w:rsidR="00EC5807" w:rsidRPr="00415D1E" w:rsidRDefault="00EC5807" w:rsidP="00EC5807">
      <w:pPr>
        <w:pStyle w:val="Heading1"/>
        <w:rPr>
          <w:color w:val="8D361E"/>
        </w:rPr>
      </w:pPr>
      <w:bookmarkStart w:id="483" w:name="_Toc84593892"/>
      <w:bookmarkStart w:id="484" w:name="_Toc85451769"/>
      <w:bookmarkStart w:id="485" w:name="_Toc85526699"/>
      <w:bookmarkStart w:id="486" w:name="_Toc85787114"/>
      <w:bookmarkStart w:id="487" w:name="_Toc480851908"/>
      <w:bookmarkStart w:id="488" w:name="_Toc117697173"/>
      <w:bookmarkStart w:id="489" w:name="_Toc147757320"/>
      <w:bookmarkStart w:id="490" w:name="_Toc148086941"/>
      <w:r w:rsidRPr="00415D1E">
        <w:rPr>
          <w:color w:val="8D361E"/>
        </w:rPr>
        <w:t>Indicators of a human rights culture</w:t>
      </w:r>
      <w:bookmarkEnd w:id="483"/>
      <w:bookmarkEnd w:id="484"/>
      <w:bookmarkEnd w:id="485"/>
      <w:bookmarkEnd w:id="486"/>
      <w:bookmarkEnd w:id="487"/>
      <w:bookmarkEnd w:id="488"/>
      <w:bookmarkEnd w:id="489"/>
      <w:bookmarkEnd w:id="490"/>
    </w:p>
    <w:p w14:paraId="3BDA652C" w14:textId="3A5C2607" w:rsidR="00EC5807" w:rsidRDefault="00EC5807" w:rsidP="00805715">
      <w:r>
        <w:t xml:space="preserve">In the first year of </w:t>
      </w:r>
      <w:r w:rsidR="00EE2BD2">
        <w:t>the Human Rights Act</w:t>
      </w:r>
      <w:r w:rsidR="001E61CC">
        <w:t>’s</w:t>
      </w:r>
      <w:r w:rsidR="00480DA5">
        <w:t xml:space="preserve"> oper</w:t>
      </w:r>
      <w:r w:rsidR="0018263D">
        <w:t>ation</w:t>
      </w:r>
      <w:r>
        <w:t>, t</w:t>
      </w:r>
      <w:r w:rsidRPr="008A00EB">
        <w:t xml:space="preserve">he Commission developed a set of 7 </w:t>
      </w:r>
      <w:r>
        <w:t>i</w:t>
      </w:r>
      <w:r w:rsidRPr="008A00EB">
        <w:t>ndicators that identify actions that may further the development of a human rights culture</w:t>
      </w:r>
      <w:r>
        <w:t>, reflecting the</w:t>
      </w:r>
      <w:r w:rsidR="00043753">
        <w:t xml:space="preserve"> elements in the</w:t>
      </w:r>
      <w:r>
        <w:t xml:space="preserve"> Cascading culture change model</w:t>
      </w:r>
      <w:r w:rsidR="00CD5006">
        <w:t>.</w:t>
      </w:r>
      <w:r w:rsidR="002764B6">
        <w:t xml:space="preserve"> </w:t>
      </w:r>
      <w:r w:rsidR="00772F2B">
        <w:t xml:space="preserve">These indicators have become the basis of an annual survey of public entities aimed at evaluating the extent to which the Human Rights Act is influencing the </w:t>
      </w:r>
      <w:r w:rsidR="00043753">
        <w:t>day-to-day</w:t>
      </w:r>
      <w:r w:rsidR="00772F2B">
        <w:t xml:space="preserve"> business of public entities.</w:t>
      </w:r>
    </w:p>
    <w:p w14:paraId="6913BD36" w14:textId="4F9FE59B" w:rsidR="00043753" w:rsidRPr="008A00EB" w:rsidRDefault="00043753" w:rsidP="00805715">
      <w:r>
        <w:t>These indicators are:</w:t>
      </w:r>
    </w:p>
    <w:p w14:paraId="44682944" w14:textId="77777777" w:rsidR="00EC5807" w:rsidRPr="008A00EB" w:rsidRDefault="00EC5807" w:rsidP="00EC5807">
      <w:pPr>
        <w:rPr>
          <w:lang w:val="en-US"/>
        </w:rPr>
      </w:pPr>
      <w:r w:rsidRPr="00F54D35">
        <w:rPr>
          <w:b/>
          <w:color w:val="8D361E"/>
          <w:lang w:val="en-US"/>
        </w:rPr>
        <w:t>Indicator 1:</w:t>
      </w:r>
      <w:r w:rsidRPr="008A00EB">
        <w:rPr>
          <w:lang w:val="en-US"/>
        </w:rPr>
        <w:tab/>
        <w:t>Education and staff development</w:t>
      </w:r>
    </w:p>
    <w:p w14:paraId="6B03FF33" w14:textId="77777777" w:rsidR="00EC5807" w:rsidRPr="008A00EB" w:rsidRDefault="00EC5807" w:rsidP="00EC5807">
      <w:pPr>
        <w:rPr>
          <w:lang w:val="en-US"/>
        </w:rPr>
      </w:pPr>
      <w:r w:rsidRPr="00F54D35">
        <w:rPr>
          <w:b/>
          <w:color w:val="8D361E"/>
          <w:lang w:val="en-US"/>
        </w:rPr>
        <w:t>Indicator 2:</w:t>
      </w:r>
      <w:r w:rsidRPr="008A00EB">
        <w:rPr>
          <w:lang w:val="en-US"/>
        </w:rPr>
        <w:tab/>
        <w:t>Community consultation and engagement about human rights</w:t>
      </w:r>
    </w:p>
    <w:p w14:paraId="13623E24" w14:textId="77777777" w:rsidR="00EC5807" w:rsidRPr="008A00EB" w:rsidRDefault="00EC5807" w:rsidP="00EC5807">
      <w:pPr>
        <w:rPr>
          <w:lang w:val="en-US"/>
        </w:rPr>
      </w:pPr>
      <w:r w:rsidRPr="00F54D35">
        <w:rPr>
          <w:b/>
          <w:color w:val="8D361E"/>
          <w:lang w:val="en-US"/>
        </w:rPr>
        <w:t>Indicator 3:</w:t>
      </w:r>
      <w:r w:rsidRPr="008A00EB">
        <w:rPr>
          <w:lang w:val="en-US"/>
        </w:rPr>
        <w:tab/>
        <w:t>Awareness raising and support for related entities (including functional public entities engaged by the public entities i.e. contractors)</w:t>
      </w:r>
    </w:p>
    <w:p w14:paraId="3AF6B33C" w14:textId="2222D803" w:rsidR="00EC5807" w:rsidRPr="008A00EB" w:rsidRDefault="00EC5807" w:rsidP="00EC5807">
      <w:pPr>
        <w:rPr>
          <w:lang w:val="en-US"/>
        </w:rPr>
      </w:pPr>
      <w:r w:rsidRPr="00F54D35">
        <w:rPr>
          <w:b/>
          <w:color w:val="8D361E"/>
          <w:lang w:val="en-US"/>
        </w:rPr>
        <w:t>Indicator 4:</w:t>
      </w:r>
      <w:r w:rsidRPr="008A00EB">
        <w:rPr>
          <w:lang w:val="en-US"/>
        </w:rPr>
        <w:tab/>
        <w:t>Reviews and development of legislation or subordinate legislation / local laws or subordinate local laws</w:t>
      </w:r>
    </w:p>
    <w:p w14:paraId="2546DB91" w14:textId="77777777" w:rsidR="00EC5807" w:rsidRPr="008A00EB" w:rsidRDefault="00EC5807" w:rsidP="00EC5807">
      <w:pPr>
        <w:rPr>
          <w:lang w:val="en-US"/>
        </w:rPr>
      </w:pPr>
      <w:r w:rsidRPr="00F54D35">
        <w:rPr>
          <w:b/>
          <w:color w:val="8D361E"/>
          <w:lang w:val="en-US"/>
        </w:rPr>
        <w:t>Indicator 5:</w:t>
      </w:r>
      <w:r w:rsidRPr="008A00EB">
        <w:rPr>
          <w:lang w:val="en-US"/>
        </w:rPr>
        <w:tab/>
        <w:t>Review of policies and procedures</w:t>
      </w:r>
    </w:p>
    <w:p w14:paraId="2A620A31" w14:textId="77777777" w:rsidR="00EC5807" w:rsidRPr="008A00EB" w:rsidRDefault="00EC5807" w:rsidP="00EC5807">
      <w:pPr>
        <w:rPr>
          <w:lang w:val="en-US"/>
        </w:rPr>
      </w:pPr>
      <w:r w:rsidRPr="00F54D35">
        <w:rPr>
          <w:b/>
          <w:color w:val="8D361E"/>
          <w:lang w:val="en-US"/>
        </w:rPr>
        <w:t>Indicator 6:</w:t>
      </w:r>
      <w:r w:rsidRPr="008A00EB">
        <w:rPr>
          <w:lang w:val="en-US"/>
        </w:rPr>
        <w:tab/>
        <w:t>Implementation of internal complaint management for human rights complaints</w:t>
      </w:r>
    </w:p>
    <w:p w14:paraId="0E2DBC57" w14:textId="77777777" w:rsidR="00EC5807" w:rsidRDefault="00EC5807" w:rsidP="00EC5807">
      <w:pPr>
        <w:rPr>
          <w:lang w:val="en-US"/>
        </w:rPr>
      </w:pPr>
      <w:r w:rsidRPr="00F54D35">
        <w:rPr>
          <w:b/>
          <w:color w:val="8D361E"/>
          <w:lang w:val="en-US"/>
        </w:rPr>
        <w:t>Indicator 7:</w:t>
      </w:r>
      <w:r w:rsidRPr="008A00EB">
        <w:rPr>
          <w:lang w:val="en-US"/>
        </w:rPr>
        <w:tab/>
        <w:t>Future plans to further the goals of the Act</w:t>
      </w:r>
    </w:p>
    <w:p w14:paraId="3159BBA1" w14:textId="2198EF01" w:rsidR="00CD5006" w:rsidRDefault="00CD5006" w:rsidP="00CD5006">
      <w:r w:rsidRPr="008A00EB">
        <w:t xml:space="preserve">See </w:t>
      </w:r>
      <w:r w:rsidRPr="00976A36">
        <w:rPr>
          <w:i/>
        </w:rPr>
        <w:t>Appendix B</w:t>
      </w:r>
      <w:r>
        <w:rPr>
          <w:i/>
        </w:rPr>
        <w:t xml:space="preserve"> </w:t>
      </w:r>
      <w:r>
        <w:t>of this report</w:t>
      </w:r>
      <w:r w:rsidRPr="008A00EB">
        <w:t xml:space="preserve"> for the full </w:t>
      </w:r>
      <w:r w:rsidRPr="008A00EB">
        <w:rPr>
          <w:i/>
        </w:rPr>
        <w:t>Indicators of a Developing Human Rights Culture</w:t>
      </w:r>
      <w:r>
        <w:rPr>
          <w:i/>
        </w:rPr>
        <w:t xml:space="preserve"> </w:t>
      </w:r>
      <w:r>
        <w:t>including the specific questions asked of public entities</w:t>
      </w:r>
      <w:r w:rsidRPr="008A00EB">
        <w:t>.</w:t>
      </w:r>
    </w:p>
    <w:p w14:paraId="630624A6" w14:textId="637A6264" w:rsidR="00D90C5E" w:rsidRPr="008A00EB" w:rsidRDefault="00043753" w:rsidP="00D90C5E">
      <w:r>
        <w:t xml:space="preserve">In the </w:t>
      </w:r>
      <w:r w:rsidR="004327F1">
        <w:t>fourth</w:t>
      </w:r>
      <w:r>
        <w:t xml:space="preserve"> year of </w:t>
      </w:r>
      <w:r w:rsidR="0022690B">
        <w:t xml:space="preserve">operation of </w:t>
      </w:r>
      <w:r w:rsidR="00EE2BD2">
        <w:t>the Human Rights Act</w:t>
      </w:r>
      <w:r w:rsidR="00772F2B">
        <w:t>, w</w:t>
      </w:r>
      <w:r w:rsidR="00D90C5E" w:rsidRPr="008A00EB">
        <w:t>e</w:t>
      </w:r>
      <w:r>
        <w:t xml:space="preserve"> again</w:t>
      </w:r>
      <w:r w:rsidR="00D90C5E" w:rsidRPr="008A00EB">
        <w:t xml:space="preserve"> used the</w:t>
      </w:r>
      <w:r w:rsidR="00AC4C0F">
        <w:t>se</w:t>
      </w:r>
      <w:r w:rsidR="00D90C5E" w:rsidRPr="008A00EB">
        <w:t xml:space="preserve"> </w:t>
      </w:r>
      <w:r w:rsidR="00AC4C0F">
        <w:t>i</w:t>
      </w:r>
      <w:r w:rsidR="00D90C5E" w:rsidRPr="008A00EB">
        <w:t xml:space="preserve">ndicators to survey </w:t>
      </w:r>
      <w:r w:rsidR="00DC2874">
        <w:t>8</w:t>
      </w:r>
      <w:r w:rsidR="004327F1">
        <w:t xml:space="preserve"> </w:t>
      </w:r>
      <w:r w:rsidR="00D90C5E" w:rsidRPr="008A00EB">
        <w:t>state government public entities</w:t>
      </w:r>
      <w:r w:rsidR="00D90C5E">
        <w:t>,</w:t>
      </w:r>
      <w:r w:rsidR="00D90C5E" w:rsidRPr="008A00EB">
        <w:t xml:space="preserve"> </w:t>
      </w:r>
      <w:r w:rsidR="00D90C5E" w:rsidRPr="005E2662">
        <w:t>selected</w:t>
      </w:r>
      <w:r w:rsidR="00D90C5E" w:rsidRPr="008A00EB">
        <w:t xml:space="preserve"> because of the relevance of their work to the human rights of people in Queensland. These agencies provided responses to questions about the </w:t>
      </w:r>
      <w:r w:rsidR="00DE3CD6">
        <w:t>i</w:t>
      </w:r>
      <w:r w:rsidR="00D90C5E" w:rsidRPr="008A00EB">
        <w:t>ndicators:</w:t>
      </w:r>
    </w:p>
    <w:p w14:paraId="7DB8D509" w14:textId="6968FB2E" w:rsidR="00D90C5E" w:rsidRPr="00E13A80" w:rsidRDefault="0083275C" w:rsidP="00432F57">
      <w:pPr>
        <w:pStyle w:val="Listparagraph-bulleted"/>
      </w:pPr>
      <w:r w:rsidRPr="0083275C">
        <w:t>Department of Child Safety, Seniors and Disability Services</w:t>
      </w:r>
      <w:r w:rsidR="031015F4">
        <w:t xml:space="preserve"> (</w:t>
      </w:r>
      <w:r>
        <w:t>DC</w:t>
      </w:r>
      <w:r w:rsidR="00DC2874">
        <w:t>SSDS</w:t>
      </w:r>
      <w:r w:rsidR="031015F4">
        <w:t>)</w:t>
      </w:r>
    </w:p>
    <w:p w14:paraId="36D1A737" w14:textId="5909C2A9" w:rsidR="00D90C5E" w:rsidRPr="00E13A80" w:rsidRDefault="00D90C5E" w:rsidP="00432F57">
      <w:pPr>
        <w:pStyle w:val="Listparagraph-bulleted"/>
      </w:pPr>
      <w:r w:rsidRPr="00E13A80">
        <w:t xml:space="preserve">Department of </w:t>
      </w:r>
      <w:r w:rsidR="0038167E">
        <w:t>Housing</w:t>
      </w:r>
    </w:p>
    <w:p w14:paraId="2408C704" w14:textId="58839B01" w:rsidR="00D90C5E" w:rsidRPr="00E13A80" w:rsidRDefault="00D90C5E" w:rsidP="00432F57">
      <w:pPr>
        <w:pStyle w:val="Listparagraph-bulleted"/>
      </w:pPr>
      <w:r w:rsidRPr="00E13A80">
        <w:t>Department of Education</w:t>
      </w:r>
      <w:r w:rsidR="3D2384AC">
        <w:t xml:space="preserve"> </w:t>
      </w:r>
    </w:p>
    <w:p w14:paraId="7027A7B6" w14:textId="6827C37E" w:rsidR="00B84F28" w:rsidRDefault="00B84F28" w:rsidP="00432F57">
      <w:pPr>
        <w:pStyle w:val="Listparagraph-bulleted"/>
      </w:pPr>
      <w:r>
        <w:t>Department of Treaty, Aboriginal and Torres Strait Islander Partnerships, Communities and the Arts (DTATSIPCA)</w:t>
      </w:r>
    </w:p>
    <w:p w14:paraId="0654A523" w14:textId="14BB4A8C" w:rsidR="00D90C5E" w:rsidRPr="00E13A80" w:rsidRDefault="00D90C5E" w:rsidP="00432F57">
      <w:pPr>
        <w:pStyle w:val="Listparagraph-bulleted"/>
      </w:pPr>
      <w:r w:rsidRPr="00E13A80">
        <w:t>Queensland Corrective Services</w:t>
      </w:r>
      <w:r w:rsidR="35B871A1">
        <w:t xml:space="preserve"> (QCS)</w:t>
      </w:r>
    </w:p>
    <w:p w14:paraId="784FD6AD" w14:textId="64352381" w:rsidR="00D90C5E" w:rsidRPr="00E13A80" w:rsidRDefault="00D90C5E" w:rsidP="00432F57">
      <w:pPr>
        <w:pStyle w:val="Listparagraph-bulleted"/>
      </w:pPr>
      <w:r w:rsidRPr="00E13A80">
        <w:t>Queensland Health</w:t>
      </w:r>
      <w:r w:rsidR="46BB5A8E">
        <w:t xml:space="preserve"> (QH)</w:t>
      </w:r>
    </w:p>
    <w:p w14:paraId="4A817B96" w14:textId="77777777" w:rsidR="003122AD" w:rsidRDefault="00D90C5E" w:rsidP="00432F57">
      <w:pPr>
        <w:pStyle w:val="Listparagraph-bulleted"/>
      </w:pPr>
      <w:r w:rsidRPr="00E13A80">
        <w:t>Queensland Police Service</w:t>
      </w:r>
      <w:r w:rsidR="6CCDCD65">
        <w:t xml:space="preserve"> (QPS)</w:t>
      </w:r>
    </w:p>
    <w:p w14:paraId="29EB9612" w14:textId="110FA101" w:rsidR="00D90C5E" w:rsidRDefault="003122AD" w:rsidP="00432F57">
      <w:pPr>
        <w:pStyle w:val="Listparagraph-bulleted"/>
      </w:pPr>
      <w:r>
        <w:t xml:space="preserve">Department of Youth Justice, </w:t>
      </w:r>
      <w:r w:rsidR="00D566C9">
        <w:t>Employment, Small Business and Training (</w:t>
      </w:r>
      <w:r w:rsidR="007D1F22">
        <w:t>DYJESBT)</w:t>
      </w:r>
      <w:r w:rsidR="00D90C5E">
        <w:t>.</w:t>
      </w:r>
    </w:p>
    <w:p w14:paraId="03A855AB" w14:textId="77777777" w:rsidR="00DC2874" w:rsidRDefault="00DC2874" w:rsidP="00DC2874">
      <w:pPr>
        <w:pStyle w:val="Listparagraph-bulleted"/>
        <w:numPr>
          <w:ilvl w:val="0"/>
          <w:numId w:val="0"/>
        </w:numPr>
      </w:pPr>
    </w:p>
    <w:p w14:paraId="050117CA" w14:textId="6448A67F" w:rsidR="00DC2874" w:rsidRPr="00E13A80" w:rsidRDefault="00DC2874" w:rsidP="00DC2874">
      <w:pPr>
        <w:pStyle w:val="Listparagraph-bulleted"/>
        <w:numPr>
          <w:ilvl w:val="0"/>
          <w:numId w:val="0"/>
        </w:numPr>
      </w:pPr>
      <w:r>
        <w:t xml:space="preserve">Due to machinery of government changes in </w:t>
      </w:r>
      <w:r w:rsidR="00740E07">
        <w:t>May</w:t>
      </w:r>
      <w:r>
        <w:t xml:space="preserve"> 2023, the makeup of several departments changed, </w:t>
      </w:r>
      <w:r w:rsidR="00D12A33">
        <w:t>making</w:t>
      </w:r>
      <w:r>
        <w:t xml:space="preserve"> it difficult to compare progress </w:t>
      </w:r>
      <w:r w:rsidR="001C5DF4">
        <w:t>with the previous</w:t>
      </w:r>
      <w:r>
        <w:t xml:space="preserve"> year</w:t>
      </w:r>
      <w:r w:rsidR="00CC4D7D">
        <w:t>.</w:t>
      </w:r>
      <w:r w:rsidR="00B77F29">
        <w:t xml:space="preserve"> </w:t>
      </w:r>
      <w:r w:rsidR="008E061C">
        <w:t>The Commission acknowledges that a</w:t>
      </w:r>
      <w:r w:rsidR="00B77F29">
        <w:t xml:space="preserve">s some departments have </w:t>
      </w:r>
      <w:r w:rsidR="00A2612C">
        <w:t xml:space="preserve">only </w:t>
      </w:r>
      <w:r w:rsidR="00B77F29">
        <w:t xml:space="preserve">recently </w:t>
      </w:r>
      <w:r w:rsidR="0023426A">
        <w:t xml:space="preserve">been </w:t>
      </w:r>
      <w:r w:rsidR="00B77F29">
        <w:t xml:space="preserve">formed, </w:t>
      </w:r>
      <w:r w:rsidR="008E061C">
        <w:t>the various work units will take time to work together to consistently identify and record the information required to respond to the indicators.</w:t>
      </w:r>
    </w:p>
    <w:p w14:paraId="4DE907AE" w14:textId="5596AA6F" w:rsidR="00D90C5E" w:rsidRPr="00A37587" w:rsidRDefault="00043753" w:rsidP="00D90C5E">
      <w:r>
        <w:t>We also</w:t>
      </w:r>
      <w:r w:rsidR="00D90C5E" w:rsidRPr="008A00EB">
        <w:t xml:space="preserve"> sought responses from a small cross-section of metropolitan, regional, and remote local governments. Responses to questions about the </w:t>
      </w:r>
      <w:r w:rsidR="00F441FD">
        <w:t>i</w:t>
      </w:r>
      <w:r w:rsidR="00D90C5E" w:rsidRPr="008A00EB">
        <w:t xml:space="preserve">ndicators were provided by the </w:t>
      </w:r>
      <w:r w:rsidR="00D90C5E" w:rsidRPr="00A37587">
        <w:t xml:space="preserve">following </w:t>
      </w:r>
      <w:r w:rsidR="00163B14">
        <w:t>7</w:t>
      </w:r>
      <w:r w:rsidR="00D90C5E">
        <w:t xml:space="preserve"> </w:t>
      </w:r>
      <w:r w:rsidR="00D90C5E" w:rsidRPr="00A37587">
        <w:t xml:space="preserve">councils: </w:t>
      </w:r>
    </w:p>
    <w:p w14:paraId="7FD88190" w14:textId="77777777" w:rsidR="00D90C5E" w:rsidRPr="0060294C" w:rsidRDefault="00D90C5E" w:rsidP="00432F57">
      <w:pPr>
        <w:pStyle w:val="Listparagraph-bulleted"/>
      </w:pPr>
      <w:r w:rsidRPr="0060294C">
        <w:t>Brisbane City Council</w:t>
      </w:r>
    </w:p>
    <w:p w14:paraId="2FEF6BF9" w14:textId="77777777" w:rsidR="00D90C5E" w:rsidRPr="0060294C" w:rsidRDefault="00D90C5E" w:rsidP="00432F57">
      <w:pPr>
        <w:pStyle w:val="Listparagraph-bulleted"/>
      </w:pPr>
      <w:r w:rsidRPr="0060294C">
        <w:t>Ipswich City Council</w:t>
      </w:r>
    </w:p>
    <w:p w14:paraId="6E290081" w14:textId="3D5B3584" w:rsidR="0043097E" w:rsidRPr="00B77F29" w:rsidRDefault="00955DB1" w:rsidP="00432F57">
      <w:pPr>
        <w:pStyle w:val="Listparagraph-bulleted"/>
      </w:pPr>
      <w:r>
        <w:t>Council of City of Gold Coast (City of Gold Coast)</w:t>
      </w:r>
    </w:p>
    <w:p w14:paraId="0F0DF046" w14:textId="09D64355" w:rsidR="00D90C5E" w:rsidRPr="0060294C" w:rsidRDefault="00A30809" w:rsidP="00432F57">
      <w:pPr>
        <w:pStyle w:val="Listparagraph-bulleted"/>
      </w:pPr>
      <w:r w:rsidRPr="0060294C">
        <w:t>Flinders Shire Council</w:t>
      </w:r>
    </w:p>
    <w:p w14:paraId="108CCE11" w14:textId="77777777" w:rsidR="00D90C5E" w:rsidRPr="0060294C" w:rsidRDefault="00D90C5E" w:rsidP="00432F57">
      <w:pPr>
        <w:pStyle w:val="Listparagraph-bulleted"/>
      </w:pPr>
      <w:r w:rsidRPr="0060294C">
        <w:t>Logan City Council</w:t>
      </w:r>
    </w:p>
    <w:p w14:paraId="2B566B18" w14:textId="1A8ACF00" w:rsidR="00163B14" w:rsidRPr="0060294C" w:rsidRDefault="00163B14" w:rsidP="00163B14">
      <w:pPr>
        <w:pStyle w:val="Listparagraph-bulleted"/>
      </w:pPr>
      <w:r>
        <w:t>Mornington Shire Council</w:t>
      </w:r>
    </w:p>
    <w:p w14:paraId="04CA265D" w14:textId="2E204DC6" w:rsidR="00D90C5E" w:rsidRPr="00E06FD8" w:rsidRDefault="00D90C5E" w:rsidP="00432F57">
      <w:pPr>
        <w:pStyle w:val="Listparagraph-bulleted"/>
      </w:pPr>
      <w:r w:rsidRPr="00E06FD8">
        <w:t>Sunshine Coast Council</w:t>
      </w:r>
      <w:r>
        <w:t>.</w:t>
      </w:r>
    </w:p>
    <w:p w14:paraId="5A2E7C80" w14:textId="1C315359" w:rsidR="00D90C5E" w:rsidRDefault="00255FDD" w:rsidP="00D90C5E">
      <w:r>
        <w:t>F</w:t>
      </w:r>
      <w:r w:rsidR="00D90C5E">
        <w:t>ull</w:t>
      </w:r>
      <w:r w:rsidR="00D90C5E" w:rsidRPr="008A00EB">
        <w:t xml:space="preserve"> responses from </w:t>
      </w:r>
      <w:r w:rsidR="008E061C">
        <w:t xml:space="preserve">state and local </w:t>
      </w:r>
      <w:r w:rsidR="00D90C5E" w:rsidRPr="008A00EB">
        <w:t>public entities are not provided below</w:t>
      </w:r>
      <w:r w:rsidR="00324D8E">
        <w:t xml:space="preserve">; </w:t>
      </w:r>
      <w:r w:rsidR="00D90C5E" w:rsidRPr="008A00EB">
        <w:t>rather</w:t>
      </w:r>
      <w:r w:rsidR="00324D8E">
        <w:t>,</w:t>
      </w:r>
      <w:r w:rsidR="00D90C5E" w:rsidRPr="008A00EB">
        <w:t xml:space="preserve"> </w:t>
      </w:r>
      <w:r w:rsidR="00D90C5E">
        <w:t xml:space="preserve">this section contains </w:t>
      </w:r>
      <w:r w:rsidR="00D90C5E" w:rsidRPr="008A00EB">
        <w:t>a general summary and highlights from the informa</w:t>
      </w:r>
      <w:r w:rsidR="00D90C5E">
        <w:t>tion provided to the Commission, furnished with examples.</w:t>
      </w:r>
    </w:p>
    <w:p w14:paraId="5FC49FCE" w14:textId="5C679010" w:rsidR="00C31C54" w:rsidRPr="00A13476" w:rsidRDefault="00C31C54" w:rsidP="00C31C54">
      <w:pPr>
        <w:pStyle w:val="Heading1"/>
        <w:rPr>
          <w:color w:val="8D361E"/>
        </w:rPr>
      </w:pPr>
      <w:bookmarkStart w:id="491" w:name="_Toc1970946746"/>
      <w:bookmarkStart w:id="492" w:name="_Toc117697174"/>
      <w:bookmarkStart w:id="493" w:name="_Toc147757321"/>
      <w:bookmarkStart w:id="494" w:name="_Toc148086942"/>
      <w:r w:rsidRPr="00A13476">
        <w:rPr>
          <w:color w:val="8D361E"/>
        </w:rPr>
        <w:t>State public entities</w:t>
      </w:r>
      <w:bookmarkEnd w:id="491"/>
      <w:bookmarkEnd w:id="492"/>
      <w:bookmarkEnd w:id="493"/>
      <w:bookmarkEnd w:id="494"/>
    </w:p>
    <w:p w14:paraId="031F7B11" w14:textId="0851709B" w:rsidR="00DC08A6" w:rsidRPr="00A13476" w:rsidRDefault="00C31C54" w:rsidP="6700B82E">
      <w:pPr>
        <w:pStyle w:val="Heading2"/>
        <w:rPr>
          <w:color w:val="8D361E"/>
        </w:rPr>
      </w:pPr>
      <w:bookmarkStart w:id="495" w:name="_Toc56451591"/>
      <w:bookmarkStart w:id="496" w:name="_Toc56452165"/>
      <w:bookmarkStart w:id="497" w:name="_Toc84593894"/>
      <w:bookmarkStart w:id="498" w:name="_Toc85451771"/>
      <w:bookmarkStart w:id="499" w:name="_Toc85526701"/>
      <w:bookmarkStart w:id="500" w:name="_Toc85787116"/>
      <w:bookmarkStart w:id="501" w:name="_Toc1413962724"/>
      <w:bookmarkStart w:id="502" w:name="_Toc117697175"/>
      <w:bookmarkStart w:id="503" w:name="_Toc117697882"/>
      <w:bookmarkStart w:id="504" w:name="_Toc147757322"/>
      <w:bookmarkStart w:id="505" w:name="_Toc148086943"/>
      <w:r w:rsidRPr="00A13476">
        <w:rPr>
          <w:color w:val="8D361E"/>
        </w:rPr>
        <w:t>Indicator 1: Education and staff development</w:t>
      </w:r>
      <w:bookmarkEnd w:id="495"/>
      <w:bookmarkEnd w:id="496"/>
      <w:bookmarkEnd w:id="497"/>
      <w:bookmarkEnd w:id="498"/>
      <w:bookmarkEnd w:id="499"/>
      <w:bookmarkEnd w:id="500"/>
      <w:bookmarkEnd w:id="501"/>
      <w:bookmarkEnd w:id="502"/>
      <w:bookmarkEnd w:id="503"/>
      <w:bookmarkEnd w:id="504"/>
      <w:bookmarkEnd w:id="505"/>
    </w:p>
    <w:p w14:paraId="38D65037" w14:textId="26859B77" w:rsidR="25306663" w:rsidRDefault="002B4D76" w:rsidP="25306663">
      <w:r>
        <w:t xml:space="preserve">The Commission </w:t>
      </w:r>
      <w:r w:rsidR="2A63C496">
        <w:t xml:space="preserve">asked state public entities </w:t>
      </w:r>
      <w:r w:rsidR="00ED2BBB">
        <w:t>to report on</w:t>
      </w:r>
      <w:r w:rsidR="2A63C496">
        <w:t xml:space="preserve"> the extent to which awareness </w:t>
      </w:r>
      <w:r w:rsidR="00054B18">
        <w:t xml:space="preserve">about </w:t>
      </w:r>
      <w:r w:rsidR="00EE2BD2">
        <w:t>the Human Rights Act</w:t>
      </w:r>
      <w:r w:rsidR="00C40440">
        <w:t xml:space="preserve"> has been raised with staff</w:t>
      </w:r>
      <w:r w:rsidR="2A63C496">
        <w:t xml:space="preserve">, what education and training has been provided </w:t>
      </w:r>
      <w:r w:rsidR="00054B18">
        <w:t>(</w:t>
      </w:r>
      <w:r w:rsidR="2A63C496">
        <w:t xml:space="preserve">including </w:t>
      </w:r>
      <w:r w:rsidR="0075728D">
        <w:t xml:space="preserve">the </w:t>
      </w:r>
      <w:r w:rsidR="2A63C496">
        <w:t>divisions or work units</w:t>
      </w:r>
      <w:r w:rsidR="00225A99">
        <w:t xml:space="preserve"> involved</w:t>
      </w:r>
      <w:r w:rsidR="00054B18">
        <w:t>)</w:t>
      </w:r>
      <w:r w:rsidR="2A63C496">
        <w:t xml:space="preserve"> and </w:t>
      </w:r>
      <w:r w:rsidR="00CA78F3">
        <w:t>the chosen</w:t>
      </w:r>
      <w:r w:rsidR="2A63C496">
        <w:t xml:space="preserve"> delivery method (online, face-to-face etc). </w:t>
      </w:r>
      <w:r w:rsidR="00170692">
        <w:t>State public entities</w:t>
      </w:r>
      <w:r w:rsidR="00C815F2">
        <w:t xml:space="preserve"> were also</w:t>
      </w:r>
      <w:r w:rsidR="2A63C496">
        <w:t xml:space="preserve"> asked about whether human rights content has been incorporated into induction training and ongoing professional development for staff</w:t>
      </w:r>
      <w:r w:rsidR="00D16105">
        <w:t xml:space="preserve">, and </w:t>
      </w:r>
      <w:r w:rsidR="2A63C496">
        <w:t xml:space="preserve">whether examples </w:t>
      </w:r>
      <w:r w:rsidR="00166080">
        <w:t xml:space="preserve">were </w:t>
      </w:r>
      <w:r w:rsidR="2A63C496">
        <w:t>provided to tailor training to the context.</w:t>
      </w:r>
    </w:p>
    <w:p w14:paraId="6188BC87" w14:textId="17C57B70" w:rsidR="00FD4AD3" w:rsidRPr="00FD4AD3" w:rsidRDefault="00FD4AD3" w:rsidP="00FD4AD3">
      <w:pPr>
        <w:pStyle w:val="Heading3"/>
        <w:rPr>
          <w:color w:val="8D361E"/>
        </w:rPr>
      </w:pPr>
      <w:r w:rsidRPr="00FD4AD3">
        <w:rPr>
          <w:color w:val="8D361E"/>
        </w:rPr>
        <w:t xml:space="preserve">Awareness and </w:t>
      </w:r>
      <w:r>
        <w:rPr>
          <w:color w:val="8D361E"/>
        </w:rPr>
        <w:t>e</w:t>
      </w:r>
      <w:r w:rsidRPr="00FD4AD3">
        <w:rPr>
          <w:color w:val="8D361E"/>
        </w:rPr>
        <w:t>ducation</w:t>
      </w:r>
    </w:p>
    <w:p w14:paraId="6327DCAE" w14:textId="2DAC280D" w:rsidR="00203E8E" w:rsidRDefault="001A49AF" w:rsidP="00FD4AD3">
      <w:r>
        <w:t xml:space="preserve">Now the Act is in </w:t>
      </w:r>
      <w:r w:rsidR="009A7FA1">
        <w:t>its</w:t>
      </w:r>
      <w:r>
        <w:t xml:space="preserve"> fourth year</w:t>
      </w:r>
      <w:r w:rsidR="009A7FA1">
        <w:t xml:space="preserve"> of operation</w:t>
      </w:r>
      <w:r>
        <w:t>, m</w:t>
      </w:r>
      <w:r w:rsidR="00FD4AD3">
        <w:t>ost departments have implemented online training modules and dedicated intranet resources to raise staff awareness about the Human Rights Act.</w:t>
      </w:r>
      <w:r w:rsidR="000F6EEE">
        <w:t xml:space="preserve"> </w:t>
      </w:r>
      <w:r w:rsidR="00B505DA">
        <w:t>For example, state government entities reported</w:t>
      </w:r>
      <w:r w:rsidR="00203E8E">
        <w:t>:</w:t>
      </w:r>
    </w:p>
    <w:p w14:paraId="3059F270" w14:textId="615227F3" w:rsidR="00203E8E" w:rsidRDefault="00FD4AD3" w:rsidP="00203E8E">
      <w:pPr>
        <w:pStyle w:val="Listparagraph-bulleted"/>
      </w:pPr>
      <w:r>
        <w:t>The Department of Health offers an interactive human rights training module</w:t>
      </w:r>
      <w:r w:rsidR="00A607D9">
        <w:t xml:space="preserve"> to department staff and staff in Hospital and Health services</w:t>
      </w:r>
      <w:r>
        <w:t>.</w:t>
      </w:r>
      <w:r w:rsidR="001E2737" w:rsidRPr="001E2737">
        <w:t xml:space="preserve"> </w:t>
      </w:r>
    </w:p>
    <w:p w14:paraId="61DB3E85" w14:textId="77777777" w:rsidR="00DD7B58" w:rsidRDefault="001E2737" w:rsidP="00FD4AD3">
      <w:pPr>
        <w:pStyle w:val="Listparagraph-bulleted"/>
      </w:pPr>
      <w:r w:rsidRPr="001E2737">
        <w:t xml:space="preserve">The Department of Education </w:t>
      </w:r>
      <w:r>
        <w:t>emphasi</w:t>
      </w:r>
      <w:r w:rsidR="00244D11">
        <w:t>s</w:t>
      </w:r>
      <w:r>
        <w:t>es</w:t>
      </w:r>
      <w:r w:rsidRPr="001E2737">
        <w:t xml:space="preserve"> staff education through online training, with a focus on maintaining resources for all employees.</w:t>
      </w:r>
    </w:p>
    <w:p w14:paraId="13290066" w14:textId="772F04E2" w:rsidR="005362AE" w:rsidRDefault="006F4881" w:rsidP="00FD4AD3">
      <w:pPr>
        <w:pStyle w:val="Listparagraph-bulleted"/>
      </w:pPr>
      <w:r>
        <w:t xml:space="preserve">The </w:t>
      </w:r>
      <w:r w:rsidR="005362AE">
        <w:t>Queensland Police Service</w:t>
      </w:r>
      <w:r w:rsidR="005362AE" w:rsidRPr="005362AE">
        <w:t xml:space="preserve"> has a dedicated </w:t>
      </w:r>
      <w:r w:rsidR="00F04249">
        <w:t>h</w:t>
      </w:r>
      <w:r w:rsidR="005362AE">
        <w:t xml:space="preserve">uman </w:t>
      </w:r>
      <w:r w:rsidR="00F04249">
        <w:t>r</w:t>
      </w:r>
      <w:r w:rsidR="005362AE">
        <w:t xml:space="preserve">ights </w:t>
      </w:r>
      <w:r w:rsidR="005362AE" w:rsidRPr="005362AE">
        <w:t>page on their intranet</w:t>
      </w:r>
      <w:r w:rsidR="004A197A">
        <w:t xml:space="preserve"> –</w:t>
      </w:r>
      <w:r w:rsidR="005362AE" w:rsidRPr="005362AE">
        <w:t xml:space="preserve"> the QPS Bulletin Board</w:t>
      </w:r>
      <w:r w:rsidR="004A197A">
        <w:t xml:space="preserve"> –</w:t>
      </w:r>
      <w:r w:rsidR="005362AE" w:rsidRPr="005362AE">
        <w:t xml:space="preserve"> </w:t>
      </w:r>
      <w:r w:rsidR="004A197A">
        <w:t xml:space="preserve">that </w:t>
      </w:r>
      <w:r w:rsidR="005362AE">
        <w:t>provid</w:t>
      </w:r>
      <w:r w:rsidR="004A197A">
        <w:t>es</w:t>
      </w:r>
      <w:r w:rsidR="005362AE" w:rsidRPr="005362AE">
        <w:t xml:space="preserve"> information on applying human rights principles in decision-making. They also have a 'Human Rights Community of Practice' on Workplace, fostering discussion and sharing of updates related to human rights.</w:t>
      </w:r>
    </w:p>
    <w:p w14:paraId="31ABE053" w14:textId="027EF267" w:rsidR="002A7A0C" w:rsidRDefault="002A7A0C" w:rsidP="00FD4AD3">
      <w:pPr>
        <w:pStyle w:val="Listparagraph-bulleted"/>
      </w:pPr>
      <w:r>
        <w:t xml:space="preserve">The Department of Housing’s </w:t>
      </w:r>
      <w:r w:rsidRPr="002A7A0C">
        <w:t xml:space="preserve">Director-General </w:t>
      </w:r>
      <w:r>
        <w:t>promoted the Act</w:t>
      </w:r>
      <w:r w:rsidR="00B505DA">
        <w:t xml:space="preserve"> to all staff, </w:t>
      </w:r>
      <w:r w:rsidRPr="002A7A0C">
        <w:t xml:space="preserve">reinforcing responsibilities under the </w:t>
      </w:r>
      <w:r w:rsidR="00B505DA">
        <w:t>A</w:t>
      </w:r>
      <w:r w:rsidRPr="002A7A0C">
        <w:t xml:space="preserve">ct and promoting the new suite of human rights resources available on the </w:t>
      </w:r>
      <w:r w:rsidR="00B505DA">
        <w:t>intranet</w:t>
      </w:r>
      <w:r w:rsidRPr="002A7A0C">
        <w:t xml:space="preserve">.  </w:t>
      </w:r>
    </w:p>
    <w:p w14:paraId="6AA741F9" w14:textId="38D08E90" w:rsidR="00544A78" w:rsidRDefault="00544A78" w:rsidP="00FD4AD3">
      <w:r>
        <w:t>Human Rights Week was celebrated by state government entities, such as Youth Justice (in DYJESBT), who promot</w:t>
      </w:r>
      <w:r w:rsidR="0051616E">
        <w:t>ed</w:t>
      </w:r>
      <w:r>
        <w:t xml:space="preserve"> human rights messages </w:t>
      </w:r>
      <w:r w:rsidR="003151AF">
        <w:t>on the</w:t>
      </w:r>
      <w:r w:rsidR="0038470D">
        <w:t>ir</w:t>
      </w:r>
      <w:r w:rsidR="003151AF">
        <w:t xml:space="preserve"> intranet, in a </w:t>
      </w:r>
      <w:r>
        <w:t>Director-General’s message, email signature blocks, office posters</w:t>
      </w:r>
      <w:r w:rsidR="0038470D">
        <w:t>,</w:t>
      </w:r>
      <w:r>
        <w:t xml:space="preserve"> and an information session for central office staff focused on First Nations cultural rights.</w:t>
      </w:r>
      <w:r w:rsidR="000502B2" w:rsidRPr="000502B2">
        <w:t xml:space="preserve"> DTATSIPCA promoted the week internally and externally, promoting discussion among staff, and Department of Housing</w:t>
      </w:r>
      <w:r w:rsidR="000502B2">
        <w:t xml:space="preserve"> distributed screensavers with human rights messaging to their staff.</w:t>
      </w:r>
    </w:p>
    <w:p w14:paraId="74057E27" w14:textId="3080A7E0" w:rsidR="007246FF" w:rsidRDefault="00866D8C" w:rsidP="00FD4AD3">
      <w:r>
        <w:t>Some departments also continued to host communities of practice</w:t>
      </w:r>
      <w:r w:rsidR="0054108F">
        <w:t xml:space="preserve"> or human rights champion networks</w:t>
      </w:r>
      <w:r>
        <w:t>.</w:t>
      </w:r>
      <w:r w:rsidR="00B265A4">
        <w:t xml:space="preserve"> </w:t>
      </w:r>
      <w:r w:rsidR="007246FF">
        <w:t xml:space="preserve">Department of Housing reported that their Human Rights Continuous Improvement Network met 5 times in the reporting period, </w:t>
      </w:r>
      <w:r w:rsidR="00262E8D">
        <w:t>in each case focussing on specific rights to provide an ‘in-depth understanding of the rights protected…as well as practical examples of how the rights have been applied in courts and decision-making.’ Presentations focussed on property rights, privacy and reputation, families and children, cultural rights of Aboriginal and Torres Strait Islander peoples and right to liberty and security of the person.</w:t>
      </w:r>
      <w:r w:rsidR="0009381B">
        <w:t xml:space="preserve"> </w:t>
      </w:r>
    </w:p>
    <w:p w14:paraId="28E6BB35" w14:textId="77777777" w:rsidR="00B96F5C" w:rsidRDefault="00B96F5C" w:rsidP="00B96F5C">
      <w:pPr>
        <w:pStyle w:val="Heading3"/>
        <w:rPr>
          <w:color w:val="8D361E"/>
        </w:rPr>
      </w:pPr>
      <w:r>
        <w:rPr>
          <w:color w:val="8D361E"/>
        </w:rPr>
        <w:t>Training method</w:t>
      </w:r>
    </w:p>
    <w:p w14:paraId="36A89A66" w14:textId="01B57BEA" w:rsidR="00B96F5C" w:rsidRDefault="00B96F5C" w:rsidP="00B96F5C">
      <w:r>
        <w:t>T</w:t>
      </w:r>
      <w:r w:rsidRPr="00243840">
        <w:t>he training methods employed by departments include a combination of online training, face-to-face training, and, in some cases, a mix of both</w:t>
      </w:r>
      <w:r>
        <w:t>.</w:t>
      </w:r>
    </w:p>
    <w:p w14:paraId="7D381318" w14:textId="4FBA5157" w:rsidR="00B96F5C" w:rsidRDefault="00B96F5C" w:rsidP="00B96F5C">
      <w:r>
        <w:t xml:space="preserve">As was the case in the previous year, departments </w:t>
      </w:r>
      <w:r w:rsidR="00917708">
        <w:t xml:space="preserve">reported that they </w:t>
      </w:r>
      <w:r w:rsidR="00716068">
        <w:t xml:space="preserve">predominantly </w:t>
      </w:r>
      <w:r>
        <w:t>offer online training modules to staff.</w:t>
      </w:r>
    </w:p>
    <w:p w14:paraId="56E3D5D2" w14:textId="77777777" w:rsidR="00CA71EB" w:rsidRPr="00A13476" w:rsidRDefault="00CA71EB" w:rsidP="00CA71EB">
      <w:pPr>
        <w:pStyle w:val="Heading3"/>
        <w:rPr>
          <w:rFonts w:eastAsia="Yu Gothic Light" w:cs="Times New Roman"/>
          <w:color w:val="8D361E"/>
        </w:rPr>
      </w:pPr>
      <w:r w:rsidRPr="00A13476">
        <w:rPr>
          <w:color w:val="8D361E"/>
        </w:rPr>
        <w:t>Tailored training</w:t>
      </w:r>
    </w:p>
    <w:p w14:paraId="47A8ADED" w14:textId="39D469AB" w:rsidR="00002DD5" w:rsidRDefault="00002DD5" w:rsidP="00002DD5">
      <w:r>
        <w:t xml:space="preserve">Many departments showed a commitment to enhancing staff training by incorporating context-specific scenarios. The Commission’s experience is that providing </w:t>
      </w:r>
      <w:r w:rsidR="00A42074">
        <w:t xml:space="preserve">examples to staff of how the Act </w:t>
      </w:r>
      <w:r w:rsidR="000E1BA8">
        <w:t xml:space="preserve">specifically </w:t>
      </w:r>
      <w:r w:rsidR="00A42074">
        <w:t xml:space="preserve">applies to their work is vital to create </w:t>
      </w:r>
      <w:r w:rsidR="00376CAB">
        <w:t>a meaningful</w:t>
      </w:r>
      <w:r w:rsidR="00A42074">
        <w:t xml:space="preserve"> learning experience.</w:t>
      </w:r>
    </w:p>
    <w:p w14:paraId="5EA3C0AC" w14:textId="164FDC6B" w:rsidR="00662A90" w:rsidRDefault="00662A90" w:rsidP="00002DD5">
      <w:r w:rsidRPr="004C0BC1">
        <w:t xml:space="preserve">The Department of Health offers tailored human rights training, including </w:t>
      </w:r>
      <w:r w:rsidR="00B04F10">
        <w:t>custom</w:t>
      </w:r>
      <w:r w:rsidRPr="004C0BC1">
        <w:t xml:space="preserve"> education sessions for various department teams</w:t>
      </w:r>
      <w:r w:rsidR="18683B2E">
        <w:t xml:space="preserve"> and </w:t>
      </w:r>
      <w:r w:rsidRPr="004C0BC1">
        <w:t>Executive Leadership Teams.</w:t>
      </w:r>
    </w:p>
    <w:p w14:paraId="4B238018" w14:textId="77777777" w:rsidR="00662A90" w:rsidRDefault="00662A90" w:rsidP="00662A90">
      <w:r w:rsidRPr="009C03F2">
        <w:t>Queensland Corrective Services provides tailored training on human rights, with a focus on incorporating human rights principles into day-to-day operations. They actively engage the Human Rights Network and maintain tools like the RAPID decision-making tool.</w:t>
      </w:r>
    </w:p>
    <w:p w14:paraId="2BF5EAFE" w14:textId="1CE602E2" w:rsidR="00662A90" w:rsidRPr="00B46A6F" w:rsidRDefault="00662A90" w:rsidP="00662A90">
      <w:r w:rsidRPr="002E56CB">
        <w:t xml:space="preserve">The Department of Housing conducts tailored human rights training sessions, including specific examples of how to apply human rights principles in practice. These sessions are offered to staff, especially </w:t>
      </w:r>
      <w:r w:rsidR="00FE56E6">
        <w:t>people</w:t>
      </w:r>
      <w:r w:rsidRPr="002E56CB">
        <w:t xml:space="preserve"> working in Housing Service Centres.</w:t>
      </w:r>
    </w:p>
    <w:p w14:paraId="55B4D3C4" w14:textId="3D674E6C" w:rsidR="00662A90" w:rsidRDefault="008B11D7" w:rsidP="00475EA5">
      <w:r w:rsidRPr="008B11D7">
        <w:t>Queensland Police Service incorporates human rights principles into various training products, including mandatory online training, leadership development programs, and learning pods. They also maintain an internal platform called the 'Human Rights Community of Practice' to facilitate discussions and sharing of human rights-related information.</w:t>
      </w:r>
    </w:p>
    <w:p w14:paraId="26B3923A" w14:textId="39DAE840" w:rsidR="00BA16ED" w:rsidRDefault="00BA16ED" w:rsidP="00475EA5">
      <w:r w:rsidRPr="00BA16ED">
        <w:t xml:space="preserve">DYJESBT provides face-to-face training, e-learning modules, and information sessions to raise staff awareness about the Human Rights Act. </w:t>
      </w:r>
      <w:r w:rsidR="00B82E2E">
        <w:t>The Department</w:t>
      </w:r>
      <w:r w:rsidRPr="00BA16ED">
        <w:t xml:space="preserve"> </w:t>
      </w:r>
      <w:r w:rsidR="00B82E2E">
        <w:t>has</w:t>
      </w:r>
      <w:r w:rsidRPr="00BA16ED">
        <w:t xml:space="preserve"> also </w:t>
      </w:r>
      <w:r w:rsidR="00A92FDC">
        <w:t>customised</w:t>
      </w:r>
      <w:r w:rsidRPr="00BA16ED">
        <w:t xml:space="preserve"> scenarios </w:t>
      </w:r>
      <w:r w:rsidR="001E048B" w:rsidRPr="00BA16ED">
        <w:t>for</w:t>
      </w:r>
      <w:r w:rsidRPr="00BA16ED">
        <w:t xml:space="preserve"> the organi</w:t>
      </w:r>
      <w:r w:rsidR="00562479">
        <w:t>s</w:t>
      </w:r>
      <w:r w:rsidRPr="00BA16ED">
        <w:t>ation to illustrate how to put human rights into practice.</w:t>
      </w:r>
      <w:r w:rsidR="0031519D">
        <w:t xml:space="preserve"> For instance, Youth Justice updated the mandatory e-learning module to include youth justice specific scenarios and examples, the Commission’s decision-making flowchart and a quiz about assessing compatibility.</w:t>
      </w:r>
      <w:r w:rsidR="00E8771B">
        <w:t xml:space="preserve"> These updates were made in response to 2021-22 feedback from staff about the importance of including examples that relate to their day-to-day work.</w:t>
      </w:r>
    </w:p>
    <w:p w14:paraId="24829E90" w14:textId="5BFDAE3B" w:rsidR="4E982E82" w:rsidRDefault="4E982E82" w:rsidP="369D91F7">
      <w:pPr>
        <w:rPr>
          <w:rStyle w:val="Heading3Char"/>
          <w:color w:val="8D361E"/>
        </w:rPr>
      </w:pPr>
      <w:bookmarkStart w:id="506" w:name="_Toc1937430230"/>
      <w:r w:rsidRPr="00A13476">
        <w:rPr>
          <w:rStyle w:val="Heading3Char"/>
          <w:color w:val="8D361E"/>
        </w:rPr>
        <w:t>Induction</w:t>
      </w:r>
      <w:r w:rsidR="6B223314" w:rsidRPr="00A13476">
        <w:rPr>
          <w:rStyle w:val="Heading3Char"/>
          <w:color w:val="8D361E"/>
        </w:rPr>
        <w:t xml:space="preserve"> training</w:t>
      </w:r>
      <w:bookmarkEnd w:id="506"/>
    </w:p>
    <w:p w14:paraId="20E6882C" w14:textId="1565A563" w:rsidR="002A2260" w:rsidRDefault="002A2260" w:rsidP="002A2260">
      <w:r w:rsidRPr="002A2260">
        <w:t xml:space="preserve">Human rights training </w:t>
      </w:r>
      <w:r w:rsidR="005D7BF2">
        <w:t>was</w:t>
      </w:r>
      <w:r w:rsidRPr="002A2260">
        <w:t xml:space="preserve"> frequently </w:t>
      </w:r>
      <w:r w:rsidR="005D7BF2">
        <w:t>reported by state public entities as a mandatory</w:t>
      </w:r>
      <w:r w:rsidRPr="002A2260">
        <w:t xml:space="preserve"> </w:t>
      </w:r>
      <w:r w:rsidR="00791B7D">
        <w:t>part of</w:t>
      </w:r>
      <w:r w:rsidRPr="002A2260">
        <w:t xml:space="preserve"> the induction process for new staff.</w:t>
      </w:r>
      <w:r w:rsidR="00365038">
        <w:t xml:space="preserve"> For example, Department of Health reported that human rights training occurs </w:t>
      </w:r>
      <w:r w:rsidR="00082F06">
        <w:t>during</w:t>
      </w:r>
      <w:r w:rsidR="00365038">
        <w:t xml:space="preserve"> the induction process, and at DCSSDS all new </w:t>
      </w:r>
      <w:r w:rsidR="00715C29" w:rsidRPr="00715C29">
        <w:t>Child and Family staff are automatically enrolled in the 'Public Entities and the Queensland Human Rights Act 2019' e</w:t>
      </w:r>
      <w:r w:rsidR="00F35FB9">
        <w:t>-</w:t>
      </w:r>
      <w:r w:rsidR="00715C29" w:rsidRPr="00715C29">
        <w:t>Learning module as part of their induction.</w:t>
      </w:r>
    </w:p>
    <w:p w14:paraId="7F9C90EB" w14:textId="6F756739" w:rsidR="00887ED3" w:rsidRDefault="00887ED3" w:rsidP="002A2260">
      <w:r w:rsidRPr="00887ED3">
        <w:t xml:space="preserve">DTATSIPCA includes human rights training </w:t>
      </w:r>
      <w:r w:rsidR="00F35FB9">
        <w:t>in</w:t>
      </w:r>
      <w:r w:rsidRPr="00887ED3">
        <w:t xml:space="preserve"> its induction program for new employees.</w:t>
      </w:r>
      <w:r w:rsidR="00342470" w:rsidRPr="00342470">
        <w:t xml:space="preserve"> Queensland Police Service includes human rights training as part of its induction program for new members.</w:t>
      </w:r>
      <w:r w:rsidR="00DC4BAD">
        <w:t xml:space="preserve"> </w:t>
      </w:r>
      <w:r w:rsidR="00DC4BAD" w:rsidRPr="00DC4BAD">
        <w:t xml:space="preserve">DYJESBT conducts initial face-to-face training on the Human Rights Act and offers mandatory induction modules with annual </w:t>
      </w:r>
      <w:r w:rsidR="00D6433B">
        <w:t>retraini</w:t>
      </w:r>
      <w:r w:rsidR="00221A63">
        <w:t>ng</w:t>
      </w:r>
      <w:r w:rsidR="00DC4BAD" w:rsidRPr="00DC4BAD">
        <w:t xml:space="preserve"> for all employees and contractors.</w:t>
      </w:r>
    </w:p>
    <w:p w14:paraId="2165F712" w14:textId="6DDBB7ED" w:rsidR="0027468A" w:rsidRPr="002A2260" w:rsidRDefault="0027468A" w:rsidP="0027468A">
      <w:r>
        <w:t xml:space="preserve">At Queensland Corrective Services, the QCS Academy offers a 1-hour online training package focused on the Human Rights Act </w:t>
      </w:r>
      <w:r w:rsidR="00E268D0">
        <w:t xml:space="preserve">that is </w:t>
      </w:r>
      <w:r>
        <w:t>to be completed within 42 days of commencement. In addition to online training, a three-hour in-person Workplace Ethic</w:t>
      </w:r>
      <w:r w:rsidR="004D58C1">
        <w:t>s</w:t>
      </w:r>
      <w:r>
        <w:t xml:space="preserve"> training package was provided to custodial and community staff.</w:t>
      </w:r>
    </w:p>
    <w:p w14:paraId="408CC194" w14:textId="212BED18" w:rsidR="22049938" w:rsidRDefault="00D66380" w:rsidP="25A1E610">
      <w:pPr>
        <w:pStyle w:val="Heading3"/>
        <w:rPr>
          <w:color w:val="8D361E"/>
        </w:rPr>
      </w:pPr>
      <w:r>
        <w:rPr>
          <w:color w:val="8D361E"/>
        </w:rPr>
        <w:t>Reach</w:t>
      </w:r>
      <w:r w:rsidR="00BA0232">
        <w:rPr>
          <w:color w:val="8D361E"/>
        </w:rPr>
        <w:t xml:space="preserve"> of human rights</w:t>
      </w:r>
      <w:r>
        <w:rPr>
          <w:color w:val="8D361E"/>
        </w:rPr>
        <w:t xml:space="preserve"> training for staff</w:t>
      </w:r>
    </w:p>
    <w:p w14:paraId="367C4476" w14:textId="1E0CA888" w:rsidR="00A96450" w:rsidRDefault="00BA0232" w:rsidP="00BA0232">
      <w:r>
        <w:t>From the information provided in responses from state government public entities</w:t>
      </w:r>
      <w:r w:rsidR="003D0CA7">
        <w:t>,</w:t>
      </w:r>
      <w:r>
        <w:t xml:space="preserve"> it </w:t>
      </w:r>
      <w:r w:rsidR="00A96450">
        <w:t>was not always possible</w:t>
      </w:r>
      <w:r>
        <w:t xml:space="preserve"> to identify what</w:t>
      </w:r>
      <w:r w:rsidR="00C30544">
        <w:t xml:space="preserve"> overall</w:t>
      </w:r>
      <w:r>
        <w:t xml:space="preserve"> percentage of staff members have received training on the Human Rights Act</w:t>
      </w:r>
      <w:r w:rsidR="00F91E69">
        <w:t xml:space="preserve">, particularly </w:t>
      </w:r>
      <w:r w:rsidR="007764B2">
        <w:t>following</w:t>
      </w:r>
      <w:r w:rsidR="00F91E69">
        <w:t xml:space="preserve"> changes to </w:t>
      </w:r>
      <w:r w:rsidR="007764B2">
        <w:t xml:space="preserve">the composition of </w:t>
      </w:r>
      <w:r w:rsidR="00647BA9">
        <w:t>various departments in May 2023.</w:t>
      </w:r>
      <w:r w:rsidR="00F43C61">
        <w:t xml:space="preserve"> </w:t>
      </w:r>
    </w:p>
    <w:p w14:paraId="591DE6AE" w14:textId="41187D52" w:rsidR="00BA0232" w:rsidRDefault="00647BA9" w:rsidP="00BA0232">
      <w:r>
        <w:t xml:space="preserve">Departments reported that </w:t>
      </w:r>
      <w:r w:rsidR="00F43C61">
        <w:t>in 2022-23:</w:t>
      </w:r>
    </w:p>
    <w:p w14:paraId="0DAE297B" w14:textId="6FC333DF" w:rsidR="00F43C61" w:rsidRDefault="008350EE" w:rsidP="00F43C61">
      <w:pPr>
        <w:pStyle w:val="Listparagraph-bulleted"/>
      </w:pPr>
      <w:r w:rsidRPr="00626463">
        <w:rPr>
          <w:i/>
        </w:rPr>
        <w:t>Department of Education</w:t>
      </w:r>
      <w:r w:rsidR="004D009A" w:rsidRPr="00626463">
        <w:rPr>
          <w:i/>
        </w:rPr>
        <w:t>:</w:t>
      </w:r>
      <w:r>
        <w:t xml:space="preserve"> </w:t>
      </w:r>
      <w:r w:rsidR="00F43C61">
        <w:t>93,436 staff members, casual staff</w:t>
      </w:r>
      <w:r w:rsidR="00116E46">
        <w:t>,</w:t>
      </w:r>
      <w:r w:rsidR="00F43C61">
        <w:t xml:space="preserve"> and contractors completed mandatory training</w:t>
      </w:r>
      <w:r w:rsidR="0052243B">
        <w:t>.</w:t>
      </w:r>
    </w:p>
    <w:p w14:paraId="74FAD744" w14:textId="0D9B9DC1" w:rsidR="00F43C61" w:rsidRDefault="008350EE" w:rsidP="00F43C61">
      <w:pPr>
        <w:pStyle w:val="Listparagraph-bulleted"/>
      </w:pPr>
      <w:r w:rsidRPr="00626463">
        <w:rPr>
          <w:i/>
        </w:rPr>
        <w:t>DTATSIPCA</w:t>
      </w:r>
      <w:r w:rsidR="00116E46" w:rsidRPr="00626463">
        <w:rPr>
          <w:i/>
          <w:iCs/>
        </w:rPr>
        <w:t>:</w:t>
      </w:r>
      <w:r>
        <w:t xml:space="preserve"> </w:t>
      </w:r>
      <w:r w:rsidR="00243B49" w:rsidRPr="00243B49">
        <w:t xml:space="preserve">178 employees completed or refreshed their HR </w:t>
      </w:r>
      <w:r w:rsidR="0070688C">
        <w:t>a</w:t>
      </w:r>
      <w:r w:rsidR="00243B49" w:rsidRPr="00243B49">
        <w:t>ct initial awareness mandatory training.</w:t>
      </w:r>
    </w:p>
    <w:p w14:paraId="47457E0F" w14:textId="1F74AE02" w:rsidR="009C6972" w:rsidRDefault="0020280C" w:rsidP="009C6972">
      <w:pPr>
        <w:pStyle w:val="Listparagraph-bulleted"/>
      </w:pPr>
      <w:r w:rsidRPr="00626463">
        <w:rPr>
          <w:i/>
        </w:rPr>
        <w:t>DCSSDS</w:t>
      </w:r>
      <w:r w:rsidR="00116E46" w:rsidRPr="00626463">
        <w:rPr>
          <w:i/>
          <w:iCs/>
        </w:rPr>
        <w:t>:</w:t>
      </w:r>
      <w:r>
        <w:t xml:space="preserve"> </w:t>
      </w:r>
      <w:r w:rsidR="009C6972">
        <w:t xml:space="preserve">81% of Child and Family staff completed ‘Public </w:t>
      </w:r>
      <w:r w:rsidR="009C6972" w:rsidRPr="009C6972">
        <w:t>Entities and the Queensland Human Rights Act 2019’ training, 79% of Seniors and Disability staff completed the ‘Human Rights Act Initial Awareness’ training</w:t>
      </w:r>
      <w:r w:rsidR="00116E46">
        <w:t>,</w:t>
      </w:r>
      <w:r w:rsidR="009C6972">
        <w:t xml:space="preserve"> and </w:t>
      </w:r>
      <w:r w:rsidR="009C6972" w:rsidRPr="009C6972">
        <w:t>73% of Child and Family staff completed the ‘Complaints: Managing expressions of dissatisfaction’ training.</w:t>
      </w:r>
    </w:p>
    <w:p w14:paraId="57BF9514" w14:textId="183D23D9" w:rsidR="005848EA" w:rsidRPr="009C6972" w:rsidRDefault="008350EE" w:rsidP="009C6972">
      <w:pPr>
        <w:pStyle w:val="Listparagraph-bulleted"/>
      </w:pPr>
      <w:r w:rsidRPr="00626463">
        <w:rPr>
          <w:i/>
        </w:rPr>
        <w:t>Queensland Corrective Services</w:t>
      </w:r>
      <w:r w:rsidR="00116E46" w:rsidRPr="00626463">
        <w:rPr>
          <w:i/>
          <w:iCs/>
        </w:rPr>
        <w:t>:</w:t>
      </w:r>
      <w:r>
        <w:t xml:space="preserve"> </w:t>
      </w:r>
      <w:r w:rsidR="005848EA" w:rsidRPr="005848EA">
        <w:t xml:space="preserve">1,268 </w:t>
      </w:r>
      <w:r w:rsidR="00116E46">
        <w:t>QCS</w:t>
      </w:r>
      <w:r w:rsidR="005848EA" w:rsidRPr="005848EA">
        <w:t xml:space="preserve"> staff completed online human rights training</w:t>
      </w:r>
      <w:r w:rsidR="00EE7613">
        <w:t>,</w:t>
      </w:r>
      <w:r w:rsidR="005848EA" w:rsidRPr="005848EA">
        <w:t xml:space="preserve"> includ</w:t>
      </w:r>
      <w:r w:rsidR="00EE7613">
        <w:t>ing</w:t>
      </w:r>
      <w:r w:rsidR="005848EA" w:rsidRPr="005848EA">
        <w:t xml:space="preserve"> staff from custodial, community corrections and corporate areas, </w:t>
      </w:r>
      <w:r w:rsidR="00EE7613">
        <w:t>a</w:t>
      </w:r>
      <w:r w:rsidR="00321D1B">
        <w:t>nd</w:t>
      </w:r>
      <w:r w:rsidR="00EE7613" w:rsidRPr="005848EA">
        <w:t xml:space="preserve"> </w:t>
      </w:r>
      <w:r w:rsidR="005848EA" w:rsidRPr="005848EA">
        <w:t>all new QCS recruits.</w:t>
      </w:r>
      <w:r w:rsidR="00C94C18">
        <w:t xml:space="preserve"> </w:t>
      </w:r>
    </w:p>
    <w:p w14:paraId="02D930A9" w14:textId="0BAED3C2" w:rsidR="005702A8" w:rsidRPr="00BA0232" w:rsidRDefault="003F545D" w:rsidP="00F43C61">
      <w:pPr>
        <w:pStyle w:val="Listparagraph-bulleted"/>
      </w:pPr>
      <w:r w:rsidRPr="00626463">
        <w:rPr>
          <w:i/>
        </w:rPr>
        <w:t>DYJESBT</w:t>
      </w:r>
      <w:r w:rsidR="008831A0" w:rsidRPr="00626463">
        <w:rPr>
          <w:i/>
          <w:iCs/>
        </w:rPr>
        <w:t>:</w:t>
      </w:r>
      <w:r>
        <w:t xml:space="preserve"> </w:t>
      </w:r>
      <w:r w:rsidR="005702A8" w:rsidRPr="005702A8">
        <w:t xml:space="preserve">79.4% of Youth Justice Services employees completed mandatory human rights training, </w:t>
      </w:r>
      <w:r w:rsidR="004A0415">
        <w:t>as well as</w:t>
      </w:r>
      <w:r w:rsidR="007F5E38">
        <w:t xml:space="preserve"> 91% of Education, Small Business</w:t>
      </w:r>
      <w:r w:rsidR="0063295B">
        <w:t>,</w:t>
      </w:r>
      <w:r w:rsidR="007F5E38">
        <w:t xml:space="preserve"> and Training staff</w:t>
      </w:r>
      <w:r w:rsidR="005702A8" w:rsidRPr="005702A8">
        <w:t>.</w:t>
      </w:r>
    </w:p>
    <w:p w14:paraId="60FDF3D3" w14:textId="5E59BDE1" w:rsidR="00017E53" w:rsidRPr="00BA0232" w:rsidRDefault="003E485A" w:rsidP="00F43C61">
      <w:pPr>
        <w:pStyle w:val="Listparagraph-bulleted"/>
      </w:pPr>
      <w:r w:rsidRPr="00626463">
        <w:rPr>
          <w:i/>
        </w:rPr>
        <w:t>Queensland Police Service</w:t>
      </w:r>
      <w:r w:rsidR="0063295B" w:rsidRPr="00626463">
        <w:rPr>
          <w:i/>
          <w:iCs/>
        </w:rPr>
        <w:t>:</w:t>
      </w:r>
      <w:r>
        <w:t xml:space="preserve"> </w:t>
      </w:r>
      <w:r w:rsidR="008350EE">
        <w:t>1</w:t>
      </w:r>
      <w:r w:rsidR="0063295B">
        <w:t>,</w:t>
      </w:r>
      <w:r w:rsidR="008350EE">
        <w:t>486</w:t>
      </w:r>
      <w:r>
        <w:t xml:space="preserve"> members</w:t>
      </w:r>
      <w:r w:rsidR="00E87FF8">
        <w:t xml:space="preserve"> undertook training in the reporting period, </w:t>
      </w:r>
      <w:r w:rsidR="008F7368">
        <w:t xml:space="preserve">which </w:t>
      </w:r>
      <w:r w:rsidR="00BB13F3">
        <w:t>represent</w:t>
      </w:r>
      <w:r w:rsidR="008F7368">
        <w:t>s</w:t>
      </w:r>
      <w:r w:rsidR="00BB13F3">
        <w:t xml:space="preserve"> new staff and police recruits</w:t>
      </w:r>
      <w:r w:rsidR="00EF43FF">
        <w:t>.</w:t>
      </w:r>
      <w:r w:rsidR="00BB13F3">
        <w:t xml:space="preserve"> </w:t>
      </w:r>
      <w:r w:rsidR="00EF43FF">
        <w:t>Since the launch of mandatory training in 2019</w:t>
      </w:r>
      <w:r w:rsidR="00BB13F3">
        <w:t xml:space="preserve"> 86.2% of QPS members have completed training.</w:t>
      </w:r>
    </w:p>
    <w:p w14:paraId="0841E4F9" w14:textId="7A025DF5" w:rsidR="0042797E" w:rsidRPr="004F788F" w:rsidRDefault="0042797E" w:rsidP="0042797E">
      <w:pPr>
        <w:pStyle w:val="Heading2"/>
        <w:rPr>
          <w:color w:val="8D361E"/>
        </w:rPr>
      </w:pPr>
      <w:bookmarkStart w:id="507" w:name="_Toc56451592"/>
      <w:bookmarkStart w:id="508" w:name="_Toc56452166"/>
      <w:bookmarkStart w:id="509" w:name="_Toc84593895"/>
      <w:bookmarkStart w:id="510" w:name="_Toc85451772"/>
      <w:bookmarkStart w:id="511" w:name="_Toc85526702"/>
      <w:bookmarkStart w:id="512" w:name="_Toc85787117"/>
      <w:bookmarkStart w:id="513" w:name="_Toc117697176"/>
      <w:bookmarkStart w:id="514" w:name="_Toc117697883"/>
      <w:bookmarkStart w:id="515" w:name="_Toc147757323"/>
      <w:bookmarkStart w:id="516" w:name="_Toc148086944"/>
      <w:bookmarkStart w:id="517" w:name="_Toc571087790"/>
      <w:r w:rsidRPr="004F788F">
        <w:rPr>
          <w:color w:val="8D361E"/>
        </w:rPr>
        <w:t>Indicator 2: Community consultation and engagement</w:t>
      </w:r>
      <w:bookmarkEnd w:id="507"/>
      <w:bookmarkEnd w:id="508"/>
      <w:bookmarkEnd w:id="509"/>
      <w:bookmarkEnd w:id="510"/>
      <w:bookmarkEnd w:id="511"/>
      <w:bookmarkEnd w:id="512"/>
      <w:bookmarkEnd w:id="513"/>
      <w:bookmarkEnd w:id="514"/>
      <w:bookmarkEnd w:id="515"/>
      <w:bookmarkEnd w:id="516"/>
      <w:r w:rsidRPr="004F788F">
        <w:rPr>
          <w:color w:val="8D361E"/>
        </w:rPr>
        <w:t xml:space="preserve"> </w:t>
      </w:r>
      <w:bookmarkEnd w:id="517"/>
    </w:p>
    <w:p w14:paraId="49224D9B" w14:textId="78848D04" w:rsidR="12EA30EC" w:rsidRDefault="003C5B60" w:rsidP="6ABC1B93">
      <w:pPr>
        <w:spacing w:after="200"/>
      </w:pPr>
      <w:r>
        <w:t xml:space="preserve">The Commission </w:t>
      </w:r>
      <w:r w:rsidR="794DBD00">
        <w:t xml:space="preserve">asked state public entities </w:t>
      </w:r>
      <w:r w:rsidR="0070264B">
        <w:t>to report on</w:t>
      </w:r>
      <w:r w:rsidR="001B26A2">
        <w:t xml:space="preserve"> </w:t>
      </w:r>
      <w:r w:rsidR="794DBD00">
        <w:t xml:space="preserve">community consultation and engagement about human rights, </w:t>
      </w:r>
      <w:r w:rsidR="0070264B">
        <w:t xml:space="preserve">and </w:t>
      </w:r>
      <w:r w:rsidR="794DBD00">
        <w:t>whether information has been provided to the community about human rights.</w:t>
      </w:r>
    </w:p>
    <w:p w14:paraId="2A3E2327" w14:textId="15A4B353" w:rsidR="00070D86" w:rsidRDefault="00D32C91" w:rsidP="6ABC1B93">
      <w:pPr>
        <w:spacing w:after="200"/>
      </w:pPr>
      <w:r>
        <w:t xml:space="preserve">In the reporting period, </w:t>
      </w:r>
      <w:r w:rsidR="00207CD2">
        <w:t>t</w:t>
      </w:r>
      <w:r w:rsidR="00070D86" w:rsidRPr="00070D86">
        <w:t>hese efforts range</w:t>
      </w:r>
      <w:r w:rsidR="00207CD2">
        <w:t>d</w:t>
      </w:r>
      <w:r w:rsidR="00070D86" w:rsidRPr="00070D86">
        <w:t xml:space="preserve"> from consultation on legislation and policies to community education and awareness initiatives. Many </w:t>
      </w:r>
      <w:r w:rsidR="00B06953">
        <w:t>state public entities</w:t>
      </w:r>
      <w:r w:rsidR="00070D86" w:rsidRPr="00070D86">
        <w:t xml:space="preserve"> </w:t>
      </w:r>
      <w:r w:rsidR="00B06953">
        <w:t>reported that they</w:t>
      </w:r>
      <w:r w:rsidR="00070D86" w:rsidRPr="00070D86">
        <w:t xml:space="preserve"> have considered human rights in their policies and programs, particularly in the context of education, healthcare, housing, and youth justice.</w:t>
      </w:r>
    </w:p>
    <w:p w14:paraId="56C57F2A" w14:textId="0E22B486" w:rsidR="62899BD2" w:rsidRDefault="72D1AB53" w:rsidP="79F2B731">
      <w:pPr>
        <w:pStyle w:val="Heading3"/>
        <w:rPr>
          <w:color w:val="8D361E"/>
        </w:rPr>
      </w:pPr>
      <w:bookmarkStart w:id="518" w:name="_Toc488493467"/>
      <w:r w:rsidRPr="004F788F">
        <w:rPr>
          <w:color w:val="8D361E"/>
        </w:rPr>
        <w:t>Community consultation and engagement</w:t>
      </w:r>
      <w:bookmarkEnd w:id="518"/>
    </w:p>
    <w:p w14:paraId="2C4D44A3" w14:textId="3E632B5C" w:rsidR="000C2120" w:rsidRDefault="000C2120" w:rsidP="00CA0A4B">
      <w:r w:rsidRPr="000C2120">
        <w:t xml:space="preserve">Many departments </w:t>
      </w:r>
      <w:r w:rsidR="006C24C0">
        <w:t>undertook</w:t>
      </w:r>
      <w:r w:rsidRPr="000C2120">
        <w:t xml:space="preserve"> community consultation and engagement on various topics related to human rights</w:t>
      </w:r>
      <w:r w:rsidR="00DB5B80">
        <w:t xml:space="preserve">, </w:t>
      </w:r>
      <w:r w:rsidR="00B60456" w:rsidRPr="00B60456">
        <w:t xml:space="preserve">as well as initiatives aimed at advancing </w:t>
      </w:r>
      <w:r w:rsidR="00D02016">
        <w:t>particular</w:t>
      </w:r>
      <w:r w:rsidR="00B60456" w:rsidRPr="00B60456">
        <w:t xml:space="preserve"> human rights.</w:t>
      </w:r>
      <w:r w:rsidR="00DB5B80">
        <w:t xml:space="preserve"> </w:t>
      </w:r>
      <w:r w:rsidR="00C713F1">
        <w:t>However, f</w:t>
      </w:r>
      <w:r w:rsidR="00D66DFC" w:rsidRPr="00D66DFC">
        <w:t xml:space="preserve">ewer instances were </w:t>
      </w:r>
      <w:r w:rsidR="00473E59">
        <w:t>given in which</w:t>
      </w:r>
      <w:r w:rsidR="00D66DFC" w:rsidRPr="00D66DFC">
        <w:t xml:space="preserve"> the Human Rights Act played a central role in </w:t>
      </w:r>
      <w:r w:rsidR="00D66DFC">
        <w:t xml:space="preserve">community </w:t>
      </w:r>
      <w:r w:rsidR="00D66DFC" w:rsidRPr="00D66DFC">
        <w:t xml:space="preserve">engagement </w:t>
      </w:r>
      <w:r w:rsidR="00C70C25">
        <w:t>activities</w:t>
      </w:r>
      <w:r w:rsidR="00D66DFC" w:rsidRPr="00D66DFC">
        <w:t>.</w:t>
      </w:r>
    </w:p>
    <w:p w14:paraId="5A1376DE" w14:textId="6E576985" w:rsidR="00CA0A4B" w:rsidRDefault="0093561A" w:rsidP="00CA0A4B">
      <w:r>
        <w:t>I</w:t>
      </w:r>
      <w:r w:rsidR="00CA0A4B" w:rsidRPr="00CA0A4B">
        <w:t xml:space="preserve">n its commitment to the right to education, </w:t>
      </w:r>
      <w:r>
        <w:t>the Department of Education</w:t>
      </w:r>
      <w:r w:rsidR="00767A50">
        <w:t xml:space="preserve"> </w:t>
      </w:r>
      <w:r w:rsidR="00CA0A4B" w:rsidRPr="00CA0A4B">
        <w:t xml:space="preserve">released the </w:t>
      </w:r>
      <w:r w:rsidR="00DD0E7F">
        <w:t>‘</w:t>
      </w:r>
      <w:r w:rsidR="00CA0A4B" w:rsidRPr="00CA0A4B">
        <w:t>Equity and Excellence</w:t>
      </w:r>
      <w:r w:rsidR="00DD0E7F">
        <w:t>’</w:t>
      </w:r>
      <w:r w:rsidR="00CA0A4B" w:rsidRPr="00CA0A4B">
        <w:t xml:space="preserve"> education strategy in February 2023. This strategy was developed after targeted consultations with over 1,400 state school principals and key stakeholders</w:t>
      </w:r>
      <w:r w:rsidR="00875AE7">
        <w:t xml:space="preserve"> that</w:t>
      </w:r>
      <w:r w:rsidR="00CA0A4B" w:rsidRPr="00CA0A4B">
        <w:t xml:space="preserve"> emphasi</w:t>
      </w:r>
      <w:r w:rsidR="00767A50">
        <w:t>s</w:t>
      </w:r>
      <w:r w:rsidR="00875AE7">
        <w:t>ed</w:t>
      </w:r>
      <w:r w:rsidR="00CA0A4B" w:rsidRPr="00CA0A4B">
        <w:t xml:space="preserve"> educational achievement, wellbeing, and inclusion. </w:t>
      </w:r>
    </w:p>
    <w:p w14:paraId="665A3964" w14:textId="0A964296" w:rsidR="00767A50" w:rsidRDefault="00402EFF" w:rsidP="00CA0A4B">
      <w:r>
        <w:t xml:space="preserve">The </w:t>
      </w:r>
      <w:r w:rsidR="00CA1AD9" w:rsidRPr="00CA1AD9">
        <w:t>Queensland Police Service conduct</w:t>
      </w:r>
      <w:r w:rsidR="00CA1AD9">
        <w:t>ed</w:t>
      </w:r>
      <w:r w:rsidR="00CA1AD9" w:rsidRPr="00CA1AD9">
        <w:t xml:space="preserve"> community education and awareness seminars for international visitors, students, migrants, and other diverse groups. These seminars </w:t>
      </w:r>
      <w:r w:rsidR="00CA1AD9">
        <w:t>aimed</w:t>
      </w:r>
      <w:r w:rsidR="00CA1AD9" w:rsidRPr="00CA1AD9">
        <w:t xml:space="preserve"> to inform attendees about their legal rights in Queensland and how to report discrimination to authorities.</w:t>
      </w:r>
    </w:p>
    <w:p w14:paraId="7E907AF7" w14:textId="305A4407" w:rsidR="00BC50DD" w:rsidRDefault="00BC50DD" w:rsidP="00CA0A4B">
      <w:r w:rsidRPr="00BC50DD">
        <w:t>DCSSDS developed a communications plan for Human Rights week and used social media and email newsletters to promote human rights.</w:t>
      </w:r>
    </w:p>
    <w:p w14:paraId="51C2086D" w14:textId="78189F21" w:rsidR="00BC50DD" w:rsidRDefault="00BC50DD" w:rsidP="00CA0A4B">
      <w:r w:rsidRPr="00BC50DD">
        <w:t>Queensland Corrective Services distributed Human Rights information booklets to prisoners and offenders.</w:t>
      </w:r>
    </w:p>
    <w:p w14:paraId="7ACB9CA9" w14:textId="35BF9DD7" w:rsidR="00233CF5" w:rsidRPr="00233CF5" w:rsidRDefault="00233CF5" w:rsidP="00233CF5">
      <w:pPr>
        <w:pStyle w:val="Heading3"/>
        <w:rPr>
          <w:color w:val="8D361E"/>
        </w:rPr>
      </w:pPr>
      <w:r w:rsidRPr="00233CF5">
        <w:rPr>
          <w:color w:val="8D361E"/>
        </w:rPr>
        <w:t xml:space="preserve">First Nations </w:t>
      </w:r>
      <w:r>
        <w:rPr>
          <w:color w:val="8D361E"/>
        </w:rPr>
        <w:t>e</w:t>
      </w:r>
      <w:r w:rsidRPr="00233CF5">
        <w:rPr>
          <w:color w:val="8D361E"/>
        </w:rPr>
        <w:t>ngagement</w:t>
      </w:r>
    </w:p>
    <w:p w14:paraId="7045EB37" w14:textId="5B5DE964" w:rsidR="00233CF5" w:rsidRPr="00233CF5" w:rsidRDefault="00233CF5" w:rsidP="00233CF5">
      <w:pPr>
        <w:rPr>
          <w:rFonts w:eastAsia="Calibri" w:cs="Arial"/>
          <w:color w:val="000000" w:themeColor="text1"/>
        </w:rPr>
      </w:pPr>
      <w:r w:rsidRPr="00233CF5">
        <w:rPr>
          <w:rFonts w:eastAsia="Calibri" w:cs="Arial"/>
          <w:color w:val="000000" w:themeColor="text1"/>
        </w:rPr>
        <w:t>Several departments focused on engagement with First Nations communities</w:t>
      </w:r>
      <w:r w:rsidR="00395775">
        <w:rPr>
          <w:rFonts w:eastAsia="Calibri" w:cs="Arial"/>
          <w:color w:val="000000" w:themeColor="text1"/>
        </w:rPr>
        <w:t xml:space="preserve">, </w:t>
      </w:r>
      <w:r w:rsidR="00335573">
        <w:rPr>
          <w:rFonts w:eastAsia="Calibri" w:cs="Arial"/>
          <w:color w:val="000000" w:themeColor="text1"/>
        </w:rPr>
        <w:t>and</w:t>
      </w:r>
      <w:r w:rsidR="007A2196">
        <w:rPr>
          <w:rFonts w:eastAsia="Calibri" w:cs="Arial"/>
          <w:color w:val="000000" w:themeColor="text1"/>
        </w:rPr>
        <w:t xml:space="preserve"> </w:t>
      </w:r>
      <w:r w:rsidR="00395775">
        <w:rPr>
          <w:rFonts w:eastAsia="Calibri" w:cs="Arial"/>
          <w:color w:val="000000" w:themeColor="text1"/>
        </w:rPr>
        <w:t xml:space="preserve">promotion of </w:t>
      </w:r>
      <w:r w:rsidR="00DD6AB8">
        <w:rPr>
          <w:rFonts w:eastAsia="Calibri" w:cs="Arial"/>
          <w:color w:val="000000" w:themeColor="text1"/>
        </w:rPr>
        <w:t xml:space="preserve">the distinct </w:t>
      </w:r>
      <w:r w:rsidR="00395775">
        <w:rPr>
          <w:rFonts w:eastAsia="Calibri" w:cs="Arial"/>
          <w:color w:val="000000" w:themeColor="text1"/>
        </w:rPr>
        <w:t xml:space="preserve">cultural rights </w:t>
      </w:r>
      <w:r w:rsidR="00DD6AB8">
        <w:rPr>
          <w:rFonts w:eastAsia="Calibri" w:cs="Arial"/>
          <w:color w:val="000000" w:themeColor="text1"/>
        </w:rPr>
        <w:t xml:space="preserve">of Aboriginal peoples and Torres Strait Islander peoples </w:t>
      </w:r>
      <w:r w:rsidR="00395775">
        <w:rPr>
          <w:rFonts w:eastAsia="Calibri" w:cs="Arial"/>
          <w:color w:val="000000" w:themeColor="text1"/>
        </w:rPr>
        <w:t>under the Human Rights Act</w:t>
      </w:r>
      <w:r w:rsidRPr="00233CF5">
        <w:rPr>
          <w:rFonts w:eastAsia="Calibri" w:cs="Arial"/>
          <w:color w:val="000000" w:themeColor="text1"/>
        </w:rPr>
        <w:t>.</w:t>
      </w:r>
      <w:r>
        <w:rPr>
          <w:rFonts w:eastAsia="Calibri" w:cs="Arial"/>
          <w:color w:val="000000" w:themeColor="text1"/>
        </w:rPr>
        <w:t xml:space="preserve"> </w:t>
      </w:r>
      <w:r w:rsidR="00CF2ADE">
        <w:rPr>
          <w:rFonts w:eastAsia="Calibri" w:cs="Arial"/>
          <w:color w:val="000000" w:themeColor="text1"/>
        </w:rPr>
        <w:t>State public entities reported that:</w:t>
      </w:r>
    </w:p>
    <w:p w14:paraId="2FD78EB0" w14:textId="39F488B8" w:rsidR="00233CF5" w:rsidRPr="00233CF5" w:rsidRDefault="00233CF5" w:rsidP="00233CF5">
      <w:pPr>
        <w:pStyle w:val="Listparagraph-bulleted"/>
      </w:pPr>
      <w:r w:rsidRPr="00233CF5">
        <w:t xml:space="preserve">West Moreton </w:t>
      </w:r>
      <w:r w:rsidR="00E40357">
        <w:t>Hospital and Health Service</w:t>
      </w:r>
      <w:r w:rsidRPr="00233CF5">
        <w:t xml:space="preserve"> established Advisory Councils to consider consumer</w:t>
      </w:r>
      <w:r w:rsidR="00C072BB">
        <w:t>s</w:t>
      </w:r>
      <w:r w:rsidRPr="00233CF5">
        <w:t xml:space="preserve"> and human rights in co-designing projects.</w:t>
      </w:r>
    </w:p>
    <w:p w14:paraId="4325B4A1" w14:textId="3CCF7F24" w:rsidR="00233CF5" w:rsidRDefault="00233CF5" w:rsidP="00552102">
      <w:pPr>
        <w:pStyle w:val="Listparagraph-bulleted"/>
      </w:pPr>
      <w:r w:rsidRPr="00395775">
        <w:t>DTATSIPCA led community engagement and co-design for Path to Treaty actions</w:t>
      </w:r>
      <w:r w:rsidR="00547039" w:rsidRPr="00395775">
        <w:t xml:space="preserve"> and implemented the</w:t>
      </w:r>
      <w:r w:rsidR="00552102" w:rsidRPr="00395775">
        <w:t xml:space="preserve"> </w:t>
      </w:r>
      <w:r w:rsidR="00547039" w:rsidRPr="00395775">
        <w:rPr>
          <w:i/>
          <w:iCs/>
        </w:rPr>
        <w:t>Many Voices: Queensland Aboriginal and Torres Strait Islander Languages Policy</w:t>
      </w:r>
      <w:r w:rsidRPr="00395775">
        <w:t xml:space="preserve"> </w:t>
      </w:r>
      <w:r w:rsidR="00547039" w:rsidRPr="00395775">
        <w:t>to recognise</w:t>
      </w:r>
      <w:r w:rsidRPr="00395775">
        <w:t xml:space="preserve"> the cultural rights of Aboriginal and Torres</w:t>
      </w:r>
      <w:r w:rsidRPr="00233CF5">
        <w:t xml:space="preserve"> Strait Islander peoples.</w:t>
      </w:r>
    </w:p>
    <w:p w14:paraId="02B5B344" w14:textId="580AA872" w:rsidR="00233CF5" w:rsidRPr="00233CF5" w:rsidRDefault="00233CF5" w:rsidP="00233CF5">
      <w:pPr>
        <w:pStyle w:val="Listparagraph-bulleted"/>
      </w:pPr>
      <w:r w:rsidRPr="00233CF5">
        <w:rPr>
          <w:rFonts w:eastAsia="Calibri" w:cs="Arial"/>
          <w:color w:val="000000" w:themeColor="text1"/>
        </w:rPr>
        <w:t>Queensland State Archives (QSA) supported language revitali</w:t>
      </w:r>
      <w:r w:rsidR="007303C9">
        <w:rPr>
          <w:rFonts w:eastAsia="Calibri" w:cs="Arial"/>
          <w:color w:val="000000" w:themeColor="text1"/>
        </w:rPr>
        <w:t>s</w:t>
      </w:r>
      <w:r w:rsidRPr="00233CF5">
        <w:rPr>
          <w:rFonts w:eastAsia="Calibri" w:cs="Arial"/>
          <w:color w:val="000000" w:themeColor="text1"/>
        </w:rPr>
        <w:t>ation and research in Aboriginal and Torres Strait Islander languages.</w:t>
      </w:r>
    </w:p>
    <w:p w14:paraId="0456BEDA" w14:textId="18FE5948" w:rsidR="0AB60BE2" w:rsidRPr="00233CF5" w:rsidRDefault="00233CF5" w:rsidP="00233CF5">
      <w:pPr>
        <w:pStyle w:val="Listparagraph-bulleted"/>
      </w:pPr>
      <w:r>
        <w:rPr>
          <w:rFonts w:eastAsia="Calibri" w:cs="Arial"/>
          <w:color w:val="000000" w:themeColor="text1"/>
        </w:rPr>
        <w:t xml:space="preserve">The </w:t>
      </w:r>
      <w:r w:rsidRPr="00395775">
        <w:rPr>
          <w:rFonts w:eastAsia="Calibri" w:cs="Arial"/>
          <w:i/>
          <w:iCs/>
          <w:color w:val="000000" w:themeColor="text1"/>
        </w:rPr>
        <w:t>Cultural Engagement Framework</w:t>
      </w:r>
      <w:r w:rsidR="00A838C2">
        <w:rPr>
          <w:rFonts w:eastAsia="Calibri" w:cs="Arial"/>
          <w:color w:val="000000" w:themeColor="text1"/>
        </w:rPr>
        <w:t xml:space="preserve"> </w:t>
      </w:r>
      <w:r w:rsidR="007303C9">
        <w:rPr>
          <w:rFonts w:eastAsia="Calibri" w:cs="Arial"/>
          <w:color w:val="000000" w:themeColor="text1"/>
        </w:rPr>
        <w:t xml:space="preserve">was </w:t>
      </w:r>
      <w:r w:rsidR="00A838C2">
        <w:rPr>
          <w:rFonts w:eastAsia="Calibri" w:cs="Arial"/>
          <w:color w:val="000000" w:themeColor="text1"/>
        </w:rPr>
        <w:t xml:space="preserve">developed in </w:t>
      </w:r>
      <w:r w:rsidR="00493D85">
        <w:rPr>
          <w:rFonts w:eastAsia="Calibri" w:cs="Arial"/>
          <w:color w:val="000000" w:themeColor="text1"/>
        </w:rPr>
        <w:t xml:space="preserve">a </w:t>
      </w:r>
      <w:r w:rsidR="00A838C2">
        <w:rPr>
          <w:rFonts w:eastAsia="Calibri" w:cs="Arial"/>
          <w:color w:val="000000" w:themeColor="text1"/>
        </w:rPr>
        <w:t xml:space="preserve">collaboration between </w:t>
      </w:r>
      <w:r w:rsidR="00493D85">
        <w:rPr>
          <w:rFonts w:eastAsia="Calibri" w:cs="Arial"/>
          <w:color w:val="000000" w:themeColor="text1"/>
        </w:rPr>
        <w:t>the</w:t>
      </w:r>
      <w:r w:rsidR="00A838C2">
        <w:rPr>
          <w:rFonts w:eastAsia="Calibri" w:cs="Arial"/>
          <w:color w:val="000000" w:themeColor="text1"/>
        </w:rPr>
        <w:t xml:space="preserve"> First Nations Arts and </w:t>
      </w:r>
      <w:r w:rsidR="00E40357">
        <w:rPr>
          <w:rFonts w:eastAsia="Calibri" w:cs="Arial"/>
          <w:color w:val="000000" w:themeColor="text1"/>
        </w:rPr>
        <w:t>Cultures</w:t>
      </w:r>
      <w:r w:rsidR="008E343E">
        <w:rPr>
          <w:rFonts w:eastAsia="Calibri" w:cs="Arial"/>
          <w:color w:val="000000" w:themeColor="text1"/>
        </w:rPr>
        <w:t xml:space="preserve"> Panel and Arts Queensland</w:t>
      </w:r>
      <w:r w:rsidRPr="00233CF5">
        <w:rPr>
          <w:rFonts w:eastAsia="Calibri" w:cs="Arial"/>
          <w:color w:val="000000" w:themeColor="text1"/>
        </w:rPr>
        <w:t xml:space="preserve"> </w:t>
      </w:r>
      <w:r w:rsidR="00E40357">
        <w:rPr>
          <w:rFonts w:eastAsia="Calibri" w:cs="Arial"/>
          <w:color w:val="000000" w:themeColor="text1"/>
        </w:rPr>
        <w:t>(in</w:t>
      </w:r>
      <w:r w:rsidR="002C627B" w:rsidRPr="002C627B">
        <w:t xml:space="preserve"> </w:t>
      </w:r>
      <w:r w:rsidR="002C627B" w:rsidRPr="002C627B">
        <w:rPr>
          <w:rFonts w:eastAsia="Calibri" w:cs="Arial"/>
          <w:color w:val="000000" w:themeColor="text1"/>
        </w:rPr>
        <w:t>DTATSIPCA</w:t>
      </w:r>
      <w:r w:rsidR="002C627B">
        <w:rPr>
          <w:rFonts w:eastAsia="Calibri" w:cs="Arial"/>
          <w:color w:val="000000" w:themeColor="text1"/>
        </w:rPr>
        <w:t>)</w:t>
      </w:r>
      <w:r w:rsidR="00E40357">
        <w:rPr>
          <w:rFonts w:eastAsia="Calibri" w:cs="Arial"/>
          <w:color w:val="000000" w:themeColor="text1"/>
        </w:rPr>
        <w:t xml:space="preserve"> </w:t>
      </w:r>
      <w:r w:rsidR="002C627B">
        <w:rPr>
          <w:rFonts w:eastAsia="Calibri" w:cs="Arial"/>
          <w:color w:val="000000" w:themeColor="text1"/>
        </w:rPr>
        <w:t>to foster</w:t>
      </w:r>
      <w:r w:rsidRPr="00233CF5">
        <w:rPr>
          <w:rFonts w:eastAsia="Calibri" w:cs="Arial"/>
          <w:color w:val="000000" w:themeColor="text1"/>
        </w:rPr>
        <w:t xml:space="preserve"> respectful engagement with First Nations peoples.</w:t>
      </w:r>
    </w:p>
    <w:p w14:paraId="6B9D16F2" w14:textId="77777777" w:rsidR="001C20FB" w:rsidRPr="004964F7" w:rsidRDefault="001C20FB" w:rsidP="001C20FB">
      <w:pPr>
        <w:pStyle w:val="Heading2"/>
        <w:rPr>
          <w:color w:val="8D361E"/>
        </w:rPr>
      </w:pPr>
      <w:bookmarkStart w:id="519" w:name="_Toc56451593"/>
      <w:bookmarkStart w:id="520" w:name="_Toc56452167"/>
      <w:bookmarkStart w:id="521" w:name="_Toc84593896"/>
      <w:bookmarkStart w:id="522" w:name="_Toc85451773"/>
      <w:bookmarkStart w:id="523" w:name="_Toc85526703"/>
      <w:bookmarkStart w:id="524" w:name="_Toc85787118"/>
      <w:bookmarkStart w:id="525" w:name="_Toc420114798"/>
      <w:bookmarkStart w:id="526" w:name="_Toc117697177"/>
      <w:bookmarkStart w:id="527" w:name="_Toc117697884"/>
      <w:bookmarkStart w:id="528" w:name="_Toc147757324"/>
      <w:bookmarkStart w:id="529" w:name="_Toc148086945"/>
      <w:r w:rsidRPr="004964F7">
        <w:rPr>
          <w:color w:val="8D361E"/>
        </w:rPr>
        <w:t>Indicator 3: Awareness-raising and support for related entities</w:t>
      </w:r>
      <w:bookmarkEnd w:id="519"/>
      <w:bookmarkEnd w:id="520"/>
      <w:bookmarkEnd w:id="521"/>
      <w:bookmarkEnd w:id="522"/>
      <w:bookmarkEnd w:id="523"/>
      <w:bookmarkEnd w:id="524"/>
      <w:bookmarkEnd w:id="525"/>
      <w:bookmarkEnd w:id="526"/>
      <w:bookmarkEnd w:id="527"/>
      <w:bookmarkEnd w:id="528"/>
      <w:bookmarkEnd w:id="529"/>
    </w:p>
    <w:p w14:paraId="4A2B4B2F" w14:textId="7F4D4B6F" w:rsidR="098AD777" w:rsidRDefault="00392425">
      <w:r>
        <w:t>The Commission</w:t>
      </w:r>
      <w:r w:rsidR="02FDC80E">
        <w:t xml:space="preserve"> asked state public entities </w:t>
      </w:r>
      <w:r w:rsidR="00DF3D37">
        <w:t xml:space="preserve">to report on </w:t>
      </w:r>
      <w:r w:rsidR="02FDC80E">
        <w:t xml:space="preserve">the extent to which they had raised awareness about the Human Rights Act with contractors they engage to deliver services, and how they have encouraged and supported </w:t>
      </w:r>
      <w:r w:rsidR="00B57DC2">
        <w:t xml:space="preserve">contractors’ </w:t>
      </w:r>
      <w:r w:rsidR="02FDC80E">
        <w:t xml:space="preserve">compliance with </w:t>
      </w:r>
      <w:r w:rsidR="00EE2BD2">
        <w:t>the Human Rights Act</w:t>
      </w:r>
      <w:r w:rsidR="02FDC80E">
        <w:t>.</w:t>
      </w:r>
      <w:r w:rsidR="10D656E6">
        <w:t xml:space="preserve"> </w:t>
      </w:r>
    </w:p>
    <w:p w14:paraId="15EC26F8" w14:textId="03D73DA4" w:rsidR="00C769E5" w:rsidRDefault="00C769E5">
      <w:r>
        <w:t>The responses</w:t>
      </w:r>
      <w:r w:rsidR="00C35742">
        <w:t xml:space="preserve"> this year</w:t>
      </w:r>
      <w:r>
        <w:t xml:space="preserve"> indicated that many government contracts include </w:t>
      </w:r>
      <w:r w:rsidR="003029B7">
        <w:t xml:space="preserve">standard </w:t>
      </w:r>
      <w:r>
        <w:t>clauses requiring contractors to comply with various laws</w:t>
      </w:r>
      <w:r w:rsidR="00E227E6">
        <w:t xml:space="preserve"> (</w:t>
      </w:r>
      <w:r>
        <w:t xml:space="preserve">which generally </w:t>
      </w:r>
      <w:r w:rsidR="00FE4A22">
        <w:t>includes</w:t>
      </w:r>
      <w:r>
        <w:t xml:space="preserve"> the Human Rights Act</w:t>
      </w:r>
      <w:r w:rsidR="00E227E6">
        <w:t>)</w:t>
      </w:r>
      <w:r w:rsidR="004C4B7F">
        <w:t>.</w:t>
      </w:r>
      <w:r>
        <w:t xml:space="preserve"> </w:t>
      </w:r>
      <w:r w:rsidR="00DA031A">
        <w:t>I</w:t>
      </w:r>
      <w:r>
        <w:t>ncreasingly</w:t>
      </w:r>
      <w:r w:rsidR="00DA031A">
        <w:t>,</w:t>
      </w:r>
      <w:r>
        <w:t xml:space="preserve"> procurement </w:t>
      </w:r>
      <w:r w:rsidR="00FE4A22">
        <w:t>processes</w:t>
      </w:r>
      <w:r>
        <w:t xml:space="preserve"> embed </w:t>
      </w:r>
      <w:r w:rsidR="00CE2BB6">
        <w:t xml:space="preserve">human rights obligations, </w:t>
      </w:r>
      <w:r>
        <w:t xml:space="preserve">and government departments are </w:t>
      </w:r>
      <w:r w:rsidR="004D4F7F">
        <w:t>actively working</w:t>
      </w:r>
      <w:r>
        <w:t xml:space="preserve"> to raise awareness of </w:t>
      </w:r>
      <w:r w:rsidR="00EE2BD2">
        <w:t>the Human Rights Act</w:t>
      </w:r>
      <w:r>
        <w:t xml:space="preserve"> </w:t>
      </w:r>
      <w:r w:rsidR="004D4F7F">
        <w:t>among their</w:t>
      </w:r>
      <w:r w:rsidR="00CE2BB6">
        <w:t xml:space="preserve"> </w:t>
      </w:r>
      <w:r w:rsidR="00344C8B">
        <w:t>contractors.</w:t>
      </w:r>
      <w:r>
        <w:t xml:space="preserve"> </w:t>
      </w:r>
    </w:p>
    <w:p w14:paraId="48E48FFE" w14:textId="2446690A" w:rsidR="004D4597" w:rsidRPr="00E60E64" w:rsidRDefault="00675B23" w:rsidP="005F4B94">
      <w:pPr>
        <w:pStyle w:val="Heading3"/>
        <w:rPr>
          <w:color w:val="8D361E"/>
        </w:rPr>
      </w:pPr>
      <w:r>
        <w:rPr>
          <w:color w:val="8D361E"/>
        </w:rPr>
        <w:t>Contractual arrangements</w:t>
      </w:r>
      <w:r w:rsidR="004C3C99">
        <w:rPr>
          <w:color w:val="8D361E"/>
        </w:rPr>
        <w:t>, training</w:t>
      </w:r>
      <w:r w:rsidR="0099641B">
        <w:rPr>
          <w:color w:val="8D361E"/>
        </w:rPr>
        <w:t>,</w:t>
      </w:r>
      <w:r w:rsidR="004C3C99">
        <w:rPr>
          <w:color w:val="8D361E"/>
        </w:rPr>
        <w:t xml:space="preserve"> and </w:t>
      </w:r>
      <w:r>
        <w:rPr>
          <w:color w:val="8D361E"/>
        </w:rPr>
        <w:t>awareness</w:t>
      </w:r>
      <w:r w:rsidR="00DE5684">
        <w:rPr>
          <w:color w:val="8D361E"/>
        </w:rPr>
        <w:t>-</w:t>
      </w:r>
      <w:r>
        <w:rPr>
          <w:color w:val="8D361E"/>
        </w:rPr>
        <w:t>raising</w:t>
      </w:r>
    </w:p>
    <w:p w14:paraId="6B5D088B" w14:textId="4E2A4A37" w:rsidR="00160CD1" w:rsidRDefault="002E1B84">
      <w:r w:rsidRPr="002E1B84">
        <w:t xml:space="preserve">The Department of Health conducted various activities during Human Rights Week (1-10 Dec 2022) to raise awareness of human rights </w:t>
      </w:r>
      <w:r w:rsidR="006F09EF">
        <w:t xml:space="preserve">and </w:t>
      </w:r>
      <w:r w:rsidRPr="002E1B84">
        <w:t>includ</w:t>
      </w:r>
      <w:r w:rsidR="006F09EF">
        <w:t>ed</w:t>
      </w:r>
      <w:r w:rsidRPr="002E1B84">
        <w:t xml:space="preserve"> webinars presented by human rights experts.</w:t>
      </w:r>
      <w:r w:rsidR="007A1F41">
        <w:t xml:space="preserve"> The Department also hosted</w:t>
      </w:r>
      <w:r w:rsidR="007A1F41" w:rsidRPr="007A1F41">
        <w:t xml:space="preserve"> events and </w:t>
      </w:r>
      <w:r w:rsidR="00B06E00">
        <w:t>distributed</w:t>
      </w:r>
      <w:r w:rsidR="007A1F41">
        <w:t xml:space="preserve"> </w:t>
      </w:r>
      <w:r w:rsidR="007A1F41" w:rsidRPr="007A1F41">
        <w:t xml:space="preserve">communications to support the introduction of the </w:t>
      </w:r>
      <w:r w:rsidR="007A1F41" w:rsidRPr="0016381B">
        <w:rPr>
          <w:i/>
          <w:iCs/>
        </w:rPr>
        <w:t>Voluntary Assisted Dying Act 2021</w:t>
      </w:r>
      <w:r w:rsidR="007A1F41" w:rsidRPr="007A1F41">
        <w:t>, emphasi</w:t>
      </w:r>
      <w:r w:rsidR="00F45B9E">
        <w:t>s</w:t>
      </w:r>
      <w:r w:rsidR="007A1F41" w:rsidRPr="007A1F41">
        <w:t>ing the importance of human life and human rights principles.</w:t>
      </w:r>
    </w:p>
    <w:p w14:paraId="015D2A6C" w14:textId="51190F9B" w:rsidR="0022084F" w:rsidRDefault="006A42B6">
      <w:r>
        <w:t>Queensland Corrective Services</w:t>
      </w:r>
      <w:r w:rsidR="00320869">
        <w:t xml:space="preserve"> reported that</w:t>
      </w:r>
      <w:r>
        <w:t xml:space="preserve"> </w:t>
      </w:r>
      <w:r w:rsidR="0022084F" w:rsidRPr="0022084F">
        <w:t xml:space="preserve">Official Visitors and </w:t>
      </w:r>
      <w:r w:rsidR="00320869">
        <w:t xml:space="preserve">newly appointed </w:t>
      </w:r>
      <w:r w:rsidR="0022084F" w:rsidRPr="0022084F">
        <w:t xml:space="preserve">Parole Board Queensland members completed training on the Human Rights Act </w:t>
      </w:r>
      <w:r w:rsidR="00EC0A3C">
        <w:t xml:space="preserve">in order </w:t>
      </w:r>
      <w:r w:rsidR="0022084F" w:rsidRPr="0022084F">
        <w:t>to apply human rights principles in their roles.</w:t>
      </w:r>
      <w:r w:rsidRPr="006A42B6">
        <w:t xml:space="preserve"> </w:t>
      </w:r>
      <w:r>
        <w:t>In addition, e</w:t>
      </w:r>
      <w:r w:rsidRPr="006A42B6">
        <w:t>ducation service providers working in correctional centres received information on the Human Rights Act.</w:t>
      </w:r>
    </w:p>
    <w:p w14:paraId="5917DB18" w14:textId="3ECF4EB4" w:rsidR="008A0E0B" w:rsidRDefault="008A0E0B">
      <w:r>
        <w:t>Human rights principles have been incorporated in departmental contracts with organisations contracted by the Department of Housing</w:t>
      </w:r>
      <w:r w:rsidR="00916203">
        <w:t xml:space="preserve">. </w:t>
      </w:r>
      <w:r w:rsidR="00916203" w:rsidRPr="00916203">
        <w:t xml:space="preserve">The </w:t>
      </w:r>
      <w:r w:rsidR="00A02532">
        <w:t>D</w:t>
      </w:r>
      <w:r w:rsidR="00916203" w:rsidRPr="00916203">
        <w:t>epartment's contract management teams also engage in discussions about human rights obligations during quarterly meetings with funded bodies and promote training opportunities related to human rights.</w:t>
      </w:r>
    </w:p>
    <w:p w14:paraId="1A908543" w14:textId="28CA538A" w:rsidR="00736037" w:rsidRDefault="004E087A">
      <w:r w:rsidRPr="004E087A">
        <w:t>Contractors engaged by D</w:t>
      </w:r>
      <w:r w:rsidR="00736037">
        <w:t>CSSDS</w:t>
      </w:r>
      <w:r w:rsidR="00C236FE">
        <w:t xml:space="preserve"> </w:t>
      </w:r>
      <w:r w:rsidR="00C236FE" w:rsidRPr="004E087A">
        <w:t>are required to complete human rights training.</w:t>
      </w:r>
      <w:r w:rsidR="00C236FE">
        <w:t xml:space="preserve"> </w:t>
      </w:r>
      <w:r w:rsidR="00FA188D">
        <w:t>For instance, newly</w:t>
      </w:r>
      <w:r w:rsidR="00FA188D" w:rsidRPr="00FA188D">
        <w:t xml:space="preserve"> funded Delegated Authority service providers</w:t>
      </w:r>
      <w:r w:rsidR="00FA188D">
        <w:t xml:space="preserve"> contracted by DCSSDS</w:t>
      </w:r>
      <w:r w:rsidR="00FA188D" w:rsidRPr="00FA188D">
        <w:t xml:space="preserve"> receive induction materials that include general information on the Act, the requirement to comply with the Act, and information on where to access further information and training.</w:t>
      </w:r>
    </w:p>
    <w:p w14:paraId="33C44F00" w14:textId="764F8A07" w:rsidR="00C236FE" w:rsidRDefault="002E00CC">
      <w:r>
        <w:t>Contracting arrangements</w:t>
      </w:r>
      <w:r w:rsidR="00D522A8">
        <w:t xml:space="preserve"> with DYJESBT</w:t>
      </w:r>
      <w:r>
        <w:t xml:space="preserve"> </w:t>
      </w:r>
      <w:r w:rsidR="00BA1598">
        <w:t>include compliance wit</w:t>
      </w:r>
      <w:r w:rsidR="00051D6D">
        <w:t>h the Human Rights Act</w:t>
      </w:r>
      <w:r w:rsidR="00D522A8">
        <w:t>, and</w:t>
      </w:r>
      <w:r w:rsidR="00C236FE">
        <w:t xml:space="preserve"> contractors engaged for more than three months</w:t>
      </w:r>
      <w:r w:rsidR="00C236FE" w:rsidRPr="004E087A">
        <w:t xml:space="preserve"> are</w:t>
      </w:r>
      <w:r w:rsidR="00C236FE">
        <w:t xml:space="preserve"> also</w:t>
      </w:r>
      <w:r w:rsidR="00C236FE" w:rsidRPr="004E087A">
        <w:t xml:space="preserve"> required to complete human rights training.</w:t>
      </w:r>
      <w:r w:rsidR="005521A9">
        <w:t xml:space="preserve"> The organisations funded to deliver services for the Department are required to comp</w:t>
      </w:r>
      <w:r w:rsidR="0092054B">
        <w:t>ly with the Human Services Quality Framework which incorporates human rights obligations.</w:t>
      </w:r>
    </w:p>
    <w:p w14:paraId="1E2EB84E" w14:textId="4CE6DCD3" w:rsidR="00974E93" w:rsidRPr="00D02016" w:rsidRDefault="00974E93" w:rsidP="00D02016">
      <w:pPr>
        <w:pStyle w:val="Heading3"/>
        <w:rPr>
          <w:color w:val="8D361E"/>
        </w:rPr>
      </w:pPr>
      <w:r w:rsidRPr="00D02016">
        <w:rPr>
          <w:color w:val="8D361E"/>
        </w:rPr>
        <w:t>Procurement processes</w:t>
      </w:r>
    </w:p>
    <w:p w14:paraId="0B2A776A" w14:textId="64266E65" w:rsidR="00974E93" w:rsidRDefault="00974E93">
      <w:r w:rsidRPr="00974E93">
        <w:t xml:space="preserve">Human rights expectations </w:t>
      </w:r>
      <w:r w:rsidR="00914C4F">
        <w:t>have been</w:t>
      </w:r>
      <w:r w:rsidRPr="00974E93">
        <w:t xml:space="preserve"> integrated into </w:t>
      </w:r>
      <w:r w:rsidR="00DF1ECD">
        <w:t>Department of Health</w:t>
      </w:r>
      <w:r w:rsidRPr="00974E93">
        <w:t xml:space="preserve"> procurement processes, including 'request for quote' and 'invitation to offer' stages. Contractors and standing offer arrangements require suppliers to comply with the Human Rights Act</w:t>
      </w:r>
      <w:r w:rsidR="00DF1ECD">
        <w:t>.</w:t>
      </w:r>
    </w:p>
    <w:p w14:paraId="1828D44D" w14:textId="54B3814B" w:rsidR="00C64179" w:rsidRDefault="00C64179">
      <w:r w:rsidRPr="00C64179">
        <w:t xml:space="preserve">Procurement documentation for the Department of Education </w:t>
      </w:r>
      <w:r w:rsidR="00914C4F">
        <w:t>has been</w:t>
      </w:r>
      <w:r w:rsidRPr="00C64179">
        <w:t xml:space="preserve"> updated to include human rights clauses and requirements, ensuring that contractors understand how to </w:t>
      </w:r>
      <w:r w:rsidR="00914C4F">
        <w:t>meet their obligations to</w:t>
      </w:r>
      <w:r w:rsidRPr="00C64179">
        <w:t xml:space="preserve"> protect, respect, and promote human rights.</w:t>
      </w:r>
    </w:p>
    <w:p w14:paraId="4A1ADD32" w14:textId="6FF55579" w:rsidR="00FA3E0C" w:rsidRDefault="00FA3E0C">
      <w:r>
        <w:t>DTATSIPCA reported that</w:t>
      </w:r>
      <w:r w:rsidR="00481BD8">
        <w:t xml:space="preserve"> t</w:t>
      </w:r>
      <w:r w:rsidR="00481BD8" w:rsidRPr="00481BD8">
        <w:t>he Family Responsibilities Commission commissioned an independent review in 2022, and the engagement of the contractor was conditional upon evidence of compliance with the Human Rights Act.</w:t>
      </w:r>
      <w:r w:rsidR="006D2F92">
        <w:t xml:space="preserve"> In addition,</w:t>
      </w:r>
      <w:r w:rsidR="006D2F92" w:rsidRPr="006D2F92">
        <w:t xml:space="preserve"> </w:t>
      </w:r>
      <w:r w:rsidR="00AA7CDD">
        <w:t>‘</w:t>
      </w:r>
      <w:r w:rsidR="004E63FB">
        <w:t>r</w:t>
      </w:r>
      <w:r w:rsidR="006D2F92" w:rsidRPr="006D2F92">
        <w:t xml:space="preserve">equest for </w:t>
      </w:r>
      <w:r w:rsidR="00632094">
        <w:t>q</w:t>
      </w:r>
      <w:r w:rsidR="006D2F92" w:rsidRPr="006D2F92">
        <w:t>uote</w:t>
      </w:r>
      <w:r w:rsidR="00AA7CDD">
        <w:t>’</w:t>
      </w:r>
      <w:r w:rsidR="006D2F92" w:rsidRPr="006D2F92">
        <w:t xml:space="preserve"> documentation for Social Services requires tenderers to provide evidence of compliance with the Human Services Quality Framework</w:t>
      </w:r>
      <w:r w:rsidR="00AA7CDD">
        <w:t xml:space="preserve"> (which incorporates human rights)</w:t>
      </w:r>
      <w:r w:rsidR="006D2F92" w:rsidRPr="006D2F92">
        <w:t>.</w:t>
      </w:r>
      <w:r w:rsidR="006D2F92">
        <w:t xml:space="preserve"> </w:t>
      </w:r>
    </w:p>
    <w:p w14:paraId="4DBCDBA5" w14:textId="62F67404" w:rsidR="25306663" w:rsidRPr="004964F7" w:rsidRDefault="7003E4BB" w:rsidP="0084220A">
      <w:pPr>
        <w:pStyle w:val="Heading2"/>
        <w:rPr>
          <w:color w:val="8D361E"/>
        </w:rPr>
      </w:pPr>
      <w:bookmarkStart w:id="530" w:name="_Toc56451594"/>
      <w:bookmarkStart w:id="531" w:name="_Toc56452168"/>
      <w:bookmarkStart w:id="532" w:name="_Toc84593897"/>
      <w:bookmarkStart w:id="533" w:name="_Toc85451774"/>
      <w:bookmarkStart w:id="534" w:name="_Toc85526704"/>
      <w:bookmarkStart w:id="535" w:name="_Toc85787119"/>
      <w:bookmarkStart w:id="536" w:name="_Toc117697178"/>
      <w:bookmarkStart w:id="537" w:name="_Toc117697885"/>
      <w:bookmarkStart w:id="538" w:name="_Toc147757325"/>
      <w:bookmarkStart w:id="539" w:name="_Toc148086946"/>
      <w:bookmarkStart w:id="540" w:name="_Toc265989645"/>
      <w:r w:rsidRPr="004964F7">
        <w:rPr>
          <w:color w:val="8D361E"/>
        </w:rPr>
        <w:t>Indicator 4: Review and development of legislation</w:t>
      </w:r>
      <w:bookmarkEnd w:id="530"/>
      <w:bookmarkEnd w:id="531"/>
      <w:bookmarkEnd w:id="532"/>
      <w:bookmarkEnd w:id="533"/>
      <w:bookmarkEnd w:id="534"/>
      <w:bookmarkEnd w:id="535"/>
      <w:bookmarkEnd w:id="536"/>
      <w:bookmarkEnd w:id="537"/>
      <w:bookmarkEnd w:id="538"/>
      <w:bookmarkEnd w:id="539"/>
      <w:r w:rsidRPr="004964F7">
        <w:rPr>
          <w:color w:val="8D361E"/>
        </w:rPr>
        <w:t xml:space="preserve"> </w:t>
      </w:r>
      <w:bookmarkEnd w:id="540"/>
    </w:p>
    <w:p w14:paraId="79620F0A" w14:textId="669699FD" w:rsidR="0F8AD1BA" w:rsidRDefault="0084220A">
      <w:r>
        <w:t>The Commission</w:t>
      </w:r>
      <w:r w:rsidR="0F8AD1BA">
        <w:t xml:space="preserve"> asked state public entities </w:t>
      </w:r>
      <w:r w:rsidR="008659DA">
        <w:t xml:space="preserve">to report on </w:t>
      </w:r>
      <w:r w:rsidR="0F8AD1BA">
        <w:t xml:space="preserve">the development of </w:t>
      </w:r>
      <w:r w:rsidR="008659DA">
        <w:t xml:space="preserve">any </w:t>
      </w:r>
      <w:r w:rsidR="0F8AD1BA">
        <w:t xml:space="preserve">legislation </w:t>
      </w:r>
      <w:r w:rsidR="008659DA">
        <w:t xml:space="preserve">or </w:t>
      </w:r>
      <w:r w:rsidR="0F8AD1BA">
        <w:t>subordinate legislation, including examples of the impact of the Human Rights Act, or of good practice in the review and development of laws.</w:t>
      </w:r>
    </w:p>
    <w:p w14:paraId="1C7C97CF" w14:textId="77777777" w:rsidR="005D0190" w:rsidRDefault="00A97A52">
      <w:r>
        <w:t>State public entities</w:t>
      </w:r>
      <w:r w:rsidR="00B22CB5">
        <w:t xml:space="preserve"> provided </w:t>
      </w:r>
      <w:r w:rsidR="007A546C">
        <w:t>examples of</w:t>
      </w:r>
      <w:r w:rsidR="00B22CB5">
        <w:t xml:space="preserve"> </w:t>
      </w:r>
      <w:r w:rsidR="009A0C56">
        <w:t xml:space="preserve">where they </w:t>
      </w:r>
      <w:r w:rsidR="007A546C">
        <w:t>were required</w:t>
      </w:r>
      <w:r w:rsidR="009A0C56">
        <w:t xml:space="preserve"> to consider human rights in the development of new legislation or in amendments to existing legislation.</w:t>
      </w:r>
      <w:r w:rsidR="00BB421F">
        <w:t xml:space="preserve"> </w:t>
      </w:r>
    </w:p>
    <w:p w14:paraId="3BF7BFB1" w14:textId="066BA720" w:rsidR="00CF1CFC" w:rsidRDefault="00BB421F">
      <w:r>
        <w:t xml:space="preserve">Fewer responses </w:t>
      </w:r>
      <w:r w:rsidR="00F25E26">
        <w:t xml:space="preserve">than last year </w:t>
      </w:r>
      <w:r>
        <w:t>were received about implement</w:t>
      </w:r>
      <w:r w:rsidR="0087472E">
        <w:t>ing</w:t>
      </w:r>
      <w:r>
        <w:t xml:space="preserve"> good practice in </w:t>
      </w:r>
      <w:r w:rsidR="0087472E">
        <w:t xml:space="preserve">the </w:t>
      </w:r>
      <w:r>
        <w:t xml:space="preserve">review and development of laws – presumably because these processes are already well embedded in the fourth year of </w:t>
      </w:r>
      <w:r w:rsidR="00CD03C0">
        <w:t xml:space="preserve">operation of </w:t>
      </w:r>
      <w:r w:rsidR="00EE2BD2">
        <w:t>the Human Rights Act</w:t>
      </w:r>
      <w:r>
        <w:t>.</w:t>
      </w:r>
      <w:r w:rsidR="005D0190">
        <w:t xml:space="preserve"> </w:t>
      </w:r>
      <w:r w:rsidR="00CF1CFC">
        <w:t xml:space="preserve">For example, DYJESBT reported that </w:t>
      </w:r>
      <w:r w:rsidR="006B4C52">
        <w:t xml:space="preserve">the </w:t>
      </w:r>
      <w:r w:rsidR="00CF1CFC">
        <w:t xml:space="preserve">Policy and Legislation team had developed ‘strong capability in </w:t>
      </w:r>
      <w:r w:rsidR="005D0190">
        <w:t>assessing</w:t>
      </w:r>
      <w:r w:rsidR="00CF1CFC">
        <w:t xml:space="preserve"> and incorporating human rights into all policy, </w:t>
      </w:r>
      <w:r w:rsidR="005D0190">
        <w:t>legislative</w:t>
      </w:r>
      <w:r w:rsidR="00CF1CFC">
        <w:t xml:space="preserve"> and regulatory options and proposals’, and staff are supported by </w:t>
      </w:r>
      <w:r w:rsidR="005D0190">
        <w:t>standardised</w:t>
      </w:r>
      <w:r w:rsidR="00CF1CFC">
        <w:t xml:space="preserve"> forms and templates </w:t>
      </w:r>
      <w:r w:rsidR="008D3FC2">
        <w:t>that</w:t>
      </w:r>
      <w:r w:rsidR="00CF1CFC">
        <w:t xml:space="preserve"> prompt staff </w:t>
      </w:r>
      <w:r w:rsidR="002923B1">
        <w:t>to consider human rights</w:t>
      </w:r>
      <w:r w:rsidR="00CF1CFC">
        <w:t xml:space="preserve"> at key points through the process.</w:t>
      </w:r>
    </w:p>
    <w:p w14:paraId="54E66A1A" w14:textId="1FB8212E" w:rsidR="33F2F78C" w:rsidRDefault="00635B57" w:rsidP="00A81934">
      <w:pPr>
        <w:pStyle w:val="Heading3"/>
        <w:rPr>
          <w:color w:val="8D361E"/>
        </w:rPr>
      </w:pPr>
      <w:r>
        <w:rPr>
          <w:color w:val="8D361E"/>
        </w:rPr>
        <w:t>Development of legislation promoting rights</w:t>
      </w:r>
    </w:p>
    <w:p w14:paraId="6756C2FA" w14:textId="00935F2E" w:rsidR="0034645E" w:rsidRDefault="00417C16" w:rsidP="00AC52D8">
      <w:r>
        <w:t xml:space="preserve">The Department of Education </w:t>
      </w:r>
      <w:r w:rsidR="00AC52D8">
        <w:t>reported</w:t>
      </w:r>
      <w:r>
        <w:t xml:space="preserve"> that the </w:t>
      </w:r>
      <w:r w:rsidR="00AC52D8">
        <w:t xml:space="preserve">First Nations Strategy and Partnerships division evaluated policy and legislative issues in partnership with the Queensland Aboriginal and Torres Strait Islander Education and Training Advisory Committee (QATSIETAC). Policy and legislation were reviewed for impact on cultural rights </w:t>
      </w:r>
      <w:r w:rsidR="00ED5C0B">
        <w:t>of</w:t>
      </w:r>
      <w:r w:rsidR="00AC52D8">
        <w:t xml:space="preserve"> First Nations people and to support engagement </w:t>
      </w:r>
      <w:r w:rsidR="001124E5">
        <w:t>with</w:t>
      </w:r>
      <w:r w:rsidR="00AC52D8">
        <w:t xml:space="preserve"> First Nations students in education, such as the </w:t>
      </w:r>
      <w:r w:rsidR="007710A3">
        <w:t>D</w:t>
      </w:r>
      <w:r w:rsidR="00AC52D8">
        <w:t xml:space="preserve">epartment's </w:t>
      </w:r>
      <w:r w:rsidR="00452F7C">
        <w:t xml:space="preserve">language </w:t>
      </w:r>
      <w:r w:rsidR="00AC52D8">
        <w:t>program.</w:t>
      </w:r>
    </w:p>
    <w:p w14:paraId="7564AC2D" w14:textId="7CE8431B" w:rsidR="00AC52D8" w:rsidRDefault="00767510" w:rsidP="00AC52D8">
      <w:r>
        <w:t xml:space="preserve">The Department of Housing </w:t>
      </w:r>
      <w:r w:rsidR="00A12A93">
        <w:t>considered</w:t>
      </w:r>
      <w:r w:rsidR="00540D31">
        <w:t xml:space="preserve"> the</w:t>
      </w:r>
      <w:r w:rsidR="00A12A93" w:rsidRPr="00A12A93">
        <w:t xml:space="preserve"> Housing Legislation Amendment Bill 2022 </w:t>
      </w:r>
      <w:r w:rsidR="00540D31">
        <w:t xml:space="preserve">to be an important development for human rights. </w:t>
      </w:r>
      <w:r w:rsidR="00A12A93" w:rsidRPr="00A12A93">
        <w:t>The Bill amen</w:t>
      </w:r>
      <w:r w:rsidR="00DB0B54">
        <w:t>ded</w:t>
      </w:r>
      <w:r w:rsidR="00A12A93" w:rsidRPr="00A12A93">
        <w:t xml:space="preserve"> the </w:t>
      </w:r>
      <w:r w:rsidR="00A12A93" w:rsidRPr="00452F7C">
        <w:rPr>
          <w:i/>
          <w:iCs/>
        </w:rPr>
        <w:t>Housing Act 2003</w:t>
      </w:r>
      <w:r w:rsidR="00A12A93" w:rsidRPr="00A12A93">
        <w:t xml:space="preserve">, the </w:t>
      </w:r>
      <w:r w:rsidR="00A12A93" w:rsidRPr="00BE396F">
        <w:rPr>
          <w:i/>
        </w:rPr>
        <w:t>Housing Regulation 2015</w:t>
      </w:r>
      <w:r w:rsidR="009F3B0D">
        <w:t>,</w:t>
      </w:r>
      <w:r w:rsidR="00A12A93" w:rsidRPr="00A12A93">
        <w:t xml:space="preserve"> and the </w:t>
      </w:r>
      <w:r w:rsidR="00A12A93" w:rsidRPr="00313D80">
        <w:rPr>
          <w:i/>
          <w:iCs/>
        </w:rPr>
        <w:t>Retirement Villages Act 1999</w:t>
      </w:r>
      <w:r w:rsidR="00A12A93" w:rsidRPr="00A12A93">
        <w:t xml:space="preserve"> </w:t>
      </w:r>
      <w:r w:rsidR="00313D80">
        <w:t xml:space="preserve">(Qld) </w:t>
      </w:r>
      <w:r w:rsidR="00A12A93" w:rsidRPr="00A12A93">
        <w:t xml:space="preserve">to help meet the objectives of the Queensland Housing Strategy 2017-2027. </w:t>
      </w:r>
      <w:r w:rsidR="00452F7C">
        <w:t xml:space="preserve">The </w:t>
      </w:r>
      <w:r w:rsidR="00DB0B54">
        <w:t>Department of Housing considered that t</w:t>
      </w:r>
      <w:r w:rsidR="00A12A93" w:rsidRPr="00A12A93">
        <w:t xml:space="preserve">he Bill specifically </w:t>
      </w:r>
      <w:r w:rsidR="00240C35">
        <w:t>helps</w:t>
      </w:r>
      <w:r w:rsidR="00A12A93" w:rsidRPr="00A12A93">
        <w:t xml:space="preserve"> to boost the supply of social and affordable housing through enabling the </w:t>
      </w:r>
      <w:r w:rsidR="00DB0B54">
        <w:t>‘</w:t>
      </w:r>
      <w:r w:rsidR="00A12A93" w:rsidRPr="00A12A93">
        <w:t>Homes for Homes</w:t>
      </w:r>
      <w:r w:rsidR="00467B64">
        <w:t>’</w:t>
      </w:r>
      <w:r w:rsidR="00A12A93" w:rsidRPr="00A12A93">
        <w:t xml:space="preserve"> donation deed model in Queensland. It also helps maintain public confidence in the retirement village industry by increasing consumer protections. The </w:t>
      </w:r>
      <w:r w:rsidR="00467B64">
        <w:t>B</w:t>
      </w:r>
      <w:r w:rsidR="00A12A93" w:rsidRPr="00A12A93">
        <w:t xml:space="preserve">ill was assessed for human rights compatibility and found to be compatible with the rights protected by the </w:t>
      </w:r>
      <w:r w:rsidR="00A12A93" w:rsidRPr="00452F7C">
        <w:rPr>
          <w:i/>
          <w:iCs/>
        </w:rPr>
        <w:t>Human Rights Act 2019</w:t>
      </w:r>
      <w:r w:rsidR="00A12A93" w:rsidRPr="00A12A93">
        <w:t>.</w:t>
      </w:r>
    </w:p>
    <w:p w14:paraId="49409C0B" w14:textId="7FDBD751" w:rsidR="00AD3D20" w:rsidRDefault="004172A5" w:rsidP="00AC52D8">
      <w:r>
        <w:t xml:space="preserve">DTATSIPCA referred to the </w:t>
      </w:r>
      <w:r w:rsidRPr="00452F7C">
        <w:rPr>
          <w:i/>
          <w:iCs/>
        </w:rPr>
        <w:t>Path to Treaty Act 2023</w:t>
      </w:r>
      <w:r>
        <w:t xml:space="preserve">, which was co-designed with the Interim Truth and Treaty Body and passed by the Queensland Parliament in May 2023. </w:t>
      </w:r>
      <w:r w:rsidR="004B3090">
        <w:t xml:space="preserve">For more information see our summary </w:t>
      </w:r>
      <w:r w:rsidR="00612812">
        <w:t xml:space="preserve">in the </w:t>
      </w:r>
      <w:r w:rsidR="00612812" w:rsidRPr="00612812">
        <w:rPr>
          <w:i/>
          <w:iCs/>
        </w:rPr>
        <w:t xml:space="preserve">Human rights and the parliament </w:t>
      </w:r>
      <w:r w:rsidR="00612812">
        <w:t>chapter</w:t>
      </w:r>
      <w:r w:rsidR="004B3090">
        <w:t>.</w:t>
      </w:r>
    </w:p>
    <w:p w14:paraId="4CF14AA7" w14:textId="216341CD" w:rsidR="000174D2" w:rsidRPr="0034645E" w:rsidRDefault="00703EEC" w:rsidP="00AC52D8">
      <w:r>
        <w:t>DCSSDS</w:t>
      </w:r>
      <w:r w:rsidR="00841E85">
        <w:t xml:space="preserve"> </w:t>
      </w:r>
      <w:r w:rsidR="00551AD9">
        <w:t>reported</w:t>
      </w:r>
      <w:r>
        <w:t xml:space="preserve"> that amendments to the </w:t>
      </w:r>
      <w:r w:rsidRPr="00FA1E62">
        <w:rPr>
          <w:i/>
          <w:iCs/>
        </w:rPr>
        <w:t>Child P</w:t>
      </w:r>
      <w:r w:rsidR="000C1237" w:rsidRPr="00FA1E62">
        <w:rPr>
          <w:i/>
          <w:iCs/>
        </w:rPr>
        <w:t xml:space="preserve">rotection Act </w:t>
      </w:r>
      <w:r w:rsidR="00353C8B" w:rsidRPr="00FA1E62">
        <w:rPr>
          <w:i/>
          <w:iCs/>
        </w:rPr>
        <w:t>1999</w:t>
      </w:r>
      <w:r w:rsidR="00353C8B">
        <w:rPr>
          <w:i/>
          <w:iCs/>
        </w:rPr>
        <w:t xml:space="preserve"> </w:t>
      </w:r>
      <w:r w:rsidR="00313D80">
        <w:t>(Qld)</w:t>
      </w:r>
      <w:r w:rsidR="00353C8B">
        <w:t xml:space="preserve"> </w:t>
      </w:r>
      <w:r w:rsidR="00841E85">
        <w:t>aim to ‘reinforce children’s rights and strengthen children’s voices in decision making’. R</w:t>
      </w:r>
      <w:r w:rsidR="000174D2">
        <w:t xml:space="preserve">eference to the </w:t>
      </w:r>
      <w:r w:rsidR="000174D2" w:rsidRPr="00452F7C">
        <w:rPr>
          <w:i/>
          <w:iCs/>
        </w:rPr>
        <w:t>Human Rights Act 2019</w:t>
      </w:r>
      <w:r w:rsidR="000174D2">
        <w:t xml:space="preserve"> and human rights considerations have been incorporated into materials that support the implementation of amendments to the </w:t>
      </w:r>
      <w:r w:rsidR="000174D2" w:rsidRPr="00313D80">
        <w:rPr>
          <w:i/>
          <w:iCs/>
        </w:rPr>
        <w:t>Child Protection Act 1999</w:t>
      </w:r>
      <w:r w:rsidR="00313D80">
        <w:rPr>
          <w:i/>
          <w:iCs/>
        </w:rPr>
        <w:t xml:space="preserve"> </w:t>
      </w:r>
      <w:r w:rsidR="00313D80">
        <w:t>(Qld)</w:t>
      </w:r>
      <w:r w:rsidR="000174D2">
        <w:t xml:space="preserve">. </w:t>
      </w:r>
      <w:r w:rsidR="00313D80">
        <w:t>As an example</w:t>
      </w:r>
      <w:r w:rsidR="00F17CAA">
        <w:t xml:space="preserve">, </w:t>
      </w:r>
      <w:r w:rsidR="00313D80">
        <w:t>DCSSDS considered that</w:t>
      </w:r>
      <w:r w:rsidR="000174D2">
        <w:t xml:space="preserve"> making staff aware that the change to the definition of </w:t>
      </w:r>
      <w:r w:rsidR="00825A44">
        <w:t>‘</w:t>
      </w:r>
      <w:r w:rsidR="000174D2">
        <w:t>kin</w:t>
      </w:r>
      <w:r w:rsidR="00825A44">
        <w:t>’</w:t>
      </w:r>
      <w:r w:rsidR="000174D2">
        <w:t xml:space="preserve"> will help Child Safety to administer the Act in a way that upholds Aboriginal and Torres Strait </w:t>
      </w:r>
      <w:r w:rsidR="008447DB">
        <w:t>I</w:t>
      </w:r>
      <w:r w:rsidR="000174D2">
        <w:t xml:space="preserve">slander </w:t>
      </w:r>
      <w:r w:rsidR="001C6FD0">
        <w:t>people’s</w:t>
      </w:r>
      <w:r w:rsidR="000174D2">
        <w:t xml:space="preserve"> cultural rights, which are protected under the </w:t>
      </w:r>
      <w:r w:rsidR="000174D2" w:rsidRPr="00452F7C">
        <w:rPr>
          <w:i/>
          <w:iCs/>
        </w:rPr>
        <w:t>Human Rights Act 2019</w:t>
      </w:r>
      <w:r w:rsidR="000174D2">
        <w:t>.</w:t>
      </w:r>
    </w:p>
    <w:p w14:paraId="1175F969" w14:textId="77777777" w:rsidR="0053645B" w:rsidRPr="004964F7" w:rsidRDefault="0053645B" w:rsidP="0053645B">
      <w:pPr>
        <w:pStyle w:val="Heading2"/>
        <w:rPr>
          <w:color w:val="8D361E"/>
        </w:rPr>
      </w:pPr>
      <w:bookmarkStart w:id="541" w:name="_Toc56451595"/>
      <w:bookmarkStart w:id="542" w:name="_Toc56452169"/>
      <w:bookmarkStart w:id="543" w:name="_Toc84593898"/>
      <w:bookmarkStart w:id="544" w:name="_Toc85451775"/>
      <w:bookmarkStart w:id="545" w:name="_Toc85526705"/>
      <w:bookmarkStart w:id="546" w:name="_Toc85787120"/>
      <w:bookmarkStart w:id="547" w:name="_Toc1927538291"/>
      <w:bookmarkStart w:id="548" w:name="_Toc117697179"/>
      <w:bookmarkStart w:id="549" w:name="_Toc117697886"/>
      <w:bookmarkStart w:id="550" w:name="_Toc147757326"/>
      <w:bookmarkStart w:id="551" w:name="_Toc148086947"/>
      <w:r w:rsidRPr="004964F7">
        <w:rPr>
          <w:color w:val="8D361E"/>
        </w:rPr>
        <w:t>Indicator 5: Review of policies and procedures</w:t>
      </w:r>
      <w:bookmarkEnd w:id="541"/>
      <w:bookmarkEnd w:id="542"/>
      <w:bookmarkEnd w:id="543"/>
      <w:bookmarkEnd w:id="544"/>
      <w:bookmarkEnd w:id="545"/>
      <w:bookmarkEnd w:id="546"/>
      <w:bookmarkEnd w:id="547"/>
      <w:bookmarkEnd w:id="548"/>
      <w:bookmarkEnd w:id="549"/>
      <w:bookmarkEnd w:id="550"/>
      <w:bookmarkEnd w:id="551"/>
    </w:p>
    <w:p w14:paraId="59A71973" w14:textId="77E02C76" w:rsidR="2C5A2B03" w:rsidRDefault="008A156C" w:rsidP="5EDE8FAE">
      <w:pPr>
        <w:spacing w:after="0"/>
      </w:pPr>
      <w:r>
        <w:t>The Commission</w:t>
      </w:r>
      <w:r w:rsidR="2840504C">
        <w:t xml:space="preserve"> asked state public entities </w:t>
      </w:r>
      <w:r w:rsidR="00982970">
        <w:t>to repo</w:t>
      </w:r>
      <w:r w:rsidR="005073BD">
        <w:t>rt on</w:t>
      </w:r>
      <w:r w:rsidR="001B26A2">
        <w:t xml:space="preserve"> </w:t>
      </w:r>
      <w:r w:rsidR="2840504C">
        <w:t>reviews of policies and procedures for compatibility with human rights, whether this has led to any changes (including to service delivery)</w:t>
      </w:r>
      <w:r w:rsidR="00424491">
        <w:t>,</w:t>
      </w:r>
      <w:r w:rsidR="2840504C">
        <w:t xml:space="preserve"> and whether guidance is available </w:t>
      </w:r>
      <w:r w:rsidR="00B715EF">
        <w:t>to</w:t>
      </w:r>
      <w:r w:rsidR="2840504C">
        <w:t xml:space="preserve"> staff on acting compatibly with the Human Rights Act.</w:t>
      </w:r>
    </w:p>
    <w:p w14:paraId="40324FD7" w14:textId="77777777" w:rsidR="00F8564B" w:rsidRPr="00F8564B" w:rsidRDefault="00F8564B" w:rsidP="00F8564B">
      <w:pPr>
        <w:spacing w:after="0"/>
      </w:pPr>
    </w:p>
    <w:p w14:paraId="3006CBA3" w14:textId="1420C089" w:rsidR="00F8564B" w:rsidRDefault="00F8564B" w:rsidP="005408E9">
      <w:pPr>
        <w:spacing w:after="200"/>
        <w:rPr>
          <w:rFonts w:cs="Arial"/>
          <w:lang w:val="en-US"/>
        </w:rPr>
      </w:pPr>
      <w:r>
        <w:rPr>
          <w:rFonts w:cs="Arial"/>
          <w:lang w:val="en-US"/>
        </w:rPr>
        <w:t xml:space="preserve">The Department of Health reported that human rights assessments are a standard requirement in policy and procedure approval forms, </w:t>
      </w:r>
      <w:r w:rsidR="008E2A07">
        <w:rPr>
          <w:rFonts w:cs="Arial"/>
          <w:lang w:val="en-US"/>
        </w:rPr>
        <w:t xml:space="preserve">and </w:t>
      </w:r>
      <w:r>
        <w:rPr>
          <w:rFonts w:cs="Arial"/>
          <w:lang w:val="en-US"/>
        </w:rPr>
        <w:t>provid</w:t>
      </w:r>
      <w:r w:rsidR="008E2A07">
        <w:rPr>
          <w:rFonts w:cs="Arial"/>
          <w:lang w:val="en-US"/>
        </w:rPr>
        <w:t>ed</w:t>
      </w:r>
      <w:r>
        <w:rPr>
          <w:rFonts w:cs="Arial"/>
          <w:lang w:val="en-US"/>
        </w:rPr>
        <w:t xml:space="preserve"> examples of updates, including:</w:t>
      </w:r>
    </w:p>
    <w:p w14:paraId="040A7122" w14:textId="478706EF" w:rsidR="004F6222" w:rsidRDefault="004F6222" w:rsidP="00F8564B">
      <w:pPr>
        <w:pStyle w:val="Listparagraph-bulleted"/>
        <w:rPr>
          <w:lang w:val="en-US"/>
        </w:rPr>
      </w:pPr>
      <w:r>
        <w:rPr>
          <w:lang w:val="en-US"/>
        </w:rPr>
        <w:t xml:space="preserve">Queensland Ambulance Service </w:t>
      </w:r>
      <w:r w:rsidR="000D3610">
        <w:rPr>
          <w:lang w:val="en-US"/>
        </w:rPr>
        <w:t xml:space="preserve">updated the electronic </w:t>
      </w:r>
      <w:r w:rsidR="00A70289">
        <w:rPr>
          <w:lang w:val="en-US"/>
        </w:rPr>
        <w:t>A</w:t>
      </w:r>
      <w:r w:rsidR="00A70289" w:rsidRPr="00A70289">
        <w:rPr>
          <w:lang w:val="en-US"/>
        </w:rPr>
        <w:t xml:space="preserve">mbulance Report Form </w:t>
      </w:r>
      <w:r w:rsidR="00A70289">
        <w:rPr>
          <w:lang w:val="en-US"/>
        </w:rPr>
        <w:t xml:space="preserve">to ‘reflect </w:t>
      </w:r>
      <w:r w:rsidR="00A70289" w:rsidRPr="00A70289">
        <w:rPr>
          <w:lang w:val="en-US"/>
        </w:rPr>
        <w:t>accepted nomenclature for sex, gender, and pronoun</w:t>
      </w:r>
      <w:r w:rsidR="00A70289">
        <w:rPr>
          <w:lang w:val="en-US"/>
        </w:rPr>
        <w:t>s’</w:t>
      </w:r>
      <w:r w:rsidR="00C22F73">
        <w:rPr>
          <w:lang w:val="en-US"/>
        </w:rPr>
        <w:t>.</w:t>
      </w:r>
    </w:p>
    <w:p w14:paraId="27DDC22C" w14:textId="61861F54" w:rsidR="00F8564B" w:rsidRDefault="00F8564B" w:rsidP="00F8564B">
      <w:pPr>
        <w:pStyle w:val="Listparagraph-bulleted"/>
        <w:rPr>
          <w:lang w:val="en-US"/>
        </w:rPr>
      </w:pPr>
      <w:r w:rsidRPr="00F8564B">
        <w:rPr>
          <w:lang w:val="en-US"/>
        </w:rPr>
        <w:t>West Moreton HHS developed new Voluntary Assisted Dying services with the Human Rights Act guiding the development.</w:t>
      </w:r>
    </w:p>
    <w:p w14:paraId="235ED05C" w14:textId="2221DD63" w:rsidR="00B5236A" w:rsidRPr="00B5236A" w:rsidRDefault="00B5236A" w:rsidP="00B5236A">
      <w:pPr>
        <w:pStyle w:val="Listparagraph-bulleted"/>
        <w:rPr>
          <w:lang w:val="en-US"/>
        </w:rPr>
      </w:pPr>
      <w:r w:rsidRPr="00B5236A">
        <w:rPr>
          <w:lang w:val="en-US"/>
        </w:rPr>
        <w:t xml:space="preserve">Mackay HHS’s review of Least Restrictive Practices policy resulted in changes </w:t>
      </w:r>
      <w:r w:rsidR="00A15784">
        <w:rPr>
          <w:lang w:val="en-US"/>
        </w:rPr>
        <w:t>to</w:t>
      </w:r>
      <w:r w:rsidRPr="00B5236A">
        <w:rPr>
          <w:lang w:val="en-US"/>
        </w:rPr>
        <w:t xml:space="preserve"> practices</w:t>
      </w:r>
      <w:r w:rsidR="008143FB">
        <w:rPr>
          <w:lang w:val="en-US"/>
        </w:rPr>
        <w:t>.</w:t>
      </w:r>
      <w:r w:rsidRPr="00B5236A">
        <w:rPr>
          <w:lang w:val="en-US"/>
        </w:rPr>
        <w:t xml:space="preserve"> </w:t>
      </w:r>
    </w:p>
    <w:p w14:paraId="72DBD448" w14:textId="5F7C3642" w:rsidR="25306663" w:rsidRPr="003B3FF2" w:rsidRDefault="002707D0" w:rsidP="003B3FF2">
      <w:r>
        <w:rPr>
          <w:rFonts w:cs="Arial"/>
        </w:rPr>
        <w:t xml:space="preserve">Human rights </w:t>
      </w:r>
      <w:r w:rsidR="00D1742F">
        <w:rPr>
          <w:rFonts w:cs="Arial"/>
        </w:rPr>
        <w:t xml:space="preserve">considerations </w:t>
      </w:r>
      <w:r w:rsidR="00047C00">
        <w:rPr>
          <w:rFonts w:cs="Arial"/>
        </w:rPr>
        <w:t>continue to be</w:t>
      </w:r>
      <w:r>
        <w:rPr>
          <w:rFonts w:cs="Arial"/>
        </w:rPr>
        <w:t xml:space="preserve"> a</w:t>
      </w:r>
      <w:r w:rsidR="008F0238">
        <w:rPr>
          <w:rFonts w:cs="Arial"/>
        </w:rPr>
        <w:t xml:space="preserve"> </w:t>
      </w:r>
      <w:r w:rsidR="00D1742F">
        <w:rPr>
          <w:rFonts w:cs="Arial"/>
        </w:rPr>
        <w:t>required</w:t>
      </w:r>
      <w:r w:rsidR="008F0238">
        <w:rPr>
          <w:rFonts w:cs="Arial"/>
        </w:rPr>
        <w:t xml:space="preserve"> </w:t>
      </w:r>
      <w:r w:rsidR="00047C00">
        <w:rPr>
          <w:rFonts w:cs="Arial"/>
        </w:rPr>
        <w:t>aspect</w:t>
      </w:r>
      <w:r w:rsidR="008F0238">
        <w:rPr>
          <w:rFonts w:cs="Arial"/>
        </w:rPr>
        <w:t xml:space="preserve"> of </w:t>
      </w:r>
      <w:r w:rsidR="00047C00">
        <w:rPr>
          <w:rFonts w:cs="Arial"/>
        </w:rPr>
        <w:t>policy</w:t>
      </w:r>
      <w:r w:rsidR="000E7C13">
        <w:rPr>
          <w:rFonts w:cs="Arial"/>
        </w:rPr>
        <w:t>,</w:t>
      </w:r>
      <w:r w:rsidR="00047C00">
        <w:rPr>
          <w:rFonts w:cs="Arial"/>
        </w:rPr>
        <w:t xml:space="preserve"> and review and development</w:t>
      </w:r>
      <w:r w:rsidR="008F0238">
        <w:rPr>
          <w:rFonts w:cs="Arial"/>
        </w:rPr>
        <w:t xml:space="preserve"> through </w:t>
      </w:r>
      <w:r w:rsidR="00047C00">
        <w:rPr>
          <w:rFonts w:cs="Arial"/>
        </w:rPr>
        <w:t xml:space="preserve">the use of </w:t>
      </w:r>
      <w:r w:rsidR="008F0238">
        <w:rPr>
          <w:rFonts w:cs="Arial"/>
        </w:rPr>
        <w:t>a Human Rights Impact Assessment Tool a</w:t>
      </w:r>
      <w:r w:rsidR="00014A16">
        <w:rPr>
          <w:rFonts w:cs="Arial"/>
        </w:rPr>
        <w:t>t the Department of E</w:t>
      </w:r>
      <w:r w:rsidR="00D01A05">
        <w:rPr>
          <w:rFonts w:cs="Arial"/>
        </w:rPr>
        <w:t>ducation</w:t>
      </w:r>
      <w:r w:rsidR="008F0238">
        <w:rPr>
          <w:rFonts w:cs="Arial"/>
        </w:rPr>
        <w:t>.</w:t>
      </w:r>
      <w:r w:rsidR="00D1742F">
        <w:rPr>
          <w:rFonts w:cs="Arial"/>
        </w:rPr>
        <w:t xml:space="preserve"> </w:t>
      </w:r>
      <w:r w:rsidR="00047C00">
        <w:t>The Department reported that the Indigenous Cultural and Intellectual Property Protocol was developed</w:t>
      </w:r>
      <w:r w:rsidR="00D1742F">
        <w:t xml:space="preserve"> in the reporting period</w:t>
      </w:r>
      <w:r w:rsidR="00047C00">
        <w:t xml:space="preserve">. The </w:t>
      </w:r>
      <w:r w:rsidR="000E7C13">
        <w:t>P</w:t>
      </w:r>
      <w:r w:rsidR="00047C00">
        <w:t xml:space="preserve">rotocol relates to the teaching of Aboriginal and Torres Strait Islander languages, and ‘promotes the cultural rights of Aboriginal and Torres Strait Islander peoples, the right to education and the right to recognition and equality before the law.’ </w:t>
      </w:r>
    </w:p>
    <w:p w14:paraId="3580C659" w14:textId="4C9B87A9" w:rsidR="00321A56" w:rsidRPr="003B3FF2" w:rsidRDefault="00321A56" w:rsidP="003B3FF2">
      <w:r>
        <w:t>All youth detention policies have been recently updated</w:t>
      </w:r>
      <w:r w:rsidR="001459C4">
        <w:t xml:space="preserve"> by</w:t>
      </w:r>
      <w:r>
        <w:t xml:space="preserve"> DYJESBT</w:t>
      </w:r>
      <w:r w:rsidR="00577F3C">
        <w:t xml:space="preserve"> to reflect the requirements of the Human Rights Act. T</w:t>
      </w:r>
      <w:r w:rsidR="00CE37F0">
        <w:t xml:space="preserve">his has resulted in </w:t>
      </w:r>
      <w:r>
        <w:t>increased policy and procedural guidance for detention centre staff to support their decision</w:t>
      </w:r>
      <w:r w:rsidR="00117889">
        <w:t>-</w:t>
      </w:r>
      <w:r>
        <w:t xml:space="preserve">making in restrictive practice </w:t>
      </w:r>
      <w:r w:rsidR="00B3494A">
        <w:t>situations</w:t>
      </w:r>
      <w:r>
        <w:t>, including the need to consider alternatives and least restrictive practices.</w:t>
      </w:r>
    </w:p>
    <w:p w14:paraId="6969DE5C" w14:textId="3AEDB712" w:rsidR="009C4F7E" w:rsidRDefault="009C4F7E" w:rsidP="009C4F7E">
      <w:r>
        <w:t xml:space="preserve">At the Department of Housing, </w:t>
      </w:r>
      <w:r w:rsidR="00112C73">
        <w:t>n</w:t>
      </w:r>
      <w:r>
        <w:t>ew whole-of-department policy and procedure templates with human rights considerations have been developed and distributed</w:t>
      </w:r>
      <w:r w:rsidR="006D3589">
        <w:t>,</w:t>
      </w:r>
      <w:r>
        <w:t xml:space="preserve"> along with </w:t>
      </w:r>
      <w:r w:rsidR="008C18B7">
        <w:t xml:space="preserve">a process for </w:t>
      </w:r>
      <w:r>
        <w:t xml:space="preserve">assessing compatibility </w:t>
      </w:r>
      <w:r w:rsidR="00C7610E">
        <w:t xml:space="preserve">and </w:t>
      </w:r>
      <w:r>
        <w:t>record keeping templates.</w:t>
      </w:r>
      <w:r w:rsidR="003B3FF2">
        <w:t xml:space="preserve"> The Department provided a list of housing corporate and operational policies that were reviewed for human rights compatibility involving a range of issues.</w:t>
      </w:r>
    </w:p>
    <w:p w14:paraId="23CB2944" w14:textId="41C25686" w:rsidR="052AA49C" w:rsidRDefault="00977BB4" w:rsidP="38928EE5">
      <w:r>
        <w:t>D</w:t>
      </w:r>
      <w:r w:rsidR="1ECD4790">
        <w:t>CYJMA has drafted a Human Rights Impact Assessment procedure</w:t>
      </w:r>
      <w:r w:rsidR="00530FC4">
        <w:t>,</w:t>
      </w:r>
      <w:r w:rsidR="001B26A2">
        <w:t xml:space="preserve"> </w:t>
      </w:r>
      <w:r w:rsidR="1ECD4790">
        <w:t xml:space="preserve">currently </w:t>
      </w:r>
      <w:r w:rsidR="002145AA">
        <w:t xml:space="preserve">under </w:t>
      </w:r>
      <w:r w:rsidR="1ECD4790">
        <w:t>review</w:t>
      </w:r>
      <w:r w:rsidR="00752F63">
        <w:t>,</w:t>
      </w:r>
      <w:r w:rsidR="1ECD4790">
        <w:t xml:space="preserve"> prior to implementation. This procedure has been developed to assist with Human Rights Impact Assessment</w:t>
      </w:r>
      <w:r w:rsidR="00796FE7">
        <w:t>s</w:t>
      </w:r>
      <w:r w:rsidR="1ECD4790">
        <w:t xml:space="preserve"> for all departmental staff</w:t>
      </w:r>
      <w:r w:rsidR="003F65E7">
        <w:t xml:space="preserve"> and </w:t>
      </w:r>
      <w:r w:rsidR="1ECD4790">
        <w:t>incorporates a template to support the assessment of a decision, policy, procedure, document, proposal, or framework</w:t>
      </w:r>
      <w:r w:rsidR="292DB3D1">
        <w:t>.</w:t>
      </w:r>
      <w:r w:rsidR="1ECD4790">
        <w:t xml:space="preserve"> </w:t>
      </w:r>
      <w:r w:rsidR="002145AA">
        <w:t>T</w:t>
      </w:r>
      <w:r w:rsidR="1ECD4790">
        <w:t xml:space="preserve">his </w:t>
      </w:r>
      <w:r w:rsidR="003F65E7">
        <w:t xml:space="preserve">procedure is expected to </w:t>
      </w:r>
      <w:r w:rsidR="1ECD4790">
        <w:t>be implemented in the near future.</w:t>
      </w:r>
    </w:p>
    <w:p w14:paraId="5BEC6C71" w14:textId="54AB2727" w:rsidR="00BB28E8" w:rsidRDefault="00086801" w:rsidP="38928EE5">
      <w:pPr>
        <w:rPr>
          <w:rFonts w:eastAsia="Calibri" w:cs="Arial"/>
          <w:color w:val="000000" w:themeColor="text1"/>
        </w:rPr>
      </w:pPr>
      <w:r>
        <w:t>While reviewing and developing policies, t</w:t>
      </w:r>
      <w:r w:rsidR="00512188">
        <w:t xml:space="preserve">he Child Safety Practice Manual team at the DCSSDS are expanding information on human rights </w:t>
      </w:r>
      <w:r w:rsidR="003D1D74">
        <w:t>and</w:t>
      </w:r>
      <w:r w:rsidR="00512188">
        <w:t xml:space="preserve"> </w:t>
      </w:r>
      <w:r w:rsidR="00DD1B3A">
        <w:t>focusing on</w:t>
      </w:r>
      <w:r w:rsidR="00512188">
        <w:t xml:space="preserve"> particular human rights under the Human Rights Act that may be affected or upheld by the policies.</w:t>
      </w:r>
      <w:r w:rsidR="003C478C">
        <w:t xml:space="preserve"> In addition, </w:t>
      </w:r>
      <w:r w:rsidR="007F1DE5" w:rsidRPr="007F1DE5">
        <w:rPr>
          <w:rFonts w:eastAsia="Calibri" w:cs="Arial"/>
          <w:color w:val="000000" w:themeColor="text1"/>
        </w:rPr>
        <w:t xml:space="preserve">Seniors and Disability Services have developed a resource for Senior Team Leaders and Disability Services Team Leaders to use in meetings and team planning days to prompt operational </w:t>
      </w:r>
      <w:r w:rsidR="0020550C">
        <w:rPr>
          <w:rFonts w:eastAsia="Calibri" w:cs="Arial"/>
          <w:color w:val="000000" w:themeColor="text1"/>
        </w:rPr>
        <w:t>and</w:t>
      </w:r>
      <w:r w:rsidR="007F1DE5" w:rsidRPr="007F1DE5">
        <w:rPr>
          <w:rFonts w:eastAsia="Calibri" w:cs="Arial"/>
          <w:color w:val="000000" w:themeColor="text1"/>
        </w:rPr>
        <w:t xml:space="preserve"> frontline staff to recognise inadvertent practices that </w:t>
      </w:r>
      <w:r w:rsidR="00B34C36">
        <w:rPr>
          <w:rFonts w:eastAsia="Calibri" w:cs="Arial"/>
          <w:color w:val="000000" w:themeColor="text1"/>
        </w:rPr>
        <w:t>limit</w:t>
      </w:r>
      <w:r w:rsidR="007F1DE5" w:rsidRPr="007F1DE5">
        <w:rPr>
          <w:rFonts w:eastAsia="Calibri" w:cs="Arial"/>
          <w:color w:val="000000" w:themeColor="text1"/>
        </w:rPr>
        <w:t xml:space="preserve"> a client’s human rights and to drive discussion about alternative</w:t>
      </w:r>
      <w:r w:rsidR="00B34C36">
        <w:rPr>
          <w:rFonts w:eastAsia="Calibri" w:cs="Arial"/>
          <w:color w:val="000000" w:themeColor="text1"/>
        </w:rPr>
        <w:t>,</w:t>
      </w:r>
      <w:r w:rsidR="007F1DE5" w:rsidRPr="007F1DE5">
        <w:rPr>
          <w:rFonts w:eastAsia="Calibri" w:cs="Arial"/>
          <w:color w:val="000000" w:themeColor="text1"/>
        </w:rPr>
        <w:t xml:space="preserve"> more inclusive practices.</w:t>
      </w:r>
    </w:p>
    <w:p w14:paraId="66801F80" w14:textId="77777777" w:rsidR="0003346F" w:rsidRPr="007F3D16" w:rsidRDefault="0003346F" w:rsidP="0003346F">
      <w:pPr>
        <w:pStyle w:val="Heading2"/>
        <w:rPr>
          <w:color w:val="8D361E"/>
        </w:rPr>
      </w:pPr>
      <w:bookmarkStart w:id="552" w:name="_Toc56451596"/>
      <w:bookmarkStart w:id="553" w:name="_Toc56452170"/>
      <w:bookmarkStart w:id="554" w:name="_Toc84593899"/>
      <w:bookmarkStart w:id="555" w:name="_Toc85451776"/>
      <w:bookmarkStart w:id="556" w:name="_Toc85526706"/>
      <w:bookmarkStart w:id="557" w:name="_Toc85787121"/>
      <w:bookmarkStart w:id="558" w:name="_Toc2128031145"/>
      <w:bookmarkStart w:id="559" w:name="_Toc117697180"/>
      <w:bookmarkStart w:id="560" w:name="_Toc117697887"/>
      <w:bookmarkStart w:id="561" w:name="_Toc147757327"/>
      <w:bookmarkStart w:id="562" w:name="_Toc148086948"/>
      <w:r w:rsidRPr="007F3D16">
        <w:rPr>
          <w:color w:val="8D361E"/>
        </w:rPr>
        <w:t>Indicator 6: Internal complaints</w:t>
      </w:r>
      <w:bookmarkEnd w:id="552"/>
      <w:bookmarkEnd w:id="553"/>
      <w:bookmarkEnd w:id="554"/>
      <w:bookmarkEnd w:id="555"/>
      <w:bookmarkEnd w:id="556"/>
      <w:bookmarkEnd w:id="557"/>
      <w:bookmarkEnd w:id="558"/>
      <w:bookmarkEnd w:id="559"/>
      <w:bookmarkEnd w:id="560"/>
      <w:bookmarkEnd w:id="561"/>
      <w:bookmarkEnd w:id="562"/>
    </w:p>
    <w:p w14:paraId="458516D8" w14:textId="20158F3A" w:rsidR="00C668FA" w:rsidRPr="00B746FA" w:rsidRDefault="009174B8" w:rsidP="25306663">
      <w:r>
        <w:t xml:space="preserve">The Commission </w:t>
      </w:r>
      <w:r w:rsidR="7742FAEF">
        <w:t xml:space="preserve">asked state public entities </w:t>
      </w:r>
      <w:r w:rsidR="005059E0">
        <w:t xml:space="preserve">to report on </w:t>
      </w:r>
      <w:r w:rsidR="7742FAEF">
        <w:t>how successful they had been in integrating human rights complaints into existing complaints processes, any barriers that have prevented this from happening, and examples of where internal complaints have led to changes to policies, procedures, practices, or service delivery.</w:t>
      </w:r>
    </w:p>
    <w:p w14:paraId="45228214" w14:textId="6A433A93" w:rsidR="4B4CB2AF" w:rsidRDefault="00D578D0" w:rsidP="45491420">
      <w:pPr>
        <w:pStyle w:val="Heading3"/>
        <w:rPr>
          <w:color w:val="8D361E"/>
        </w:rPr>
      </w:pPr>
      <w:r>
        <w:rPr>
          <w:color w:val="8D361E"/>
        </w:rPr>
        <w:t>Complaint identification</w:t>
      </w:r>
    </w:p>
    <w:p w14:paraId="326DF62A" w14:textId="334B05EE" w:rsidR="00541E6C" w:rsidRPr="00541E6C" w:rsidRDefault="00541E6C" w:rsidP="00541E6C">
      <w:r>
        <w:t>Based on the responses</w:t>
      </w:r>
      <w:r w:rsidR="00D433EF">
        <w:t xml:space="preserve"> </w:t>
      </w:r>
      <w:r w:rsidR="00270826">
        <w:t>received</w:t>
      </w:r>
      <w:r>
        <w:t xml:space="preserve">, the process of identifying and recording complaints </w:t>
      </w:r>
      <w:r w:rsidR="002C5225">
        <w:t>as human rights</w:t>
      </w:r>
      <w:r w:rsidR="00DF000D">
        <w:t>-</w:t>
      </w:r>
      <w:r w:rsidR="002C5225">
        <w:t xml:space="preserve">related </w:t>
      </w:r>
      <w:r w:rsidR="00574CD9">
        <w:t xml:space="preserve">continues to be a challenge, but </w:t>
      </w:r>
      <w:r w:rsidR="00DF000D">
        <w:t>departments</w:t>
      </w:r>
      <w:r w:rsidR="00574CD9">
        <w:t xml:space="preserve"> </w:t>
      </w:r>
      <w:r w:rsidR="009B6AE9">
        <w:t>demonstrate</w:t>
      </w:r>
      <w:r w:rsidR="0053237F">
        <w:t>d</w:t>
      </w:r>
      <w:r w:rsidR="009B6AE9">
        <w:t xml:space="preserve"> awareness of this issue, and many </w:t>
      </w:r>
      <w:r w:rsidR="005A4004">
        <w:t>are</w:t>
      </w:r>
      <w:r w:rsidR="00574CD9">
        <w:t xml:space="preserve"> taking steps to address this.</w:t>
      </w:r>
    </w:p>
    <w:p w14:paraId="1EA60298" w14:textId="76923FC2" w:rsidR="00D578D0" w:rsidRDefault="00D578D0" w:rsidP="00E71716">
      <w:pPr>
        <w:rPr>
          <w:lang w:val="en-US"/>
        </w:rPr>
      </w:pPr>
      <w:r>
        <w:rPr>
          <w:lang w:val="en-US"/>
        </w:rPr>
        <w:t>The Department of Education</w:t>
      </w:r>
      <w:r w:rsidR="00504F9F">
        <w:rPr>
          <w:lang w:val="en-US"/>
        </w:rPr>
        <w:t xml:space="preserve"> conducted an internal review of the </w:t>
      </w:r>
      <w:r w:rsidR="00302D7D">
        <w:rPr>
          <w:lang w:val="en-US"/>
        </w:rPr>
        <w:t xml:space="preserve">Human Rights Act implementation in 2022 and found that </w:t>
      </w:r>
      <w:r w:rsidR="006848DD">
        <w:rPr>
          <w:lang w:val="en-US"/>
        </w:rPr>
        <w:t xml:space="preserve">human rights are </w:t>
      </w:r>
      <w:r w:rsidR="001D332F">
        <w:rPr>
          <w:lang w:val="en-US"/>
        </w:rPr>
        <w:t xml:space="preserve">‘well integrated’ but there are opportunities to </w:t>
      </w:r>
      <w:r w:rsidR="004531C2">
        <w:rPr>
          <w:lang w:val="en-US"/>
        </w:rPr>
        <w:t>strengthen the current approach.</w:t>
      </w:r>
      <w:r w:rsidR="006A3F16">
        <w:rPr>
          <w:lang w:val="en-US"/>
        </w:rPr>
        <w:t xml:space="preserve"> The Department </w:t>
      </w:r>
      <w:r w:rsidR="005C7785">
        <w:rPr>
          <w:lang w:val="en-US"/>
        </w:rPr>
        <w:t xml:space="preserve">continues to work to improve the accuracy and consistency of </w:t>
      </w:r>
      <w:r w:rsidR="003B7BC1">
        <w:rPr>
          <w:lang w:val="en-US"/>
        </w:rPr>
        <w:t>human rights complaint reporting.</w:t>
      </w:r>
      <w:r w:rsidR="00621453">
        <w:rPr>
          <w:lang w:val="en-US"/>
        </w:rPr>
        <w:t xml:space="preserve"> </w:t>
      </w:r>
      <w:r w:rsidR="00E71716">
        <w:rPr>
          <w:lang w:val="en-US"/>
        </w:rPr>
        <w:t xml:space="preserve">For example, </w:t>
      </w:r>
      <w:r w:rsidR="00E71716" w:rsidRPr="00E71716">
        <w:rPr>
          <w:lang w:val="en-US"/>
        </w:rPr>
        <w:t>the Privacy Team provided training to business units to ensure privacy complaints and human rights considerations are consistently assessed.</w:t>
      </w:r>
    </w:p>
    <w:p w14:paraId="372EF7F0" w14:textId="1A97F19E" w:rsidR="0039146F" w:rsidRPr="00F302DE" w:rsidRDefault="00F302DE" w:rsidP="00E71716">
      <w:r>
        <w:rPr>
          <w:lang w:val="en-US"/>
        </w:rPr>
        <w:t>At the Department of Housing, h</w:t>
      </w:r>
      <w:r w:rsidRPr="00F302DE">
        <w:rPr>
          <w:lang w:val="en-US"/>
        </w:rPr>
        <w:t xml:space="preserve">uman rights training and coaching is being implemented with staff who handle complaints. While this work is currently limited in scope it is seeding future plans and supporting the development of resources to provide a </w:t>
      </w:r>
      <w:r w:rsidR="003D778B">
        <w:rPr>
          <w:lang w:val="en-US"/>
        </w:rPr>
        <w:t>‘</w:t>
      </w:r>
      <w:r w:rsidRPr="00F302DE">
        <w:rPr>
          <w:lang w:val="en-US"/>
        </w:rPr>
        <w:t>comprehensive human rights capability uplift</w:t>
      </w:r>
      <w:r w:rsidR="003D778B">
        <w:rPr>
          <w:lang w:val="en-US"/>
        </w:rPr>
        <w:t>’</w:t>
      </w:r>
      <w:r w:rsidRPr="00F302DE">
        <w:rPr>
          <w:lang w:val="en-US"/>
        </w:rPr>
        <w:t xml:space="preserve"> in complaints </w:t>
      </w:r>
      <w:r w:rsidR="007E6378">
        <w:rPr>
          <w:lang w:val="en-US"/>
        </w:rPr>
        <w:t xml:space="preserve">management </w:t>
      </w:r>
      <w:r w:rsidRPr="00F302DE">
        <w:rPr>
          <w:lang w:val="en-US"/>
        </w:rPr>
        <w:t>across the department</w:t>
      </w:r>
      <w:r>
        <w:rPr>
          <w:lang w:val="en-US"/>
        </w:rPr>
        <w:t>.</w:t>
      </w:r>
    </w:p>
    <w:p w14:paraId="6AB1AD8E" w14:textId="0366696E" w:rsidR="00C71814" w:rsidRDefault="00297142" w:rsidP="004F1740">
      <w:pPr>
        <w:rPr>
          <w:lang w:val="en-US"/>
        </w:rPr>
      </w:pPr>
      <w:r>
        <w:rPr>
          <w:lang w:val="en-US"/>
        </w:rPr>
        <w:t xml:space="preserve">The </w:t>
      </w:r>
      <w:r w:rsidR="00C71814" w:rsidRPr="009E6D4D">
        <w:rPr>
          <w:lang w:val="en-US"/>
        </w:rPr>
        <w:t>Youth Justice</w:t>
      </w:r>
      <w:r w:rsidR="00697343">
        <w:rPr>
          <w:lang w:val="en-US"/>
        </w:rPr>
        <w:t xml:space="preserve"> department</w:t>
      </w:r>
      <w:r w:rsidR="000049BE">
        <w:rPr>
          <w:lang w:val="en-US"/>
        </w:rPr>
        <w:t xml:space="preserve"> in the DYJESBT</w:t>
      </w:r>
      <w:r w:rsidR="00C71814" w:rsidRPr="009E6D4D">
        <w:rPr>
          <w:lang w:val="en-US"/>
        </w:rPr>
        <w:t xml:space="preserve"> have amended systems and processes to ensure human rights complaints can be accurately and consistently recorded, investigated, and reported against.</w:t>
      </w:r>
    </w:p>
    <w:p w14:paraId="6DF094B8" w14:textId="602F5201" w:rsidR="00B30F12" w:rsidRDefault="00B30F12" w:rsidP="00B30F12">
      <w:pPr>
        <w:rPr>
          <w:lang w:val="en-US"/>
        </w:rPr>
      </w:pPr>
      <w:r>
        <w:rPr>
          <w:lang w:val="en-US"/>
        </w:rPr>
        <w:t xml:space="preserve">As reported by the DCSSDS, </w:t>
      </w:r>
      <w:r w:rsidRPr="00B30F12">
        <w:rPr>
          <w:lang w:val="en-US"/>
        </w:rPr>
        <w:t>Child Safety and Professional Standards complaints continue to be managed in separate work units within the department.</w:t>
      </w:r>
      <w:r w:rsidR="00E865C3">
        <w:rPr>
          <w:lang w:val="en-US"/>
        </w:rPr>
        <w:t xml:space="preserve"> </w:t>
      </w:r>
      <w:r w:rsidRPr="00B30F12">
        <w:rPr>
          <w:lang w:val="en-US"/>
        </w:rPr>
        <w:t>Each work unit has differing mechanisms for recording and considering complaints.</w:t>
      </w:r>
      <w:r w:rsidR="00300A8C">
        <w:rPr>
          <w:lang w:val="en-US"/>
        </w:rPr>
        <w:t xml:space="preserve"> </w:t>
      </w:r>
      <w:r w:rsidRPr="00B30F12">
        <w:rPr>
          <w:lang w:val="en-US"/>
        </w:rPr>
        <w:t xml:space="preserve">The </w:t>
      </w:r>
      <w:r w:rsidR="00300A8C">
        <w:rPr>
          <w:lang w:val="en-US"/>
        </w:rPr>
        <w:t>D</w:t>
      </w:r>
      <w:r w:rsidRPr="00B30F12">
        <w:rPr>
          <w:lang w:val="en-US"/>
        </w:rPr>
        <w:t>epartment</w:t>
      </w:r>
      <w:r w:rsidR="005F1713">
        <w:rPr>
          <w:lang w:val="en-US"/>
        </w:rPr>
        <w:t xml:space="preserve"> reported that </w:t>
      </w:r>
      <w:r w:rsidRPr="00B30F12">
        <w:rPr>
          <w:lang w:val="en-US"/>
        </w:rPr>
        <w:t>human rights identification and assessment</w:t>
      </w:r>
      <w:r w:rsidR="00AE5530">
        <w:rPr>
          <w:lang w:val="en-US"/>
        </w:rPr>
        <w:t xml:space="preserve"> is integrated</w:t>
      </w:r>
      <w:r w:rsidRPr="00B30F12">
        <w:rPr>
          <w:lang w:val="en-US"/>
        </w:rPr>
        <w:t xml:space="preserve"> into the complaints management process and staff are supported to successfully identify, consider</w:t>
      </w:r>
      <w:r w:rsidR="00B2747F">
        <w:rPr>
          <w:lang w:val="en-US"/>
        </w:rPr>
        <w:t>,</w:t>
      </w:r>
      <w:r w:rsidRPr="00B30F12">
        <w:rPr>
          <w:lang w:val="en-US"/>
        </w:rPr>
        <w:t xml:space="preserve"> and respond to human rights complaints through complaints management training.</w:t>
      </w:r>
    </w:p>
    <w:p w14:paraId="2E233ED5" w14:textId="01C3A471" w:rsidR="00574CD9" w:rsidRDefault="00105F3B" w:rsidP="00574CD9">
      <w:r>
        <w:t>The Department of Health and some</w:t>
      </w:r>
      <w:r w:rsidR="00C12A4C">
        <w:t xml:space="preserve"> </w:t>
      </w:r>
      <w:r w:rsidR="00574CD9">
        <w:t>Hospital and Health Services have taken steps to help staff identify human rights complaints, with examples including:</w:t>
      </w:r>
    </w:p>
    <w:p w14:paraId="192E3A49" w14:textId="0E8B883D" w:rsidR="00574CD9" w:rsidRDefault="00574CD9" w:rsidP="00574CD9">
      <w:pPr>
        <w:pStyle w:val="Listparagraph-bulleted"/>
        <w:rPr>
          <w:lang w:val="en-US"/>
        </w:rPr>
      </w:pPr>
      <w:r w:rsidRPr="00200F34">
        <w:rPr>
          <w:lang w:val="en-US"/>
        </w:rPr>
        <w:t>A new fact sheet ‘Customer complaints: Identifying human rights complaints’ has been developed</w:t>
      </w:r>
      <w:r w:rsidR="0099688B">
        <w:rPr>
          <w:lang w:val="en-US"/>
        </w:rPr>
        <w:t>.</w:t>
      </w:r>
    </w:p>
    <w:p w14:paraId="1D7ED23F" w14:textId="0DDF4CB9" w:rsidR="00574CD9" w:rsidRPr="0021572B" w:rsidRDefault="00574CD9" w:rsidP="00574CD9">
      <w:pPr>
        <w:pStyle w:val="Listparagraph-bulleted"/>
        <w:rPr>
          <w:lang w:val="en-US"/>
        </w:rPr>
      </w:pPr>
      <w:r w:rsidRPr="0021572B">
        <w:rPr>
          <w:lang w:val="en-US"/>
        </w:rPr>
        <w:t xml:space="preserve">Gold Coast HHS maintains a dedicated HHS human rights email account with </w:t>
      </w:r>
      <w:r w:rsidR="0041651C">
        <w:rPr>
          <w:lang w:val="en-US"/>
        </w:rPr>
        <w:t>G</w:t>
      </w:r>
      <w:r w:rsidRPr="0021572B">
        <w:rPr>
          <w:lang w:val="en-US"/>
        </w:rPr>
        <w:t xml:space="preserve">eneral </w:t>
      </w:r>
      <w:r w:rsidR="0041651C">
        <w:rPr>
          <w:lang w:val="en-US"/>
        </w:rPr>
        <w:t>C</w:t>
      </w:r>
      <w:r w:rsidRPr="0021572B">
        <w:rPr>
          <w:lang w:val="en-US"/>
        </w:rPr>
        <w:t>ounsel oversight.</w:t>
      </w:r>
    </w:p>
    <w:p w14:paraId="7BF1EFB4" w14:textId="37F1B96B" w:rsidR="00574CD9" w:rsidRPr="00574CD9" w:rsidRDefault="00574CD9" w:rsidP="00B30F12">
      <w:pPr>
        <w:pStyle w:val="Listparagraph-bulleted"/>
        <w:spacing w:line="300" w:lineRule="auto"/>
        <w:rPr>
          <w:lang w:val="en-US"/>
        </w:rPr>
      </w:pPr>
      <w:r w:rsidRPr="00123B7F">
        <w:rPr>
          <w:lang w:val="en-US"/>
        </w:rPr>
        <w:t xml:space="preserve">A consumer complaints manual and ambassador at Cairns and Hinterland HHS has increased the </w:t>
      </w:r>
      <w:r w:rsidRPr="00F82E8F">
        <w:rPr>
          <w:lang w:val="en-US"/>
        </w:rPr>
        <w:t>focus on assessing and documenting complaints.</w:t>
      </w:r>
    </w:p>
    <w:p w14:paraId="279619B0" w14:textId="0E960602" w:rsidR="005B7D41" w:rsidRPr="005B7D41" w:rsidRDefault="005B7D41" w:rsidP="005B7D41">
      <w:pPr>
        <w:pStyle w:val="Heading3"/>
        <w:rPr>
          <w:color w:val="8D361E"/>
        </w:rPr>
      </w:pPr>
      <w:r w:rsidRPr="005B7D41">
        <w:rPr>
          <w:color w:val="8D361E"/>
        </w:rPr>
        <w:t>Service improvement</w:t>
      </w:r>
      <w:r w:rsidR="00574CD9">
        <w:rPr>
          <w:color w:val="8D361E"/>
        </w:rPr>
        <w:t>s</w:t>
      </w:r>
      <w:r w:rsidRPr="005B7D41">
        <w:rPr>
          <w:color w:val="8D361E"/>
        </w:rPr>
        <w:t xml:space="preserve"> following internal complaint</w:t>
      </w:r>
      <w:r w:rsidR="00755B17">
        <w:rPr>
          <w:color w:val="8D361E"/>
        </w:rPr>
        <w:t>s</w:t>
      </w:r>
    </w:p>
    <w:p w14:paraId="5DAF427A" w14:textId="63859FA7" w:rsidR="005B7D41" w:rsidRDefault="00702D15" w:rsidP="004F1740">
      <w:pPr>
        <w:rPr>
          <w:lang w:val="en-US"/>
        </w:rPr>
      </w:pPr>
      <w:r>
        <w:rPr>
          <w:lang w:val="en-US"/>
        </w:rPr>
        <w:t xml:space="preserve">The Department of Housing provided a case study to illustrate the </w:t>
      </w:r>
      <w:r w:rsidR="00D55BE1">
        <w:rPr>
          <w:lang w:val="en-US"/>
        </w:rPr>
        <w:t>consideration</w:t>
      </w:r>
      <w:r>
        <w:rPr>
          <w:lang w:val="en-US"/>
        </w:rPr>
        <w:t xml:space="preserve"> of human rights when </w:t>
      </w:r>
      <w:r w:rsidR="00D55BE1">
        <w:rPr>
          <w:lang w:val="en-US"/>
        </w:rPr>
        <w:t xml:space="preserve">making everyday </w:t>
      </w:r>
      <w:r w:rsidR="00D274E4">
        <w:rPr>
          <w:lang w:val="en-US"/>
        </w:rPr>
        <w:t>tenancy</w:t>
      </w:r>
      <w:r>
        <w:rPr>
          <w:lang w:val="en-US"/>
        </w:rPr>
        <w:t xml:space="preserve"> decisions:</w:t>
      </w:r>
    </w:p>
    <w:p w14:paraId="62F0DB20" w14:textId="657F0DF1" w:rsidR="00B7482E" w:rsidRDefault="007A6169" w:rsidP="00206BAD">
      <w:pPr>
        <w:pStyle w:val="Quote"/>
        <w:rPr>
          <w:lang w:val="en-US"/>
        </w:rPr>
      </w:pPr>
      <w:r w:rsidRPr="007A6169">
        <w:rPr>
          <w:lang w:val="en-US"/>
        </w:rPr>
        <w:t>The department received a human rights complaint from a First Nations family who had been issued a notice to leave after an extended time away from their home which had exceeded policy guidelines. The location of their housing was an area that was experiencing an acute shortage of housing and departmental staff were well aware of the discontent in the community about the house being ‘vacant’. When the complaint was made a small team of staff worked together to assess the compatibility with human rights of the decision to terminate the tenancy</w:t>
      </w:r>
      <w:r w:rsidR="0091101D">
        <w:rPr>
          <w:lang w:val="en-US"/>
        </w:rPr>
        <w:t>.</w:t>
      </w:r>
      <w:r w:rsidRPr="007A6169">
        <w:rPr>
          <w:lang w:val="en-US"/>
        </w:rPr>
        <w:t xml:space="preserve"> </w:t>
      </w:r>
    </w:p>
    <w:p w14:paraId="1805BDD5" w14:textId="5646C751" w:rsidR="00702D15" w:rsidRDefault="007A6169" w:rsidP="00206BAD">
      <w:pPr>
        <w:pStyle w:val="Quote"/>
        <w:rPr>
          <w:lang w:val="en-US"/>
        </w:rPr>
      </w:pPr>
      <w:r w:rsidRPr="007A6169">
        <w:rPr>
          <w:lang w:val="en-US"/>
        </w:rPr>
        <w:t>While it was true that the family had exceeded the allowable length of time to be away from the home</w:t>
      </w:r>
      <w:r w:rsidR="0091101D">
        <w:rPr>
          <w:lang w:val="en-US"/>
        </w:rPr>
        <w:t>,</w:t>
      </w:r>
      <w:r w:rsidRPr="007A6169">
        <w:rPr>
          <w:lang w:val="en-US"/>
        </w:rPr>
        <w:t xml:space="preserve"> consideration was given to their ties to country and community and the need to be away from the home to receive medical care for a temporary impairment. The complaint led to a review of the decision and different strategies were engaged that supported the family to continue their tenancy and return to their property.</w:t>
      </w:r>
    </w:p>
    <w:p w14:paraId="54DBA8DE" w14:textId="0813B26D" w:rsidR="00C8549E" w:rsidRDefault="00C8549E" w:rsidP="004F1740">
      <w:pPr>
        <w:rPr>
          <w:lang w:val="en-US"/>
        </w:rPr>
      </w:pPr>
      <w:r>
        <w:rPr>
          <w:lang w:val="en-US"/>
        </w:rPr>
        <w:t xml:space="preserve">Queensland </w:t>
      </w:r>
      <w:r w:rsidR="00CE3D82">
        <w:rPr>
          <w:lang w:val="en-US"/>
        </w:rPr>
        <w:t>Corrective</w:t>
      </w:r>
      <w:r>
        <w:rPr>
          <w:lang w:val="en-US"/>
        </w:rPr>
        <w:t xml:space="preserve"> Services reported </w:t>
      </w:r>
      <w:r w:rsidR="000303C9">
        <w:rPr>
          <w:lang w:val="en-US"/>
        </w:rPr>
        <w:t>the following example of an improvement to practice</w:t>
      </w:r>
      <w:r w:rsidR="00C77C07">
        <w:rPr>
          <w:lang w:val="en-US"/>
        </w:rPr>
        <w:t xml:space="preserve"> following complaints</w:t>
      </w:r>
      <w:r w:rsidR="00D274E4">
        <w:rPr>
          <w:lang w:val="en-US"/>
        </w:rPr>
        <w:t xml:space="preserve"> regarding </w:t>
      </w:r>
      <w:r w:rsidR="00D67E92">
        <w:rPr>
          <w:lang w:val="en-US"/>
        </w:rPr>
        <w:t xml:space="preserve">access to </w:t>
      </w:r>
      <w:r w:rsidR="00AF29A2">
        <w:rPr>
          <w:lang w:val="en-US"/>
        </w:rPr>
        <w:t>funds for prisoners</w:t>
      </w:r>
      <w:r w:rsidR="000303C9">
        <w:rPr>
          <w:lang w:val="en-US"/>
        </w:rPr>
        <w:t>:</w:t>
      </w:r>
    </w:p>
    <w:p w14:paraId="6D80B196" w14:textId="64241458" w:rsidR="00AA13CC" w:rsidRDefault="000303C9" w:rsidP="00AA13CC">
      <w:pPr>
        <w:pStyle w:val="Quote"/>
        <w:rPr>
          <w:w w:val="105"/>
        </w:rPr>
      </w:pPr>
      <w:r>
        <w:t>P</w:t>
      </w:r>
      <w:r w:rsidRPr="00E36EA7">
        <w:t>risoners</w:t>
      </w:r>
      <w:r w:rsidR="00705067">
        <w:t>’</w:t>
      </w:r>
      <w:r w:rsidRPr="00E36EA7">
        <w:t xml:space="preserve"> friends </w:t>
      </w:r>
      <w:r>
        <w:t>a</w:t>
      </w:r>
      <w:r w:rsidRPr="00E36EA7">
        <w:t>nd family are now able to deposit cash into a prisoner's trust account at any Queensland corrective services facility. QCS received complaints about the costs involved with transferring funds via Secure Payment Services or money order. While QCS</w:t>
      </w:r>
      <w:r w:rsidRPr="00E36EA7">
        <w:rPr>
          <w:spacing w:val="-1"/>
        </w:rPr>
        <w:t xml:space="preserve"> </w:t>
      </w:r>
      <w:r w:rsidRPr="00E36EA7">
        <w:t>already offered the opportunity to deposit cash at the facility</w:t>
      </w:r>
      <w:r w:rsidRPr="00E36EA7">
        <w:rPr>
          <w:spacing w:val="19"/>
        </w:rPr>
        <w:t xml:space="preserve"> </w:t>
      </w:r>
      <w:r w:rsidRPr="00E36EA7">
        <w:t>where</w:t>
      </w:r>
      <w:r w:rsidRPr="00E36EA7">
        <w:rPr>
          <w:spacing w:val="17"/>
        </w:rPr>
        <w:t xml:space="preserve"> </w:t>
      </w:r>
      <w:r w:rsidRPr="00E36EA7">
        <w:t>a</w:t>
      </w:r>
      <w:r w:rsidRPr="00E36EA7">
        <w:rPr>
          <w:spacing w:val="16"/>
        </w:rPr>
        <w:t xml:space="preserve"> </w:t>
      </w:r>
      <w:r w:rsidRPr="00E36EA7">
        <w:t>prisoner</w:t>
      </w:r>
      <w:r w:rsidRPr="00E36EA7">
        <w:rPr>
          <w:spacing w:val="34"/>
        </w:rPr>
        <w:t xml:space="preserve"> </w:t>
      </w:r>
      <w:r w:rsidRPr="00E36EA7">
        <w:t>was located, further</w:t>
      </w:r>
      <w:r w:rsidRPr="00E36EA7">
        <w:rPr>
          <w:spacing w:val="20"/>
        </w:rPr>
        <w:t xml:space="preserve"> </w:t>
      </w:r>
      <w:r w:rsidRPr="00E36EA7">
        <w:t>feedback</w:t>
      </w:r>
      <w:r w:rsidRPr="00E36EA7">
        <w:rPr>
          <w:spacing w:val="28"/>
        </w:rPr>
        <w:t xml:space="preserve"> </w:t>
      </w:r>
      <w:r w:rsidRPr="00E36EA7">
        <w:t>was received</w:t>
      </w:r>
      <w:r w:rsidRPr="00E36EA7">
        <w:rPr>
          <w:spacing w:val="21"/>
        </w:rPr>
        <w:t xml:space="preserve"> </w:t>
      </w:r>
      <w:r w:rsidRPr="00E36EA7">
        <w:t>about challenges with</w:t>
      </w:r>
      <w:r w:rsidRPr="00E36EA7">
        <w:rPr>
          <w:spacing w:val="-1"/>
        </w:rPr>
        <w:t xml:space="preserve"> </w:t>
      </w:r>
      <w:r w:rsidRPr="00E36EA7">
        <w:t>this</w:t>
      </w:r>
      <w:r w:rsidRPr="00E36EA7">
        <w:rPr>
          <w:spacing w:val="-4"/>
        </w:rPr>
        <w:t xml:space="preserve"> </w:t>
      </w:r>
      <w:r w:rsidRPr="00E36EA7">
        <w:t>approach. After consulting</w:t>
      </w:r>
      <w:r w:rsidRPr="00E36EA7">
        <w:rPr>
          <w:spacing w:val="-2"/>
        </w:rPr>
        <w:t xml:space="preserve"> </w:t>
      </w:r>
      <w:r w:rsidRPr="00E36EA7">
        <w:t>with</w:t>
      </w:r>
      <w:r w:rsidRPr="00E36EA7">
        <w:rPr>
          <w:spacing w:val="-6"/>
        </w:rPr>
        <w:t xml:space="preserve"> </w:t>
      </w:r>
      <w:r w:rsidRPr="00E36EA7">
        <w:t>a</w:t>
      </w:r>
      <w:r w:rsidRPr="00E36EA7">
        <w:rPr>
          <w:spacing w:val="-1"/>
        </w:rPr>
        <w:t xml:space="preserve"> </w:t>
      </w:r>
      <w:r w:rsidRPr="00E36EA7">
        <w:t>range of</w:t>
      </w:r>
      <w:r w:rsidRPr="00E36EA7">
        <w:rPr>
          <w:spacing w:val="-8"/>
        </w:rPr>
        <w:t xml:space="preserve"> </w:t>
      </w:r>
      <w:r w:rsidRPr="00E36EA7">
        <w:t>stakeholders, changes were</w:t>
      </w:r>
      <w:r w:rsidRPr="00E36EA7">
        <w:rPr>
          <w:spacing w:val="-3"/>
        </w:rPr>
        <w:t xml:space="preserve"> </w:t>
      </w:r>
      <w:r w:rsidRPr="00E36EA7">
        <w:t>made to</w:t>
      </w:r>
      <w:r w:rsidRPr="00E36EA7">
        <w:rPr>
          <w:spacing w:val="40"/>
        </w:rPr>
        <w:t xml:space="preserve"> </w:t>
      </w:r>
      <w:r w:rsidRPr="00E36EA7">
        <w:t>permit</w:t>
      </w:r>
      <w:r w:rsidRPr="00E36EA7">
        <w:rPr>
          <w:spacing w:val="19"/>
        </w:rPr>
        <w:t xml:space="preserve"> </w:t>
      </w:r>
      <w:r w:rsidRPr="00E36EA7">
        <w:t>cash</w:t>
      </w:r>
      <w:r w:rsidRPr="00E36EA7">
        <w:rPr>
          <w:spacing w:val="11"/>
        </w:rPr>
        <w:t xml:space="preserve"> </w:t>
      </w:r>
      <w:r w:rsidRPr="00E36EA7">
        <w:t>to</w:t>
      </w:r>
      <w:r w:rsidRPr="00E36EA7">
        <w:rPr>
          <w:spacing w:val="40"/>
        </w:rPr>
        <w:t xml:space="preserve"> </w:t>
      </w:r>
      <w:r w:rsidRPr="00E36EA7">
        <w:t>be</w:t>
      </w:r>
      <w:r w:rsidRPr="00E36EA7">
        <w:rPr>
          <w:spacing w:val="15"/>
        </w:rPr>
        <w:t xml:space="preserve"> </w:t>
      </w:r>
      <w:r w:rsidRPr="00E36EA7">
        <w:t>accepted</w:t>
      </w:r>
      <w:r w:rsidRPr="00E36EA7">
        <w:rPr>
          <w:spacing w:val="18"/>
        </w:rPr>
        <w:t xml:space="preserve"> </w:t>
      </w:r>
      <w:r w:rsidRPr="00E36EA7">
        <w:t>in person</w:t>
      </w:r>
      <w:r w:rsidRPr="00E36EA7">
        <w:rPr>
          <w:spacing w:val="15"/>
        </w:rPr>
        <w:t xml:space="preserve"> </w:t>
      </w:r>
      <w:r w:rsidRPr="00E36EA7">
        <w:t>at any</w:t>
      </w:r>
      <w:r w:rsidRPr="00E36EA7">
        <w:rPr>
          <w:spacing w:val="10"/>
        </w:rPr>
        <w:t xml:space="preserve"> </w:t>
      </w:r>
      <w:r w:rsidRPr="00E36EA7">
        <w:t>correctional</w:t>
      </w:r>
      <w:r w:rsidRPr="00E36EA7">
        <w:rPr>
          <w:spacing w:val="24"/>
        </w:rPr>
        <w:t xml:space="preserve"> </w:t>
      </w:r>
      <w:r w:rsidRPr="00E36EA7">
        <w:t>centre,</w:t>
      </w:r>
      <w:r w:rsidRPr="00E36EA7">
        <w:rPr>
          <w:spacing w:val="11"/>
        </w:rPr>
        <w:t xml:space="preserve"> </w:t>
      </w:r>
      <w:r w:rsidRPr="00E36EA7">
        <w:t>once</w:t>
      </w:r>
      <w:r w:rsidRPr="00E36EA7">
        <w:rPr>
          <w:spacing w:val="11"/>
        </w:rPr>
        <w:t xml:space="preserve"> </w:t>
      </w:r>
      <w:r w:rsidRPr="00E36EA7">
        <w:t>the identity</w:t>
      </w:r>
      <w:r w:rsidRPr="00E36EA7">
        <w:rPr>
          <w:spacing w:val="10"/>
        </w:rPr>
        <w:t xml:space="preserve"> </w:t>
      </w:r>
      <w:r w:rsidRPr="00E36EA7">
        <w:t>of the donor has been established. This</w:t>
      </w:r>
      <w:r w:rsidRPr="00E36EA7">
        <w:rPr>
          <w:spacing w:val="-3"/>
        </w:rPr>
        <w:t xml:space="preserve"> </w:t>
      </w:r>
      <w:r w:rsidRPr="00E36EA7">
        <w:t>small change in</w:t>
      </w:r>
      <w:r w:rsidRPr="00E36EA7">
        <w:rPr>
          <w:spacing w:val="-8"/>
        </w:rPr>
        <w:t xml:space="preserve"> </w:t>
      </w:r>
      <w:r w:rsidRPr="00E36EA7">
        <w:t>process has</w:t>
      </w:r>
      <w:r w:rsidRPr="00E36EA7">
        <w:rPr>
          <w:spacing w:val="-1"/>
        </w:rPr>
        <w:t xml:space="preserve"> </w:t>
      </w:r>
      <w:r w:rsidRPr="00E36EA7">
        <w:t>enabled family members living long</w:t>
      </w:r>
      <w:r w:rsidRPr="00E36EA7">
        <w:rPr>
          <w:spacing w:val="-1"/>
        </w:rPr>
        <w:t xml:space="preserve"> </w:t>
      </w:r>
      <w:r w:rsidRPr="00E36EA7">
        <w:t>distances</w:t>
      </w:r>
      <w:r w:rsidRPr="00E36EA7">
        <w:rPr>
          <w:spacing w:val="22"/>
        </w:rPr>
        <w:t xml:space="preserve"> </w:t>
      </w:r>
      <w:r w:rsidRPr="00E36EA7">
        <w:t>from a</w:t>
      </w:r>
      <w:r w:rsidRPr="00E36EA7">
        <w:rPr>
          <w:spacing w:val="23"/>
        </w:rPr>
        <w:t xml:space="preserve"> </w:t>
      </w:r>
      <w:r w:rsidRPr="00E36EA7">
        <w:t>prisoner to</w:t>
      </w:r>
      <w:r w:rsidRPr="00E36EA7">
        <w:rPr>
          <w:spacing w:val="37"/>
        </w:rPr>
        <w:t xml:space="preserve"> </w:t>
      </w:r>
      <w:r w:rsidRPr="00E36EA7">
        <w:t>be able to</w:t>
      </w:r>
      <w:r w:rsidRPr="00E36EA7">
        <w:rPr>
          <w:spacing w:val="32"/>
        </w:rPr>
        <w:t xml:space="preserve"> </w:t>
      </w:r>
      <w:r w:rsidRPr="00E36EA7">
        <w:t>deposit</w:t>
      </w:r>
      <w:r w:rsidRPr="00E36EA7">
        <w:rPr>
          <w:spacing w:val="23"/>
        </w:rPr>
        <w:t xml:space="preserve"> </w:t>
      </w:r>
      <w:r w:rsidRPr="00E36EA7">
        <w:t>funds into the prisoner's trust account with</w:t>
      </w:r>
      <w:r>
        <w:t xml:space="preserve"> </w:t>
      </w:r>
      <w:r w:rsidRPr="00E36EA7">
        <w:rPr>
          <w:spacing w:val="-2"/>
          <w:w w:val="105"/>
        </w:rPr>
        <w:t>ease,</w:t>
      </w:r>
      <w:r w:rsidRPr="00E36EA7">
        <w:rPr>
          <w:spacing w:val="-13"/>
          <w:w w:val="105"/>
        </w:rPr>
        <w:t xml:space="preserve"> </w:t>
      </w:r>
      <w:r w:rsidRPr="00E36EA7">
        <w:rPr>
          <w:spacing w:val="-2"/>
          <w:w w:val="105"/>
        </w:rPr>
        <w:t>promoting</w:t>
      </w:r>
      <w:r w:rsidRPr="00E36EA7">
        <w:rPr>
          <w:spacing w:val="-13"/>
          <w:w w:val="105"/>
        </w:rPr>
        <w:t xml:space="preserve"> </w:t>
      </w:r>
      <w:r w:rsidRPr="00E36EA7">
        <w:rPr>
          <w:spacing w:val="-2"/>
          <w:w w:val="105"/>
        </w:rPr>
        <w:t>the</w:t>
      </w:r>
      <w:r w:rsidRPr="00E36EA7">
        <w:rPr>
          <w:spacing w:val="-12"/>
          <w:w w:val="105"/>
        </w:rPr>
        <w:t xml:space="preserve"> </w:t>
      </w:r>
      <w:r w:rsidRPr="00E36EA7">
        <w:rPr>
          <w:spacing w:val="-2"/>
          <w:w w:val="105"/>
        </w:rPr>
        <w:t>right</w:t>
      </w:r>
      <w:r w:rsidRPr="00E36EA7">
        <w:rPr>
          <w:spacing w:val="-10"/>
          <w:w w:val="105"/>
        </w:rPr>
        <w:t xml:space="preserve"> </w:t>
      </w:r>
      <w:r w:rsidRPr="00E36EA7">
        <w:rPr>
          <w:spacing w:val="-2"/>
          <w:w w:val="105"/>
        </w:rPr>
        <w:t>to</w:t>
      </w:r>
      <w:r w:rsidRPr="00E36EA7">
        <w:rPr>
          <w:spacing w:val="-9"/>
          <w:w w:val="105"/>
        </w:rPr>
        <w:t xml:space="preserve"> </w:t>
      </w:r>
      <w:r w:rsidRPr="00E36EA7">
        <w:rPr>
          <w:spacing w:val="-2"/>
          <w:w w:val="105"/>
        </w:rPr>
        <w:t>protection</w:t>
      </w:r>
      <w:r w:rsidRPr="00E36EA7">
        <w:rPr>
          <w:spacing w:val="-5"/>
          <w:w w:val="105"/>
        </w:rPr>
        <w:t xml:space="preserve"> </w:t>
      </w:r>
      <w:r w:rsidRPr="00E36EA7">
        <w:rPr>
          <w:spacing w:val="-2"/>
          <w:w w:val="105"/>
        </w:rPr>
        <w:t>of</w:t>
      </w:r>
      <w:r w:rsidRPr="00E36EA7">
        <w:rPr>
          <w:spacing w:val="-13"/>
          <w:w w:val="105"/>
        </w:rPr>
        <w:t xml:space="preserve"> </w:t>
      </w:r>
      <w:r w:rsidRPr="00E36EA7">
        <w:rPr>
          <w:spacing w:val="-2"/>
          <w:w w:val="105"/>
        </w:rPr>
        <w:t>families</w:t>
      </w:r>
      <w:r w:rsidRPr="00E36EA7">
        <w:rPr>
          <w:spacing w:val="-8"/>
          <w:w w:val="105"/>
        </w:rPr>
        <w:t xml:space="preserve"> </w:t>
      </w:r>
      <w:r w:rsidRPr="00E36EA7">
        <w:rPr>
          <w:spacing w:val="-2"/>
          <w:w w:val="105"/>
        </w:rPr>
        <w:t>(section</w:t>
      </w:r>
      <w:r w:rsidRPr="00E36EA7">
        <w:rPr>
          <w:spacing w:val="-5"/>
          <w:w w:val="105"/>
        </w:rPr>
        <w:t xml:space="preserve"> </w:t>
      </w:r>
      <w:r w:rsidRPr="00E36EA7">
        <w:rPr>
          <w:spacing w:val="-2"/>
          <w:w w:val="105"/>
        </w:rPr>
        <w:t>26(1)</w:t>
      </w:r>
      <w:r w:rsidRPr="00E36EA7">
        <w:rPr>
          <w:spacing w:val="-4"/>
          <w:w w:val="105"/>
        </w:rPr>
        <w:t xml:space="preserve"> </w:t>
      </w:r>
      <w:r w:rsidRPr="00E36EA7">
        <w:rPr>
          <w:spacing w:val="-2"/>
          <w:w w:val="105"/>
        </w:rPr>
        <w:t>of</w:t>
      </w:r>
      <w:r w:rsidRPr="00E36EA7">
        <w:rPr>
          <w:spacing w:val="-13"/>
          <w:w w:val="105"/>
        </w:rPr>
        <w:t xml:space="preserve"> </w:t>
      </w:r>
      <w:r w:rsidRPr="00E36EA7">
        <w:rPr>
          <w:spacing w:val="-2"/>
          <w:w w:val="105"/>
        </w:rPr>
        <w:t>the</w:t>
      </w:r>
      <w:r w:rsidRPr="00E36EA7">
        <w:rPr>
          <w:spacing w:val="-13"/>
          <w:w w:val="105"/>
        </w:rPr>
        <w:t xml:space="preserve"> </w:t>
      </w:r>
      <w:r w:rsidRPr="00E36EA7">
        <w:rPr>
          <w:spacing w:val="-2"/>
          <w:w w:val="105"/>
        </w:rPr>
        <w:t>HRA) and</w:t>
      </w:r>
      <w:r w:rsidRPr="00E36EA7">
        <w:rPr>
          <w:spacing w:val="-13"/>
          <w:w w:val="105"/>
        </w:rPr>
        <w:t xml:space="preserve"> </w:t>
      </w:r>
      <w:r w:rsidRPr="00E36EA7">
        <w:rPr>
          <w:spacing w:val="-2"/>
          <w:w w:val="105"/>
        </w:rPr>
        <w:t>the</w:t>
      </w:r>
      <w:r w:rsidRPr="00E36EA7">
        <w:rPr>
          <w:spacing w:val="-11"/>
          <w:w w:val="105"/>
        </w:rPr>
        <w:t xml:space="preserve"> </w:t>
      </w:r>
      <w:r w:rsidRPr="00E36EA7">
        <w:rPr>
          <w:spacing w:val="-2"/>
          <w:w w:val="105"/>
        </w:rPr>
        <w:t>right</w:t>
      </w:r>
      <w:r w:rsidRPr="00E36EA7">
        <w:rPr>
          <w:spacing w:val="-6"/>
          <w:w w:val="105"/>
        </w:rPr>
        <w:t xml:space="preserve"> </w:t>
      </w:r>
      <w:r w:rsidRPr="00E36EA7">
        <w:rPr>
          <w:spacing w:val="-2"/>
          <w:w w:val="105"/>
        </w:rPr>
        <w:t xml:space="preserve">to </w:t>
      </w:r>
      <w:r w:rsidRPr="00E36EA7">
        <w:rPr>
          <w:w w:val="105"/>
        </w:rPr>
        <w:t>humane</w:t>
      </w:r>
      <w:r w:rsidRPr="00E36EA7">
        <w:rPr>
          <w:spacing w:val="-8"/>
          <w:w w:val="105"/>
        </w:rPr>
        <w:t xml:space="preserve"> </w:t>
      </w:r>
      <w:r w:rsidRPr="00E36EA7">
        <w:rPr>
          <w:w w:val="105"/>
        </w:rPr>
        <w:t>treatment while</w:t>
      </w:r>
      <w:r w:rsidRPr="00E36EA7">
        <w:rPr>
          <w:spacing w:val="-7"/>
          <w:w w:val="105"/>
        </w:rPr>
        <w:t xml:space="preserve"> </w:t>
      </w:r>
      <w:r w:rsidRPr="00E36EA7">
        <w:rPr>
          <w:w w:val="105"/>
        </w:rPr>
        <w:t>deprived</w:t>
      </w:r>
      <w:r w:rsidRPr="00E36EA7">
        <w:rPr>
          <w:spacing w:val="-8"/>
          <w:w w:val="105"/>
        </w:rPr>
        <w:t xml:space="preserve"> </w:t>
      </w:r>
      <w:r w:rsidRPr="00E36EA7">
        <w:rPr>
          <w:w w:val="105"/>
        </w:rPr>
        <w:t>of</w:t>
      </w:r>
      <w:r w:rsidRPr="00E36EA7">
        <w:rPr>
          <w:spacing w:val="-15"/>
          <w:w w:val="105"/>
        </w:rPr>
        <w:t xml:space="preserve"> </w:t>
      </w:r>
      <w:r w:rsidRPr="00E36EA7">
        <w:rPr>
          <w:w w:val="105"/>
        </w:rPr>
        <w:t>liberty</w:t>
      </w:r>
      <w:r w:rsidRPr="00E36EA7">
        <w:rPr>
          <w:spacing w:val="-10"/>
          <w:w w:val="105"/>
        </w:rPr>
        <w:t xml:space="preserve"> </w:t>
      </w:r>
      <w:r w:rsidRPr="00E36EA7">
        <w:rPr>
          <w:w w:val="105"/>
        </w:rPr>
        <w:t>(section</w:t>
      </w:r>
      <w:r w:rsidRPr="00E36EA7">
        <w:rPr>
          <w:spacing w:val="-13"/>
          <w:w w:val="105"/>
        </w:rPr>
        <w:t xml:space="preserve"> </w:t>
      </w:r>
      <w:r w:rsidRPr="00E36EA7">
        <w:rPr>
          <w:w w:val="105"/>
        </w:rPr>
        <w:t>30(1)</w:t>
      </w:r>
      <w:r w:rsidRPr="00E36EA7">
        <w:rPr>
          <w:spacing w:val="-11"/>
          <w:w w:val="105"/>
        </w:rPr>
        <w:t xml:space="preserve"> </w:t>
      </w:r>
      <w:r w:rsidRPr="00E36EA7">
        <w:rPr>
          <w:w w:val="105"/>
        </w:rPr>
        <w:t>of</w:t>
      </w:r>
      <w:r w:rsidRPr="00E36EA7">
        <w:rPr>
          <w:spacing w:val="-15"/>
          <w:w w:val="105"/>
        </w:rPr>
        <w:t xml:space="preserve"> </w:t>
      </w:r>
      <w:r w:rsidRPr="00E36EA7">
        <w:rPr>
          <w:w w:val="105"/>
        </w:rPr>
        <w:t>the</w:t>
      </w:r>
      <w:r w:rsidRPr="00E36EA7">
        <w:rPr>
          <w:spacing w:val="-10"/>
          <w:w w:val="105"/>
        </w:rPr>
        <w:t xml:space="preserve"> </w:t>
      </w:r>
      <w:r w:rsidRPr="00E36EA7">
        <w:rPr>
          <w:w w:val="105"/>
        </w:rPr>
        <w:t>HRA).</w:t>
      </w:r>
    </w:p>
    <w:p w14:paraId="00ACE8C3" w14:textId="3A1EB3EA" w:rsidR="00AA13CC" w:rsidRDefault="00AA13CC" w:rsidP="00AA13CC">
      <w:pPr>
        <w:rPr>
          <w:color w:val="000000" w:themeColor="text1"/>
        </w:rPr>
      </w:pPr>
      <w:r>
        <w:rPr>
          <w:color w:val="000000" w:themeColor="text1"/>
        </w:rPr>
        <w:t>The Queensland Police Service shared an example o</w:t>
      </w:r>
      <w:r w:rsidR="00C03F19">
        <w:rPr>
          <w:color w:val="000000" w:themeColor="text1"/>
        </w:rPr>
        <w:t xml:space="preserve">f </w:t>
      </w:r>
      <w:r w:rsidR="001A01E6">
        <w:rPr>
          <w:color w:val="000000" w:themeColor="text1"/>
        </w:rPr>
        <w:t>service improvements following a serious complaint by a victim of crime:</w:t>
      </w:r>
    </w:p>
    <w:p w14:paraId="720B9E12" w14:textId="1171C3FF" w:rsidR="001A01E6" w:rsidRPr="00AA13CC" w:rsidRDefault="001A01E6" w:rsidP="001A01E6">
      <w:pPr>
        <w:pStyle w:val="Quote"/>
      </w:pPr>
      <w:r>
        <w:t>Within the reporting period the QPS faced a serious allegation of neglecting its duty to properly handle a rape complaint. This violated the human rights of the complainant to be recognised as a person before the law. As a result of this incident, the QPS implemented several measures to improve its service delivery and response to sexual violence cases. These measures included the establishment of Sexual Violence Liaison Officers, who provide specialised support and assistance to victims, the enhancement of training and skills for investigators, and the revision of protocols and procedures for receiving and processing reports of sexual violence by QPS members</w:t>
      </w:r>
      <w:r w:rsidR="000A3B29">
        <w:t>.</w:t>
      </w:r>
    </w:p>
    <w:p w14:paraId="0E667ACA" w14:textId="77777777" w:rsidR="00DA2626" w:rsidRPr="007F3D16" w:rsidRDefault="00DA2626" w:rsidP="00DA2626">
      <w:pPr>
        <w:pStyle w:val="Heading2"/>
        <w:rPr>
          <w:color w:val="8D361E"/>
        </w:rPr>
      </w:pPr>
      <w:bookmarkStart w:id="563" w:name="_Toc56451597"/>
      <w:bookmarkStart w:id="564" w:name="_Toc56452171"/>
      <w:bookmarkStart w:id="565" w:name="_Toc84593900"/>
      <w:bookmarkStart w:id="566" w:name="_Toc85451777"/>
      <w:bookmarkStart w:id="567" w:name="_Toc85526707"/>
      <w:bookmarkStart w:id="568" w:name="_Toc85787122"/>
      <w:bookmarkStart w:id="569" w:name="_Toc117697181"/>
      <w:bookmarkStart w:id="570" w:name="_Toc117697888"/>
      <w:bookmarkStart w:id="571" w:name="_Toc147757328"/>
      <w:bookmarkStart w:id="572" w:name="_Toc148086949"/>
      <w:bookmarkStart w:id="573" w:name="_Toc1990825724"/>
      <w:r w:rsidRPr="007F3D16">
        <w:rPr>
          <w:color w:val="8D361E"/>
        </w:rPr>
        <w:t>Indicator 7: Future plans</w:t>
      </w:r>
      <w:bookmarkEnd w:id="563"/>
      <w:bookmarkEnd w:id="564"/>
      <w:bookmarkEnd w:id="565"/>
      <w:bookmarkEnd w:id="566"/>
      <w:bookmarkEnd w:id="567"/>
      <w:bookmarkEnd w:id="568"/>
      <w:bookmarkEnd w:id="569"/>
      <w:bookmarkEnd w:id="570"/>
      <w:bookmarkEnd w:id="571"/>
      <w:bookmarkEnd w:id="572"/>
      <w:r w:rsidRPr="007F3D16">
        <w:rPr>
          <w:color w:val="8D361E"/>
        </w:rPr>
        <w:t xml:space="preserve"> </w:t>
      </w:r>
      <w:bookmarkEnd w:id="573"/>
    </w:p>
    <w:p w14:paraId="0984AEBF" w14:textId="1D06B942" w:rsidR="004031CA" w:rsidRDefault="00750AF9" w:rsidP="000C5396">
      <w:pPr>
        <w:spacing w:after="0"/>
        <w:rPr>
          <w:rFonts w:cs="Arial"/>
          <w:lang w:val="en-US"/>
        </w:rPr>
      </w:pPr>
      <w:r>
        <w:rPr>
          <w:rFonts w:cs="Arial"/>
          <w:lang w:val="en-US"/>
        </w:rPr>
        <w:t>The Commission</w:t>
      </w:r>
      <w:r w:rsidRPr="25306663">
        <w:rPr>
          <w:rFonts w:cs="Arial"/>
          <w:lang w:val="en-US"/>
        </w:rPr>
        <w:t xml:space="preserve"> </w:t>
      </w:r>
      <w:r w:rsidR="3576F89D" w:rsidRPr="25306663">
        <w:rPr>
          <w:rFonts w:cs="Arial"/>
          <w:lang w:val="en-US"/>
        </w:rPr>
        <w:t xml:space="preserve">asked </w:t>
      </w:r>
      <w:r w:rsidR="49ED3CF8" w:rsidRPr="25306663">
        <w:rPr>
          <w:rFonts w:cs="Arial"/>
          <w:lang w:val="en-US"/>
        </w:rPr>
        <w:t>state public entities</w:t>
      </w:r>
      <w:r w:rsidR="3576F89D" w:rsidRPr="25306663">
        <w:rPr>
          <w:rFonts w:cs="Arial"/>
          <w:lang w:val="en-US"/>
        </w:rPr>
        <w:t xml:space="preserve"> to report on any future plans to achieve the objects of </w:t>
      </w:r>
      <w:r w:rsidR="00EE2BD2">
        <w:rPr>
          <w:rFonts w:cs="Arial"/>
          <w:lang w:val="en-US"/>
        </w:rPr>
        <w:t>the Human Rights Act</w:t>
      </w:r>
      <w:r w:rsidR="3576F89D" w:rsidRPr="25306663">
        <w:rPr>
          <w:rFonts w:cs="Arial"/>
          <w:lang w:val="en-US"/>
        </w:rPr>
        <w:t>.</w:t>
      </w:r>
      <w:r w:rsidR="5A10E107" w:rsidRPr="25306663">
        <w:rPr>
          <w:rFonts w:cs="Arial"/>
          <w:lang w:val="en-US"/>
        </w:rPr>
        <w:t xml:space="preserve"> </w:t>
      </w:r>
    </w:p>
    <w:p w14:paraId="52CB08D9" w14:textId="77777777" w:rsidR="00323320" w:rsidRDefault="00323320" w:rsidP="000C5396">
      <w:pPr>
        <w:spacing w:after="0"/>
        <w:rPr>
          <w:rFonts w:eastAsia="Calibri" w:cs="Arial"/>
        </w:rPr>
      </w:pPr>
    </w:p>
    <w:p w14:paraId="36851F01" w14:textId="422D9D95" w:rsidR="00323320" w:rsidRPr="00323320" w:rsidRDefault="00323320" w:rsidP="00323320">
      <w:pPr>
        <w:spacing w:after="0"/>
        <w:rPr>
          <w:rFonts w:eastAsia="Calibri" w:cs="Arial"/>
        </w:rPr>
      </w:pPr>
      <w:r w:rsidRPr="00323320">
        <w:rPr>
          <w:rFonts w:eastAsia="Calibri" w:cs="Arial"/>
        </w:rPr>
        <w:t xml:space="preserve">The Department of Health's future plans for achieving the objectives of the Act encompass various initiatives, including ongoing staff education and awareness promotion, integrating human rights into complaints processes and project work, and embedding human rights into service delivery models and legislative policy administration. They also aim to promote human rights awareness through community consultation and staff training </w:t>
      </w:r>
      <w:r w:rsidR="00EE0153">
        <w:rPr>
          <w:rFonts w:eastAsia="Calibri" w:cs="Arial"/>
        </w:rPr>
        <w:t>to</w:t>
      </w:r>
      <w:r w:rsidRPr="00323320">
        <w:rPr>
          <w:rFonts w:eastAsia="Calibri" w:cs="Arial"/>
        </w:rPr>
        <w:t xml:space="preserve"> ensur</w:t>
      </w:r>
      <w:r w:rsidR="00EE0153">
        <w:rPr>
          <w:rFonts w:eastAsia="Calibri" w:cs="Arial"/>
        </w:rPr>
        <w:t>e</w:t>
      </w:r>
      <w:r w:rsidRPr="00323320">
        <w:rPr>
          <w:rFonts w:eastAsia="Calibri" w:cs="Arial"/>
        </w:rPr>
        <w:t xml:space="preserve"> an active human rights culture remains within the division.</w:t>
      </w:r>
    </w:p>
    <w:p w14:paraId="2C034C45" w14:textId="77777777" w:rsidR="00323320" w:rsidRPr="00323320" w:rsidRDefault="00323320" w:rsidP="00323320">
      <w:pPr>
        <w:spacing w:after="0"/>
        <w:rPr>
          <w:rFonts w:eastAsia="Calibri" w:cs="Arial"/>
        </w:rPr>
      </w:pPr>
    </w:p>
    <w:p w14:paraId="1591C3EB" w14:textId="6B033AF0" w:rsidR="00323320" w:rsidRPr="00323320" w:rsidRDefault="00323320" w:rsidP="00323320">
      <w:pPr>
        <w:spacing w:after="0"/>
        <w:rPr>
          <w:rFonts w:eastAsia="Calibri" w:cs="Arial"/>
        </w:rPr>
      </w:pPr>
      <w:r w:rsidRPr="00323320">
        <w:rPr>
          <w:rFonts w:eastAsia="Calibri" w:cs="Arial"/>
        </w:rPr>
        <w:t>Queensland Corrective Services intends to continue embedding human rights considerations in their decision-making processes, policies, legislative changes, and procedures.</w:t>
      </w:r>
    </w:p>
    <w:p w14:paraId="1415C17A" w14:textId="77777777" w:rsidR="00323320" w:rsidRPr="00323320" w:rsidRDefault="00323320" w:rsidP="00323320">
      <w:pPr>
        <w:spacing w:after="0"/>
        <w:rPr>
          <w:rFonts w:eastAsia="Calibri" w:cs="Arial"/>
        </w:rPr>
      </w:pPr>
    </w:p>
    <w:p w14:paraId="21AC1427" w14:textId="75F8F2E9" w:rsidR="00323320" w:rsidRPr="00323320" w:rsidRDefault="00323320" w:rsidP="00323320">
      <w:pPr>
        <w:spacing w:after="0"/>
        <w:rPr>
          <w:rFonts w:eastAsia="Calibri" w:cs="Arial"/>
        </w:rPr>
      </w:pPr>
      <w:r w:rsidRPr="00323320">
        <w:rPr>
          <w:rFonts w:eastAsia="Calibri" w:cs="Arial"/>
        </w:rPr>
        <w:t>The Department of Education plans to reintroduce a centralised human rights function focusing on training, policy and procedure enhancements, and improving the accuracy and consistency of human rights complaint management. They aim to build a strong human rights culture and ensure human rights considerations are clear in their policies and procedures.</w:t>
      </w:r>
    </w:p>
    <w:p w14:paraId="618DE3CC" w14:textId="77777777" w:rsidR="00323320" w:rsidRPr="00323320" w:rsidRDefault="00323320" w:rsidP="00323320">
      <w:pPr>
        <w:spacing w:after="0"/>
        <w:rPr>
          <w:rFonts w:eastAsia="Calibri" w:cs="Arial"/>
        </w:rPr>
      </w:pPr>
    </w:p>
    <w:p w14:paraId="1B68FBD4" w14:textId="0F028CBD" w:rsidR="00323320" w:rsidRPr="00323320" w:rsidRDefault="00323320" w:rsidP="00323320">
      <w:pPr>
        <w:spacing w:after="0"/>
        <w:rPr>
          <w:rFonts w:eastAsia="Calibri" w:cs="Arial"/>
        </w:rPr>
      </w:pPr>
      <w:r w:rsidRPr="00323320">
        <w:rPr>
          <w:rFonts w:eastAsia="Calibri" w:cs="Arial"/>
        </w:rPr>
        <w:t>The Department of Housing will concentrate on human rights in customer complaints, aligning with the new Australian Standard</w:t>
      </w:r>
      <w:r w:rsidR="00865113">
        <w:rPr>
          <w:rFonts w:eastAsia="Calibri" w:cs="Arial"/>
        </w:rPr>
        <w:t>,</w:t>
      </w:r>
      <w:r w:rsidRPr="00323320">
        <w:rPr>
          <w:rFonts w:eastAsia="Calibri" w:cs="Arial"/>
        </w:rPr>
        <w:t xml:space="preserve"> and develop</w:t>
      </w:r>
      <w:r w:rsidR="00865113">
        <w:rPr>
          <w:rFonts w:eastAsia="Calibri" w:cs="Arial"/>
        </w:rPr>
        <w:t>ing</w:t>
      </w:r>
      <w:r w:rsidRPr="00323320">
        <w:rPr>
          <w:rFonts w:eastAsia="Calibri" w:cs="Arial"/>
        </w:rPr>
        <w:t xml:space="preserve"> a new Customer Complaint Management Framework and Guidelines. This will enhance the understanding of human rights culture and complaint management across the department.</w:t>
      </w:r>
    </w:p>
    <w:p w14:paraId="2591AB04" w14:textId="77777777" w:rsidR="00323320" w:rsidRPr="00323320" w:rsidRDefault="00323320" w:rsidP="00323320">
      <w:pPr>
        <w:spacing w:after="0"/>
        <w:rPr>
          <w:rFonts w:eastAsia="Calibri" w:cs="Arial"/>
        </w:rPr>
      </w:pPr>
    </w:p>
    <w:p w14:paraId="605A785E" w14:textId="56166369" w:rsidR="00323320" w:rsidRPr="00323320" w:rsidRDefault="00323320" w:rsidP="00323320">
      <w:pPr>
        <w:spacing w:after="0"/>
        <w:rPr>
          <w:rFonts w:eastAsia="Calibri" w:cs="Arial"/>
        </w:rPr>
      </w:pPr>
      <w:r w:rsidRPr="00323320">
        <w:rPr>
          <w:rFonts w:eastAsia="Calibri" w:cs="Arial"/>
        </w:rPr>
        <w:t xml:space="preserve">DTATSIPCA </w:t>
      </w:r>
      <w:r w:rsidR="00990A22">
        <w:rPr>
          <w:rFonts w:eastAsia="Calibri" w:cs="Arial"/>
        </w:rPr>
        <w:t>anticipates that</w:t>
      </w:r>
      <w:r w:rsidR="001910E4">
        <w:rPr>
          <w:rFonts w:eastAsia="Calibri" w:cs="Arial"/>
        </w:rPr>
        <w:t xml:space="preserve"> future </w:t>
      </w:r>
      <w:r w:rsidR="00E612B5">
        <w:rPr>
          <w:rFonts w:eastAsia="Calibri" w:cs="Arial"/>
        </w:rPr>
        <w:t>initiatives</w:t>
      </w:r>
      <w:r w:rsidR="001910E4">
        <w:rPr>
          <w:rFonts w:eastAsia="Calibri" w:cs="Arial"/>
        </w:rPr>
        <w:t xml:space="preserve"> </w:t>
      </w:r>
      <w:r w:rsidR="00BE0420">
        <w:rPr>
          <w:rFonts w:eastAsia="Calibri" w:cs="Arial"/>
        </w:rPr>
        <w:t>will</w:t>
      </w:r>
      <w:r w:rsidR="00A92F77">
        <w:rPr>
          <w:rFonts w:eastAsia="Calibri" w:cs="Arial"/>
        </w:rPr>
        <w:t xml:space="preserve"> </w:t>
      </w:r>
      <w:r w:rsidR="00E612B5">
        <w:rPr>
          <w:rFonts w:eastAsia="Calibri" w:cs="Arial"/>
        </w:rPr>
        <w:t xml:space="preserve">protect and </w:t>
      </w:r>
      <w:r w:rsidR="00CB0A7C">
        <w:rPr>
          <w:rFonts w:eastAsia="Calibri" w:cs="Arial"/>
        </w:rPr>
        <w:t>promote human rights</w:t>
      </w:r>
      <w:r w:rsidR="00815638">
        <w:rPr>
          <w:rFonts w:eastAsia="Calibri" w:cs="Arial"/>
        </w:rPr>
        <w:t>, and</w:t>
      </w:r>
      <w:r w:rsidR="00B21E74">
        <w:rPr>
          <w:rFonts w:eastAsia="Calibri" w:cs="Arial"/>
        </w:rPr>
        <w:t xml:space="preserve"> includ</w:t>
      </w:r>
      <w:r w:rsidR="00815638">
        <w:rPr>
          <w:rFonts w:eastAsia="Calibri" w:cs="Arial"/>
        </w:rPr>
        <w:t>e</w:t>
      </w:r>
      <w:r w:rsidR="00B21E74">
        <w:rPr>
          <w:rFonts w:eastAsia="Calibri" w:cs="Arial"/>
        </w:rPr>
        <w:t xml:space="preserve"> Path to Treaty, </w:t>
      </w:r>
      <w:r w:rsidR="00426CD6">
        <w:rPr>
          <w:rFonts w:eastAsia="Calibri" w:cs="Arial"/>
        </w:rPr>
        <w:t>stage 2 Public Sector Reforms</w:t>
      </w:r>
      <w:r w:rsidR="00E612B5">
        <w:rPr>
          <w:rFonts w:eastAsia="Calibri" w:cs="Arial"/>
        </w:rPr>
        <w:t>, and development of the Youth Queenslanders Strategy.</w:t>
      </w:r>
    </w:p>
    <w:p w14:paraId="09C885AB" w14:textId="77777777" w:rsidR="00323320" w:rsidRPr="00323320" w:rsidRDefault="00323320" w:rsidP="00323320">
      <w:pPr>
        <w:spacing w:after="0"/>
        <w:rPr>
          <w:rFonts w:eastAsia="Calibri" w:cs="Arial"/>
        </w:rPr>
      </w:pPr>
    </w:p>
    <w:p w14:paraId="6CBCAA97" w14:textId="77777777" w:rsidR="00323320" w:rsidRPr="00323320" w:rsidRDefault="00323320" w:rsidP="00323320">
      <w:pPr>
        <w:spacing w:after="0"/>
        <w:rPr>
          <w:rFonts w:eastAsia="Calibri" w:cs="Arial"/>
        </w:rPr>
      </w:pPr>
      <w:r w:rsidRPr="00323320">
        <w:rPr>
          <w:rFonts w:eastAsia="Calibri" w:cs="Arial"/>
        </w:rPr>
        <w:t>The Queensland Police Service will work on educating and empowering their members to respect and protect human rights and seek to allocate more resources to strengthen their commitment to human rights. They aim to raise awareness and cultivate a human rights culture within the service.</w:t>
      </w:r>
    </w:p>
    <w:p w14:paraId="1CE948E9" w14:textId="77777777" w:rsidR="00323320" w:rsidRPr="00323320" w:rsidRDefault="00323320" w:rsidP="00323320">
      <w:pPr>
        <w:spacing w:after="0"/>
        <w:rPr>
          <w:rFonts w:eastAsia="Calibri" w:cs="Arial"/>
        </w:rPr>
      </w:pPr>
    </w:p>
    <w:p w14:paraId="2A22FBA9" w14:textId="241BDE58" w:rsidR="000C5396" w:rsidRDefault="00134366" w:rsidP="00323320">
      <w:pPr>
        <w:spacing w:after="0"/>
        <w:rPr>
          <w:rFonts w:eastAsia="Calibri" w:cs="Arial"/>
        </w:rPr>
      </w:pPr>
      <w:r>
        <w:rPr>
          <w:rFonts w:eastAsia="Calibri" w:cs="Arial"/>
        </w:rPr>
        <w:t xml:space="preserve">In future, </w:t>
      </w:r>
      <w:r w:rsidR="008C73FB">
        <w:rPr>
          <w:rFonts w:eastAsia="Calibri" w:cs="Arial"/>
        </w:rPr>
        <w:t xml:space="preserve">the newly established </w:t>
      </w:r>
      <w:r w:rsidR="001C6199">
        <w:rPr>
          <w:rFonts w:eastAsia="Calibri" w:cs="Arial"/>
        </w:rPr>
        <w:t>DYJE</w:t>
      </w:r>
      <w:r w:rsidR="00914D56">
        <w:rPr>
          <w:rFonts w:eastAsia="Calibri" w:cs="Arial"/>
        </w:rPr>
        <w:t>SB</w:t>
      </w:r>
      <w:r w:rsidR="00726A5D">
        <w:rPr>
          <w:rFonts w:eastAsia="Calibri" w:cs="Arial"/>
        </w:rPr>
        <w:t>T</w:t>
      </w:r>
      <w:r w:rsidR="00323320" w:rsidRPr="00323320">
        <w:rPr>
          <w:rFonts w:eastAsia="Calibri" w:cs="Arial"/>
        </w:rPr>
        <w:t xml:space="preserve"> plans to </w:t>
      </w:r>
      <w:r w:rsidR="008C73FB">
        <w:rPr>
          <w:rFonts w:eastAsia="Calibri" w:cs="Arial"/>
        </w:rPr>
        <w:t>establish a Human Rights Committee to guide future implementation strategies</w:t>
      </w:r>
      <w:r w:rsidR="00F90C27">
        <w:rPr>
          <w:rFonts w:eastAsia="Calibri" w:cs="Arial"/>
        </w:rPr>
        <w:t xml:space="preserve">. The Committee will </w:t>
      </w:r>
      <w:r w:rsidR="009F449D">
        <w:rPr>
          <w:rFonts w:eastAsia="Calibri" w:cs="Arial"/>
        </w:rPr>
        <w:t xml:space="preserve">have the </w:t>
      </w:r>
      <w:r w:rsidR="00F90C27">
        <w:rPr>
          <w:rFonts w:eastAsia="Calibri" w:cs="Arial"/>
        </w:rPr>
        <w:t>task</w:t>
      </w:r>
      <w:r w:rsidR="002B47BF">
        <w:rPr>
          <w:rFonts w:eastAsia="Calibri" w:cs="Arial"/>
        </w:rPr>
        <w:t xml:space="preserve"> </w:t>
      </w:r>
      <w:r w:rsidR="00551574">
        <w:rPr>
          <w:rFonts w:eastAsia="Calibri" w:cs="Arial"/>
        </w:rPr>
        <w:t>of</w:t>
      </w:r>
      <w:r w:rsidR="00F90C27">
        <w:rPr>
          <w:rFonts w:eastAsia="Calibri" w:cs="Arial"/>
        </w:rPr>
        <w:t xml:space="preserve"> identifying</w:t>
      </w:r>
      <w:r w:rsidR="00B449A5">
        <w:rPr>
          <w:rFonts w:eastAsia="Calibri" w:cs="Arial"/>
        </w:rPr>
        <w:t xml:space="preserve"> </w:t>
      </w:r>
      <w:r w:rsidR="00F90C27" w:rsidRPr="00F90C27">
        <w:rPr>
          <w:rFonts w:eastAsia="Calibri" w:cs="Arial"/>
        </w:rPr>
        <w:t>implementation challenges and successes to date</w:t>
      </w:r>
      <w:r w:rsidR="008F22B8">
        <w:rPr>
          <w:rFonts w:eastAsia="Calibri" w:cs="Arial"/>
        </w:rPr>
        <w:t>,</w:t>
      </w:r>
      <w:r w:rsidR="00F90C27" w:rsidRPr="00F90C27">
        <w:rPr>
          <w:rFonts w:eastAsia="Calibri" w:cs="Arial"/>
        </w:rPr>
        <w:t xml:space="preserve"> </w:t>
      </w:r>
      <w:r w:rsidR="00C46D88">
        <w:rPr>
          <w:rFonts w:eastAsia="Calibri" w:cs="Arial"/>
        </w:rPr>
        <w:t>as well as</w:t>
      </w:r>
      <w:r w:rsidR="00F90C27" w:rsidRPr="00F90C27">
        <w:rPr>
          <w:rFonts w:eastAsia="Calibri" w:cs="Arial"/>
        </w:rPr>
        <w:t xml:space="preserve"> risks</w:t>
      </w:r>
      <w:r w:rsidR="00C46D88">
        <w:rPr>
          <w:rFonts w:eastAsia="Calibri" w:cs="Arial"/>
        </w:rPr>
        <w:t xml:space="preserve">, </w:t>
      </w:r>
      <w:r w:rsidR="00F90C27" w:rsidRPr="00F90C27">
        <w:rPr>
          <w:rFonts w:eastAsia="Calibri" w:cs="Arial"/>
        </w:rPr>
        <w:t>priorities</w:t>
      </w:r>
      <w:r w:rsidR="00053059">
        <w:rPr>
          <w:rFonts w:eastAsia="Calibri" w:cs="Arial"/>
        </w:rPr>
        <w:t>,</w:t>
      </w:r>
      <w:r w:rsidR="00F90C27" w:rsidRPr="00F90C27">
        <w:rPr>
          <w:rFonts w:eastAsia="Calibri" w:cs="Arial"/>
        </w:rPr>
        <w:t xml:space="preserve"> </w:t>
      </w:r>
      <w:r w:rsidR="00C46D88">
        <w:rPr>
          <w:rFonts w:eastAsia="Calibri" w:cs="Arial"/>
        </w:rPr>
        <w:t>and</w:t>
      </w:r>
      <w:r w:rsidR="00F90C27" w:rsidRPr="00F90C27">
        <w:rPr>
          <w:rFonts w:eastAsia="Calibri" w:cs="Arial"/>
        </w:rPr>
        <w:t xml:space="preserve"> shared future opportunities. Learning from what has been achieved so far will be a priority and include exploring the Department’s internal ‘best practice’ based on experiences to date </w:t>
      </w:r>
      <w:r w:rsidR="006D5910">
        <w:rPr>
          <w:rFonts w:eastAsia="Calibri" w:cs="Arial"/>
        </w:rPr>
        <w:t>of</w:t>
      </w:r>
      <w:r w:rsidR="00F90C27" w:rsidRPr="00F90C27">
        <w:rPr>
          <w:rFonts w:eastAsia="Calibri" w:cs="Arial"/>
        </w:rPr>
        <w:t xml:space="preserve"> policy officers, contract managers, human resource staff</w:t>
      </w:r>
      <w:r w:rsidR="00E458C7">
        <w:rPr>
          <w:rFonts w:eastAsia="Calibri" w:cs="Arial"/>
        </w:rPr>
        <w:t>,</w:t>
      </w:r>
      <w:r w:rsidR="00F90C27" w:rsidRPr="00F90C27">
        <w:rPr>
          <w:rFonts w:eastAsia="Calibri" w:cs="Arial"/>
        </w:rPr>
        <w:t xml:space="preserve"> and frontline workers.</w:t>
      </w:r>
      <w:r w:rsidR="00B77F29">
        <w:rPr>
          <w:rFonts w:eastAsia="Calibri" w:cs="Arial"/>
        </w:rPr>
        <w:t xml:space="preserve"> As part of the Department’s First Nations training strategy, a new digital resource to help small and medium businesses attract and retain Aboriginal and Torres Strait Islander employees</w:t>
      </w:r>
      <w:r w:rsidR="009874BC">
        <w:rPr>
          <w:rFonts w:eastAsia="Calibri" w:cs="Arial"/>
        </w:rPr>
        <w:t xml:space="preserve"> is being created</w:t>
      </w:r>
      <w:r w:rsidR="00B77F29">
        <w:rPr>
          <w:rFonts w:eastAsia="Calibri" w:cs="Arial"/>
        </w:rPr>
        <w:t>.</w:t>
      </w:r>
    </w:p>
    <w:p w14:paraId="34B661A5" w14:textId="77777777" w:rsidR="007C23B1" w:rsidRPr="007F3D16" w:rsidRDefault="007C23B1" w:rsidP="007C23B1">
      <w:pPr>
        <w:pStyle w:val="Heading1"/>
        <w:rPr>
          <w:color w:val="8D361E"/>
        </w:rPr>
      </w:pPr>
      <w:bookmarkStart w:id="574" w:name="_Toc481600900"/>
      <w:bookmarkStart w:id="575" w:name="_Toc117697182"/>
      <w:bookmarkStart w:id="576" w:name="_Toc147757329"/>
      <w:bookmarkStart w:id="577" w:name="_Toc148086950"/>
      <w:r w:rsidRPr="007F3D16">
        <w:rPr>
          <w:color w:val="8D361E"/>
        </w:rPr>
        <w:t>Local government public entities</w:t>
      </w:r>
      <w:bookmarkStart w:id="578" w:name="_Toc56451599"/>
      <w:bookmarkStart w:id="579" w:name="_Toc56452173"/>
      <w:bookmarkStart w:id="580" w:name="_Toc84593902"/>
      <w:bookmarkStart w:id="581" w:name="_Toc85451779"/>
      <w:bookmarkEnd w:id="574"/>
      <w:bookmarkEnd w:id="575"/>
      <w:bookmarkEnd w:id="576"/>
      <w:bookmarkEnd w:id="577"/>
    </w:p>
    <w:p w14:paraId="53CCB954" w14:textId="77777777" w:rsidR="007C23B1" w:rsidRPr="007F3D16" w:rsidRDefault="007C23B1" w:rsidP="007C23B1">
      <w:pPr>
        <w:pStyle w:val="Heading2"/>
        <w:rPr>
          <w:color w:val="8D361E"/>
        </w:rPr>
      </w:pPr>
      <w:bookmarkStart w:id="582" w:name="_Toc85526709"/>
      <w:bookmarkStart w:id="583" w:name="_Toc85787124"/>
      <w:bookmarkStart w:id="584" w:name="_Toc2091934767"/>
      <w:bookmarkStart w:id="585" w:name="_Toc117697183"/>
      <w:bookmarkStart w:id="586" w:name="_Toc117697890"/>
      <w:bookmarkStart w:id="587" w:name="_Toc147757330"/>
      <w:bookmarkStart w:id="588" w:name="_Toc148086951"/>
      <w:r w:rsidRPr="007F3D16">
        <w:rPr>
          <w:color w:val="8D361E"/>
        </w:rPr>
        <w:t>Indicator 1: Education and staff development</w:t>
      </w:r>
      <w:bookmarkEnd w:id="578"/>
      <w:bookmarkEnd w:id="579"/>
      <w:bookmarkEnd w:id="580"/>
      <w:bookmarkEnd w:id="581"/>
      <w:bookmarkEnd w:id="582"/>
      <w:bookmarkEnd w:id="583"/>
      <w:bookmarkEnd w:id="584"/>
      <w:bookmarkEnd w:id="585"/>
      <w:bookmarkEnd w:id="586"/>
      <w:bookmarkEnd w:id="587"/>
      <w:bookmarkEnd w:id="588"/>
    </w:p>
    <w:p w14:paraId="0ABBAFC3" w14:textId="221AE95F" w:rsidR="00A176A7" w:rsidRDefault="00C659A0" w:rsidP="00CD0FAF">
      <w:r>
        <w:t>T</w:t>
      </w:r>
      <w:r w:rsidR="009A0871">
        <w:t>he Commission</w:t>
      </w:r>
      <w:r w:rsidR="003C4A8C">
        <w:t xml:space="preserve"> </w:t>
      </w:r>
      <w:r w:rsidR="00A85989">
        <w:t>surveyed</w:t>
      </w:r>
      <w:r w:rsidR="00CD0FAF">
        <w:t xml:space="preserve"> councils </w:t>
      </w:r>
      <w:r w:rsidR="007704B4">
        <w:t>on</w:t>
      </w:r>
      <w:r w:rsidR="00CD0FAF">
        <w:t xml:space="preserve"> </w:t>
      </w:r>
      <w:r w:rsidR="00DF66F5">
        <w:t xml:space="preserve">the extent to which staff awareness has been raised about </w:t>
      </w:r>
      <w:r w:rsidR="00EE2BD2">
        <w:t>the Human Rights Act</w:t>
      </w:r>
      <w:r w:rsidR="00C93918">
        <w:t xml:space="preserve">, in </w:t>
      </w:r>
      <w:r w:rsidR="00775EA5">
        <w:t>particular</w:t>
      </w:r>
      <w:r w:rsidR="00A176A7">
        <w:t>:</w:t>
      </w:r>
    </w:p>
    <w:p w14:paraId="296A906F" w14:textId="2DDC603D" w:rsidR="00A176A7" w:rsidRDefault="00DF66F5" w:rsidP="009A0871">
      <w:pPr>
        <w:pStyle w:val="Listparagraph-bulleted"/>
      </w:pPr>
      <w:r>
        <w:t>what education and training has been provided</w:t>
      </w:r>
      <w:r w:rsidR="00EF09D8">
        <w:t xml:space="preserve"> </w:t>
      </w:r>
      <w:r w:rsidR="008D59BE">
        <w:t>(noting</w:t>
      </w:r>
      <w:r w:rsidR="00673380">
        <w:t xml:space="preserve"> the particular</w:t>
      </w:r>
      <w:r w:rsidR="00EF09D8">
        <w:t xml:space="preserve"> </w:t>
      </w:r>
      <w:r w:rsidR="0057071E">
        <w:t xml:space="preserve">divisions or </w:t>
      </w:r>
      <w:r w:rsidR="00EF09D8">
        <w:t>work units</w:t>
      </w:r>
      <w:r w:rsidR="008D59BE">
        <w:t xml:space="preserve"> targeted</w:t>
      </w:r>
      <w:r w:rsidR="00E76BB7">
        <w:t>)</w:t>
      </w:r>
    </w:p>
    <w:p w14:paraId="1BCE0109" w14:textId="2429BB71" w:rsidR="005D73C5" w:rsidRDefault="005D73C5" w:rsidP="009A0871">
      <w:pPr>
        <w:pStyle w:val="Listparagraph-bulleted"/>
      </w:pPr>
      <w:r>
        <w:t>what</w:t>
      </w:r>
      <w:r w:rsidR="00CC1143">
        <w:t xml:space="preserve"> delivery m</w:t>
      </w:r>
      <w:r w:rsidR="6D7508E0">
        <w:t>ethod</w:t>
      </w:r>
      <w:r w:rsidR="00CC1143">
        <w:t xml:space="preserve"> </w:t>
      </w:r>
      <w:r w:rsidR="00A85989">
        <w:t xml:space="preserve">was </w:t>
      </w:r>
      <w:r w:rsidR="00E76BB7">
        <w:t xml:space="preserve">used </w:t>
      </w:r>
      <w:r w:rsidR="00CC1143">
        <w:t>(online, face-to-face etc)</w:t>
      </w:r>
    </w:p>
    <w:p w14:paraId="0FF80BCB" w14:textId="7A64C605" w:rsidR="00A85989" w:rsidRDefault="00FF23C3" w:rsidP="009A0871">
      <w:pPr>
        <w:pStyle w:val="Listparagraph-bulleted"/>
      </w:pPr>
      <w:r>
        <w:t xml:space="preserve">whether </w:t>
      </w:r>
      <w:r w:rsidR="3126850A">
        <w:t>human rights content</w:t>
      </w:r>
      <w:r>
        <w:t xml:space="preserve"> has been incorporated into induction training</w:t>
      </w:r>
      <w:r w:rsidR="005F658F">
        <w:t xml:space="preserve"> and </w:t>
      </w:r>
      <w:r w:rsidR="00EF09D8">
        <w:t>ongoing professional development for staff</w:t>
      </w:r>
    </w:p>
    <w:p w14:paraId="20CF1A46" w14:textId="56564491" w:rsidR="004E57BA" w:rsidRDefault="00CC1143" w:rsidP="00C41F2C">
      <w:pPr>
        <w:pStyle w:val="Listparagraph-bulleted"/>
      </w:pPr>
      <w:r>
        <w:t xml:space="preserve">whether </w:t>
      </w:r>
      <w:r w:rsidR="00A85989">
        <w:t xml:space="preserve">they provide </w:t>
      </w:r>
      <w:r w:rsidR="00AD3F97">
        <w:t xml:space="preserve">examples to tailor the training to </w:t>
      </w:r>
      <w:r w:rsidR="02AE3DE3">
        <w:t xml:space="preserve">the </w:t>
      </w:r>
      <w:r w:rsidR="00AD3F97">
        <w:t xml:space="preserve">particular </w:t>
      </w:r>
      <w:r w:rsidR="6C6B0244">
        <w:t>context</w:t>
      </w:r>
      <w:r w:rsidR="28B0015B">
        <w:t>.</w:t>
      </w:r>
    </w:p>
    <w:p w14:paraId="6BB11073" w14:textId="105B1D98" w:rsidR="004E57BA" w:rsidRPr="00655988" w:rsidRDefault="000C385C" w:rsidP="00C41F2C">
      <w:pPr>
        <w:pStyle w:val="Heading3"/>
        <w:rPr>
          <w:color w:val="8D361E"/>
        </w:rPr>
      </w:pPr>
      <w:r>
        <w:rPr>
          <w:color w:val="8D361E"/>
        </w:rPr>
        <w:t>Internal a</w:t>
      </w:r>
      <w:r w:rsidR="004E57BA" w:rsidRPr="00655988">
        <w:rPr>
          <w:color w:val="8D361E"/>
        </w:rPr>
        <w:t>warenes</w:t>
      </w:r>
      <w:r w:rsidR="00DC4F80" w:rsidRPr="00655988">
        <w:rPr>
          <w:color w:val="8D361E"/>
        </w:rPr>
        <w:t xml:space="preserve">s raising </w:t>
      </w:r>
    </w:p>
    <w:p w14:paraId="61792FF7" w14:textId="08DFE958" w:rsidR="000A5255" w:rsidRDefault="00C41F2C" w:rsidP="004E57BA">
      <w:pPr>
        <w:pStyle w:val="Listparagraph-bulleted"/>
        <w:numPr>
          <w:ilvl w:val="0"/>
          <w:numId w:val="0"/>
        </w:numPr>
      </w:pPr>
      <w:r>
        <w:t xml:space="preserve">In the reporting period, </w:t>
      </w:r>
      <w:r w:rsidR="004E57BA">
        <w:t>Brisbane City Council, Sunshine Coast Council, Ipswich City Council, and Logan City Council have raised staff awareness through various means, including online training, communication through intranet/internet, and targeted awareness campaigns.</w:t>
      </w:r>
    </w:p>
    <w:p w14:paraId="1D105387" w14:textId="4D8D1148" w:rsidR="004E57BA" w:rsidRDefault="004E57BA" w:rsidP="00DC4F80">
      <w:r>
        <w:t>Flinders Shire Council plans to raise staff awareness through a new Human Rights Policy, but no specific actions have been reported yet.</w:t>
      </w:r>
    </w:p>
    <w:p w14:paraId="0600393C" w14:textId="6A3B06E7" w:rsidR="00B667AC" w:rsidRPr="00655988" w:rsidRDefault="00CD5AAC" w:rsidP="00CD5AAC">
      <w:pPr>
        <w:pStyle w:val="Heading3"/>
        <w:rPr>
          <w:color w:val="8D361E"/>
        </w:rPr>
      </w:pPr>
      <w:r w:rsidRPr="00655988">
        <w:rPr>
          <w:color w:val="8D361E"/>
        </w:rPr>
        <w:t xml:space="preserve">Education and training programs </w:t>
      </w:r>
    </w:p>
    <w:p w14:paraId="3F426590" w14:textId="18D6D742" w:rsidR="009A733D" w:rsidRDefault="009A733D" w:rsidP="009A733D">
      <w:r>
        <w:t xml:space="preserve">Most councils include human rights in induction training for new staff. </w:t>
      </w:r>
      <w:r w:rsidR="001736D7">
        <w:t>Most c</w:t>
      </w:r>
      <w:r>
        <w:t xml:space="preserve">ouncils deliver training online, </w:t>
      </w:r>
      <w:r w:rsidR="00C320A8">
        <w:t>while</w:t>
      </w:r>
      <w:r>
        <w:t xml:space="preserve"> Brisbane City Council </w:t>
      </w:r>
      <w:r w:rsidR="00981E75">
        <w:t xml:space="preserve">and </w:t>
      </w:r>
      <w:r w:rsidR="004D7CE9">
        <w:t xml:space="preserve">City of </w:t>
      </w:r>
      <w:r w:rsidR="00640A21">
        <w:t xml:space="preserve">Gold Coast </w:t>
      </w:r>
      <w:r>
        <w:t xml:space="preserve">incorporate some in-person training in a hybrid approach. </w:t>
      </w:r>
      <w:r w:rsidR="001A6DE3">
        <w:t xml:space="preserve">At </w:t>
      </w:r>
      <w:r w:rsidR="004D7CE9">
        <w:t>City of</w:t>
      </w:r>
      <w:r w:rsidR="001A6DE3">
        <w:t xml:space="preserve"> Gold Coast, employees can choose online, in person </w:t>
      </w:r>
      <w:r w:rsidR="00944C14">
        <w:t>–</w:t>
      </w:r>
      <w:r w:rsidR="00F03C00">
        <w:t xml:space="preserve"> </w:t>
      </w:r>
      <w:r w:rsidR="001A6DE3">
        <w:t xml:space="preserve">in a training room or in their workplace </w:t>
      </w:r>
      <w:r w:rsidR="003F667D">
        <w:t>–</w:t>
      </w:r>
      <w:r w:rsidR="001A6DE3">
        <w:t xml:space="preserve"> to ensure that the approach </w:t>
      </w:r>
      <w:r w:rsidR="000E7301">
        <w:t xml:space="preserve">to training </w:t>
      </w:r>
      <w:r w:rsidR="001A6DE3">
        <w:t>is modern and flexible.</w:t>
      </w:r>
    </w:p>
    <w:p w14:paraId="050B4986" w14:textId="050CCBC8" w:rsidR="004E57BA" w:rsidRDefault="00B667AC" w:rsidP="00D047A5">
      <w:r>
        <w:t xml:space="preserve">Brisbane City Council and Sunshine Coast Council </w:t>
      </w:r>
      <w:r w:rsidR="009A733D">
        <w:t xml:space="preserve">provided </w:t>
      </w:r>
      <w:r>
        <w:t>human rights training tailored</w:t>
      </w:r>
      <w:r w:rsidR="00E82471">
        <w:t xml:space="preserve"> to the local government context</w:t>
      </w:r>
      <w:r>
        <w:t>. This includes examples specific to their councils to illustrate how to put human rights into practice.</w:t>
      </w:r>
      <w:r w:rsidR="004C0CCC">
        <w:t xml:space="preserve"> </w:t>
      </w:r>
      <w:r>
        <w:t>Ipswich City Council conducted online training with tailored video scenarios</w:t>
      </w:r>
      <w:r w:rsidR="004C0CCC">
        <w:t xml:space="preserve">. </w:t>
      </w:r>
      <w:r>
        <w:t>Logan City Council offers a comprehensive training program that includes various resources, fact sheets, and workshops.</w:t>
      </w:r>
    </w:p>
    <w:p w14:paraId="4F31369A" w14:textId="3B353C67" w:rsidR="0079626C" w:rsidRDefault="0079626C" w:rsidP="00D047A5">
      <w:r>
        <w:t xml:space="preserve">At </w:t>
      </w:r>
      <w:r w:rsidR="004D7CE9">
        <w:t xml:space="preserve">City of </w:t>
      </w:r>
      <w:r>
        <w:t xml:space="preserve">Gold Coast, </w:t>
      </w:r>
      <w:r w:rsidR="00B00006">
        <w:t xml:space="preserve">training focussed on </w:t>
      </w:r>
      <w:r w:rsidR="001B4423">
        <w:t xml:space="preserve">staff </w:t>
      </w:r>
      <w:r w:rsidR="00B00006">
        <w:t>who work with members of the public</w:t>
      </w:r>
      <w:r w:rsidR="00FE5BDD">
        <w:t xml:space="preserve">, as well as those who </w:t>
      </w:r>
      <w:r w:rsidR="00BD16A5">
        <w:t>deal with investigations and disciplinary procedures. These work units have been provided with resources and checklists to assist in human rights considerations in their case management.</w:t>
      </w:r>
    </w:p>
    <w:p w14:paraId="147B5928" w14:textId="3C636703" w:rsidR="00AF4FA1" w:rsidRPr="004C0CCC" w:rsidRDefault="0039597E" w:rsidP="004C0CCC">
      <w:r>
        <w:t>C</w:t>
      </w:r>
      <w:r w:rsidR="00DE127D">
        <w:t xml:space="preserve">ouncils </w:t>
      </w:r>
      <w:r>
        <w:t xml:space="preserve">indicated that they </w:t>
      </w:r>
      <w:r w:rsidR="00DE127D">
        <w:t xml:space="preserve">collect feedback on their training, and this feedback is used to improve training and resources. </w:t>
      </w:r>
      <w:r w:rsidR="00C7779B">
        <w:t xml:space="preserve">For instance, </w:t>
      </w:r>
      <w:r w:rsidR="00DE127D">
        <w:t xml:space="preserve">Logan City Council </w:t>
      </w:r>
      <w:r w:rsidR="00D21617">
        <w:t>reported</w:t>
      </w:r>
      <w:r w:rsidR="00DE127D">
        <w:t xml:space="preserve"> that they emphasise an open dialogue with relevant branches to ensure resources and training meet staff needs.</w:t>
      </w:r>
    </w:p>
    <w:p w14:paraId="2D42D0A3" w14:textId="77777777" w:rsidR="0051082D" w:rsidRDefault="00C057C9" w:rsidP="0051082D">
      <w:r>
        <w:t>Responses</w:t>
      </w:r>
      <w:r w:rsidR="00A85DE0">
        <w:t xml:space="preserve"> to the survey did not provide a clear picture of the percentage of staff members who had received human rights training</w:t>
      </w:r>
      <w:r w:rsidR="0051082D">
        <w:t>, but councils reported that:</w:t>
      </w:r>
    </w:p>
    <w:p w14:paraId="20C8F196" w14:textId="045B0620" w:rsidR="00CD0823" w:rsidRDefault="0042716E" w:rsidP="0051082D">
      <w:pPr>
        <w:pStyle w:val="Listparagraph-bulleted"/>
      </w:pPr>
      <w:r>
        <w:t>A</w:t>
      </w:r>
      <w:r w:rsidR="00CD0823">
        <w:t xml:space="preserve">ll work areas </w:t>
      </w:r>
      <w:r w:rsidR="007715C3">
        <w:t xml:space="preserve">at Brisbane City Council </w:t>
      </w:r>
      <w:r w:rsidR="00CD0823">
        <w:t>have access to tailored and in-person human rights training on an annual basis.</w:t>
      </w:r>
    </w:p>
    <w:p w14:paraId="09168CC5" w14:textId="2DE77FC6" w:rsidR="007715C3" w:rsidRDefault="007715C3" w:rsidP="00CD0823">
      <w:pPr>
        <w:pStyle w:val="Listparagraph-bulleted"/>
      </w:pPr>
      <w:r>
        <w:t xml:space="preserve">Sunshine Coast Council </w:t>
      </w:r>
      <w:r w:rsidR="00184C45">
        <w:t>reported</w:t>
      </w:r>
      <w:r>
        <w:t xml:space="preserve"> </w:t>
      </w:r>
      <w:r w:rsidR="00CD0823">
        <w:t xml:space="preserve">an increase of approximately 2% </w:t>
      </w:r>
      <w:r w:rsidR="00184C45">
        <w:t>in</w:t>
      </w:r>
      <w:r w:rsidR="00CD0823">
        <w:t xml:space="preserve"> employees undertaking training.</w:t>
      </w:r>
    </w:p>
    <w:p w14:paraId="040E5505" w14:textId="251D8DDF" w:rsidR="007715C3" w:rsidRDefault="007715C3" w:rsidP="00CD0823">
      <w:pPr>
        <w:pStyle w:val="Listparagraph-bulleted"/>
      </w:pPr>
      <w:r>
        <w:t xml:space="preserve">Ipswich City Council </w:t>
      </w:r>
      <w:r w:rsidR="00184C45">
        <w:t xml:space="preserve">reported that </w:t>
      </w:r>
      <w:r w:rsidR="00284A9C">
        <w:t xml:space="preserve">92% of </w:t>
      </w:r>
      <w:r w:rsidR="00CD0823">
        <w:t>employees have completed the Human Rights Act module.</w:t>
      </w:r>
    </w:p>
    <w:p w14:paraId="7210FF7E" w14:textId="25910E57" w:rsidR="00E07438" w:rsidRDefault="00583318" w:rsidP="00CD0823">
      <w:pPr>
        <w:pStyle w:val="Listparagraph-bulleted"/>
      </w:pPr>
      <w:r>
        <w:t xml:space="preserve">City of </w:t>
      </w:r>
      <w:r w:rsidR="006E2800">
        <w:t xml:space="preserve">Gold Coast </w:t>
      </w:r>
      <w:r w:rsidR="00D158C5">
        <w:t xml:space="preserve">reported that </w:t>
      </w:r>
      <w:r w:rsidR="00E07438">
        <w:t xml:space="preserve">all new employees receive training </w:t>
      </w:r>
      <w:r w:rsidR="00754708">
        <w:t xml:space="preserve">and </w:t>
      </w:r>
      <w:r w:rsidR="00CB4BAA">
        <w:t xml:space="preserve">it is mandatory for all employees to </w:t>
      </w:r>
      <w:r w:rsidR="00815BDC">
        <w:t xml:space="preserve">complete </w:t>
      </w:r>
      <w:r w:rsidR="00C97FF2">
        <w:t>the training annually.</w:t>
      </w:r>
    </w:p>
    <w:p w14:paraId="06BFC2E0" w14:textId="48DFF699" w:rsidR="00AF4FA1" w:rsidRDefault="00DF4D13" w:rsidP="00D047A5">
      <w:pPr>
        <w:pStyle w:val="Listparagraph-bulleted"/>
      </w:pPr>
      <w:r>
        <w:t xml:space="preserve">Logan City Council reported </w:t>
      </w:r>
      <w:r w:rsidR="00DF417F">
        <w:t xml:space="preserve">that </w:t>
      </w:r>
      <w:r w:rsidR="00CD0823">
        <w:t>training is mandatory for all employees as part of their induction.</w:t>
      </w:r>
    </w:p>
    <w:p w14:paraId="324963EA" w14:textId="77777777" w:rsidR="0076387A" w:rsidRPr="007F3D16" w:rsidRDefault="0076387A" w:rsidP="0076387A">
      <w:pPr>
        <w:pStyle w:val="Heading2"/>
        <w:rPr>
          <w:color w:val="8D361E"/>
        </w:rPr>
      </w:pPr>
      <w:bookmarkStart w:id="589" w:name="_Toc56451600"/>
      <w:bookmarkStart w:id="590" w:name="_Toc56452174"/>
      <w:bookmarkStart w:id="591" w:name="_Toc84593903"/>
      <w:bookmarkStart w:id="592" w:name="_Toc85451780"/>
      <w:bookmarkStart w:id="593" w:name="_Toc85526710"/>
      <w:bookmarkStart w:id="594" w:name="_Toc85787125"/>
      <w:bookmarkStart w:id="595" w:name="_Toc1969349879"/>
      <w:bookmarkStart w:id="596" w:name="_Toc117697184"/>
      <w:bookmarkStart w:id="597" w:name="_Toc117697891"/>
      <w:bookmarkStart w:id="598" w:name="_Toc147757331"/>
      <w:bookmarkStart w:id="599" w:name="_Toc148086952"/>
      <w:r w:rsidRPr="007F3D16">
        <w:rPr>
          <w:color w:val="8D361E"/>
        </w:rPr>
        <w:t>Indicator 2: Community consultation and engagement</w:t>
      </w:r>
      <w:bookmarkEnd w:id="589"/>
      <w:bookmarkEnd w:id="590"/>
      <w:bookmarkEnd w:id="591"/>
      <w:bookmarkEnd w:id="592"/>
      <w:bookmarkEnd w:id="593"/>
      <w:bookmarkEnd w:id="594"/>
      <w:bookmarkEnd w:id="595"/>
      <w:bookmarkEnd w:id="596"/>
      <w:bookmarkEnd w:id="597"/>
      <w:bookmarkEnd w:id="598"/>
      <w:bookmarkEnd w:id="599"/>
    </w:p>
    <w:p w14:paraId="3D08489F" w14:textId="37A7E687" w:rsidR="00AF2296" w:rsidRDefault="00077EDC" w:rsidP="00C60B82">
      <w:r>
        <w:t>The Commission</w:t>
      </w:r>
      <w:r w:rsidR="00891670">
        <w:t xml:space="preserve"> </w:t>
      </w:r>
      <w:r w:rsidR="0039276E">
        <w:t>asked councils whether community consultation</w:t>
      </w:r>
      <w:r w:rsidR="0086669E">
        <w:t xml:space="preserve"> and engagement about human rights</w:t>
      </w:r>
      <w:r w:rsidR="00CB72B3">
        <w:t xml:space="preserve"> had been conducted</w:t>
      </w:r>
      <w:r w:rsidR="0086669E">
        <w:t>, or information provided to the community about human rights.</w:t>
      </w:r>
      <w:r w:rsidR="0039276E">
        <w:t xml:space="preserve"> </w:t>
      </w:r>
    </w:p>
    <w:p w14:paraId="5A02343C" w14:textId="2DC6BD02" w:rsidR="00131DAA" w:rsidRDefault="00CE663A" w:rsidP="00131DAA">
      <w:r>
        <w:t>The</w:t>
      </w:r>
      <w:r w:rsidR="00131DAA">
        <w:t xml:space="preserve"> councils who responded to the survey reported that they have engaged with various stakeholders and community members to promote and protect human rights.</w:t>
      </w:r>
      <w:r w:rsidR="00455BA4">
        <w:t xml:space="preserve"> Flinders Shire Council reported that they had not taken action on community consultation or engagement about human rights but </w:t>
      </w:r>
      <w:r w:rsidR="0024368C">
        <w:t>are</w:t>
      </w:r>
      <w:r w:rsidR="00455BA4">
        <w:t xml:space="preserve"> developing a plan </w:t>
      </w:r>
      <w:r w:rsidR="002E3F0D">
        <w:t>for</w:t>
      </w:r>
      <w:r w:rsidR="000B78A2">
        <w:t xml:space="preserve"> implementation</w:t>
      </w:r>
      <w:r w:rsidR="00455BA4">
        <w:t xml:space="preserve"> in the upcoming financial year.</w:t>
      </w:r>
    </w:p>
    <w:p w14:paraId="099B9998" w14:textId="50AE6C7D" w:rsidR="00DE298D" w:rsidRDefault="00DE298D" w:rsidP="00DE298D">
      <w:r>
        <w:t xml:space="preserve">Most </w:t>
      </w:r>
      <w:r w:rsidR="00CE663A">
        <w:t>of the surveyed</w:t>
      </w:r>
      <w:r>
        <w:t xml:space="preserve"> councils have dedicated webpages or platforms to provide information to the community about human rights, including how to make complaints</w:t>
      </w:r>
      <w:r w:rsidR="00F023AD">
        <w:t>,</w:t>
      </w:r>
      <w:r>
        <w:t xml:space="preserve"> and the purpose of human rights legislation. Information dissemination includes materials, campaigns, and web content to educate the public about human rights.</w:t>
      </w:r>
    </w:p>
    <w:p w14:paraId="1FBC9A24" w14:textId="0DA57BEF" w:rsidR="00ED45A6" w:rsidRDefault="00A93A1A" w:rsidP="00DE298D">
      <w:r>
        <w:t xml:space="preserve">City of </w:t>
      </w:r>
      <w:r w:rsidR="00ED45A6">
        <w:t xml:space="preserve">Gold Coast </w:t>
      </w:r>
      <w:r w:rsidR="00ED45A6" w:rsidRPr="00ED45A6">
        <w:t>updated its Community Engagement Policy to ensure</w:t>
      </w:r>
      <w:r w:rsidR="00ED45A6">
        <w:t xml:space="preserve"> </w:t>
      </w:r>
      <w:r w:rsidR="00ED45A6" w:rsidRPr="00ED45A6">
        <w:t xml:space="preserve">that the Act was included as relevant legislation </w:t>
      </w:r>
      <w:r w:rsidR="004335F6">
        <w:t xml:space="preserve">that has an </w:t>
      </w:r>
      <w:r w:rsidR="00ED45A6" w:rsidRPr="00ED45A6">
        <w:t>impact</w:t>
      </w:r>
      <w:r w:rsidR="004335F6">
        <w:t xml:space="preserve"> on</w:t>
      </w:r>
      <w:r w:rsidR="00ED45A6" w:rsidRPr="00ED45A6">
        <w:t xml:space="preserve"> how Council engages with the community.</w:t>
      </w:r>
      <w:r w:rsidR="002469CF">
        <w:t xml:space="preserve"> </w:t>
      </w:r>
      <w:r w:rsidR="002469CF" w:rsidRPr="002469CF">
        <w:t xml:space="preserve">Council’s Equitable Access Policy and Accessible and Inclusive City Action Plan 2020-2025 affirm </w:t>
      </w:r>
      <w:r w:rsidR="002469CF">
        <w:t>its</w:t>
      </w:r>
      <w:r w:rsidR="002469CF" w:rsidRPr="002469CF">
        <w:t xml:space="preserve"> commitment to improving accessibility and inclusion for all residents and visitors.</w:t>
      </w:r>
    </w:p>
    <w:p w14:paraId="530B8FA7" w14:textId="52285462" w:rsidR="001A6F33" w:rsidRDefault="001A6F33" w:rsidP="00DE298D">
      <w:r>
        <w:t>Brisbane City Council has the benefit of a Senior Human Rights Officer who undert</w:t>
      </w:r>
      <w:r w:rsidR="005330EF">
        <w:t>ook</w:t>
      </w:r>
      <w:r>
        <w:t xml:space="preserve"> </w:t>
      </w:r>
      <w:r w:rsidR="00D72134">
        <w:t xml:space="preserve">internal and external engagement activities in the </w:t>
      </w:r>
      <w:r w:rsidR="000E4CB6">
        <w:t>financial</w:t>
      </w:r>
      <w:r w:rsidR="00D72134">
        <w:t xml:space="preserve"> year. </w:t>
      </w:r>
      <w:r w:rsidR="000E4CB6">
        <w:t>For instance, they attended Homeless Connect in May 2023</w:t>
      </w:r>
      <w:r w:rsidR="00C719F2">
        <w:t>,</w:t>
      </w:r>
      <w:r w:rsidR="0055601A">
        <w:t xml:space="preserve"> met with Brisbane residents experiencing housing </w:t>
      </w:r>
      <w:r w:rsidR="00BC4648">
        <w:t xml:space="preserve">insecurity, and </w:t>
      </w:r>
      <w:r w:rsidR="00B11AF3">
        <w:t>referred</w:t>
      </w:r>
      <w:r w:rsidR="00D96F66">
        <w:t xml:space="preserve"> </w:t>
      </w:r>
      <w:r w:rsidR="00ED245F">
        <w:t xml:space="preserve">residents who had experienced racism </w:t>
      </w:r>
      <w:r w:rsidR="005D1FEB">
        <w:t>to</w:t>
      </w:r>
      <w:r w:rsidR="00ED245F">
        <w:t xml:space="preserve"> the </w:t>
      </w:r>
      <w:r w:rsidR="0093331F">
        <w:t>racism reporting</w:t>
      </w:r>
      <w:r w:rsidR="00F8626E">
        <w:t xml:space="preserve"> tool and information</w:t>
      </w:r>
      <w:r w:rsidR="00DB2950">
        <w:t xml:space="preserve"> </w:t>
      </w:r>
      <w:r w:rsidR="009E5BB5">
        <w:t xml:space="preserve">on </w:t>
      </w:r>
      <w:r w:rsidR="0013237A">
        <w:t>the Commission’s website</w:t>
      </w:r>
      <w:r w:rsidR="00F8626E">
        <w:t>.</w:t>
      </w:r>
    </w:p>
    <w:p w14:paraId="040CCB58" w14:textId="4B156FE3" w:rsidR="000556BF" w:rsidRDefault="00D14BC0" w:rsidP="00DE298D">
      <w:r>
        <w:t>Sunshine Coast Council</w:t>
      </w:r>
      <w:r w:rsidR="00B602BD">
        <w:t xml:space="preserve"> </w:t>
      </w:r>
      <w:r w:rsidR="00D52956">
        <w:t>instanced</w:t>
      </w:r>
      <w:r w:rsidR="00D1425B">
        <w:t xml:space="preserve"> community engagement activities that ‘embody the protection and promotion of human rights for our community.’</w:t>
      </w:r>
      <w:r>
        <w:t xml:space="preserve"> </w:t>
      </w:r>
      <w:r w:rsidR="00B13D1A" w:rsidRPr="00B13D1A">
        <w:t>These include</w:t>
      </w:r>
      <w:r w:rsidR="00557529">
        <w:t>d</w:t>
      </w:r>
      <w:r w:rsidR="001B0FA3">
        <w:t>:</w:t>
      </w:r>
      <w:r w:rsidR="00B13D1A" w:rsidRPr="00B13D1A">
        <w:t xml:space="preserve"> providing alternative transport options for older people and </w:t>
      </w:r>
      <w:r w:rsidR="007E1443">
        <w:t>people</w:t>
      </w:r>
      <w:r w:rsidR="00B13D1A" w:rsidRPr="00B13D1A">
        <w:t xml:space="preserve"> with disabilities, promoting health and activity through the Healthy Sunshine Coast program, improving beach accessibility with equipment like beach matting and wheelchairs, and implementing a mobility mapping project. </w:t>
      </w:r>
      <w:r w:rsidR="007E1443">
        <w:t>T</w:t>
      </w:r>
      <w:r w:rsidR="00B13D1A" w:rsidRPr="00B13D1A">
        <w:t xml:space="preserve">he Council is </w:t>
      </w:r>
      <w:r w:rsidR="007E1443">
        <w:t xml:space="preserve">also </w:t>
      </w:r>
      <w:r w:rsidR="00B13D1A" w:rsidRPr="00B13D1A">
        <w:t>partnering with community organi</w:t>
      </w:r>
      <w:r w:rsidR="000556BF">
        <w:t>s</w:t>
      </w:r>
      <w:r w:rsidR="00B13D1A" w:rsidRPr="00B13D1A">
        <w:t xml:space="preserve">ations to address homelessness and </w:t>
      </w:r>
      <w:r w:rsidR="00463E2E">
        <w:t xml:space="preserve">is </w:t>
      </w:r>
      <w:r w:rsidR="00B13D1A" w:rsidRPr="00B13D1A">
        <w:t>fostering diversity and inclusi</w:t>
      </w:r>
      <w:r w:rsidR="00EF74FA">
        <w:t>on</w:t>
      </w:r>
      <w:r w:rsidR="00B13D1A" w:rsidRPr="00B13D1A">
        <w:t xml:space="preserve"> within its workforce and the broader Sunshine Coast region, as demonstrated by its participation in events </w:t>
      </w:r>
      <w:r w:rsidR="00302017">
        <w:t>such as</w:t>
      </w:r>
      <w:r w:rsidR="00B13D1A" w:rsidRPr="00B13D1A">
        <w:t xml:space="preserve"> the Sunshine Coast Mardi Gras.</w:t>
      </w:r>
    </w:p>
    <w:p w14:paraId="7EE3DE67" w14:textId="4FF84FBA" w:rsidR="00503F0B" w:rsidRDefault="00503F0B" w:rsidP="00DE298D">
      <w:r>
        <w:t>Logan City Council reported that they engage in</w:t>
      </w:r>
      <w:r w:rsidRPr="00503F0B">
        <w:t xml:space="preserve"> ongoing consultation in response to </w:t>
      </w:r>
      <w:r w:rsidR="00993D23">
        <w:t xml:space="preserve">community </w:t>
      </w:r>
      <w:r w:rsidRPr="00503F0B">
        <w:t>feedback, particularly for disability inclusion.</w:t>
      </w:r>
      <w:r w:rsidR="000F378C">
        <w:t xml:space="preserve"> </w:t>
      </w:r>
      <w:r w:rsidR="00C23FAC">
        <w:t xml:space="preserve">In the course of </w:t>
      </w:r>
      <w:r w:rsidR="00F40111">
        <w:t>c</w:t>
      </w:r>
      <w:r w:rsidR="000F378C">
        <w:t>onsultation</w:t>
      </w:r>
      <w:r w:rsidR="00F40111">
        <w:t>s</w:t>
      </w:r>
      <w:r w:rsidR="000F378C">
        <w:t xml:space="preserve"> to create </w:t>
      </w:r>
      <w:r w:rsidR="00F40111">
        <w:t>Council’s</w:t>
      </w:r>
      <w:r w:rsidR="000F378C">
        <w:t xml:space="preserve"> 2023-25 Disability Action Plan</w:t>
      </w:r>
      <w:r w:rsidR="0076197C">
        <w:t>,</w:t>
      </w:r>
      <w:r w:rsidR="005D2A7C">
        <w:t xml:space="preserve"> </w:t>
      </w:r>
      <w:r w:rsidR="008E40A8">
        <w:t xml:space="preserve">an agreement </w:t>
      </w:r>
      <w:r w:rsidR="00453D60">
        <w:t xml:space="preserve">was reached </w:t>
      </w:r>
      <w:r w:rsidR="008E40A8">
        <w:t xml:space="preserve">to consult </w:t>
      </w:r>
      <w:r w:rsidR="005F4093">
        <w:t>broadly in future</w:t>
      </w:r>
      <w:r w:rsidR="008E40A8">
        <w:t xml:space="preserve"> </w:t>
      </w:r>
      <w:r w:rsidR="005F4093">
        <w:t>when developing new facilities, upgrading existing facilities</w:t>
      </w:r>
      <w:r w:rsidR="00E90684">
        <w:t>,</w:t>
      </w:r>
      <w:r w:rsidR="005F4093">
        <w:t xml:space="preserve"> and reviewing major projects.</w:t>
      </w:r>
    </w:p>
    <w:p w14:paraId="2F254D20" w14:textId="77777777" w:rsidR="00A43865" w:rsidRPr="007F3D16" w:rsidRDefault="00A43865" w:rsidP="00A43865">
      <w:pPr>
        <w:pStyle w:val="Heading2"/>
        <w:rPr>
          <w:color w:val="8D361E"/>
        </w:rPr>
      </w:pPr>
      <w:bookmarkStart w:id="600" w:name="_Toc56451601"/>
      <w:bookmarkStart w:id="601" w:name="_Toc56452175"/>
      <w:bookmarkStart w:id="602" w:name="_Toc84593904"/>
      <w:bookmarkStart w:id="603" w:name="_Toc85451781"/>
      <w:bookmarkStart w:id="604" w:name="_Toc85526711"/>
      <w:bookmarkStart w:id="605" w:name="_Toc85787126"/>
      <w:bookmarkStart w:id="606" w:name="_Toc117697185"/>
      <w:bookmarkStart w:id="607" w:name="_Toc117697892"/>
      <w:bookmarkStart w:id="608" w:name="_Toc147757332"/>
      <w:bookmarkStart w:id="609" w:name="_Toc148086953"/>
      <w:bookmarkStart w:id="610" w:name="_Toc1344436283"/>
      <w:r w:rsidRPr="007F3D16">
        <w:rPr>
          <w:color w:val="8D361E"/>
        </w:rPr>
        <w:t>Indicator 3: Awareness-raising and support for related entities</w:t>
      </w:r>
      <w:bookmarkEnd w:id="600"/>
      <w:bookmarkEnd w:id="601"/>
      <w:bookmarkEnd w:id="602"/>
      <w:bookmarkEnd w:id="603"/>
      <w:bookmarkEnd w:id="604"/>
      <w:bookmarkEnd w:id="605"/>
      <w:bookmarkEnd w:id="606"/>
      <w:bookmarkEnd w:id="607"/>
      <w:bookmarkEnd w:id="608"/>
      <w:bookmarkEnd w:id="609"/>
      <w:r w:rsidRPr="007F3D16">
        <w:rPr>
          <w:color w:val="8D361E"/>
        </w:rPr>
        <w:t xml:space="preserve"> </w:t>
      </w:r>
      <w:bookmarkEnd w:id="610"/>
    </w:p>
    <w:p w14:paraId="3B5A08BF" w14:textId="652ED076" w:rsidR="002B6DA7" w:rsidRDefault="00077EDC" w:rsidP="002B6DA7">
      <w:r>
        <w:t>The Commission</w:t>
      </w:r>
      <w:r w:rsidR="002B6DA7">
        <w:t xml:space="preserve"> asked councils about the extent to which they had raised awareness about the Human Rights Act with contractors </w:t>
      </w:r>
      <w:r w:rsidR="00F12828">
        <w:t>they engage to deliver services</w:t>
      </w:r>
      <w:r w:rsidR="6D559209">
        <w:t>,</w:t>
      </w:r>
      <w:r w:rsidR="00F12828">
        <w:t xml:space="preserve"> and </w:t>
      </w:r>
      <w:r w:rsidR="587778A5">
        <w:t>how they have encouraged</w:t>
      </w:r>
      <w:r w:rsidR="00F12828">
        <w:t xml:space="preserve"> and supported their compliance with the Act.</w:t>
      </w:r>
    </w:p>
    <w:p w14:paraId="4E009C44" w14:textId="1458AAC8" w:rsidR="00E24A7E" w:rsidRDefault="00E24A7E" w:rsidP="002B6DA7">
      <w:r>
        <w:t>Some</w:t>
      </w:r>
      <w:r w:rsidR="00803BD1">
        <w:t>,</w:t>
      </w:r>
      <w:r>
        <w:t xml:space="preserve"> but not all</w:t>
      </w:r>
      <w:r w:rsidR="00803BD1">
        <w:t>,</w:t>
      </w:r>
      <w:r>
        <w:t xml:space="preserve"> councils had </w:t>
      </w:r>
      <w:r w:rsidR="00764397">
        <w:t xml:space="preserve">explicitly required contractors to comply with the Act through contractual arrangements, and </w:t>
      </w:r>
      <w:r w:rsidR="00C5527E">
        <w:t>some had raised awareness with contractors about the need to comply with the Act.</w:t>
      </w:r>
    </w:p>
    <w:p w14:paraId="2FF4786A" w14:textId="156A9251" w:rsidR="00415547" w:rsidRDefault="003E5809" w:rsidP="003E5809">
      <w:r>
        <w:t xml:space="preserve">Brisbane City Council has a policy suite outlining human rights obligations for Council and its staff. </w:t>
      </w:r>
      <w:r w:rsidR="008266F8">
        <w:t>The Council</w:t>
      </w:r>
      <w:r>
        <w:t xml:space="preserve"> provide</w:t>
      </w:r>
      <w:r w:rsidR="008266F8">
        <w:t>s</w:t>
      </w:r>
      <w:r>
        <w:t xml:space="preserve"> factsheets for external entities and training is provided to staff to ensure contractors are aware of their functional public entity status.</w:t>
      </w:r>
      <w:r w:rsidR="00C377A2">
        <w:t xml:space="preserve"> </w:t>
      </w:r>
      <w:r w:rsidR="00A00E50">
        <w:t>Brisbane City Council c</w:t>
      </w:r>
      <w:r w:rsidR="00A00E50" w:rsidRPr="00C377A2">
        <w:t xml:space="preserve">orporate rules, including human rights policies, extend to contractors, and </w:t>
      </w:r>
      <w:r w:rsidR="00A00E50">
        <w:t>a</w:t>
      </w:r>
      <w:r w:rsidR="00A00E50" w:rsidRPr="00C377A2">
        <w:t xml:space="preserve"> reported breach could result in termination</w:t>
      </w:r>
      <w:r w:rsidR="001D65A4">
        <w:t xml:space="preserve"> of a contract</w:t>
      </w:r>
      <w:r w:rsidR="00A00E50" w:rsidRPr="00C377A2">
        <w:t>.</w:t>
      </w:r>
    </w:p>
    <w:p w14:paraId="43B02D9C" w14:textId="347BF7FB" w:rsidR="003E5809" w:rsidRDefault="003E5809" w:rsidP="003E5809">
      <w:r>
        <w:t>Ipswich City Council has liaised with the Local Government Association of Queensland regarding free online training and resources for functional public entities.</w:t>
      </w:r>
      <w:r w:rsidR="00886602">
        <w:t xml:space="preserve"> </w:t>
      </w:r>
      <w:r w:rsidR="00083401">
        <w:t>The</w:t>
      </w:r>
      <w:r w:rsidR="00886602" w:rsidRPr="00886602">
        <w:t xml:space="preserve"> Council plans to provide further support for related entities</w:t>
      </w:r>
      <w:r w:rsidR="00886602">
        <w:t xml:space="preserve"> in future</w:t>
      </w:r>
      <w:r w:rsidR="00886602" w:rsidRPr="00886602">
        <w:t>.</w:t>
      </w:r>
    </w:p>
    <w:p w14:paraId="30D04113" w14:textId="3780ABAA" w:rsidR="00BD7CFD" w:rsidRDefault="003E5809" w:rsidP="003E5809">
      <w:r>
        <w:t xml:space="preserve">Logan City Council has developed a human rights information sheet </w:t>
      </w:r>
      <w:r w:rsidR="00B05F3F">
        <w:t>to improve</w:t>
      </w:r>
      <w:r>
        <w:t xml:space="preserve"> contractor engagement awareness</w:t>
      </w:r>
      <w:r w:rsidR="00B05F3F">
        <w:t xml:space="preserve"> of the Human Rights Act</w:t>
      </w:r>
      <w:r>
        <w:t>. The corporate induction, including the Human Rights Act module, is mandatory for selected contractors.</w:t>
      </w:r>
    </w:p>
    <w:p w14:paraId="1BE1389E" w14:textId="3178B026" w:rsidR="004D60D6" w:rsidRPr="007F3D16" w:rsidRDefault="004D60D6" w:rsidP="004D60D6">
      <w:pPr>
        <w:pStyle w:val="Heading2"/>
        <w:rPr>
          <w:rFonts w:eastAsia="Yu Gothic Light" w:cs="Times New Roman"/>
          <w:color w:val="8D361E"/>
        </w:rPr>
      </w:pPr>
      <w:bookmarkStart w:id="611" w:name="_Toc56451602"/>
      <w:bookmarkStart w:id="612" w:name="_Toc56452176"/>
      <w:bookmarkStart w:id="613" w:name="_Toc84593905"/>
      <w:bookmarkStart w:id="614" w:name="_Toc85451782"/>
      <w:bookmarkStart w:id="615" w:name="_Toc85526712"/>
      <w:bookmarkStart w:id="616" w:name="_Toc85787127"/>
      <w:bookmarkStart w:id="617" w:name="_Toc117697186"/>
      <w:bookmarkStart w:id="618" w:name="_Toc117697893"/>
      <w:bookmarkStart w:id="619" w:name="_Toc147757333"/>
      <w:bookmarkStart w:id="620" w:name="_Toc148086954"/>
      <w:bookmarkStart w:id="621" w:name="_Toc1145729737"/>
      <w:r w:rsidRPr="007F3D16">
        <w:rPr>
          <w:color w:val="8D361E"/>
        </w:rPr>
        <w:t>Indicator 4: Reviews and development of laws</w:t>
      </w:r>
      <w:bookmarkEnd w:id="611"/>
      <w:bookmarkEnd w:id="612"/>
      <w:bookmarkEnd w:id="613"/>
      <w:bookmarkEnd w:id="614"/>
      <w:bookmarkEnd w:id="615"/>
      <w:bookmarkEnd w:id="616"/>
      <w:bookmarkEnd w:id="617"/>
      <w:bookmarkEnd w:id="618"/>
      <w:bookmarkEnd w:id="619"/>
      <w:bookmarkEnd w:id="620"/>
      <w:r w:rsidRPr="007F3D16">
        <w:rPr>
          <w:color w:val="8D361E"/>
        </w:rPr>
        <w:t xml:space="preserve"> </w:t>
      </w:r>
      <w:bookmarkEnd w:id="621"/>
    </w:p>
    <w:p w14:paraId="33D4E050" w14:textId="16222E51" w:rsidR="00DA6FC6" w:rsidRDefault="00077EDC" w:rsidP="009F00C2">
      <w:r>
        <w:t>The Commission</w:t>
      </w:r>
      <w:r w:rsidR="002968F6">
        <w:t xml:space="preserve"> asked councils about the development of local laws and subordinate local laws, including </w:t>
      </w:r>
      <w:r w:rsidR="0056189D">
        <w:t>any examples of the impact of the Human Rights Act</w:t>
      </w:r>
      <w:r w:rsidR="00D56239">
        <w:t>, or any examples of good practice in local law development</w:t>
      </w:r>
      <w:r w:rsidR="0056189D">
        <w:t>.</w:t>
      </w:r>
      <w:r w:rsidR="00CB7A18">
        <w:t xml:space="preserve"> </w:t>
      </w:r>
    </w:p>
    <w:p w14:paraId="31405290" w14:textId="12E527C3" w:rsidR="00AD55BD" w:rsidRDefault="00615CDB" w:rsidP="00AD55BD">
      <w:r>
        <w:t xml:space="preserve">Last year, the Human Rights Act </w:t>
      </w:r>
      <w:r w:rsidR="00CD61D4">
        <w:t>had</w:t>
      </w:r>
      <w:r>
        <w:t xml:space="preserve"> limited impact on the development or amendment of local laws or subordinate local laws.</w:t>
      </w:r>
      <w:r w:rsidR="00F87B47">
        <w:t xml:space="preserve"> However</w:t>
      </w:r>
      <w:r w:rsidR="00D01644">
        <w:t>, responses received this</w:t>
      </w:r>
      <w:r w:rsidR="00F87B47">
        <w:t xml:space="preserve"> financial year indicated that </w:t>
      </w:r>
      <w:r w:rsidR="00D01644">
        <w:t xml:space="preserve">human rights </w:t>
      </w:r>
      <w:r w:rsidR="00853436">
        <w:t>are</w:t>
      </w:r>
      <w:r w:rsidR="00D01644">
        <w:t xml:space="preserve"> starting to become part of the local law process in some councils we surveyed.</w:t>
      </w:r>
    </w:p>
    <w:p w14:paraId="69D8F77E" w14:textId="76AE9A36" w:rsidR="00AD55BD" w:rsidRDefault="00AD55BD" w:rsidP="00AD55BD">
      <w:r>
        <w:t xml:space="preserve">Brisbane City Council reported that it gives full consideration to human rights and the Act during the development and review of local laws. They introduced the </w:t>
      </w:r>
      <w:r w:rsidRPr="009539A4">
        <w:rPr>
          <w:i/>
          <w:iCs/>
        </w:rPr>
        <w:t>Events</w:t>
      </w:r>
      <w:r>
        <w:t xml:space="preserve"> </w:t>
      </w:r>
      <w:r w:rsidRPr="009539A4">
        <w:rPr>
          <w:i/>
          <w:iCs/>
        </w:rPr>
        <w:t>Local Law 2022</w:t>
      </w:r>
      <w:r>
        <w:t xml:space="preserve"> in the reporting period, which aimed to safeguard health, safety, and community amenity through extensive consultation in accordance with the Act.</w:t>
      </w:r>
    </w:p>
    <w:p w14:paraId="0A0601B8" w14:textId="73A1DE60" w:rsidR="00D852E1" w:rsidRDefault="00AD55BD" w:rsidP="00AD55BD">
      <w:r>
        <w:t xml:space="preserve">Sunshine Coast Council introduced </w:t>
      </w:r>
      <w:r w:rsidRPr="0072084D">
        <w:rPr>
          <w:i/>
        </w:rPr>
        <w:t>Amendment Local Law No. 1 (Miscellaneous) 2023</w:t>
      </w:r>
      <w:r>
        <w:t xml:space="preserve"> and </w:t>
      </w:r>
      <w:r w:rsidRPr="0072084D">
        <w:rPr>
          <w:i/>
        </w:rPr>
        <w:t>Amendment Subordinate Local Law No. 1 (Miscellaneous) 2023</w:t>
      </w:r>
      <w:r>
        <w:t xml:space="preserve"> in May 2022. These amendments </w:t>
      </w:r>
      <w:r w:rsidR="00C36C2B">
        <w:t xml:space="preserve">had an </w:t>
      </w:r>
      <w:r>
        <w:t xml:space="preserve">impact </w:t>
      </w:r>
      <w:r w:rsidR="008E7F8A">
        <w:t>on other</w:t>
      </w:r>
      <w:r>
        <w:t xml:space="preserve"> local laws, including those related to animal management </w:t>
      </w:r>
      <w:r w:rsidR="001F40BF">
        <w:t>and</w:t>
      </w:r>
      <w:r>
        <w:t xml:space="preserve"> parking. A Human Rights Assessment of Compatibility was conducted as part of the local law development process.</w:t>
      </w:r>
      <w:r w:rsidR="00B8185F">
        <w:t xml:space="preserve"> </w:t>
      </w:r>
      <w:r w:rsidR="00D852E1">
        <w:t xml:space="preserve">Sunshine Coast Council’s Assessment of Compatibility </w:t>
      </w:r>
      <w:r w:rsidR="00C37994">
        <w:t xml:space="preserve">in relation to </w:t>
      </w:r>
      <w:r w:rsidR="00F87B47">
        <w:t>proposed prohibition on</w:t>
      </w:r>
      <w:r w:rsidR="00C37994">
        <w:t xml:space="preserve"> dog</w:t>
      </w:r>
      <w:r w:rsidR="00F87B47">
        <w:t>s</w:t>
      </w:r>
      <w:r w:rsidR="00C37994">
        <w:t xml:space="preserve"> </w:t>
      </w:r>
      <w:r w:rsidR="00F87B47">
        <w:t>in a specific precinct</w:t>
      </w:r>
      <w:r w:rsidR="00C37994">
        <w:t xml:space="preserve"> </w:t>
      </w:r>
      <w:r w:rsidR="00417B27">
        <w:t>took into account equality, freedom of movement, protection of families and children</w:t>
      </w:r>
      <w:r w:rsidR="00E11616">
        <w:t>,</w:t>
      </w:r>
      <w:r w:rsidR="00417B27">
        <w:t xml:space="preserve"> and liberty and security of the person</w:t>
      </w:r>
      <w:r w:rsidR="0031019E">
        <w:t xml:space="preserve">. </w:t>
      </w:r>
      <w:r w:rsidR="0039645F">
        <w:t>The</w:t>
      </w:r>
      <w:r w:rsidR="00C37994" w:rsidRPr="00C37994">
        <w:t xml:space="preserve"> process </w:t>
      </w:r>
      <w:r w:rsidR="0039645F">
        <w:t xml:space="preserve">of completing the assessment </w:t>
      </w:r>
      <w:r w:rsidR="005B2A3E">
        <w:t>helped</w:t>
      </w:r>
      <w:r w:rsidR="00C37994" w:rsidRPr="00C37994">
        <w:t xml:space="preserve"> achieve a compromise accepted by the affected community and supported by Council</w:t>
      </w:r>
      <w:r w:rsidR="00025E5E">
        <w:t>:</w:t>
      </w:r>
    </w:p>
    <w:p w14:paraId="70D008FA" w14:textId="73647C7F" w:rsidR="00025E5E" w:rsidRDefault="00025E5E" w:rsidP="00D01644">
      <w:pPr>
        <w:pStyle w:val="Quote"/>
      </w:pPr>
      <w:r>
        <w:t xml:space="preserve">The Compatibility Assessment identified that the limitation relating to the prohibited dog precinct was reasonable, however, there was a practical solution available to reduce the limitation being applied, in that another adjacent area could be made available for off-leash activities. This alternative was accepted by all parties and became part of the adopted decision of Council. </w:t>
      </w:r>
    </w:p>
    <w:p w14:paraId="70E5F8FE" w14:textId="7AD4CAE4" w:rsidR="007C20D8" w:rsidRPr="007C20D8" w:rsidRDefault="007C20D8" w:rsidP="007C20D8">
      <w:r>
        <w:t xml:space="preserve">Sunshine Coast Council reported that undertaking the compatibility assessment was a </w:t>
      </w:r>
      <w:r w:rsidR="007538DB">
        <w:t>valuable</w:t>
      </w:r>
      <w:r>
        <w:t xml:space="preserve"> </w:t>
      </w:r>
      <w:r w:rsidR="007851B4">
        <w:t>exercise</w:t>
      </w:r>
      <w:r w:rsidR="002F6939">
        <w:t>,</w:t>
      </w:r>
      <w:r>
        <w:t xml:space="preserve"> as it is a ‘process that aids transparent and better decision making in the interests of all.’</w:t>
      </w:r>
    </w:p>
    <w:p w14:paraId="74034068" w14:textId="23DD0CAB" w:rsidR="00AD55BD" w:rsidRDefault="004F5C1D" w:rsidP="00AD55BD">
      <w:r>
        <w:t xml:space="preserve">Local City Council said that the human rights consideration is designed to occur at the ‘very beginning’ and the </w:t>
      </w:r>
      <w:r w:rsidR="00A8499E">
        <w:t>step-by-step</w:t>
      </w:r>
      <w:r>
        <w:t xml:space="preserve"> process is done in a considered way</w:t>
      </w:r>
      <w:r w:rsidR="001C27DA">
        <w:t>,</w:t>
      </w:r>
      <w:r>
        <w:t xml:space="preserve"> rather than a tick box approach. </w:t>
      </w:r>
      <w:r w:rsidR="009A02BD" w:rsidRPr="009A02BD">
        <w:t>Logan City Council</w:t>
      </w:r>
      <w:r w:rsidR="009A02BD">
        <w:t xml:space="preserve">’s local law development process </w:t>
      </w:r>
      <w:r w:rsidR="009A02BD" w:rsidRPr="009A02BD">
        <w:t>include</w:t>
      </w:r>
      <w:r w:rsidR="00310EC2">
        <w:t>s</w:t>
      </w:r>
      <w:r w:rsidR="009A02BD" w:rsidRPr="009A02BD">
        <w:t xml:space="preserve"> mandatory steps to assess the potential impact on human rights.</w:t>
      </w:r>
      <w:r w:rsidR="009A02BD">
        <w:t xml:space="preserve"> </w:t>
      </w:r>
      <w:r w:rsidR="00AD55BD">
        <w:t xml:space="preserve">Logan City Council introduced amendments to </w:t>
      </w:r>
      <w:r w:rsidR="00AD55BD" w:rsidRPr="0072084D">
        <w:rPr>
          <w:i/>
        </w:rPr>
        <w:t xml:space="preserve">Subordinate Local Law </w:t>
      </w:r>
      <w:r w:rsidR="00D57561">
        <w:rPr>
          <w:i/>
          <w:iCs/>
        </w:rPr>
        <w:t xml:space="preserve">No. </w:t>
      </w:r>
      <w:r w:rsidR="00AD55BD" w:rsidRPr="0072084D">
        <w:rPr>
          <w:i/>
        </w:rPr>
        <w:t>7.2 (</w:t>
      </w:r>
      <w:r w:rsidR="00B97A52">
        <w:rPr>
          <w:i/>
          <w:iCs/>
        </w:rPr>
        <w:t xml:space="preserve">Heavy Vehicle </w:t>
      </w:r>
      <w:r w:rsidR="00AD55BD" w:rsidRPr="0072084D">
        <w:rPr>
          <w:i/>
        </w:rPr>
        <w:t>Parking</w:t>
      </w:r>
      <w:r w:rsidR="00B97A52">
        <w:rPr>
          <w:i/>
          <w:iCs/>
        </w:rPr>
        <w:t xml:space="preserve"> on a Road</w:t>
      </w:r>
      <w:r w:rsidR="00AD55BD" w:rsidRPr="0072084D">
        <w:rPr>
          <w:i/>
        </w:rPr>
        <w:t>)</w:t>
      </w:r>
      <w:r w:rsidR="004B184B">
        <w:rPr>
          <w:i/>
          <w:iCs/>
        </w:rPr>
        <w:t xml:space="preserve"> 2003</w:t>
      </w:r>
      <w:r w:rsidR="00AD55BD">
        <w:t xml:space="preserve"> and proposed amendments to </w:t>
      </w:r>
      <w:r w:rsidR="00AD55BD" w:rsidRPr="0072084D">
        <w:rPr>
          <w:i/>
        </w:rPr>
        <w:t xml:space="preserve">Subordinate Local Law </w:t>
      </w:r>
      <w:r w:rsidR="00986FAB">
        <w:rPr>
          <w:i/>
          <w:iCs/>
        </w:rPr>
        <w:t xml:space="preserve">No. </w:t>
      </w:r>
      <w:r w:rsidR="00AD55BD" w:rsidRPr="0072084D">
        <w:rPr>
          <w:i/>
        </w:rPr>
        <w:t>9.2</w:t>
      </w:r>
      <w:r w:rsidR="007202AE">
        <w:rPr>
          <w:i/>
          <w:iCs/>
        </w:rPr>
        <w:t xml:space="preserve"> (Election Signs) 1999</w:t>
      </w:r>
      <w:r w:rsidR="00AD55BD">
        <w:t>. These changes were made with consideration of human rights, aiming to reduce noise in residential areas and improve public safety by regulating election signs.</w:t>
      </w:r>
    </w:p>
    <w:p w14:paraId="6A920586" w14:textId="106A1086" w:rsidR="007851B4" w:rsidRDefault="007851B4" w:rsidP="00AD55BD">
      <w:r>
        <w:t xml:space="preserve">Ipswich City Council has not introduced any new local laws or subordinate local laws since the commencement of the </w:t>
      </w:r>
      <w:r w:rsidR="00C2028E">
        <w:t xml:space="preserve">Human Rights </w:t>
      </w:r>
      <w:r>
        <w:t xml:space="preserve">Act, but they are preparing for a local law review and </w:t>
      </w:r>
      <w:r w:rsidR="00C2028E">
        <w:t>will</w:t>
      </w:r>
      <w:r>
        <w:t xml:space="preserve"> incorporate human rights </w:t>
      </w:r>
      <w:r w:rsidR="00C2028E">
        <w:t>assessment</w:t>
      </w:r>
      <w:r>
        <w:t xml:space="preserve"> into this process and the related policy.</w:t>
      </w:r>
    </w:p>
    <w:p w14:paraId="060FFD71" w14:textId="0D481454" w:rsidR="00C765D0" w:rsidRDefault="00C765D0" w:rsidP="00AD55BD">
      <w:r>
        <w:t xml:space="preserve">While the City </w:t>
      </w:r>
      <w:r w:rsidR="00A93A1A">
        <w:t xml:space="preserve">of </w:t>
      </w:r>
      <w:r>
        <w:t xml:space="preserve">Gold Coast reported that there were no new local laws introduced in the reporting period with significant impacts on human rights, </w:t>
      </w:r>
      <w:r w:rsidR="00F0729C">
        <w:t xml:space="preserve">the Council confirmed it had amended its </w:t>
      </w:r>
      <w:r w:rsidR="00CD2F7B">
        <w:t xml:space="preserve">standard report template to require </w:t>
      </w:r>
      <w:r w:rsidR="006057D0">
        <w:t>consideration of whether recommendations being made to Council impact on human rights, how the recommendations to limit rights are justifiable, and any actions that can be taken to mitigate any human rights impacts.</w:t>
      </w:r>
    </w:p>
    <w:p w14:paraId="0379E6A3" w14:textId="775D20C9" w:rsidR="008675AF" w:rsidRDefault="008675AF" w:rsidP="008675AF">
      <w:r>
        <w:t xml:space="preserve">Flinders Shire Council indicated that their local law review is in progress, and human rights implications will be a component. </w:t>
      </w:r>
    </w:p>
    <w:p w14:paraId="663877AD" w14:textId="77777777" w:rsidR="009A2020" w:rsidRPr="00EB18B1" w:rsidRDefault="009A2020" w:rsidP="009A2020">
      <w:pPr>
        <w:pStyle w:val="Heading2"/>
        <w:rPr>
          <w:color w:val="8D361E"/>
        </w:rPr>
      </w:pPr>
      <w:bookmarkStart w:id="622" w:name="_Toc84593906"/>
      <w:bookmarkStart w:id="623" w:name="_Toc85451783"/>
      <w:bookmarkStart w:id="624" w:name="_Toc85526713"/>
      <w:bookmarkStart w:id="625" w:name="_Toc85787128"/>
      <w:bookmarkStart w:id="626" w:name="_Toc813375474"/>
      <w:bookmarkStart w:id="627" w:name="_Toc117697187"/>
      <w:bookmarkStart w:id="628" w:name="_Toc117697894"/>
      <w:bookmarkStart w:id="629" w:name="_Toc147757334"/>
      <w:bookmarkStart w:id="630" w:name="_Toc148086955"/>
      <w:r w:rsidRPr="00EB18B1">
        <w:rPr>
          <w:color w:val="8D361E"/>
        </w:rPr>
        <w:t>Indicator 5: Review of policies and procedures</w:t>
      </w:r>
      <w:bookmarkEnd w:id="622"/>
      <w:bookmarkEnd w:id="623"/>
      <w:bookmarkEnd w:id="624"/>
      <w:bookmarkEnd w:id="625"/>
      <w:bookmarkEnd w:id="626"/>
      <w:bookmarkEnd w:id="627"/>
      <w:bookmarkEnd w:id="628"/>
      <w:bookmarkEnd w:id="629"/>
      <w:bookmarkEnd w:id="630"/>
    </w:p>
    <w:p w14:paraId="17153A04" w14:textId="511D3CD8" w:rsidR="00BE0BE6" w:rsidRDefault="00077EDC" w:rsidP="00BE0BE6">
      <w:r>
        <w:t>The Commission</w:t>
      </w:r>
      <w:r w:rsidR="00BE0BE6">
        <w:t xml:space="preserve"> asked councils about </w:t>
      </w:r>
      <w:r w:rsidR="00FD404F">
        <w:t xml:space="preserve">their </w:t>
      </w:r>
      <w:r w:rsidR="00086F87">
        <w:t>review of policies and procedures for compatibility with human rights, whether this has led to any changes (including to service delivery</w:t>
      </w:r>
      <w:r w:rsidR="5B5F8AE9">
        <w:t>)</w:t>
      </w:r>
      <w:r w:rsidR="00D62E76">
        <w:t>,</w:t>
      </w:r>
      <w:r w:rsidR="55E7C57F">
        <w:t xml:space="preserve"> and </w:t>
      </w:r>
      <w:r w:rsidR="5B5F8AE9">
        <w:t>whether</w:t>
      </w:r>
      <w:r w:rsidR="00086F87">
        <w:t xml:space="preserve"> guidance is available for staff on acting compatibl</w:t>
      </w:r>
      <w:r w:rsidR="00D62E76">
        <w:t>y</w:t>
      </w:r>
      <w:r w:rsidR="00086F87">
        <w:t xml:space="preserve"> with the Act.</w:t>
      </w:r>
      <w:r w:rsidR="0084282A">
        <w:t xml:space="preserve"> </w:t>
      </w:r>
    </w:p>
    <w:p w14:paraId="45C91A97" w14:textId="0094D796" w:rsidR="003674A5" w:rsidRDefault="003674A5" w:rsidP="00BE0BE6">
      <w:r>
        <w:t>Most of</w:t>
      </w:r>
      <w:r w:rsidRPr="003674A5">
        <w:t xml:space="preserve"> the councils </w:t>
      </w:r>
      <w:r w:rsidR="009637C6">
        <w:t>reported that they have</w:t>
      </w:r>
      <w:r w:rsidRPr="003674A5">
        <w:t xml:space="preserve"> reviewed their policies and procedures for compatibility with human rights</w:t>
      </w:r>
      <w:r w:rsidR="009637C6">
        <w:t>.</w:t>
      </w:r>
      <w:r w:rsidRPr="003674A5">
        <w:t xml:space="preserve"> Positive changes resulting from these reviews include amendments to policies, cultural awareness initiatives, and the development of guides and tools to assist staff in considering human rights.</w:t>
      </w:r>
    </w:p>
    <w:p w14:paraId="318A6F0C" w14:textId="723BB3CA" w:rsidR="00D00D3B" w:rsidRDefault="00D00D3B" w:rsidP="00D00D3B">
      <w:r>
        <w:t>Ipswich City Council has simplified its Human Rights Impact Assessment Checklist and observed Human Rights Week with a refreshed communication plan</w:t>
      </w:r>
      <w:r w:rsidR="0054452D">
        <w:t xml:space="preserve">, </w:t>
      </w:r>
      <w:r w:rsidR="00726E93">
        <w:t xml:space="preserve">while </w:t>
      </w:r>
      <w:r w:rsidR="00A93A1A">
        <w:t>City of</w:t>
      </w:r>
      <w:r w:rsidR="0054452D">
        <w:t xml:space="preserve"> Gold Coast have developed </w:t>
      </w:r>
      <w:r w:rsidR="00E4373C">
        <w:t>a decision-making checklist to ensure that human rights are properly considered.</w:t>
      </w:r>
    </w:p>
    <w:p w14:paraId="74F7EBA8" w14:textId="1200503B" w:rsidR="00446445" w:rsidRDefault="00446445" w:rsidP="00446445">
      <w:r>
        <w:t>Brisbane City Council made amendments to its Code of Conduct and other policies to ensure</w:t>
      </w:r>
      <w:r w:rsidR="00AE2EBB">
        <w:t xml:space="preserve"> the</w:t>
      </w:r>
      <w:r>
        <w:t xml:space="preserve"> </w:t>
      </w:r>
      <w:r w:rsidRPr="00BC78FF">
        <w:t xml:space="preserve">language </w:t>
      </w:r>
      <w:r w:rsidR="00B42B9E" w:rsidRPr="00BC78FF">
        <w:t>is consistent</w:t>
      </w:r>
      <w:r w:rsidRPr="00BC78FF">
        <w:t xml:space="preserve"> with</w:t>
      </w:r>
      <w:r w:rsidR="00B42B9E" w:rsidRPr="00BC78FF">
        <w:t xml:space="preserve"> </w:t>
      </w:r>
      <w:r w:rsidR="00B1073A">
        <w:t xml:space="preserve">the Human Rights Act’s </w:t>
      </w:r>
      <w:r w:rsidR="005D1D3E">
        <w:t xml:space="preserve">non-exhaustive definition of </w:t>
      </w:r>
      <w:r w:rsidR="00B42B9E" w:rsidRPr="00BC78FF">
        <w:t>discrimination</w:t>
      </w:r>
      <w:r w:rsidR="00644EA5" w:rsidRPr="00BC78FF">
        <w:t>,</w:t>
      </w:r>
      <w:r w:rsidR="005D1D3E">
        <w:rPr>
          <w:rStyle w:val="FootnoteReference"/>
        </w:rPr>
        <w:footnoteReference w:id="89"/>
      </w:r>
      <w:r w:rsidR="00644EA5" w:rsidRPr="00BC78FF">
        <w:t xml:space="preserve"> and to ensure that protected attributes are broadly interpreted</w:t>
      </w:r>
      <w:r w:rsidRPr="00BC78FF">
        <w:t>.</w:t>
      </w:r>
      <w:r w:rsidR="00DE4E6D" w:rsidRPr="00BC78FF">
        <w:t xml:space="preserve"> Brisbane City Council </w:t>
      </w:r>
      <w:r w:rsidR="004C759C" w:rsidRPr="00BC78FF">
        <w:t>also considered</w:t>
      </w:r>
      <w:r w:rsidR="00DE4E6D" w:rsidRPr="00BC78FF">
        <w:t xml:space="preserve"> guidelines for the use of </w:t>
      </w:r>
      <w:r w:rsidR="00BC78FF" w:rsidRPr="00BC78FF">
        <w:t xml:space="preserve">employee </w:t>
      </w:r>
      <w:r w:rsidR="00DE4E6D" w:rsidRPr="00BC78FF">
        <w:t>social networking and has engaged the Senior Human Rights Officer to ensure a balance of rights and reasonable limitations.</w:t>
      </w:r>
    </w:p>
    <w:p w14:paraId="5340FE63" w14:textId="4E1409EC" w:rsidR="006C565A" w:rsidRPr="00E65BD8" w:rsidRDefault="00446445" w:rsidP="00446445">
      <w:pPr>
        <w:rPr>
          <w:rFonts w:cs="Arial"/>
          <w:color w:val="000000"/>
        </w:rPr>
      </w:pPr>
      <w:r w:rsidRPr="00254CA5">
        <w:t xml:space="preserve">Sunshine Coast Council reported making </w:t>
      </w:r>
      <w:r w:rsidR="00254CA5">
        <w:t>progress</w:t>
      </w:r>
      <w:r w:rsidRPr="00254CA5">
        <w:t xml:space="preserve"> in relation to the </w:t>
      </w:r>
      <w:r w:rsidR="00254CA5">
        <w:t xml:space="preserve">promotion of </w:t>
      </w:r>
      <w:r w:rsidRPr="00254CA5">
        <w:t xml:space="preserve">cultural rights of Aboriginal peoples and Torres Strait Islander peoples, such as installing Acknowledgement of Country signage, conducting Welcome to Country </w:t>
      </w:r>
      <w:r w:rsidR="00205057" w:rsidRPr="00205057">
        <w:t xml:space="preserve">and </w:t>
      </w:r>
      <w:r w:rsidR="00D93902">
        <w:t>a</w:t>
      </w:r>
      <w:r w:rsidR="00EE31C7">
        <w:t>cknowledg</w:t>
      </w:r>
      <w:r w:rsidR="00210303">
        <w:t xml:space="preserve">ing </w:t>
      </w:r>
      <w:r w:rsidR="00205057" w:rsidRPr="00205057">
        <w:t xml:space="preserve">Traditional </w:t>
      </w:r>
      <w:r w:rsidR="00B03BB8">
        <w:t>Custodians</w:t>
      </w:r>
      <w:r w:rsidRPr="00254CA5">
        <w:t xml:space="preserve"> at events, and providing cultural awareness training for </w:t>
      </w:r>
      <w:r w:rsidR="00254CA5">
        <w:t xml:space="preserve">all </w:t>
      </w:r>
      <w:r w:rsidRPr="00254CA5">
        <w:t>employees.</w:t>
      </w:r>
      <w:r w:rsidR="006C565A" w:rsidRPr="00254CA5">
        <w:t xml:space="preserve"> The Council also reported that the S</w:t>
      </w:r>
      <w:r w:rsidR="006C565A" w:rsidRPr="00254CA5">
        <w:rPr>
          <w:rFonts w:cs="Arial"/>
          <w:color w:val="000000"/>
        </w:rPr>
        <w:t>unshine Coast Housing and Homelessness Action Plan 2023</w:t>
      </w:r>
      <w:r w:rsidR="006C565A" w:rsidRPr="00254CA5">
        <w:t xml:space="preserve"> </w:t>
      </w:r>
      <w:r w:rsidR="006C565A" w:rsidRPr="00254CA5">
        <w:rPr>
          <w:rFonts w:cs="Arial"/>
          <w:color w:val="000000"/>
        </w:rPr>
        <w:t>acknowledges that access to housing is a human right recognised</w:t>
      </w:r>
      <w:r w:rsidR="006C565A">
        <w:rPr>
          <w:rFonts w:cs="Arial"/>
          <w:color w:val="000000"/>
        </w:rPr>
        <w:t xml:space="preserve"> internationally by the United Nations. Whil</w:t>
      </w:r>
      <w:r w:rsidR="00445F22">
        <w:rPr>
          <w:rFonts w:cs="Arial"/>
          <w:color w:val="000000"/>
        </w:rPr>
        <w:t>e</w:t>
      </w:r>
      <w:r w:rsidR="006C565A">
        <w:rPr>
          <w:rFonts w:cs="Arial"/>
          <w:color w:val="000000"/>
        </w:rPr>
        <w:t xml:space="preserve"> not a right contained in Queensland legislation, Council has reflected on the impact of Council actions and decisions </w:t>
      </w:r>
      <w:r w:rsidR="00A05E8E">
        <w:rPr>
          <w:rFonts w:cs="Arial"/>
          <w:color w:val="000000"/>
        </w:rPr>
        <w:t>regarding</w:t>
      </w:r>
      <w:r w:rsidR="006C565A">
        <w:rPr>
          <w:rFonts w:cs="Arial"/>
          <w:color w:val="000000"/>
        </w:rPr>
        <w:t xml:space="preserve"> this basic human need.</w:t>
      </w:r>
    </w:p>
    <w:p w14:paraId="2C9FD1E0" w14:textId="75E885C6" w:rsidR="00934471" w:rsidRDefault="00446445" w:rsidP="00934471">
      <w:r>
        <w:t>Logan City Council</w:t>
      </w:r>
      <w:r w:rsidR="00934471">
        <w:t xml:space="preserve">’s review of policies and procedures resulted in </w:t>
      </w:r>
      <w:r w:rsidR="005419C7">
        <w:t>a</w:t>
      </w:r>
      <w:r w:rsidR="00934471">
        <w:t xml:space="preserve"> realisation that there were gaps in policies that addressed work</w:t>
      </w:r>
      <w:r w:rsidR="005419C7">
        <w:t>-</w:t>
      </w:r>
      <w:r w:rsidR="00934471">
        <w:t xml:space="preserve">related violence and aggression </w:t>
      </w:r>
      <w:r w:rsidR="004F54D0">
        <w:t>in relation</w:t>
      </w:r>
      <w:r w:rsidR="00934471">
        <w:t xml:space="preserve"> to staff. </w:t>
      </w:r>
      <w:r w:rsidR="0057017E">
        <w:t xml:space="preserve">Changes included </w:t>
      </w:r>
      <w:r w:rsidR="000E21B6">
        <w:t xml:space="preserve">requirements for </w:t>
      </w:r>
      <w:r w:rsidR="008C4548" w:rsidRPr="008C4548">
        <w:t>a thorough investigation, strengthened workplace health and safety</w:t>
      </w:r>
      <w:r w:rsidR="00096F93">
        <w:t>,</w:t>
      </w:r>
      <w:r w:rsidR="008C4548" w:rsidRPr="008C4548">
        <w:t xml:space="preserve"> and adding further requirements for the review of policies and procedures</w:t>
      </w:r>
      <w:r w:rsidR="008C4548">
        <w:t>.</w:t>
      </w:r>
    </w:p>
    <w:p w14:paraId="1F65710A" w14:textId="0D4554CE" w:rsidR="00E202EC" w:rsidRDefault="00E202EC" w:rsidP="00934471">
      <w:r>
        <w:t xml:space="preserve">While City </w:t>
      </w:r>
      <w:r w:rsidR="00E85F18">
        <w:t xml:space="preserve">of </w:t>
      </w:r>
      <w:r>
        <w:t>Gold Coast did not identify any changes in service delivery as such, the Council reported that there has been a ‘more considered approach to decisions impacting on individuals’ when policies and procedures are under review.</w:t>
      </w:r>
    </w:p>
    <w:p w14:paraId="1433B494" w14:textId="77777777" w:rsidR="004F265D" w:rsidRPr="00EB18B1" w:rsidRDefault="004F265D" w:rsidP="004F265D">
      <w:pPr>
        <w:pStyle w:val="Heading2"/>
        <w:rPr>
          <w:color w:val="8D361E"/>
        </w:rPr>
      </w:pPr>
      <w:bookmarkStart w:id="631" w:name="_Toc56451604"/>
      <w:bookmarkStart w:id="632" w:name="_Toc56452178"/>
      <w:bookmarkStart w:id="633" w:name="_Toc84593907"/>
      <w:bookmarkStart w:id="634" w:name="_Toc85451784"/>
      <w:bookmarkStart w:id="635" w:name="_Toc85526714"/>
      <w:bookmarkStart w:id="636" w:name="_Toc85787129"/>
      <w:bookmarkStart w:id="637" w:name="_Toc117697188"/>
      <w:bookmarkStart w:id="638" w:name="_Toc117697895"/>
      <w:bookmarkStart w:id="639" w:name="_Toc147757335"/>
      <w:bookmarkStart w:id="640" w:name="_Toc148086956"/>
      <w:bookmarkStart w:id="641" w:name="_Toc2138623236"/>
      <w:r w:rsidRPr="00EB18B1">
        <w:rPr>
          <w:color w:val="8D361E"/>
        </w:rPr>
        <w:t>Indicator 6: Internal complaints</w:t>
      </w:r>
      <w:bookmarkEnd w:id="631"/>
      <w:bookmarkEnd w:id="632"/>
      <w:bookmarkEnd w:id="633"/>
      <w:bookmarkEnd w:id="634"/>
      <w:bookmarkEnd w:id="635"/>
      <w:bookmarkEnd w:id="636"/>
      <w:bookmarkEnd w:id="637"/>
      <w:bookmarkEnd w:id="638"/>
      <w:bookmarkEnd w:id="639"/>
      <w:bookmarkEnd w:id="640"/>
      <w:r w:rsidRPr="00EB18B1">
        <w:rPr>
          <w:color w:val="8D361E"/>
        </w:rPr>
        <w:t xml:space="preserve"> </w:t>
      </w:r>
      <w:bookmarkEnd w:id="641"/>
    </w:p>
    <w:p w14:paraId="4BCFB2F3" w14:textId="63586F30" w:rsidR="004C0134" w:rsidRDefault="00917B64" w:rsidP="003F7ECE">
      <w:r>
        <w:t>C</w:t>
      </w:r>
      <w:r w:rsidR="00D05633" w:rsidRPr="003F7ECE">
        <w:t>ouncils</w:t>
      </w:r>
      <w:r>
        <w:t xml:space="preserve"> were asked</w:t>
      </w:r>
      <w:r w:rsidR="00D05633" w:rsidRPr="003F7ECE">
        <w:t xml:space="preserve"> about</w:t>
      </w:r>
      <w:r w:rsidR="004C0134">
        <w:t>:</w:t>
      </w:r>
    </w:p>
    <w:p w14:paraId="416B2187" w14:textId="2FD82A23" w:rsidR="004C0134" w:rsidRDefault="00D05633" w:rsidP="00CD639D">
      <w:pPr>
        <w:pStyle w:val="Listparagraph-bulleted"/>
      </w:pPr>
      <w:r w:rsidRPr="003F7ECE">
        <w:t>success</w:t>
      </w:r>
      <w:r w:rsidR="00CC12D1">
        <w:t xml:space="preserve">es </w:t>
      </w:r>
      <w:r w:rsidRPr="003F7ECE">
        <w:t xml:space="preserve">in integrating </w:t>
      </w:r>
      <w:r w:rsidR="004C0134">
        <w:t xml:space="preserve">a process for </w:t>
      </w:r>
      <w:r w:rsidRPr="003F7ECE">
        <w:t xml:space="preserve">human rights complaints into existing </w:t>
      </w:r>
      <w:r w:rsidR="00C70C20">
        <w:t xml:space="preserve">internal </w:t>
      </w:r>
      <w:r w:rsidRPr="003F7ECE">
        <w:t>complaint processes</w:t>
      </w:r>
    </w:p>
    <w:p w14:paraId="40F6328C" w14:textId="01A6FFB1" w:rsidR="00CC12D1" w:rsidRDefault="00D05633" w:rsidP="00CD639D">
      <w:pPr>
        <w:pStyle w:val="Listparagraph-bulleted"/>
      </w:pPr>
      <w:r w:rsidRPr="003F7ECE">
        <w:t xml:space="preserve">barriers </w:t>
      </w:r>
      <w:r w:rsidR="00C53BE1">
        <w:t>that have prevented this from happening</w:t>
      </w:r>
      <w:r w:rsidRPr="003F7ECE">
        <w:t xml:space="preserve"> </w:t>
      </w:r>
    </w:p>
    <w:p w14:paraId="07208AAE" w14:textId="344B626C" w:rsidR="00D05633" w:rsidRPr="003F7ECE" w:rsidRDefault="00D05633" w:rsidP="00CD639D">
      <w:pPr>
        <w:pStyle w:val="Listparagraph-bulleted"/>
      </w:pPr>
      <w:r w:rsidRPr="003F7ECE">
        <w:t>examples of where internal complaints have led to changes to policies, procedures, practices, or service delivery.</w:t>
      </w:r>
    </w:p>
    <w:p w14:paraId="3395E5DA" w14:textId="61A583CD" w:rsidR="00343587" w:rsidRDefault="00076633" w:rsidP="00D05633">
      <w:r>
        <w:t>Last year</w:t>
      </w:r>
      <w:r w:rsidR="00A22079">
        <w:t>,</w:t>
      </w:r>
      <w:r>
        <w:t xml:space="preserve"> c</w:t>
      </w:r>
      <w:r w:rsidR="00D05633" w:rsidRPr="003F7ECE">
        <w:t xml:space="preserve">ouncils </w:t>
      </w:r>
      <w:r w:rsidR="00D05633">
        <w:t>report</w:t>
      </w:r>
      <w:r w:rsidR="657C430A">
        <w:t>ed</w:t>
      </w:r>
      <w:r w:rsidR="00D05633" w:rsidRPr="003F7ECE">
        <w:t xml:space="preserve"> </w:t>
      </w:r>
      <w:r w:rsidR="00A22079">
        <w:t xml:space="preserve">either </w:t>
      </w:r>
      <w:r w:rsidR="00D05633" w:rsidRPr="003F7ECE">
        <w:t>no</w:t>
      </w:r>
      <w:r w:rsidR="002E62F8">
        <w:t xml:space="preserve"> complaints</w:t>
      </w:r>
      <w:r w:rsidR="002A4049">
        <w:t>,</w:t>
      </w:r>
      <w:r w:rsidR="00D05633" w:rsidRPr="003F7ECE">
        <w:t xml:space="preserve"> or few complaints</w:t>
      </w:r>
      <w:r w:rsidR="002A4049">
        <w:t>,</w:t>
      </w:r>
      <w:r w:rsidR="00D05633" w:rsidRPr="003F7ECE">
        <w:t xml:space="preserve"> </w:t>
      </w:r>
      <w:r w:rsidR="00343587">
        <w:t xml:space="preserve">and </w:t>
      </w:r>
      <w:r w:rsidR="00A739AC">
        <w:t xml:space="preserve">provided </w:t>
      </w:r>
      <w:r w:rsidR="00E345FE">
        <w:t>little</w:t>
      </w:r>
      <w:r w:rsidR="00D05633" w:rsidRPr="003F7ECE">
        <w:t xml:space="preserve"> in the </w:t>
      </w:r>
      <w:r w:rsidR="00E345FE">
        <w:t>way of</w:t>
      </w:r>
      <w:r w:rsidR="00343587">
        <w:t xml:space="preserve"> examples of </w:t>
      </w:r>
      <w:r w:rsidR="00D05633" w:rsidRPr="003F7ECE">
        <w:t xml:space="preserve">complaints </w:t>
      </w:r>
      <w:r w:rsidR="00343587">
        <w:t>that</w:t>
      </w:r>
      <w:r w:rsidR="00D05633" w:rsidRPr="003F7ECE">
        <w:t xml:space="preserve"> had led to </w:t>
      </w:r>
      <w:r w:rsidR="6565F6C5">
        <w:t xml:space="preserve">systemic </w:t>
      </w:r>
      <w:r w:rsidR="00D05633" w:rsidRPr="003F7ECE">
        <w:t>change.</w:t>
      </w:r>
      <w:r w:rsidR="00505A49">
        <w:t xml:space="preserve"> </w:t>
      </w:r>
    </w:p>
    <w:p w14:paraId="6FBEF7BD" w14:textId="5F17EAC1" w:rsidR="00343587" w:rsidRDefault="00505A49" w:rsidP="00D05633">
      <w:r>
        <w:t xml:space="preserve">This year we heard from councils that they are </w:t>
      </w:r>
      <w:r w:rsidRPr="00505A49">
        <w:t xml:space="preserve">actively incorporating human rights considerations into their complaint management processes and taking steps to improve their capacity to identify and address human rights issues. </w:t>
      </w:r>
    </w:p>
    <w:p w14:paraId="38B31000" w14:textId="25BE35C0" w:rsidR="00D05633" w:rsidRDefault="00D732D5" w:rsidP="00D05633">
      <w:r>
        <w:t>Examples</w:t>
      </w:r>
      <w:r w:rsidR="00505A49" w:rsidRPr="00505A49">
        <w:t xml:space="preserve"> </w:t>
      </w:r>
      <w:r w:rsidR="00343587">
        <w:t xml:space="preserve">provided </w:t>
      </w:r>
      <w:r w:rsidR="00505A49" w:rsidRPr="00505A49">
        <w:t xml:space="preserve">demonstrate that complaints </w:t>
      </w:r>
      <w:r>
        <w:t xml:space="preserve">in certain instances </w:t>
      </w:r>
      <w:r w:rsidR="00505A49" w:rsidRPr="00505A49">
        <w:t xml:space="preserve">have led to policy and procedure improvements and have resulted in better service delivery </w:t>
      </w:r>
      <w:r w:rsidR="007B06EC">
        <w:t>to</w:t>
      </w:r>
      <w:r w:rsidR="00505A49" w:rsidRPr="00505A49">
        <w:t xml:space="preserve"> the community.</w:t>
      </w:r>
    </w:p>
    <w:p w14:paraId="61477491" w14:textId="77777777" w:rsidR="00110480" w:rsidRDefault="00110480" w:rsidP="00110480">
      <w:r w:rsidRPr="00355CEC">
        <w:t xml:space="preserve">Sunshine Coast Council </w:t>
      </w:r>
      <w:r>
        <w:t>reported</w:t>
      </w:r>
      <w:r w:rsidRPr="00355CEC">
        <w:t xml:space="preserve"> that experience in engaging in human rights complaints procedures is still relatively new, and relevant officers continue to undertake professional development.</w:t>
      </w:r>
    </w:p>
    <w:p w14:paraId="126F6E8E" w14:textId="0D20DE45" w:rsidR="00207034" w:rsidRDefault="00207034" w:rsidP="00110480">
      <w:r>
        <w:t xml:space="preserve">At the Gold Coat City Council, </w:t>
      </w:r>
      <w:r w:rsidR="00704F46">
        <w:t xml:space="preserve">internal </w:t>
      </w:r>
      <w:r w:rsidR="007E2C37">
        <w:t>restructures</w:t>
      </w:r>
      <w:r w:rsidR="003F7FA1">
        <w:t xml:space="preserve"> have </w:t>
      </w:r>
      <w:r w:rsidR="004A3E37">
        <w:t xml:space="preserve">led to the human rights portfolio being </w:t>
      </w:r>
      <w:r w:rsidR="00B06A27">
        <w:t>reallocated</w:t>
      </w:r>
      <w:r w:rsidR="007E2C37">
        <w:t>,</w:t>
      </w:r>
      <w:r w:rsidR="004A3E37">
        <w:t xml:space="preserve"> </w:t>
      </w:r>
      <w:r w:rsidR="00821A28">
        <w:t>creating an</w:t>
      </w:r>
      <w:r w:rsidR="004A3E37">
        <w:t xml:space="preserve"> </w:t>
      </w:r>
      <w:r w:rsidR="002617D3">
        <w:t>opportunit</w:t>
      </w:r>
      <w:r w:rsidR="00821A28">
        <w:t>y</w:t>
      </w:r>
      <w:r w:rsidR="002617D3">
        <w:t xml:space="preserve"> to identify barriers </w:t>
      </w:r>
      <w:r w:rsidR="00821A28">
        <w:t xml:space="preserve">to addressing human rights complaints </w:t>
      </w:r>
      <w:r w:rsidR="00B06A27">
        <w:t xml:space="preserve">and training needs for staff. </w:t>
      </w:r>
      <w:r w:rsidR="00B06A27" w:rsidRPr="00B06A27">
        <w:t>The Council identified that the team responsible for making decisions w</w:t>
      </w:r>
      <w:r w:rsidR="005A4375">
        <w:t>as</w:t>
      </w:r>
      <w:r w:rsidR="00B06A27" w:rsidRPr="00B06A27">
        <w:t xml:space="preserve"> not documenting human rights consideration</w:t>
      </w:r>
      <w:r w:rsidR="009E0CBD">
        <w:t>s</w:t>
      </w:r>
      <w:r w:rsidR="00B06A27" w:rsidRPr="00B06A27">
        <w:t xml:space="preserve">. This has resulted </w:t>
      </w:r>
      <w:r w:rsidR="0087316C">
        <w:t>in</w:t>
      </w:r>
      <w:r w:rsidR="00B06A27" w:rsidRPr="00B06A27">
        <w:t xml:space="preserve"> training being provided to the team, as well as advice about how those considerations should be documented.</w:t>
      </w:r>
    </w:p>
    <w:p w14:paraId="0D4FC901" w14:textId="77777777" w:rsidR="00110480" w:rsidRDefault="00110480" w:rsidP="00110480">
      <w:r w:rsidRPr="00CB65AA">
        <w:t xml:space="preserve">Brisbane City Council </w:t>
      </w:r>
      <w:r>
        <w:t>reported</w:t>
      </w:r>
      <w:r w:rsidRPr="00CB65AA">
        <w:t xml:space="preserve"> that it </w:t>
      </w:r>
      <w:r>
        <w:t xml:space="preserve">continues to receive </w:t>
      </w:r>
      <w:r w:rsidRPr="00CB65AA">
        <w:t>a low volume of human rights complaints, which are managed in accordance with the Human Rights Complaints Procedure and broader governance framework.</w:t>
      </w:r>
    </w:p>
    <w:p w14:paraId="44F87199" w14:textId="1429650F" w:rsidR="004D4054" w:rsidRDefault="004D4054" w:rsidP="00D05633">
      <w:r w:rsidRPr="004D4054">
        <w:t xml:space="preserve">Ipswich City Council </w:t>
      </w:r>
      <w:r>
        <w:t>reported that</w:t>
      </w:r>
      <w:r w:rsidRPr="004D4054">
        <w:t xml:space="preserve"> when human rights elements are identified, they are progressed independently of the substantive complaint.</w:t>
      </w:r>
      <w:r w:rsidR="00F86D4C">
        <w:t xml:space="preserve"> As </w:t>
      </w:r>
      <w:r w:rsidR="00110480">
        <w:t>an</w:t>
      </w:r>
      <w:r w:rsidR="00F86D4C">
        <w:t xml:space="preserve"> example, Council reported that:</w:t>
      </w:r>
    </w:p>
    <w:p w14:paraId="05820647" w14:textId="18D6A31B" w:rsidR="00F86D4C" w:rsidRDefault="00F86D4C" w:rsidP="00F86D4C">
      <w:pPr>
        <w:pStyle w:val="Quote"/>
      </w:pPr>
      <w:r>
        <w:t>Council serviced a unit complex for waste removal,</w:t>
      </w:r>
      <w:r w:rsidR="0024684F">
        <w:t xml:space="preserve"> and</w:t>
      </w:r>
      <w:r>
        <w:t xml:space="preserve"> it was identified by the complaint handler that the current process was impacting adversely on older residents/residents with a disability at that complex, as they were unable to use the communal bins (that were provided by Council) due to the lid being too heavy for them to lift. Therefore, they were unable to place their waste in the communal bins for removal. To ameliorate this negative impact, a learning was provided from the </w:t>
      </w:r>
      <w:r w:rsidR="00F44A7A">
        <w:t>Complaints Management Unit</w:t>
      </w:r>
      <w:r>
        <w:t xml:space="preserve"> to the businesses area recommending consideration be given to the installation of bin lid lifts on large communal bins to ensure the safe and equitable use by all residents of the unit complex. </w:t>
      </w:r>
    </w:p>
    <w:p w14:paraId="65F3BEC3" w14:textId="77777777" w:rsidR="00B54C04" w:rsidRDefault="00355CEC" w:rsidP="00D05633">
      <w:r w:rsidRPr="00355CEC">
        <w:t>Logan City Council</w:t>
      </w:r>
      <w:r w:rsidR="007B06EC">
        <w:t xml:space="preserve"> reported that it</w:t>
      </w:r>
      <w:r w:rsidRPr="00355CEC">
        <w:t xml:space="preserve"> faces challenges due to its decentrali</w:t>
      </w:r>
      <w:r>
        <w:t>s</w:t>
      </w:r>
      <w:r w:rsidRPr="00355CEC">
        <w:t xml:space="preserve">ed </w:t>
      </w:r>
      <w:r w:rsidR="00816072" w:rsidRPr="00355CEC">
        <w:t>structure and</w:t>
      </w:r>
      <w:r w:rsidR="007B06EC">
        <w:t xml:space="preserve"> acknowledged a need to</w:t>
      </w:r>
      <w:r w:rsidRPr="00355CEC">
        <w:t xml:space="preserve"> enhance the understanding and knowledge levels of staff handling complaints.</w:t>
      </w:r>
      <w:r>
        <w:t xml:space="preserve"> </w:t>
      </w:r>
      <w:r w:rsidR="00677151" w:rsidRPr="00677151">
        <w:t>Logan City Council has been actively working to improve the identification and consideration of human rights issues within complaint management, especially through staff training and process improvements.</w:t>
      </w:r>
      <w:r w:rsidR="009A74EC">
        <w:t xml:space="preserve"> </w:t>
      </w:r>
    </w:p>
    <w:p w14:paraId="3D744455" w14:textId="48BC8237" w:rsidR="00492F08" w:rsidRDefault="00B54C04" w:rsidP="00D05633">
      <w:r>
        <w:t xml:space="preserve">Despite these challenges Logan City Council </w:t>
      </w:r>
      <w:r w:rsidR="009A74EC">
        <w:t xml:space="preserve">provided </w:t>
      </w:r>
      <w:r w:rsidR="00DC1324">
        <w:t>three</w:t>
      </w:r>
      <w:r>
        <w:t xml:space="preserve"> </w:t>
      </w:r>
      <w:r w:rsidR="00A67E65">
        <w:t>helpful</w:t>
      </w:r>
      <w:r w:rsidR="009A74EC">
        <w:t xml:space="preserve"> </w:t>
      </w:r>
      <w:r w:rsidR="00A67E65">
        <w:t>case studies</w:t>
      </w:r>
      <w:r w:rsidR="00706985">
        <w:t xml:space="preserve"> illustrating</w:t>
      </w:r>
      <w:r w:rsidR="009A74EC">
        <w:t xml:space="preserve"> </w:t>
      </w:r>
      <w:r>
        <w:t xml:space="preserve">where </w:t>
      </w:r>
      <w:r w:rsidR="00492F08">
        <w:t>human rights complaints</w:t>
      </w:r>
      <w:r>
        <w:t xml:space="preserve"> had resulted </w:t>
      </w:r>
      <w:r w:rsidR="00C75025">
        <w:t xml:space="preserve">further consideration </w:t>
      </w:r>
      <w:r w:rsidR="00923423">
        <w:t>for individuals and the development of new resources</w:t>
      </w:r>
      <w:r w:rsidR="00186D0A">
        <w:t>:</w:t>
      </w:r>
    </w:p>
    <w:p w14:paraId="03D8562A" w14:textId="73F9C0BF" w:rsidR="009D6AB3" w:rsidRDefault="009D6AB3" w:rsidP="00492F08">
      <w:pPr>
        <w:pStyle w:val="Quote"/>
      </w:pPr>
      <w:r>
        <w:t>Example 1:</w:t>
      </w:r>
    </w:p>
    <w:p w14:paraId="114A9784" w14:textId="15E6CC01" w:rsidR="00492F08" w:rsidRDefault="00492F08" w:rsidP="00492F08">
      <w:pPr>
        <w:pStyle w:val="Quote"/>
      </w:pPr>
      <w:r>
        <w:t>A complaint was lodged with Council regarding an ‘unsightly premises’ that had substantial human rights implications due to potential imposed punishments. Upon consultation with the Integrity and Information Program, the branch dealing with the complaint independently completed a human rights assessment to determine their next steps. This assessment was recommended to be implemented routinely with the branch.</w:t>
      </w:r>
    </w:p>
    <w:p w14:paraId="551C1EFC" w14:textId="1003C975" w:rsidR="009D6AB3" w:rsidRDefault="009D6AB3" w:rsidP="00235C29">
      <w:pPr>
        <w:pStyle w:val="Quote"/>
      </w:pPr>
      <w:r>
        <w:t>Example 2:</w:t>
      </w:r>
    </w:p>
    <w:p w14:paraId="1129F28C" w14:textId="11887885" w:rsidR="00492F08" w:rsidRDefault="00B6058F" w:rsidP="00235C29">
      <w:pPr>
        <w:pStyle w:val="Quote"/>
      </w:pPr>
      <w:r w:rsidRPr="00B6058F">
        <w:t xml:space="preserve">A human rights complaint involving a contractor was lodged with Council </w:t>
      </w:r>
      <w:r w:rsidR="00FB3431">
        <w:t>and</w:t>
      </w:r>
      <w:r w:rsidRPr="00B6058F">
        <w:t xml:space="preserve"> went to mediation. Working in conjunction with the complainant, Council put together a ‘lessons learned’ package which was delivered to the relevant branch. This package included relevant Human Rights Act provisions as well as the complainant</w:t>
      </w:r>
      <w:r w:rsidR="00EF2219">
        <w:t>’</w:t>
      </w:r>
      <w:r w:rsidRPr="00B6058F">
        <w:t>s experiences and how the situation impacted them. Additional resources were also born from this complaint and a further fact sheet was created to specifically address contractors’ obligations under the Human Rights Act.</w:t>
      </w:r>
    </w:p>
    <w:p w14:paraId="4608DD78" w14:textId="7593EB91" w:rsidR="009D6AB3" w:rsidRPr="009D6AB3" w:rsidRDefault="009D6AB3" w:rsidP="009D6AB3">
      <w:pPr>
        <w:pStyle w:val="Quote"/>
      </w:pPr>
      <w:r>
        <w:t>Example 3:</w:t>
      </w:r>
    </w:p>
    <w:p w14:paraId="6BF61E30" w14:textId="66C42791" w:rsidR="004079DB" w:rsidRPr="004079DB" w:rsidRDefault="00B54C04" w:rsidP="00B54C04">
      <w:pPr>
        <w:pStyle w:val="Quote"/>
      </w:pPr>
      <w:r>
        <w:t>A</w:t>
      </w:r>
      <w:r w:rsidR="004079DB" w:rsidRPr="004079DB">
        <w:t xml:space="preserve"> complaint was received by Council with regard to conditions placed on an individual attending certain premises. Upon review, the conditions placed on the individual were overturned. The complaint shed a light on the knowledge gaps within Council and resulted in additional resources and education being provided namely, the Human Rights Fact Sheet – Refusal to Speak with a Customer.</w:t>
      </w:r>
      <w:r w:rsidR="004079DB">
        <w:tab/>
      </w:r>
    </w:p>
    <w:p w14:paraId="12DF0B73" w14:textId="77777777" w:rsidR="00077811" w:rsidRPr="00EB18B1" w:rsidRDefault="00077811" w:rsidP="00887853">
      <w:pPr>
        <w:pStyle w:val="Heading2"/>
        <w:rPr>
          <w:color w:val="8D361E"/>
        </w:rPr>
      </w:pPr>
      <w:bookmarkStart w:id="642" w:name="_Toc56451605"/>
      <w:bookmarkStart w:id="643" w:name="_Toc56452179"/>
      <w:bookmarkStart w:id="644" w:name="_Toc84593908"/>
      <w:bookmarkStart w:id="645" w:name="_Toc85451785"/>
      <w:bookmarkStart w:id="646" w:name="_Toc85526715"/>
      <w:bookmarkStart w:id="647" w:name="_Toc85787130"/>
      <w:bookmarkStart w:id="648" w:name="_Toc117697189"/>
      <w:bookmarkStart w:id="649" w:name="_Toc117697896"/>
      <w:bookmarkStart w:id="650" w:name="_Toc147757336"/>
      <w:bookmarkStart w:id="651" w:name="_Toc148086957"/>
      <w:bookmarkStart w:id="652" w:name="_Toc435027998"/>
      <w:r w:rsidRPr="00EB18B1">
        <w:rPr>
          <w:color w:val="8D361E"/>
        </w:rPr>
        <w:t>Indicator 7: Future plans</w:t>
      </w:r>
      <w:bookmarkEnd w:id="642"/>
      <w:bookmarkEnd w:id="643"/>
      <w:bookmarkEnd w:id="644"/>
      <w:bookmarkEnd w:id="645"/>
      <w:bookmarkEnd w:id="646"/>
      <w:bookmarkEnd w:id="647"/>
      <w:bookmarkEnd w:id="648"/>
      <w:bookmarkEnd w:id="649"/>
      <w:bookmarkEnd w:id="650"/>
      <w:bookmarkEnd w:id="651"/>
      <w:r w:rsidRPr="00EB18B1">
        <w:rPr>
          <w:color w:val="8D361E"/>
        </w:rPr>
        <w:t xml:space="preserve"> </w:t>
      </w:r>
      <w:bookmarkEnd w:id="652"/>
    </w:p>
    <w:p w14:paraId="53CAC6CB" w14:textId="34E1C351" w:rsidR="247185E2" w:rsidRDefault="00880E20" w:rsidP="4F6ACD06">
      <w:pPr>
        <w:rPr>
          <w:rFonts w:cs="Arial"/>
          <w:lang w:val="en-US"/>
        </w:rPr>
      </w:pPr>
      <w:r>
        <w:rPr>
          <w:rFonts w:cs="Arial"/>
          <w:lang w:val="en-US"/>
        </w:rPr>
        <w:t>The Commission</w:t>
      </w:r>
      <w:r w:rsidR="281E5189" w:rsidRPr="485B6A9F">
        <w:rPr>
          <w:rFonts w:cs="Arial"/>
          <w:lang w:val="en-US"/>
        </w:rPr>
        <w:t xml:space="preserve"> asked councils to report on </w:t>
      </w:r>
      <w:r w:rsidR="00843465">
        <w:rPr>
          <w:rFonts w:cs="Arial"/>
          <w:lang w:val="en-US"/>
        </w:rPr>
        <w:t xml:space="preserve">their </w:t>
      </w:r>
      <w:r w:rsidR="281E5189" w:rsidRPr="247185E2">
        <w:rPr>
          <w:rFonts w:cs="Arial"/>
          <w:lang w:val="en-US"/>
        </w:rPr>
        <w:t xml:space="preserve">future plans </w:t>
      </w:r>
      <w:r w:rsidR="281E5189" w:rsidRPr="485B6A9F">
        <w:rPr>
          <w:rFonts w:cs="Arial"/>
          <w:lang w:val="en-US"/>
        </w:rPr>
        <w:t xml:space="preserve">to </w:t>
      </w:r>
      <w:r w:rsidR="281E5189" w:rsidRPr="247185E2">
        <w:rPr>
          <w:rFonts w:cs="Arial"/>
          <w:lang w:val="en-US"/>
        </w:rPr>
        <w:t xml:space="preserve">achieve the </w:t>
      </w:r>
      <w:r w:rsidR="281E5189" w:rsidRPr="17ACC2AF">
        <w:rPr>
          <w:rFonts w:cs="Arial"/>
          <w:lang w:val="en-US"/>
        </w:rPr>
        <w:t xml:space="preserve">objects of </w:t>
      </w:r>
      <w:r w:rsidR="281E5189" w:rsidRPr="247185E2">
        <w:rPr>
          <w:rFonts w:cs="Arial"/>
          <w:lang w:val="en-US"/>
        </w:rPr>
        <w:t xml:space="preserve">the </w:t>
      </w:r>
      <w:r w:rsidR="281E5189" w:rsidRPr="17ACC2AF">
        <w:rPr>
          <w:rFonts w:cs="Arial"/>
          <w:lang w:val="en-US"/>
        </w:rPr>
        <w:t xml:space="preserve">Act. </w:t>
      </w:r>
    </w:p>
    <w:p w14:paraId="39B76E51" w14:textId="40FBB689" w:rsidR="006435B3" w:rsidRDefault="006435B3" w:rsidP="4F6ACD06">
      <w:pPr>
        <w:rPr>
          <w:rFonts w:eastAsia="Calibri" w:cs="Arial"/>
          <w:lang w:val="en-US"/>
        </w:rPr>
      </w:pPr>
      <w:r w:rsidRPr="006435B3">
        <w:rPr>
          <w:rFonts w:eastAsia="Calibri" w:cs="Arial"/>
          <w:lang w:val="en-US"/>
        </w:rPr>
        <w:t xml:space="preserve">While all councils </w:t>
      </w:r>
      <w:r>
        <w:rPr>
          <w:rFonts w:eastAsia="Calibri" w:cs="Arial"/>
          <w:lang w:val="en-US"/>
        </w:rPr>
        <w:t>indicated a commitment</w:t>
      </w:r>
      <w:r w:rsidRPr="006435B3">
        <w:rPr>
          <w:rFonts w:eastAsia="Calibri" w:cs="Arial"/>
          <w:lang w:val="en-US"/>
        </w:rPr>
        <w:t xml:space="preserve"> to protecting and promoting human rights, building a culture that respects and promotes human rights, their approaches and specific initiatives </w:t>
      </w:r>
      <w:r>
        <w:rPr>
          <w:rFonts w:eastAsia="Calibri" w:cs="Arial"/>
          <w:lang w:val="en-US"/>
        </w:rPr>
        <w:t>differed</w:t>
      </w:r>
      <w:r w:rsidRPr="006435B3">
        <w:rPr>
          <w:rFonts w:eastAsia="Calibri" w:cs="Arial"/>
          <w:lang w:val="en-US"/>
        </w:rPr>
        <w:t xml:space="preserve"> based on their </w:t>
      </w:r>
      <w:r>
        <w:rPr>
          <w:rFonts w:eastAsia="Calibri" w:cs="Arial"/>
          <w:lang w:val="en-US"/>
        </w:rPr>
        <w:t xml:space="preserve">priorities and </w:t>
      </w:r>
      <w:r w:rsidR="009324F1">
        <w:rPr>
          <w:rFonts w:eastAsia="Calibri" w:cs="Arial"/>
          <w:lang w:val="en-US"/>
        </w:rPr>
        <w:t>resourcing levels</w:t>
      </w:r>
      <w:r>
        <w:rPr>
          <w:rFonts w:eastAsia="Calibri" w:cs="Arial"/>
          <w:lang w:val="en-US"/>
        </w:rPr>
        <w:t>.</w:t>
      </w:r>
      <w:r w:rsidR="00380AFA">
        <w:rPr>
          <w:rFonts w:eastAsia="Calibri" w:cs="Arial"/>
          <w:lang w:val="en-US"/>
        </w:rPr>
        <w:t xml:space="preserve"> Future priorities were focused on staff training and </w:t>
      </w:r>
      <w:r w:rsidR="000B291E">
        <w:rPr>
          <w:rFonts w:eastAsia="Calibri" w:cs="Arial"/>
          <w:lang w:val="en-US"/>
        </w:rPr>
        <w:t>improving</w:t>
      </w:r>
      <w:r w:rsidR="00380AFA">
        <w:rPr>
          <w:rFonts w:eastAsia="Calibri" w:cs="Arial"/>
          <w:lang w:val="en-US"/>
        </w:rPr>
        <w:t xml:space="preserve"> the understanding of contractors.</w:t>
      </w:r>
    </w:p>
    <w:p w14:paraId="58181A12" w14:textId="7EF17E55" w:rsidR="002B0DAB" w:rsidRDefault="00566FDD" w:rsidP="002B0DAB">
      <w:r>
        <w:t xml:space="preserve">Brisbane City Council emphasised </w:t>
      </w:r>
      <w:r w:rsidR="00D60B2B">
        <w:t>the need for regular review</w:t>
      </w:r>
      <w:r w:rsidR="00462D7A">
        <w:t>s</w:t>
      </w:r>
      <w:r w:rsidR="00D60B2B">
        <w:t xml:space="preserve"> of systems and processes to embed a human rights culture and intend</w:t>
      </w:r>
      <w:r w:rsidR="00AE4725">
        <w:t>s</w:t>
      </w:r>
      <w:r w:rsidR="00D60B2B">
        <w:t xml:space="preserve"> to focus on </w:t>
      </w:r>
      <w:r w:rsidR="00D60B2B" w:rsidRPr="00D60B2B">
        <w:t>monitoring feedback to identify and incorporate improvements in awareness</w:t>
      </w:r>
      <w:r w:rsidR="00462D7A">
        <w:t>-</w:t>
      </w:r>
      <w:r w:rsidR="00D60B2B" w:rsidRPr="00D60B2B">
        <w:t>raising, training, and complaints management.</w:t>
      </w:r>
    </w:p>
    <w:p w14:paraId="4B2137DC" w14:textId="25007C3E" w:rsidR="00A563C8" w:rsidRDefault="00A563C8" w:rsidP="002B0DAB">
      <w:r>
        <w:t xml:space="preserve">Sunshine Coast </w:t>
      </w:r>
      <w:r w:rsidR="00FB6568">
        <w:t>C</w:t>
      </w:r>
      <w:r>
        <w:t xml:space="preserve">ouncil had addressed a resourcing gap by filling </w:t>
      </w:r>
      <w:r w:rsidR="00900ABF">
        <w:t xml:space="preserve">a </w:t>
      </w:r>
      <w:r>
        <w:t xml:space="preserve">previously vacant position and planned to progress a formal human rights policy position in the </w:t>
      </w:r>
      <w:r w:rsidR="00031873">
        <w:t>next</w:t>
      </w:r>
      <w:r>
        <w:t xml:space="preserve"> financial year.</w:t>
      </w:r>
    </w:p>
    <w:p w14:paraId="4AEF9513" w14:textId="4B6E5689" w:rsidR="00EF52B0" w:rsidRDefault="009324F1" w:rsidP="002B0DAB">
      <w:r>
        <w:t xml:space="preserve">Ipswich City Council intends to focus on </w:t>
      </w:r>
      <w:r w:rsidR="00D97E87">
        <w:t>practical tools and training for staff</w:t>
      </w:r>
      <w:r w:rsidR="00031873">
        <w:t>,</w:t>
      </w:r>
      <w:r w:rsidR="00D97E87">
        <w:t xml:space="preserve"> including </w:t>
      </w:r>
      <w:r w:rsidR="0097604F">
        <w:t>developing a</w:t>
      </w:r>
      <w:r w:rsidR="00D97E87">
        <w:t xml:space="preserve"> Human Rights Impact </w:t>
      </w:r>
      <w:r w:rsidR="0097604F">
        <w:t>Assessment</w:t>
      </w:r>
      <w:r w:rsidR="00D97E87">
        <w:t xml:space="preserve"> Checklist template library</w:t>
      </w:r>
      <w:r w:rsidR="00031873">
        <w:t>, a</w:t>
      </w:r>
      <w:r w:rsidR="0097604F">
        <w:t xml:space="preserve"> Human Rights and Procurement Procedure</w:t>
      </w:r>
      <w:r w:rsidR="00574A7C">
        <w:t>,</w:t>
      </w:r>
      <w:r w:rsidR="0097604F">
        <w:t xml:space="preserve"> and continued delivery of </w:t>
      </w:r>
      <w:r w:rsidR="00D97E87">
        <w:t>customised human rights training</w:t>
      </w:r>
      <w:r w:rsidR="0097604F">
        <w:t xml:space="preserve">. </w:t>
      </w:r>
    </w:p>
    <w:p w14:paraId="26A28DBF" w14:textId="62FAAAB2" w:rsidR="00E75DEA" w:rsidRDefault="00995034" w:rsidP="002B0DAB">
      <w:r>
        <w:t>Continuous</w:t>
      </w:r>
      <w:r w:rsidR="00E75DEA">
        <w:t xml:space="preserve"> improvement of training was also </w:t>
      </w:r>
      <w:r w:rsidR="005506BD">
        <w:t>a priority for</w:t>
      </w:r>
      <w:r w:rsidR="00E75DEA">
        <w:t xml:space="preserve"> Logan City Council</w:t>
      </w:r>
      <w:r w:rsidR="005506BD">
        <w:t xml:space="preserve">. The Council aims to improve training effectiveness, </w:t>
      </w:r>
      <w:r w:rsidR="005506BD" w:rsidRPr="005506BD">
        <w:t xml:space="preserve">identify areas where the Human Rights Act has </w:t>
      </w:r>
      <w:r w:rsidR="005506BD" w:rsidRPr="00D76CF4">
        <w:t xml:space="preserve">been </w:t>
      </w:r>
      <w:r w:rsidR="00C2328C" w:rsidRPr="00D76CF4">
        <w:t>‘</w:t>
      </w:r>
      <w:r w:rsidR="005506BD" w:rsidRPr="00D76CF4">
        <w:t>superficially</w:t>
      </w:r>
      <w:r w:rsidR="00C2328C" w:rsidRPr="00D76CF4">
        <w:t>’</w:t>
      </w:r>
      <w:r w:rsidR="005506BD" w:rsidRPr="00D76CF4">
        <w:t xml:space="preserve"> applied, and promote online resources.</w:t>
      </w:r>
      <w:r w:rsidR="00275BBD" w:rsidRPr="00D76CF4">
        <w:t xml:space="preserve"> </w:t>
      </w:r>
      <w:r w:rsidR="009D1010" w:rsidRPr="00D76CF4">
        <w:t>Further</w:t>
      </w:r>
      <w:r w:rsidR="005A11E7">
        <w:t xml:space="preserve"> planned</w:t>
      </w:r>
      <w:r w:rsidR="009D1010" w:rsidRPr="00D76CF4">
        <w:t xml:space="preserve"> improvements </w:t>
      </w:r>
      <w:r w:rsidR="009D1010">
        <w:t xml:space="preserve">include </w:t>
      </w:r>
      <w:r w:rsidR="00EA5B91">
        <w:t>an</w:t>
      </w:r>
      <w:r w:rsidR="00275BBD">
        <w:t xml:space="preserve"> overarching policy document </w:t>
      </w:r>
      <w:r w:rsidR="005A11E7">
        <w:t xml:space="preserve">to </w:t>
      </w:r>
      <w:r w:rsidR="00275BBD">
        <w:t xml:space="preserve">remind staff of their responsibilities under the Human Rights Act, and </w:t>
      </w:r>
      <w:r w:rsidR="00541335">
        <w:t xml:space="preserve">a ‘lessons learnt’ module </w:t>
      </w:r>
      <w:r w:rsidR="00C40CA6">
        <w:t xml:space="preserve">that </w:t>
      </w:r>
      <w:r w:rsidR="00541335">
        <w:t>includ</w:t>
      </w:r>
      <w:r w:rsidR="00C40CA6">
        <w:t>es</w:t>
      </w:r>
      <w:r w:rsidR="00541335">
        <w:t xml:space="preserve"> real-life examples to promote a deeper understanding of the issues</w:t>
      </w:r>
      <w:r w:rsidR="009D1010">
        <w:t xml:space="preserve"> for Council</w:t>
      </w:r>
      <w:r w:rsidR="00275BBD">
        <w:t>.</w:t>
      </w:r>
    </w:p>
    <w:p w14:paraId="4680254F" w14:textId="768B422C" w:rsidR="004D4C98" w:rsidRDefault="008E78A0" w:rsidP="002B0DAB">
      <w:r>
        <w:t xml:space="preserve">City of </w:t>
      </w:r>
      <w:r w:rsidR="004D4C98">
        <w:t xml:space="preserve">Gold Coast plans to continue regular training across all </w:t>
      </w:r>
      <w:r w:rsidR="00CC52AD">
        <w:t>a</w:t>
      </w:r>
      <w:r w:rsidR="004D4C98">
        <w:t>reas of the Council and ensure that template documents consistently reference the Act and the internal human rights decision-making checklist.</w:t>
      </w:r>
    </w:p>
    <w:p w14:paraId="2B898483" w14:textId="4DE824A7" w:rsidR="00EF52B0" w:rsidRDefault="003B076A" w:rsidP="00EF52B0">
      <w:r>
        <w:t>Two councils</w:t>
      </w:r>
      <w:r w:rsidR="00EF52B0">
        <w:t xml:space="preserve"> intend to turn their attention to </w:t>
      </w:r>
      <w:r>
        <w:t>contractors providing services on their behalf.</w:t>
      </w:r>
      <w:r w:rsidR="0097604F">
        <w:t xml:space="preserve"> </w:t>
      </w:r>
      <w:r>
        <w:t xml:space="preserve">Ipswich City Council </w:t>
      </w:r>
      <w:r w:rsidR="0097604F">
        <w:t>plans to conduct an audit of contractual arrangements to ensure human rights compliance</w:t>
      </w:r>
      <w:r>
        <w:t xml:space="preserve">, and Logan City Council </w:t>
      </w:r>
      <w:r w:rsidR="003727F3">
        <w:t xml:space="preserve">acknowledged the </w:t>
      </w:r>
      <w:r w:rsidR="00EF52B0">
        <w:t>need for further involvement with contractors and providers to address knowledge gaps and create meaningful resources</w:t>
      </w:r>
      <w:r w:rsidR="003727F3">
        <w:t xml:space="preserve"> to improve their understanding of human rights obligations</w:t>
      </w:r>
      <w:r w:rsidR="00EF52B0">
        <w:t>.</w:t>
      </w:r>
    </w:p>
    <w:p w14:paraId="73F48EB5" w14:textId="37773C7F" w:rsidR="00280C7F" w:rsidRDefault="00280C7F" w:rsidP="00EF52B0">
      <w:r>
        <w:t xml:space="preserve">While Mornington Shire Council had not taken any </w:t>
      </w:r>
      <w:r w:rsidR="003A1570">
        <w:t xml:space="preserve">activities related to building a human rights culture in the Council </w:t>
      </w:r>
      <w:r w:rsidR="00F064F3">
        <w:t>in the reporting period</w:t>
      </w:r>
      <w:r w:rsidR="00252D9E">
        <w:t xml:space="preserve">, the Commission’s correspondence regarding human rights indicators has prompted </w:t>
      </w:r>
      <w:r w:rsidR="004E48DB">
        <w:t>‘methodical and considered activities towards meaningful introduction of a human rights culture which suitably upholds the Human Rights Act</w:t>
      </w:r>
      <w:r w:rsidR="0097684C">
        <w:t xml:space="preserve">’. Mornington Shire Council has </w:t>
      </w:r>
      <w:r w:rsidR="00823F9D">
        <w:t>experienced</w:t>
      </w:r>
      <w:r w:rsidR="0097684C">
        <w:t xml:space="preserve"> challenges with </w:t>
      </w:r>
      <w:r w:rsidR="00823F9D">
        <w:t>‘</w:t>
      </w:r>
      <w:r w:rsidR="0097684C">
        <w:t>extremely high turnover</w:t>
      </w:r>
      <w:r w:rsidR="00823F9D">
        <w:t>’</w:t>
      </w:r>
      <w:r w:rsidR="0097684C">
        <w:t xml:space="preserve"> that had limited capacity to </w:t>
      </w:r>
      <w:r w:rsidR="00E97127">
        <w:t xml:space="preserve">implement the Human Rights Act. </w:t>
      </w:r>
      <w:r w:rsidR="000F3B49">
        <w:t xml:space="preserve"> </w:t>
      </w:r>
      <w:r w:rsidR="00E97127">
        <w:t>Prompted by the Commission’s request for information,</w:t>
      </w:r>
      <w:r w:rsidR="00335E96">
        <w:t xml:space="preserve"> the Council has </w:t>
      </w:r>
      <w:r w:rsidR="00494E21">
        <w:t>unanimously resolved to endorse a new Human Rights Policy and complaint management process, will review and strengthen their induction processes to include Human Rights legislation</w:t>
      </w:r>
      <w:r w:rsidR="0076174B">
        <w:t>,</w:t>
      </w:r>
      <w:r w:rsidR="00223081">
        <w:t xml:space="preserve"> make changes to contracts and new providers are engaged,</w:t>
      </w:r>
      <w:r w:rsidR="0076174B">
        <w:t xml:space="preserve"> and release a feature article pertaining to Council’s commitment towards a human rights culture.</w:t>
      </w:r>
      <w:r w:rsidR="000F3B49">
        <w:t xml:space="preserve"> </w:t>
      </w:r>
    </w:p>
    <w:p w14:paraId="425DB78D" w14:textId="77777777" w:rsidR="008C36BD" w:rsidRDefault="008C36BD">
      <w:pPr>
        <w:spacing w:after="160" w:line="259" w:lineRule="auto"/>
        <w:ind w:right="0"/>
        <w:rPr>
          <w:rFonts w:eastAsiaTheme="majorEastAsia" w:cstheme="majorBidi"/>
          <w:iCs/>
          <w:color w:val="8D361E"/>
          <w:sz w:val="48"/>
          <w:szCs w:val="32"/>
        </w:rPr>
      </w:pPr>
      <w:bookmarkStart w:id="653" w:name="_Toc717419745"/>
      <w:bookmarkStart w:id="654" w:name="_Toc117697190"/>
      <w:bookmarkStart w:id="655" w:name="_Toc147757337"/>
      <w:bookmarkStart w:id="656" w:name="_Toc148086958"/>
      <w:r>
        <w:rPr>
          <w:color w:val="8D361E"/>
        </w:rPr>
        <w:br w:type="page"/>
      </w:r>
    </w:p>
    <w:p w14:paraId="3C2CD999" w14:textId="36B46A45" w:rsidR="00D763BF" w:rsidRPr="00EB18B1" w:rsidRDefault="002F033B" w:rsidP="00EB18B1">
      <w:pPr>
        <w:pStyle w:val="Heading1"/>
        <w:rPr>
          <w:color w:val="8D361E"/>
        </w:rPr>
      </w:pPr>
      <w:r w:rsidRPr="00EB18B1">
        <w:rPr>
          <w:color w:val="8D361E"/>
        </w:rPr>
        <w:t xml:space="preserve">Human </w:t>
      </w:r>
      <w:r w:rsidRPr="00D64C4A">
        <w:rPr>
          <w:color w:val="8D361E"/>
        </w:rPr>
        <w:t>rights</w:t>
      </w:r>
      <w:r w:rsidRPr="00EB18B1">
        <w:rPr>
          <w:color w:val="8D361E"/>
        </w:rPr>
        <w:t xml:space="preserve"> </w:t>
      </w:r>
      <w:bookmarkEnd w:id="653"/>
      <w:r w:rsidR="70E86462" w:rsidRPr="00EB18B1">
        <w:rPr>
          <w:color w:val="8D361E"/>
        </w:rPr>
        <w:t>leadership</w:t>
      </w:r>
      <w:bookmarkEnd w:id="654"/>
      <w:bookmarkEnd w:id="655"/>
      <w:bookmarkEnd w:id="656"/>
    </w:p>
    <w:p w14:paraId="7B9221EA" w14:textId="717BB47A" w:rsidR="00A741DA" w:rsidRDefault="00BA5E00" w:rsidP="00174962">
      <w:r>
        <w:t xml:space="preserve">For the </w:t>
      </w:r>
      <w:r w:rsidR="00133F68">
        <w:t>third year</w:t>
      </w:r>
      <w:r>
        <w:t>, the</w:t>
      </w:r>
      <w:r w:rsidR="51BC5A74">
        <w:t xml:space="preserve"> Commission </w:t>
      </w:r>
      <w:r w:rsidR="00133F68">
        <w:t>surveyed</w:t>
      </w:r>
      <w:r w:rsidR="51BC5A74">
        <w:t xml:space="preserve"> public entities </w:t>
      </w:r>
      <w:r w:rsidR="2FC346CF">
        <w:t>(from both state and local government)</w:t>
      </w:r>
      <w:r w:rsidR="51BC5A74">
        <w:t xml:space="preserve"> about the leadership they had shown in </w:t>
      </w:r>
      <w:r w:rsidR="1439B597">
        <w:t xml:space="preserve">building </w:t>
      </w:r>
      <w:r w:rsidR="51BC5A74">
        <w:t>a human rights culture in their organisation</w:t>
      </w:r>
      <w:r w:rsidR="004550AB">
        <w:t>s</w:t>
      </w:r>
      <w:r w:rsidR="51BC5A74">
        <w:t xml:space="preserve">. </w:t>
      </w:r>
      <w:r w:rsidR="00055B6C" w:rsidRPr="00055B6C">
        <w:t xml:space="preserve">Senior leadership across various government agencies </w:t>
      </w:r>
      <w:r w:rsidR="00235B6B">
        <w:t xml:space="preserve">and councils </w:t>
      </w:r>
      <w:r w:rsidR="00174962">
        <w:t>indicated</w:t>
      </w:r>
      <w:r w:rsidR="00055B6C" w:rsidRPr="00055B6C">
        <w:t xml:space="preserve"> a</w:t>
      </w:r>
      <w:r w:rsidR="00055B6C">
        <w:t xml:space="preserve"> continuing</w:t>
      </w:r>
      <w:r w:rsidR="00055B6C" w:rsidRPr="00055B6C">
        <w:t xml:space="preserve"> commitment to embedding human rights. </w:t>
      </w:r>
    </w:p>
    <w:p w14:paraId="1633D310" w14:textId="07464176" w:rsidR="00783D90" w:rsidRPr="00D64C4A" w:rsidRDefault="00783D90" w:rsidP="00E35D82">
      <w:pPr>
        <w:pStyle w:val="Heading2"/>
        <w:rPr>
          <w:color w:val="8D361E"/>
        </w:rPr>
      </w:pPr>
      <w:bookmarkStart w:id="657" w:name="_Toc148086959"/>
      <w:r w:rsidRPr="00D64C4A">
        <w:rPr>
          <w:color w:val="8D361E"/>
        </w:rPr>
        <w:t>Awareness and communication</w:t>
      </w:r>
      <w:bookmarkEnd w:id="657"/>
    </w:p>
    <w:p w14:paraId="74D0FB67" w14:textId="1B1CFB56" w:rsidR="006C6721" w:rsidRDefault="00783D90" w:rsidP="00783D90">
      <w:r>
        <w:t>Human Rights Week continued to present a</w:t>
      </w:r>
      <w:r w:rsidR="006C6721">
        <w:t>n annual</w:t>
      </w:r>
      <w:r>
        <w:t xml:space="preserve"> opportunity for senior leaders to promote human rights culture within their organisations, such as through webinars</w:t>
      </w:r>
      <w:r w:rsidR="000F4AD0">
        <w:t xml:space="preserve">. In the </w:t>
      </w:r>
      <w:r>
        <w:t>Department of Health</w:t>
      </w:r>
      <w:r w:rsidR="006C6721">
        <w:t xml:space="preserve"> </w:t>
      </w:r>
      <w:r w:rsidR="000F4AD0">
        <w:t>these were</w:t>
      </w:r>
      <w:r>
        <w:t xml:space="preserve"> presented by </w:t>
      </w:r>
      <w:r w:rsidR="006C6721">
        <w:t>senior leaders</w:t>
      </w:r>
      <w:r>
        <w:t>.</w:t>
      </w:r>
    </w:p>
    <w:p w14:paraId="5D34D9B0" w14:textId="250DC61F" w:rsidR="00783D90" w:rsidRDefault="009B28B9" w:rsidP="00783D90">
      <w:r w:rsidRPr="009B28B9">
        <w:t>Ipswich City Council celebrated Human Rights Week</w:t>
      </w:r>
      <w:r>
        <w:t xml:space="preserve"> </w:t>
      </w:r>
      <w:r w:rsidR="006C6721">
        <w:t>and used the</w:t>
      </w:r>
      <w:r>
        <w:t xml:space="preserve"> opportunity to promote human rights by publishing </w:t>
      </w:r>
      <w:r w:rsidR="006C6721" w:rsidRPr="006C6721">
        <w:t>and displaying communications and materials (including intranet articles, posters</w:t>
      </w:r>
      <w:r w:rsidR="00BC2AD5">
        <w:t>,</w:t>
      </w:r>
      <w:r w:rsidR="006C6721" w:rsidRPr="006C6721">
        <w:t xml:space="preserve"> and email banners) about the importance of human rights and Council’s role in protecting and upholding the</w:t>
      </w:r>
      <w:r w:rsidR="006C6721">
        <w:t>m.</w:t>
      </w:r>
    </w:p>
    <w:p w14:paraId="4F901CB6" w14:textId="57D1D8FD" w:rsidR="00783D90" w:rsidRPr="0055634F" w:rsidRDefault="00783D90" w:rsidP="00783D90">
      <w:r>
        <w:t>Senior leaders in the Department of Education continue</w:t>
      </w:r>
      <w:r w:rsidR="002133E9">
        <w:t>d</w:t>
      </w:r>
      <w:r>
        <w:t xml:space="preserve"> to drive awareness and understanding by actively discussing human rights implications </w:t>
      </w:r>
      <w:r w:rsidR="002133E9">
        <w:t>in</w:t>
      </w:r>
      <w:r>
        <w:t xml:space="preserve"> the delivery of education services at executive, regional, and divisional meetings.</w:t>
      </w:r>
    </w:p>
    <w:p w14:paraId="66AA61E8" w14:textId="287E4C16" w:rsidR="00783D90" w:rsidRDefault="00783D90" w:rsidP="00783D90">
      <w:r w:rsidRPr="00783D90">
        <w:t>Several councils (Brisbane City, Ipswich City, and Logan City) reported that their senior leaders actively engage</w:t>
      </w:r>
      <w:r w:rsidR="002133E9">
        <w:t>d</w:t>
      </w:r>
      <w:r w:rsidRPr="00783D90">
        <w:t xml:space="preserve"> in meaningful discussions and communication </w:t>
      </w:r>
      <w:r w:rsidR="00A40E42">
        <w:t xml:space="preserve">with their teams </w:t>
      </w:r>
      <w:r w:rsidRPr="00783D90">
        <w:t>about human rights.</w:t>
      </w:r>
      <w:r w:rsidR="00C91A7A">
        <w:t xml:space="preserve"> For instance, Brisbane City Council reported that senior</w:t>
      </w:r>
      <w:r w:rsidR="00C91A7A" w:rsidRPr="00C91A7A">
        <w:t xml:space="preserve"> leaders used their own communication channels including emails, newsletters</w:t>
      </w:r>
      <w:r w:rsidR="00AC23FD">
        <w:t>,</w:t>
      </w:r>
      <w:r w:rsidR="00C91A7A" w:rsidRPr="00C91A7A">
        <w:t xml:space="preserve"> and meetings to keep their respective work areas up to date on human rights and to emphasise the importance of applying human rights consideration to relevant work</w:t>
      </w:r>
      <w:r w:rsidR="00C91A7A">
        <w:t>.</w:t>
      </w:r>
    </w:p>
    <w:p w14:paraId="7AF5767D" w14:textId="234C385D" w:rsidR="005B35A3" w:rsidRPr="00D64C4A" w:rsidRDefault="00751E2A" w:rsidP="00E35D82">
      <w:pPr>
        <w:pStyle w:val="Heading2"/>
        <w:rPr>
          <w:color w:val="8D361E"/>
        </w:rPr>
      </w:pPr>
      <w:bookmarkStart w:id="658" w:name="_Toc148086960"/>
      <w:r w:rsidRPr="00D64C4A">
        <w:rPr>
          <w:color w:val="8D361E"/>
        </w:rPr>
        <w:t>Cross-</w:t>
      </w:r>
      <w:r w:rsidR="005B35A3" w:rsidRPr="00D64C4A">
        <w:rPr>
          <w:color w:val="8D361E"/>
        </w:rPr>
        <w:t>collaboration</w:t>
      </w:r>
      <w:bookmarkEnd w:id="658"/>
    </w:p>
    <w:p w14:paraId="1A4EF772" w14:textId="1039AA3B" w:rsidR="00B82E2E" w:rsidRDefault="009664DB" w:rsidP="0054654A">
      <w:r>
        <w:t xml:space="preserve">Queensland Government departments </w:t>
      </w:r>
      <w:r w:rsidR="00A741DA">
        <w:t>noted their participation in the Department of Justice and Attorney-General’s Human Rights Interdepartmental Committee</w:t>
      </w:r>
      <w:r w:rsidR="00B82E2E">
        <w:t xml:space="preserve"> (HR IDC)</w:t>
      </w:r>
      <w:r w:rsidR="00A741DA">
        <w:t xml:space="preserve">, which recommenced </w:t>
      </w:r>
      <w:r w:rsidR="006A117A">
        <w:t xml:space="preserve">operation </w:t>
      </w:r>
      <w:r w:rsidR="00A741DA">
        <w:t>in the reporting period.</w:t>
      </w:r>
      <w:r w:rsidR="00F9335E">
        <w:t xml:space="preserve"> From the Commission’s experience, a collaborative inter-departmental approach </w:t>
      </w:r>
      <w:r w:rsidR="003C15C1">
        <w:t>increases</w:t>
      </w:r>
      <w:r w:rsidR="00F9335E">
        <w:t xml:space="preserve"> the involvement of senior leaders in developing a culture of human rights</w:t>
      </w:r>
      <w:r w:rsidR="003C15C1">
        <w:t xml:space="preserve"> and improves outcomes overall</w:t>
      </w:r>
      <w:r w:rsidR="00F9335E">
        <w:t>.</w:t>
      </w:r>
      <w:r w:rsidR="00B82E2E">
        <w:t xml:space="preserve"> </w:t>
      </w:r>
    </w:p>
    <w:p w14:paraId="1DE11887" w14:textId="4D8EB28D" w:rsidR="00B82E2E" w:rsidRDefault="00B82E2E" w:rsidP="0054654A">
      <w:r>
        <w:t>D</w:t>
      </w:r>
      <w:r w:rsidR="00D26C20">
        <w:t>Y</w:t>
      </w:r>
      <w:r>
        <w:t>JESBT reported positively on being part of the HR IDC</w:t>
      </w:r>
      <w:r w:rsidR="00985F9B">
        <w:t>,</w:t>
      </w:r>
      <w:r>
        <w:t xml:space="preserve"> </w:t>
      </w:r>
      <w:r w:rsidR="00985F9B">
        <w:t>s</w:t>
      </w:r>
      <w:r w:rsidR="0026551B">
        <w:t>tating</w:t>
      </w:r>
      <w:r>
        <w:t xml:space="preserve"> it is an ‘important forum to learn what other departments are doing and explore opportunities to leverage and reuse ideas and resources rather than reinvent solutions.’</w:t>
      </w:r>
    </w:p>
    <w:p w14:paraId="348FBBD3" w14:textId="11A7A112" w:rsidR="007D680A" w:rsidRDefault="00785187" w:rsidP="0054654A">
      <w:r>
        <w:t>Based on responses</w:t>
      </w:r>
      <w:r w:rsidR="006B5AE5">
        <w:t xml:space="preserve"> we received</w:t>
      </w:r>
      <w:r>
        <w:t>,</w:t>
      </w:r>
      <w:r w:rsidR="00751E2A">
        <w:t xml:space="preserve"> councils did not have the benefit of cross-collaboration through a formalised structure</w:t>
      </w:r>
      <w:r w:rsidR="00536483">
        <w:t>, such as the HR IDC,</w:t>
      </w:r>
      <w:r w:rsidR="00751E2A">
        <w:t xml:space="preserve"> which m</w:t>
      </w:r>
      <w:r w:rsidR="00E5737D">
        <w:t>ight</w:t>
      </w:r>
      <w:r w:rsidR="00751E2A">
        <w:t xml:space="preserve"> </w:t>
      </w:r>
      <w:r w:rsidR="00CB3C2F">
        <w:t>improve</w:t>
      </w:r>
      <w:r w:rsidR="00751E2A">
        <w:t xml:space="preserve"> practice</w:t>
      </w:r>
      <w:r w:rsidR="00CB3C2F">
        <w:t xml:space="preserve"> and </w:t>
      </w:r>
      <w:r w:rsidR="00CE453E">
        <w:t>consistency</w:t>
      </w:r>
      <w:r w:rsidR="00DD5CB5">
        <w:t xml:space="preserve"> between local government areas</w:t>
      </w:r>
      <w:r w:rsidR="00751E2A">
        <w:t>.</w:t>
      </w:r>
    </w:p>
    <w:p w14:paraId="10DA299B" w14:textId="75CAD3BC" w:rsidR="00D73016" w:rsidRPr="00D64C4A" w:rsidRDefault="00D73016" w:rsidP="00E35D82">
      <w:pPr>
        <w:pStyle w:val="Heading2"/>
        <w:rPr>
          <w:color w:val="8D361E"/>
        </w:rPr>
      </w:pPr>
      <w:bookmarkStart w:id="659" w:name="_Toc148086961"/>
      <w:r w:rsidRPr="00D64C4A">
        <w:rPr>
          <w:color w:val="8D361E"/>
        </w:rPr>
        <w:t>Training</w:t>
      </w:r>
      <w:r w:rsidR="00AE38B6" w:rsidRPr="00D64C4A">
        <w:rPr>
          <w:color w:val="8D361E"/>
        </w:rPr>
        <w:t xml:space="preserve"> and </w:t>
      </w:r>
      <w:r w:rsidR="00E11FD7" w:rsidRPr="00D64C4A">
        <w:rPr>
          <w:color w:val="8D361E"/>
        </w:rPr>
        <w:t>professional development</w:t>
      </w:r>
      <w:bookmarkEnd w:id="659"/>
    </w:p>
    <w:p w14:paraId="3A8B1D3D" w14:textId="24D481E3" w:rsidR="00123F09" w:rsidRDefault="00E0634E" w:rsidP="0054654A">
      <w:r>
        <w:t xml:space="preserve">Consistent with previous </w:t>
      </w:r>
      <w:r w:rsidR="003C333B">
        <w:t>years</w:t>
      </w:r>
      <w:r>
        <w:t>, p</w:t>
      </w:r>
      <w:r w:rsidR="00D45365">
        <w:t>ublic entities</w:t>
      </w:r>
      <w:r w:rsidR="00123F09">
        <w:t xml:space="preserve"> reported that </w:t>
      </w:r>
      <w:r w:rsidR="00370DCC">
        <w:t xml:space="preserve">a </w:t>
      </w:r>
      <w:r>
        <w:t>significant</w:t>
      </w:r>
      <w:r w:rsidR="00370DCC">
        <w:t xml:space="preserve"> way </w:t>
      </w:r>
      <w:r>
        <w:t>in which</w:t>
      </w:r>
      <w:r w:rsidR="00123F09">
        <w:t xml:space="preserve"> senior leaders support </w:t>
      </w:r>
      <w:r>
        <w:t xml:space="preserve">the </w:t>
      </w:r>
      <w:r w:rsidR="00123F09">
        <w:t xml:space="preserve">development of a human rights culture is by </w:t>
      </w:r>
      <w:r>
        <w:t xml:space="preserve">prioritising and </w:t>
      </w:r>
      <w:r w:rsidR="00123F09">
        <w:t xml:space="preserve">facilitating ongoing training and professional development for their staff. </w:t>
      </w:r>
      <w:r w:rsidR="00F548F4">
        <w:t>State public entities reported, for instance</w:t>
      </w:r>
      <w:r w:rsidR="00687ED6">
        <w:t>,</w:t>
      </w:r>
      <w:r w:rsidR="00F548F4">
        <w:t xml:space="preserve"> that:</w:t>
      </w:r>
    </w:p>
    <w:p w14:paraId="0F1C6930" w14:textId="7718C2F9" w:rsidR="00F76598" w:rsidRDefault="00BD3BCD" w:rsidP="002C65A2">
      <w:pPr>
        <w:pStyle w:val="Listparagraph-bulleted"/>
      </w:pPr>
      <w:r>
        <w:t>Queensland Corrective Services</w:t>
      </w:r>
      <w:r w:rsidR="002C65A2" w:rsidRPr="002C65A2">
        <w:t xml:space="preserve"> senior leadership have demonstrated a clear commitment to human rights by ensuring all staff have access to appropriate human rights training and tools.</w:t>
      </w:r>
    </w:p>
    <w:p w14:paraId="7F721E98" w14:textId="578D1730" w:rsidR="00F909EA" w:rsidRDefault="00B00EA0" w:rsidP="00CB0540">
      <w:pPr>
        <w:pStyle w:val="Listparagraph-bulleted"/>
      </w:pPr>
      <w:r>
        <w:t>Senior leaders at DTATSIPCA actively</w:t>
      </w:r>
      <w:r w:rsidRPr="00B00EA0">
        <w:t xml:space="preserve"> </w:t>
      </w:r>
      <w:r>
        <w:t>promoted</w:t>
      </w:r>
      <w:r w:rsidRPr="00B00EA0">
        <w:t xml:space="preserve"> staff participation in human rights training.</w:t>
      </w:r>
    </w:p>
    <w:p w14:paraId="375C91F9" w14:textId="50B7C193" w:rsidR="00F909EA" w:rsidRDefault="00F909EA" w:rsidP="001973CB">
      <w:r>
        <w:t xml:space="preserve">Brisbane City Council </w:t>
      </w:r>
      <w:r w:rsidR="00687ED6">
        <w:t>said</w:t>
      </w:r>
      <w:r>
        <w:t xml:space="preserve"> that</w:t>
      </w:r>
      <w:r w:rsidR="00E54738">
        <w:t xml:space="preserve"> </w:t>
      </w:r>
      <w:r w:rsidR="00FF7740">
        <w:t xml:space="preserve">staff </w:t>
      </w:r>
      <w:r w:rsidR="00CB0540">
        <w:t xml:space="preserve">in leadership positions have </w:t>
      </w:r>
      <w:r w:rsidR="004F51C8">
        <w:t>shown a commitment to</w:t>
      </w:r>
      <w:r w:rsidR="00CB0540">
        <w:t xml:space="preserve"> undertak</w:t>
      </w:r>
      <w:r w:rsidR="001729DE">
        <w:t>e</w:t>
      </w:r>
      <w:r w:rsidR="00CB0540">
        <w:t xml:space="preserve"> training </w:t>
      </w:r>
      <w:r w:rsidR="004F51C8">
        <w:t xml:space="preserve">themselves </w:t>
      </w:r>
      <w:r w:rsidR="00CB0540">
        <w:t>and engag</w:t>
      </w:r>
      <w:r w:rsidR="001729DE">
        <w:t>e</w:t>
      </w:r>
      <w:r w:rsidR="00CB0540">
        <w:t xml:space="preserve"> in </w:t>
      </w:r>
      <w:r w:rsidRPr="00CB0540">
        <w:t xml:space="preserve">meaningful discussions about how to provide awareness and </w:t>
      </w:r>
      <w:r w:rsidR="000F2408">
        <w:t xml:space="preserve">deliver </w:t>
      </w:r>
      <w:r w:rsidRPr="00CB0540">
        <w:t xml:space="preserve">training to staff at all levels. </w:t>
      </w:r>
    </w:p>
    <w:p w14:paraId="22DB3EC8" w14:textId="348A0CC7" w:rsidR="007A062C" w:rsidRDefault="00DA5D5B" w:rsidP="001973CB">
      <w:r>
        <w:t xml:space="preserve">City of </w:t>
      </w:r>
      <w:r w:rsidR="007A062C">
        <w:t xml:space="preserve">Gold Coast reported that their senior leadership team actively sought advice to improve their </w:t>
      </w:r>
      <w:r w:rsidR="000F2408">
        <w:t xml:space="preserve">own </w:t>
      </w:r>
      <w:r w:rsidR="007A062C">
        <w:t>understanding of human rights, and that they ‘</w:t>
      </w:r>
      <w:r w:rsidR="007A062C" w:rsidRPr="00B219B3">
        <w:t>encourage an open and understanding approach to human rights complaints lodged by individuals and seek to address those concerns with transparency, fairness and balance.</w:t>
      </w:r>
      <w:r w:rsidR="007A062C">
        <w:t>’</w:t>
      </w:r>
    </w:p>
    <w:p w14:paraId="1322171A" w14:textId="7A435A4B" w:rsidR="00F76598" w:rsidRPr="00D64C4A" w:rsidRDefault="00FB4255" w:rsidP="00E35D82">
      <w:pPr>
        <w:pStyle w:val="Heading2"/>
        <w:rPr>
          <w:color w:val="8D361E"/>
        </w:rPr>
      </w:pPr>
      <w:bookmarkStart w:id="660" w:name="_Toc148086962"/>
      <w:r w:rsidRPr="00D64C4A">
        <w:rPr>
          <w:color w:val="8D361E"/>
        </w:rPr>
        <w:t>Decision-making processes</w:t>
      </w:r>
      <w:bookmarkEnd w:id="660"/>
      <w:r w:rsidRPr="00D64C4A">
        <w:rPr>
          <w:color w:val="8D361E"/>
        </w:rPr>
        <w:t xml:space="preserve"> </w:t>
      </w:r>
    </w:p>
    <w:p w14:paraId="6A847E24" w14:textId="74D7069C" w:rsidR="00FB4255" w:rsidRPr="00567655" w:rsidRDefault="00567655" w:rsidP="00FB4255">
      <w:r w:rsidRPr="00567655">
        <w:t xml:space="preserve">The Department of Housing Executive Leadership Team </w:t>
      </w:r>
      <w:r>
        <w:t>reported that they have</w:t>
      </w:r>
      <w:r w:rsidRPr="00567655">
        <w:t xml:space="preserve"> embedded human rights consideration into all decision-making processes. This includes, but is not limited to, documented consideration of human rights in all briefing notes, inclusion of human rights complaints numbers and training information in Quarterly Performance Reports and working with the broader senior leadership team to </w:t>
      </w:r>
      <w:r w:rsidR="009D4E58">
        <w:t>improve</w:t>
      </w:r>
      <w:r w:rsidRPr="00567655">
        <w:t xml:space="preserve"> human rights capability across the department.</w:t>
      </w:r>
    </w:p>
    <w:p w14:paraId="39035561" w14:textId="206E6A26" w:rsidR="00986D6B" w:rsidRDefault="00986D6B" w:rsidP="00986D6B">
      <w:r>
        <w:t xml:space="preserve">City </w:t>
      </w:r>
      <w:r w:rsidR="002E01CA">
        <w:t xml:space="preserve">of </w:t>
      </w:r>
      <w:r>
        <w:t xml:space="preserve">Gold Coast </w:t>
      </w:r>
      <w:r w:rsidR="00A41FAA">
        <w:t xml:space="preserve">reported </w:t>
      </w:r>
      <w:r w:rsidR="00E841B4">
        <w:t xml:space="preserve">that Council’s delegations and </w:t>
      </w:r>
      <w:r w:rsidR="00292075">
        <w:t>administrative</w:t>
      </w:r>
      <w:r w:rsidR="00E841B4">
        <w:t xml:space="preserve"> approvals are designed in a way to ensure that senior leaders always take </w:t>
      </w:r>
      <w:r w:rsidR="009D4E58">
        <w:t>human rights</w:t>
      </w:r>
      <w:r w:rsidR="00E841B4">
        <w:t xml:space="preserve"> into account in their decision</w:t>
      </w:r>
      <w:r w:rsidR="009D4E58">
        <w:t>-</w:t>
      </w:r>
      <w:r w:rsidR="00E841B4">
        <w:t xml:space="preserve">making. </w:t>
      </w:r>
    </w:p>
    <w:p w14:paraId="4831FAD3" w14:textId="36AC17DF" w:rsidR="00D50932" w:rsidRDefault="00AE43FA" w:rsidP="0055634F">
      <w:r>
        <w:t xml:space="preserve">The Senior Leadership team </w:t>
      </w:r>
      <w:r w:rsidR="00DF64A1">
        <w:t>at</w:t>
      </w:r>
      <w:r>
        <w:t xml:space="preserve"> </w:t>
      </w:r>
      <w:r w:rsidR="008367B0" w:rsidRPr="008367B0">
        <w:t>DTATSIPCA</w:t>
      </w:r>
      <w:r w:rsidR="008367B0">
        <w:t xml:space="preserve"> </w:t>
      </w:r>
      <w:r w:rsidR="000077D7">
        <w:t xml:space="preserve">consider and </w:t>
      </w:r>
      <w:r w:rsidR="00C777E8">
        <w:t>apply</w:t>
      </w:r>
      <w:r w:rsidR="000077D7">
        <w:t xml:space="preserve"> human rights in departmental briefings, </w:t>
      </w:r>
      <w:r w:rsidR="00C777E8">
        <w:t>submission</w:t>
      </w:r>
      <w:r w:rsidR="00C044EC">
        <w:t>s,</w:t>
      </w:r>
      <w:r w:rsidR="000077D7">
        <w:t xml:space="preserve"> and materials that accompany </w:t>
      </w:r>
      <w:r w:rsidR="00911642">
        <w:t>legislation,</w:t>
      </w:r>
      <w:r w:rsidR="00C777E8">
        <w:t xml:space="preserve"> and the </w:t>
      </w:r>
      <w:r w:rsidR="00A83373" w:rsidRPr="00A83373">
        <w:t>Board of Management</w:t>
      </w:r>
      <w:r w:rsidR="00411B07">
        <w:t xml:space="preserve"> considers</w:t>
      </w:r>
      <w:r w:rsidR="00A83373" w:rsidRPr="00A83373">
        <w:t xml:space="preserve"> human rights reports and discussions on departmental progress in creating a human rights culture</w:t>
      </w:r>
      <w:r w:rsidR="00411B07">
        <w:t>.</w:t>
      </w:r>
    </w:p>
    <w:p w14:paraId="4A321B24" w14:textId="3AE44755" w:rsidR="0012235C" w:rsidRDefault="0012235C" w:rsidP="0055634F">
      <w:r w:rsidRPr="00567655">
        <w:t>Queens</w:t>
      </w:r>
      <w:r>
        <w:t>l</w:t>
      </w:r>
      <w:r w:rsidRPr="00567655">
        <w:t>and Health</w:t>
      </w:r>
      <w:r>
        <w:t xml:space="preserve"> also reported that </w:t>
      </w:r>
      <w:r w:rsidRPr="00567655">
        <w:t>senior leadership actively incorporates human rights considerations into briefing notes, onboarding materials, and legal advice.</w:t>
      </w:r>
    </w:p>
    <w:p w14:paraId="6EBA1013" w14:textId="0A4B1889" w:rsidR="002E168C" w:rsidRPr="00567655" w:rsidRDefault="00CF1A3F" w:rsidP="0055634F">
      <w:r w:rsidRPr="00CF1A3F">
        <w:t>DYJESBT</w:t>
      </w:r>
      <w:r>
        <w:t xml:space="preserve"> </w:t>
      </w:r>
      <w:r w:rsidR="00D026A5">
        <w:t>reported</w:t>
      </w:r>
      <w:r>
        <w:t xml:space="preserve"> that </w:t>
      </w:r>
      <w:r w:rsidR="00C61B36">
        <w:t>they have embedded human rights in policies and procedures, incident review</w:t>
      </w:r>
      <w:r w:rsidR="00D549A5">
        <w:t>s</w:t>
      </w:r>
      <w:r w:rsidR="00C61B36">
        <w:t>, complaints process and other governance mechanisms involving young people, and remain open to feedback and continuous improvement.</w:t>
      </w:r>
    </w:p>
    <w:p w14:paraId="04E85076" w14:textId="76B2C5EC" w:rsidR="2ECB6C98" w:rsidRPr="00D64C4A" w:rsidRDefault="7A84BAAE" w:rsidP="00E35D82">
      <w:pPr>
        <w:pStyle w:val="Heading2"/>
        <w:rPr>
          <w:rFonts w:eastAsia="Yu Gothic Light" w:cs="Times New Roman"/>
          <w:color w:val="8D361E"/>
        </w:rPr>
      </w:pPr>
      <w:r w:rsidRPr="00D64C4A">
        <w:rPr>
          <w:color w:val="8D361E"/>
        </w:rPr>
        <w:t xml:space="preserve">Strategic </w:t>
      </w:r>
      <w:r w:rsidR="00EF12CE" w:rsidRPr="00D64C4A">
        <w:rPr>
          <w:color w:val="8D361E"/>
        </w:rPr>
        <w:t xml:space="preserve">and operational </w:t>
      </w:r>
      <w:r w:rsidRPr="00D64C4A">
        <w:rPr>
          <w:color w:val="8D361E"/>
        </w:rPr>
        <w:t>plans</w:t>
      </w:r>
    </w:p>
    <w:p w14:paraId="4C64F9AA" w14:textId="0D62D6F9" w:rsidR="00442D58" w:rsidRDefault="00F6640F" w:rsidP="3F5255E3">
      <w:r>
        <w:t xml:space="preserve">Including human rights in strategic </w:t>
      </w:r>
      <w:r w:rsidR="00265EBB">
        <w:t>and operational</w:t>
      </w:r>
      <w:r>
        <w:t xml:space="preserve"> plan</w:t>
      </w:r>
      <w:r w:rsidR="00265EBB">
        <w:t>s</w:t>
      </w:r>
      <w:r>
        <w:t xml:space="preserve"> can keep the focus of leadership</w:t>
      </w:r>
      <w:r w:rsidR="00A0483D">
        <w:t>,</w:t>
      </w:r>
      <w:r>
        <w:t xml:space="preserve"> </w:t>
      </w:r>
      <w:r w:rsidR="00265EBB">
        <w:t xml:space="preserve">and </w:t>
      </w:r>
      <w:r w:rsidR="00C158FC">
        <w:t xml:space="preserve">staff </w:t>
      </w:r>
      <w:r w:rsidR="00345292">
        <w:t xml:space="preserve">more </w:t>
      </w:r>
      <w:r w:rsidR="00C158FC">
        <w:t>broad</w:t>
      </w:r>
      <w:r w:rsidR="00345292">
        <w:t>ly,</w:t>
      </w:r>
      <w:r w:rsidR="00C158FC">
        <w:t xml:space="preserve"> </w:t>
      </w:r>
      <w:r>
        <w:t>on human rights culture-building.</w:t>
      </w:r>
      <w:r w:rsidR="00442D58">
        <w:t xml:space="preserve"> </w:t>
      </w:r>
      <w:r w:rsidR="00C158FC">
        <w:t>State public</w:t>
      </w:r>
      <w:r w:rsidR="00442D58">
        <w:t xml:space="preserve"> entities reported that:</w:t>
      </w:r>
    </w:p>
    <w:p w14:paraId="270E1022" w14:textId="104E3E01" w:rsidR="45599E96" w:rsidRDefault="00A0483D" w:rsidP="3F5255E3">
      <w:pPr>
        <w:pStyle w:val="Listparagraph-bulleted"/>
      </w:pPr>
      <w:r>
        <w:t>T</w:t>
      </w:r>
      <w:r w:rsidR="00F258DE">
        <w:t xml:space="preserve">he </w:t>
      </w:r>
      <w:r w:rsidR="005C1E2B">
        <w:t>Queensland Police Service</w:t>
      </w:r>
      <w:r w:rsidR="005C1E2B" w:rsidRPr="005C1E2B">
        <w:t xml:space="preserve"> Strategic Plan 2023-2027 outlines the vision and goals to foster a human rights culture within the Service</w:t>
      </w:r>
      <w:r w:rsidR="00154033">
        <w:t xml:space="preserve">, emphasising </w:t>
      </w:r>
      <w:r w:rsidR="00154033" w:rsidRPr="00154033">
        <w:t>respecting, protecting</w:t>
      </w:r>
      <w:r w:rsidR="001527CA">
        <w:t>,</w:t>
      </w:r>
      <w:r w:rsidR="00154033" w:rsidRPr="00154033">
        <w:t xml:space="preserve"> and promoting human rights in all aspects of work and decision-making. The plan also identifies the key strategies and actions that will enable </w:t>
      </w:r>
      <w:r w:rsidR="00543E7A">
        <w:t>QPS</w:t>
      </w:r>
      <w:r w:rsidR="00543E7A" w:rsidRPr="00154033">
        <w:t xml:space="preserve"> </w:t>
      </w:r>
      <w:r w:rsidR="00154033" w:rsidRPr="00154033">
        <w:t xml:space="preserve">to achieve this vision and uphold </w:t>
      </w:r>
      <w:r w:rsidR="001527CA">
        <w:t>their</w:t>
      </w:r>
      <w:r w:rsidR="00154033" w:rsidRPr="00154033">
        <w:t xml:space="preserve"> human rights obligations.</w:t>
      </w:r>
    </w:p>
    <w:p w14:paraId="281E0C1C" w14:textId="24AD6636" w:rsidR="00442D58" w:rsidRPr="00255F09" w:rsidRDefault="001527CA" w:rsidP="3F5255E3">
      <w:pPr>
        <w:pStyle w:val="Listparagraph-bulleted"/>
      </w:pPr>
      <w:r>
        <w:rPr>
          <w:rFonts w:cs="Arial"/>
          <w:lang w:val="en-US"/>
        </w:rPr>
        <w:t>T</w:t>
      </w:r>
      <w:r w:rsidR="00C158FC">
        <w:rPr>
          <w:rFonts w:cs="Arial"/>
          <w:lang w:val="en-US"/>
        </w:rPr>
        <w:t xml:space="preserve">he </w:t>
      </w:r>
      <w:r w:rsidR="00442D58" w:rsidRPr="00A07DD9">
        <w:rPr>
          <w:rFonts w:cs="Arial"/>
          <w:lang w:val="en-US"/>
        </w:rPr>
        <w:t xml:space="preserve">Queensland Ambulance Service Strategy 2022-27 makes </w:t>
      </w:r>
      <w:r w:rsidR="007F1ED5">
        <w:rPr>
          <w:rFonts w:cs="Arial"/>
          <w:lang w:val="en-US"/>
        </w:rPr>
        <w:t xml:space="preserve">a </w:t>
      </w:r>
      <w:r w:rsidR="00442D58" w:rsidRPr="00A07DD9">
        <w:rPr>
          <w:rFonts w:cs="Arial"/>
          <w:lang w:val="en-US"/>
        </w:rPr>
        <w:t>human rights commitment.</w:t>
      </w:r>
    </w:p>
    <w:p w14:paraId="09445305" w14:textId="2B36E1C9" w:rsidR="007E026C" w:rsidRDefault="00B941FD" w:rsidP="007E026C">
      <w:pPr>
        <w:pStyle w:val="Listparagraph-bulleted"/>
      </w:pPr>
      <w:r>
        <w:rPr>
          <w:rFonts w:cs="Arial"/>
          <w:lang w:val="en-US"/>
        </w:rPr>
        <w:t>Queensland Health</w:t>
      </w:r>
      <w:r w:rsidR="001527CA">
        <w:rPr>
          <w:rFonts w:cs="Arial"/>
          <w:lang w:val="en-US"/>
        </w:rPr>
        <w:t>’s</w:t>
      </w:r>
      <w:r>
        <w:rPr>
          <w:rFonts w:cs="Arial"/>
          <w:lang w:val="en-US"/>
        </w:rPr>
        <w:t xml:space="preserve"> </w:t>
      </w:r>
      <w:r w:rsidR="007F1ED5">
        <w:rPr>
          <w:rFonts w:cs="Arial"/>
          <w:lang w:val="en-US"/>
        </w:rPr>
        <w:t>Hospital</w:t>
      </w:r>
      <w:r w:rsidR="00255F09">
        <w:rPr>
          <w:rFonts w:cs="Arial"/>
          <w:lang w:val="en-US"/>
        </w:rPr>
        <w:t xml:space="preserve"> and Health Services </w:t>
      </w:r>
      <w:r w:rsidR="001527CA">
        <w:rPr>
          <w:rFonts w:cs="Arial"/>
          <w:lang w:val="en-US"/>
        </w:rPr>
        <w:t>include</w:t>
      </w:r>
      <w:r w:rsidR="00255F09">
        <w:rPr>
          <w:rFonts w:cs="Arial"/>
          <w:lang w:val="en-US"/>
        </w:rPr>
        <w:t xml:space="preserve"> human rights commitments in some of their operational plans</w:t>
      </w:r>
      <w:r w:rsidR="00DF2913">
        <w:rPr>
          <w:rFonts w:cs="Arial"/>
          <w:lang w:val="en-US"/>
        </w:rPr>
        <w:t>.</w:t>
      </w:r>
    </w:p>
    <w:p w14:paraId="3E65D777" w14:textId="7380B063" w:rsidR="00D32661" w:rsidRDefault="001527CA" w:rsidP="007E026C">
      <w:pPr>
        <w:pStyle w:val="Listparagraph-bulleted"/>
      </w:pPr>
      <w:r>
        <w:t>T</w:t>
      </w:r>
      <w:r w:rsidR="00C158FC">
        <w:t xml:space="preserve">he </w:t>
      </w:r>
      <w:r w:rsidR="007F1ED5">
        <w:t xml:space="preserve">Department of Education </w:t>
      </w:r>
      <w:r w:rsidR="007E026C">
        <w:t>considers human rights when developing operational plans</w:t>
      </w:r>
      <w:r w:rsidR="00DF2913">
        <w:t>.</w:t>
      </w:r>
    </w:p>
    <w:p w14:paraId="4710986C" w14:textId="2AFBB409" w:rsidR="00DF2913" w:rsidRDefault="00631030" w:rsidP="007E026C">
      <w:pPr>
        <w:pStyle w:val="Listparagraph-bulleted"/>
      </w:pPr>
      <w:r>
        <w:t>H</w:t>
      </w:r>
      <w:r w:rsidR="00822FF3">
        <w:t>uman rights is referenced in key corporate documents of DTATSIPCA</w:t>
      </w:r>
      <w:r>
        <w:t>,</w:t>
      </w:r>
      <w:r w:rsidR="00822FF3">
        <w:t xml:space="preserve"> including their strategic plan.</w:t>
      </w:r>
    </w:p>
    <w:p w14:paraId="4F08856B" w14:textId="69403FEB" w:rsidR="00EF12CE" w:rsidRDefault="004F646A" w:rsidP="3F5255E3">
      <w:r>
        <w:t>F</w:t>
      </w:r>
      <w:r w:rsidRPr="004F646A">
        <w:t>linders Shire, Sunshine Coast, and Ipswich City</w:t>
      </w:r>
      <w:r>
        <w:t xml:space="preserve"> </w:t>
      </w:r>
      <w:r w:rsidR="00EF12CE">
        <w:t>Councils also reported a commitment to human rights through senior leadership endorsement of human rights policy and implementation plans.</w:t>
      </w:r>
    </w:p>
    <w:p w14:paraId="70423B3F" w14:textId="1181FCB3" w:rsidR="11762257" w:rsidRDefault="1AB2FFD6" w:rsidP="00257ABD">
      <w:pPr>
        <w:pStyle w:val="Heading1"/>
        <w:rPr>
          <w:color w:val="8D361E"/>
        </w:rPr>
      </w:pPr>
      <w:bookmarkStart w:id="661" w:name="_Toc308619191"/>
      <w:bookmarkStart w:id="662" w:name="_Toc117697193"/>
      <w:bookmarkStart w:id="663" w:name="_Toc147757340"/>
      <w:bookmarkStart w:id="664" w:name="_Toc148086964"/>
      <w:r w:rsidRPr="00EB18B1">
        <w:rPr>
          <w:color w:val="8D361E"/>
        </w:rPr>
        <w:t>Progress towards a human rights culture</w:t>
      </w:r>
      <w:bookmarkEnd w:id="661"/>
      <w:bookmarkEnd w:id="662"/>
      <w:bookmarkEnd w:id="663"/>
      <w:bookmarkEnd w:id="664"/>
    </w:p>
    <w:p w14:paraId="5272EFD9" w14:textId="33F4758A" w:rsidR="000D2B3B" w:rsidRPr="00D64C4A" w:rsidRDefault="000D2B3B" w:rsidP="000D2B3B">
      <w:pPr>
        <w:pStyle w:val="Heading2"/>
        <w:rPr>
          <w:color w:val="8D361E"/>
        </w:rPr>
      </w:pPr>
      <w:bookmarkStart w:id="665" w:name="_Toc148086965"/>
      <w:r w:rsidRPr="00D64C4A">
        <w:rPr>
          <w:color w:val="8D361E"/>
        </w:rPr>
        <w:t>State public entity progress</w:t>
      </w:r>
      <w:bookmarkEnd w:id="665"/>
    </w:p>
    <w:p w14:paraId="6E07BF9D" w14:textId="4B3D1613" w:rsidR="000137C1" w:rsidRDefault="00962D85" w:rsidP="00C9101A">
      <w:pPr>
        <w:rPr>
          <w:rFonts w:eastAsia="Calibri" w:cs="Arial"/>
        </w:rPr>
      </w:pPr>
      <w:r>
        <w:rPr>
          <w:rFonts w:eastAsia="Calibri" w:cs="Arial"/>
        </w:rPr>
        <w:t>B</w:t>
      </w:r>
      <w:r w:rsidRPr="00962D85">
        <w:rPr>
          <w:rFonts w:eastAsia="Calibri" w:cs="Arial"/>
        </w:rPr>
        <w:t xml:space="preserve">ased on responses to questions </w:t>
      </w:r>
      <w:r w:rsidR="007D3CB4">
        <w:rPr>
          <w:rFonts w:eastAsia="Calibri" w:cs="Arial"/>
        </w:rPr>
        <w:t>i</w:t>
      </w:r>
      <w:r w:rsidRPr="00962D85">
        <w:rPr>
          <w:rFonts w:eastAsia="Calibri" w:cs="Arial"/>
        </w:rPr>
        <w:t xml:space="preserve">n the Commission’s </w:t>
      </w:r>
      <w:r w:rsidRPr="00962D85">
        <w:rPr>
          <w:rFonts w:eastAsia="Calibri" w:cs="Arial"/>
          <w:i/>
          <w:iCs/>
        </w:rPr>
        <w:t>Indicators of a human rights culture</w:t>
      </w:r>
      <w:r w:rsidR="00C90568">
        <w:rPr>
          <w:rFonts w:eastAsia="Calibri" w:cs="Arial"/>
          <w:i/>
          <w:iCs/>
        </w:rPr>
        <w:t>,</w:t>
      </w:r>
      <w:r w:rsidR="000137C1">
        <w:rPr>
          <w:rFonts w:eastAsia="Calibri" w:cs="Arial"/>
        </w:rPr>
        <w:t xml:space="preserve"> steady progress appears to have been made by state public entities </w:t>
      </w:r>
      <w:r w:rsidR="006538B8">
        <w:rPr>
          <w:rFonts w:eastAsia="Calibri" w:cs="Arial"/>
        </w:rPr>
        <w:t xml:space="preserve">in the fourth year of </w:t>
      </w:r>
      <w:r w:rsidR="007D3CB4">
        <w:rPr>
          <w:rFonts w:eastAsia="Calibri" w:cs="Arial"/>
        </w:rPr>
        <w:t xml:space="preserve">operation of </w:t>
      </w:r>
      <w:r w:rsidR="006538B8">
        <w:rPr>
          <w:rFonts w:eastAsia="Calibri" w:cs="Arial"/>
        </w:rPr>
        <w:t>the Act</w:t>
      </w:r>
      <w:r w:rsidR="000137C1">
        <w:rPr>
          <w:rFonts w:eastAsia="Calibri" w:cs="Arial"/>
        </w:rPr>
        <w:t xml:space="preserve">. </w:t>
      </w:r>
      <w:r w:rsidR="000137C1" w:rsidRPr="000137C1">
        <w:rPr>
          <w:rFonts w:eastAsia="Calibri" w:cs="Arial"/>
        </w:rPr>
        <w:t>State public entities have actively work</w:t>
      </w:r>
      <w:r w:rsidR="002A40AE">
        <w:rPr>
          <w:rFonts w:eastAsia="Calibri" w:cs="Arial"/>
        </w:rPr>
        <w:t>ed</w:t>
      </w:r>
      <w:r w:rsidR="000137C1" w:rsidRPr="000137C1">
        <w:rPr>
          <w:rFonts w:eastAsia="Calibri" w:cs="Arial"/>
        </w:rPr>
        <w:t xml:space="preserve"> on increasing awareness and providing education and training to staff about the Human Rights Act. This includes </w:t>
      </w:r>
      <w:r w:rsidR="00B714D3">
        <w:rPr>
          <w:rFonts w:eastAsia="Calibri" w:cs="Arial"/>
        </w:rPr>
        <w:t>through</w:t>
      </w:r>
      <w:r w:rsidR="00C90568">
        <w:rPr>
          <w:rFonts w:eastAsia="Calibri" w:cs="Arial"/>
        </w:rPr>
        <w:t xml:space="preserve"> </w:t>
      </w:r>
      <w:r w:rsidR="000137C1" w:rsidRPr="000137C1">
        <w:rPr>
          <w:rFonts w:eastAsia="Calibri" w:cs="Arial"/>
        </w:rPr>
        <w:t xml:space="preserve">online training modules, face-to-face training, and a mix of both. Many departments have tailored </w:t>
      </w:r>
      <w:r w:rsidR="00B714D3">
        <w:rPr>
          <w:rFonts w:eastAsia="Calibri" w:cs="Arial"/>
        </w:rPr>
        <w:t xml:space="preserve">their </w:t>
      </w:r>
      <w:r w:rsidR="000137C1" w:rsidRPr="000137C1">
        <w:rPr>
          <w:rFonts w:eastAsia="Calibri" w:cs="Arial"/>
        </w:rPr>
        <w:t xml:space="preserve">training to </w:t>
      </w:r>
      <w:r w:rsidR="001D4F12">
        <w:rPr>
          <w:rFonts w:eastAsia="Calibri" w:cs="Arial"/>
        </w:rPr>
        <w:t xml:space="preserve">suit </w:t>
      </w:r>
      <w:r w:rsidR="000137C1" w:rsidRPr="000137C1">
        <w:rPr>
          <w:rFonts w:eastAsia="Calibri" w:cs="Arial"/>
        </w:rPr>
        <w:t>specific contexts and incorporated human rights principles in their induction training.</w:t>
      </w:r>
    </w:p>
    <w:p w14:paraId="6D7BCD53" w14:textId="462B3F8F" w:rsidR="000137C1" w:rsidRDefault="006538B8" w:rsidP="00C9101A">
      <w:pPr>
        <w:rPr>
          <w:rFonts w:eastAsia="Calibri" w:cs="Arial"/>
        </w:rPr>
      </w:pPr>
      <w:r>
        <w:rPr>
          <w:rFonts w:eastAsia="Calibri" w:cs="Arial"/>
        </w:rPr>
        <w:t>Departments reported that they</w:t>
      </w:r>
      <w:r w:rsidR="000137C1" w:rsidRPr="000137C1">
        <w:rPr>
          <w:rFonts w:eastAsia="Calibri" w:cs="Arial"/>
        </w:rPr>
        <w:t xml:space="preserve"> have engaged in community consultations and initiatives related to human rights</w:t>
      </w:r>
      <w:r>
        <w:rPr>
          <w:rFonts w:eastAsia="Calibri" w:cs="Arial"/>
        </w:rPr>
        <w:t>, with a particular focus this year</w:t>
      </w:r>
      <w:r w:rsidR="000137C1" w:rsidRPr="000137C1">
        <w:rPr>
          <w:rFonts w:eastAsia="Calibri" w:cs="Arial"/>
        </w:rPr>
        <w:t xml:space="preserve"> on First Nations engagement</w:t>
      </w:r>
      <w:r>
        <w:rPr>
          <w:rFonts w:eastAsia="Calibri" w:cs="Arial"/>
        </w:rPr>
        <w:t xml:space="preserve"> to promote</w:t>
      </w:r>
      <w:r w:rsidR="000137C1" w:rsidRPr="000137C1">
        <w:rPr>
          <w:rFonts w:eastAsia="Calibri" w:cs="Arial"/>
        </w:rPr>
        <w:t xml:space="preserve"> cultural rights under the Human Rights Act.</w:t>
      </w:r>
    </w:p>
    <w:p w14:paraId="2D5FF197" w14:textId="348F743D" w:rsidR="000137C1" w:rsidRDefault="000137C1" w:rsidP="00C9101A">
      <w:pPr>
        <w:rPr>
          <w:rFonts w:eastAsia="Calibri" w:cs="Arial"/>
        </w:rPr>
      </w:pPr>
      <w:r w:rsidRPr="000137C1">
        <w:rPr>
          <w:rFonts w:eastAsia="Calibri" w:cs="Arial"/>
        </w:rPr>
        <w:t>Government contracts increasingly include clauses requiring contractors to comply with the Human Rights Act. Procurement processes now embed human rights obligations, and departments have actively raised awareness of the Act among their contractors.</w:t>
      </w:r>
    </w:p>
    <w:p w14:paraId="113E6F99" w14:textId="3358E6E2" w:rsidR="000137C1" w:rsidDel="001D20B8" w:rsidRDefault="000137C1" w:rsidP="00C9101A">
      <w:pPr>
        <w:rPr>
          <w:rFonts w:eastAsia="Calibri" w:cs="Arial"/>
        </w:rPr>
      </w:pPr>
      <w:r>
        <w:rPr>
          <w:rFonts w:eastAsia="Calibri" w:cs="Arial"/>
        </w:rPr>
        <w:t xml:space="preserve">Human rights compatibility assessments seem to be well integrated into policy review and development processes, and because of the requirement to write statement of compatibility and human rights certificate when introducing laws and regulations, this appears to be an established and routine practice for state public entities. However, while human rights compatibility analysis seems to be well integrated into these processes, few examples were provided this year of substantive changes being made to existing policies, or in the development of new policies, based on the Human Rights Act. </w:t>
      </w:r>
    </w:p>
    <w:p w14:paraId="5F89FEFF" w14:textId="4CBB0BFD" w:rsidR="000137C1" w:rsidRDefault="00FE7934" w:rsidP="008F0D63">
      <w:pPr>
        <w:rPr>
          <w:rFonts w:eastAsia="Calibri" w:cs="Arial"/>
        </w:rPr>
      </w:pPr>
      <w:r>
        <w:rPr>
          <w:rFonts w:eastAsia="Calibri" w:cs="Arial"/>
        </w:rPr>
        <w:t>O</w:t>
      </w:r>
      <w:r w:rsidR="008F0D63">
        <w:rPr>
          <w:rFonts w:eastAsia="Calibri" w:cs="Arial"/>
        </w:rPr>
        <w:t>f</w:t>
      </w:r>
      <w:r w:rsidR="001A72A8">
        <w:rPr>
          <w:rFonts w:eastAsia="Calibri" w:cs="Arial"/>
        </w:rPr>
        <w:t xml:space="preserve"> the </w:t>
      </w:r>
      <w:r w:rsidR="00CC15F3">
        <w:rPr>
          <w:rFonts w:eastAsia="Calibri" w:cs="Arial"/>
        </w:rPr>
        <w:t>80,000 public sector employees</w:t>
      </w:r>
      <w:r w:rsidR="008F0D63">
        <w:rPr>
          <w:rFonts w:eastAsia="Calibri" w:cs="Arial"/>
        </w:rPr>
        <w:t xml:space="preserve"> who completed the </w:t>
      </w:r>
      <w:r w:rsidR="00B3562A">
        <w:rPr>
          <w:rFonts w:eastAsia="Calibri" w:cs="Arial"/>
        </w:rPr>
        <w:t>2021</w:t>
      </w:r>
      <w:r>
        <w:rPr>
          <w:rFonts w:eastAsia="Calibri" w:cs="Arial"/>
        </w:rPr>
        <w:t xml:space="preserve"> </w:t>
      </w:r>
      <w:r w:rsidR="008F0D63">
        <w:rPr>
          <w:rFonts w:eastAsia="Calibri" w:cs="Arial"/>
        </w:rPr>
        <w:t>Working for Queensland survey, over 78%</w:t>
      </w:r>
      <w:r w:rsidR="00CC15F3">
        <w:rPr>
          <w:rFonts w:eastAsia="Calibri" w:cs="Arial"/>
        </w:rPr>
        <w:t xml:space="preserve"> </w:t>
      </w:r>
      <w:r w:rsidR="008F0D63">
        <w:rPr>
          <w:rFonts w:eastAsia="Calibri" w:cs="Arial"/>
        </w:rPr>
        <w:t xml:space="preserve">reported that they understood how the Human Rights Act applies to their work. </w:t>
      </w:r>
      <w:r w:rsidR="00A877A1">
        <w:rPr>
          <w:rFonts w:eastAsia="Calibri" w:cs="Arial"/>
        </w:rPr>
        <w:t>This year the figure was similar at 77%. The Commission will continue to monitor whether this figure remains stable, increases</w:t>
      </w:r>
      <w:r w:rsidR="00BC570A">
        <w:rPr>
          <w:rFonts w:eastAsia="Calibri" w:cs="Arial"/>
        </w:rPr>
        <w:t>,</w:t>
      </w:r>
      <w:r w:rsidR="00A877A1">
        <w:rPr>
          <w:rFonts w:eastAsia="Calibri" w:cs="Arial"/>
        </w:rPr>
        <w:t xml:space="preserve"> or decreases over the coming years.</w:t>
      </w:r>
    </w:p>
    <w:p w14:paraId="14995BCD" w14:textId="2096FA89" w:rsidR="000137C1" w:rsidRDefault="00777003" w:rsidP="008F0D63">
      <w:pPr>
        <w:rPr>
          <w:rFonts w:eastAsia="Calibri" w:cs="Arial"/>
        </w:rPr>
      </w:pPr>
      <w:r>
        <w:rPr>
          <w:rFonts w:eastAsia="Calibri" w:cs="Arial"/>
        </w:rPr>
        <w:t>In previous years</w:t>
      </w:r>
      <w:r w:rsidR="00B04144">
        <w:rPr>
          <w:rFonts w:eastAsia="Calibri" w:cs="Arial"/>
        </w:rPr>
        <w:t>,</w:t>
      </w:r>
      <w:r>
        <w:rPr>
          <w:rFonts w:eastAsia="Calibri" w:cs="Arial"/>
        </w:rPr>
        <w:t xml:space="preserve"> we </w:t>
      </w:r>
      <w:r w:rsidR="00B04144">
        <w:rPr>
          <w:rFonts w:eastAsia="Calibri" w:cs="Arial"/>
        </w:rPr>
        <w:t xml:space="preserve">have </w:t>
      </w:r>
      <w:r>
        <w:rPr>
          <w:rFonts w:eastAsia="Calibri" w:cs="Arial"/>
        </w:rPr>
        <w:t xml:space="preserve">observed </w:t>
      </w:r>
      <w:r w:rsidR="008570F0">
        <w:rPr>
          <w:rFonts w:eastAsia="Calibri" w:cs="Arial"/>
        </w:rPr>
        <w:t>that public entities encounter</w:t>
      </w:r>
      <w:r>
        <w:rPr>
          <w:rFonts w:eastAsia="Calibri" w:cs="Arial"/>
        </w:rPr>
        <w:t xml:space="preserve"> </w:t>
      </w:r>
      <w:r w:rsidR="008D0DA4">
        <w:rPr>
          <w:rFonts w:eastAsia="Calibri" w:cs="Arial"/>
        </w:rPr>
        <w:t xml:space="preserve">challenges in </w:t>
      </w:r>
      <w:r w:rsidR="00F93AD3">
        <w:rPr>
          <w:rFonts w:eastAsia="Calibri" w:cs="Arial"/>
        </w:rPr>
        <w:t>identifying human rights complaints, particularly where the complainant does not raise the Human Rights Act themsel</w:t>
      </w:r>
      <w:r w:rsidR="003F786D">
        <w:rPr>
          <w:rFonts w:eastAsia="Calibri" w:cs="Arial"/>
        </w:rPr>
        <w:t>f</w:t>
      </w:r>
      <w:r w:rsidR="00F93AD3">
        <w:rPr>
          <w:rFonts w:eastAsia="Calibri" w:cs="Arial"/>
        </w:rPr>
        <w:t xml:space="preserve">. </w:t>
      </w:r>
      <w:r w:rsidR="00F93AD3" w:rsidRPr="00F93AD3">
        <w:rPr>
          <w:rFonts w:eastAsia="Calibri" w:cs="Arial"/>
        </w:rPr>
        <w:t>These challenges seem to arise from a lack of staff capacity to recognise human rights issues as well as from complaints systems and recording issues, such as uncertainty about what constitutes a ‘complaint’ or where there is no consistency between different divisions of an organisation in complaint handling.</w:t>
      </w:r>
      <w:r w:rsidR="00F93AD3">
        <w:rPr>
          <w:rFonts w:eastAsia="Calibri" w:cs="Arial"/>
        </w:rPr>
        <w:t xml:space="preserve"> </w:t>
      </w:r>
    </w:p>
    <w:p w14:paraId="51802182" w14:textId="5B160BAC" w:rsidR="00777003" w:rsidRDefault="00187C65" w:rsidP="008F0D63">
      <w:pPr>
        <w:rPr>
          <w:rFonts w:eastAsia="Calibri" w:cs="Arial"/>
        </w:rPr>
      </w:pPr>
      <w:r>
        <w:rPr>
          <w:rFonts w:eastAsia="Calibri" w:cs="Arial"/>
        </w:rPr>
        <w:t>As acknowledged by some of the departments</w:t>
      </w:r>
      <w:r w:rsidR="00F324B0">
        <w:rPr>
          <w:rFonts w:eastAsia="Calibri" w:cs="Arial"/>
        </w:rPr>
        <w:t xml:space="preserve"> we surveyed</w:t>
      </w:r>
      <w:r>
        <w:rPr>
          <w:rFonts w:eastAsia="Calibri" w:cs="Arial"/>
        </w:rPr>
        <w:t xml:space="preserve">, challenges involving </w:t>
      </w:r>
      <w:r w:rsidR="00397D9F">
        <w:rPr>
          <w:rFonts w:eastAsia="Calibri" w:cs="Arial"/>
        </w:rPr>
        <w:t>effective</w:t>
      </w:r>
      <w:r w:rsidR="00A74344">
        <w:rPr>
          <w:rFonts w:eastAsia="Calibri" w:cs="Arial"/>
        </w:rPr>
        <w:t xml:space="preserve"> complaint identification and recording </w:t>
      </w:r>
      <w:r w:rsidR="00397D9F">
        <w:rPr>
          <w:rFonts w:eastAsia="Calibri" w:cs="Arial"/>
        </w:rPr>
        <w:t>remain</w:t>
      </w:r>
      <w:r w:rsidR="00A74344">
        <w:rPr>
          <w:rFonts w:eastAsia="Calibri" w:cs="Arial"/>
        </w:rPr>
        <w:t xml:space="preserve"> a concern.</w:t>
      </w:r>
      <w:r w:rsidR="00F93AD3">
        <w:rPr>
          <w:rFonts w:eastAsia="Calibri" w:cs="Arial"/>
        </w:rPr>
        <w:t xml:space="preserve"> </w:t>
      </w:r>
      <w:r w:rsidR="00A74344">
        <w:rPr>
          <w:rFonts w:eastAsia="Calibri" w:cs="Arial"/>
        </w:rPr>
        <w:t>This is r</w:t>
      </w:r>
      <w:r w:rsidR="00F93AD3">
        <w:rPr>
          <w:rFonts w:eastAsia="Calibri" w:cs="Arial"/>
        </w:rPr>
        <w:t xml:space="preserve">eflected in the </w:t>
      </w:r>
      <w:r>
        <w:rPr>
          <w:rFonts w:eastAsia="Calibri" w:cs="Arial"/>
        </w:rPr>
        <w:t>relatively</w:t>
      </w:r>
      <w:r w:rsidR="00F93AD3">
        <w:rPr>
          <w:rFonts w:eastAsia="Calibri" w:cs="Arial"/>
        </w:rPr>
        <w:t xml:space="preserve"> low numbers of complaints being identified and reported in annual reports for some agencies. See also </w:t>
      </w:r>
      <w:r w:rsidR="000137C1" w:rsidRPr="000137C1">
        <w:rPr>
          <w:rFonts w:eastAsia="Calibri" w:cs="Arial"/>
          <w:i/>
          <w:iCs/>
        </w:rPr>
        <w:t>Human rights complaints -</w:t>
      </w:r>
      <w:r w:rsidR="000137C1">
        <w:rPr>
          <w:rFonts w:eastAsia="Calibri" w:cs="Arial"/>
        </w:rPr>
        <w:t xml:space="preserve"> </w:t>
      </w:r>
      <w:r w:rsidR="00245D5B" w:rsidRPr="00245D5B">
        <w:rPr>
          <w:rFonts w:eastAsia="Calibri" w:cs="Arial"/>
          <w:i/>
          <w:iCs/>
        </w:rPr>
        <w:t>Complaints made directly to public entities</w:t>
      </w:r>
      <w:r w:rsidR="00245D5B">
        <w:rPr>
          <w:rFonts w:eastAsia="Calibri" w:cs="Arial"/>
        </w:rPr>
        <w:t xml:space="preserve"> </w:t>
      </w:r>
      <w:r w:rsidR="000137C1">
        <w:rPr>
          <w:rFonts w:eastAsia="Calibri" w:cs="Arial"/>
        </w:rPr>
        <w:t>section</w:t>
      </w:r>
      <w:r w:rsidR="00245D5B">
        <w:rPr>
          <w:rFonts w:eastAsia="Calibri" w:cs="Arial"/>
        </w:rPr>
        <w:t xml:space="preserve">. </w:t>
      </w:r>
    </w:p>
    <w:p w14:paraId="43760BD4" w14:textId="00D7CD63" w:rsidR="00187C65" w:rsidRDefault="00187C65" w:rsidP="008F0D63">
      <w:pPr>
        <w:rPr>
          <w:rFonts w:eastAsia="Calibri" w:cs="Arial"/>
        </w:rPr>
      </w:pPr>
      <w:r>
        <w:rPr>
          <w:rFonts w:eastAsia="Calibri" w:cs="Arial"/>
        </w:rPr>
        <w:t>Nonetheless, state public entities</w:t>
      </w:r>
      <w:r w:rsidRPr="000137C1">
        <w:rPr>
          <w:rFonts w:eastAsia="Calibri" w:cs="Arial"/>
        </w:rPr>
        <w:t xml:space="preserve"> have </w:t>
      </w:r>
      <w:r w:rsidR="004077B7">
        <w:rPr>
          <w:rFonts w:eastAsia="Calibri" w:cs="Arial"/>
        </w:rPr>
        <w:t>consistently</w:t>
      </w:r>
      <w:r>
        <w:rPr>
          <w:rFonts w:eastAsia="Calibri" w:cs="Arial"/>
        </w:rPr>
        <w:t xml:space="preserve"> </w:t>
      </w:r>
      <w:r w:rsidRPr="000137C1">
        <w:rPr>
          <w:rFonts w:eastAsia="Calibri" w:cs="Arial"/>
        </w:rPr>
        <w:t>work</w:t>
      </w:r>
      <w:r w:rsidR="004077B7">
        <w:rPr>
          <w:rFonts w:eastAsia="Calibri" w:cs="Arial"/>
        </w:rPr>
        <w:t>ed</w:t>
      </w:r>
      <w:r w:rsidRPr="000137C1">
        <w:rPr>
          <w:rFonts w:eastAsia="Calibri" w:cs="Arial"/>
        </w:rPr>
        <w:t xml:space="preserve"> on integrating human rights complaints into existing complaints processes</w:t>
      </w:r>
      <w:r w:rsidR="00B071E3">
        <w:rPr>
          <w:rFonts w:eastAsia="Calibri" w:cs="Arial"/>
        </w:rPr>
        <w:t xml:space="preserve"> and work</w:t>
      </w:r>
      <w:r w:rsidR="004077B7">
        <w:rPr>
          <w:rFonts w:eastAsia="Calibri" w:cs="Arial"/>
        </w:rPr>
        <w:t>ed</w:t>
      </w:r>
      <w:r w:rsidR="00B071E3">
        <w:rPr>
          <w:rFonts w:eastAsia="Calibri" w:cs="Arial"/>
        </w:rPr>
        <w:t xml:space="preserve"> with staff to</w:t>
      </w:r>
      <w:r w:rsidR="001A305E">
        <w:rPr>
          <w:rFonts w:eastAsia="Calibri" w:cs="Arial"/>
        </w:rPr>
        <w:t xml:space="preserve"> raise awareness and improve processes</w:t>
      </w:r>
      <w:r w:rsidRPr="000137C1">
        <w:rPr>
          <w:rFonts w:eastAsia="Calibri" w:cs="Arial"/>
        </w:rPr>
        <w:t>. These efforts have</w:t>
      </w:r>
      <w:r>
        <w:rPr>
          <w:rFonts w:eastAsia="Calibri" w:cs="Arial"/>
        </w:rPr>
        <w:t xml:space="preserve"> at times</w:t>
      </w:r>
      <w:r w:rsidRPr="000137C1">
        <w:rPr>
          <w:rFonts w:eastAsia="Calibri" w:cs="Arial"/>
        </w:rPr>
        <w:t xml:space="preserve"> led to </w:t>
      </w:r>
      <w:r w:rsidR="00FF5EF6">
        <w:rPr>
          <w:rFonts w:eastAsia="Calibri" w:cs="Arial"/>
        </w:rPr>
        <w:t xml:space="preserve">positive </w:t>
      </w:r>
      <w:r w:rsidRPr="000137C1">
        <w:rPr>
          <w:rFonts w:eastAsia="Calibri" w:cs="Arial"/>
        </w:rPr>
        <w:t xml:space="preserve">changes in policies, procedures, practices, and </w:t>
      </w:r>
      <w:r>
        <w:rPr>
          <w:rFonts w:eastAsia="Calibri" w:cs="Arial"/>
        </w:rPr>
        <w:t xml:space="preserve">improved </w:t>
      </w:r>
      <w:r w:rsidRPr="000137C1">
        <w:rPr>
          <w:rFonts w:eastAsia="Calibri" w:cs="Arial"/>
        </w:rPr>
        <w:t>service delivery in response to internal complaints.</w:t>
      </w:r>
    </w:p>
    <w:p w14:paraId="26E9C70B" w14:textId="4FDE9781" w:rsidR="000D2B3B" w:rsidRPr="00D64C4A" w:rsidRDefault="000D2B3B" w:rsidP="000D2B3B">
      <w:pPr>
        <w:pStyle w:val="Heading2"/>
        <w:rPr>
          <w:color w:val="8D361E"/>
        </w:rPr>
      </w:pPr>
      <w:bookmarkStart w:id="666" w:name="_Toc148086966"/>
      <w:r w:rsidRPr="00D64C4A">
        <w:rPr>
          <w:color w:val="8D361E"/>
        </w:rPr>
        <w:t>Progress in councils</w:t>
      </w:r>
      <w:bookmarkEnd w:id="666"/>
    </w:p>
    <w:p w14:paraId="218A4C6A" w14:textId="13AAEE22" w:rsidR="00E425B8" w:rsidRDefault="00A74344" w:rsidP="008F0D63">
      <w:pPr>
        <w:rPr>
          <w:rFonts w:eastAsia="Calibri" w:cs="Arial"/>
        </w:rPr>
      </w:pPr>
      <w:r>
        <w:rPr>
          <w:rFonts w:eastAsia="Calibri" w:cs="Arial"/>
        </w:rPr>
        <w:t xml:space="preserve">As previously reported, implementation of the Act </w:t>
      </w:r>
      <w:r w:rsidR="00CA3FCE">
        <w:rPr>
          <w:rFonts w:eastAsia="Calibri" w:cs="Arial"/>
        </w:rPr>
        <w:t>across Queensland’s</w:t>
      </w:r>
      <w:r>
        <w:rPr>
          <w:rFonts w:eastAsia="Calibri" w:cs="Arial"/>
        </w:rPr>
        <w:t xml:space="preserve"> councils lack</w:t>
      </w:r>
      <w:r w:rsidR="00EF3E32">
        <w:rPr>
          <w:rFonts w:eastAsia="Calibri" w:cs="Arial"/>
        </w:rPr>
        <w:t>s</w:t>
      </w:r>
      <w:r>
        <w:rPr>
          <w:rFonts w:eastAsia="Calibri" w:cs="Arial"/>
        </w:rPr>
        <w:t xml:space="preserve"> a coordinated and consistent approach, in part due to a lack of funding and resourcing from the outset. </w:t>
      </w:r>
      <w:r w:rsidR="00E425B8">
        <w:rPr>
          <w:rFonts w:eastAsia="Calibri" w:cs="Arial"/>
        </w:rPr>
        <w:t xml:space="preserve">The Commission has observed that this has created a delay in the effective implementation of the Human Rights Act compared with the progress </w:t>
      </w:r>
      <w:r w:rsidR="00EF3E32">
        <w:rPr>
          <w:rFonts w:eastAsia="Calibri" w:cs="Arial"/>
        </w:rPr>
        <w:t>in</w:t>
      </w:r>
      <w:r w:rsidR="00E425B8">
        <w:rPr>
          <w:rFonts w:eastAsia="Calibri" w:cs="Arial"/>
        </w:rPr>
        <w:t xml:space="preserve"> state public entities.</w:t>
      </w:r>
    </w:p>
    <w:p w14:paraId="3B7167E3" w14:textId="2496B301" w:rsidR="00A74344" w:rsidRDefault="00E425B8" w:rsidP="008F0D63">
      <w:pPr>
        <w:rPr>
          <w:rFonts w:eastAsia="Calibri" w:cs="Arial"/>
        </w:rPr>
      </w:pPr>
      <w:r>
        <w:rPr>
          <w:rFonts w:eastAsia="Calibri" w:cs="Arial"/>
        </w:rPr>
        <w:t>Nonetheless</w:t>
      </w:r>
      <w:r w:rsidR="00A74344">
        <w:rPr>
          <w:rFonts w:eastAsia="Calibri" w:cs="Arial"/>
        </w:rPr>
        <w:t xml:space="preserve">, there are promising signs of progress in the reporting period. Most of the councils </w:t>
      </w:r>
      <w:r w:rsidR="002A3220">
        <w:rPr>
          <w:rFonts w:eastAsia="Calibri" w:cs="Arial"/>
        </w:rPr>
        <w:t xml:space="preserve">we </w:t>
      </w:r>
      <w:r w:rsidR="00A74344">
        <w:rPr>
          <w:rFonts w:eastAsia="Calibri" w:cs="Arial"/>
        </w:rPr>
        <w:t xml:space="preserve">surveyed were building staff awareness through online training and awareness campaigns, and the only council that had not commenced training indicated a willingness to do this in the near future. </w:t>
      </w:r>
      <w:r w:rsidR="00A74344" w:rsidRPr="00A74344">
        <w:rPr>
          <w:rFonts w:eastAsia="Calibri" w:cs="Arial"/>
        </w:rPr>
        <w:t xml:space="preserve">Most </w:t>
      </w:r>
      <w:r w:rsidR="00A74344">
        <w:rPr>
          <w:rFonts w:eastAsia="Calibri" w:cs="Arial"/>
        </w:rPr>
        <w:t>councils</w:t>
      </w:r>
      <w:r w:rsidR="00A74344" w:rsidRPr="00A74344">
        <w:rPr>
          <w:rFonts w:eastAsia="Calibri" w:cs="Arial"/>
        </w:rPr>
        <w:t xml:space="preserve"> incorporate human rights in induction training, with a preference for online delivery.</w:t>
      </w:r>
      <w:r w:rsidR="00A74344" w:rsidRPr="00A74344">
        <w:t xml:space="preserve"> </w:t>
      </w:r>
      <w:r w:rsidR="00A74344" w:rsidRPr="00A74344">
        <w:rPr>
          <w:rFonts w:eastAsia="Calibri" w:cs="Arial"/>
        </w:rPr>
        <w:t xml:space="preserve">While exact figures </w:t>
      </w:r>
      <w:r w:rsidR="002A3220">
        <w:rPr>
          <w:rFonts w:eastAsia="Calibri" w:cs="Arial"/>
        </w:rPr>
        <w:t>o</w:t>
      </w:r>
      <w:r w:rsidR="008732EB">
        <w:rPr>
          <w:rFonts w:eastAsia="Calibri" w:cs="Arial"/>
        </w:rPr>
        <w:t>n</w:t>
      </w:r>
      <w:r w:rsidR="00A74344" w:rsidRPr="00A74344">
        <w:rPr>
          <w:rFonts w:eastAsia="Calibri" w:cs="Arial"/>
        </w:rPr>
        <w:t xml:space="preserve"> staff training percentages </w:t>
      </w:r>
      <w:r w:rsidR="00A74344">
        <w:rPr>
          <w:rFonts w:eastAsia="Calibri" w:cs="Arial"/>
        </w:rPr>
        <w:t>were not</w:t>
      </w:r>
      <w:r w:rsidR="00A74344" w:rsidRPr="00A74344">
        <w:rPr>
          <w:rFonts w:eastAsia="Calibri" w:cs="Arial"/>
        </w:rPr>
        <w:t xml:space="preserve"> clear, </w:t>
      </w:r>
      <w:r w:rsidR="00A1524B">
        <w:rPr>
          <w:rFonts w:eastAsia="Calibri" w:cs="Arial"/>
        </w:rPr>
        <w:t>the</w:t>
      </w:r>
      <w:r w:rsidR="00A74344" w:rsidRPr="00A74344">
        <w:rPr>
          <w:rFonts w:eastAsia="Calibri" w:cs="Arial"/>
        </w:rPr>
        <w:t xml:space="preserve"> </w:t>
      </w:r>
      <w:r w:rsidR="00A74344">
        <w:rPr>
          <w:rFonts w:eastAsia="Calibri" w:cs="Arial"/>
        </w:rPr>
        <w:t xml:space="preserve">larger and better resourced councils </w:t>
      </w:r>
      <w:r w:rsidR="003702FC">
        <w:rPr>
          <w:rFonts w:eastAsia="Calibri" w:cs="Arial"/>
        </w:rPr>
        <w:t xml:space="preserve">at least </w:t>
      </w:r>
      <w:r w:rsidR="00A74344">
        <w:rPr>
          <w:rFonts w:eastAsia="Calibri" w:cs="Arial"/>
        </w:rPr>
        <w:t>are</w:t>
      </w:r>
      <w:r w:rsidR="00A74344" w:rsidRPr="00A74344">
        <w:rPr>
          <w:rFonts w:eastAsia="Calibri" w:cs="Arial"/>
        </w:rPr>
        <w:t xml:space="preserve"> offering regular training sessions</w:t>
      </w:r>
      <w:r w:rsidR="00A1524B">
        <w:rPr>
          <w:rFonts w:eastAsia="Calibri" w:cs="Arial"/>
        </w:rPr>
        <w:t xml:space="preserve"> to staff</w:t>
      </w:r>
      <w:r w:rsidR="00A74344">
        <w:rPr>
          <w:rFonts w:eastAsia="Calibri" w:cs="Arial"/>
        </w:rPr>
        <w:t>.</w:t>
      </w:r>
    </w:p>
    <w:p w14:paraId="50CB4018" w14:textId="0A335CB3" w:rsidR="00A74344" w:rsidRDefault="00A74344" w:rsidP="008F0D63">
      <w:pPr>
        <w:rPr>
          <w:rFonts w:eastAsia="Calibri" w:cs="Arial"/>
        </w:rPr>
      </w:pPr>
      <w:r>
        <w:rPr>
          <w:rFonts w:eastAsia="Calibri" w:cs="Arial"/>
        </w:rPr>
        <w:t xml:space="preserve">Most councils maintain </w:t>
      </w:r>
      <w:r w:rsidR="008F7975">
        <w:rPr>
          <w:rFonts w:eastAsia="Calibri" w:cs="Arial"/>
        </w:rPr>
        <w:t>a</w:t>
      </w:r>
      <w:r>
        <w:rPr>
          <w:rFonts w:eastAsia="Calibri" w:cs="Arial"/>
        </w:rPr>
        <w:t xml:space="preserve"> dedicated website or platform </w:t>
      </w:r>
      <w:r w:rsidR="00FD3115">
        <w:rPr>
          <w:rFonts w:eastAsia="Calibri" w:cs="Arial"/>
        </w:rPr>
        <w:t xml:space="preserve">through </w:t>
      </w:r>
      <w:r w:rsidR="00EE78C9">
        <w:rPr>
          <w:rFonts w:eastAsia="Calibri" w:cs="Arial"/>
        </w:rPr>
        <w:t>which</w:t>
      </w:r>
      <w:r>
        <w:rPr>
          <w:rFonts w:eastAsia="Calibri" w:cs="Arial"/>
        </w:rPr>
        <w:t xml:space="preserve"> information about human rights</w:t>
      </w:r>
      <w:r w:rsidR="00FD3115">
        <w:rPr>
          <w:rFonts w:eastAsia="Calibri" w:cs="Arial"/>
        </w:rPr>
        <w:t xml:space="preserve"> is disseminated</w:t>
      </w:r>
      <w:r>
        <w:rPr>
          <w:rFonts w:eastAsia="Calibri" w:cs="Arial"/>
        </w:rPr>
        <w:t xml:space="preserve"> to the public, i</w:t>
      </w:r>
      <w:r w:rsidRPr="00A74344">
        <w:rPr>
          <w:rFonts w:eastAsia="Calibri" w:cs="Arial"/>
        </w:rPr>
        <w:t xml:space="preserve">ncluding instructions on how to make </w:t>
      </w:r>
      <w:r w:rsidR="00913F17">
        <w:rPr>
          <w:rFonts w:eastAsia="Calibri" w:cs="Arial"/>
        </w:rPr>
        <w:t xml:space="preserve">a </w:t>
      </w:r>
      <w:r w:rsidRPr="00A74344">
        <w:rPr>
          <w:rFonts w:eastAsia="Calibri" w:cs="Arial"/>
        </w:rPr>
        <w:t>complaint and the purpose of human rights legislation.</w:t>
      </w:r>
      <w:r>
        <w:rPr>
          <w:rFonts w:eastAsia="Calibri" w:cs="Arial"/>
        </w:rPr>
        <w:t xml:space="preserve"> Increased engagement with contractors was also evident, with some councils taking steps to develop information for their contractors about their human rights obligations to the community.</w:t>
      </w:r>
    </w:p>
    <w:p w14:paraId="060B91E8" w14:textId="2C10CB46" w:rsidR="00A74344" w:rsidRDefault="00A74344" w:rsidP="004110CD">
      <w:r>
        <w:t xml:space="preserve">For the first three years of the </w:t>
      </w:r>
      <w:r w:rsidR="00951753">
        <w:t>Act’s operation,</w:t>
      </w:r>
      <w:r w:rsidR="005E47AD">
        <w:t xml:space="preserve"> </w:t>
      </w:r>
      <w:r w:rsidR="00CA53D2">
        <w:t xml:space="preserve">the </w:t>
      </w:r>
      <w:r>
        <w:t xml:space="preserve">development </w:t>
      </w:r>
      <w:r w:rsidR="00CA53D2">
        <w:t xml:space="preserve">of local </w:t>
      </w:r>
      <w:r w:rsidR="00D84146">
        <w:t xml:space="preserve">laws seemed untouched by </w:t>
      </w:r>
      <w:r w:rsidR="00131BD8">
        <w:t xml:space="preserve">the </w:t>
      </w:r>
      <w:r w:rsidR="00D84146">
        <w:t>commencement of the Human Rights Act</w:t>
      </w:r>
      <w:r>
        <w:t xml:space="preserve">, but this shifted in 2022-23. One council provided an example </w:t>
      </w:r>
      <w:r w:rsidR="00131BD8">
        <w:t xml:space="preserve">of </w:t>
      </w:r>
      <w:r>
        <w:t xml:space="preserve">where their </w:t>
      </w:r>
      <w:r w:rsidR="000D2B3B">
        <w:t>human rights assessments</w:t>
      </w:r>
      <w:r>
        <w:t>, now a standard part of the law-making process, had</w:t>
      </w:r>
      <w:r w:rsidR="000D2B3B">
        <w:t xml:space="preserve"> </w:t>
      </w:r>
      <w:r w:rsidR="00553E46">
        <w:t xml:space="preserve">systematically </w:t>
      </w:r>
      <w:r w:rsidR="00B47931">
        <w:t xml:space="preserve">considered </w:t>
      </w:r>
      <w:r w:rsidR="004221D4">
        <w:t xml:space="preserve">human </w:t>
      </w:r>
      <w:r w:rsidR="000D2B3B">
        <w:t xml:space="preserve">rights </w:t>
      </w:r>
      <w:r w:rsidR="00B47931">
        <w:t>in</w:t>
      </w:r>
      <w:r w:rsidR="000D2B3B">
        <w:t xml:space="preserve"> </w:t>
      </w:r>
      <w:r w:rsidR="004221D4">
        <w:t>decision-making</w:t>
      </w:r>
      <w:r w:rsidR="000D2B3B">
        <w:t xml:space="preserve"> and</w:t>
      </w:r>
      <w:r>
        <w:t xml:space="preserve"> achieved a balanced outcome</w:t>
      </w:r>
      <w:r w:rsidR="00803F75">
        <w:t>. Some councils</w:t>
      </w:r>
      <w:r>
        <w:t xml:space="preserve"> </w:t>
      </w:r>
      <w:r w:rsidR="00DB5141">
        <w:t xml:space="preserve">also </w:t>
      </w:r>
      <w:r>
        <w:t xml:space="preserve">provided specific examples </w:t>
      </w:r>
      <w:r w:rsidR="005237E7">
        <w:t>of how</w:t>
      </w:r>
      <w:r>
        <w:t xml:space="preserve"> the Human Rights Act was directly influencing the review and development o</w:t>
      </w:r>
      <w:r w:rsidR="00803F75">
        <w:t xml:space="preserve">f council </w:t>
      </w:r>
      <w:r>
        <w:t>policies.</w:t>
      </w:r>
    </w:p>
    <w:p w14:paraId="7D8AF981" w14:textId="1E088706" w:rsidR="00A74344" w:rsidRDefault="005438DB" w:rsidP="008F0D63">
      <w:pPr>
        <w:rPr>
          <w:rFonts w:eastAsia="Calibri" w:cs="Arial"/>
        </w:rPr>
      </w:pPr>
      <w:r>
        <w:rPr>
          <w:rFonts w:eastAsia="Calibri" w:cs="Arial"/>
        </w:rPr>
        <w:t>L</w:t>
      </w:r>
      <w:r w:rsidR="00A74344" w:rsidRPr="00A74344">
        <w:rPr>
          <w:rFonts w:eastAsia="Calibri" w:cs="Arial"/>
        </w:rPr>
        <w:t>ast year</w:t>
      </w:r>
      <w:r>
        <w:rPr>
          <w:rFonts w:eastAsia="Calibri" w:cs="Arial"/>
        </w:rPr>
        <w:t>,</w:t>
      </w:r>
      <w:r w:rsidR="00A74344" w:rsidRPr="00A74344">
        <w:rPr>
          <w:rFonts w:eastAsia="Calibri" w:cs="Arial"/>
        </w:rPr>
        <w:t xml:space="preserve"> </w:t>
      </w:r>
      <w:r w:rsidR="00C25DD4">
        <w:rPr>
          <w:rFonts w:eastAsia="Calibri" w:cs="Arial"/>
        </w:rPr>
        <w:t>few</w:t>
      </w:r>
      <w:r w:rsidR="00573FD4">
        <w:rPr>
          <w:rFonts w:eastAsia="Calibri" w:cs="Arial"/>
        </w:rPr>
        <w:t xml:space="preserve"> </w:t>
      </w:r>
      <w:r w:rsidR="00A74344" w:rsidRPr="00A74344">
        <w:rPr>
          <w:rFonts w:eastAsia="Calibri" w:cs="Arial"/>
        </w:rPr>
        <w:t xml:space="preserve">complaints </w:t>
      </w:r>
      <w:r>
        <w:rPr>
          <w:rFonts w:eastAsia="Calibri" w:cs="Arial"/>
        </w:rPr>
        <w:t>were</w:t>
      </w:r>
      <w:r w:rsidR="00A74344" w:rsidRPr="00A74344">
        <w:rPr>
          <w:rFonts w:eastAsia="Calibri" w:cs="Arial"/>
        </w:rPr>
        <w:t xml:space="preserve"> </w:t>
      </w:r>
      <w:r w:rsidR="00DB5141">
        <w:rPr>
          <w:rFonts w:eastAsia="Calibri" w:cs="Arial"/>
        </w:rPr>
        <w:t>identified by councils</w:t>
      </w:r>
      <w:r w:rsidR="00A74344" w:rsidRPr="00A74344">
        <w:rPr>
          <w:rFonts w:eastAsia="Calibri" w:cs="Arial"/>
        </w:rPr>
        <w:t xml:space="preserve"> </w:t>
      </w:r>
      <w:r>
        <w:rPr>
          <w:rFonts w:eastAsia="Calibri" w:cs="Arial"/>
        </w:rPr>
        <w:t>with</w:t>
      </w:r>
      <w:r w:rsidR="00A74344" w:rsidRPr="00A74344">
        <w:rPr>
          <w:rFonts w:eastAsia="Calibri" w:cs="Arial"/>
        </w:rPr>
        <w:t xml:space="preserve"> limited </w:t>
      </w:r>
      <w:r w:rsidR="000D2B3B">
        <w:rPr>
          <w:rFonts w:eastAsia="Calibri" w:cs="Arial"/>
        </w:rPr>
        <w:t xml:space="preserve">systemic </w:t>
      </w:r>
      <w:r w:rsidR="00A74344" w:rsidRPr="00A74344">
        <w:rPr>
          <w:rFonts w:eastAsia="Calibri" w:cs="Arial"/>
        </w:rPr>
        <w:t>change</w:t>
      </w:r>
      <w:r w:rsidR="000D2B3B">
        <w:rPr>
          <w:rFonts w:eastAsia="Calibri" w:cs="Arial"/>
        </w:rPr>
        <w:t xml:space="preserve"> as a result</w:t>
      </w:r>
      <w:r w:rsidR="00CB6240">
        <w:rPr>
          <w:rFonts w:eastAsia="Calibri" w:cs="Arial"/>
        </w:rPr>
        <w:t>. But</w:t>
      </w:r>
      <w:r w:rsidR="00A74344" w:rsidRPr="00A74344">
        <w:rPr>
          <w:rFonts w:eastAsia="Calibri" w:cs="Arial"/>
        </w:rPr>
        <w:t xml:space="preserve"> this year councils </w:t>
      </w:r>
      <w:r w:rsidR="00DB5141">
        <w:rPr>
          <w:rFonts w:eastAsia="Calibri" w:cs="Arial"/>
        </w:rPr>
        <w:t>report</w:t>
      </w:r>
      <w:r w:rsidR="00A74344" w:rsidRPr="00A74344">
        <w:rPr>
          <w:rFonts w:eastAsia="Calibri" w:cs="Arial"/>
        </w:rPr>
        <w:t xml:space="preserve"> actively incorporating human rights considerations into their management</w:t>
      </w:r>
      <w:r w:rsidR="00CB6240">
        <w:rPr>
          <w:rFonts w:eastAsia="Calibri" w:cs="Arial"/>
        </w:rPr>
        <w:t xml:space="preserve"> o</w:t>
      </w:r>
      <w:r w:rsidR="009E228F">
        <w:rPr>
          <w:rFonts w:eastAsia="Calibri" w:cs="Arial"/>
        </w:rPr>
        <w:t>f</w:t>
      </w:r>
      <w:r w:rsidR="00CB6240">
        <w:rPr>
          <w:rFonts w:eastAsia="Calibri" w:cs="Arial"/>
        </w:rPr>
        <w:t xml:space="preserve"> complaints</w:t>
      </w:r>
      <w:r w:rsidR="00A74344" w:rsidRPr="00A74344">
        <w:rPr>
          <w:rFonts w:eastAsia="Calibri" w:cs="Arial"/>
        </w:rPr>
        <w:t>,</w:t>
      </w:r>
      <w:r w:rsidR="00B2032A">
        <w:rPr>
          <w:rFonts w:eastAsia="Calibri" w:cs="Arial"/>
        </w:rPr>
        <w:t xml:space="preserve"> with the</w:t>
      </w:r>
      <w:r w:rsidR="00A74344" w:rsidRPr="00A74344">
        <w:rPr>
          <w:rFonts w:eastAsia="Calibri" w:cs="Arial"/>
        </w:rPr>
        <w:t xml:space="preserve"> aim </w:t>
      </w:r>
      <w:r w:rsidR="00B2032A">
        <w:rPr>
          <w:rFonts w:eastAsia="Calibri" w:cs="Arial"/>
        </w:rPr>
        <w:t>of</w:t>
      </w:r>
      <w:r w:rsidR="00A74344" w:rsidRPr="00A74344">
        <w:rPr>
          <w:rFonts w:eastAsia="Calibri" w:cs="Arial"/>
        </w:rPr>
        <w:t xml:space="preserve"> identify and address</w:t>
      </w:r>
      <w:r w:rsidR="00B2032A">
        <w:rPr>
          <w:rFonts w:eastAsia="Calibri" w:cs="Arial"/>
        </w:rPr>
        <w:t>ing</w:t>
      </w:r>
      <w:r w:rsidR="00A74344" w:rsidRPr="00A74344">
        <w:rPr>
          <w:rFonts w:eastAsia="Calibri" w:cs="Arial"/>
        </w:rPr>
        <w:t xml:space="preserve"> human rights issues more effectively.</w:t>
      </w:r>
      <w:r w:rsidR="000D2B3B">
        <w:rPr>
          <w:rFonts w:eastAsia="Calibri" w:cs="Arial"/>
        </w:rPr>
        <w:t xml:space="preserve"> This was indicated by examples where internal complaints had led to policy and procedure improvements and </w:t>
      </w:r>
      <w:r w:rsidR="00DB5141">
        <w:rPr>
          <w:rFonts w:eastAsia="Calibri" w:cs="Arial"/>
        </w:rPr>
        <w:t>improved</w:t>
      </w:r>
      <w:r w:rsidR="000D2B3B">
        <w:rPr>
          <w:rFonts w:eastAsia="Calibri" w:cs="Arial"/>
        </w:rPr>
        <w:t xml:space="preserve"> service delivery</w:t>
      </w:r>
      <w:r w:rsidR="00DB5141">
        <w:rPr>
          <w:rFonts w:eastAsia="Calibri" w:cs="Arial"/>
        </w:rPr>
        <w:t xml:space="preserve"> as a result</w:t>
      </w:r>
      <w:r w:rsidR="000D2B3B">
        <w:rPr>
          <w:rFonts w:eastAsia="Calibri" w:cs="Arial"/>
        </w:rPr>
        <w:t>.</w:t>
      </w:r>
    </w:p>
    <w:p w14:paraId="67769C26" w14:textId="77777777" w:rsidR="00D71BC1" w:rsidRPr="00EB18B1" w:rsidRDefault="00D71BC1" w:rsidP="00D71BC1">
      <w:pPr>
        <w:pStyle w:val="Heading1"/>
        <w:rPr>
          <w:color w:val="8D361E"/>
        </w:rPr>
      </w:pPr>
      <w:bookmarkStart w:id="667" w:name="_Toc1813116860"/>
      <w:bookmarkStart w:id="668" w:name="_Toc117697195"/>
      <w:bookmarkStart w:id="669" w:name="_Toc147757341"/>
      <w:bookmarkStart w:id="670" w:name="_Toc148086967"/>
      <w:r w:rsidRPr="00EB18B1">
        <w:rPr>
          <w:color w:val="8D361E"/>
        </w:rPr>
        <w:t>Functional public entities</w:t>
      </w:r>
      <w:bookmarkEnd w:id="667"/>
      <w:bookmarkEnd w:id="668"/>
      <w:bookmarkEnd w:id="669"/>
      <w:bookmarkEnd w:id="670"/>
    </w:p>
    <w:p w14:paraId="589C5A07" w14:textId="0810FDDD" w:rsidR="002531F2" w:rsidRDefault="002531F2" w:rsidP="002531F2">
      <w:pPr>
        <w:rPr>
          <w:shd w:val="clear" w:color="auto" w:fill="FFFFFF"/>
        </w:rPr>
      </w:pPr>
      <w:r>
        <w:rPr>
          <w:shd w:val="clear" w:color="auto" w:fill="FFFFFF"/>
        </w:rPr>
        <w:t xml:space="preserve">Functional public entities are those </w:t>
      </w:r>
      <w:r w:rsidR="00531F58">
        <w:rPr>
          <w:shd w:val="clear" w:color="auto" w:fill="FFFFFF"/>
        </w:rPr>
        <w:t>that fall within the definition of ‘public entity</w:t>
      </w:r>
      <w:r w:rsidR="00F37FA8">
        <w:rPr>
          <w:shd w:val="clear" w:color="auto" w:fill="FFFFFF"/>
        </w:rPr>
        <w:t>’</w:t>
      </w:r>
      <w:r w:rsidR="003F261C">
        <w:rPr>
          <w:shd w:val="clear" w:color="auto" w:fill="FFFFFF"/>
        </w:rPr>
        <w:t xml:space="preserve"> </w:t>
      </w:r>
      <w:r w:rsidR="00557F17">
        <w:rPr>
          <w:shd w:val="clear" w:color="auto" w:fill="FFFFFF"/>
        </w:rPr>
        <w:t xml:space="preserve">only </w:t>
      </w:r>
      <w:r>
        <w:rPr>
          <w:shd w:val="clear" w:color="auto" w:fill="FFFFFF"/>
        </w:rPr>
        <w:t xml:space="preserve">when they are performing certain functions. Including these </w:t>
      </w:r>
      <w:r w:rsidR="00696D45">
        <w:rPr>
          <w:shd w:val="clear" w:color="auto" w:fill="FFFFFF"/>
        </w:rPr>
        <w:t xml:space="preserve">entities </w:t>
      </w:r>
      <w:r>
        <w:rPr>
          <w:shd w:val="clear" w:color="auto" w:fill="FFFFFF"/>
        </w:rPr>
        <w:t xml:space="preserve">under the Act reflects the modern operation of government, where non-government entities are engaged in various </w:t>
      </w:r>
      <w:r w:rsidR="0033264A">
        <w:rPr>
          <w:shd w:val="clear" w:color="auto" w:fill="FFFFFF"/>
        </w:rPr>
        <w:t>capacities</w:t>
      </w:r>
      <w:r>
        <w:rPr>
          <w:shd w:val="clear" w:color="auto" w:fill="FFFFFF"/>
        </w:rPr>
        <w:t xml:space="preserve"> to deliver services to the public on behalf of the government or another public entity. A private company </w:t>
      </w:r>
      <w:r w:rsidR="00DF1C52">
        <w:rPr>
          <w:shd w:val="clear" w:color="auto" w:fill="FFFFFF"/>
        </w:rPr>
        <w:t xml:space="preserve">that </w:t>
      </w:r>
      <w:r>
        <w:rPr>
          <w:shd w:val="clear" w:color="auto" w:fill="FFFFFF"/>
        </w:rPr>
        <w:t>manag</w:t>
      </w:r>
      <w:r w:rsidR="00E72B6D">
        <w:rPr>
          <w:shd w:val="clear" w:color="auto" w:fill="FFFFFF"/>
        </w:rPr>
        <w:t>es</w:t>
      </w:r>
      <w:r>
        <w:rPr>
          <w:shd w:val="clear" w:color="auto" w:fill="FFFFFF"/>
        </w:rPr>
        <w:t xml:space="preserve"> a prison fall</w:t>
      </w:r>
      <w:r w:rsidR="0033264A">
        <w:rPr>
          <w:shd w:val="clear" w:color="auto" w:fill="FFFFFF"/>
        </w:rPr>
        <w:t>s</w:t>
      </w:r>
      <w:r>
        <w:rPr>
          <w:shd w:val="clear" w:color="auto" w:fill="FFFFFF"/>
        </w:rPr>
        <w:t xml:space="preserve"> under this category</w:t>
      </w:r>
      <w:r w:rsidR="007244F5">
        <w:rPr>
          <w:shd w:val="clear" w:color="auto" w:fill="FFFFFF"/>
        </w:rPr>
        <w:t xml:space="preserve"> and</w:t>
      </w:r>
      <w:r>
        <w:rPr>
          <w:shd w:val="clear" w:color="auto" w:fill="FFFFFF"/>
        </w:rPr>
        <w:t xml:space="preserve"> would be a functional public entity when delivering their prison management services, but not for other work they may carry out as a private company not on behalf of the state.</w:t>
      </w:r>
    </w:p>
    <w:p w14:paraId="238B1543" w14:textId="6CE59E32" w:rsidR="008A5941" w:rsidRPr="00405061" w:rsidRDefault="002531F2" w:rsidP="00405061">
      <w:pPr>
        <w:rPr>
          <w:shd w:val="clear" w:color="auto" w:fill="FFFFFF"/>
        </w:rPr>
      </w:pPr>
      <w:r>
        <w:rPr>
          <w:shd w:val="clear" w:color="auto" w:fill="FFFFFF"/>
        </w:rPr>
        <w:t xml:space="preserve">Functional public entities </w:t>
      </w:r>
      <w:r w:rsidR="00A21605">
        <w:rPr>
          <w:shd w:val="clear" w:color="auto" w:fill="FFFFFF"/>
        </w:rPr>
        <w:t>contribute</w:t>
      </w:r>
      <w:r>
        <w:rPr>
          <w:shd w:val="clear" w:color="auto" w:fill="FFFFFF"/>
        </w:rPr>
        <w:t xml:space="preserve"> </w:t>
      </w:r>
      <w:r w:rsidR="003D3BDA">
        <w:rPr>
          <w:shd w:val="clear" w:color="auto" w:fill="FFFFFF"/>
        </w:rPr>
        <w:t>to</w:t>
      </w:r>
      <w:r>
        <w:rPr>
          <w:shd w:val="clear" w:color="auto" w:fill="FFFFFF"/>
        </w:rPr>
        <w:t xml:space="preserve"> building a </w:t>
      </w:r>
      <w:r w:rsidR="00E7768D">
        <w:rPr>
          <w:shd w:val="clear" w:color="auto" w:fill="FFFFFF"/>
        </w:rPr>
        <w:t xml:space="preserve">positive </w:t>
      </w:r>
      <w:r>
        <w:rPr>
          <w:shd w:val="clear" w:color="auto" w:fill="FFFFFF"/>
        </w:rPr>
        <w:t>human rights culture in Queensland, as many have a direct role in the delivery of essential services</w:t>
      </w:r>
      <w:r w:rsidR="00672EF9">
        <w:rPr>
          <w:shd w:val="clear" w:color="auto" w:fill="FFFFFF"/>
        </w:rPr>
        <w:t>,</w:t>
      </w:r>
      <w:r>
        <w:rPr>
          <w:shd w:val="clear" w:color="auto" w:fill="FFFFFF"/>
        </w:rPr>
        <w:t xml:space="preserve"> including disability services, aged care</w:t>
      </w:r>
      <w:r w:rsidR="00E7768D">
        <w:rPr>
          <w:shd w:val="clear" w:color="auto" w:fill="FFFFFF"/>
        </w:rPr>
        <w:t>,</w:t>
      </w:r>
      <w:r>
        <w:rPr>
          <w:shd w:val="clear" w:color="auto" w:fill="FFFFFF"/>
        </w:rPr>
        <w:t xml:space="preserve"> and housing.</w:t>
      </w:r>
    </w:p>
    <w:p w14:paraId="1EB8D4CE" w14:textId="000EAB6F" w:rsidR="00C33657" w:rsidRPr="00E13E25" w:rsidRDefault="00CB73AC" w:rsidP="00E13E25">
      <w:r>
        <w:rPr>
          <w:shd w:val="clear" w:color="auto" w:fill="FFFFFF"/>
        </w:rPr>
        <w:t>As Queensland’s peak body</w:t>
      </w:r>
      <w:r w:rsidR="00F75959">
        <w:rPr>
          <w:shd w:val="clear" w:color="auto" w:fill="FFFFFF"/>
        </w:rPr>
        <w:t xml:space="preserve"> for the social services sector, </w:t>
      </w:r>
      <w:r w:rsidR="006737C6">
        <w:rPr>
          <w:shd w:val="clear" w:color="auto" w:fill="FFFFFF"/>
        </w:rPr>
        <w:t xml:space="preserve">the </w:t>
      </w:r>
      <w:r w:rsidR="00904C0C">
        <w:rPr>
          <w:shd w:val="clear" w:color="auto" w:fill="FFFFFF"/>
        </w:rPr>
        <w:t>Queensland Council of Social Service (QCOSS)</w:t>
      </w:r>
      <w:r w:rsidR="00623D28">
        <w:rPr>
          <w:shd w:val="clear" w:color="auto" w:fill="FFFFFF"/>
        </w:rPr>
        <w:t xml:space="preserve"> </w:t>
      </w:r>
      <w:r w:rsidR="00A86714">
        <w:rPr>
          <w:shd w:val="clear" w:color="auto" w:fill="FFFFFF"/>
        </w:rPr>
        <w:t xml:space="preserve">works with </w:t>
      </w:r>
      <w:r w:rsidR="004213F7">
        <w:rPr>
          <w:shd w:val="clear" w:color="auto" w:fill="FFFFFF"/>
        </w:rPr>
        <w:t xml:space="preserve">functional </w:t>
      </w:r>
      <w:r w:rsidR="00A86714">
        <w:rPr>
          <w:shd w:val="clear" w:color="auto" w:fill="FFFFFF"/>
        </w:rPr>
        <w:t xml:space="preserve">public entities </w:t>
      </w:r>
      <w:r w:rsidR="00BA5093">
        <w:rPr>
          <w:shd w:val="clear" w:color="auto" w:fill="FFFFFF"/>
        </w:rPr>
        <w:t>in the sector</w:t>
      </w:r>
      <w:r w:rsidR="00A86714">
        <w:rPr>
          <w:shd w:val="clear" w:color="auto" w:fill="FFFFFF"/>
        </w:rPr>
        <w:t xml:space="preserve"> to </w:t>
      </w:r>
      <w:r w:rsidR="009A6D4B">
        <w:rPr>
          <w:shd w:val="clear" w:color="auto" w:fill="FFFFFF"/>
        </w:rPr>
        <w:t xml:space="preserve">raise awareness of their obligations under the </w:t>
      </w:r>
      <w:r w:rsidR="004213F7">
        <w:rPr>
          <w:shd w:val="clear" w:color="auto" w:fill="FFFFFF"/>
        </w:rPr>
        <w:t xml:space="preserve">Human Rights </w:t>
      </w:r>
      <w:r w:rsidR="009A6D4B">
        <w:rPr>
          <w:shd w:val="clear" w:color="auto" w:fill="FFFFFF"/>
        </w:rPr>
        <w:t xml:space="preserve">Act. </w:t>
      </w:r>
      <w:r w:rsidR="00FB73E0" w:rsidRPr="00E13E25">
        <w:t>In 2022-23,</w:t>
      </w:r>
      <w:r w:rsidR="00904C0C" w:rsidRPr="00E13E25">
        <w:t xml:space="preserve"> QCOSS</w:t>
      </w:r>
      <w:r w:rsidR="00623D28" w:rsidRPr="00E13E25">
        <w:t xml:space="preserve"> </w:t>
      </w:r>
      <w:r w:rsidR="00FB73E0" w:rsidRPr="00E13E25">
        <w:t>reported that 681 people registered to attend their Human Rights in Action events.</w:t>
      </w:r>
      <w:r w:rsidR="00085B2A" w:rsidRPr="00E13E25">
        <w:t xml:space="preserve"> </w:t>
      </w:r>
      <w:r w:rsidR="00C33657" w:rsidRPr="00E13E25">
        <w:t>These included:</w:t>
      </w:r>
    </w:p>
    <w:p w14:paraId="33C89D6E" w14:textId="16783AC0" w:rsidR="00C33657" w:rsidRPr="00E13E25" w:rsidRDefault="00C33657" w:rsidP="00E13E25">
      <w:pPr>
        <w:pStyle w:val="Listparagraph-bulleted"/>
      </w:pPr>
      <w:r w:rsidRPr="00E13E25">
        <w:t xml:space="preserve">Decriminalisation of </w:t>
      </w:r>
      <w:r w:rsidR="00E026A1">
        <w:t>p</w:t>
      </w:r>
      <w:r w:rsidRPr="00E13E25">
        <w:t xml:space="preserve">ublic </w:t>
      </w:r>
      <w:r w:rsidR="00E026A1">
        <w:t>o</w:t>
      </w:r>
      <w:r w:rsidRPr="00E13E25">
        <w:t>ffences</w:t>
      </w:r>
    </w:p>
    <w:p w14:paraId="324C6073" w14:textId="77777777" w:rsidR="00C33657" w:rsidRPr="00E13E25" w:rsidRDefault="00C33657" w:rsidP="00E13E25">
      <w:pPr>
        <w:pStyle w:val="Listparagraph-bulleted"/>
      </w:pPr>
      <w:r w:rsidRPr="00E13E25">
        <w:t>Discussing delegated authority in the Child Protection Act</w:t>
      </w:r>
    </w:p>
    <w:p w14:paraId="371CED4D" w14:textId="77777777" w:rsidR="00C33657" w:rsidRPr="00E13E25" w:rsidRDefault="00C33657" w:rsidP="00E13E25">
      <w:pPr>
        <w:pStyle w:val="Listparagraph-bulleted"/>
      </w:pPr>
      <w:r w:rsidRPr="00E13E25">
        <w:t>Supported decision making and the Public Trustee of Queensland</w:t>
      </w:r>
    </w:p>
    <w:p w14:paraId="6BC86E6C" w14:textId="77777777" w:rsidR="00C33657" w:rsidRPr="00E13E25" w:rsidRDefault="00C33657" w:rsidP="00E13E25">
      <w:pPr>
        <w:pStyle w:val="Listparagraph-bulleted"/>
      </w:pPr>
      <w:r w:rsidRPr="00E13E25">
        <w:t>Understanding the Inquiry into Australia’s Human Rights Framework with the Australian Human Rights Commission</w:t>
      </w:r>
    </w:p>
    <w:p w14:paraId="03412212" w14:textId="02AE11F1" w:rsidR="00C33657" w:rsidRPr="00E13E25" w:rsidRDefault="00C33657" w:rsidP="00E13E25">
      <w:pPr>
        <w:pStyle w:val="Listparagraph-bulleted"/>
      </w:pPr>
      <w:r w:rsidRPr="00E13E25">
        <w:t xml:space="preserve">Accidental </w:t>
      </w:r>
      <w:r w:rsidR="00E026A1">
        <w:t>a</w:t>
      </w:r>
      <w:r w:rsidRPr="00E13E25">
        <w:t>dvocates</w:t>
      </w:r>
    </w:p>
    <w:p w14:paraId="74C4B153" w14:textId="77777777" w:rsidR="00C33657" w:rsidRPr="00E13E25" w:rsidRDefault="00C33657" w:rsidP="00E13E25">
      <w:pPr>
        <w:pStyle w:val="Listparagraph-bulleted"/>
      </w:pPr>
      <w:r w:rsidRPr="00E13E25">
        <w:t>The role of a functional entity</w:t>
      </w:r>
    </w:p>
    <w:p w14:paraId="38D3C47A" w14:textId="77777777" w:rsidR="00C33657" w:rsidRPr="00E13E25" w:rsidRDefault="00C33657" w:rsidP="00E13E25">
      <w:pPr>
        <w:pStyle w:val="Listparagraph-bulleted"/>
      </w:pPr>
      <w:r w:rsidRPr="00E13E25">
        <w:t>How do you prepare and write a submission?</w:t>
      </w:r>
    </w:p>
    <w:p w14:paraId="2F254886" w14:textId="1E885049" w:rsidR="00C33657" w:rsidRPr="00E13E25" w:rsidRDefault="00C33657" w:rsidP="00E13E25">
      <w:pPr>
        <w:pStyle w:val="Listparagraph-bulleted"/>
      </w:pPr>
      <w:r w:rsidRPr="00E13E25">
        <w:t>Anti-Discrimination Act Review with the Queensland Human Rights Commission</w:t>
      </w:r>
      <w:r w:rsidR="00E026A1">
        <w:t>.</w:t>
      </w:r>
    </w:p>
    <w:p w14:paraId="7B4EFF85" w14:textId="0EE7C1A8" w:rsidR="000C1D09" w:rsidRPr="00E13E25" w:rsidRDefault="000C1D09" w:rsidP="00E13E25">
      <w:r w:rsidRPr="00E13E25">
        <w:t>In addition, QCOSS relaunched their Human Rights in Action newsletter, which w</w:t>
      </w:r>
      <w:r w:rsidR="00976810">
        <w:t>as</w:t>
      </w:r>
      <w:r w:rsidRPr="00E13E25">
        <w:t xml:space="preserve"> delivered to more than 2</w:t>
      </w:r>
      <w:r w:rsidR="00976810">
        <w:t>,</w:t>
      </w:r>
      <w:r w:rsidRPr="00E13E25">
        <w:t xml:space="preserve">300 </w:t>
      </w:r>
      <w:r w:rsidR="005E4550">
        <w:t>recipients</w:t>
      </w:r>
      <w:r w:rsidRPr="00E13E25" w:rsidDel="005E4550">
        <w:t>.</w:t>
      </w:r>
      <w:r w:rsidRPr="00E13E25" w:rsidDel="005E4550">
        <w:rPr>
          <w:vertAlign w:val="superscript"/>
        </w:rPr>
        <w:footnoteReference w:id="90"/>
      </w:r>
    </w:p>
    <w:p w14:paraId="287C7AF3" w14:textId="445C0C1B" w:rsidR="00025CD1" w:rsidRPr="00E13E25" w:rsidRDefault="00025CD1" w:rsidP="00E13E25"/>
    <w:p w14:paraId="4ACA2653" w14:textId="747491D8" w:rsidR="00C86FFE" w:rsidRDefault="00C86FFE">
      <w:pPr>
        <w:spacing w:after="160" w:line="259" w:lineRule="auto"/>
        <w:ind w:right="0"/>
        <w:rPr>
          <w:shd w:val="clear" w:color="auto" w:fill="FFFFFF"/>
        </w:rPr>
      </w:pPr>
      <w:r>
        <w:rPr>
          <w:shd w:val="clear" w:color="auto" w:fill="FFFFFF"/>
        </w:rPr>
        <w:br w:type="page"/>
      </w:r>
    </w:p>
    <w:p w14:paraId="40D2960B" w14:textId="7643803B" w:rsidR="00DF352B" w:rsidRDefault="00CB36EB" w:rsidP="00075645">
      <w:pPr>
        <w:rPr>
          <w:shd w:val="clear" w:color="auto" w:fill="FFFFFF"/>
        </w:rPr>
      </w:pPr>
      <w:r>
        <w:rPr>
          <w:noProof/>
          <w:color w:val="2B579A"/>
          <w:shd w:val="clear" w:color="auto" w:fill="FFFFFF"/>
          <w:lang w:eastAsia="en-AU"/>
        </w:rPr>
        <w:drawing>
          <wp:anchor distT="0" distB="0" distL="114300" distR="114300" simplePos="0" relativeHeight="251658245" behindDoc="1" locked="0" layoutInCell="1" allowOverlap="1" wp14:anchorId="05DD0B99" wp14:editId="624CA444">
            <wp:simplePos x="0" y="0"/>
            <wp:positionH relativeFrom="page">
              <wp:align>left</wp:align>
            </wp:positionH>
            <wp:positionV relativeFrom="paragraph">
              <wp:posOffset>-914400</wp:posOffset>
            </wp:positionV>
            <wp:extent cx="7581900" cy="10749280"/>
            <wp:effectExtent l="0" t="0" r="0" b="0"/>
            <wp:wrapNone/>
            <wp:docPr id="35" name="Picture 35" descr="Close up of two people sitting at a timber table. Only their hands, arms, and some of their torsos are visible, and the hands are gesturing as if in mid-conver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Close up of two people sitting at a timber table. Only their hands, arms, and some of their torsos are visible, and the hands are gesturing as if in mid-conversation."/>
                    <pic:cNvPicPr/>
                  </pic:nvPicPr>
                  <pic:blipFill rotWithShape="1">
                    <a:blip r:embed="rId29" cstate="print">
                      <a:extLst>
                        <a:ext uri="{28A0092B-C50C-407E-A947-70E740481C1C}">
                          <a14:useLocalDpi xmlns:a14="http://schemas.microsoft.com/office/drawing/2010/main" val="0"/>
                        </a:ext>
                      </a:extLst>
                    </a:blip>
                    <a:srcRect l="30496" r="22438"/>
                    <a:stretch/>
                  </pic:blipFill>
                  <pic:spPr bwMode="auto">
                    <a:xfrm>
                      <a:off x="0" y="0"/>
                      <a:ext cx="7589580" cy="1076016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A5DA3" w:rsidRPr="00CA5DA3">
        <w:rPr>
          <w:noProof/>
          <w:color w:val="2B579A"/>
          <w:shd w:val="clear" w:color="auto" w:fill="E6E6E6"/>
          <w:lang w:eastAsia="en-AU"/>
        </w:rPr>
        <w:drawing>
          <wp:anchor distT="0" distB="0" distL="114300" distR="114300" simplePos="0" relativeHeight="251658263" behindDoc="1" locked="0" layoutInCell="1" allowOverlap="1" wp14:anchorId="1E851E6B" wp14:editId="3146A909">
            <wp:simplePos x="0" y="0"/>
            <wp:positionH relativeFrom="page">
              <wp:posOffset>7274560</wp:posOffset>
            </wp:positionH>
            <wp:positionV relativeFrom="paragraph">
              <wp:posOffset>-911225</wp:posOffset>
            </wp:positionV>
            <wp:extent cx="370687" cy="10725150"/>
            <wp:effectExtent l="0" t="0" r="0" b="0"/>
            <wp:wrapNone/>
            <wp:docPr id="2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a:extLst>
                        <a:ext uri="{C183D7F6-B498-43B3-948B-1728B52AA6E4}">
                          <adec:decorative xmlns:adec="http://schemas.microsoft.com/office/drawing/2017/decorative" val="1"/>
                        </a:ext>
                      </a:extLs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0687" cy="10725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94B598" w14:textId="350E9F42" w:rsidR="00DF352B" w:rsidRDefault="00DF352B" w:rsidP="00075645">
      <w:pPr>
        <w:rPr>
          <w:shd w:val="clear" w:color="auto" w:fill="FFFFFF"/>
        </w:rPr>
      </w:pPr>
    </w:p>
    <w:p w14:paraId="12D32263" w14:textId="11B88858" w:rsidR="00DF352B" w:rsidRDefault="00DF352B" w:rsidP="00075645">
      <w:pPr>
        <w:rPr>
          <w:shd w:val="clear" w:color="auto" w:fill="FFFFFF"/>
        </w:rPr>
      </w:pPr>
    </w:p>
    <w:p w14:paraId="11318DC5" w14:textId="438DAA6D" w:rsidR="00DF352B" w:rsidRDefault="00DF352B" w:rsidP="00075645">
      <w:pPr>
        <w:rPr>
          <w:shd w:val="clear" w:color="auto" w:fill="FFFFFF"/>
        </w:rPr>
      </w:pPr>
    </w:p>
    <w:p w14:paraId="3C6DCE6E" w14:textId="07836A21" w:rsidR="00DF352B" w:rsidRDefault="00DF352B" w:rsidP="00075645">
      <w:pPr>
        <w:rPr>
          <w:shd w:val="clear" w:color="auto" w:fill="FFFFFF"/>
        </w:rPr>
      </w:pPr>
    </w:p>
    <w:p w14:paraId="3F7038DA" w14:textId="36CE3AB3" w:rsidR="00DF352B" w:rsidRDefault="00DF352B" w:rsidP="00075645">
      <w:pPr>
        <w:rPr>
          <w:shd w:val="clear" w:color="auto" w:fill="FFFFFF"/>
        </w:rPr>
      </w:pPr>
    </w:p>
    <w:p w14:paraId="2ED77C47" w14:textId="77777777" w:rsidR="00DF352B" w:rsidRDefault="00DF352B" w:rsidP="00075645">
      <w:pPr>
        <w:rPr>
          <w:shd w:val="clear" w:color="auto" w:fill="FFFFFF"/>
        </w:rPr>
      </w:pPr>
    </w:p>
    <w:p w14:paraId="4D1DE9E2" w14:textId="5AFBA79E" w:rsidR="00DF352B" w:rsidRDefault="00DF352B" w:rsidP="00075645">
      <w:pPr>
        <w:rPr>
          <w:shd w:val="clear" w:color="auto" w:fill="FFFFFF"/>
        </w:rPr>
      </w:pPr>
    </w:p>
    <w:p w14:paraId="043B146D" w14:textId="061FCA34" w:rsidR="00DF352B" w:rsidRDefault="00DF352B" w:rsidP="00075645">
      <w:pPr>
        <w:rPr>
          <w:shd w:val="clear" w:color="auto" w:fill="FFFFFF"/>
        </w:rPr>
      </w:pPr>
    </w:p>
    <w:p w14:paraId="1D97A06B" w14:textId="31A7325A" w:rsidR="00DF352B" w:rsidRDefault="00DF352B" w:rsidP="00075645">
      <w:pPr>
        <w:rPr>
          <w:shd w:val="clear" w:color="auto" w:fill="FFFFFF"/>
        </w:rPr>
      </w:pPr>
    </w:p>
    <w:p w14:paraId="454BB7C1" w14:textId="77777777" w:rsidR="00DF352B" w:rsidRDefault="00DF352B" w:rsidP="00075645">
      <w:pPr>
        <w:rPr>
          <w:shd w:val="clear" w:color="auto" w:fill="FFFFFF"/>
        </w:rPr>
      </w:pPr>
    </w:p>
    <w:p w14:paraId="06468178" w14:textId="77777777" w:rsidR="00DF352B" w:rsidRDefault="00DF352B" w:rsidP="00075645">
      <w:pPr>
        <w:rPr>
          <w:shd w:val="clear" w:color="auto" w:fill="FFFFFF"/>
        </w:rPr>
      </w:pPr>
    </w:p>
    <w:p w14:paraId="5F7F85ED" w14:textId="77777777" w:rsidR="00DF352B" w:rsidRDefault="00DF352B" w:rsidP="00075645">
      <w:pPr>
        <w:rPr>
          <w:shd w:val="clear" w:color="auto" w:fill="FFFFFF"/>
        </w:rPr>
      </w:pPr>
    </w:p>
    <w:p w14:paraId="04C1FB76" w14:textId="77777777" w:rsidR="00DF352B" w:rsidRDefault="00DF352B" w:rsidP="00075645">
      <w:pPr>
        <w:rPr>
          <w:shd w:val="clear" w:color="auto" w:fill="FFFFFF"/>
        </w:rPr>
      </w:pPr>
    </w:p>
    <w:p w14:paraId="370C1184" w14:textId="4C00A59A" w:rsidR="00075645" w:rsidRPr="000C5B46" w:rsidRDefault="00CA5DA3" w:rsidP="00075645">
      <w:pPr>
        <w:rPr>
          <w:shd w:val="clear" w:color="auto" w:fill="FFFFFF"/>
        </w:rPr>
      </w:pPr>
      <w:r w:rsidRPr="00CA5DA3">
        <w:rPr>
          <w:noProof/>
          <w:color w:val="2B579A"/>
          <w:shd w:val="clear" w:color="auto" w:fill="E6E6E6"/>
          <w:lang w:eastAsia="en-AU"/>
        </w:rPr>
        <mc:AlternateContent>
          <mc:Choice Requires="wps">
            <w:drawing>
              <wp:anchor distT="0" distB="0" distL="114300" distR="114300" simplePos="0" relativeHeight="251658256" behindDoc="1" locked="0" layoutInCell="1" allowOverlap="1" wp14:anchorId="33F7B867" wp14:editId="6161EE3B">
                <wp:simplePos x="0" y="0"/>
                <wp:positionH relativeFrom="page">
                  <wp:posOffset>0</wp:posOffset>
                </wp:positionH>
                <wp:positionV relativeFrom="paragraph">
                  <wp:posOffset>341630</wp:posOffset>
                </wp:positionV>
                <wp:extent cx="4933950" cy="723900"/>
                <wp:effectExtent l="0" t="0" r="0" b="0"/>
                <wp:wrapNone/>
                <wp:docPr id="27" name="Rectangle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933950" cy="723900"/>
                        </a:xfrm>
                        <a:prstGeom prst="rect">
                          <a:avLst/>
                        </a:prstGeom>
                        <a:solidFill>
                          <a:srgbClr val="E66A3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E1CEF39" id="Rectangle 27" o:spid="_x0000_s1026" alt="&quot;&quot;" style="position:absolute;margin-left:0;margin-top:26.9pt;width:388.5pt;height:57pt;z-index:-251658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" fillcolor="#e66a37" stroked="f" strokeweight="1pt">
                <w10:wrap anchorx="page"/>
              </v:rect>
            </w:pict>
          </mc:Fallback>
        </mc:AlternateContent>
      </w:r>
    </w:p>
    <w:bookmarkStart w:id="671" w:name="_Toc710507232"/>
    <w:bookmarkStart w:id="672" w:name="_Toc117697197"/>
    <w:bookmarkStart w:id="673" w:name="_Toc147757342"/>
    <w:bookmarkStart w:id="674" w:name="_Toc148086968"/>
    <w:p w14:paraId="27B27708" w14:textId="4FDDDCD6" w:rsidR="001D3B63" w:rsidRDefault="00DF352B" w:rsidP="00CF219C">
      <w:pPr>
        <w:pStyle w:val="Sectiontitle"/>
      </w:pPr>
      <w:r w:rsidRPr="005D211A">
        <w:rPr>
          <w:noProof/>
          <w:color w:val="2B579A"/>
          <w:shd w:val="clear" w:color="auto" w:fill="E6E6E6"/>
          <w:lang w:eastAsia="en-AU"/>
        </w:rPr>
        <mc:AlternateContent>
          <mc:Choice Requires="wps">
            <w:drawing>
              <wp:anchor distT="0" distB="0" distL="114300" distR="114300" simplePos="0" relativeHeight="251658255" behindDoc="1" locked="0" layoutInCell="1" allowOverlap="1" wp14:anchorId="6059645D" wp14:editId="05BF2BE0">
                <wp:simplePos x="0" y="0"/>
                <wp:positionH relativeFrom="page">
                  <wp:posOffset>0</wp:posOffset>
                </wp:positionH>
                <wp:positionV relativeFrom="paragraph">
                  <wp:posOffset>836295</wp:posOffset>
                </wp:positionV>
                <wp:extent cx="4343400" cy="723900"/>
                <wp:effectExtent l="0" t="0" r="0" b="0"/>
                <wp:wrapNone/>
                <wp:docPr id="26" name="Rectangle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343400" cy="723900"/>
                        </a:xfrm>
                        <a:prstGeom prst="rect">
                          <a:avLst/>
                        </a:prstGeom>
                        <a:solidFill>
                          <a:srgbClr val="E66A3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640EE05" id="Rectangle 26" o:spid="_x0000_s1026" alt="&quot;&quot;" style="position:absolute;margin-left:0;margin-top:65.85pt;width:342pt;height:57pt;z-index:-25165822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" fillcolor="#e66a37" stroked="f" strokeweight="1pt">
                <w10:wrap anchorx="page"/>
              </v:rect>
            </w:pict>
          </mc:Fallback>
        </mc:AlternateContent>
      </w:r>
      <w:r w:rsidR="00CF219C">
        <w:t>Human rights complaints</w:t>
      </w:r>
      <w:bookmarkEnd w:id="671"/>
      <w:bookmarkEnd w:id="672"/>
      <w:bookmarkEnd w:id="673"/>
      <w:bookmarkEnd w:id="674"/>
    </w:p>
    <w:p w14:paraId="0A3F6B0A" w14:textId="4AD08DBC" w:rsidR="001D3B63" w:rsidRDefault="001D3B63">
      <w:pPr>
        <w:spacing w:after="160" w:line="259" w:lineRule="auto"/>
        <w:ind w:right="0"/>
        <w:rPr>
          <w:rFonts w:eastAsiaTheme="majorEastAsia" w:cstheme="majorBidi"/>
          <w:color w:val="347B9F"/>
          <w:sz w:val="72"/>
          <w:szCs w:val="72"/>
        </w:rPr>
      </w:pPr>
      <w:r>
        <w:br w:type="page"/>
      </w:r>
    </w:p>
    <w:p w14:paraId="4E0F3E0D" w14:textId="0279FA87" w:rsidR="00B05606" w:rsidRPr="00DF352B" w:rsidRDefault="003D114D" w:rsidP="00B05606">
      <w:pPr>
        <w:pStyle w:val="Heading1"/>
        <w:rPr>
          <w:color w:val="E66A37"/>
        </w:rPr>
      </w:pPr>
      <w:bookmarkStart w:id="675" w:name="_Toc85526726"/>
      <w:bookmarkStart w:id="676" w:name="_Toc85787141"/>
      <w:bookmarkStart w:id="677" w:name="_Toc221077455"/>
      <w:bookmarkStart w:id="678" w:name="_Toc117697198"/>
      <w:bookmarkStart w:id="679" w:name="_Toc147757343"/>
      <w:bookmarkStart w:id="680" w:name="_Toc148086969"/>
      <w:r w:rsidRPr="00DF352B">
        <w:rPr>
          <w:color w:val="E66A37"/>
        </w:rPr>
        <w:t>About</w:t>
      </w:r>
      <w:r w:rsidR="00B05606" w:rsidRPr="00DF352B">
        <w:rPr>
          <w:color w:val="E66A37"/>
        </w:rPr>
        <w:t xml:space="preserve"> human rights complaints</w:t>
      </w:r>
      <w:bookmarkEnd w:id="675"/>
      <w:bookmarkEnd w:id="676"/>
      <w:bookmarkEnd w:id="677"/>
      <w:bookmarkEnd w:id="678"/>
      <w:bookmarkEnd w:id="679"/>
      <w:bookmarkEnd w:id="680"/>
    </w:p>
    <w:p w14:paraId="28AB7828" w14:textId="5C01A32B" w:rsidR="001F16BB" w:rsidRDefault="00A66DEE" w:rsidP="001F16BB">
      <w:r>
        <w:t xml:space="preserve">Before making </w:t>
      </w:r>
      <w:r w:rsidR="00A03BD9">
        <w:t xml:space="preserve">a complaint to the Commission under the </w:t>
      </w:r>
      <w:r w:rsidR="001F16BB">
        <w:t xml:space="preserve">Human Rights </w:t>
      </w:r>
      <w:r w:rsidR="001F16BB" w:rsidRPr="008A00EB">
        <w:t>Act</w:t>
      </w:r>
      <w:r w:rsidR="00D46846">
        <w:t>,</w:t>
      </w:r>
      <w:r w:rsidR="001F16BB" w:rsidRPr="008A00EB">
        <w:t xml:space="preserve"> a person </w:t>
      </w:r>
      <w:r w:rsidR="00BE14D7">
        <w:t>must</w:t>
      </w:r>
      <w:r w:rsidR="001F16BB" w:rsidRPr="008A00EB">
        <w:t xml:space="preserve"> make a </w:t>
      </w:r>
      <w:r w:rsidR="001F16BB">
        <w:t>complaint to the public entity about the alleged contravention of the Act</w:t>
      </w:r>
      <w:r w:rsidR="00602A25">
        <w:t xml:space="preserve"> firs</w:t>
      </w:r>
      <w:r w:rsidR="0016695D">
        <w:t>t.</w:t>
      </w:r>
      <w:r w:rsidR="001F16BB">
        <w:t xml:space="preserve"> </w:t>
      </w:r>
      <w:r w:rsidR="0016695D">
        <w:t>A</w:t>
      </w:r>
      <w:r w:rsidR="001F16BB">
        <w:t xml:space="preserve">t least </w:t>
      </w:r>
      <w:r w:rsidR="001F16BB" w:rsidRPr="008A00EB">
        <w:t xml:space="preserve">45 business days </w:t>
      </w:r>
      <w:r w:rsidR="001A0C6F">
        <w:t xml:space="preserve">must </w:t>
      </w:r>
      <w:r w:rsidR="001F16BB" w:rsidRPr="008A00EB">
        <w:t>elapse</w:t>
      </w:r>
      <w:r w:rsidR="001F16BB" w:rsidRPr="008A00EB" w:rsidDel="002B7731">
        <w:t xml:space="preserve"> </w:t>
      </w:r>
      <w:r w:rsidR="002B7731">
        <w:t>after</w:t>
      </w:r>
      <w:r w:rsidR="002B7731" w:rsidRPr="008A00EB">
        <w:t xml:space="preserve"> </w:t>
      </w:r>
      <w:r w:rsidR="00005EAC">
        <w:t>the person ma</w:t>
      </w:r>
      <w:r w:rsidR="002B7731">
        <w:t>k</w:t>
      </w:r>
      <w:r w:rsidR="00005EAC">
        <w:t>e</w:t>
      </w:r>
      <w:r w:rsidR="002B7731">
        <w:t>s</w:t>
      </w:r>
      <w:r w:rsidR="00005EAC">
        <w:t xml:space="preserve"> the </w:t>
      </w:r>
      <w:r w:rsidR="001F16BB">
        <w:t>complaint</w:t>
      </w:r>
      <w:r w:rsidR="00F478AE">
        <w:t xml:space="preserve"> </w:t>
      </w:r>
      <w:r w:rsidR="006B1CA9">
        <w:t xml:space="preserve">to the public entity </w:t>
      </w:r>
      <w:r w:rsidR="00F478AE">
        <w:t xml:space="preserve">and </w:t>
      </w:r>
      <w:r w:rsidR="003A190D">
        <w:t xml:space="preserve">either </w:t>
      </w:r>
      <w:r w:rsidR="00F478AE">
        <w:t xml:space="preserve">they </w:t>
      </w:r>
      <w:r w:rsidR="001F16BB" w:rsidRPr="008A00EB">
        <w:t xml:space="preserve">have </w:t>
      </w:r>
      <w:r w:rsidR="00F478AE">
        <w:t xml:space="preserve">not received a response </w:t>
      </w:r>
      <w:r w:rsidR="0051663E">
        <w:t>or they consider the response inadequate</w:t>
      </w:r>
      <w:r w:rsidR="001F16BB" w:rsidRPr="008A00EB">
        <w:t>.</w:t>
      </w:r>
      <w:r w:rsidR="006200D9">
        <w:rPr>
          <w:rStyle w:val="FootnoteReference"/>
        </w:rPr>
        <w:footnoteReference w:id="91"/>
      </w:r>
      <w:r w:rsidR="001F16BB" w:rsidRPr="008A00EB">
        <w:t xml:space="preserve"> This process encourages direct resolution of complaints at the earliest possible stage.</w:t>
      </w:r>
    </w:p>
    <w:p w14:paraId="653A6961" w14:textId="6FEC1E63" w:rsidR="00A17181" w:rsidDel="007B3DFF" w:rsidRDefault="00F01BCB" w:rsidP="006761A6">
      <w:r>
        <w:t xml:space="preserve">This section of the report </w:t>
      </w:r>
      <w:r w:rsidR="00B123F8">
        <w:t>reviews</w:t>
      </w:r>
      <w:r>
        <w:t xml:space="preserve"> human rights complaints received by specific public entities as reported to the Commission and complaints made </w:t>
      </w:r>
      <w:r w:rsidR="004473AF">
        <w:t xml:space="preserve">directly to the Commission. </w:t>
      </w:r>
    </w:p>
    <w:p w14:paraId="11F80728" w14:textId="5FA76603" w:rsidR="00C64FFE" w:rsidRPr="00DF352B" w:rsidRDefault="00084B5F" w:rsidP="00C64FFE">
      <w:pPr>
        <w:pStyle w:val="Heading1"/>
        <w:rPr>
          <w:color w:val="E66A37"/>
        </w:rPr>
      </w:pPr>
      <w:bookmarkStart w:id="681" w:name="_Toc1521152034"/>
      <w:bookmarkStart w:id="682" w:name="_Toc117697199"/>
      <w:bookmarkStart w:id="683" w:name="_Toc147757344"/>
      <w:bookmarkStart w:id="684" w:name="_Toc148086970"/>
      <w:r w:rsidRPr="00DF352B">
        <w:rPr>
          <w:color w:val="E66A37"/>
        </w:rPr>
        <w:t>C</w:t>
      </w:r>
      <w:r w:rsidR="00C64FFE" w:rsidRPr="00DF352B">
        <w:rPr>
          <w:color w:val="E66A37"/>
        </w:rPr>
        <w:t>omplaints made</w:t>
      </w:r>
      <w:r w:rsidRPr="00DF352B">
        <w:rPr>
          <w:color w:val="E66A37"/>
        </w:rPr>
        <w:t xml:space="preserve"> directly</w:t>
      </w:r>
      <w:r w:rsidR="00C64FFE" w:rsidRPr="00DF352B">
        <w:rPr>
          <w:color w:val="E66A37"/>
        </w:rPr>
        <w:t xml:space="preserve"> to public entities</w:t>
      </w:r>
      <w:bookmarkEnd w:id="681"/>
      <w:bookmarkEnd w:id="682"/>
      <w:bookmarkEnd w:id="683"/>
      <w:bookmarkEnd w:id="684"/>
    </w:p>
    <w:p w14:paraId="0FD21C43" w14:textId="3718C1ED" w:rsidR="00C071D9" w:rsidDel="001F16BB" w:rsidRDefault="00C071D9" w:rsidP="00C071D9">
      <w:r w:rsidRPr="008A00EB" w:rsidDel="001F16BB">
        <w:t xml:space="preserve">Public entities must ensure </w:t>
      </w:r>
      <w:r w:rsidR="008F58D7">
        <w:t xml:space="preserve">they have </w:t>
      </w:r>
      <w:r w:rsidRPr="008A00EB" w:rsidDel="001F16BB">
        <w:t>an appropriate complaint handling procedure in place for early resolution of complaints.</w:t>
      </w:r>
    </w:p>
    <w:p w14:paraId="0A92E459" w14:textId="4BD47ADD" w:rsidR="00C071D9" w:rsidRPr="008A00EB" w:rsidRDefault="003F58BF" w:rsidP="00C071D9">
      <w:r>
        <w:t>T</w:t>
      </w:r>
      <w:r w:rsidR="00C071D9">
        <w:t xml:space="preserve">he Act requires the </w:t>
      </w:r>
      <w:r w:rsidR="00994E98">
        <w:t>C</w:t>
      </w:r>
      <w:r w:rsidR="00C071D9">
        <w:t xml:space="preserve">ommissioner to report on </w:t>
      </w:r>
      <w:r w:rsidR="00670934">
        <w:t xml:space="preserve">the number of </w:t>
      </w:r>
      <w:r w:rsidR="00C071D9">
        <w:t xml:space="preserve">human rights complaints </w:t>
      </w:r>
      <w:r w:rsidR="00670934">
        <w:t>received by</w:t>
      </w:r>
      <w:r w:rsidR="00C071D9">
        <w:t xml:space="preserve"> particular entities and allows the </w:t>
      </w:r>
      <w:r w:rsidR="00670934">
        <w:t>C</w:t>
      </w:r>
      <w:r w:rsidR="00C071D9">
        <w:t xml:space="preserve">ommissioner discretion to decide which public entities’ complaints to report on </w:t>
      </w:r>
      <w:r w:rsidR="003C1E30">
        <w:t>under this provision</w:t>
      </w:r>
      <w:r w:rsidR="00C071D9">
        <w:t>.</w:t>
      </w:r>
      <w:r w:rsidR="00A73D2C">
        <w:rPr>
          <w:rStyle w:val="FootnoteReference"/>
        </w:rPr>
        <w:footnoteReference w:id="92"/>
      </w:r>
    </w:p>
    <w:p w14:paraId="17E343DA" w14:textId="03D6A79A" w:rsidR="00221439" w:rsidRDefault="00A3583F" w:rsidP="00843051">
      <w:r>
        <w:t>T</w:t>
      </w:r>
      <w:r w:rsidR="00D34C4A">
        <w:t xml:space="preserve">he Act </w:t>
      </w:r>
      <w:r w:rsidR="00B82B28">
        <w:t xml:space="preserve">requires public entities </w:t>
      </w:r>
      <w:r w:rsidR="00221439">
        <w:t xml:space="preserve">to </w:t>
      </w:r>
      <w:r w:rsidR="00824BA3">
        <w:t xml:space="preserve">prepare an annual </w:t>
      </w:r>
      <w:r w:rsidR="00221439">
        <w:t xml:space="preserve">report </w:t>
      </w:r>
      <w:r w:rsidR="004D7B1C">
        <w:t>providing</w:t>
      </w:r>
      <w:r w:rsidR="00221439">
        <w:t xml:space="preserve"> details of human rights complaints received including</w:t>
      </w:r>
      <w:r w:rsidR="007E58A1">
        <w:t xml:space="preserve"> the</w:t>
      </w:r>
      <w:r w:rsidR="00144551">
        <w:t>:</w:t>
      </w:r>
    </w:p>
    <w:p w14:paraId="0305386A" w14:textId="5CE87D22" w:rsidR="00221439" w:rsidRPr="00144551" w:rsidRDefault="00221439" w:rsidP="00843051">
      <w:pPr>
        <w:pStyle w:val="Listparagraph-bulleted"/>
      </w:pPr>
      <w:r w:rsidRPr="00144551">
        <w:t>number received</w:t>
      </w:r>
    </w:p>
    <w:p w14:paraId="49648735" w14:textId="766B8ACA" w:rsidR="00221439" w:rsidRDefault="00221439" w:rsidP="00144551">
      <w:pPr>
        <w:pStyle w:val="Listparagraph-bulleted"/>
      </w:pPr>
      <w:r w:rsidRPr="00144551">
        <w:t>outcome of complaints</w:t>
      </w:r>
      <w:r w:rsidR="00144551" w:rsidRPr="00144551">
        <w:t>.</w:t>
      </w:r>
      <w:r w:rsidR="00A3583F">
        <w:rPr>
          <w:rStyle w:val="FootnoteReference"/>
        </w:rPr>
        <w:footnoteReference w:id="93"/>
      </w:r>
    </w:p>
    <w:p w14:paraId="69B505AA" w14:textId="77777777" w:rsidR="00E441E6" w:rsidRDefault="00E441E6" w:rsidP="00E441E6">
      <w:pPr>
        <w:pStyle w:val="Listparagraph-bulleted"/>
        <w:numPr>
          <w:ilvl w:val="0"/>
          <w:numId w:val="0"/>
        </w:numPr>
        <w:ind w:left="720"/>
      </w:pPr>
    </w:p>
    <w:p w14:paraId="26272511" w14:textId="442FF00C" w:rsidR="00DA5B24" w:rsidRDefault="00B05488" w:rsidP="00DA5B24">
      <w:pPr>
        <w:pStyle w:val="Listparagraph-bulleted"/>
        <w:numPr>
          <w:ilvl w:val="0"/>
          <w:numId w:val="0"/>
        </w:numPr>
      </w:pPr>
      <w:r w:rsidRPr="007B4202">
        <w:t xml:space="preserve">For this section </w:t>
      </w:r>
      <w:r w:rsidR="00CC5B48" w:rsidRPr="007B4202">
        <w:t>we have used</w:t>
      </w:r>
      <w:r w:rsidR="00DA5B24" w:rsidRPr="007B4202">
        <w:t xml:space="preserve"> the same state public entities that </w:t>
      </w:r>
      <w:r w:rsidR="0020626E" w:rsidRPr="007B4202">
        <w:t xml:space="preserve">were </w:t>
      </w:r>
      <w:r w:rsidR="008C7499" w:rsidRPr="007B4202">
        <w:t>discussed</w:t>
      </w:r>
      <w:r w:rsidR="00DA5B24" w:rsidRPr="007B4202">
        <w:t xml:space="preserve"> in the </w:t>
      </w:r>
      <w:r w:rsidR="00EB0331" w:rsidRPr="00E441E6">
        <w:rPr>
          <w:i/>
          <w:iCs/>
        </w:rPr>
        <w:t>Human</w:t>
      </w:r>
      <w:r w:rsidR="00DA5B24" w:rsidRPr="00E441E6">
        <w:rPr>
          <w:i/>
          <w:iCs/>
        </w:rPr>
        <w:t xml:space="preserve"> rights </w:t>
      </w:r>
      <w:r w:rsidR="00EB0331" w:rsidRPr="00E441E6">
        <w:rPr>
          <w:i/>
          <w:iCs/>
        </w:rPr>
        <w:t>and the public sector</w:t>
      </w:r>
      <w:r w:rsidR="00EB0331" w:rsidRPr="007B4202">
        <w:t xml:space="preserve"> </w:t>
      </w:r>
      <w:r w:rsidR="00803570" w:rsidRPr="007B4202">
        <w:t xml:space="preserve">chapter </w:t>
      </w:r>
      <w:r w:rsidR="00DA5B24" w:rsidRPr="007B4202">
        <w:t>of this report</w:t>
      </w:r>
      <w:r w:rsidR="00E441E6">
        <w:t>. The</w:t>
      </w:r>
      <w:r w:rsidR="00583F6C">
        <w:t xml:space="preserve"> </w:t>
      </w:r>
      <w:r w:rsidR="00DA5B24">
        <w:t xml:space="preserve">information </w:t>
      </w:r>
      <w:r w:rsidR="00E441E6">
        <w:t>has been drawn from</w:t>
      </w:r>
      <w:r w:rsidR="00DA5B24">
        <w:t xml:space="preserve"> the annual reports of those public entities.</w:t>
      </w:r>
    </w:p>
    <w:p w14:paraId="51B3BBF1" w14:textId="7C1BC6E4" w:rsidR="00082EA3" w:rsidRPr="00144551" w:rsidRDefault="00082EA3" w:rsidP="00843051">
      <w:pPr>
        <w:pStyle w:val="Listparagraph-bulleted"/>
        <w:numPr>
          <w:ilvl w:val="0"/>
          <w:numId w:val="0"/>
        </w:numPr>
      </w:pPr>
      <w:r>
        <w:br/>
      </w:r>
      <w:r w:rsidR="000C623E" w:rsidRPr="001B163E">
        <w:t>Table</w:t>
      </w:r>
      <w:r w:rsidR="000C623E">
        <w:t xml:space="preserve"> </w:t>
      </w:r>
      <w:r w:rsidR="00B132DB">
        <w:t>5</w:t>
      </w:r>
      <w:r w:rsidR="00F822C9">
        <w:t xml:space="preserve"> </w:t>
      </w:r>
      <w:r w:rsidR="004B70C1">
        <w:t>provides</w:t>
      </w:r>
      <w:r>
        <w:t xml:space="preserve"> the number of complaints reported </w:t>
      </w:r>
      <w:r w:rsidR="0052215C">
        <w:t xml:space="preserve">by selected entities </w:t>
      </w:r>
      <w:r>
        <w:t xml:space="preserve">in </w:t>
      </w:r>
      <w:r w:rsidR="00630D7B">
        <w:t xml:space="preserve">their </w:t>
      </w:r>
      <w:r>
        <w:t xml:space="preserve">annual reports </w:t>
      </w:r>
      <w:r w:rsidR="00B92105">
        <w:t>for</w:t>
      </w:r>
      <w:r w:rsidR="00081D15">
        <w:t xml:space="preserve"> </w:t>
      </w:r>
      <w:r w:rsidR="004327F1">
        <w:t>2022</w:t>
      </w:r>
      <w:r w:rsidR="00B92105">
        <w:t>-</w:t>
      </w:r>
      <w:r w:rsidR="00B92105" w:rsidRPr="007D589E">
        <w:t>2</w:t>
      </w:r>
      <w:r w:rsidR="004327F1" w:rsidRPr="007D589E">
        <w:t>3</w:t>
      </w:r>
      <w:r w:rsidR="00B92105">
        <w:t xml:space="preserve"> and the previous year</w:t>
      </w:r>
      <w:r>
        <w:t xml:space="preserve">. </w:t>
      </w:r>
      <w:r w:rsidR="00B92105">
        <w:t>T</w:t>
      </w:r>
      <w:r>
        <w:t>he Commission has included details</w:t>
      </w:r>
      <w:r w:rsidR="00B92105">
        <w:t>, where they have been</w:t>
      </w:r>
      <w:r>
        <w:t xml:space="preserve"> provided</w:t>
      </w:r>
      <w:r w:rsidR="00ED0D0C">
        <w:t>,</w:t>
      </w:r>
      <w:r>
        <w:t xml:space="preserve"> of outcomes of human rights complaints.</w:t>
      </w:r>
    </w:p>
    <w:p w14:paraId="3EED927B" w14:textId="77777777" w:rsidR="00114C09" w:rsidRDefault="00114C09">
      <w:pPr>
        <w:spacing w:after="160" w:line="259" w:lineRule="auto"/>
        <w:ind w:right="0"/>
        <w:rPr>
          <w:i/>
          <w:iCs/>
          <w:color w:val="000000" w:themeColor="text1"/>
          <w:szCs w:val="18"/>
        </w:rPr>
      </w:pPr>
      <w:r>
        <w:br w:type="page"/>
      </w:r>
    </w:p>
    <w:p w14:paraId="36D0B1BB" w14:textId="111A7455" w:rsidR="000339CC" w:rsidRPr="007C10E4" w:rsidRDefault="000339CC" w:rsidP="000339CC">
      <w:pPr>
        <w:pStyle w:val="Caption"/>
      </w:pPr>
      <w:r>
        <w:t xml:space="preserve">Table </w:t>
      </w:r>
      <w:r w:rsidR="00B132DB">
        <w:t>5</w:t>
      </w:r>
      <w:r>
        <w:t xml:space="preserve">: Internal human rights complaints made to </w:t>
      </w:r>
      <w:r w:rsidRPr="007C10E4">
        <w:t xml:space="preserve">public entities, </w:t>
      </w:r>
      <w:r w:rsidR="007D27F7" w:rsidRPr="007C10E4">
        <w:t>2022-23</w:t>
      </w:r>
    </w:p>
    <w:tbl>
      <w:tblPr>
        <w:tblpPr w:leftFromText="180" w:rightFromText="180" w:vertAnchor="text" w:tblpXSpec="right" w:tblpY="1"/>
        <w:tblOverlap w:val="never"/>
        <w:tblW w:w="9000" w:type="dxa"/>
        <w:tblBorders>
          <w:top w:val="single" w:sz="4" w:space="0" w:color="D46228"/>
          <w:bottom w:val="single" w:sz="4" w:space="0" w:color="D46228"/>
          <w:insideH w:val="single" w:sz="4" w:space="0" w:color="D46228"/>
        </w:tblBorders>
        <w:tblLook w:val="04A0" w:firstRow="1" w:lastRow="0" w:firstColumn="1" w:lastColumn="0" w:noHBand="0" w:noVBand="1"/>
      </w:tblPr>
      <w:tblGrid>
        <w:gridCol w:w="2127"/>
        <w:gridCol w:w="1701"/>
        <w:gridCol w:w="5172"/>
      </w:tblGrid>
      <w:tr w:rsidR="006B7022" w:rsidRPr="007C10E4" w14:paraId="408C62B9" w14:textId="77777777" w:rsidTr="007E34BF">
        <w:trPr>
          <w:tblHeader/>
        </w:trPr>
        <w:tc>
          <w:tcPr>
            <w:tcW w:w="2127" w:type="dxa"/>
          </w:tcPr>
          <w:p w14:paraId="65F62142" w14:textId="77777777" w:rsidR="006B7022" w:rsidRPr="007C10E4" w:rsidRDefault="006B7022" w:rsidP="006232A0">
            <w:pPr>
              <w:pStyle w:val="Tableheading"/>
              <w:rPr>
                <w:color w:val="E66A37"/>
              </w:rPr>
            </w:pPr>
            <w:r w:rsidRPr="007C10E4">
              <w:rPr>
                <w:color w:val="E66A37"/>
              </w:rPr>
              <w:t>Public entity</w:t>
            </w:r>
          </w:p>
        </w:tc>
        <w:tc>
          <w:tcPr>
            <w:tcW w:w="1701" w:type="dxa"/>
          </w:tcPr>
          <w:p w14:paraId="2E66BE6A" w14:textId="77777777" w:rsidR="006B7022" w:rsidRPr="007C10E4" w:rsidRDefault="006B7022" w:rsidP="006232A0">
            <w:pPr>
              <w:pStyle w:val="Tableheading"/>
              <w:rPr>
                <w:color w:val="E66A37"/>
              </w:rPr>
            </w:pPr>
            <w:r w:rsidRPr="007C10E4">
              <w:rPr>
                <w:color w:val="E66A37"/>
              </w:rPr>
              <w:t>Number of complaints</w:t>
            </w:r>
          </w:p>
        </w:tc>
        <w:tc>
          <w:tcPr>
            <w:tcW w:w="5172" w:type="dxa"/>
          </w:tcPr>
          <w:p w14:paraId="36A3AF64" w14:textId="77777777" w:rsidR="006B7022" w:rsidRPr="007C10E4" w:rsidRDefault="006B7022" w:rsidP="006232A0">
            <w:pPr>
              <w:pStyle w:val="Tableheading"/>
              <w:rPr>
                <w:color w:val="E66A37"/>
              </w:rPr>
            </w:pPr>
            <w:r w:rsidRPr="007C10E4">
              <w:rPr>
                <w:color w:val="E66A37"/>
              </w:rPr>
              <w:t>Outcomes</w:t>
            </w:r>
          </w:p>
        </w:tc>
      </w:tr>
      <w:tr w:rsidR="006B7022" w:rsidRPr="008A00EB" w14:paraId="79E783F1" w14:textId="77777777" w:rsidTr="007E34BF">
        <w:tc>
          <w:tcPr>
            <w:tcW w:w="2127" w:type="dxa"/>
          </w:tcPr>
          <w:p w14:paraId="64B4336A" w14:textId="77777777" w:rsidR="006B7022" w:rsidRPr="007C10E4" w:rsidRDefault="006B7022" w:rsidP="00843051">
            <w:pPr>
              <w:pStyle w:val="Tabletext"/>
              <w:rPr>
                <w:b/>
              </w:rPr>
            </w:pPr>
            <w:r w:rsidRPr="007C10E4">
              <w:t>Department of Education</w:t>
            </w:r>
            <w:r w:rsidRPr="007C10E4">
              <w:rPr>
                <w:rStyle w:val="FootnoteReference"/>
              </w:rPr>
              <w:footnoteReference w:id="94"/>
            </w:r>
          </w:p>
        </w:tc>
        <w:tc>
          <w:tcPr>
            <w:tcW w:w="1701" w:type="dxa"/>
          </w:tcPr>
          <w:p w14:paraId="6918C71A" w14:textId="315BEE90" w:rsidR="006B7022" w:rsidRPr="007C10E4" w:rsidRDefault="00042C0F" w:rsidP="00843051">
            <w:pPr>
              <w:pStyle w:val="Tabletext"/>
            </w:pPr>
            <w:r w:rsidRPr="007C10E4">
              <w:t>1</w:t>
            </w:r>
            <w:r w:rsidR="00D509FF" w:rsidRPr="007C10E4">
              <w:t>4</w:t>
            </w:r>
            <w:r w:rsidR="006B7022" w:rsidRPr="007C10E4">
              <w:t xml:space="preserve"> complaints</w:t>
            </w:r>
            <w:r w:rsidR="00FF62D1" w:rsidRPr="007C10E4">
              <w:t xml:space="preserve"> upheld </w:t>
            </w:r>
            <w:r w:rsidR="00555B6D" w:rsidRPr="007C10E4">
              <w:t>or substantiated either in fu</w:t>
            </w:r>
            <w:r w:rsidR="004E2BE7" w:rsidRPr="007C10E4">
              <w:t>ll or in part</w:t>
            </w:r>
          </w:p>
          <w:p w14:paraId="70254C09" w14:textId="162F9BA9" w:rsidR="00BE14FA" w:rsidRPr="007C10E4" w:rsidRDefault="00BE14FA" w:rsidP="00843051">
            <w:pPr>
              <w:pStyle w:val="Tabletext"/>
            </w:pPr>
            <w:r w:rsidRPr="007C10E4">
              <w:t>(</w:t>
            </w:r>
            <w:r w:rsidR="00E022CC" w:rsidRPr="007C10E4">
              <w:t>6</w:t>
            </w:r>
            <w:r w:rsidR="00082EA3" w:rsidRPr="007C10E4">
              <w:t xml:space="preserve"> in 202</w:t>
            </w:r>
            <w:r w:rsidR="00EB291E" w:rsidRPr="007C10E4">
              <w:t>1</w:t>
            </w:r>
            <w:r w:rsidR="00082EA3" w:rsidRPr="007C10E4">
              <w:t>-2</w:t>
            </w:r>
            <w:r w:rsidR="00EB291E" w:rsidRPr="007C10E4">
              <w:t>2</w:t>
            </w:r>
            <w:r w:rsidRPr="007C10E4">
              <w:t>)</w:t>
            </w:r>
          </w:p>
        </w:tc>
        <w:tc>
          <w:tcPr>
            <w:tcW w:w="5172" w:type="dxa"/>
          </w:tcPr>
          <w:p w14:paraId="61E2F000" w14:textId="3951026E" w:rsidR="006B7022" w:rsidRPr="007C10E4" w:rsidRDefault="006B7022" w:rsidP="00843051">
            <w:pPr>
              <w:pStyle w:val="Tabletext"/>
            </w:pPr>
            <w:r w:rsidRPr="007C10E4">
              <w:t xml:space="preserve">These complaints were managed </w:t>
            </w:r>
            <w:r w:rsidR="00A0390E" w:rsidRPr="007C10E4">
              <w:t xml:space="preserve">in accordance </w:t>
            </w:r>
            <w:r w:rsidR="0071027E" w:rsidRPr="007C10E4">
              <w:t xml:space="preserve">with complaints </w:t>
            </w:r>
            <w:r w:rsidR="002778F6" w:rsidRPr="007C10E4">
              <w:t>policie</w:t>
            </w:r>
            <w:r w:rsidR="00DA7104" w:rsidRPr="007C10E4">
              <w:t xml:space="preserve">s and procedures. </w:t>
            </w:r>
          </w:p>
          <w:p w14:paraId="507A2B9A" w14:textId="77777777" w:rsidR="006B7022" w:rsidRPr="008A00EB" w:rsidRDefault="006B7022" w:rsidP="00843051">
            <w:pPr>
              <w:pStyle w:val="Tabletext"/>
            </w:pPr>
            <w:r w:rsidRPr="007C10E4">
              <w:t>Action taken for substantiated complaints may include the department overturning a decision, giving an apology, changing a practice or process, providing a service not previously provided or addressing or referring the issue for system improvement.</w:t>
            </w:r>
          </w:p>
        </w:tc>
      </w:tr>
      <w:tr w:rsidR="006B7022" w:rsidRPr="008A00EB" w14:paraId="0582FAB2" w14:textId="77777777" w:rsidTr="007E34BF">
        <w:tc>
          <w:tcPr>
            <w:tcW w:w="2127" w:type="dxa"/>
          </w:tcPr>
          <w:p w14:paraId="41BD9BF4" w14:textId="4D25A07F" w:rsidR="006B7022" w:rsidRPr="008A00EB" w:rsidRDefault="006B7022" w:rsidP="00843051">
            <w:pPr>
              <w:pStyle w:val="Tabletext"/>
            </w:pPr>
            <w:r>
              <w:t>Department of Housing</w:t>
            </w:r>
            <w:r w:rsidRPr="6301ADE9">
              <w:rPr>
                <w:rStyle w:val="FootnoteReference"/>
              </w:rPr>
              <w:footnoteReference w:id="95"/>
            </w:r>
          </w:p>
        </w:tc>
        <w:tc>
          <w:tcPr>
            <w:tcW w:w="1701" w:type="dxa"/>
          </w:tcPr>
          <w:p w14:paraId="2214AC98" w14:textId="38AED7B4" w:rsidR="00BE14FA" w:rsidRPr="008A00EB" w:rsidRDefault="00EA17E9" w:rsidP="00843051">
            <w:pPr>
              <w:pStyle w:val="Tabletext"/>
            </w:pPr>
            <w:r>
              <w:t>25</w:t>
            </w:r>
            <w:r w:rsidR="006B7022">
              <w:t xml:space="preserve"> complaints</w:t>
            </w:r>
          </w:p>
        </w:tc>
        <w:tc>
          <w:tcPr>
            <w:tcW w:w="5172" w:type="dxa"/>
          </w:tcPr>
          <w:p w14:paraId="3453A017" w14:textId="77777777" w:rsidR="0048571B" w:rsidRPr="00781014" w:rsidRDefault="0048571B" w:rsidP="00586574">
            <w:pPr>
              <w:pStyle w:val="Tabletext"/>
              <w:spacing w:before="0"/>
            </w:pPr>
            <w:r w:rsidRPr="00781014">
              <w:t>The nature of the complaints were:</w:t>
            </w:r>
          </w:p>
          <w:p w14:paraId="08C90B6C" w14:textId="6F8B2AA1" w:rsidR="0048571B" w:rsidRPr="00781014" w:rsidRDefault="0092751B" w:rsidP="00586574">
            <w:pPr>
              <w:pStyle w:val="Tabletext"/>
              <w:numPr>
                <w:ilvl w:val="0"/>
                <w:numId w:val="38"/>
              </w:numPr>
              <w:spacing w:before="0" w:after="0"/>
            </w:pPr>
            <w:r w:rsidRPr="00781014">
              <w:t>6 were about eligibility or wait times</w:t>
            </w:r>
          </w:p>
          <w:p w14:paraId="02B30A2C" w14:textId="2DE39BFA" w:rsidR="0092751B" w:rsidRPr="00781014" w:rsidRDefault="0092751B" w:rsidP="00586574">
            <w:pPr>
              <w:pStyle w:val="Tabletext"/>
              <w:numPr>
                <w:ilvl w:val="0"/>
                <w:numId w:val="38"/>
              </w:numPr>
              <w:spacing w:before="0" w:after="0"/>
            </w:pPr>
            <w:r w:rsidRPr="00781014">
              <w:t>6 were about staff conduct</w:t>
            </w:r>
          </w:p>
          <w:p w14:paraId="2BF41EE6" w14:textId="0C001B2E" w:rsidR="0092751B" w:rsidRPr="00781014" w:rsidRDefault="0092751B" w:rsidP="00586574">
            <w:pPr>
              <w:pStyle w:val="Tabletext"/>
              <w:numPr>
                <w:ilvl w:val="0"/>
                <w:numId w:val="38"/>
              </w:numPr>
              <w:spacing w:before="0" w:after="0"/>
            </w:pPr>
            <w:r w:rsidRPr="00781014">
              <w:t>4 were about the level of service provided</w:t>
            </w:r>
          </w:p>
          <w:p w14:paraId="0FBFD6A7" w14:textId="01C8039A" w:rsidR="008808A6" w:rsidRPr="00781014" w:rsidRDefault="008808A6" w:rsidP="00586574">
            <w:pPr>
              <w:pStyle w:val="Tabletext"/>
              <w:numPr>
                <w:ilvl w:val="0"/>
                <w:numId w:val="38"/>
              </w:numPr>
              <w:spacing w:before="0" w:after="0"/>
            </w:pPr>
            <w:r w:rsidRPr="00781014">
              <w:t xml:space="preserve">3 were about property </w:t>
            </w:r>
            <w:r w:rsidR="00020314" w:rsidRPr="00781014">
              <w:t>maintenance</w:t>
            </w:r>
          </w:p>
          <w:p w14:paraId="53C4FE69" w14:textId="560D6431" w:rsidR="008808A6" w:rsidRPr="00781014" w:rsidRDefault="00F90EB6" w:rsidP="00586574">
            <w:pPr>
              <w:pStyle w:val="Tabletext"/>
              <w:numPr>
                <w:ilvl w:val="0"/>
                <w:numId w:val="38"/>
              </w:numPr>
              <w:spacing w:before="0" w:after="0"/>
            </w:pPr>
            <w:r w:rsidRPr="00781014">
              <w:t>1 was about staff skill/knowledge</w:t>
            </w:r>
          </w:p>
          <w:p w14:paraId="2B7F3AB2" w14:textId="3CB3D539" w:rsidR="00F90EB6" w:rsidRPr="00781014" w:rsidRDefault="00F90EB6" w:rsidP="00586574">
            <w:pPr>
              <w:pStyle w:val="Tabletext"/>
              <w:numPr>
                <w:ilvl w:val="0"/>
                <w:numId w:val="38"/>
              </w:numPr>
              <w:spacing w:before="0" w:after="0"/>
            </w:pPr>
            <w:r w:rsidRPr="00781014">
              <w:t>1 was about privacy</w:t>
            </w:r>
          </w:p>
          <w:p w14:paraId="3AE20C85" w14:textId="3559AC26" w:rsidR="00F90EB6" w:rsidRPr="00781014" w:rsidRDefault="00F90EB6" w:rsidP="00586574">
            <w:pPr>
              <w:pStyle w:val="Tabletext"/>
              <w:numPr>
                <w:ilvl w:val="0"/>
                <w:numId w:val="38"/>
              </w:numPr>
              <w:spacing w:before="0" w:after="0"/>
            </w:pPr>
            <w:r w:rsidRPr="00781014">
              <w:t xml:space="preserve">1 was </w:t>
            </w:r>
            <w:r w:rsidR="00020314" w:rsidRPr="00781014">
              <w:t>about treatment by a funded housing provide</w:t>
            </w:r>
            <w:r w:rsidR="00E44D22">
              <w:t>r</w:t>
            </w:r>
          </w:p>
          <w:p w14:paraId="001AC2D2" w14:textId="7ADF7C12" w:rsidR="00020314" w:rsidRPr="00781014" w:rsidRDefault="00020314" w:rsidP="00830F4F">
            <w:pPr>
              <w:pStyle w:val="Tabletext"/>
              <w:numPr>
                <w:ilvl w:val="0"/>
                <w:numId w:val="38"/>
              </w:numPr>
              <w:spacing w:before="0"/>
            </w:pPr>
            <w:r w:rsidRPr="00781014">
              <w:t>1</w:t>
            </w:r>
            <w:r w:rsidR="00E44D22">
              <w:t xml:space="preserve"> was</w:t>
            </w:r>
            <w:r w:rsidRPr="00781014">
              <w:t xml:space="preserve"> about the handling of the complaint. </w:t>
            </w:r>
          </w:p>
          <w:p w14:paraId="019AC4EE" w14:textId="77777777" w:rsidR="006B7022" w:rsidRDefault="00020314" w:rsidP="00586574">
            <w:pPr>
              <w:pStyle w:val="Tabletext"/>
              <w:spacing w:before="0"/>
            </w:pPr>
            <w:r>
              <w:t>The outcome of the complaints were:</w:t>
            </w:r>
          </w:p>
          <w:p w14:paraId="10E9DDE8" w14:textId="77777777" w:rsidR="00020314" w:rsidRDefault="00012952" w:rsidP="00586574">
            <w:pPr>
              <w:pStyle w:val="Tabletext"/>
              <w:numPr>
                <w:ilvl w:val="0"/>
                <w:numId w:val="39"/>
              </w:numPr>
              <w:spacing w:before="0" w:after="0"/>
            </w:pPr>
            <w:r>
              <w:t>12 customers were provided with an explanation</w:t>
            </w:r>
          </w:p>
          <w:p w14:paraId="530DA54B" w14:textId="77777777" w:rsidR="00551FD7" w:rsidRDefault="00551FD7" w:rsidP="00586574">
            <w:pPr>
              <w:pStyle w:val="Tabletext"/>
              <w:numPr>
                <w:ilvl w:val="0"/>
                <w:numId w:val="39"/>
              </w:numPr>
              <w:spacing w:before="0" w:after="0"/>
            </w:pPr>
            <w:r>
              <w:t>7 complaints could not be substantiated</w:t>
            </w:r>
          </w:p>
          <w:p w14:paraId="50F338E6" w14:textId="33CB08A4" w:rsidR="00551FD7" w:rsidRDefault="00551FD7" w:rsidP="00586574">
            <w:pPr>
              <w:pStyle w:val="Tabletext"/>
              <w:numPr>
                <w:ilvl w:val="0"/>
                <w:numId w:val="39"/>
              </w:numPr>
              <w:spacing w:before="0" w:after="0"/>
            </w:pPr>
            <w:r>
              <w:t xml:space="preserve">3 received an </w:t>
            </w:r>
            <w:r w:rsidR="00781014" w:rsidRPr="00781014">
              <w:t>apology</w:t>
            </w:r>
          </w:p>
          <w:p w14:paraId="00B7D48A" w14:textId="77777777" w:rsidR="00551FD7" w:rsidRDefault="00551FD7" w:rsidP="00586574">
            <w:pPr>
              <w:pStyle w:val="Tabletext"/>
              <w:numPr>
                <w:ilvl w:val="0"/>
                <w:numId w:val="39"/>
              </w:numPr>
              <w:spacing w:before="0" w:after="0"/>
            </w:pPr>
            <w:r>
              <w:t>2 re</w:t>
            </w:r>
            <w:r w:rsidR="00274020">
              <w:t>sulted in staff training</w:t>
            </w:r>
          </w:p>
          <w:p w14:paraId="4AA70BF8" w14:textId="06202DF2" w:rsidR="006B7022" w:rsidRPr="008A00EB" w:rsidRDefault="00274020" w:rsidP="00586574">
            <w:pPr>
              <w:pStyle w:val="Tabletext"/>
              <w:numPr>
                <w:ilvl w:val="0"/>
                <w:numId w:val="39"/>
              </w:numPr>
              <w:spacing w:before="0" w:after="0"/>
            </w:pPr>
            <w:r w:rsidRPr="00781014">
              <w:t xml:space="preserve">1 </w:t>
            </w:r>
            <w:r w:rsidR="00781014" w:rsidRPr="00781014">
              <w:t>was a provision for housing</w:t>
            </w:r>
          </w:p>
        </w:tc>
      </w:tr>
      <w:tr w:rsidR="006B7022" w:rsidRPr="008A00EB" w14:paraId="22E4F1FB" w14:textId="77777777" w:rsidTr="007E34BF">
        <w:tc>
          <w:tcPr>
            <w:tcW w:w="2127" w:type="dxa"/>
          </w:tcPr>
          <w:p w14:paraId="0CD82ABA" w14:textId="77777777" w:rsidR="006B7022" w:rsidRPr="008A00EB" w:rsidRDefault="006B7022" w:rsidP="00843051">
            <w:pPr>
              <w:pStyle w:val="Tabletext"/>
            </w:pPr>
            <w:r w:rsidRPr="008A00EB">
              <w:t>Queensland Police Service</w:t>
            </w:r>
            <w:r w:rsidRPr="494896AF">
              <w:rPr>
                <w:rStyle w:val="FootnoteReference"/>
              </w:rPr>
              <w:footnoteReference w:id="96"/>
            </w:r>
          </w:p>
        </w:tc>
        <w:tc>
          <w:tcPr>
            <w:tcW w:w="1701" w:type="dxa"/>
          </w:tcPr>
          <w:p w14:paraId="42A99353" w14:textId="71800335" w:rsidR="006B7022" w:rsidRDefault="000C1F3D" w:rsidP="00843051">
            <w:pPr>
              <w:pStyle w:val="Tabletext"/>
            </w:pPr>
            <w:r>
              <w:t>1,366</w:t>
            </w:r>
            <w:r w:rsidR="006B7022">
              <w:t xml:space="preserve"> complaints </w:t>
            </w:r>
          </w:p>
          <w:p w14:paraId="5BEBCD8D" w14:textId="12607814" w:rsidR="00BE14FA" w:rsidRPr="008A00EB" w:rsidRDefault="00BE14FA" w:rsidP="00843051">
            <w:pPr>
              <w:pStyle w:val="Tabletext"/>
            </w:pPr>
            <w:r w:rsidRPr="000F2FFF">
              <w:t>(</w:t>
            </w:r>
            <w:r w:rsidR="00C60F48" w:rsidRPr="000F2FFF">
              <w:t xml:space="preserve">1,184 </w:t>
            </w:r>
            <w:r w:rsidR="00D85473" w:rsidRPr="000F2FFF">
              <w:t>in 202</w:t>
            </w:r>
            <w:r w:rsidR="00C60F48" w:rsidRPr="000F2FFF">
              <w:t>1</w:t>
            </w:r>
            <w:r w:rsidR="00D85473" w:rsidRPr="000F2FFF">
              <w:t>-2</w:t>
            </w:r>
            <w:r w:rsidR="00C60F48" w:rsidRPr="000F2FFF">
              <w:t>2</w:t>
            </w:r>
            <w:r w:rsidRPr="000F2FFF">
              <w:t>)</w:t>
            </w:r>
          </w:p>
        </w:tc>
        <w:tc>
          <w:tcPr>
            <w:tcW w:w="5172" w:type="dxa"/>
          </w:tcPr>
          <w:p w14:paraId="00398BF8" w14:textId="644CD07D" w:rsidR="006B7022" w:rsidRPr="008A00EB" w:rsidRDefault="00992CF5" w:rsidP="00843051">
            <w:pPr>
              <w:pStyle w:val="Tabletext"/>
            </w:pPr>
            <w:r>
              <w:t>1,366</w:t>
            </w:r>
            <w:r w:rsidR="006B7022">
              <w:t xml:space="preserve"> complaints where it was </w:t>
            </w:r>
            <w:r w:rsidR="00207350">
              <w:t>alleged</w:t>
            </w:r>
            <w:r w:rsidR="006B7022">
              <w:t xml:space="preserve"> that one or more human rights </w:t>
            </w:r>
            <w:r w:rsidR="00D43EFE">
              <w:t>had</w:t>
            </w:r>
            <w:r w:rsidR="006B7022">
              <w:t xml:space="preserve"> been unreasonably limited</w:t>
            </w:r>
            <w:r w:rsidR="00050E24">
              <w:t>.</w:t>
            </w:r>
            <w:r w:rsidR="0043289B">
              <w:t xml:space="preserve"> </w:t>
            </w:r>
          </w:p>
          <w:p w14:paraId="6B7C65AA" w14:textId="79DD92AF" w:rsidR="00D41DC0" w:rsidRPr="008A00EB" w:rsidRDefault="00D34DF2" w:rsidP="00843051">
            <w:pPr>
              <w:pStyle w:val="Tabletext"/>
            </w:pPr>
            <w:r>
              <w:t>1,788</w:t>
            </w:r>
            <w:r w:rsidR="00FC0C0B">
              <w:t xml:space="preserve"> possible human rights </w:t>
            </w:r>
            <w:r w:rsidR="00654717">
              <w:t>limitations (one</w:t>
            </w:r>
            <w:r w:rsidR="00A84B45">
              <w:t xml:space="preserve"> complaint can include more than one human rights limitation)</w:t>
            </w:r>
            <w:r w:rsidR="00050E24">
              <w:t>.</w:t>
            </w:r>
          </w:p>
          <w:p w14:paraId="3ABB523B" w14:textId="78AA1C8C" w:rsidR="006B7022" w:rsidRPr="008A00EB" w:rsidRDefault="00A1228C" w:rsidP="00843051">
            <w:pPr>
              <w:pStyle w:val="Tabletext"/>
            </w:pPr>
            <w:r>
              <w:t>752</w:t>
            </w:r>
            <w:r w:rsidR="006B7022">
              <w:t xml:space="preserve"> (of the </w:t>
            </w:r>
            <w:r>
              <w:t>1,184</w:t>
            </w:r>
            <w:r w:rsidR="006B7022">
              <w:t xml:space="preserve">) complaints were finalised as at 30 June </w:t>
            </w:r>
            <w:r w:rsidR="006B7022" w:rsidRPr="000F2FFF">
              <w:t>202</w:t>
            </w:r>
            <w:r w:rsidR="000F2FFF" w:rsidRPr="000F2FFF">
              <w:t>3</w:t>
            </w:r>
            <w:r w:rsidR="006B7022">
              <w:t>.</w:t>
            </w:r>
          </w:p>
          <w:p w14:paraId="3B82C5A4" w14:textId="541E2261" w:rsidR="006B7022" w:rsidRPr="008A00EB" w:rsidRDefault="00FE3F13" w:rsidP="00843051">
            <w:pPr>
              <w:pStyle w:val="Tabletext"/>
            </w:pPr>
            <w:r>
              <w:t>35</w:t>
            </w:r>
            <w:r w:rsidR="006B7022">
              <w:t xml:space="preserve"> instances where human rights were unreasonably limited result</w:t>
            </w:r>
            <w:r w:rsidR="0083034D">
              <w:t>ed</w:t>
            </w:r>
            <w:r w:rsidR="006B7022">
              <w:t xml:space="preserve"> in</w:t>
            </w:r>
            <w:r w:rsidR="00A854F1">
              <w:t xml:space="preserve">: </w:t>
            </w:r>
            <w:r>
              <w:t>8</w:t>
            </w:r>
            <w:r w:rsidR="00A854F1">
              <w:t xml:space="preserve"> apologies</w:t>
            </w:r>
            <w:r w:rsidR="00F039F1">
              <w:t xml:space="preserve">, </w:t>
            </w:r>
            <w:r w:rsidR="0088644D">
              <w:t>3</w:t>
            </w:r>
            <w:r w:rsidR="00F039F1">
              <w:t xml:space="preserve"> managerial resolution, </w:t>
            </w:r>
            <w:r w:rsidR="0088644D">
              <w:t>9</w:t>
            </w:r>
            <w:r w:rsidR="00F039F1">
              <w:t xml:space="preserve"> explanations</w:t>
            </w:r>
            <w:r w:rsidR="00303DDD">
              <w:t xml:space="preserve">, </w:t>
            </w:r>
            <w:r w:rsidR="0088644D">
              <w:t>12</w:t>
            </w:r>
            <w:r w:rsidR="00303DDD">
              <w:t xml:space="preserve"> disciplinary actions.</w:t>
            </w:r>
            <w:r w:rsidR="006B7022">
              <w:t xml:space="preserve"> However, in most cases, there was no further action taken as no human rights limitations were detected, or an explanation was provided to the complainant as the officers’ actions were identified as being lawful and reasonable.</w:t>
            </w:r>
          </w:p>
        </w:tc>
      </w:tr>
      <w:tr w:rsidR="006B7022" w:rsidRPr="008A00EB" w14:paraId="7D9EE92E" w14:textId="77777777" w:rsidTr="007E34BF">
        <w:tc>
          <w:tcPr>
            <w:tcW w:w="2127" w:type="dxa"/>
          </w:tcPr>
          <w:p w14:paraId="4423F603" w14:textId="7DED72CA" w:rsidR="006B7022" w:rsidRPr="008A00EB" w:rsidRDefault="006B7022" w:rsidP="00843051">
            <w:pPr>
              <w:pStyle w:val="Tabletext"/>
            </w:pPr>
            <w:r w:rsidRPr="008A00EB">
              <w:t xml:space="preserve">Department of </w:t>
            </w:r>
            <w:r w:rsidR="00F8430B">
              <w:t>Child Safety, Seniors and Disability Services</w:t>
            </w:r>
            <w:r w:rsidRPr="4DDC3D88">
              <w:rPr>
                <w:rStyle w:val="FootnoteReference"/>
              </w:rPr>
              <w:footnoteReference w:id="97"/>
            </w:r>
          </w:p>
        </w:tc>
        <w:tc>
          <w:tcPr>
            <w:tcW w:w="1701" w:type="dxa"/>
          </w:tcPr>
          <w:p w14:paraId="7F026495" w14:textId="1E044B7D" w:rsidR="006B7022" w:rsidRDefault="002355A9" w:rsidP="00843051">
            <w:pPr>
              <w:pStyle w:val="Tabletext"/>
            </w:pPr>
            <w:r>
              <w:t>1</w:t>
            </w:r>
            <w:r w:rsidR="00AC661F">
              <w:t>04</w:t>
            </w:r>
            <w:r w:rsidR="006B7022">
              <w:t xml:space="preserve"> </w:t>
            </w:r>
            <w:r w:rsidR="00A13116">
              <w:t>complaints</w:t>
            </w:r>
          </w:p>
          <w:p w14:paraId="32A1A409" w14:textId="57DC659F" w:rsidR="00BE14FA" w:rsidRPr="008A00EB" w:rsidRDefault="00BE14FA" w:rsidP="00843051">
            <w:pPr>
              <w:pStyle w:val="Tabletext"/>
            </w:pPr>
          </w:p>
        </w:tc>
        <w:tc>
          <w:tcPr>
            <w:tcW w:w="5172" w:type="dxa"/>
          </w:tcPr>
          <w:p w14:paraId="7E3969CC" w14:textId="73AC0FBF" w:rsidR="006B7022" w:rsidRDefault="00946F33" w:rsidP="00843051">
            <w:pPr>
              <w:pStyle w:val="Tabletext"/>
              <w:rPr>
                <w:rFonts w:cs="Arial"/>
              </w:rPr>
            </w:pPr>
            <w:r>
              <w:rPr>
                <w:rFonts w:cs="Arial"/>
              </w:rPr>
              <w:t>104</w:t>
            </w:r>
            <w:r w:rsidR="00862D74">
              <w:rPr>
                <w:rFonts w:cs="Arial"/>
              </w:rPr>
              <w:t xml:space="preserve"> complaints</w:t>
            </w:r>
            <w:r w:rsidR="006B7022" w:rsidRPr="77300253">
              <w:rPr>
                <w:rFonts w:cs="Arial"/>
              </w:rPr>
              <w:t xml:space="preserve"> </w:t>
            </w:r>
            <w:r w:rsidR="00BB696E">
              <w:rPr>
                <w:rFonts w:cs="Arial"/>
              </w:rPr>
              <w:t>that</w:t>
            </w:r>
            <w:r w:rsidR="001B26A2">
              <w:rPr>
                <w:rFonts w:cs="Arial"/>
              </w:rPr>
              <w:t xml:space="preserve"> </w:t>
            </w:r>
            <w:r w:rsidR="00BB696E">
              <w:rPr>
                <w:rFonts w:cs="Arial"/>
              </w:rPr>
              <w:t>contained</w:t>
            </w:r>
            <w:r w:rsidR="006B7022" w:rsidRPr="77300253">
              <w:rPr>
                <w:rFonts w:cs="Arial"/>
              </w:rPr>
              <w:t xml:space="preserve"> </w:t>
            </w:r>
            <w:r>
              <w:rPr>
                <w:rFonts w:cs="Arial"/>
              </w:rPr>
              <w:t>206</w:t>
            </w:r>
            <w:r w:rsidR="006B7022" w:rsidRPr="77300253">
              <w:rPr>
                <w:rFonts w:cs="Arial"/>
              </w:rPr>
              <w:t xml:space="preserve"> allegations</w:t>
            </w:r>
            <w:r w:rsidR="00F538A7">
              <w:rPr>
                <w:rFonts w:cs="Arial"/>
              </w:rPr>
              <w:t>.</w:t>
            </w:r>
            <w:r w:rsidR="001B26A2">
              <w:rPr>
                <w:rFonts w:cs="Arial"/>
              </w:rPr>
              <w:t xml:space="preserve"> </w:t>
            </w:r>
            <w:r w:rsidR="00F538A7">
              <w:rPr>
                <w:rFonts w:cs="Arial"/>
              </w:rPr>
              <w:t xml:space="preserve">Of these allegations, </w:t>
            </w:r>
            <w:r w:rsidR="00F61508">
              <w:rPr>
                <w:rFonts w:cs="Arial"/>
              </w:rPr>
              <w:t>186</w:t>
            </w:r>
            <w:r w:rsidR="00F538A7">
              <w:rPr>
                <w:rFonts w:cs="Arial"/>
              </w:rPr>
              <w:t xml:space="preserve"> </w:t>
            </w:r>
            <w:r w:rsidR="00070813">
              <w:rPr>
                <w:rFonts w:cs="Arial"/>
              </w:rPr>
              <w:t>have been finalised, with the following outcomes:</w:t>
            </w:r>
          </w:p>
          <w:p w14:paraId="30B29B61" w14:textId="660C2692" w:rsidR="006247A1" w:rsidRDefault="00D21F8A" w:rsidP="005215CD">
            <w:pPr>
              <w:pStyle w:val="Listparagraph-bulleted"/>
              <w:ind w:right="0"/>
            </w:pPr>
            <w:r>
              <w:t>87</w:t>
            </w:r>
            <w:r w:rsidR="0041427E">
              <w:t xml:space="preserve"> were unsubstantiated (rights not limited)</w:t>
            </w:r>
          </w:p>
          <w:p w14:paraId="6BA9D8E2" w14:textId="77777777" w:rsidR="00024CD7" w:rsidRDefault="00024CD7" w:rsidP="00D96C52">
            <w:pPr>
              <w:pStyle w:val="Listparagraph-bulleted"/>
              <w:ind w:right="0"/>
            </w:pPr>
            <w:r>
              <w:t>66</w:t>
            </w:r>
            <w:r w:rsidR="00D57467">
              <w:t xml:space="preserve"> were unsubstantiated (rights limited, </w:t>
            </w:r>
            <w:r w:rsidR="00731C8C">
              <w:t xml:space="preserve">but </w:t>
            </w:r>
            <w:r w:rsidR="00D57467">
              <w:t>justified and reasonable)</w:t>
            </w:r>
          </w:p>
          <w:p w14:paraId="78841177" w14:textId="11FF880E" w:rsidR="006B7022" w:rsidRPr="00A34BF8" w:rsidRDefault="00A67DDB" w:rsidP="00D96C52">
            <w:pPr>
              <w:pStyle w:val="Listparagraph-bulleted"/>
              <w:ind w:right="0"/>
            </w:pPr>
            <w:r>
              <w:t>33</w:t>
            </w:r>
            <w:r w:rsidR="00CA3D82">
              <w:t xml:space="preserve"> were substantiated (limited, not justified and unreasonable)</w:t>
            </w:r>
            <w:r w:rsidR="00A75AA5">
              <w:t>.</w:t>
            </w:r>
          </w:p>
        </w:tc>
      </w:tr>
      <w:tr w:rsidR="006B7022" w:rsidRPr="008A00EB" w14:paraId="19265DE6" w14:textId="77777777" w:rsidTr="007E34BF">
        <w:tc>
          <w:tcPr>
            <w:tcW w:w="2127" w:type="dxa"/>
          </w:tcPr>
          <w:p w14:paraId="546479BA" w14:textId="77777777" w:rsidR="006B7022" w:rsidRPr="008A00EB" w:rsidRDefault="006B7022" w:rsidP="00843051">
            <w:pPr>
              <w:pStyle w:val="Tabletext"/>
            </w:pPr>
            <w:r w:rsidRPr="008A00EB">
              <w:t>Queensland Corrective Services</w:t>
            </w:r>
            <w:r w:rsidRPr="494896AF">
              <w:rPr>
                <w:rStyle w:val="FootnoteReference"/>
              </w:rPr>
              <w:footnoteReference w:id="98"/>
            </w:r>
          </w:p>
        </w:tc>
        <w:tc>
          <w:tcPr>
            <w:tcW w:w="1701" w:type="dxa"/>
          </w:tcPr>
          <w:p w14:paraId="57E7D67C" w14:textId="29D638C8" w:rsidR="006B7022" w:rsidRDefault="00E061C3" w:rsidP="00843051">
            <w:pPr>
              <w:pStyle w:val="Tabletext"/>
            </w:pPr>
            <w:r>
              <w:t>1</w:t>
            </w:r>
            <w:r w:rsidR="006B4B8E">
              <w:t>38</w:t>
            </w:r>
            <w:r w:rsidR="002510B3">
              <w:t xml:space="preserve"> c</w:t>
            </w:r>
            <w:r w:rsidR="006B7022">
              <w:t>omplaints</w:t>
            </w:r>
          </w:p>
          <w:p w14:paraId="3EC61F17" w14:textId="468AB10D" w:rsidR="00BE14FA" w:rsidRPr="008A00EB" w:rsidRDefault="00BE14FA" w:rsidP="00843051">
            <w:pPr>
              <w:pStyle w:val="Tabletext"/>
            </w:pPr>
            <w:r>
              <w:t>(</w:t>
            </w:r>
            <w:r w:rsidR="000603BA" w:rsidRPr="007D589E">
              <w:t>693</w:t>
            </w:r>
            <w:r w:rsidR="00D85473">
              <w:t xml:space="preserve"> in </w:t>
            </w:r>
            <w:r w:rsidR="00D85473" w:rsidRPr="007D589E">
              <w:t>202</w:t>
            </w:r>
            <w:r w:rsidR="007D589E">
              <w:t>1</w:t>
            </w:r>
            <w:r w:rsidR="00D85473" w:rsidRPr="007D589E">
              <w:t>-2</w:t>
            </w:r>
            <w:r w:rsidR="007D589E">
              <w:t>2</w:t>
            </w:r>
            <w:r>
              <w:t>)</w:t>
            </w:r>
          </w:p>
        </w:tc>
        <w:tc>
          <w:tcPr>
            <w:tcW w:w="5172" w:type="dxa"/>
          </w:tcPr>
          <w:p w14:paraId="51A37B43" w14:textId="58F23F03" w:rsidR="006B7022" w:rsidRPr="008A00EB" w:rsidRDefault="006B7022" w:rsidP="00843051">
            <w:pPr>
              <w:pStyle w:val="Tabletext"/>
              <w:rPr>
                <w:rFonts w:cs="Arial"/>
              </w:rPr>
            </w:pPr>
            <w:r w:rsidRPr="3453ED97">
              <w:rPr>
                <w:rFonts w:cs="Arial"/>
              </w:rPr>
              <w:t xml:space="preserve">QCS received </w:t>
            </w:r>
            <w:r w:rsidR="0098104E">
              <w:rPr>
                <w:rFonts w:cs="Arial"/>
              </w:rPr>
              <w:t>1</w:t>
            </w:r>
            <w:r w:rsidR="00957493">
              <w:rPr>
                <w:rFonts w:cs="Arial"/>
              </w:rPr>
              <w:t>,</w:t>
            </w:r>
            <w:r w:rsidR="0098104E">
              <w:rPr>
                <w:rFonts w:cs="Arial"/>
              </w:rPr>
              <w:t>0</w:t>
            </w:r>
            <w:r w:rsidR="001735A0">
              <w:rPr>
                <w:rFonts w:cs="Arial"/>
              </w:rPr>
              <w:t xml:space="preserve">32 </w:t>
            </w:r>
            <w:r w:rsidRPr="3453ED97">
              <w:rPr>
                <w:rFonts w:cs="Arial"/>
              </w:rPr>
              <w:t xml:space="preserve">complaints, including </w:t>
            </w:r>
            <w:r w:rsidR="00F86415">
              <w:rPr>
                <w:rFonts w:cs="Arial"/>
              </w:rPr>
              <w:t>138</w:t>
            </w:r>
            <w:r w:rsidRPr="3453ED97">
              <w:rPr>
                <w:rFonts w:cs="Arial"/>
              </w:rPr>
              <w:t xml:space="preserve"> complaints which raised a human rights issue. </w:t>
            </w:r>
          </w:p>
          <w:p w14:paraId="065CD7DB" w14:textId="77777777" w:rsidR="00683DCD" w:rsidRDefault="00683DCD" w:rsidP="00843051">
            <w:pPr>
              <w:pStyle w:val="Tabletext"/>
              <w:rPr>
                <w:rFonts w:cs="Arial"/>
              </w:rPr>
            </w:pPr>
            <w:r>
              <w:rPr>
                <w:rFonts w:cs="Arial"/>
              </w:rPr>
              <w:t>The complaints with a human rights component were about:</w:t>
            </w:r>
          </w:p>
          <w:p w14:paraId="5573CB7A" w14:textId="19D969D6" w:rsidR="00985748" w:rsidRDefault="00985748" w:rsidP="00843051">
            <w:pPr>
              <w:pStyle w:val="Tabletext"/>
              <w:rPr>
                <w:rFonts w:cs="Arial"/>
              </w:rPr>
            </w:pPr>
            <w:r>
              <w:rPr>
                <w:rFonts w:cs="Arial"/>
              </w:rPr>
              <w:t xml:space="preserve">Of the </w:t>
            </w:r>
            <w:r w:rsidR="00046CF6">
              <w:rPr>
                <w:rFonts w:cs="Arial"/>
              </w:rPr>
              <w:t xml:space="preserve">138 </w:t>
            </w:r>
            <w:r w:rsidR="0035682D">
              <w:rPr>
                <w:rFonts w:cs="Arial"/>
              </w:rPr>
              <w:t>complaints</w:t>
            </w:r>
            <w:r w:rsidR="00046CF6">
              <w:rPr>
                <w:rFonts w:cs="Arial"/>
              </w:rPr>
              <w:t xml:space="preserve"> with a human rights component the outcomes were as follows:</w:t>
            </w:r>
          </w:p>
          <w:p w14:paraId="78906872" w14:textId="77777777" w:rsidR="00321431" w:rsidRPr="00211C54" w:rsidRDefault="0035682D" w:rsidP="00321431">
            <w:pPr>
              <w:pStyle w:val="Listparagraph-bulleted"/>
              <w:ind w:right="-195"/>
            </w:pPr>
            <w:r>
              <w:t xml:space="preserve">10 were partially </w:t>
            </w:r>
            <w:r w:rsidR="007B0D50">
              <w:t>substantiated</w:t>
            </w:r>
          </w:p>
          <w:p w14:paraId="35274798" w14:textId="2F893A15" w:rsidR="00321431" w:rsidRPr="00211C54" w:rsidRDefault="00B3022C" w:rsidP="00321431">
            <w:pPr>
              <w:pStyle w:val="Listparagraph-bulleted"/>
              <w:ind w:right="-195"/>
            </w:pPr>
            <w:r w:rsidRPr="00211C54">
              <w:t>78</w:t>
            </w:r>
            <w:r w:rsidR="00321431" w:rsidRPr="00211C54">
              <w:t xml:space="preserve"> were not substantiated</w:t>
            </w:r>
          </w:p>
          <w:p w14:paraId="3EF27533" w14:textId="1F016355" w:rsidR="00321431" w:rsidRPr="00211C54" w:rsidRDefault="00FD4BB7" w:rsidP="00321431">
            <w:pPr>
              <w:pStyle w:val="Listparagraph-bulleted"/>
              <w:ind w:right="-195"/>
            </w:pPr>
            <w:r w:rsidRPr="00211C54">
              <w:t>17</w:t>
            </w:r>
            <w:r w:rsidR="00321431" w:rsidRPr="00211C54">
              <w:t xml:space="preserve"> were referred or made to another agency</w:t>
            </w:r>
          </w:p>
          <w:p w14:paraId="34F9CAB6" w14:textId="21988565" w:rsidR="00FD14CC" w:rsidRPr="00211C54" w:rsidRDefault="00FD14CC" w:rsidP="00321431">
            <w:pPr>
              <w:pStyle w:val="Listparagraph-bulleted"/>
              <w:ind w:right="-195"/>
            </w:pPr>
            <w:r w:rsidRPr="00211C54">
              <w:t xml:space="preserve">31 </w:t>
            </w:r>
            <w:r w:rsidR="00C77C9C" w:rsidRPr="00211C54">
              <w:t>are still open/ongoing</w:t>
            </w:r>
          </w:p>
          <w:p w14:paraId="0229D03D" w14:textId="6D693E2D" w:rsidR="006B7022" w:rsidRPr="004114ED" w:rsidRDefault="00252E00" w:rsidP="00790794">
            <w:pPr>
              <w:pStyle w:val="Listparagraph-bulleted"/>
            </w:pPr>
            <w:r w:rsidRPr="00211C54">
              <w:t xml:space="preserve">2 </w:t>
            </w:r>
            <w:r w:rsidR="00321431" w:rsidRPr="00211C54">
              <w:t>were listed as</w:t>
            </w:r>
            <w:r w:rsidR="00437BCA" w:rsidRPr="00211C54">
              <w:t xml:space="preserve"> </w:t>
            </w:r>
            <w:r w:rsidR="00321431" w:rsidRPr="00211C54">
              <w:t>other’</w:t>
            </w:r>
            <w:r w:rsidR="004114ED">
              <w:t>.</w:t>
            </w:r>
          </w:p>
        </w:tc>
      </w:tr>
      <w:tr w:rsidR="006B7022" w:rsidRPr="008A00EB" w14:paraId="3AF582F9" w14:textId="77777777" w:rsidTr="007E34BF">
        <w:tc>
          <w:tcPr>
            <w:tcW w:w="2127" w:type="dxa"/>
          </w:tcPr>
          <w:p w14:paraId="6FECFAB3" w14:textId="34B43521" w:rsidR="006B7022" w:rsidRPr="008A00EB" w:rsidRDefault="006B7022" w:rsidP="00843051">
            <w:pPr>
              <w:pStyle w:val="Tabletext"/>
            </w:pPr>
            <w:r>
              <w:t xml:space="preserve">Department of </w:t>
            </w:r>
            <w:r w:rsidR="00F8430B">
              <w:t xml:space="preserve">Treaty, Aboriginal and Torres Strait Islander Partnerships, </w:t>
            </w:r>
            <w:r w:rsidR="00867382">
              <w:t>Communities,</w:t>
            </w:r>
            <w:r w:rsidR="00F8430B">
              <w:t xml:space="preserve"> and the Arts</w:t>
            </w:r>
            <w:r w:rsidRPr="61539BFA">
              <w:rPr>
                <w:rStyle w:val="FootnoteReference"/>
              </w:rPr>
              <w:footnoteReference w:id="99"/>
            </w:r>
          </w:p>
        </w:tc>
        <w:tc>
          <w:tcPr>
            <w:tcW w:w="1701" w:type="dxa"/>
          </w:tcPr>
          <w:p w14:paraId="72E85E37" w14:textId="02208904" w:rsidR="006B7022" w:rsidRDefault="00767CA4" w:rsidP="00843051">
            <w:pPr>
              <w:pStyle w:val="Tabletext"/>
            </w:pPr>
            <w:r>
              <w:t>3</w:t>
            </w:r>
            <w:r w:rsidR="006B7022">
              <w:t xml:space="preserve"> </w:t>
            </w:r>
            <w:r w:rsidR="00134A99">
              <w:t xml:space="preserve">customer </w:t>
            </w:r>
            <w:r w:rsidR="006B7022">
              <w:t>complaints</w:t>
            </w:r>
          </w:p>
          <w:p w14:paraId="48D8A411" w14:textId="4169BB6D" w:rsidR="006B7022" w:rsidRDefault="003E1D31" w:rsidP="00843051">
            <w:pPr>
              <w:pStyle w:val="Tabletext"/>
            </w:pPr>
            <w:r>
              <w:t>4</w:t>
            </w:r>
            <w:r w:rsidR="00012258">
              <w:t xml:space="preserve"> staff</w:t>
            </w:r>
            <w:r w:rsidR="006B7022">
              <w:t xml:space="preserve"> complaints</w:t>
            </w:r>
          </w:p>
          <w:p w14:paraId="715A9412" w14:textId="29C0A20A" w:rsidR="00BE14FA" w:rsidRPr="008A00EB" w:rsidRDefault="00BE14FA" w:rsidP="00843051">
            <w:pPr>
              <w:pStyle w:val="Tabletext"/>
            </w:pPr>
          </w:p>
        </w:tc>
        <w:tc>
          <w:tcPr>
            <w:tcW w:w="5172" w:type="dxa"/>
          </w:tcPr>
          <w:p w14:paraId="3AEF57DF" w14:textId="079A1EA0" w:rsidR="006B7022" w:rsidRPr="008A00EB" w:rsidRDefault="00B1319C" w:rsidP="00843051">
            <w:pPr>
              <w:pStyle w:val="Tabletext"/>
            </w:pPr>
            <w:r>
              <w:t>3</w:t>
            </w:r>
            <w:r w:rsidR="00762A4B">
              <w:t xml:space="preserve"> </w:t>
            </w:r>
            <w:r w:rsidR="006C2B03">
              <w:t xml:space="preserve">customer </w:t>
            </w:r>
            <w:r w:rsidR="008006C0">
              <w:t xml:space="preserve">complaints </w:t>
            </w:r>
            <w:r w:rsidR="006C2B03">
              <w:t xml:space="preserve">were identified as </w:t>
            </w:r>
            <w:r w:rsidR="00F77801">
              <w:t>containing multiple</w:t>
            </w:r>
            <w:r w:rsidR="006C2B03">
              <w:t xml:space="preserve"> human rights</w:t>
            </w:r>
            <w:r w:rsidR="00840A49">
              <w:t xml:space="preserve"> </w:t>
            </w:r>
            <w:r w:rsidR="00F77801">
              <w:t xml:space="preserve">issues. </w:t>
            </w:r>
            <w:r w:rsidR="008555C0">
              <w:t xml:space="preserve">Concerns about </w:t>
            </w:r>
            <w:r w:rsidR="00E441B9">
              <w:t>1</w:t>
            </w:r>
            <w:r w:rsidR="008555C0">
              <w:t xml:space="preserve"> human rights were resolved as not substantiated</w:t>
            </w:r>
            <w:r w:rsidR="000179B3">
              <w:t xml:space="preserve">, and concerns about the remaining </w:t>
            </w:r>
            <w:r w:rsidR="00E441B9">
              <w:t>2</w:t>
            </w:r>
            <w:r w:rsidR="000179B3">
              <w:t xml:space="preserve"> human rights </w:t>
            </w:r>
            <w:r w:rsidR="006A2B11">
              <w:t>are not yet finalised.</w:t>
            </w:r>
            <w:r w:rsidR="006B7022">
              <w:t xml:space="preserve"> </w:t>
            </w:r>
          </w:p>
          <w:p w14:paraId="0B0ADE0E" w14:textId="76213B3B" w:rsidR="006B7022" w:rsidRPr="008A00EB" w:rsidRDefault="00E64322" w:rsidP="00843051">
            <w:pPr>
              <w:pStyle w:val="Tabletext"/>
            </w:pPr>
            <w:r>
              <w:t xml:space="preserve">Of the </w:t>
            </w:r>
            <w:r w:rsidR="009D315E">
              <w:t>staff complaints received, none directly referred to the Act</w:t>
            </w:r>
            <w:r w:rsidR="004C4514">
              <w:t xml:space="preserve">, but </w:t>
            </w:r>
            <w:r w:rsidR="00BB57C7">
              <w:t>4</w:t>
            </w:r>
            <w:r w:rsidR="004C4514">
              <w:t xml:space="preserve"> matters were assessed as containing identified human rights that may have been engaged.</w:t>
            </w:r>
            <w:r w:rsidR="00DF5C98">
              <w:t xml:space="preserve"> Some matters contained multiple human rights issues.</w:t>
            </w:r>
            <w:r w:rsidR="00815E16">
              <w:t xml:space="preserve"> </w:t>
            </w:r>
            <w:r w:rsidR="000354E8">
              <w:t xml:space="preserve">All 4 complaints were finalised with no further action. </w:t>
            </w:r>
          </w:p>
        </w:tc>
      </w:tr>
      <w:tr w:rsidR="006B7022" w:rsidRPr="008A00EB" w14:paraId="20BC82B6" w14:textId="77777777" w:rsidTr="007E34BF">
        <w:tc>
          <w:tcPr>
            <w:tcW w:w="2127" w:type="dxa"/>
          </w:tcPr>
          <w:p w14:paraId="1016E0B4" w14:textId="77777777" w:rsidR="006B7022" w:rsidRPr="0032027E" w:rsidRDefault="006B7022" w:rsidP="00843051">
            <w:pPr>
              <w:pStyle w:val="Tabletext"/>
            </w:pPr>
            <w:r w:rsidRPr="0032027E">
              <w:t>Department of Health</w:t>
            </w:r>
            <w:r w:rsidRPr="0032027E">
              <w:rPr>
                <w:rStyle w:val="FootnoteReference"/>
              </w:rPr>
              <w:footnoteReference w:id="100"/>
            </w:r>
            <w:r w:rsidRPr="0032027E">
              <w:br/>
            </w:r>
          </w:p>
        </w:tc>
        <w:tc>
          <w:tcPr>
            <w:tcW w:w="1701" w:type="dxa"/>
          </w:tcPr>
          <w:p w14:paraId="01154D2E" w14:textId="60CC0A04" w:rsidR="006B7022" w:rsidRPr="0032027E" w:rsidRDefault="00562BEF" w:rsidP="00843051">
            <w:pPr>
              <w:pStyle w:val="Tabletext"/>
            </w:pPr>
            <w:r w:rsidRPr="0032027E">
              <w:t>558</w:t>
            </w:r>
            <w:r w:rsidR="006B7022" w:rsidRPr="0032027E">
              <w:t xml:space="preserve"> complaints</w:t>
            </w:r>
          </w:p>
          <w:p w14:paraId="58B70406" w14:textId="5BD8DDC4" w:rsidR="00E951A1" w:rsidRPr="0032027E" w:rsidRDefault="00E951A1" w:rsidP="00843051">
            <w:pPr>
              <w:pStyle w:val="Tabletext"/>
            </w:pPr>
            <w:r w:rsidRPr="0032027E">
              <w:t>(</w:t>
            </w:r>
            <w:r w:rsidR="007D589E" w:rsidRPr="0032027E">
              <w:t>435</w:t>
            </w:r>
            <w:r w:rsidR="00D85473" w:rsidRPr="0032027E">
              <w:t xml:space="preserve"> in </w:t>
            </w:r>
            <w:r w:rsidR="00D85473" w:rsidRPr="0032027E">
              <w:rPr>
                <w:shd w:val="clear" w:color="auto" w:fill="E6E6E6"/>
              </w:rPr>
              <w:t>202</w:t>
            </w:r>
            <w:r w:rsidR="007D589E" w:rsidRPr="0032027E">
              <w:t>1</w:t>
            </w:r>
            <w:r w:rsidR="00D85473" w:rsidRPr="0032027E">
              <w:t>-</w:t>
            </w:r>
            <w:r w:rsidR="00D85473" w:rsidRPr="0032027E">
              <w:rPr>
                <w:shd w:val="clear" w:color="auto" w:fill="E6E6E6"/>
              </w:rPr>
              <w:t>2</w:t>
            </w:r>
            <w:r w:rsidR="007D589E" w:rsidRPr="0032027E">
              <w:t>2</w:t>
            </w:r>
            <w:r w:rsidRPr="0032027E">
              <w:t>)</w:t>
            </w:r>
          </w:p>
        </w:tc>
        <w:tc>
          <w:tcPr>
            <w:tcW w:w="5172" w:type="dxa"/>
          </w:tcPr>
          <w:p w14:paraId="0E872AA2" w14:textId="7BEEB6FE" w:rsidR="003C6B3C" w:rsidRDefault="00804AFE" w:rsidP="00843051">
            <w:pPr>
              <w:pStyle w:val="Tabletext"/>
            </w:pPr>
            <w:r>
              <w:t xml:space="preserve">Of the </w:t>
            </w:r>
            <w:r w:rsidR="00264397">
              <w:t xml:space="preserve">558 </w:t>
            </w:r>
            <w:r w:rsidR="00A9032F">
              <w:t>complaints received,</w:t>
            </w:r>
            <w:r w:rsidR="003C6B3C">
              <w:t xml:space="preserve"> the outcomes were:</w:t>
            </w:r>
          </w:p>
          <w:p w14:paraId="00224196" w14:textId="77841A8E" w:rsidR="006B7022" w:rsidRPr="008A00EB" w:rsidRDefault="00254251" w:rsidP="00A35856">
            <w:pPr>
              <w:pStyle w:val="Tabletext"/>
              <w:numPr>
                <w:ilvl w:val="0"/>
                <w:numId w:val="41"/>
              </w:numPr>
              <w:spacing w:after="0"/>
              <w:ind w:hanging="318"/>
            </w:pPr>
            <w:r>
              <w:t>471</w:t>
            </w:r>
            <w:r w:rsidR="006B7022">
              <w:t xml:space="preserve"> complaints </w:t>
            </w:r>
            <w:r w:rsidR="003403A9">
              <w:t xml:space="preserve">were </w:t>
            </w:r>
            <w:r w:rsidR="006B7022">
              <w:t xml:space="preserve">resolved by the </w:t>
            </w:r>
            <w:r w:rsidR="007D589E">
              <w:t>D</w:t>
            </w:r>
            <w:r w:rsidR="006B7022">
              <w:t>epartment</w:t>
            </w:r>
          </w:p>
          <w:p w14:paraId="3D3ABE15" w14:textId="12A8EB6B" w:rsidR="006B7022" w:rsidRPr="008A00EB" w:rsidRDefault="00776CFF" w:rsidP="00A35856">
            <w:pPr>
              <w:pStyle w:val="Listparagraph-bulleted"/>
              <w:ind w:right="0" w:hanging="318"/>
            </w:pPr>
            <w:r>
              <w:t>67</w:t>
            </w:r>
            <w:r w:rsidR="006B7022">
              <w:t xml:space="preserve"> complaints remain ongoing/open</w:t>
            </w:r>
          </w:p>
          <w:p w14:paraId="008FEACA" w14:textId="6B0C8EA3" w:rsidR="006B7022" w:rsidRPr="008A00EB" w:rsidRDefault="00776CFF" w:rsidP="00A35856">
            <w:pPr>
              <w:pStyle w:val="Listparagraph-bulleted"/>
              <w:ind w:right="0" w:hanging="318"/>
            </w:pPr>
            <w:r>
              <w:t>7</w:t>
            </w:r>
            <w:r w:rsidR="006B7022">
              <w:t xml:space="preserve"> complaints were referred to the QIRC for conciliation</w:t>
            </w:r>
          </w:p>
          <w:p w14:paraId="12B5050A" w14:textId="77777777" w:rsidR="00933C6B" w:rsidRDefault="00776CFF" w:rsidP="00A35856">
            <w:pPr>
              <w:pStyle w:val="Listparagraph-bulleted"/>
              <w:ind w:right="0" w:hanging="318"/>
            </w:pPr>
            <w:r>
              <w:t>11</w:t>
            </w:r>
            <w:r w:rsidR="006B7022">
              <w:t xml:space="preserve"> complaints were unresolved (including closed or lapsed)</w:t>
            </w:r>
          </w:p>
          <w:p w14:paraId="2C2EF6BD" w14:textId="143A32FC" w:rsidR="006B7022" w:rsidRPr="008A00EB" w:rsidRDefault="00933C6B" w:rsidP="005B304E">
            <w:pPr>
              <w:pStyle w:val="Listparagraph-bulleted"/>
              <w:ind w:right="0"/>
            </w:pPr>
            <w:r>
              <w:t>2 were identified as ‘other’</w:t>
            </w:r>
            <w:r w:rsidR="006B7022">
              <w:t xml:space="preserve">. </w:t>
            </w:r>
          </w:p>
        </w:tc>
      </w:tr>
      <w:tr w:rsidR="00E275A3" w:rsidRPr="008A00EB" w14:paraId="59B0E0D6" w14:textId="77777777" w:rsidTr="007E34BF">
        <w:tc>
          <w:tcPr>
            <w:tcW w:w="2127" w:type="dxa"/>
          </w:tcPr>
          <w:p w14:paraId="59DF62B9" w14:textId="0FA553C7" w:rsidR="00E275A3" w:rsidRDefault="00E275A3" w:rsidP="00843051">
            <w:pPr>
              <w:pStyle w:val="Tabletext"/>
            </w:pPr>
            <w:r>
              <w:t xml:space="preserve">Department of Youth Justice, </w:t>
            </w:r>
            <w:r w:rsidR="00673254">
              <w:t xml:space="preserve">Employment, </w:t>
            </w:r>
            <w:r>
              <w:t>Small Business and Training</w:t>
            </w:r>
            <w:r w:rsidR="00673254">
              <w:rPr>
                <w:rStyle w:val="FootnoteReference"/>
              </w:rPr>
              <w:footnoteReference w:id="101"/>
            </w:r>
          </w:p>
        </w:tc>
        <w:tc>
          <w:tcPr>
            <w:tcW w:w="1701" w:type="dxa"/>
          </w:tcPr>
          <w:p w14:paraId="69DB3F2D" w14:textId="13A30845" w:rsidR="00E275A3" w:rsidRDefault="09DC896A" w:rsidP="00843051">
            <w:pPr>
              <w:pStyle w:val="Tabletext"/>
            </w:pPr>
            <w:r>
              <w:t xml:space="preserve">152 </w:t>
            </w:r>
            <w:r w:rsidR="007718EE">
              <w:t>complaints</w:t>
            </w:r>
          </w:p>
        </w:tc>
        <w:tc>
          <w:tcPr>
            <w:tcW w:w="5172" w:type="dxa"/>
          </w:tcPr>
          <w:p w14:paraId="6412722A" w14:textId="4ACC6D0A" w:rsidR="00E275A3" w:rsidRDefault="00663694" w:rsidP="00843051">
            <w:pPr>
              <w:pStyle w:val="Tabletext"/>
            </w:pPr>
            <w:r>
              <w:t xml:space="preserve">There were 152 complaints which were received where human rights were engaged. </w:t>
            </w:r>
          </w:p>
          <w:p w14:paraId="1D5B7341" w14:textId="77777777" w:rsidR="00663694" w:rsidRDefault="00663694" w:rsidP="00843051">
            <w:pPr>
              <w:pStyle w:val="Tabletext"/>
            </w:pPr>
            <w:r>
              <w:t xml:space="preserve">Of the 152 complaints </w:t>
            </w:r>
            <w:r w:rsidR="00C477CE">
              <w:t>received:</w:t>
            </w:r>
          </w:p>
          <w:p w14:paraId="3744940B" w14:textId="77777777" w:rsidR="00C477CE" w:rsidRDefault="00C477CE" w:rsidP="00C477CE">
            <w:pPr>
              <w:pStyle w:val="Tabletext"/>
              <w:numPr>
                <w:ilvl w:val="0"/>
                <w:numId w:val="37"/>
              </w:numPr>
            </w:pPr>
            <w:r>
              <w:t>56 were investigated and unsubstantiated</w:t>
            </w:r>
          </w:p>
          <w:p w14:paraId="669208A0" w14:textId="77777777" w:rsidR="00457E40" w:rsidRDefault="00457E40" w:rsidP="00C477CE">
            <w:pPr>
              <w:pStyle w:val="Tabletext"/>
              <w:numPr>
                <w:ilvl w:val="0"/>
                <w:numId w:val="37"/>
              </w:numPr>
            </w:pPr>
            <w:r>
              <w:t>42 were resolved through a local management action</w:t>
            </w:r>
          </w:p>
          <w:p w14:paraId="332DC7E6" w14:textId="77777777" w:rsidR="00457E40" w:rsidRDefault="00457E40" w:rsidP="00C477CE">
            <w:pPr>
              <w:pStyle w:val="Tabletext"/>
              <w:numPr>
                <w:ilvl w:val="0"/>
                <w:numId w:val="37"/>
              </w:numPr>
            </w:pPr>
            <w:r>
              <w:t>33 are still being investigated</w:t>
            </w:r>
          </w:p>
          <w:p w14:paraId="33C8135B" w14:textId="457A5CD6" w:rsidR="00F65E79" w:rsidRDefault="00F65E79" w:rsidP="00C477CE">
            <w:pPr>
              <w:pStyle w:val="Tabletext"/>
              <w:numPr>
                <w:ilvl w:val="0"/>
                <w:numId w:val="37"/>
              </w:numPr>
            </w:pPr>
            <w:r>
              <w:t xml:space="preserve">17 were investigated and identified as frivolous or insufficient evidence to support </w:t>
            </w:r>
            <w:r w:rsidR="001F5CF2">
              <w:t>allegation</w:t>
            </w:r>
          </w:p>
          <w:p w14:paraId="1B1397BD" w14:textId="57914CD1" w:rsidR="00E275A3" w:rsidRDefault="001F5CF2" w:rsidP="00C477CE">
            <w:pPr>
              <w:pStyle w:val="Tabletext"/>
              <w:numPr>
                <w:ilvl w:val="0"/>
                <w:numId w:val="37"/>
              </w:numPr>
            </w:pPr>
            <w:r>
              <w:t xml:space="preserve">4 were investigated and unsubstantiated. </w:t>
            </w:r>
          </w:p>
        </w:tc>
      </w:tr>
    </w:tbl>
    <w:p w14:paraId="02C1B030" w14:textId="64614386" w:rsidR="00225662" w:rsidRPr="00225662" w:rsidRDefault="00225662" w:rsidP="00225662">
      <w:bookmarkStart w:id="685" w:name="_Toc759784472"/>
      <w:bookmarkStart w:id="686" w:name="_Toc117697201"/>
      <w:r>
        <w:rPr>
          <w:color w:val="E66A37"/>
        </w:rPr>
        <w:br w:type="page"/>
      </w:r>
    </w:p>
    <w:p w14:paraId="49998758" w14:textId="333BFB04" w:rsidR="0063035A" w:rsidRPr="007E34BF" w:rsidRDefault="0063035A" w:rsidP="0063035A">
      <w:pPr>
        <w:pStyle w:val="Heading1"/>
        <w:rPr>
          <w:color w:val="E66A37"/>
        </w:rPr>
      </w:pPr>
      <w:bookmarkStart w:id="687" w:name="_Toc147757345"/>
      <w:bookmarkStart w:id="688" w:name="_Toc148086971"/>
      <w:r w:rsidRPr="007E34BF">
        <w:rPr>
          <w:color w:val="E66A37"/>
        </w:rPr>
        <w:t xml:space="preserve">Complaints </w:t>
      </w:r>
      <w:r w:rsidR="00DF65C6">
        <w:rPr>
          <w:color w:val="E66A37"/>
        </w:rPr>
        <w:t xml:space="preserve">made </w:t>
      </w:r>
      <w:r w:rsidRPr="007E34BF">
        <w:rPr>
          <w:color w:val="E66A37"/>
        </w:rPr>
        <w:t>to the Commission</w:t>
      </w:r>
      <w:bookmarkEnd w:id="685"/>
      <w:bookmarkEnd w:id="686"/>
      <w:bookmarkEnd w:id="687"/>
      <w:bookmarkEnd w:id="688"/>
    </w:p>
    <w:p w14:paraId="64C3CA7B" w14:textId="21EC3DDA" w:rsidR="007B3DFF" w:rsidRDefault="007B3DFF" w:rsidP="007B3DFF">
      <w:r>
        <w:t xml:space="preserve">The Commission receives complaints </w:t>
      </w:r>
      <w:r w:rsidR="009E4A36">
        <w:t xml:space="preserve">from </w:t>
      </w:r>
      <w:r w:rsidR="00FB4AAF">
        <w:t>people</w:t>
      </w:r>
      <w:r w:rsidR="009E4A36">
        <w:t xml:space="preserve"> who believe</w:t>
      </w:r>
      <w:r>
        <w:t xml:space="preserve"> that a public entity has not given proper consideration to their human rights when making a decision, or acted in a way that is not compatible with human rights.</w:t>
      </w:r>
    </w:p>
    <w:p w14:paraId="463BC1C0" w14:textId="08226925" w:rsidR="007B3DFF" w:rsidRPr="000F7EEB" w:rsidRDefault="007B3DFF" w:rsidP="007B3DFF">
      <w:pPr>
        <w:rPr>
          <w:rFonts w:eastAsia="Times New Roman" w:cs="Arial"/>
          <w:lang w:eastAsia="en-AU"/>
        </w:rPr>
      </w:pPr>
      <w:r w:rsidRPr="000F7EEB">
        <w:rPr>
          <w:rFonts w:eastAsia="Times New Roman" w:cs="Arial"/>
          <w:lang w:eastAsia="en-AU"/>
        </w:rPr>
        <w:t xml:space="preserve">The Commission is impartial and </w:t>
      </w:r>
      <w:r>
        <w:rPr>
          <w:rFonts w:eastAsia="Times New Roman" w:cs="Arial"/>
          <w:lang w:eastAsia="en-AU"/>
        </w:rPr>
        <w:t>does</w:t>
      </w:r>
      <w:r w:rsidRPr="000F7EEB">
        <w:rPr>
          <w:rFonts w:eastAsia="Times New Roman" w:cs="Arial"/>
          <w:lang w:eastAsia="en-AU"/>
        </w:rPr>
        <w:t xml:space="preserve"> not take sides</w:t>
      </w:r>
      <w:r w:rsidR="009032E5">
        <w:rPr>
          <w:rFonts w:eastAsia="Times New Roman" w:cs="Arial"/>
          <w:lang w:eastAsia="en-AU"/>
        </w:rPr>
        <w:t xml:space="preserve"> when assessing and resolving complaints</w:t>
      </w:r>
      <w:r w:rsidRPr="000F7EEB">
        <w:rPr>
          <w:rFonts w:eastAsia="Times New Roman" w:cs="Arial"/>
          <w:lang w:eastAsia="en-AU"/>
        </w:rPr>
        <w:t xml:space="preserve">. </w:t>
      </w:r>
      <w:r w:rsidR="005215CD">
        <w:rPr>
          <w:rFonts w:eastAsia="Times New Roman" w:cs="Arial"/>
          <w:lang w:eastAsia="en-AU"/>
        </w:rPr>
        <w:t>The Commission’s</w:t>
      </w:r>
      <w:r w:rsidRPr="000F7EEB">
        <w:rPr>
          <w:rFonts w:eastAsia="Times New Roman" w:cs="Arial"/>
          <w:lang w:eastAsia="en-AU"/>
        </w:rPr>
        <w:t xml:space="preserve"> role is not to decide </w:t>
      </w:r>
      <w:r w:rsidR="00A16D4E">
        <w:rPr>
          <w:rFonts w:eastAsia="Times New Roman" w:cs="Arial"/>
          <w:lang w:eastAsia="en-AU"/>
        </w:rPr>
        <w:t>whether a breach of human rights has occurred</w:t>
      </w:r>
      <w:r w:rsidRPr="000F7EEB">
        <w:rPr>
          <w:rFonts w:eastAsia="Times New Roman" w:cs="Arial"/>
          <w:lang w:eastAsia="en-AU"/>
        </w:rPr>
        <w:t xml:space="preserve"> or </w:t>
      </w:r>
      <w:r w:rsidR="00A16D4E">
        <w:rPr>
          <w:rFonts w:eastAsia="Times New Roman" w:cs="Arial"/>
          <w:lang w:eastAsia="en-AU"/>
        </w:rPr>
        <w:t>not</w:t>
      </w:r>
      <w:r>
        <w:rPr>
          <w:rFonts w:eastAsia="Times New Roman" w:cs="Arial"/>
          <w:lang w:eastAsia="en-AU"/>
        </w:rPr>
        <w:t>,</w:t>
      </w:r>
      <w:r w:rsidRPr="000F7EEB">
        <w:rPr>
          <w:rFonts w:eastAsia="Times New Roman" w:cs="Arial"/>
          <w:lang w:eastAsia="en-AU"/>
        </w:rPr>
        <w:t xml:space="preserve"> but to help people resolve complaints.</w:t>
      </w:r>
    </w:p>
    <w:p w14:paraId="7D84C042" w14:textId="77777777" w:rsidR="007B3DFF" w:rsidRPr="000F7EEB" w:rsidRDefault="007B3DFF" w:rsidP="007B3DFF">
      <w:pPr>
        <w:shd w:val="clear" w:color="auto" w:fill="FFFFFF"/>
        <w:spacing w:before="100" w:beforeAutospacing="1" w:after="100" w:afterAutospacing="1" w:line="240" w:lineRule="auto"/>
        <w:ind w:right="0"/>
        <w:textAlignment w:val="baseline"/>
        <w:rPr>
          <w:rFonts w:eastAsia="Times New Roman" w:cs="Arial"/>
          <w:lang w:eastAsia="en-AU"/>
        </w:rPr>
      </w:pPr>
      <w:r w:rsidRPr="000F7EEB">
        <w:rPr>
          <w:rFonts w:eastAsia="Times New Roman" w:cs="Arial"/>
          <w:lang w:eastAsia="en-AU"/>
        </w:rPr>
        <w:t>The Commission’s role is to:</w:t>
      </w:r>
    </w:p>
    <w:p w14:paraId="68D09830" w14:textId="2B28621F" w:rsidR="007B3DFF" w:rsidRPr="00432F57" w:rsidRDefault="007B3DFF" w:rsidP="007B3DFF">
      <w:pPr>
        <w:pStyle w:val="Listparagraph-bulleted"/>
      </w:pPr>
      <w:r>
        <w:t xml:space="preserve">work to ensure that everyone </w:t>
      </w:r>
      <w:r w:rsidR="00531C2C">
        <w:t xml:space="preserve">is able to </w:t>
      </w:r>
      <w:r>
        <w:t>put forward their point of view, is listened to, and feels safe</w:t>
      </w:r>
    </w:p>
    <w:p w14:paraId="256B5F27" w14:textId="77777777" w:rsidR="007B3DFF" w:rsidRPr="00374AB8" w:rsidRDefault="007B3DFF" w:rsidP="007B3DFF">
      <w:pPr>
        <w:pStyle w:val="Listparagraph-bulleted"/>
      </w:pPr>
      <w:r>
        <w:t>assist everyone reach agreement about how to resolve the complaint, and</w:t>
      </w:r>
    </w:p>
    <w:p w14:paraId="607E2F94" w14:textId="322AEDF6" w:rsidR="009775FC" w:rsidRDefault="007B3DFF" w:rsidP="00FB2D0E">
      <w:pPr>
        <w:pStyle w:val="Listparagraph-bulleted"/>
      </w:pPr>
      <w:r>
        <w:t>ensure the process is fair.</w:t>
      </w:r>
    </w:p>
    <w:p w14:paraId="2B10C1EE" w14:textId="0E7510B4" w:rsidR="007B3DFF" w:rsidRDefault="007B3DFF" w:rsidP="007B3DFF">
      <w:r>
        <w:t>This section contains</w:t>
      </w:r>
      <w:r w:rsidR="00FD6EC1">
        <w:t xml:space="preserve"> information on human rights complaints finalised by the Commission in </w:t>
      </w:r>
      <w:r w:rsidR="007D27F7">
        <w:t>2022-23</w:t>
      </w:r>
      <w:r w:rsidR="00DF65C6">
        <w:t xml:space="preserve">. </w:t>
      </w:r>
      <w:r>
        <w:t>More detailed information</w:t>
      </w:r>
      <w:r w:rsidR="00DF65C6">
        <w:t xml:space="preserve"> on the data represented in graphs</w:t>
      </w:r>
      <w:r>
        <w:t xml:space="preserve"> is provided in data tables in </w:t>
      </w:r>
      <w:r w:rsidRPr="00C73315">
        <w:t>Appendix C</w:t>
      </w:r>
      <w:r>
        <w:t>.</w:t>
      </w:r>
    </w:p>
    <w:p w14:paraId="1E699C80" w14:textId="77777777" w:rsidR="00FD3276" w:rsidRPr="007E34BF" w:rsidRDefault="00FD3276" w:rsidP="00FD3276">
      <w:pPr>
        <w:pStyle w:val="Heading2"/>
        <w:rPr>
          <w:color w:val="E66A37"/>
        </w:rPr>
      </w:pPr>
      <w:bookmarkStart w:id="689" w:name="_Toc85526731"/>
      <w:bookmarkStart w:id="690" w:name="_Toc85787146"/>
      <w:bookmarkStart w:id="691" w:name="_Toc117697202"/>
      <w:bookmarkStart w:id="692" w:name="_Toc117697909"/>
      <w:bookmarkStart w:id="693" w:name="_Toc147757346"/>
      <w:bookmarkStart w:id="694" w:name="_Toc148086972"/>
      <w:bookmarkStart w:id="695" w:name="_Toc1192883021"/>
      <w:r w:rsidRPr="007E34BF">
        <w:rPr>
          <w:color w:val="E66A37"/>
        </w:rPr>
        <w:t>Complaints processes and terminology</w:t>
      </w:r>
      <w:bookmarkEnd w:id="689"/>
      <w:bookmarkEnd w:id="690"/>
      <w:bookmarkEnd w:id="691"/>
      <w:bookmarkEnd w:id="692"/>
      <w:bookmarkEnd w:id="693"/>
      <w:bookmarkEnd w:id="694"/>
      <w:r w:rsidRPr="007E34BF">
        <w:rPr>
          <w:color w:val="E66A37"/>
        </w:rPr>
        <w:t xml:space="preserve"> </w:t>
      </w:r>
      <w:bookmarkEnd w:id="695"/>
    </w:p>
    <w:p w14:paraId="54A5951F" w14:textId="6C4A2BD9" w:rsidR="00FD3276" w:rsidRPr="007E34BF" w:rsidRDefault="00450768" w:rsidP="00FD3276">
      <w:pPr>
        <w:pStyle w:val="Heading3"/>
        <w:rPr>
          <w:color w:val="E66A37"/>
        </w:rPr>
      </w:pPr>
      <w:bookmarkStart w:id="696" w:name="_Toc184079945"/>
      <w:r>
        <w:rPr>
          <w:color w:val="E66A37"/>
        </w:rPr>
        <w:t>P</w:t>
      </w:r>
      <w:r w:rsidR="00FD3276" w:rsidRPr="007E34BF">
        <w:rPr>
          <w:color w:val="E66A37"/>
        </w:rPr>
        <w:t>iggy-back complaint</w:t>
      </w:r>
      <w:r>
        <w:rPr>
          <w:color w:val="E66A37"/>
        </w:rPr>
        <w:t>s</w:t>
      </w:r>
      <w:r w:rsidR="00ED143A">
        <w:rPr>
          <w:color w:val="E66A37"/>
        </w:rPr>
        <w:t xml:space="preserve"> </w:t>
      </w:r>
      <w:r w:rsidR="00350C47">
        <w:rPr>
          <w:color w:val="E66A37"/>
        </w:rPr>
        <w:t>a</w:t>
      </w:r>
      <w:r w:rsidR="00FD3276" w:rsidRPr="007E34BF">
        <w:rPr>
          <w:color w:val="E66A37"/>
        </w:rPr>
        <w:t xml:space="preserve">nd human rights only </w:t>
      </w:r>
      <w:bookmarkEnd w:id="696"/>
      <w:r w:rsidR="00FD3276" w:rsidRPr="007E34BF">
        <w:rPr>
          <w:color w:val="E66A37"/>
        </w:rPr>
        <w:t>complaint</w:t>
      </w:r>
      <w:r>
        <w:rPr>
          <w:color w:val="E66A37"/>
        </w:rPr>
        <w:t>s</w:t>
      </w:r>
    </w:p>
    <w:p w14:paraId="6F56A92A" w14:textId="6A0E02A8" w:rsidR="00FD3276" w:rsidRDefault="62A97E60" w:rsidP="00FD3276">
      <w:pPr>
        <w:rPr>
          <w:i/>
        </w:rPr>
      </w:pPr>
      <w:r>
        <w:t xml:space="preserve">Some complaints raise issues that might be covered by </w:t>
      </w:r>
      <w:r w:rsidR="39B90020">
        <w:t>both</w:t>
      </w:r>
      <w:r w:rsidR="00FD3276">
        <w:t xml:space="preserve"> the </w:t>
      </w:r>
      <w:r w:rsidR="00FD3276" w:rsidRPr="00B70C22">
        <w:rPr>
          <w:i/>
        </w:rPr>
        <w:t xml:space="preserve">Anti-Discrimination Act 1991 </w:t>
      </w:r>
      <w:r w:rsidR="00FD3276">
        <w:t xml:space="preserve">and the </w:t>
      </w:r>
      <w:r w:rsidR="00FD3276" w:rsidRPr="00B70C22">
        <w:rPr>
          <w:i/>
        </w:rPr>
        <w:t>Human Rights Act 2019</w:t>
      </w:r>
      <w:r w:rsidR="61B635D6" w:rsidRPr="27274A20">
        <w:rPr>
          <w:i/>
          <w:iCs/>
        </w:rPr>
        <w:t>.</w:t>
      </w:r>
    </w:p>
    <w:p w14:paraId="27E8A9D8" w14:textId="0433E346" w:rsidR="0070565F" w:rsidRPr="008A00EB" w:rsidRDefault="00FD3276" w:rsidP="00FD3276">
      <w:r w:rsidRPr="008A00EB">
        <w:t xml:space="preserve">Under </w:t>
      </w:r>
      <w:r w:rsidRPr="009A3E77">
        <w:t>the Human Rights Act,</w:t>
      </w:r>
      <w:r w:rsidRPr="008A00EB">
        <w:t xml:space="preserve"> </w:t>
      </w:r>
      <w:r w:rsidR="00A81B6D">
        <w:t xml:space="preserve">if the Commissioner considers that </w:t>
      </w:r>
      <w:r w:rsidR="00D8026C">
        <w:t>a</w:t>
      </w:r>
      <w:r w:rsidR="00A81B6D">
        <w:t xml:space="preserve"> human rights complaint would be more appropriately dealt </w:t>
      </w:r>
      <w:r w:rsidR="00D8026C">
        <w:t xml:space="preserve">with </w:t>
      </w:r>
      <w:r w:rsidR="00A81B6D">
        <w:t xml:space="preserve">as an alleged contravention of the </w:t>
      </w:r>
      <w:r w:rsidR="00A81B6D" w:rsidRPr="009A3E77">
        <w:t>Anti-Discrimination Act,</w:t>
      </w:r>
      <w:r w:rsidR="00A81B6D">
        <w:t xml:space="preserve"> </w:t>
      </w:r>
      <w:r w:rsidR="0002742B">
        <w:t xml:space="preserve">the Commission may deal with </w:t>
      </w:r>
      <w:r w:rsidR="00A96D43">
        <w:t xml:space="preserve">the complaint under that Act, </w:t>
      </w:r>
      <w:r w:rsidR="00B1323A" w:rsidRPr="00455B1F">
        <w:rPr>
          <w:iCs/>
        </w:rPr>
        <w:t>with the consent of the complainant</w:t>
      </w:r>
      <w:r w:rsidR="00A96D43">
        <w:rPr>
          <w:iCs/>
        </w:rPr>
        <w:t>.</w:t>
      </w:r>
      <w:r w:rsidR="00703E19">
        <w:rPr>
          <w:rStyle w:val="FootnoteReference"/>
          <w:iCs/>
        </w:rPr>
        <w:footnoteReference w:id="102"/>
      </w:r>
      <w:r w:rsidR="00A81B6D">
        <w:rPr>
          <w:iCs/>
        </w:rPr>
        <w:t xml:space="preserve"> </w:t>
      </w:r>
    </w:p>
    <w:p w14:paraId="37207CE7" w14:textId="58C0FD47" w:rsidR="000B7168" w:rsidRDefault="00FD3276" w:rsidP="00FD3276">
      <w:r w:rsidRPr="008A00EB">
        <w:t>A ‘</w:t>
      </w:r>
      <w:r>
        <w:t>piggy-back’ complaint</w:t>
      </w:r>
      <w:r w:rsidRPr="008A00EB">
        <w:t xml:space="preserve"> </w:t>
      </w:r>
      <w:r w:rsidR="005F01FC">
        <w:t xml:space="preserve">at the Commission </w:t>
      </w:r>
      <w:r w:rsidRPr="008A00EB">
        <w:t xml:space="preserve">is where </w:t>
      </w:r>
      <w:r w:rsidR="4B276998">
        <w:t xml:space="preserve">a </w:t>
      </w:r>
      <w:r w:rsidRPr="008A00EB">
        <w:t xml:space="preserve">complaint </w:t>
      </w:r>
      <w:r w:rsidR="1D58B29C">
        <w:t xml:space="preserve">is dealt with </w:t>
      </w:r>
      <w:r w:rsidRPr="008A00EB">
        <w:t xml:space="preserve">under the </w:t>
      </w:r>
      <w:r w:rsidRPr="009A3E77">
        <w:t xml:space="preserve">Anti-Discrimination Act </w:t>
      </w:r>
      <w:r w:rsidRPr="008A00EB">
        <w:t xml:space="preserve">(such as </w:t>
      </w:r>
      <w:r w:rsidR="00035517">
        <w:t xml:space="preserve">a </w:t>
      </w:r>
      <w:r w:rsidRPr="008A00EB">
        <w:t>discrimination</w:t>
      </w:r>
      <w:r w:rsidR="00035517">
        <w:t xml:space="preserve"> complaint</w:t>
      </w:r>
      <w:r w:rsidRPr="008A00EB">
        <w:t xml:space="preserve">) but </w:t>
      </w:r>
      <w:r w:rsidR="2C54BDFD">
        <w:t xml:space="preserve">is against a public entity and therefore </w:t>
      </w:r>
      <w:r w:rsidRPr="008A00EB">
        <w:t xml:space="preserve">raises human rights issues </w:t>
      </w:r>
      <w:r>
        <w:t xml:space="preserve">under </w:t>
      </w:r>
      <w:r w:rsidRPr="008A00EB">
        <w:t xml:space="preserve">the </w:t>
      </w:r>
      <w:r w:rsidRPr="009A3E77">
        <w:rPr>
          <w:iCs/>
        </w:rPr>
        <w:t>Human Rights A</w:t>
      </w:r>
      <w:r w:rsidR="009A3E77">
        <w:rPr>
          <w:iCs/>
        </w:rPr>
        <w:t>ct</w:t>
      </w:r>
      <w:r w:rsidRPr="008A00EB">
        <w:t>.</w:t>
      </w:r>
      <w:r w:rsidR="009E526C">
        <w:t xml:space="preserve"> The human rights aspects of the complaint are ‘piggy-backed’ onto the discrimination claim.</w:t>
      </w:r>
      <w:r w:rsidRPr="008A00EB">
        <w:t xml:space="preserve"> The complaint parties</w:t>
      </w:r>
      <w:r w:rsidR="00EA7F76">
        <w:t xml:space="preserve"> usually</w:t>
      </w:r>
      <w:r w:rsidRPr="008A00EB">
        <w:t xml:space="preserve"> proceed through </w:t>
      </w:r>
      <w:r w:rsidR="00C20B5D">
        <w:t xml:space="preserve">a </w:t>
      </w:r>
      <w:r w:rsidRPr="008A00EB">
        <w:t xml:space="preserve">conciliation </w:t>
      </w:r>
      <w:r w:rsidR="00C20B5D">
        <w:t xml:space="preserve">conference </w:t>
      </w:r>
      <w:r w:rsidRPr="008A00EB">
        <w:t xml:space="preserve">for these matters </w:t>
      </w:r>
      <w:r w:rsidR="00BE374A">
        <w:t>i</w:t>
      </w:r>
      <w:r w:rsidR="00543118">
        <w:t xml:space="preserve">n </w:t>
      </w:r>
      <w:r w:rsidR="00A941AC">
        <w:t>which</w:t>
      </w:r>
      <w:r w:rsidR="00543118" w:rsidRPr="008A00EB">
        <w:t xml:space="preserve"> an impartial conciliator assists the parties to resolve the complaint, </w:t>
      </w:r>
      <w:r w:rsidRPr="008A00EB">
        <w:t xml:space="preserve">and the complainant has the option of referring their complaint to the </w:t>
      </w:r>
      <w:r>
        <w:t xml:space="preserve">relevant </w:t>
      </w:r>
      <w:r w:rsidR="00EA7F76">
        <w:t>t</w:t>
      </w:r>
      <w:r w:rsidRPr="008A00EB">
        <w:t xml:space="preserve">ribunal </w:t>
      </w:r>
      <w:r w:rsidR="00EA7F76">
        <w:t>if</w:t>
      </w:r>
      <w:r w:rsidR="00EA7F76" w:rsidRPr="008A00EB">
        <w:t xml:space="preserve"> </w:t>
      </w:r>
      <w:r w:rsidRPr="008A00EB">
        <w:t xml:space="preserve">it </w:t>
      </w:r>
      <w:r w:rsidR="000B7168">
        <w:t xml:space="preserve">does </w:t>
      </w:r>
      <w:r w:rsidRPr="008A00EB">
        <w:t xml:space="preserve">not resolve. </w:t>
      </w:r>
    </w:p>
    <w:p w14:paraId="5FCF6DD2" w14:textId="7EC16534" w:rsidR="00460F54" w:rsidRDefault="000C15A3" w:rsidP="00FD3276">
      <w:r>
        <w:t>A ‘h</w:t>
      </w:r>
      <w:r w:rsidR="0057128F">
        <w:t>uman rights only</w:t>
      </w:r>
      <w:r>
        <w:t>’</w:t>
      </w:r>
      <w:r w:rsidR="00D968C0">
        <w:t xml:space="preserve"> complaint </w:t>
      </w:r>
      <w:r>
        <w:t>is</w:t>
      </w:r>
      <w:r w:rsidR="00C70A96">
        <w:t xml:space="preserve"> confined </w:t>
      </w:r>
      <w:r w:rsidR="00BE6EF4">
        <w:t xml:space="preserve">to </w:t>
      </w:r>
      <w:r>
        <w:t xml:space="preserve">a </w:t>
      </w:r>
      <w:r w:rsidR="00BE6EF4">
        <w:t xml:space="preserve">complaint about </w:t>
      </w:r>
      <w:r>
        <w:t xml:space="preserve">a </w:t>
      </w:r>
      <w:r w:rsidR="00BE6EF4">
        <w:t>public entit</w:t>
      </w:r>
      <w:r>
        <w:t>y</w:t>
      </w:r>
      <w:r w:rsidR="00BE6EF4">
        <w:t xml:space="preserve"> in relation to an act or decision of the public entity </w:t>
      </w:r>
      <w:r w:rsidR="000A11CD">
        <w:t xml:space="preserve">that is not compatible with </w:t>
      </w:r>
      <w:r w:rsidR="005129B0">
        <w:t xml:space="preserve">the person’s </w:t>
      </w:r>
      <w:r w:rsidR="000A11CD">
        <w:t xml:space="preserve">human rights, or that proper consideration </w:t>
      </w:r>
      <w:r w:rsidR="00933310">
        <w:t>of</w:t>
      </w:r>
      <w:r w:rsidR="000A11CD">
        <w:t xml:space="preserve"> a human right relevant to a decision</w:t>
      </w:r>
      <w:r w:rsidR="008D6DDF">
        <w:t xml:space="preserve"> was lacking.</w:t>
      </w:r>
      <w:r w:rsidR="0057128F">
        <w:t xml:space="preserve"> </w:t>
      </w:r>
    </w:p>
    <w:p w14:paraId="2FC01999" w14:textId="47A325FF" w:rsidR="00460F54" w:rsidRPr="008A00EB" w:rsidRDefault="00460F54" w:rsidP="00460F54">
      <w:r>
        <w:t>The complaint</w:t>
      </w:r>
      <w:r w:rsidR="00B112A6">
        <w:t xml:space="preserve"> resolution</w:t>
      </w:r>
      <w:r>
        <w:t xml:space="preserve"> process for</w:t>
      </w:r>
      <w:r w:rsidRPr="008A00EB">
        <w:t xml:space="preserve"> human rights only complaints occur</w:t>
      </w:r>
      <w:r w:rsidR="00BD310D">
        <w:t>s</w:t>
      </w:r>
      <w:r w:rsidRPr="008A00EB">
        <w:t xml:space="preserve"> either through a conciliation conference or by early intervention, </w:t>
      </w:r>
      <w:r w:rsidR="0016747A">
        <w:t xml:space="preserve">in </w:t>
      </w:r>
      <w:r w:rsidRPr="008A00EB">
        <w:t xml:space="preserve">which the matter is </w:t>
      </w:r>
      <w:r w:rsidR="00783904">
        <w:t>managed</w:t>
      </w:r>
      <w:r w:rsidR="00783904" w:rsidRPr="008A00EB">
        <w:t xml:space="preserve"> </w:t>
      </w:r>
      <w:r w:rsidR="00631C3C">
        <w:t xml:space="preserve">using a </w:t>
      </w:r>
      <w:r w:rsidR="009C6C94" w:rsidRPr="008A00EB">
        <w:t>shuttle negotiation</w:t>
      </w:r>
      <w:r w:rsidR="009C6C94">
        <w:t xml:space="preserve"> </w:t>
      </w:r>
      <w:r w:rsidR="00631C3C">
        <w:t xml:space="preserve">process </w:t>
      </w:r>
      <w:r w:rsidR="00CA65BA">
        <w:t>in which</w:t>
      </w:r>
      <w:r w:rsidRPr="008A00EB">
        <w:t xml:space="preserve"> the conciliator speaks with the parties separately </w:t>
      </w:r>
      <w:r w:rsidR="00E75BC1">
        <w:t>t</w:t>
      </w:r>
      <w:r w:rsidR="00783904">
        <w:t xml:space="preserve">o </w:t>
      </w:r>
      <w:r w:rsidR="00E75BC1">
        <w:t xml:space="preserve">reach a resolution of </w:t>
      </w:r>
      <w:r w:rsidR="00783904">
        <w:t>the matter</w:t>
      </w:r>
      <w:r w:rsidRPr="008A00EB">
        <w:t xml:space="preserve">. </w:t>
      </w:r>
    </w:p>
    <w:p w14:paraId="6AA4A777" w14:textId="14C056D6" w:rsidR="00FD3276" w:rsidRPr="008A00EB" w:rsidRDefault="00FD3276" w:rsidP="00FD3276">
      <w:r w:rsidRPr="008A00EB">
        <w:t xml:space="preserve">If a complaint is </w:t>
      </w:r>
      <w:r w:rsidR="00D0667D">
        <w:t xml:space="preserve">a </w:t>
      </w:r>
      <w:r w:rsidRPr="008A00EB">
        <w:t xml:space="preserve">human rights only complaint, there is no right of referral </w:t>
      </w:r>
      <w:r w:rsidR="00D0667D">
        <w:t xml:space="preserve">to </w:t>
      </w:r>
      <w:r w:rsidR="00873693">
        <w:t xml:space="preserve">a tribunal </w:t>
      </w:r>
      <w:r w:rsidR="07E73B7D">
        <w:t>for a decision on the complaint</w:t>
      </w:r>
      <w:r w:rsidR="00B702C9">
        <w:t xml:space="preserve"> if it does not resolve at the Commission</w:t>
      </w:r>
      <w:r w:rsidR="00873693">
        <w:t xml:space="preserve">, </w:t>
      </w:r>
      <w:r w:rsidRPr="008A00EB">
        <w:t>and</w:t>
      </w:r>
      <w:r>
        <w:t xml:space="preserve"> </w:t>
      </w:r>
      <w:r w:rsidRPr="008A00EB">
        <w:t>no</w:t>
      </w:r>
      <w:r>
        <w:t xml:space="preserve"> right to</w:t>
      </w:r>
      <w:r w:rsidRPr="008A00EB">
        <w:t xml:space="preserve"> compensation</w:t>
      </w:r>
      <w:r>
        <w:t>.</w:t>
      </w:r>
      <w:r w:rsidRPr="008A00EB">
        <w:t xml:space="preserve"> </w:t>
      </w:r>
    </w:p>
    <w:p w14:paraId="7103AF76" w14:textId="77777777" w:rsidR="00FD3276" w:rsidRPr="007E34BF" w:rsidRDefault="00FD3276" w:rsidP="00FD3276">
      <w:pPr>
        <w:pStyle w:val="Heading3"/>
        <w:rPr>
          <w:color w:val="E66A37"/>
        </w:rPr>
      </w:pPr>
      <w:bookmarkStart w:id="697" w:name="_Toc286320886"/>
      <w:r w:rsidRPr="007E34BF">
        <w:rPr>
          <w:color w:val="E66A37"/>
        </w:rPr>
        <w:t>Who can make a complaint?</w:t>
      </w:r>
      <w:bookmarkEnd w:id="697"/>
    </w:p>
    <w:p w14:paraId="536B5C42" w14:textId="63AB897E" w:rsidR="00181D05" w:rsidRDefault="00FD3276" w:rsidP="00FD3276">
      <w:r w:rsidRPr="008A00EB">
        <w:t xml:space="preserve">A complaint </w:t>
      </w:r>
      <w:r w:rsidR="006A032C">
        <w:t>may</w:t>
      </w:r>
      <w:r w:rsidRPr="008A00EB">
        <w:t xml:space="preserve"> be made by </w:t>
      </w:r>
      <w:r w:rsidR="00423D51">
        <w:t>a person</w:t>
      </w:r>
      <w:r w:rsidRPr="008A00EB">
        <w:t xml:space="preserve"> who </w:t>
      </w:r>
      <w:r w:rsidR="0012487B">
        <w:t>alleges that they</w:t>
      </w:r>
      <w:r w:rsidR="008F4E5D">
        <w:t xml:space="preserve"> have</w:t>
      </w:r>
      <w:r w:rsidRPr="008A00EB" w:rsidDel="000A5E87">
        <w:t xml:space="preserve"> </w:t>
      </w:r>
      <w:r w:rsidR="000A5E87">
        <w:t>been</w:t>
      </w:r>
      <w:r w:rsidR="000A5E87" w:rsidRPr="008A00EB">
        <w:t xml:space="preserve"> </w:t>
      </w:r>
      <w:r w:rsidRPr="008A00EB">
        <w:t>subject</w:t>
      </w:r>
      <w:r w:rsidR="000A5E87">
        <w:t>ed</w:t>
      </w:r>
      <w:r w:rsidRPr="008A00EB">
        <w:t xml:space="preserve"> </w:t>
      </w:r>
      <w:r w:rsidR="000A5E87">
        <w:t>to</w:t>
      </w:r>
      <w:r w:rsidR="000A5E87" w:rsidRPr="008A00EB">
        <w:t xml:space="preserve"> </w:t>
      </w:r>
      <w:r w:rsidRPr="008A00EB">
        <w:t xml:space="preserve">a </w:t>
      </w:r>
      <w:r w:rsidR="00423D51">
        <w:t>limitation</w:t>
      </w:r>
      <w:r w:rsidRPr="008A00EB">
        <w:t xml:space="preserve"> of </w:t>
      </w:r>
      <w:r w:rsidR="00423D51">
        <w:t xml:space="preserve">their </w:t>
      </w:r>
      <w:r w:rsidRPr="008A00EB">
        <w:t xml:space="preserve">human rights </w:t>
      </w:r>
      <w:r w:rsidR="000039B4">
        <w:t>by a public entity</w:t>
      </w:r>
      <w:r w:rsidRPr="008A00EB">
        <w:t>. That is, the</w:t>
      </w:r>
      <w:r w:rsidRPr="008A00EB" w:rsidDel="003D2B48">
        <w:t xml:space="preserve"> </w:t>
      </w:r>
      <w:r w:rsidR="003D2B48">
        <w:t>person</w:t>
      </w:r>
      <w:r w:rsidRPr="008A00EB">
        <w:t xml:space="preserve"> alleges that a public entity has acted or made a decision in a way that is not compatible with their human </w:t>
      </w:r>
      <w:r w:rsidR="00C44BF6" w:rsidRPr="008A00EB">
        <w:t>rights or</w:t>
      </w:r>
      <w:r w:rsidRPr="008A00EB">
        <w:t xml:space="preserve"> has failed to give proper consideration to a human right relevant to a decision that </w:t>
      </w:r>
      <w:r w:rsidR="00CE5E60">
        <w:t>affects</w:t>
      </w:r>
      <w:r w:rsidRPr="008A00EB">
        <w:t xml:space="preserve"> them. </w:t>
      </w:r>
    </w:p>
    <w:p w14:paraId="356F3508" w14:textId="48FE902C" w:rsidR="00FD3276" w:rsidRDefault="00FD3276" w:rsidP="00FD3276">
      <w:r w:rsidRPr="008A00EB">
        <w:t xml:space="preserve">The </w:t>
      </w:r>
      <w:r w:rsidR="003D2B48">
        <w:t>person</w:t>
      </w:r>
      <w:r w:rsidRPr="008A00EB">
        <w:t xml:space="preserve"> can appoint an agent, or the Commission can authorise another person to make a complaint for the</w:t>
      </w:r>
      <w:r w:rsidR="00FC1E12">
        <w:t>m</w:t>
      </w:r>
      <w:r w:rsidRPr="008A00EB">
        <w:t>. Two or more persons can make a joint complaint.</w:t>
      </w:r>
      <w:r w:rsidRPr="008A00EB">
        <w:rPr>
          <w:rStyle w:val="FootnoteReference"/>
        </w:rPr>
        <w:footnoteReference w:id="103"/>
      </w:r>
    </w:p>
    <w:p w14:paraId="065254CB" w14:textId="77777777" w:rsidR="00FD3276" w:rsidRPr="007E34BF" w:rsidRDefault="00FD3276" w:rsidP="00FD3276">
      <w:pPr>
        <w:pStyle w:val="Heading3"/>
        <w:rPr>
          <w:color w:val="E66A37"/>
        </w:rPr>
      </w:pPr>
      <w:bookmarkStart w:id="698" w:name="_Toc1384754327"/>
      <w:r w:rsidRPr="007E34BF">
        <w:rPr>
          <w:color w:val="E66A37"/>
        </w:rPr>
        <w:t>What is an accepted complaint?</w:t>
      </w:r>
      <w:bookmarkEnd w:id="698"/>
    </w:p>
    <w:p w14:paraId="1F8B9DE7" w14:textId="03A46ADB" w:rsidR="00FD3276" w:rsidRPr="008A00EB" w:rsidRDefault="00FD3276" w:rsidP="00FD3276">
      <w:r w:rsidRPr="008A00EB">
        <w:t>The Commission assesses each complaint received and records which human rights are relevant based on the allegations raised by the complaint</w:t>
      </w:r>
      <w:r w:rsidR="00E670C2">
        <w:t>,</w:t>
      </w:r>
      <w:r w:rsidRPr="008A00EB">
        <w:t xml:space="preserve"> as well as which type of public entity is involved (</w:t>
      </w:r>
      <w:r w:rsidR="00E670C2">
        <w:t>for example</w:t>
      </w:r>
      <w:r w:rsidR="004E4E9F">
        <w:t>,</w:t>
      </w:r>
      <w:r w:rsidRPr="008A00EB">
        <w:t xml:space="preserve"> state government, </w:t>
      </w:r>
      <w:r>
        <w:t>local government</w:t>
      </w:r>
      <w:r w:rsidRPr="008A00EB">
        <w:t>, or functional entity) and in which sector (</w:t>
      </w:r>
      <w:r w:rsidR="004E4E9F">
        <w:t>for example,</w:t>
      </w:r>
      <w:r w:rsidRPr="008A00EB">
        <w:t xml:space="preserve"> health, education, court services etc.). </w:t>
      </w:r>
    </w:p>
    <w:p w14:paraId="4A357C90" w14:textId="0555E7CC" w:rsidR="00FD3276" w:rsidRPr="008A00EB" w:rsidRDefault="00FD3276" w:rsidP="00FD3276">
      <w:pPr>
        <w:rPr>
          <w:rFonts w:cs="Arial"/>
          <w:lang w:val="en-US"/>
        </w:rPr>
      </w:pPr>
      <w:r w:rsidRPr="008A00EB">
        <w:rPr>
          <w:rFonts w:cs="Arial"/>
          <w:lang w:val="en-US"/>
        </w:rPr>
        <w:t xml:space="preserve">An ‘accepted complaint’ means that the Commission has assessed the complaint and decided that the matter should proceed to a dispute resolution process (conciliation or early intervention) to try to resolve the issues. </w:t>
      </w:r>
    </w:p>
    <w:p w14:paraId="00F86B65" w14:textId="1D2580CB" w:rsidR="00FD3276" w:rsidRPr="008A00EB" w:rsidRDefault="00022343" w:rsidP="00FD3276">
      <w:pPr>
        <w:rPr>
          <w:rFonts w:cs="Arial"/>
        </w:rPr>
      </w:pPr>
      <w:r>
        <w:rPr>
          <w:rFonts w:cs="Arial"/>
          <w:lang w:val="en-US"/>
        </w:rPr>
        <w:t xml:space="preserve">Under the Human Rights Act, a </w:t>
      </w:r>
      <w:r w:rsidR="00FD3276" w:rsidRPr="008A00EB">
        <w:rPr>
          <w:rFonts w:cs="Arial"/>
          <w:lang w:val="en-US"/>
        </w:rPr>
        <w:t>complaint can only be accepted if it is made in writing and includes enough details to indicate the alleged contravention to which the complaint relates</w:t>
      </w:r>
      <w:r w:rsidR="00FD3276" w:rsidRPr="00022343">
        <w:rPr>
          <w:rFonts w:cs="Arial"/>
          <w:iCs/>
          <w:lang w:val="en-US"/>
        </w:rPr>
        <w:t>.</w:t>
      </w:r>
      <w:r>
        <w:rPr>
          <w:rStyle w:val="FootnoteReference"/>
          <w:rFonts w:cs="Arial"/>
          <w:iCs/>
          <w:lang w:val="en-US"/>
        </w:rPr>
        <w:footnoteReference w:id="104"/>
      </w:r>
      <w:r w:rsidR="00FD3276" w:rsidRPr="00022343">
        <w:rPr>
          <w:rFonts w:cs="Arial"/>
          <w:iCs/>
          <w:lang w:val="en-US"/>
        </w:rPr>
        <w:t xml:space="preserve"> </w:t>
      </w:r>
      <w:r w:rsidR="00FD3276" w:rsidRPr="008A00EB">
        <w:rPr>
          <w:rFonts w:cs="Arial"/>
          <w:lang w:val="en-US"/>
        </w:rPr>
        <w:t xml:space="preserve">When deciding whether to accept a complaint, the complaint handler will consider </w:t>
      </w:r>
      <w:r w:rsidR="00776CAF">
        <w:rPr>
          <w:rFonts w:cs="Arial"/>
          <w:lang w:val="en-US"/>
        </w:rPr>
        <w:t>whether</w:t>
      </w:r>
      <w:r w:rsidR="00FD3276" w:rsidRPr="008A00EB">
        <w:rPr>
          <w:rFonts w:cs="Arial"/>
          <w:lang w:val="en-US"/>
        </w:rPr>
        <w:t xml:space="preserve"> there </w:t>
      </w:r>
      <w:r w:rsidR="00776CAF">
        <w:rPr>
          <w:rFonts w:cs="Arial"/>
          <w:lang w:val="en-US"/>
        </w:rPr>
        <w:t>may have</w:t>
      </w:r>
      <w:r w:rsidR="00776CAF" w:rsidRPr="008A00EB">
        <w:rPr>
          <w:rFonts w:cs="Arial"/>
          <w:lang w:val="en-US"/>
        </w:rPr>
        <w:t xml:space="preserve"> </w:t>
      </w:r>
      <w:r w:rsidR="00FD3276" w:rsidRPr="008A00EB">
        <w:rPr>
          <w:rFonts w:cs="Arial"/>
          <w:lang w:val="en-US"/>
        </w:rPr>
        <w:t xml:space="preserve">been an </w:t>
      </w:r>
      <w:r w:rsidR="00FD3276" w:rsidRPr="008A00EB">
        <w:rPr>
          <w:rFonts w:cs="Arial"/>
        </w:rPr>
        <w:t>unreasonable limitation of human rights.</w:t>
      </w:r>
    </w:p>
    <w:p w14:paraId="553CB551" w14:textId="1277C162" w:rsidR="00FD3276" w:rsidRPr="008A00EB" w:rsidRDefault="00FD3276" w:rsidP="00FD3276">
      <w:r w:rsidRPr="008A00EB">
        <w:rPr>
          <w:rFonts w:cs="Arial"/>
        </w:rPr>
        <w:t>By accepting a complaint</w:t>
      </w:r>
      <w:r w:rsidR="00EF0ABC">
        <w:rPr>
          <w:rFonts w:cs="Arial"/>
        </w:rPr>
        <w:t>,</w:t>
      </w:r>
      <w:r w:rsidRPr="008A00EB">
        <w:rPr>
          <w:rFonts w:cs="Arial"/>
        </w:rPr>
        <w:t xml:space="preserve"> the Commission has not decided that there has been </w:t>
      </w:r>
      <w:r w:rsidR="00EF0ABC" w:rsidRPr="008A00EB">
        <w:rPr>
          <w:rFonts w:cs="Arial"/>
          <w:lang w:val="en-US"/>
        </w:rPr>
        <w:t xml:space="preserve">an </w:t>
      </w:r>
      <w:r w:rsidR="00EF0ABC" w:rsidRPr="008A00EB">
        <w:rPr>
          <w:rFonts w:cs="Arial"/>
        </w:rPr>
        <w:t>unreasonable limitation</w:t>
      </w:r>
      <w:r w:rsidRPr="008A00EB">
        <w:rPr>
          <w:rFonts w:cs="Arial"/>
        </w:rPr>
        <w:t xml:space="preserve"> of human rights. </w:t>
      </w:r>
    </w:p>
    <w:p w14:paraId="66A13634" w14:textId="77777777" w:rsidR="00FD2F87" w:rsidRDefault="00FD2F87">
      <w:pPr>
        <w:spacing w:after="160" w:line="259" w:lineRule="auto"/>
        <w:ind w:right="0"/>
        <w:rPr>
          <w:rFonts w:eastAsiaTheme="majorEastAsia" w:cstheme="majorBidi"/>
          <w:color w:val="E66A37"/>
          <w:sz w:val="28"/>
          <w:szCs w:val="24"/>
        </w:rPr>
      </w:pPr>
      <w:bookmarkStart w:id="699" w:name="_Toc1779582620"/>
      <w:r>
        <w:rPr>
          <w:color w:val="E66A37"/>
        </w:rPr>
        <w:br w:type="page"/>
      </w:r>
    </w:p>
    <w:p w14:paraId="1504C40A" w14:textId="77777777" w:rsidR="00FD3276" w:rsidRPr="007E34BF" w:rsidRDefault="00FD3276" w:rsidP="00FD3276">
      <w:pPr>
        <w:pStyle w:val="Heading3"/>
        <w:rPr>
          <w:color w:val="E66A37"/>
        </w:rPr>
      </w:pPr>
      <w:r w:rsidRPr="007E34BF">
        <w:rPr>
          <w:color w:val="E66A37"/>
        </w:rPr>
        <w:t>What is a finalised complaint?</w:t>
      </w:r>
      <w:bookmarkEnd w:id="699"/>
    </w:p>
    <w:p w14:paraId="72E169E1" w14:textId="17427C8F" w:rsidR="00FD3276" w:rsidRPr="008A00EB" w:rsidRDefault="00D72C7A" w:rsidP="00FD3276">
      <w:pPr>
        <w:rPr>
          <w:i/>
        </w:rPr>
      </w:pPr>
      <w:r>
        <w:rPr>
          <w:rFonts w:cs="Arial"/>
          <w:lang w:eastAsia="en-AU"/>
        </w:rPr>
        <w:t xml:space="preserve">A finalised complaint is one which has been dealt with to conclusion, either through </w:t>
      </w:r>
      <w:r w:rsidR="009D5710">
        <w:rPr>
          <w:rFonts w:cs="Arial"/>
          <w:lang w:eastAsia="en-AU"/>
        </w:rPr>
        <w:t>the Commission’s</w:t>
      </w:r>
      <w:r>
        <w:rPr>
          <w:rFonts w:cs="Arial"/>
          <w:lang w:eastAsia="en-AU"/>
        </w:rPr>
        <w:t xml:space="preserve"> dispute resolution process</w:t>
      </w:r>
      <w:r w:rsidR="0002429D">
        <w:rPr>
          <w:rFonts w:cs="Arial"/>
          <w:lang w:eastAsia="en-AU"/>
        </w:rPr>
        <w:t>,</w:t>
      </w:r>
      <w:r>
        <w:rPr>
          <w:rFonts w:cs="Arial"/>
          <w:lang w:eastAsia="en-AU"/>
        </w:rPr>
        <w:t xml:space="preserve"> or through rejection and closure of the complaint file. </w:t>
      </w:r>
      <w:r w:rsidR="00FD3276" w:rsidRPr="008A00EB">
        <w:rPr>
          <w:lang w:val="en-US"/>
        </w:rPr>
        <w:t xml:space="preserve">For more detailed information see the section </w:t>
      </w:r>
      <w:r w:rsidR="00FD3276" w:rsidRPr="008A00EB">
        <w:rPr>
          <w:i/>
        </w:rPr>
        <w:t>Outcomes of finalised complaints.</w:t>
      </w:r>
    </w:p>
    <w:p w14:paraId="4CA7CA0F" w14:textId="77777777" w:rsidR="00FD3276" w:rsidRPr="007E34BF" w:rsidRDefault="00FD3276" w:rsidP="00FD3276">
      <w:pPr>
        <w:pStyle w:val="Heading3"/>
        <w:rPr>
          <w:color w:val="E66A37"/>
        </w:rPr>
      </w:pPr>
      <w:bookmarkStart w:id="700" w:name="_Toc1925606602"/>
      <w:r w:rsidRPr="007E34BF">
        <w:rPr>
          <w:color w:val="E66A37"/>
        </w:rPr>
        <w:t>What is an accepted and finalised complaint?</w:t>
      </w:r>
      <w:bookmarkEnd w:id="700"/>
    </w:p>
    <w:p w14:paraId="5BFF7BE3" w14:textId="12C7E319" w:rsidR="00FD3276" w:rsidRPr="008A00EB" w:rsidRDefault="00FD3276" w:rsidP="00FD3276">
      <w:r w:rsidRPr="008A00EB">
        <w:t>This means a complaint that has been accepted</w:t>
      </w:r>
      <w:r>
        <w:t xml:space="preserve"> (in any period)</w:t>
      </w:r>
      <w:r w:rsidRPr="008A00EB">
        <w:t xml:space="preserve"> by the Commission and has been finalised in the period </w:t>
      </w:r>
      <w:r w:rsidR="007D27F7">
        <w:t>2022-23</w:t>
      </w:r>
      <w:r w:rsidRPr="008A00EB">
        <w:t>.</w:t>
      </w:r>
    </w:p>
    <w:p w14:paraId="73409684" w14:textId="77777777" w:rsidR="00FD3276" w:rsidRPr="007E34BF" w:rsidRDefault="00FD3276" w:rsidP="00FD3276">
      <w:pPr>
        <w:pStyle w:val="Heading3"/>
        <w:rPr>
          <w:color w:val="E66A37"/>
        </w:rPr>
      </w:pPr>
      <w:bookmarkStart w:id="701" w:name="_Toc268539218"/>
      <w:r w:rsidRPr="007E34BF">
        <w:rPr>
          <w:color w:val="E66A37"/>
        </w:rPr>
        <w:t>What is a resolved complaint?</w:t>
      </w:r>
      <w:bookmarkEnd w:id="701"/>
    </w:p>
    <w:p w14:paraId="054DB97F" w14:textId="77777777" w:rsidR="00FD2F87" w:rsidRDefault="00FD3276" w:rsidP="00F47DB3">
      <w:r w:rsidRPr="008A00EB">
        <w:t>‘</w:t>
      </w:r>
      <w:r w:rsidRPr="009E266F">
        <w:t xml:space="preserve">Resolved’ means that </w:t>
      </w:r>
      <w:r w:rsidR="00776CAF" w:rsidRPr="009E266F">
        <w:t>a complaint</w:t>
      </w:r>
      <w:r w:rsidRPr="009E266F">
        <w:t xml:space="preserve"> has been through a </w:t>
      </w:r>
      <w:r w:rsidR="0044173C">
        <w:t>dispute resolution</w:t>
      </w:r>
      <w:r w:rsidR="0044173C" w:rsidRPr="009E266F">
        <w:t xml:space="preserve"> </w:t>
      </w:r>
      <w:r w:rsidRPr="009E266F">
        <w:t xml:space="preserve">process and </w:t>
      </w:r>
      <w:r w:rsidR="009E266F" w:rsidRPr="009E266F">
        <w:t xml:space="preserve">either the parties have reached an agreement or the Commission considers that </w:t>
      </w:r>
      <w:r w:rsidRPr="009E266F">
        <w:t>the matter has been resolved</w:t>
      </w:r>
      <w:r w:rsidR="009E266F" w:rsidRPr="009E266F">
        <w:t>.</w:t>
      </w:r>
    </w:p>
    <w:p w14:paraId="5C768447" w14:textId="55A3F5C9" w:rsidR="00CA7295" w:rsidRDefault="00CA7295" w:rsidP="00CA7295">
      <w:bookmarkStart w:id="702" w:name="_Toc1607650139"/>
      <w:bookmarkStart w:id="703" w:name="_Toc117697203"/>
      <w:bookmarkStart w:id="704" w:name="_Toc117697910"/>
      <w:bookmarkStart w:id="705" w:name="_Toc147757347"/>
    </w:p>
    <w:p w14:paraId="33BB8749" w14:textId="77777777" w:rsidR="00A7300C" w:rsidRDefault="00A7300C">
      <w:pPr>
        <w:spacing w:after="160" w:line="259" w:lineRule="auto"/>
        <w:ind w:right="0"/>
        <w:rPr>
          <w:rFonts w:eastAsiaTheme="majorEastAsia" w:cstheme="majorBidi"/>
          <w:color w:val="E66A37"/>
          <w:sz w:val="36"/>
          <w:szCs w:val="26"/>
        </w:rPr>
      </w:pPr>
      <w:r>
        <w:rPr>
          <w:color w:val="E66A37"/>
        </w:rPr>
        <w:br w:type="page"/>
      </w:r>
    </w:p>
    <w:p w14:paraId="0D81E51D" w14:textId="12BB3A62" w:rsidR="00670F4F" w:rsidRPr="00670F4F" w:rsidRDefault="00670F4F" w:rsidP="00670F4F">
      <w:pPr>
        <w:pStyle w:val="Heading2"/>
        <w:rPr>
          <w:color w:val="E66A37"/>
        </w:rPr>
      </w:pPr>
      <w:bookmarkStart w:id="706" w:name="_Toc148086973"/>
      <w:r w:rsidRPr="25DCDBA1">
        <w:rPr>
          <w:color w:val="E66A37"/>
        </w:rPr>
        <w:t>Human rights complaints snapshot</w:t>
      </w:r>
      <w:bookmarkEnd w:id="702"/>
      <w:bookmarkEnd w:id="703"/>
      <w:bookmarkEnd w:id="704"/>
      <w:bookmarkEnd w:id="705"/>
      <w:bookmarkEnd w:id="706"/>
    </w:p>
    <w:p w14:paraId="49168688" w14:textId="2FBC5CAB" w:rsidR="009D2E52" w:rsidRPr="008A00EB" w:rsidRDefault="009D2E52" w:rsidP="009D2E52">
      <w:r w:rsidRPr="008A00EB">
        <w:t xml:space="preserve">By the end of the </w:t>
      </w:r>
      <w:r>
        <w:t>202</w:t>
      </w:r>
      <w:r w:rsidR="0084587C">
        <w:t>2</w:t>
      </w:r>
      <w:r>
        <w:t>–2</w:t>
      </w:r>
      <w:r w:rsidR="0084587C">
        <w:t>3</w:t>
      </w:r>
      <w:r w:rsidRPr="008A00EB">
        <w:t xml:space="preserve"> financial year:</w:t>
      </w:r>
    </w:p>
    <w:p w14:paraId="0033E547" w14:textId="7228248E" w:rsidR="009D2E52" w:rsidRDefault="000610FD" w:rsidP="009D2E52">
      <w:pPr>
        <w:ind w:left="720"/>
      </w:pPr>
      <w:r>
        <w:rPr>
          <w:b/>
          <w:bCs/>
        </w:rPr>
        <w:t>56</w:t>
      </w:r>
      <w:r w:rsidR="0085570F">
        <w:rPr>
          <w:b/>
          <w:bCs/>
        </w:rPr>
        <w:t>1</w:t>
      </w:r>
      <w:r w:rsidR="009D2E52">
        <w:rPr>
          <w:b/>
        </w:rPr>
        <w:t xml:space="preserve"> </w:t>
      </w:r>
      <w:r w:rsidR="009D2E52">
        <w:t>human</w:t>
      </w:r>
      <w:r w:rsidR="009D2E52" w:rsidRPr="008A00EB">
        <w:t xml:space="preserve"> </w:t>
      </w:r>
      <w:r w:rsidR="00A140FB">
        <w:t xml:space="preserve">rights </w:t>
      </w:r>
      <w:r w:rsidR="009D2E52" w:rsidRPr="008A00EB">
        <w:t>complaints had been finalised</w:t>
      </w:r>
      <w:r w:rsidR="009D2E52">
        <w:t xml:space="preserve"> in that year</w:t>
      </w:r>
      <w:r w:rsidR="009D2E52" w:rsidRPr="008A00EB">
        <w:t xml:space="preserve">. </w:t>
      </w:r>
      <w:r w:rsidR="00993DCA">
        <w:t xml:space="preserve">209 </w:t>
      </w:r>
      <w:r w:rsidR="009D2E52" w:rsidRPr="008A00EB">
        <w:t xml:space="preserve">were human rights only complaints and </w:t>
      </w:r>
      <w:r w:rsidR="00993DCA">
        <w:t>35</w:t>
      </w:r>
      <w:r w:rsidR="00512DA9">
        <w:t>2</w:t>
      </w:r>
      <w:r w:rsidR="00C36BF4">
        <w:t xml:space="preserve"> </w:t>
      </w:r>
      <w:r w:rsidR="009D2E52" w:rsidRPr="008A00EB">
        <w:t xml:space="preserve">were </w:t>
      </w:r>
      <w:r w:rsidR="009D2E52">
        <w:t>piggy-back complaint</w:t>
      </w:r>
      <w:r w:rsidR="009D2E52" w:rsidRPr="008A00EB">
        <w:t>s.</w:t>
      </w:r>
    </w:p>
    <w:p w14:paraId="61EF8E69" w14:textId="0BE7FB30" w:rsidR="009D2E52" w:rsidRPr="008A00EB" w:rsidRDefault="00BE4DE8" w:rsidP="009D2E52">
      <w:pPr>
        <w:ind w:left="720"/>
      </w:pPr>
      <w:r>
        <w:rPr>
          <w:b/>
        </w:rPr>
        <w:t>24</w:t>
      </w:r>
      <w:r w:rsidR="00EF45C4">
        <w:rPr>
          <w:b/>
        </w:rPr>
        <w:t>1</w:t>
      </w:r>
      <w:r w:rsidR="009D2E52" w:rsidRPr="008A00EB">
        <w:rPr>
          <w:b/>
        </w:rPr>
        <w:t xml:space="preserve"> </w:t>
      </w:r>
      <w:r w:rsidR="009D2E52" w:rsidRPr="008A00EB">
        <w:t>of these</w:t>
      </w:r>
      <w:r w:rsidR="009D2E52">
        <w:t xml:space="preserve"> finalised</w:t>
      </w:r>
      <w:r w:rsidR="009D2E52" w:rsidRPr="008A00EB">
        <w:t xml:space="preserve"> complaints had been </w:t>
      </w:r>
      <w:r w:rsidR="009D2E52">
        <w:t>accepted</w:t>
      </w:r>
      <w:r w:rsidR="009D2E52" w:rsidRPr="008A00EB">
        <w:t xml:space="preserve">. </w:t>
      </w:r>
      <w:r>
        <w:t>6</w:t>
      </w:r>
      <w:r w:rsidR="001726DE">
        <w:t>8</w:t>
      </w:r>
      <w:r w:rsidR="009D2E52" w:rsidRPr="008A00EB">
        <w:t xml:space="preserve"> of these were</w:t>
      </w:r>
      <w:r w:rsidR="009D2E52" w:rsidRPr="008A00EB">
        <w:rPr>
          <w:rStyle w:val="CommentReference"/>
          <w:rFonts w:eastAsia="Times New Roman" w:cs="Times New Roman"/>
          <w:lang w:eastAsia="en-AU"/>
        </w:rPr>
        <w:t xml:space="preserve"> </w:t>
      </w:r>
      <w:r w:rsidR="009D2E52" w:rsidRPr="008A00EB">
        <w:t xml:space="preserve">human rights only complaints and </w:t>
      </w:r>
      <w:r>
        <w:t>17</w:t>
      </w:r>
      <w:r w:rsidR="002615FD">
        <w:t>3</w:t>
      </w:r>
      <w:r>
        <w:t xml:space="preserve"> </w:t>
      </w:r>
      <w:r w:rsidR="009D2E52" w:rsidRPr="008A00EB">
        <w:t xml:space="preserve">were </w:t>
      </w:r>
      <w:r w:rsidR="005A63F6">
        <w:t>piggy-back</w:t>
      </w:r>
      <w:r w:rsidR="009D2E52">
        <w:t xml:space="preserve"> complaint</w:t>
      </w:r>
      <w:r w:rsidR="009D2E52" w:rsidRPr="008A00EB">
        <w:t>s.</w:t>
      </w:r>
    </w:p>
    <w:p w14:paraId="3E374623" w14:textId="4641FA5D" w:rsidR="009D2E52" w:rsidRPr="008A00EB" w:rsidRDefault="00CD1A5F" w:rsidP="009D2E52">
      <w:pPr>
        <w:ind w:left="720"/>
      </w:pPr>
      <w:r>
        <w:rPr>
          <w:b/>
          <w:bCs/>
        </w:rPr>
        <w:t>5</w:t>
      </w:r>
      <w:r w:rsidR="001B27C8">
        <w:rPr>
          <w:b/>
          <w:bCs/>
        </w:rPr>
        <w:t>7</w:t>
      </w:r>
      <w:r w:rsidR="009D2E52" w:rsidRPr="008A00EB">
        <w:t xml:space="preserve"> complaints</w:t>
      </w:r>
      <w:r w:rsidR="009D2E52">
        <w:t xml:space="preserve"> were</w:t>
      </w:r>
      <w:r w:rsidR="009D2E52" w:rsidRPr="008A00EB">
        <w:t xml:space="preserve"> resolved</w:t>
      </w:r>
      <w:r w:rsidR="009D2E52">
        <w:t xml:space="preserve"> in the </w:t>
      </w:r>
      <w:r w:rsidR="00950F2B">
        <w:t>202</w:t>
      </w:r>
      <w:r w:rsidR="0084587C">
        <w:t>2</w:t>
      </w:r>
      <w:r w:rsidR="00A140FB">
        <w:t>–</w:t>
      </w:r>
      <w:r w:rsidR="00950F2B">
        <w:t>2</w:t>
      </w:r>
      <w:r w:rsidR="0084587C">
        <w:t>3</w:t>
      </w:r>
      <w:r w:rsidR="009D2E52">
        <w:t xml:space="preserve"> financial year</w:t>
      </w:r>
      <w:r w:rsidR="009D2E52" w:rsidRPr="008A00EB">
        <w:t xml:space="preserve">. </w:t>
      </w:r>
      <w:r>
        <w:t>2</w:t>
      </w:r>
      <w:r w:rsidR="003D1C18">
        <w:t>2</w:t>
      </w:r>
      <w:r w:rsidR="009D2E52" w:rsidRPr="008A00EB">
        <w:t xml:space="preserve"> of the resolved complaints were human rights only complaints and </w:t>
      </w:r>
      <w:r w:rsidR="00D871FD">
        <w:t>3</w:t>
      </w:r>
      <w:r w:rsidR="003D1C18">
        <w:t>5</w:t>
      </w:r>
      <w:r w:rsidR="009D2E52" w:rsidRPr="008A00EB">
        <w:t xml:space="preserve"> were </w:t>
      </w:r>
      <w:r w:rsidR="005A63F6">
        <w:t>piggy-back</w:t>
      </w:r>
      <w:r w:rsidR="009D2E52">
        <w:t xml:space="preserve"> complaint</w:t>
      </w:r>
      <w:r w:rsidR="009D2E52" w:rsidRPr="008A00EB">
        <w:t xml:space="preserve">s. </w:t>
      </w:r>
    </w:p>
    <w:p w14:paraId="3A7C6E58" w14:textId="3A2BCBFF" w:rsidR="00FD2F87" w:rsidRDefault="00E62A69" w:rsidP="00A7300C">
      <w:pPr>
        <w:ind w:left="720"/>
        <w:rPr>
          <w:color w:val="E66A37"/>
        </w:rPr>
      </w:pPr>
      <w:r>
        <w:rPr>
          <w:b/>
          <w:bCs/>
        </w:rPr>
        <w:t>73</w:t>
      </w:r>
      <w:r w:rsidR="009D2E52" w:rsidRPr="43FC7218">
        <w:rPr>
          <w:b/>
          <w:bCs/>
        </w:rPr>
        <w:t xml:space="preserve"> </w:t>
      </w:r>
      <w:r w:rsidR="009D2E52" w:rsidRPr="008A00EB">
        <w:t>complaints</w:t>
      </w:r>
      <w:r w:rsidR="009D2E52" w:rsidRPr="43FC7218">
        <w:rPr>
          <w:b/>
          <w:bCs/>
        </w:rPr>
        <w:t xml:space="preserve"> </w:t>
      </w:r>
      <w:r w:rsidR="009D2E52" w:rsidRPr="008A00EB">
        <w:t>(</w:t>
      </w:r>
      <w:r w:rsidR="009D2E52">
        <w:t>all</w:t>
      </w:r>
      <w:r w:rsidR="009D2E52" w:rsidRPr="008A00EB">
        <w:t xml:space="preserve"> </w:t>
      </w:r>
      <w:r w:rsidR="009D2E52">
        <w:t>piggy-back complaint</w:t>
      </w:r>
      <w:r w:rsidR="009D2E52" w:rsidRPr="008A00EB">
        <w:t>s) were ref</w:t>
      </w:r>
      <w:r w:rsidR="009D2E52">
        <w:t>erred to tribunals (</w:t>
      </w:r>
      <w:r w:rsidR="001B2148">
        <w:t>41</w:t>
      </w:r>
      <w:r w:rsidR="009D2E52" w:rsidRPr="008A00EB">
        <w:t xml:space="preserve"> to QCAT</w:t>
      </w:r>
      <w:r w:rsidR="009D2E52" w:rsidRPr="008A00EB">
        <w:rPr>
          <w:rStyle w:val="FootnoteReference"/>
        </w:rPr>
        <w:footnoteReference w:id="105"/>
      </w:r>
      <w:r w:rsidR="009D2E52">
        <w:t xml:space="preserve"> and </w:t>
      </w:r>
      <w:r w:rsidR="001B2148">
        <w:t>32 t</w:t>
      </w:r>
      <w:r w:rsidR="009D2E52" w:rsidRPr="008A00EB">
        <w:t>o the QIRC</w:t>
      </w:r>
      <w:r w:rsidR="009D2E52" w:rsidRPr="008A00EB">
        <w:rPr>
          <w:rStyle w:val="FootnoteReference"/>
        </w:rPr>
        <w:footnoteReference w:id="106"/>
      </w:r>
      <w:r w:rsidR="009D2E52" w:rsidRPr="008A00EB">
        <w:t>).</w:t>
      </w:r>
      <w:bookmarkStart w:id="707" w:name="_Toc1143821220"/>
    </w:p>
    <w:p w14:paraId="2AD9E5A4" w14:textId="623F7B39" w:rsidR="00FD2F87" w:rsidRDefault="00FD2F87" w:rsidP="00B47E3E">
      <w:pPr>
        <w:pStyle w:val="Caption"/>
      </w:pPr>
      <w:r>
        <w:t xml:space="preserve">Figure </w:t>
      </w:r>
      <w:r w:rsidR="00B132DB">
        <w:t>4</w:t>
      </w:r>
      <w:r>
        <w:t xml:space="preserve">: </w:t>
      </w:r>
      <w:r w:rsidR="00B47E3E">
        <w:t>Human rights complaint snapshot, 2022-23</w:t>
      </w:r>
    </w:p>
    <w:p w14:paraId="666346BD" w14:textId="52A1F8FD" w:rsidR="00FD2F87" w:rsidRDefault="00FD2F87">
      <w:pPr>
        <w:spacing w:after="160" w:line="259" w:lineRule="auto"/>
        <w:ind w:right="0"/>
        <w:rPr>
          <w:color w:val="E66A37"/>
        </w:rPr>
      </w:pPr>
      <w:r>
        <w:rPr>
          <w:rFonts w:eastAsiaTheme="majorEastAsia" w:cstheme="majorBidi"/>
          <w:noProof/>
          <w:color w:val="E66A37"/>
          <w:sz w:val="28"/>
          <w:szCs w:val="24"/>
          <w:shd w:val="clear" w:color="auto" w:fill="E6E6E6"/>
        </w:rPr>
        <w:drawing>
          <wp:inline distT="0" distB="0" distL="0" distR="0" wp14:anchorId="4F03B15C" wp14:editId="6423E096">
            <wp:extent cx="4504837" cy="4689043"/>
            <wp:effectExtent l="0" t="0" r="0" b="0"/>
            <wp:docPr id="11" name="Picture 11" descr="Flowchart showing the outcomes of human rights complaints dealt with by the Commission in 2022-23.&#10;&#10;Of 561 finalised complaints, 241 were accepted and 320 were not. &#10;&#10;Of the accepted complaints, 57 resolved (51 through conciliation and 6 via early intervention), 45 were withdrawn, and the remaining 139 were unable to be resolved. Of these, 41 were referred to QCAT, 32 referred to QIRC, and the remaining 66 had no referral to a tribunal. &#10;&#10;Of the 320 not accepted, 261 gave insufficient detail to allege a contravention of the Act. 34 could not be accepted because no prior internal complaint had been made, 9 were withdrawn, and 16 rejected - 15 of these were dealt with elsewhere and 1 was lacking in subst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Flowchart showing the outcomes of human rights complaints dealt with by the Commission in 2022-23.&#10;&#10;Of 561 finalised complaints, 241 were accepted and 320 were not. &#10;&#10;Of the accepted complaints, 57 resolved (51 through conciliation and 6 via early intervention), 45 were withdrawn, and the remaining 139 were unable to be resolved. Of these, 41 were referred to QCAT, 32 referred to QIRC, and the remaining 66 had no referral to a tribunal. &#10;&#10;Of the 320 not accepted, 261 gave insufficient detail to allege a contravention of the Act. 34 could not be accepted because no prior internal complaint had been made, 9 were withdrawn, and 16 rejected - 15 of these were dealt with elsewhere and 1 was lacking in substance. "/>
                    <pic:cNvPicPr/>
                  </pic:nvPicPr>
                  <pic:blipFill rotWithShape="1">
                    <a:blip r:embed="rId30" cstate="print">
                      <a:extLst>
                        <a:ext uri="{28A0092B-C50C-407E-A947-70E740481C1C}">
                          <a14:useLocalDpi xmlns:a14="http://schemas.microsoft.com/office/drawing/2010/main" val="0"/>
                        </a:ext>
                      </a:extLst>
                    </a:blip>
                    <a:srcRect l="3351" t="3310" r="1940" b="22735"/>
                    <a:stretch/>
                  </pic:blipFill>
                  <pic:spPr bwMode="auto">
                    <a:xfrm>
                      <a:off x="0" y="0"/>
                      <a:ext cx="4515814" cy="4700469"/>
                    </a:xfrm>
                    <a:prstGeom prst="rect">
                      <a:avLst/>
                    </a:prstGeom>
                    <a:ln>
                      <a:noFill/>
                    </a:ln>
                    <a:extLst>
                      <a:ext uri="{53640926-AAD7-44D8-BBD7-CCE9431645EC}">
                        <a14:shadowObscured xmlns:a14="http://schemas.microsoft.com/office/drawing/2010/main"/>
                      </a:ext>
                    </a:extLst>
                  </pic:spPr>
                </pic:pic>
              </a:graphicData>
            </a:graphic>
          </wp:inline>
        </w:drawing>
      </w:r>
    </w:p>
    <w:p w14:paraId="0A7FF0B1" w14:textId="081C7CF1" w:rsidR="00D208F1" w:rsidRPr="00B142C0" w:rsidRDefault="00A7300C" w:rsidP="00D208F1">
      <w:pPr>
        <w:pStyle w:val="Heading2"/>
        <w:rPr>
          <w:color w:val="E66A37"/>
        </w:rPr>
      </w:pPr>
      <w:bookmarkStart w:id="708" w:name="_Toc148086974"/>
      <w:r w:rsidRPr="00A7300C">
        <w:rPr>
          <w:color w:val="E66A37"/>
        </w:rPr>
        <w:softHyphen/>
      </w:r>
      <w:r w:rsidR="00D208F1" w:rsidRPr="00A7300C">
        <w:rPr>
          <w:color w:val="E66A37"/>
        </w:rPr>
        <w:t>Outcomes</w:t>
      </w:r>
      <w:bookmarkStart w:id="709" w:name="_Toc56452192"/>
      <w:bookmarkStart w:id="710" w:name="_Toc84593925"/>
      <w:bookmarkStart w:id="711" w:name="_Toc85451802"/>
      <w:bookmarkStart w:id="712" w:name="_Toc85526733"/>
      <w:bookmarkStart w:id="713" w:name="_Toc85787148"/>
      <w:bookmarkStart w:id="714" w:name="_Toc1343027561"/>
      <w:bookmarkStart w:id="715" w:name="_Toc117697204"/>
      <w:bookmarkStart w:id="716" w:name="_Toc117697911"/>
      <w:bookmarkStart w:id="717" w:name="_Toc147757348"/>
      <w:bookmarkEnd w:id="707"/>
      <w:r w:rsidR="00D208F1" w:rsidRPr="00B142C0">
        <w:rPr>
          <w:color w:val="E66A37"/>
        </w:rPr>
        <w:t xml:space="preserve"> of finalised complaints</w:t>
      </w:r>
      <w:bookmarkEnd w:id="708"/>
      <w:bookmarkEnd w:id="709"/>
      <w:bookmarkEnd w:id="710"/>
      <w:bookmarkEnd w:id="711"/>
      <w:bookmarkEnd w:id="712"/>
      <w:bookmarkEnd w:id="713"/>
      <w:bookmarkEnd w:id="714"/>
      <w:bookmarkEnd w:id="715"/>
      <w:bookmarkEnd w:id="716"/>
      <w:bookmarkEnd w:id="717"/>
    </w:p>
    <w:p w14:paraId="69415EAF" w14:textId="4564720B" w:rsidR="00D208F1" w:rsidRDefault="002E567B" w:rsidP="00D208F1">
      <w:r>
        <w:t>O</w:t>
      </w:r>
      <w:r w:rsidR="007370EA">
        <w:t xml:space="preserve">f the human rights </w:t>
      </w:r>
      <w:r w:rsidR="006C2378">
        <w:t xml:space="preserve">complaints </w:t>
      </w:r>
      <w:r w:rsidR="00D208F1">
        <w:t xml:space="preserve">finalised in the </w:t>
      </w:r>
      <w:r w:rsidR="000064FF">
        <w:t>reporting period</w:t>
      </w:r>
      <w:r>
        <w:t>, 320 (approximately 57%)</w:t>
      </w:r>
      <w:r w:rsidR="00D208F1">
        <w:t xml:space="preserve"> were not accepted by the Commission. </w:t>
      </w:r>
      <w:r w:rsidR="00937E28">
        <w:t>C</w:t>
      </w:r>
      <w:r w:rsidR="00D208F1">
        <w:t xml:space="preserve">omplaints </w:t>
      </w:r>
      <w:r w:rsidR="00937E28">
        <w:t>that did</w:t>
      </w:r>
      <w:r w:rsidR="00D208F1">
        <w:t xml:space="preserve"> not indicat</w:t>
      </w:r>
      <w:r w:rsidR="00937E28">
        <w:t>e</w:t>
      </w:r>
      <w:r w:rsidR="00D208F1">
        <w:t xml:space="preserve"> an unreasonable limitation on a human right</w:t>
      </w:r>
      <w:r w:rsidR="00482E43">
        <w:t xml:space="preserve"> </w:t>
      </w:r>
      <w:r w:rsidR="00937E28">
        <w:t xml:space="preserve">made up the bulk of this </w:t>
      </w:r>
      <w:r w:rsidR="00463DEB">
        <w:t>number</w:t>
      </w:r>
      <w:r w:rsidR="000C73F3">
        <w:t>,</w:t>
      </w:r>
      <w:r w:rsidR="00463DEB">
        <w:t xml:space="preserve"> and</w:t>
      </w:r>
      <w:r w:rsidR="00482E43">
        <w:t xml:space="preserve"> </w:t>
      </w:r>
      <w:r w:rsidR="002027E7" w:rsidRPr="00C02A55">
        <w:t>15</w:t>
      </w:r>
      <w:r w:rsidR="00482E43">
        <w:t xml:space="preserve"> complaints</w:t>
      </w:r>
      <w:r w:rsidR="00546F13">
        <w:t xml:space="preserve"> </w:t>
      </w:r>
      <w:r w:rsidR="00482E43">
        <w:t xml:space="preserve">were not accepted because </w:t>
      </w:r>
      <w:r w:rsidR="00331AB0">
        <w:t>the Commission</w:t>
      </w:r>
      <w:r w:rsidR="001C2012">
        <w:t xml:space="preserve"> determined that the complaint ha</w:t>
      </w:r>
      <w:r w:rsidR="000E334F">
        <w:t>d</w:t>
      </w:r>
      <w:r w:rsidR="00EC33B6">
        <w:t xml:space="preserve"> already</w:t>
      </w:r>
      <w:r w:rsidR="001C2012">
        <w:t xml:space="preserve"> been or would be better dealt with </w:t>
      </w:r>
      <w:r w:rsidR="00BE2598">
        <w:t xml:space="preserve">by </w:t>
      </w:r>
      <w:r w:rsidR="007F2980">
        <w:t>another body, such as</w:t>
      </w:r>
      <w:r w:rsidR="00FA11B6">
        <w:t xml:space="preserve"> through</w:t>
      </w:r>
      <w:r w:rsidR="007F2980">
        <w:t xml:space="preserve"> a court or another specific complaints</w:t>
      </w:r>
      <w:r w:rsidR="00EC33B6">
        <w:t xml:space="preserve"> or oversight</w:t>
      </w:r>
      <w:r w:rsidR="007F2980">
        <w:t xml:space="preserve"> </w:t>
      </w:r>
      <w:r w:rsidR="00EC33B6">
        <w:t>agency</w:t>
      </w:r>
      <w:r w:rsidR="001C2012">
        <w:t>.</w:t>
      </w:r>
    </w:p>
    <w:p w14:paraId="49C5106F" w14:textId="6D5E58CD" w:rsidR="000C501F" w:rsidRDefault="00265D60" w:rsidP="12F114BE">
      <w:pPr>
        <w:rPr>
          <w:rFonts w:eastAsia="Calibri" w:cs="Arial"/>
          <w:lang w:val="en-US"/>
        </w:rPr>
      </w:pPr>
      <w:r>
        <w:t>Thirty-four</w:t>
      </w:r>
      <w:r w:rsidR="00EB4D88">
        <w:t xml:space="preserve"> complaints were finalised because the requirement to make an internal complaint to the public entity and wait 45 days for a </w:t>
      </w:r>
      <w:r w:rsidR="00835BB3">
        <w:t xml:space="preserve">response </w:t>
      </w:r>
      <w:r w:rsidR="00EB4D88">
        <w:t>w</w:t>
      </w:r>
      <w:r w:rsidR="00457876">
        <w:t>as</w:t>
      </w:r>
      <w:r w:rsidR="00EB4D88">
        <w:t xml:space="preserve"> not complied with</w:t>
      </w:r>
      <w:r w:rsidR="30221D10" w:rsidRPr="12F114BE">
        <w:rPr>
          <w:rFonts w:eastAsia="Calibri" w:cs="Arial"/>
          <w:lang w:val="en-US"/>
        </w:rPr>
        <w:t>.</w:t>
      </w:r>
      <w:r w:rsidR="00AE5E48" w:rsidRPr="12F114BE">
        <w:rPr>
          <w:rStyle w:val="FootnoteReference"/>
          <w:rFonts w:eastAsia="Calibri" w:cs="Arial"/>
          <w:lang w:val="en-US"/>
        </w:rPr>
        <w:footnoteReference w:id="107"/>
      </w:r>
      <w:r w:rsidR="006F1D0F">
        <w:rPr>
          <w:rFonts w:eastAsia="Calibri" w:cs="Arial"/>
          <w:lang w:val="en-US"/>
        </w:rPr>
        <w:t xml:space="preserve"> The number of complaints closed under this category has reduced </w:t>
      </w:r>
      <w:r w:rsidR="002B4384">
        <w:rPr>
          <w:rFonts w:eastAsia="Calibri" w:cs="Arial"/>
          <w:lang w:val="en-US"/>
        </w:rPr>
        <w:t>from 9% last year</w:t>
      </w:r>
      <w:r w:rsidR="007138E7">
        <w:rPr>
          <w:rFonts w:eastAsia="Calibri" w:cs="Arial"/>
          <w:lang w:val="en-US"/>
        </w:rPr>
        <w:t xml:space="preserve"> and</w:t>
      </w:r>
      <w:r w:rsidR="006F1D0F">
        <w:rPr>
          <w:rFonts w:eastAsia="Calibri" w:cs="Arial"/>
          <w:lang w:val="en-US"/>
        </w:rPr>
        <w:t xml:space="preserve"> now represent</w:t>
      </w:r>
      <w:r w:rsidR="007138E7">
        <w:rPr>
          <w:rFonts w:eastAsia="Calibri" w:cs="Arial"/>
          <w:lang w:val="en-US"/>
        </w:rPr>
        <w:t>s</w:t>
      </w:r>
      <w:r w:rsidR="006F1D0F">
        <w:rPr>
          <w:rFonts w:eastAsia="Calibri" w:cs="Arial"/>
          <w:lang w:val="en-US"/>
        </w:rPr>
        <w:t xml:space="preserve"> only 6% of complaints </w:t>
      </w:r>
      <w:proofErr w:type="spellStart"/>
      <w:r w:rsidR="002B4384">
        <w:rPr>
          <w:rFonts w:eastAsia="Calibri" w:cs="Arial"/>
          <w:lang w:val="en-US"/>
        </w:rPr>
        <w:t>finalised</w:t>
      </w:r>
      <w:proofErr w:type="spellEnd"/>
      <w:r w:rsidR="006F1D0F">
        <w:rPr>
          <w:rFonts w:eastAsia="Calibri" w:cs="Arial"/>
          <w:lang w:val="en-US"/>
        </w:rPr>
        <w:t xml:space="preserve">, </w:t>
      </w:r>
      <w:r w:rsidR="007138E7">
        <w:rPr>
          <w:rFonts w:eastAsia="Calibri" w:cs="Arial"/>
          <w:lang w:val="en-US"/>
        </w:rPr>
        <w:t>compared</w:t>
      </w:r>
      <w:r w:rsidR="006F1D0F">
        <w:rPr>
          <w:rFonts w:eastAsia="Calibri" w:cs="Arial"/>
          <w:lang w:val="en-US"/>
        </w:rPr>
        <w:t xml:space="preserve"> with 27% in the first year and 21% in the second year</w:t>
      </w:r>
      <w:r w:rsidR="007138E7">
        <w:rPr>
          <w:rFonts w:eastAsia="Calibri" w:cs="Arial"/>
          <w:lang w:val="en-US"/>
        </w:rPr>
        <w:t xml:space="preserve"> of operation of the Act</w:t>
      </w:r>
      <w:r w:rsidR="007E3572">
        <w:rPr>
          <w:rFonts w:eastAsia="Calibri" w:cs="Arial"/>
          <w:lang w:val="en-US"/>
        </w:rPr>
        <w:t xml:space="preserve">. </w:t>
      </w:r>
      <w:r w:rsidR="000C501F" w:rsidRPr="000C501F">
        <w:rPr>
          <w:rFonts w:eastAsia="Calibri" w:cs="Arial"/>
          <w:lang w:val="en-US"/>
        </w:rPr>
        <w:t xml:space="preserve">This statistic suggests that the revisions made to the Commission's complaints information </w:t>
      </w:r>
      <w:r w:rsidR="000C501F">
        <w:rPr>
          <w:rFonts w:eastAsia="Calibri" w:cs="Arial"/>
          <w:lang w:val="en-US"/>
        </w:rPr>
        <w:t xml:space="preserve">on its website </w:t>
      </w:r>
      <w:r w:rsidR="000C501F" w:rsidRPr="000C501F">
        <w:rPr>
          <w:rFonts w:eastAsia="Calibri" w:cs="Arial"/>
          <w:lang w:val="en-US"/>
        </w:rPr>
        <w:t xml:space="preserve">during the second year </w:t>
      </w:r>
      <w:r w:rsidR="0047554D">
        <w:rPr>
          <w:rFonts w:eastAsia="Calibri" w:cs="Arial"/>
          <w:lang w:val="en-US"/>
        </w:rPr>
        <w:t>of the Act</w:t>
      </w:r>
      <w:r w:rsidR="000C501F" w:rsidRPr="000C501F">
        <w:rPr>
          <w:rFonts w:eastAsia="Calibri" w:cs="Arial"/>
          <w:lang w:val="en-US"/>
        </w:rPr>
        <w:t xml:space="preserve"> enhanced complainants' </w:t>
      </w:r>
      <w:r w:rsidR="000C501F">
        <w:rPr>
          <w:rFonts w:eastAsia="Calibri" w:cs="Arial"/>
          <w:lang w:val="en-US"/>
        </w:rPr>
        <w:t>understanding</w:t>
      </w:r>
      <w:r w:rsidR="000C501F" w:rsidRPr="000C501F">
        <w:rPr>
          <w:rFonts w:eastAsia="Calibri" w:cs="Arial"/>
          <w:lang w:val="en-US"/>
        </w:rPr>
        <w:t xml:space="preserve"> of the </w:t>
      </w:r>
      <w:r w:rsidR="00EF3AAB">
        <w:rPr>
          <w:rFonts w:eastAsia="Calibri" w:cs="Arial"/>
          <w:lang w:val="en-US"/>
        </w:rPr>
        <w:t>mandatory requirements</w:t>
      </w:r>
      <w:r w:rsidR="000C501F" w:rsidRPr="000C501F">
        <w:rPr>
          <w:rFonts w:eastAsia="Calibri" w:cs="Arial"/>
          <w:lang w:val="en-US"/>
        </w:rPr>
        <w:t>.</w:t>
      </w:r>
    </w:p>
    <w:p w14:paraId="0BDA5C1C" w14:textId="1B2AA31C" w:rsidR="00D208F1" w:rsidRDefault="00D208F1" w:rsidP="00D208F1">
      <w:r>
        <w:t xml:space="preserve">Of the </w:t>
      </w:r>
      <w:r w:rsidR="00D74D60">
        <w:t>241</w:t>
      </w:r>
      <w:r>
        <w:t xml:space="preserve"> complaints that were accepted, </w:t>
      </w:r>
      <w:r w:rsidR="00A543E1">
        <w:t>57</w:t>
      </w:r>
      <w:r>
        <w:t xml:space="preserve"> complaints were resolved in the </w:t>
      </w:r>
      <w:r w:rsidR="007138E7">
        <w:t>reporting period</w:t>
      </w:r>
      <w:r w:rsidR="00380ABD">
        <w:t xml:space="preserve"> and</w:t>
      </w:r>
      <w:r w:rsidR="00005EAE">
        <w:t xml:space="preserve"> </w:t>
      </w:r>
      <w:r w:rsidR="00380ABD">
        <w:t>a</w:t>
      </w:r>
      <w:r w:rsidR="00005EAE">
        <w:t xml:space="preserve"> further</w:t>
      </w:r>
      <w:r>
        <w:t xml:space="preserve"> </w:t>
      </w:r>
      <w:r w:rsidR="00A543E1">
        <w:t>73</w:t>
      </w:r>
      <w:r>
        <w:t xml:space="preserve"> complaints, some of which had been received in the previous financial year, were referred to </w:t>
      </w:r>
      <w:r w:rsidR="00297A3A">
        <w:t>t</w:t>
      </w:r>
      <w:r>
        <w:t xml:space="preserve">ribunals (QCAT or </w:t>
      </w:r>
      <w:r w:rsidR="00380ABD">
        <w:t xml:space="preserve">the </w:t>
      </w:r>
      <w:r>
        <w:t>QIRC).</w:t>
      </w:r>
    </w:p>
    <w:p w14:paraId="1C4A102A" w14:textId="24F70517" w:rsidR="00755619" w:rsidRDefault="00755619" w:rsidP="00755619">
      <w:pPr>
        <w:pStyle w:val="Caption"/>
      </w:pPr>
      <w:r>
        <w:t xml:space="preserve">Figure </w:t>
      </w:r>
      <w:r w:rsidR="001D5577">
        <w:t>5</w:t>
      </w:r>
      <w:r>
        <w:t xml:space="preserve">: Outcomes of all complaints finalised in </w:t>
      </w:r>
      <w:r w:rsidR="007D27F7" w:rsidRPr="001A5DE5">
        <w:t>2022-23</w:t>
      </w:r>
      <w:r>
        <w:t xml:space="preserve"> </w:t>
      </w:r>
    </w:p>
    <w:p w14:paraId="06290B87" w14:textId="339E23A7" w:rsidR="006300CF" w:rsidRPr="006300CF" w:rsidRDefault="006300CF" w:rsidP="006300CF">
      <w:r>
        <w:rPr>
          <w:noProof/>
        </w:rPr>
        <w:drawing>
          <wp:inline distT="0" distB="0" distL="0" distR="0" wp14:anchorId="54CA7B55" wp14:editId="3CCC13AC">
            <wp:extent cx="5731510" cy="2588895"/>
            <wp:effectExtent l="0" t="0" r="0" b="1905"/>
            <wp:docPr id="16" name="Picture 16" descr="Donut chart showing some more detailed analysis of the outcomes of human rights complaints dealt with by the Commission in 2022-23. &#10;&#10;57 were accepted and resolved. 41 accepted but unconciliable complaints were referred to QCAT, 32 to QIRC, and 1 referred elsewhere. There were 65 accepted complaints where no referral was made: 34 of these were piggy-back complaints and 31 human rights only complaints. &#10;&#10;34 complaints weren't accepted because no prior internal complaint had been made. One was rejected as lacking substance, and 15 were or could have been better dealt with elsewhere. 261 were not accepted because there was insufficient detail to indicate a breach of the 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onut chart showing some more detailed analysis of the outcomes of human rights complaints dealt with by the Commission in 2022-23. &#10;&#10;57 were accepted and resolved. 41 accepted but unconciliable complaints were referred to QCAT, 32 to QIRC, and 1 referred elsewhere. There were 65 accepted complaints where no referral was made: 34 of these were piggy-back complaints and 31 human rights only complaints. &#10;&#10;34 complaints weren't accepted because no prior internal complaint had been made. One was rejected as lacking substance, and 15 were or could have been better dealt with elsewhere. 261 were not accepted because there was insufficient detail to indicate a breach of the Act. "/>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31510" cy="2588895"/>
                    </a:xfrm>
                    <a:prstGeom prst="rect">
                      <a:avLst/>
                    </a:prstGeom>
                  </pic:spPr>
                </pic:pic>
              </a:graphicData>
            </a:graphic>
          </wp:inline>
        </w:drawing>
      </w:r>
    </w:p>
    <w:p w14:paraId="638B2E37" w14:textId="0D3014FF" w:rsidR="00234F7B" w:rsidRPr="00234F7B" w:rsidRDefault="00234F7B" w:rsidP="00234F7B"/>
    <w:p w14:paraId="28909D49" w14:textId="77777777" w:rsidR="00B132DB" w:rsidRDefault="00B132DB" w:rsidP="00B132DB">
      <w:pPr>
        <w:rPr>
          <w:rFonts w:eastAsia="Calibri" w:cs="Arial"/>
        </w:rPr>
      </w:pPr>
      <w:r>
        <w:rPr>
          <w:rFonts w:eastAsia="Calibri" w:cs="Arial"/>
        </w:rPr>
        <w:t xml:space="preserve">Of complaints </w:t>
      </w:r>
      <w:r w:rsidRPr="27274A20">
        <w:rPr>
          <w:rFonts w:eastAsia="Calibri" w:cs="Arial"/>
        </w:rPr>
        <w:t xml:space="preserve">that were </w:t>
      </w:r>
      <w:r>
        <w:rPr>
          <w:rFonts w:eastAsia="Calibri" w:cs="Arial"/>
        </w:rPr>
        <w:t>resolved</w:t>
      </w:r>
      <w:r w:rsidRPr="27274A20">
        <w:rPr>
          <w:rFonts w:eastAsia="Calibri" w:cs="Arial"/>
        </w:rPr>
        <w:t xml:space="preserve"> through </w:t>
      </w:r>
      <w:r>
        <w:rPr>
          <w:rFonts w:eastAsia="Calibri" w:cs="Arial"/>
        </w:rPr>
        <w:t>dispute</w:t>
      </w:r>
      <w:r w:rsidRPr="27274A20">
        <w:rPr>
          <w:rFonts w:eastAsia="Calibri" w:cs="Arial"/>
        </w:rPr>
        <w:t xml:space="preserve"> </w:t>
      </w:r>
      <w:r>
        <w:rPr>
          <w:rFonts w:eastAsia="Calibri" w:cs="Arial"/>
        </w:rPr>
        <w:t>resolution</w:t>
      </w:r>
      <w:r w:rsidRPr="27274A20">
        <w:rPr>
          <w:rFonts w:eastAsia="Calibri" w:cs="Arial"/>
        </w:rPr>
        <w:t xml:space="preserve"> at the Commission, an apology </w:t>
      </w:r>
      <w:r>
        <w:rPr>
          <w:rFonts w:eastAsia="Calibri" w:cs="Arial"/>
        </w:rPr>
        <w:t>was</w:t>
      </w:r>
      <w:r w:rsidRPr="27274A20">
        <w:rPr>
          <w:rFonts w:eastAsia="Calibri" w:cs="Arial"/>
        </w:rPr>
        <w:t xml:space="preserve"> the most common </w:t>
      </w:r>
      <w:r>
        <w:rPr>
          <w:rFonts w:eastAsia="Calibri" w:cs="Arial"/>
        </w:rPr>
        <w:t xml:space="preserve">agreed </w:t>
      </w:r>
      <w:r w:rsidRPr="27274A20">
        <w:rPr>
          <w:rFonts w:eastAsia="Calibri" w:cs="Arial"/>
        </w:rPr>
        <w:t>outcome, followed by an agreement that one or more respondents to the complaint would receive training about their obligations.</w:t>
      </w:r>
    </w:p>
    <w:p w14:paraId="66DB6B1A" w14:textId="77777777" w:rsidR="00A7300C" w:rsidRDefault="00A7300C">
      <w:pPr>
        <w:spacing w:after="160" w:line="259" w:lineRule="auto"/>
        <w:ind w:right="0"/>
        <w:rPr>
          <w:i/>
          <w:color w:val="000000" w:themeColor="text1"/>
          <w:szCs w:val="18"/>
        </w:rPr>
      </w:pPr>
      <w:r>
        <w:br w:type="page"/>
      </w:r>
    </w:p>
    <w:p w14:paraId="1D01DB70" w14:textId="0B2007E4" w:rsidR="008E197F" w:rsidRPr="005A4D47" w:rsidRDefault="008E197F" w:rsidP="008E197F">
      <w:pPr>
        <w:pStyle w:val="Caption"/>
      </w:pPr>
      <w:r>
        <w:t xml:space="preserve">Table </w:t>
      </w:r>
      <w:r w:rsidR="00B132DB">
        <w:t>6</w:t>
      </w:r>
      <w:r>
        <w:t xml:space="preserve">: Specific outcomes achieved through the Commission’s complaints process </w:t>
      </w:r>
      <w:r w:rsidR="007D27F7">
        <w:t>2022-23</w:t>
      </w:r>
      <w:r w:rsidR="005A4D47">
        <w:t xml:space="preserve"> (including </w:t>
      </w:r>
      <w:r w:rsidR="345D2BA5">
        <w:t>piggy</w:t>
      </w:r>
      <w:r w:rsidR="00D21120">
        <w:t>-</w:t>
      </w:r>
      <w:r w:rsidR="345D2BA5">
        <w:t>back</w:t>
      </w:r>
      <w:r w:rsidR="005A4D47">
        <w:t xml:space="preserve"> complaints)</w:t>
      </w:r>
    </w:p>
    <w:tbl>
      <w:tblPr>
        <w:tblW w:w="0" w:type="auto"/>
        <w:tblBorders>
          <w:top w:val="single" w:sz="4" w:space="0" w:color="D46228"/>
          <w:bottom w:val="single" w:sz="4" w:space="0" w:color="D46228"/>
          <w:insideH w:val="single" w:sz="4" w:space="0" w:color="D46228"/>
        </w:tblBorders>
        <w:tblLook w:val="0620" w:firstRow="1" w:lastRow="0" w:firstColumn="0" w:lastColumn="0" w:noHBand="1" w:noVBand="1"/>
      </w:tblPr>
      <w:tblGrid>
        <w:gridCol w:w="4770"/>
        <w:gridCol w:w="2700"/>
      </w:tblGrid>
      <w:tr w:rsidR="007E34BF" w:rsidRPr="007E34BF" w14:paraId="59F2167E" w14:textId="77777777" w:rsidTr="00DB2856">
        <w:tc>
          <w:tcPr>
            <w:tcW w:w="4770" w:type="dxa"/>
          </w:tcPr>
          <w:p w14:paraId="4C6C4EEE" w14:textId="77777777" w:rsidR="000F48AD" w:rsidRPr="007E34BF" w:rsidRDefault="000F48AD" w:rsidP="000F48AD">
            <w:pPr>
              <w:pStyle w:val="Tableheading"/>
              <w:rPr>
                <w:color w:val="E66A37"/>
              </w:rPr>
            </w:pPr>
            <w:r w:rsidRPr="007E34BF">
              <w:rPr>
                <w:color w:val="E66A37"/>
              </w:rPr>
              <w:t xml:space="preserve">Outcome </w:t>
            </w:r>
          </w:p>
        </w:tc>
        <w:tc>
          <w:tcPr>
            <w:tcW w:w="2700" w:type="dxa"/>
          </w:tcPr>
          <w:p w14:paraId="721CE7B6" w14:textId="77777777" w:rsidR="000F48AD" w:rsidRPr="007E34BF" w:rsidRDefault="000F48AD" w:rsidP="000F48AD">
            <w:pPr>
              <w:pStyle w:val="Tableheading"/>
              <w:rPr>
                <w:color w:val="E66A37"/>
              </w:rPr>
            </w:pPr>
            <w:r w:rsidRPr="007E34BF">
              <w:rPr>
                <w:color w:val="E66A37"/>
              </w:rPr>
              <w:t xml:space="preserve">Number </w:t>
            </w:r>
          </w:p>
        </w:tc>
      </w:tr>
      <w:tr w:rsidR="000F48AD" w14:paraId="1E948381" w14:textId="77777777" w:rsidTr="00DB2856">
        <w:tc>
          <w:tcPr>
            <w:tcW w:w="4770" w:type="dxa"/>
          </w:tcPr>
          <w:p w14:paraId="3755D6D6" w14:textId="77777777" w:rsidR="000F48AD" w:rsidRDefault="000F48AD" w:rsidP="000F48AD">
            <w:pPr>
              <w:pStyle w:val="Tabletext"/>
            </w:pPr>
            <w:r>
              <w:t>Apology</w:t>
            </w:r>
          </w:p>
        </w:tc>
        <w:tc>
          <w:tcPr>
            <w:tcW w:w="2700" w:type="dxa"/>
          </w:tcPr>
          <w:p w14:paraId="731F9B44" w14:textId="0CC69876" w:rsidR="000F48AD" w:rsidRDefault="00E05722" w:rsidP="000F48AD">
            <w:pPr>
              <w:pStyle w:val="Tabletext"/>
            </w:pPr>
            <w:r>
              <w:t>14</w:t>
            </w:r>
          </w:p>
        </w:tc>
      </w:tr>
      <w:tr w:rsidR="00955E00" w14:paraId="164F57D2" w14:textId="77777777" w:rsidTr="000D0207">
        <w:tc>
          <w:tcPr>
            <w:tcW w:w="4770" w:type="dxa"/>
          </w:tcPr>
          <w:p w14:paraId="1D8ABBCE" w14:textId="77777777" w:rsidR="00955E00" w:rsidRDefault="00955E00" w:rsidP="000D0207">
            <w:pPr>
              <w:pStyle w:val="Tabletext"/>
            </w:pPr>
            <w:r>
              <w:t>Respondents’ explanation accepted</w:t>
            </w:r>
          </w:p>
        </w:tc>
        <w:tc>
          <w:tcPr>
            <w:tcW w:w="2700" w:type="dxa"/>
          </w:tcPr>
          <w:p w14:paraId="6E538CD9" w14:textId="77777777" w:rsidR="00955E00" w:rsidRDefault="00955E00" w:rsidP="000D0207">
            <w:pPr>
              <w:pStyle w:val="Tabletext"/>
            </w:pPr>
            <w:r>
              <w:t>8</w:t>
            </w:r>
          </w:p>
        </w:tc>
      </w:tr>
      <w:tr w:rsidR="00955E00" w14:paraId="10C8DEF8" w14:textId="77777777" w:rsidTr="000D0207">
        <w:tc>
          <w:tcPr>
            <w:tcW w:w="4770" w:type="dxa"/>
          </w:tcPr>
          <w:p w14:paraId="2919389F" w14:textId="77777777" w:rsidR="00955E00" w:rsidRDefault="00955E00" w:rsidP="000D0207">
            <w:pPr>
              <w:pStyle w:val="Tabletext"/>
            </w:pPr>
            <w:r>
              <w:t>Policy change / review</w:t>
            </w:r>
          </w:p>
        </w:tc>
        <w:tc>
          <w:tcPr>
            <w:tcW w:w="2700" w:type="dxa"/>
          </w:tcPr>
          <w:p w14:paraId="479DEE39" w14:textId="77777777" w:rsidR="00955E00" w:rsidRDefault="00955E00" w:rsidP="000D0207">
            <w:pPr>
              <w:pStyle w:val="Tabletext"/>
            </w:pPr>
            <w:r>
              <w:t>7</w:t>
            </w:r>
          </w:p>
        </w:tc>
      </w:tr>
      <w:tr w:rsidR="00955E00" w14:paraId="39DD3C3B" w14:textId="77777777" w:rsidTr="000D0207">
        <w:tc>
          <w:tcPr>
            <w:tcW w:w="4770" w:type="dxa"/>
          </w:tcPr>
          <w:p w14:paraId="2155497D" w14:textId="77777777" w:rsidR="00955E00" w:rsidRDefault="00955E00" w:rsidP="000D0207">
            <w:pPr>
              <w:pStyle w:val="Tabletext"/>
            </w:pPr>
            <w:r>
              <w:t>Service improvement</w:t>
            </w:r>
          </w:p>
        </w:tc>
        <w:tc>
          <w:tcPr>
            <w:tcW w:w="2700" w:type="dxa"/>
          </w:tcPr>
          <w:p w14:paraId="5FF0F469" w14:textId="77777777" w:rsidR="00955E00" w:rsidRDefault="00955E00" w:rsidP="000D0207">
            <w:pPr>
              <w:pStyle w:val="Tabletext"/>
            </w:pPr>
            <w:r>
              <w:t>6</w:t>
            </w:r>
          </w:p>
        </w:tc>
      </w:tr>
      <w:tr w:rsidR="00955E00" w14:paraId="633313B3" w14:textId="77777777" w:rsidTr="000D0207">
        <w:tc>
          <w:tcPr>
            <w:tcW w:w="4770" w:type="dxa"/>
          </w:tcPr>
          <w:p w14:paraId="7964CC31" w14:textId="77777777" w:rsidR="00955E00" w:rsidRDefault="00955E00" w:rsidP="000D0207">
            <w:pPr>
              <w:pStyle w:val="Tabletext"/>
            </w:pPr>
            <w:r>
              <w:t>Agreement to train individuals / workforce</w:t>
            </w:r>
          </w:p>
        </w:tc>
        <w:tc>
          <w:tcPr>
            <w:tcW w:w="2700" w:type="dxa"/>
          </w:tcPr>
          <w:p w14:paraId="2AFA664B" w14:textId="77777777" w:rsidR="00955E00" w:rsidRDefault="00955E00" w:rsidP="000D0207">
            <w:pPr>
              <w:pStyle w:val="Tabletext"/>
            </w:pPr>
            <w:r>
              <w:t>5</w:t>
            </w:r>
          </w:p>
        </w:tc>
      </w:tr>
      <w:tr w:rsidR="00955E00" w14:paraId="7C3573AA" w14:textId="77777777" w:rsidTr="000D0207">
        <w:tc>
          <w:tcPr>
            <w:tcW w:w="4770" w:type="dxa"/>
          </w:tcPr>
          <w:p w14:paraId="61E6B860" w14:textId="77777777" w:rsidR="00955E00" w:rsidRDefault="00955E00" w:rsidP="000D0207">
            <w:pPr>
              <w:pStyle w:val="Tabletext"/>
            </w:pPr>
            <w:r>
              <w:t xml:space="preserve">Agreement for compensation </w:t>
            </w:r>
          </w:p>
        </w:tc>
        <w:tc>
          <w:tcPr>
            <w:tcW w:w="2700" w:type="dxa"/>
          </w:tcPr>
          <w:p w14:paraId="6B3C1D1B" w14:textId="77777777" w:rsidR="00955E00" w:rsidRDefault="00955E00" w:rsidP="000D0207">
            <w:pPr>
              <w:pStyle w:val="Tabletext"/>
            </w:pPr>
            <w:r>
              <w:t>5</w:t>
            </w:r>
          </w:p>
        </w:tc>
      </w:tr>
      <w:tr w:rsidR="00955E00" w14:paraId="720FA660" w14:textId="77777777" w:rsidTr="000D0207">
        <w:tc>
          <w:tcPr>
            <w:tcW w:w="4770" w:type="dxa"/>
          </w:tcPr>
          <w:p w14:paraId="0C618856" w14:textId="77777777" w:rsidR="00955E00" w:rsidRDefault="00955E00" w:rsidP="000D0207">
            <w:pPr>
              <w:pStyle w:val="Tabletext"/>
            </w:pPr>
            <w:r>
              <w:t>Job reference / Statement of service</w:t>
            </w:r>
          </w:p>
        </w:tc>
        <w:tc>
          <w:tcPr>
            <w:tcW w:w="2700" w:type="dxa"/>
          </w:tcPr>
          <w:p w14:paraId="14B8011E" w14:textId="77777777" w:rsidR="00955E00" w:rsidRDefault="00955E00" w:rsidP="000D0207">
            <w:pPr>
              <w:pStyle w:val="Tabletext"/>
            </w:pPr>
            <w:r>
              <w:t>5</w:t>
            </w:r>
          </w:p>
        </w:tc>
      </w:tr>
      <w:tr w:rsidR="00955E00" w14:paraId="3572D9FA" w14:textId="77777777" w:rsidTr="000D0207">
        <w:tc>
          <w:tcPr>
            <w:tcW w:w="4770" w:type="dxa"/>
          </w:tcPr>
          <w:p w14:paraId="1DC3E4EB" w14:textId="77777777" w:rsidR="00955E00" w:rsidRDefault="00955E00" w:rsidP="000D0207">
            <w:pPr>
              <w:pStyle w:val="Tabletext"/>
            </w:pPr>
            <w:r>
              <w:t>Change original decision</w:t>
            </w:r>
          </w:p>
        </w:tc>
        <w:tc>
          <w:tcPr>
            <w:tcW w:w="2700" w:type="dxa"/>
          </w:tcPr>
          <w:p w14:paraId="7F31D2D9" w14:textId="77777777" w:rsidR="00955E00" w:rsidRDefault="00955E00" w:rsidP="000D0207">
            <w:pPr>
              <w:pStyle w:val="Tabletext"/>
            </w:pPr>
            <w:r>
              <w:t>4</w:t>
            </w:r>
          </w:p>
        </w:tc>
      </w:tr>
      <w:tr w:rsidR="00955E00" w14:paraId="73617645" w14:textId="77777777" w:rsidTr="000D0207">
        <w:tc>
          <w:tcPr>
            <w:tcW w:w="4770" w:type="dxa"/>
          </w:tcPr>
          <w:p w14:paraId="12210B23" w14:textId="77777777" w:rsidR="00955E00" w:rsidRDefault="00955E00" w:rsidP="000D0207">
            <w:pPr>
              <w:pStyle w:val="Tabletext"/>
            </w:pPr>
            <w:r>
              <w:t>Policy development / implementation</w:t>
            </w:r>
          </w:p>
        </w:tc>
        <w:tc>
          <w:tcPr>
            <w:tcW w:w="2700" w:type="dxa"/>
          </w:tcPr>
          <w:p w14:paraId="18B503DA" w14:textId="77777777" w:rsidR="00955E00" w:rsidRDefault="00955E00" w:rsidP="000D0207">
            <w:pPr>
              <w:pStyle w:val="Tabletext"/>
            </w:pPr>
            <w:r>
              <w:t>3</w:t>
            </w:r>
          </w:p>
        </w:tc>
      </w:tr>
      <w:tr w:rsidR="00955E00" w14:paraId="622F2965" w14:textId="77777777" w:rsidTr="000D0207">
        <w:tc>
          <w:tcPr>
            <w:tcW w:w="4770" w:type="dxa"/>
          </w:tcPr>
          <w:p w14:paraId="7D03181E" w14:textId="77777777" w:rsidR="00955E00" w:rsidRDefault="00955E00" w:rsidP="000D0207">
            <w:pPr>
              <w:pStyle w:val="Tabletext"/>
            </w:pPr>
            <w:r>
              <w:t xml:space="preserve">Promotion / transfer of job role </w:t>
            </w:r>
          </w:p>
        </w:tc>
        <w:tc>
          <w:tcPr>
            <w:tcW w:w="2700" w:type="dxa"/>
          </w:tcPr>
          <w:p w14:paraId="7AC13C31" w14:textId="77777777" w:rsidR="00955E00" w:rsidRDefault="00955E00" w:rsidP="000D0207">
            <w:pPr>
              <w:pStyle w:val="Tabletext"/>
            </w:pPr>
            <w:r>
              <w:t>2</w:t>
            </w:r>
          </w:p>
        </w:tc>
      </w:tr>
      <w:tr w:rsidR="00955E00" w14:paraId="29C9B01C" w14:textId="77777777" w:rsidTr="000D0207">
        <w:tc>
          <w:tcPr>
            <w:tcW w:w="4770" w:type="dxa"/>
          </w:tcPr>
          <w:p w14:paraId="465402CC" w14:textId="77777777" w:rsidR="00955E00" w:rsidRDefault="00955E00" w:rsidP="000D0207">
            <w:pPr>
              <w:pStyle w:val="Tabletext"/>
            </w:pPr>
            <w:r>
              <w:t>Modifications to improve accessibility</w:t>
            </w:r>
          </w:p>
        </w:tc>
        <w:tc>
          <w:tcPr>
            <w:tcW w:w="2700" w:type="dxa"/>
          </w:tcPr>
          <w:p w14:paraId="1FFC36A9" w14:textId="77777777" w:rsidR="00955E00" w:rsidRDefault="00955E00" w:rsidP="000D0207">
            <w:pPr>
              <w:pStyle w:val="Tabletext"/>
            </w:pPr>
            <w:r>
              <w:t>1</w:t>
            </w:r>
          </w:p>
        </w:tc>
      </w:tr>
      <w:tr w:rsidR="00955E00" w14:paraId="766FAA5E" w14:textId="77777777" w:rsidTr="000D0207">
        <w:tc>
          <w:tcPr>
            <w:tcW w:w="4770" w:type="dxa"/>
          </w:tcPr>
          <w:p w14:paraId="3975FD49" w14:textId="77777777" w:rsidR="00955E00" w:rsidRDefault="00955E00" w:rsidP="000D0207">
            <w:pPr>
              <w:pStyle w:val="Tabletext"/>
            </w:pPr>
            <w:r>
              <w:t>Display of posters / information</w:t>
            </w:r>
          </w:p>
        </w:tc>
        <w:tc>
          <w:tcPr>
            <w:tcW w:w="2700" w:type="dxa"/>
          </w:tcPr>
          <w:p w14:paraId="7E82AE8F" w14:textId="1C7F7E6C" w:rsidR="00955E00" w:rsidRDefault="00955E00" w:rsidP="000D0207">
            <w:pPr>
              <w:pStyle w:val="Tabletext"/>
            </w:pPr>
            <w:r>
              <w:t>1</w:t>
            </w:r>
          </w:p>
        </w:tc>
      </w:tr>
      <w:tr w:rsidR="00955E00" w14:paraId="6D0C9CD7" w14:textId="77777777" w:rsidTr="000D0207">
        <w:tc>
          <w:tcPr>
            <w:tcW w:w="4770" w:type="dxa"/>
          </w:tcPr>
          <w:p w14:paraId="34E7D342" w14:textId="77777777" w:rsidR="00955E00" w:rsidRDefault="00955E00" w:rsidP="000D0207">
            <w:pPr>
              <w:pStyle w:val="Tabletext"/>
            </w:pPr>
            <w:r>
              <w:t xml:space="preserve">Free goods or services </w:t>
            </w:r>
          </w:p>
        </w:tc>
        <w:tc>
          <w:tcPr>
            <w:tcW w:w="2700" w:type="dxa"/>
          </w:tcPr>
          <w:p w14:paraId="3CA04F3D" w14:textId="77777777" w:rsidR="00955E00" w:rsidRDefault="00955E00" w:rsidP="000D0207">
            <w:pPr>
              <w:pStyle w:val="Tabletext"/>
            </w:pPr>
            <w:r>
              <w:t>1</w:t>
            </w:r>
          </w:p>
        </w:tc>
      </w:tr>
      <w:tr w:rsidR="00955E00" w14:paraId="2DBE6621" w14:textId="77777777" w:rsidTr="00DB2856">
        <w:tc>
          <w:tcPr>
            <w:tcW w:w="4770" w:type="dxa"/>
          </w:tcPr>
          <w:p w14:paraId="4077789B" w14:textId="234FF1E7" w:rsidR="00955E00" w:rsidRDefault="00955E00" w:rsidP="000F48AD">
            <w:pPr>
              <w:pStyle w:val="Tabletext"/>
            </w:pPr>
            <w:r>
              <w:t xml:space="preserve">Other </w:t>
            </w:r>
          </w:p>
        </w:tc>
        <w:tc>
          <w:tcPr>
            <w:tcW w:w="2700" w:type="dxa"/>
          </w:tcPr>
          <w:p w14:paraId="425ABAD5" w14:textId="102E8CEB" w:rsidR="00955E00" w:rsidRDefault="00955E00" w:rsidP="000F48AD">
            <w:pPr>
              <w:pStyle w:val="Tabletext"/>
            </w:pPr>
            <w:r>
              <w:t>17</w:t>
            </w:r>
          </w:p>
        </w:tc>
      </w:tr>
    </w:tbl>
    <w:p w14:paraId="15D5F6DE" w14:textId="77777777" w:rsidR="000F48AD" w:rsidRPr="000F48AD" w:rsidRDefault="000F48AD" w:rsidP="000F48AD"/>
    <w:p w14:paraId="494D8680" w14:textId="55A84A78" w:rsidR="00884866" w:rsidRPr="00575F9D" w:rsidRDefault="00A05EB5" w:rsidP="00884866">
      <w:pPr>
        <w:pStyle w:val="Heading2"/>
        <w:rPr>
          <w:color w:val="E66A37"/>
        </w:rPr>
      </w:pPr>
      <w:bookmarkStart w:id="718" w:name="_Toc147757349"/>
      <w:bookmarkStart w:id="719" w:name="_Toc148086975"/>
      <w:bookmarkStart w:id="720" w:name="_Toc85451803"/>
      <w:bookmarkStart w:id="721" w:name="_Toc85526734"/>
      <w:bookmarkStart w:id="722" w:name="_Toc85787149"/>
      <w:bookmarkStart w:id="723" w:name="_Toc311719488"/>
      <w:bookmarkStart w:id="724" w:name="_Toc117697205"/>
      <w:bookmarkStart w:id="725" w:name="_Toc117697912"/>
      <w:bookmarkStart w:id="726" w:name="_Toc84593927"/>
      <w:r>
        <w:rPr>
          <w:color w:val="E66A37"/>
        </w:rPr>
        <w:t>R</w:t>
      </w:r>
      <w:r w:rsidR="00884866">
        <w:rPr>
          <w:color w:val="E66A37"/>
        </w:rPr>
        <w:t>epresentation</w:t>
      </w:r>
      <w:r>
        <w:rPr>
          <w:color w:val="E66A37"/>
        </w:rPr>
        <w:t xml:space="preserve"> by lawyers or advocates</w:t>
      </w:r>
      <w:bookmarkEnd w:id="718"/>
      <w:bookmarkEnd w:id="719"/>
    </w:p>
    <w:p w14:paraId="6CEE33C0" w14:textId="52320503" w:rsidR="00347122" w:rsidRDefault="00FD3288" w:rsidP="00884866">
      <w:r>
        <w:t>T</w:t>
      </w:r>
      <w:r w:rsidR="000423A3">
        <w:t xml:space="preserve">his year the Commission </w:t>
      </w:r>
      <w:r w:rsidR="00894607">
        <w:t xml:space="preserve">monitored </w:t>
      </w:r>
      <w:r w:rsidR="00F800BE">
        <w:t>whether or not</w:t>
      </w:r>
      <w:r w:rsidR="00AE0C31">
        <w:t xml:space="preserve"> </w:t>
      </w:r>
      <w:r w:rsidR="00B4514F">
        <w:t>complainants</w:t>
      </w:r>
      <w:r w:rsidR="00F800BE">
        <w:t xml:space="preserve"> </w:t>
      </w:r>
      <w:r w:rsidR="0080270B">
        <w:t>whose matters</w:t>
      </w:r>
      <w:r w:rsidR="00F800BE">
        <w:t xml:space="preserve"> were accepted for </w:t>
      </w:r>
      <w:r w:rsidR="009709E5">
        <w:t>dispute</w:t>
      </w:r>
      <w:r w:rsidR="00F800BE">
        <w:t xml:space="preserve"> resolution</w:t>
      </w:r>
      <w:r w:rsidR="00B44A75">
        <w:t xml:space="preserve"> </w:t>
      </w:r>
      <w:r w:rsidR="0080270B">
        <w:t>were</w:t>
      </w:r>
      <w:r w:rsidR="00B44A75">
        <w:t xml:space="preserve"> </w:t>
      </w:r>
      <w:r w:rsidR="009B15A3">
        <w:t>legal</w:t>
      </w:r>
      <w:r w:rsidR="0080270B">
        <w:t>ly</w:t>
      </w:r>
      <w:r w:rsidR="009B15A3">
        <w:t xml:space="preserve"> represent</w:t>
      </w:r>
      <w:r w:rsidR="0080270B">
        <w:t>ed</w:t>
      </w:r>
      <w:r w:rsidR="00A44EAC">
        <w:t>.</w:t>
      </w:r>
      <w:r w:rsidR="0076185E">
        <w:t xml:space="preserve"> Most complainants</w:t>
      </w:r>
      <w:r w:rsidR="00B30DA7">
        <w:t xml:space="preserve"> were self-represented</w:t>
      </w:r>
      <w:r w:rsidR="0076185E">
        <w:t xml:space="preserve">, whether </w:t>
      </w:r>
      <w:r w:rsidR="00B30DA7">
        <w:t xml:space="preserve">they were </w:t>
      </w:r>
      <w:r w:rsidR="0076185E">
        <w:t>complaining under the Anti-Discrimination</w:t>
      </w:r>
      <w:r w:rsidR="00740F83">
        <w:t xml:space="preserve"> Act</w:t>
      </w:r>
      <w:r w:rsidR="0076185E">
        <w:t>, the Human Rights Act</w:t>
      </w:r>
      <w:r w:rsidR="00740F83">
        <w:t>,</w:t>
      </w:r>
      <w:r w:rsidR="0076185E">
        <w:t xml:space="preserve"> or both (</w:t>
      </w:r>
      <w:r w:rsidR="005A63F6">
        <w:t>piggy-back</w:t>
      </w:r>
      <w:r w:rsidR="0076185E">
        <w:t xml:space="preserve"> complaints)</w:t>
      </w:r>
      <w:r w:rsidR="00306696">
        <w:t>.</w:t>
      </w:r>
      <w:r w:rsidR="00B3263B">
        <w:t xml:space="preserve"> </w:t>
      </w:r>
    </w:p>
    <w:p w14:paraId="65001650" w14:textId="77777777" w:rsidR="00E52808" w:rsidRDefault="00B1139E" w:rsidP="00884866">
      <w:r>
        <w:t xml:space="preserve">Where the complaint </w:t>
      </w:r>
      <w:r w:rsidR="0034261F">
        <w:t xml:space="preserve">only </w:t>
      </w:r>
      <w:r>
        <w:t>involved the Anti-Discrimination Act</w:t>
      </w:r>
      <w:r w:rsidR="00AC04AD">
        <w:t>,</w:t>
      </w:r>
      <w:r w:rsidR="002E0BA0">
        <w:t xml:space="preserve"> around </w:t>
      </w:r>
      <w:r w:rsidR="007645D3">
        <w:t>3</w:t>
      </w:r>
      <w:r w:rsidR="00E01B20">
        <w:t>0</w:t>
      </w:r>
      <w:r w:rsidR="002E0BA0">
        <w:t>% of complainants were assisted by a lawyer</w:t>
      </w:r>
      <w:r w:rsidR="00CD3610">
        <w:t xml:space="preserve"> or </w:t>
      </w:r>
      <w:r w:rsidR="009454F1">
        <w:t>advocate</w:t>
      </w:r>
      <w:r w:rsidR="00A46F40">
        <w:t>.</w:t>
      </w:r>
      <w:r w:rsidR="00A7300C">
        <w:t xml:space="preserve"> </w:t>
      </w:r>
    </w:p>
    <w:p w14:paraId="70BA8040" w14:textId="1D016594" w:rsidR="007906D8" w:rsidRDefault="007645D3" w:rsidP="007906D8">
      <w:r>
        <w:t xml:space="preserve">For </w:t>
      </w:r>
      <w:r w:rsidR="005A63F6">
        <w:t>piggy-back</w:t>
      </w:r>
      <w:r>
        <w:t xml:space="preserve"> complaints, </w:t>
      </w:r>
      <w:r w:rsidR="002C394D">
        <w:t>21</w:t>
      </w:r>
      <w:r w:rsidR="001D46A4">
        <w:t xml:space="preserve">% </w:t>
      </w:r>
      <w:r w:rsidR="0034261F">
        <w:t xml:space="preserve">of </w:t>
      </w:r>
      <w:r w:rsidR="009B2EB3">
        <w:t xml:space="preserve">complainants </w:t>
      </w:r>
      <w:r w:rsidR="001D46A4">
        <w:t>had a lawyer or advocate assisting them.</w:t>
      </w:r>
      <w:r w:rsidR="00E52808">
        <w:t xml:space="preserve"> </w:t>
      </w:r>
      <w:r w:rsidR="00463AA2">
        <w:t xml:space="preserve">For human rights only complaints, </w:t>
      </w:r>
      <w:r w:rsidR="00162897">
        <w:t>the</w:t>
      </w:r>
      <w:r w:rsidR="00463AA2">
        <w:t xml:space="preserve"> level of legal </w:t>
      </w:r>
      <w:r w:rsidR="00654696">
        <w:t xml:space="preserve">or advocacy </w:t>
      </w:r>
      <w:r w:rsidR="00463AA2">
        <w:t xml:space="preserve">representation was </w:t>
      </w:r>
      <w:r w:rsidR="001D46A4">
        <w:t>significantly lower, at only</w:t>
      </w:r>
      <w:r w:rsidR="00463AA2">
        <w:t xml:space="preserve"> </w:t>
      </w:r>
      <w:r w:rsidR="002E0BA0">
        <w:t>7%</w:t>
      </w:r>
      <w:r w:rsidR="00A14B7B">
        <w:t xml:space="preserve"> of complainants</w:t>
      </w:r>
      <w:r w:rsidR="00463AA2">
        <w:t xml:space="preserve">. </w:t>
      </w:r>
      <w:r w:rsidR="001D46A4">
        <w:t>Of these,</w:t>
      </w:r>
      <w:r w:rsidR="002434CB">
        <w:t xml:space="preserve"> </w:t>
      </w:r>
      <w:r w:rsidR="00C413AF">
        <w:t>3</w:t>
      </w:r>
      <w:r w:rsidR="002434CB">
        <w:t xml:space="preserve">% were represented by Legal Aid Queensland or a community legal centre, </w:t>
      </w:r>
      <w:r w:rsidR="004C6C4D">
        <w:t>3</w:t>
      </w:r>
      <w:r w:rsidR="00755AD2">
        <w:t>% had a private lawyer</w:t>
      </w:r>
      <w:r w:rsidR="00C502DC">
        <w:t>, and 1% had a non-legal advocate</w:t>
      </w:r>
      <w:r w:rsidR="00755AD2">
        <w:t>.</w:t>
      </w:r>
      <w:r w:rsidR="00AF1DFE">
        <w:t xml:space="preserve"> </w:t>
      </w:r>
    </w:p>
    <w:p w14:paraId="31B16AA2" w14:textId="62AA6E01" w:rsidR="00B43C95" w:rsidRDefault="00C502DC" w:rsidP="007906D8">
      <w:r>
        <w:t xml:space="preserve">While it is too early to </w:t>
      </w:r>
      <w:r w:rsidR="0061188F">
        <w:t xml:space="preserve">detect any trends from this data, the Commission will continue to monitor the extent </w:t>
      </w:r>
      <w:r w:rsidR="007A2FF6">
        <w:t>of</w:t>
      </w:r>
      <w:r w:rsidR="0061188F">
        <w:t xml:space="preserve"> this disparity </w:t>
      </w:r>
      <w:r w:rsidR="006068CD">
        <w:t>in legal representation</w:t>
      </w:r>
      <w:r w:rsidR="0061188F">
        <w:t>.</w:t>
      </w:r>
    </w:p>
    <w:p w14:paraId="5C26CCF9" w14:textId="3D79D690" w:rsidR="00012A6E" w:rsidRPr="00575F9D" w:rsidRDefault="00012A6E" w:rsidP="00012A6E">
      <w:pPr>
        <w:pStyle w:val="Heading2"/>
        <w:rPr>
          <w:color w:val="E66A37"/>
        </w:rPr>
      </w:pPr>
      <w:bookmarkStart w:id="727" w:name="_Toc147757350"/>
      <w:bookmarkStart w:id="728" w:name="_Toc148086976"/>
      <w:r w:rsidRPr="00575F9D">
        <w:rPr>
          <w:color w:val="E66A37"/>
        </w:rPr>
        <w:t>Resolution rate for complaints</w:t>
      </w:r>
      <w:bookmarkEnd w:id="720"/>
      <w:bookmarkEnd w:id="721"/>
      <w:bookmarkEnd w:id="722"/>
      <w:bookmarkEnd w:id="723"/>
      <w:bookmarkEnd w:id="724"/>
      <w:bookmarkEnd w:id="725"/>
      <w:bookmarkEnd w:id="727"/>
      <w:bookmarkEnd w:id="728"/>
    </w:p>
    <w:bookmarkEnd w:id="726"/>
    <w:p w14:paraId="69302AF8" w14:textId="7CE55BFA" w:rsidR="007E32E4" w:rsidRDefault="007E32E4" w:rsidP="007E32E4">
      <w:pPr>
        <w:rPr>
          <w:rFonts w:eastAsia="Calibri"/>
        </w:rPr>
      </w:pPr>
      <w:r w:rsidRPr="27274A20">
        <w:t xml:space="preserve">This year </w:t>
      </w:r>
      <w:r>
        <w:t>44</w:t>
      </w:r>
      <w:r w:rsidRPr="27274A20">
        <w:t xml:space="preserve">% of Anti-Discrimination Act only complaints were resolved compared with </w:t>
      </w:r>
      <w:r>
        <w:t>20</w:t>
      </w:r>
      <w:r w:rsidRPr="27274A20">
        <w:t xml:space="preserve">% of piggy-back complaints and </w:t>
      </w:r>
      <w:r>
        <w:t>32</w:t>
      </w:r>
      <w:r w:rsidRPr="27274A20">
        <w:t>% of Human Rights Act only complaints.</w:t>
      </w:r>
      <w:r>
        <w:t xml:space="preserve"> </w:t>
      </w:r>
    </w:p>
    <w:p w14:paraId="319C75D3" w14:textId="71E1C27D" w:rsidR="007E32E4" w:rsidRDefault="003B0B24" w:rsidP="00012A6E">
      <w:r>
        <w:t>As noted in previous annual reports, the rate of resolution of complaints through conciliation is</w:t>
      </w:r>
      <w:r w:rsidR="009B42F7">
        <w:t xml:space="preserve"> </w:t>
      </w:r>
      <w:r>
        <w:t xml:space="preserve">lower for </w:t>
      </w:r>
      <w:r w:rsidR="00620A5A">
        <w:t xml:space="preserve">human rights complaints, whether </w:t>
      </w:r>
      <w:r w:rsidR="00AE4AF4">
        <w:t xml:space="preserve">the complaint is a </w:t>
      </w:r>
      <w:r w:rsidR="00620A5A">
        <w:t xml:space="preserve">human rights only complaint or </w:t>
      </w:r>
      <w:r w:rsidR="00797F1A">
        <w:t xml:space="preserve">a </w:t>
      </w:r>
      <w:r w:rsidR="00620A5A">
        <w:t xml:space="preserve">piggy-back complaint. </w:t>
      </w:r>
    </w:p>
    <w:p w14:paraId="4FC5D2D9" w14:textId="662DDD20" w:rsidR="00DC3918" w:rsidRDefault="00741719" w:rsidP="00012A6E">
      <w:r>
        <w:t>W</w:t>
      </w:r>
      <w:r w:rsidR="00AE4AF4">
        <w:t xml:space="preserve">here </w:t>
      </w:r>
      <w:r w:rsidR="00D70D6B">
        <w:t xml:space="preserve">a </w:t>
      </w:r>
      <w:r w:rsidR="00AE4AF4">
        <w:t>complain</w:t>
      </w:r>
      <w:r w:rsidR="001C6B08">
        <w:t>t</w:t>
      </w:r>
      <w:r w:rsidR="00AE4AF4">
        <w:t xml:space="preserve"> </w:t>
      </w:r>
      <w:r w:rsidR="00B540EC">
        <w:t>under the</w:t>
      </w:r>
      <w:r w:rsidR="00AE4AF4">
        <w:t xml:space="preserve"> </w:t>
      </w:r>
      <w:r w:rsidR="00B540EC">
        <w:t>A</w:t>
      </w:r>
      <w:r w:rsidR="00AE4AF4">
        <w:t>nti-</w:t>
      </w:r>
      <w:r w:rsidR="00B540EC">
        <w:t>D</w:t>
      </w:r>
      <w:r w:rsidR="00AE4AF4">
        <w:t xml:space="preserve">iscrimination </w:t>
      </w:r>
      <w:r w:rsidR="00B540EC">
        <w:t>Act</w:t>
      </w:r>
      <w:r w:rsidR="008A7468">
        <w:t xml:space="preserve"> </w:t>
      </w:r>
      <w:r w:rsidR="00AE4AF4">
        <w:t>involv</w:t>
      </w:r>
      <w:r w:rsidR="008A7468">
        <w:t>es</w:t>
      </w:r>
      <w:r w:rsidR="00AE4AF4">
        <w:t xml:space="preserve"> a public entity</w:t>
      </w:r>
      <w:r w:rsidR="00FE2CA4">
        <w:t xml:space="preserve"> and</w:t>
      </w:r>
      <w:r w:rsidR="00D70D6B">
        <w:t xml:space="preserve"> </w:t>
      </w:r>
      <w:r w:rsidR="003E5290">
        <w:t>engages</w:t>
      </w:r>
      <w:r w:rsidDel="00FE2CA4">
        <w:t xml:space="preserve"> </w:t>
      </w:r>
      <w:r>
        <w:t>the Human Rights Act</w:t>
      </w:r>
      <w:r w:rsidR="00AE4AF4">
        <w:t xml:space="preserve">, the chance of resolution </w:t>
      </w:r>
      <w:r w:rsidR="007E32E4">
        <w:t>was</w:t>
      </w:r>
      <w:r w:rsidR="00AE4AF4">
        <w:t xml:space="preserve"> </w:t>
      </w:r>
      <w:r w:rsidR="0029648A">
        <w:t>1</w:t>
      </w:r>
      <w:r w:rsidR="007E32E4">
        <w:t>2</w:t>
      </w:r>
      <w:r w:rsidR="0029648A">
        <w:t xml:space="preserve">% </w:t>
      </w:r>
      <w:r w:rsidR="00756F14">
        <w:t xml:space="preserve">less </w:t>
      </w:r>
      <w:r w:rsidR="00FE2CA4">
        <w:t>than</w:t>
      </w:r>
      <w:r w:rsidR="0029648A">
        <w:t xml:space="preserve"> </w:t>
      </w:r>
      <w:r w:rsidR="003E5290">
        <w:t xml:space="preserve">for </w:t>
      </w:r>
      <w:r w:rsidR="0029648A">
        <w:t xml:space="preserve">human rights </w:t>
      </w:r>
      <w:r w:rsidR="00502E0E">
        <w:t xml:space="preserve">only </w:t>
      </w:r>
      <w:r w:rsidR="0029648A">
        <w:t>complaints</w:t>
      </w:r>
      <w:r w:rsidR="00502E0E">
        <w:t>.</w:t>
      </w:r>
    </w:p>
    <w:p w14:paraId="29651319" w14:textId="2B2D0980" w:rsidR="001121FC" w:rsidRDefault="001121FC" w:rsidP="001121FC">
      <w:r>
        <w:t xml:space="preserve">Under the Human Rights Act, a human rights only complaint can be </w:t>
      </w:r>
      <w:r w:rsidR="00E203CD">
        <w:t>deemed</w:t>
      </w:r>
      <w:r>
        <w:t xml:space="preserve"> ‘resolved’ in the absence of a settlement agreement between the parties in circumstances where the Commission</w:t>
      </w:r>
      <w:r w:rsidR="00BD6020">
        <w:t>er</w:t>
      </w:r>
      <w:r>
        <w:t xml:space="preserve"> considers the matter to be resolved.</w:t>
      </w:r>
      <w:r>
        <w:rPr>
          <w:rStyle w:val="FootnoteReference"/>
        </w:rPr>
        <w:footnoteReference w:id="108"/>
      </w:r>
      <w:r>
        <w:t xml:space="preserve"> This may explain the disparity between human rights only and piggy-back complaints.</w:t>
      </w:r>
    </w:p>
    <w:p w14:paraId="4E354F68" w14:textId="401351FC" w:rsidR="007E32E4" w:rsidRDefault="007E32E4" w:rsidP="00012A6E">
      <w:r>
        <w:t xml:space="preserve">The Commission is </w:t>
      </w:r>
      <w:r w:rsidR="00A813D5">
        <w:t xml:space="preserve">continuing to monitor </w:t>
      </w:r>
      <w:r w:rsidR="00CD1F87">
        <w:t>these trends</w:t>
      </w:r>
      <w:r w:rsidR="00A813D5">
        <w:t xml:space="preserve"> as it collects </w:t>
      </w:r>
      <w:r w:rsidR="00BA0BBC">
        <w:t>more</w:t>
      </w:r>
      <w:r w:rsidR="00A813D5">
        <w:t xml:space="preserve"> complaint data.</w:t>
      </w:r>
      <w:r w:rsidR="001F269E">
        <w:t xml:space="preserve"> </w:t>
      </w:r>
    </w:p>
    <w:p w14:paraId="2493A145" w14:textId="3638524C" w:rsidR="00012A6E" w:rsidRPr="00AA2071" w:rsidRDefault="00012A6E" w:rsidP="004771A3">
      <w:pPr>
        <w:pStyle w:val="Caption"/>
      </w:pPr>
      <w:r>
        <w:t xml:space="preserve">Figure </w:t>
      </w:r>
      <w:r w:rsidR="001D5577">
        <w:t>6</w:t>
      </w:r>
      <w:r>
        <w:t xml:space="preserve">: Resolution rates by complaint type </w:t>
      </w:r>
      <w:r w:rsidR="007D27F7">
        <w:t>2022-23</w:t>
      </w:r>
    </w:p>
    <w:p w14:paraId="38AD89CB" w14:textId="37A4FA86" w:rsidR="0069706A" w:rsidRDefault="0069706A" w:rsidP="008C369C">
      <w:pPr>
        <w:rPr>
          <w:rStyle w:val="Heading2Char"/>
          <w:color w:val="E66A37"/>
        </w:rPr>
      </w:pPr>
      <w:bookmarkStart w:id="729" w:name="_Toc147757351"/>
      <w:bookmarkStart w:id="730" w:name="_Toc1776067959"/>
      <w:bookmarkStart w:id="731" w:name="_Toc117697206"/>
      <w:bookmarkStart w:id="732" w:name="_Toc117697913"/>
      <w:r>
        <w:rPr>
          <w:noProof/>
          <w:shd w:val="clear" w:color="auto" w:fill="E6E6E6"/>
        </w:rPr>
        <w:drawing>
          <wp:inline distT="0" distB="0" distL="0" distR="0" wp14:anchorId="4F2BBA39" wp14:editId="5111AF88">
            <wp:extent cx="3239860" cy="1740465"/>
            <wp:effectExtent l="0" t="0" r="0" b="0"/>
            <wp:docPr id="6" name="Picture 6" descr="Three bar charts showing the resolution rates of complaints by complaint type in 2022-23. It shows Anti-Discrimination Act only complaints have a resolution rate of 44.8%, compared to 20.1% for piggy-back complaints and 32.4% for Human Rights Act only complai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hree bar charts showing the resolution rates of complaints by complaint type in 2022-23. It shows Anti-Discrimination Act only complaints have a resolution rate of 44.8%, compared to 20.1% for piggy-back complaints and 32.4% for Human Rights Act only complaints. "/>
                    <pic:cNvPicPr/>
                  </pic:nvPicPr>
                  <pic:blipFill rotWithShape="1">
                    <a:blip r:embed="rId32">
                      <a:extLst>
                        <a:ext uri="{28A0092B-C50C-407E-A947-70E740481C1C}">
                          <a14:useLocalDpi xmlns:a14="http://schemas.microsoft.com/office/drawing/2010/main" val="0"/>
                        </a:ext>
                      </a:extLst>
                    </a:blip>
                    <a:srcRect l="2857" t="6189"/>
                    <a:stretch/>
                  </pic:blipFill>
                  <pic:spPr bwMode="auto">
                    <a:xfrm>
                      <a:off x="0" y="0"/>
                      <a:ext cx="3239860" cy="1740465"/>
                    </a:xfrm>
                    <a:prstGeom prst="rect">
                      <a:avLst/>
                    </a:prstGeom>
                    <a:ln>
                      <a:noFill/>
                    </a:ln>
                    <a:extLst>
                      <a:ext uri="{53640926-AAD7-44D8-BBD7-CCE9431645EC}">
                        <a14:shadowObscured xmlns:a14="http://schemas.microsoft.com/office/drawing/2010/main"/>
                      </a:ext>
                    </a:extLst>
                  </pic:spPr>
                </pic:pic>
              </a:graphicData>
            </a:graphic>
          </wp:inline>
        </w:drawing>
      </w:r>
      <w:bookmarkEnd w:id="729"/>
    </w:p>
    <w:p w14:paraId="1EB62214" w14:textId="2FCBCE13" w:rsidR="00D62BEF" w:rsidRPr="008A00EB" w:rsidRDefault="00393D6A" w:rsidP="00AC61C3">
      <w:pPr>
        <w:pStyle w:val="Heading2"/>
      </w:pPr>
      <w:bookmarkStart w:id="733" w:name="_Toc147757352"/>
      <w:bookmarkStart w:id="734" w:name="_Toc148086977"/>
      <w:r w:rsidRPr="25DCDBA1">
        <w:rPr>
          <w:rStyle w:val="Heading2Char"/>
          <w:color w:val="E66A37"/>
        </w:rPr>
        <w:t>Human rights identified</w:t>
      </w:r>
      <w:r w:rsidR="008B394B">
        <w:rPr>
          <w:rStyle w:val="Heading2Char"/>
          <w:color w:val="E66A37"/>
        </w:rPr>
        <w:t xml:space="preserve"> in</w:t>
      </w:r>
      <w:r w:rsidRPr="25DCDBA1">
        <w:rPr>
          <w:rStyle w:val="Heading2Char"/>
          <w:color w:val="E66A37"/>
        </w:rPr>
        <w:t xml:space="preserve"> complaints</w:t>
      </w:r>
      <w:bookmarkEnd w:id="730"/>
      <w:bookmarkEnd w:id="731"/>
      <w:bookmarkEnd w:id="732"/>
      <w:bookmarkEnd w:id="733"/>
      <w:bookmarkEnd w:id="734"/>
    </w:p>
    <w:p w14:paraId="39FE5D2F" w14:textId="41F0A638" w:rsidR="00D62BEF" w:rsidRPr="008A00EB" w:rsidRDefault="00D62BEF" w:rsidP="00D62BEF">
      <w:r w:rsidRPr="008A00EB">
        <w:t>The Commission may identify</w:t>
      </w:r>
      <w:r>
        <w:t xml:space="preserve"> relevant</w:t>
      </w:r>
      <w:r w:rsidRPr="008A00EB">
        <w:t xml:space="preserve"> human right</w:t>
      </w:r>
      <w:r w:rsidR="00F70BCA">
        <w:t>s</w:t>
      </w:r>
      <w:r w:rsidRPr="008A00EB">
        <w:t xml:space="preserve"> from the information provided in </w:t>
      </w:r>
      <w:r w:rsidR="008614AB">
        <w:t>a</w:t>
      </w:r>
      <w:r w:rsidRPr="008A00EB">
        <w:t xml:space="preserve"> complaint, or the complainant may indicate that they believe </w:t>
      </w:r>
      <w:r w:rsidR="008314CD">
        <w:t>a</w:t>
      </w:r>
      <w:r w:rsidRPr="008A00EB">
        <w:t xml:space="preserve"> right has been </w:t>
      </w:r>
      <w:r>
        <w:t>limited</w:t>
      </w:r>
      <w:r w:rsidRPr="008A00EB">
        <w:t>.</w:t>
      </w:r>
      <w:r w:rsidR="00244D18">
        <w:t xml:space="preserve"> </w:t>
      </w:r>
      <w:r w:rsidRPr="008A00EB">
        <w:t xml:space="preserve">Most complaints contain </w:t>
      </w:r>
      <w:r w:rsidR="00BE239B" w:rsidRPr="008A00EB">
        <w:t xml:space="preserve">allegations </w:t>
      </w:r>
      <w:r w:rsidR="008614AB">
        <w:t>that</w:t>
      </w:r>
      <w:r w:rsidRPr="008A00EB">
        <w:t xml:space="preserve"> engage more than one human right. </w:t>
      </w:r>
    </w:p>
    <w:p w14:paraId="6E499AF4" w14:textId="4FB3B514" w:rsidR="00D62BEF" w:rsidRPr="008A00EB" w:rsidRDefault="00D62BEF" w:rsidP="00D62BEF">
      <w:pPr>
        <w:rPr>
          <w:rFonts w:cs="Arial"/>
          <w:color w:val="004270"/>
        </w:rPr>
      </w:pPr>
      <w:r w:rsidRPr="008A00EB">
        <w:t xml:space="preserve">Not all allegations of </w:t>
      </w:r>
      <w:r>
        <w:t xml:space="preserve">unreasonable limitations of </w:t>
      </w:r>
      <w:r w:rsidRPr="008A00EB">
        <w:t xml:space="preserve">human rights are accepted. An allegation </w:t>
      </w:r>
      <w:r w:rsidR="00500256">
        <w:t xml:space="preserve">alone </w:t>
      </w:r>
      <w:r w:rsidRPr="008A00EB">
        <w:t xml:space="preserve">(that a </w:t>
      </w:r>
      <w:r>
        <w:t>contravention</w:t>
      </w:r>
      <w:r w:rsidRPr="008A00EB">
        <w:t xml:space="preserve"> has occurred) is not enough</w:t>
      </w:r>
      <w:r w:rsidR="0056353B">
        <w:t>.</w:t>
      </w:r>
      <w:r w:rsidRPr="008A00EB">
        <w:t xml:space="preserve"> </w:t>
      </w:r>
      <w:r w:rsidR="0056353B">
        <w:t>Before the Commission can accept a complaint,</w:t>
      </w:r>
      <w:r w:rsidRPr="008A00EB">
        <w:t xml:space="preserve"> the complainant must provide sufficient detail </w:t>
      </w:r>
      <w:r w:rsidR="003D7188">
        <w:t xml:space="preserve">to indicate that </w:t>
      </w:r>
      <w:r w:rsidRPr="008A00EB">
        <w:t xml:space="preserve">an act or decision </w:t>
      </w:r>
      <w:r w:rsidR="002B1F5D">
        <w:t>was not compatible</w:t>
      </w:r>
      <w:r w:rsidRPr="008A00EB" w:rsidDel="002B1F5D">
        <w:t xml:space="preserve"> </w:t>
      </w:r>
      <w:r w:rsidR="002B1F5D">
        <w:t>with</w:t>
      </w:r>
      <w:r w:rsidRPr="008A00EB">
        <w:t xml:space="preserve"> human rights</w:t>
      </w:r>
      <w:r w:rsidR="007E44EB">
        <w:t>,</w:t>
      </w:r>
      <w:r w:rsidRPr="008A00EB">
        <w:t xml:space="preserve"> </w:t>
      </w:r>
      <w:r w:rsidR="003D7188">
        <w:t xml:space="preserve">or that </w:t>
      </w:r>
      <w:r w:rsidR="00385BD7">
        <w:t>a human right was not given proper consideration in making a decision</w:t>
      </w:r>
      <w:r w:rsidRPr="008A00EB">
        <w:t>.</w:t>
      </w:r>
    </w:p>
    <w:p w14:paraId="59AE84D2" w14:textId="05F4809A" w:rsidR="00393D6A" w:rsidRDefault="00D62BEF" w:rsidP="004527AA">
      <w:r>
        <w:t>Some</w:t>
      </w:r>
      <w:r w:rsidRPr="008A00EB">
        <w:t xml:space="preserve"> complaints that were received in </w:t>
      </w:r>
      <w:r>
        <w:t>202</w:t>
      </w:r>
      <w:r w:rsidR="000518A4">
        <w:t>2</w:t>
      </w:r>
      <w:r>
        <w:t>–</w:t>
      </w:r>
      <w:r w:rsidRPr="008A00EB">
        <w:t>2</w:t>
      </w:r>
      <w:r w:rsidR="000518A4">
        <w:t>3</w:t>
      </w:r>
      <w:r w:rsidRPr="008A00EB">
        <w:t xml:space="preserve"> </w:t>
      </w:r>
      <w:r>
        <w:t xml:space="preserve">are in the queue </w:t>
      </w:r>
      <w:r w:rsidR="003B06DC" w:rsidRPr="00D860E5">
        <w:t>waiting to be allocated to</w:t>
      </w:r>
      <w:r w:rsidR="003B06DC">
        <w:t xml:space="preserve"> a complaint handler</w:t>
      </w:r>
      <w:r w:rsidRPr="008A00EB">
        <w:t xml:space="preserve"> and </w:t>
      </w:r>
      <w:r>
        <w:t xml:space="preserve">are therefore </w:t>
      </w:r>
      <w:r w:rsidRPr="008A00EB">
        <w:t xml:space="preserve">not </w:t>
      </w:r>
      <w:r>
        <w:t xml:space="preserve">included </w:t>
      </w:r>
      <w:r w:rsidRPr="008A00EB">
        <w:t xml:space="preserve">here. </w:t>
      </w:r>
    </w:p>
    <w:p w14:paraId="7E4987D5" w14:textId="419249C7" w:rsidR="00237FAE" w:rsidRDefault="00841954" w:rsidP="004527AA">
      <w:r>
        <w:t xml:space="preserve">The information represented in the following graphs can be found in data tables in </w:t>
      </w:r>
      <w:r w:rsidRPr="00E52808">
        <w:t>Appendix C</w:t>
      </w:r>
      <w:r>
        <w:t xml:space="preserve"> of this report.</w:t>
      </w:r>
    </w:p>
    <w:p w14:paraId="504A7F41" w14:textId="46913F63" w:rsidR="008279A3" w:rsidRPr="00C525B5" w:rsidRDefault="008279A3" w:rsidP="00C525B5">
      <w:pPr>
        <w:pStyle w:val="Heading3"/>
        <w:rPr>
          <w:color w:val="E66A37"/>
        </w:rPr>
      </w:pPr>
      <w:r w:rsidRPr="00C525B5">
        <w:rPr>
          <w:color w:val="E66A37"/>
        </w:rPr>
        <w:t xml:space="preserve">All </w:t>
      </w:r>
      <w:r w:rsidR="000E4AFE">
        <w:rPr>
          <w:color w:val="E66A37"/>
        </w:rPr>
        <w:t xml:space="preserve">human rights </w:t>
      </w:r>
      <w:r w:rsidRPr="00C525B5">
        <w:rPr>
          <w:color w:val="E66A37"/>
        </w:rPr>
        <w:t xml:space="preserve">complaints </w:t>
      </w:r>
    </w:p>
    <w:p w14:paraId="5E3E27DC" w14:textId="30B70B62" w:rsidR="00201DE1" w:rsidRDefault="006136C5" w:rsidP="004527AA">
      <w:r w:rsidRPr="00E52808">
        <w:t>Figure 7</w:t>
      </w:r>
      <w:r>
        <w:t xml:space="preserve"> shows</w:t>
      </w:r>
      <w:r w:rsidR="00201DE1" w:rsidRPr="008A00EB">
        <w:t xml:space="preserve"> human rights relevant to allegations raised in the complaints finalised in </w:t>
      </w:r>
      <w:r w:rsidR="000518A4">
        <w:t>2022</w:t>
      </w:r>
      <w:r w:rsidR="00201DE1">
        <w:t>–2</w:t>
      </w:r>
      <w:r w:rsidR="000518A4">
        <w:t>3</w:t>
      </w:r>
      <w:r w:rsidR="00201DE1">
        <w:t xml:space="preserve"> and includes </w:t>
      </w:r>
      <w:r w:rsidR="00124FF5">
        <w:t>both</w:t>
      </w:r>
      <w:r w:rsidR="00201DE1">
        <w:t xml:space="preserve"> piggy-back complaints and human rights only complaints.</w:t>
      </w:r>
    </w:p>
    <w:p w14:paraId="348463B9" w14:textId="4F00E4C5" w:rsidR="004527AA" w:rsidRPr="00AA2071" w:rsidRDefault="004527AA" w:rsidP="00AA2071">
      <w:pPr>
        <w:pStyle w:val="Caption"/>
      </w:pPr>
      <w:r w:rsidRPr="00B66092">
        <w:t>Figure</w:t>
      </w:r>
      <w:r>
        <w:t xml:space="preserve"> </w:t>
      </w:r>
      <w:r w:rsidR="001D5577">
        <w:t>7</w:t>
      </w:r>
      <w:r w:rsidRPr="00B66092">
        <w:t>: Human rights identified in all complaints</w:t>
      </w:r>
      <w:r>
        <w:t>,</w:t>
      </w:r>
      <w:r w:rsidRPr="00B66092">
        <w:t xml:space="preserve"> </w:t>
      </w:r>
      <w:r w:rsidR="007D27F7">
        <w:t>2022-23</w:t>
      </w:r>
    </w:p>
    <w:p w14:paraId="124F9E9A" w14:textId="6183C07F" w:rsidR="008158E6" w:rsidRDefault="000B27D9" w:rsidP="004868C3">
      <w:r>
        <w:rPr>
          <w:noProof/>
        </w:rPr>
        <w:drawing>
          <wp:inline distT="0" distB="0" distL="0" distR="0" wp14:anchorId="30E82AA7" wp14:editId="0F675D72">
            <wp:extent cx="5362575" cy="6181725"/>
            <wp:effectExtent l="0" t="0" r="0" b="0"/>
            <wp:docPr id="14" name="Chart 14">
              <a:extLst xmlns:a="http://schemas.openxmlformats.org/drawingml/2006/main">
                <a:ext uri="{FF2B5EF4-FFF2-40B4-BE49-F238E27FC236}">
                  <a16:creationId xmlns:a16="http://schemas.microsoft.com/office/drawing/2014/main" id="{28AE811C-35FE-A6AF-20BC-174C93647B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67D0A0B" w14:textId="35ECA7D5" w:rsidR="008158E6" w:rsidRDefault="00FE4711" w:rsidP="004868C3">
      <w:r>
        <w:t>T</w:t>
      </w:r>
      <w:r w:rsidR="008F31E4">
        <w:t xml:space="preserve">his year, the right to privacy and </w:t>
      </w:r>
      <w:r w:rsidR="002702CA">
        <w:t>reputation</w:t>
      </w:r>
      <w:r w:rsidR="008F31E4">
        <w:t xml:space="preserve"> </w:t>
      </w:r>
      <w:r w:rsidR="008158E6">
        <w:t>was</w:t>
      </w:r>
      <w:r w:rsidR="002702CA">
        <w:t xml:space="preserve"> the most frequently identified human right in complaints</w:t>
      </w:r>
      <w:r>
        <w:t xml:space="preserve"> </w:t>
      </w:r>
      <w:r w:rsidR="00A76DC4">
        <w:t xml:space="preserve">finalised </w:t>
      </w:r>
      <w:r w:rsidR="0029109C">
        <w:t>for the first time</w:t>
      </w:r>
      <w:r>
        <w:t xml:space="preserve"> since the commencement of the Act</w:t>
      </w:r>
      <w:r w:rsidR="002702CA">
        <w:t>. In the three pr</w:t>
      </w:r>
      <w:r w:rsidR="00A245EC">
        <w:t>evious</w:t>
      </w:r>
      <w:r w:rsidR="002702CA">
        <w:t xml:space="preserve"> years, the right to recognition and equality before the law </w:t>
      </w:r>
      <w:r w:rsidR="00453A3B">
        <w:t>ha</w:t>
      </w:r>
      <w:r w:rsidR="00A245EC">
        <w:t>s</w:t>
      </w:r>
      <w:r w:rsidR="00453A3B">
        <w:t xml:space="preserve"> </w:t>
      </w:r>
      <w:r w:rsidR="005A1529">
        <w:t>been the right most identified in complaints</w:t>
      </w:r>
      <w:r w:rsidR="00242C8E">
        <w:t xml:space="preserve">. </w:t>
      </w:r>
    </w:p>
    <w:p w14:paraId="2DDD8BF2" w14:textId="0AC8C70A" w:rsidR="00212F9C" w:rsidRDefault="006B765B" w:rsidP="006B765B">
      <w:r w:rsidRPr="003A5628">
        <w:t xml:space="preserve">The scope of the right to privacy </w:t>
      </w:r>
      <w:r w:rsidR="00565573">
        <w:t xml:space="preserve">and reputation </w:t>
      </w:r>
      <w:r w:rsidRPr="003A5628">
        <w:t xml:space="preserve">is very broad. It protects personal information and data collection, </w:t>
      </w:r>
      <w:r w:rsidR="00240AEA">
        <w:t>but</w:t>
      </w:r>
      <w:r w:rsidRPr="003A5628">
        <w:t xml:space="preserve"> also extends to a person’s private life more generally, </w:t>
      </w:r>
      <w:r w:rsidR="002B7521">
        <w:t>and</w:t>
      </w:r>
      <w:r w:rsidRPr="003A5628">
        <w:t xml:space="preserve"> protects </w:t>
      </w:r>
      <w:r w:rsidR="00A904CE">
        <w:t>an</w:t>
      </w:r>
      <w:r w:rsidRPr="003A5628">
        <w:t xml:space="preserve"> individual against interference with their physical and mental integrity</w:t>
      </w:r>
      <w:r w:rsidR="00724E8D">
        <w:t>;</w:t>
      </w:r>
      <w:r w:rsidR="00355905">
        <w:t xml:space="preserve"> family and home</w:t>
      </w:r>
      <w:r w:rsidR="00724E8D">
        <w:t>;</w:t>
      </w:r>
      <w:r w:rsidR="00FF7D7F">
        <w:t xml:space="preserve"> </w:t>
      </w:r>
      <w:r w:rsidR="00355905">
        <w:t>individual identity</w:t>
      </w:r>
      <w:r w:rsidRPr="003A5628">
        <w:t>, including appearance, clothing and gender</w:t>
      </w:r>
      <w:r w:rsidR="006857AD">
        <w:t>; and</w:t>
      </w:r>
      <w:r w:rsidRPr="003A5628">
        <w:t xml:space="preserve"> sexuality.</w:t>
      </w:r>
      <w:r w:rsidR="004868C3">
        <w:t xml:space="preserve"> </w:t>
      </w:r>
    </w:p>
    <w:p w14:paraId="47986AFB" w14:textId="23DB5591" w:rsidR="00DC77E7" w:rsidRDefault="004868C3" w:rsidP="006B765B">
      <w:r>
        <w:t xml:space="preserve">The higher number of </w:t>
      </w:r>
      <w:r w:rsidR="006857AD">
        <w:t>privacy</w:t>
      </w:r>
      <w:r>
        <w:t xml:space="preserve"> complaints could in part </w:t>
      </w:r>
      <w:r w:rsidR="00A245EC">
        <w:t xml:space="preserve">be </w:t>
      </w:r>
      <w:r w:rsidR="008C5DCD">
        <w:t>because</w:t>
      </w:r>
      <w:r w:rsidR="00C603FE">
        <w:t xml:space="preserve"> </w:t>
      </w:r>
      <w:r>
        <w:t xml:space="preserve">43% of </w:t>
      </w:r>
      <w:r w:rsidR="00C603FE">
        <w:t xml:space="preserve">complaints </w:t>
      </w:r>
      <w:r>
        <w:t>involv</w:t>
      </w:r>
      <w:r w:rsidR="00C603FE">
        <w:t>ed</w:t>
      </w:r>
      <w:r>
        <w:t xml:space="preserve"> COVID-19, many </w:t>
      </w:r>
      <w:r w:rsidR="00C603FE">
        <w:t xml:space="preserve">of which </w:t>
      </w:r>
      <w:r>
        <w:t>were about the right to bodily autonomy</w:t>
      </w:r>
      <w:r w:rsidR="00947DAE">
        <w:t>,</w:t>
      </w:r>
      <w:r>
        <w:t xml:space="preserve"> </w:t>
      </w:r>
      <w:r w:rsidR="007F4237">
        <w:t xml:space="preserve">which complainants believed had been </w:t>
      </w:r>
      <w:r w:rsidR="0000796B">
        <w:t>unreasonably limited</w:t>
      </w:r>
      <w:r w:rsidR="007F4237">
        <w:t xml:space="preserve"> through the </w:t>
      </w:r>
      <w:r w:rsidR="0000796B">
        <w:t>requirement to be vaccinated.</w:t>
      </w:r>
    </w:p>
    <w:p w14:paraId="2B03E4D8" w14:textId="3A40D942" w:rsidR="003A5628" w:rsidRDefault="00702CA0" w:rsidP="00BF7C24">
      <w:r>
        <w:t>W</w:t>
      </w:r>
      <w:r w:rsidR="005F6E84">
        <w:t xml:space="preserve">hile more people complained </w:t>
      </w:r>
      <w:r w:rsidR="001B534F">
        <w:t xml:space="preserve">overall </w:t>
      </w:r>
      <w:r w:rsidR="005F6E84">
        <w:t>about the right to privacy and reputation</w:t>
      </w:r>
      <w:r w:rsidR="001D7D02">
        <w:t xml:space="preserve"> than </w:t>
      </w:r>
      <w:r w:rsidR="00DF1A12">
        <w:t>equality before the law</w:t>
      </w:r>
      <w:r w:rsidR="005F6E84">
        <w:t xml:space="preserve">, the Commission accepted more complaints about </w:t>
      </w:r>
      <w:r w:rsidR="00A63607">
        <w:t>recognition and equality before the law</w:t>
      </w:r>
      <w:r w:rsidR="0062127A">
        <w:t xml:space="preserve"> in the reporting period</w:t>
      </w:r>
      <w:r w:rsidR="00A63607">
        <w:t>.</w:t>
      </w:r>
      <w:r>
        <w:t xml:space="preserve"> </w:t>
      </w:r>
      <w:r w:rsidR="00BF7C24" w:rsidRPr="008A00EB">
        <w:t xml:space="preserve">The right to recognition and equality before the law </w:t>
      </w:r>
      <w:r w:rsidR="005C2998">
        <w:t>will</w:t>
      </w:r>
      <w:r w:rsidR="00BF7C24">
        <w:t xml:space="preserve"> </w:t>
      </w:r>
      <w:r w:rsidR="00BF7C24" w:rsidRPr="008A00EB">
        <w:t>be engaged in complain</w:t>
      </w:r>
      <w:r w:rsidR="001249D8">
        <w:t>ts</w:t>
      </w:r>
      <w:r w:rsidR="00BF7C24" w:rsidRPr="008A00EB" w:rsidDel="001249D8">
        <w:t xml:space="preserve"> </w:t>
      </w:r>
      <w:r w:rsidR="001249D8">
        <w:t>of</w:t>
      </w:r>
      <w:r w:rsidR="00BF7C24" w:rsidRPr="008A00EB">
        <w:t xml:space="preserve"> discrimination </w:t>
      </w:r>
      <w:r w:rsidR="00A018A4">
        <w:t>in which</w:t>
      </w:r>
      <w:r w:rsidR="001249D8">
        <w:t xml:space="preserve"> </w:t>
      </w:r>
      <w:r w:rsidR="00BF7C24" w:rsidRPr="008A00EB">
        <w:t>the respondent is a public entity</w:t>
      </w:r>
      <w:r w:rsidR="00242C8E">
        <w:t xml:space="preserve">, which </w:t>
      </w:r>
      <w:r w:rsidR="005C2517">
        <w:t>explains</w:t>
      </w:r>
      <w:r w:rsidR="00242C8E">
        <w:t xml:space="preserve"> why it </w:t>
      </w:r>
      <w:r w:rsidR="00034CBA">
        <w:t>w</w:t>
      </w:r>
      <w:r w:rsidR="00242C8E">
        <w:t>as previously the most common</w:t>
      </w:r>
      <w:r w:rsidR="001D5806">
        <w:t xml:space="preserve">ly </w:t>
      </w:r>
      <w:r w:rsidR="00242C8E">
        <w:t xml:space="preserve">identified </w:t>
      </w:r>
      <w:r w:rsidR="00A018A4">
        <w:t xml:space="preserve">human </w:t>
      </w:r>
      <w:r w:rsidR="00242C8E">
        <w:t>right in complaints</w:t>
      </w:r>
      <w:r w:rsidR="00BF7C24" w:rsidRPr="008A00EB">
        <w:t xml:space="preserve">. </w:t>
      </w:r>
    </w:p>
    <w:p w14:paraId="15C6C487" w14:textId="6E1E24CA" w:rsidR="00AD7A96" w:rsidRDefault="00BF7C24" w:rsidP="00BF7C24">
      <w:r w:rsidRPr="008A00EB">
        <w:t xml:space="preserve">The second </w:t>
      </w:r>
      <w:r w:rsidR="00A8145A" w:rsidRPr="008A00EB">
        <w:t>most identified</w:t>
      </w:r>
      <w:r w:rsidR="00242C8E">
        <w:t xml:space="preserve"> </w:t>
      </w:r>
      <w:r w:rsidR="005C2517">
        <w:t xml:space="preserve">human </w:t>
      </w:r>
      <w:r w:rsidR="007D38DE">
        <w:t xml:space="preserve">right </w:t>
      </w:r>
      <w:r>
        <w:t xml:space="preserve">in </w:t>
      </w:r>
      <w:r w:rsidR="001F5D2D">
        <w:t xml:space="preserve">the </w:t>
      </w:r>
      <w:r>
        <w:t>finalised</w:t>
      </w:r>
      <w:r w:rsidR="001F5D2D">
        <w:t xml:space="preserve"> complaints</w:t>
      </w:r>
      <w:r>
        <w:t xml:space="preserve"> was </w:t>
      </w:r>
      <w:r w:rsidR="00242C8E">
        <w:t>the right to protection from torture and cruel, inhuman and degrading treatment.</w:t>
      </w:r>
      <w:r w:rsidR="00702CA0">
        <w:t xml:space="preserve"> While it was asserted by complainants </w:t>
      </w:r>
      <w:r w:rsidR="0091674B">
        <w:t xml:space="preserve">or identified in complaint materials </w:t>
      </w:r>
      <w:r w:rsidR="00A1486B">
        <w:t xml:space="preserve">on many </w:t>
      </w:r>
      <w:r w:rsidR="00935BCA">
        <w:t>occasions</w:t>
      </w:r>
      <w:r w:rsidR="00232BC7">
        <w:t xml:space="preserve"> (266)</w:t>
      </w:r>
      <w:r w:rsidR="00935BCA">
        <w:t xml:space="preserve">, the Commission </w:t>
      </w:r>
      <w:r w:rsidR="00DE0232">
        <w:t>accepted only</w:t>
      </w:r>
      <w:r w:rsidR="00232BC7">
        <w:t xml:space="preserve"> 47</w:t>
      </w:r>
      <w:r w:rsidR="00DE0232">
        <w:t xml:space="preserve"> of these </w:t>
      </w:r>
      <w:r w:rsidR="00935BCA">
        <w:t xml:space="preserve">complaints. </w:t>
      </w:r>
      <w:r w:rsidR="003633FF">
        <w:t>The</w:t>
      </w:r>
      <w:r w:rsidR="00935BCA">
        <w:t xml:space="preserve"> right</w:t>
      </w:r>
      <w:r w:rsidR="00232BC7">
        <w:t xml:space="preserve"> </w:t>
      </w:r>
      <w:r w:rsidR="003633FF">
        <w:t xml:space="preserve">to protection from torture and cruel, inhuman and degrading treatment includes </w:t>
      </w:r>
      <w:r w:rsidR="0066354E">
        <w:t>the right ‘not to be subject to medical or scientific experimentation or treatment without the person’s full, free and informed consent’</w:t>
      </w:r>
      <w:r w:rsidR="00D92990">
        <w:t>.</w:t>
      </w:r>
      <w:r w:rsidR="0066354E">
        <w:rPr>
          <w:rStyle w:val="FootnoteReference"/>
        </w:rPr>
        <w:footnoteReference w:id="109"/>
      </w:r>
      <w:r w:rsidR="003633FF">
        <w:t xml:space="preserve"> </w:t>
      </w:r>
      <w:r w:rsidR="00D92990">
        <w:t>This</w:t>
      </w:r>
      <w:r w:rsidR="004917C2">
        <w:t xml:space="preserve"> was the issue </w:t>
      </w:r>
      <w:r w:rsidR="00F55452">
        <w:t>in</w:t>
      </w:r>
      <w:r w:rsidR="00D92990">
        <w:t xml:space="preserve"> many </w:t>
      </w:r>
      <w:r w:rsidR="00012892">
        <w:t xml:space="preserve">of the </w:t>
      </w:r>
      <w:r w:rsidR="00A7142B">
        <w:t xml:space="preserve">complaints received </w:t>
      </w:r>
      <w:r w:rsidR="00B927BD">
        <w:t xml:space="preserve">about vaccination </w:t>
      </w:r>
      <w:r w:rsidR="00F55452">
        <w:t>in which</w:t>
      </w:r>
      <w:r w:rsidR="00B927BD">
        <w:t xml:space="preserve"> the person considered that they were being required to comply with vaccine mandates against their will.</w:t>
      </w:r>
      <w:r w:rsidR="00E865C3">
        <w:t xml:space="preserve"> </w:t>
      </w:r>
    </w:p>
    <w:p w14:paraId="2A0A687C" w14:textId="77777777" w:rsidR="00C804D3" w:rsidRDefault="00C804D3">
      <w:pPr>
        <w:spacing w:after="160" w:line="259" w:lineRule="auto"/>
        <w:ind w:right="0"/>
        <w:rPr>
          <w:rFonts w:eastAsiaTheme="majorEastAsia" w:cstheme="majorBidi"/>
          <w:color w:val="E66A37"/>
          <w:sz w:val="28"/>
          <w:szCs w:val="24"/>
        </w:rPr>
      </w:pPr>
      <w:bookmarkStart w:id="735" w:name="_Toc1440793416"/>
      <w:r>
        <w:rPr>
          <w:color w:val="E66A37"/>
        </w:rPr>
        <w:br w:type="page"/>
      </w:r>
    </w:p>
    <w:p w14:paraId="08E05C6C" w14:textId="5763C85C" w:rsidR="00394C20" w:rsidRPr="00370136" w:rsidRDefault="00394C20" w:rsidP="00AB5E42">
      <w:pPr>
        <w:pStyle w:val="Heading3"/>
        <w:rPr>
          <w:color w:val="E66A37"/>
        </w:rPr>
      </w:pPr>
      <w:r w:rsidRPr="00370136">
        <w:rPr>
          <w:color w:val="E66A37"/>
        </w:rPr>
        <w:t>Human</w:t>
      </w:r>
      <w:r w:rsidRPr="00370136" w:rsidDel="008279A3">
        <w:rPr>
          <w:color w:val="E66A37"/>
        </w:rPr>
        <w:t xml:space="preserve"> rights </w:t>
      </w:r>
      <w:r w:rsidRPr="00370136">
        <w:rPr>
          <w:color w:val="E66A37"/>
        </w:rPr>
        <w:t>only complaints</w:t>
      </w:r>
      <w:bookmarkEnd w:id="735"/>
    </w:p>
    <w:p w14:paraId="15398154" w14:textId="0B3D29BA" w:rsidR="001D5577" w:rsidRPr="00583B91" w:rsidRDefault="008279A3" w:rsidP="00583B91">
      <w:r w:rsidRPr="003F7080">
        <w:t>Figure 8</w:t>
      </w:r>
      <w:r>
        <w:t xml:space="preserve"> shows</w:t>
      </w:r>
      <w:r w:rsidR="0086011B" w:rsidRPr="008A00EB">
        <w:t xml:space="preserve"> human rights only complaints</w:t>
      </w:r>
      <w:r w:rsidR="00D347E4">
        <w:t>. It</w:t>
      </w:r>
      <w:r w:rsidR="0086011B" w:rsidRPr="008A00EB">
        <w:t xml:space="preserve"> </w:t>
      </w:r>
      <w:r>
        <w:t>does not include</w:t>
      </w:r>
      <w:r w:rsidR="0086011B" w:rsidRPr="008A00EB">
        <w:t xml:space="preserve"> </w:t>
      </w:r>
      <w:r w:rsidR="0086011B">
        <w:t>piggy-back complaint</w:t>
      </w:r>
      <w:r>
        <w:t>s</w:t>
      </w:r>
      <w:r w:rsidR="009360F4">
        <w:t xml:space="preserve"> </w:t>
      </w:r>
      <w:r w:rsidR="00D347E4">
        <w:t>that</w:t>
      </w:r>
      <w:r w:rsidR="009360F4">
        <w:t xml:space="preserve"> contain</w:t>
      </w:r>
      <w:r w:rsidR="00634BFA">
        <w:t xml:space="preserve"> allegations </w:t>
      </w:r>
      <w:r w:rsidR="001360E4">
        <w:t xml:space="preserve">of </w:t>
      </w:r>
      <w:r w:rsidR="00634BFA">
        <w:t xml:space="preserve">a </w:t>
      </w:r>
      <w:r w:rsidR="005441AF">
        <w:t>contravention</w:t>
      </w:r>
      <w:r w:rsidR="00634BFA">
        <w:t xml:space="preserve"> of the Anti-Discrimination Act</w:t>
      </w:r>
      <w:r w:rsidR="00FF2165">
        <w:t xml:space="preserve"> onto which a human rights complaint has been piggy-backed</w:t>
      </w:r>
      <w:r w:rsidR="0086011B" w:rsidRPr="008A00EB">
        <w:t>.</w:t>
      </w:r>
    </w:p>
    <w:p w14:paraId="1AEBF6F8" w14:textId="1AE7EE9C" w:rsidR="0000042C" w:rsidRDefault="0000042C" w:rsidP="00B132DB">
      <w:pPr>
        <w:pStyle w:val="Caption"/>
      </w:pPr>
      <w:r>
        <w:t xml:space="preserve">Figure </w:t>
      </w:r>
      <w:r w:rsidR="001D5577">
        <w:t>8</w:t>
      </w:r>
      <w:r>
        <w:t xml:space="preserve">: Human rights identified in human rights only complaints, </w:t>
      </w:r>
      <w:r w:rsidR="007D27F7">
        <w:t>2022-23</w:t>
      </w:r>
      <w:r>
        <w:rPr>
          <w:rStyle w:val="FootnoteReference"/>
        </w:rPr>
        <w:footnoteReference w:id="110"/>
      </w:r>
    </w:p>
    <w:p w14:paraId="694666B0" w14:textId="14EEC649" w:rsidR="00E72B00" w:rsidRPr="00E72B00" w:rsidRDefault="00C804D3" w:rsidP="00E72B00">
      <w:r>
        <w:rPr>
          <w:noProof/>
        </w:rPr>
        <w:drawing>
          <wp:inline distT="0" distB="0" distL="0" distR="0" wp14:anchorId="1109D288" wp14:editId="57787B89">
            <wp:extent cx="5513696" cy="5773003"/>
            <wp:effectExtent l="0" t="0" r="0" b="0"/>
            <wp:docPr id="21" name="Chart 21">
              <a:extLst xmlns:a="http://schemas.openxmlformats.org/drawingml/2006/main">
                <a:ext uri="{FF2B5EF4-FFF2-40B4-BE49-F238E27FC236}">
                  <a16:creationId xmlns:a16="http://schemas.microsoft.com/office/drawing/2014/main" id="{50F45F3E-B63E-D8F9-3291-959B24C00E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08CCDBB4" w14:textId="019BCC68" w:rsidR="00D87D99" w:rsidRDefault="00D87D99" w:rsidP="00D87D99">
      <w:bookmarkStart w:id="736" w:name="_Toc56452195"/>
      <w:bookmarkStart w:id="737" w:name="_Toc85451806"/>
      <w:bookmarkStart w:id="738" w:name="_Toc85526737"/>
      <w:bookmarkStart w:id="739" w:name="_Toc85787152"/>
      <w:bookmarkStart w:id="740" w:name="_Toc1419682987"/>
      <w:r w:rsidRPr="00D87D99">
        <w:t>For human rights only complaints made to the Commission, privacy and reputation was also the human right most often identified, followed by recognition and equality before the law, and then torture, cruel, inhuman or degrading treatment. The reason why these rights have dominated at this time is explained in the previous section ‘All human rights complaints.’</w:t>
      </w:r>
    </w:p>
    <w:p w14:paraId="6ADB5E41" w14:textId="0E27B632" w:rsidR="00A51EB1" w:rsidRPr="00A51EB1" w:rsidRDefault="00A51EB1" w:rsidP="00A51EB1">
      <w:pPr>
        <w:pStyle w:val="Heading2"/>
        <w:rPr>
          <w:color w:val="E66A37"/>
        </w:rPr>
      </w:pPr>
      <w:bookmarkStart w:id="741" w:name="_Toc1622910422"/>
      <w:bookmarkStart w:id="742" w:name="_Toc117697207"/>
      <w:bookmarkStart w:id="743" w:name="_Toc117697914"/>
      <w:bookmarkStart w:id="744" w:name="_Toc147757353"/>
      <w:bookmarkStart w:id="745" w:name="_Toc148086978"/>
      <w:bookmarkEnd w:id="736"/>
      <w:bookmarkEnd w:id="737"/>
      <w:bookmarkEnd w:id="738"/>
      <w:bookmarkEnd w:id="739"/>
      <w:bookmarkEnd w:id="740"/>
      <w:r w:rsidRPr="11033207">
        <w:rPr>
          <w:color w:val="E66A37"/>
        </w:rPr>
        <w:t>Finalised complaints by sector</w:t>
      </w:r>
      <w:bookmarkEnd w:id="741"/>
      <w:bookmarkEnd w:id="742"/>
      <w:bookmarkEnd w:id="743"/>
      <w:bookmarkEnd w:id="744"/>
      <w:bookmarkEnd w:id="745"/>
    </w:p>
    <w:p w14:paraId="7AD475C7" w14:textId="4E299760" w:rsidR="00134E50" w:rsidRPr="008576CD" w:rsidRDefault="00FF2F0C" w:rsidP="00533001">
      <w:pPr>
        <w:rPr>
          <w:i/>
        </w:rPr>
      </w:pPr>
      <w:r>
        <w:t>As part of the Commission’s data collection process,</w:t>
      </w:r>
      <w:r w:rsidR="00CC36D2">
        <w:t xml:space="preserve"> </w:t>
      </w:r>
      <w:r w:rsidR="004309DF">
        <w:t xml:space="preserve">public entities named as respondents in human rights complaints are categorised by </w:t>
      </w:r>
      <w:r w:rsidR="00F07E80">
        <w:t>their sector</w:t>
      </w:r>
      <w:r>
        <w:t>.</w:t>
      </w:r>
      <w:r w:rsidR="00F07E80">
        <w:t xml:space="preserve"> </w:t>
      </w:r>
      <w:r w:rsidR="008576CD">
        <w:t>A complaint may be about more than one public entity.</w:t>
      </w:r>
    </w:p>
    <w:p w14:paraId="43DB2DC9" w14:textId="5B8653B4" w:rsidR="00F07E80" w:rsidRPr="0063610E" w:rsidRDefault="00F07E80" w:rsidP="00F07E80">
      <w:r>
        <w:t>‘Not a public entity’ was recorded when the person complained about a</w:t>
      </w:r>
      <w:r w:rsidR="00114C19">
        <w:t>n entity</w:t>
      </w:r>
      <w:r>
        <w:t xml:space="preserve"> not covered by the Act. For example, </w:t>
      </w:r>
      <w:r w:rsidR="00D70401">
        <w:t>a person may allege a human rights breach involving a private business</w:t>
      </w:r>
      <w:r w:rsidR="00073186">
        <w:t xml:space="preserve"> which is not a ‘public entity’ under the Human Rights Act</w:t>
      </w:r>
      <w:r>
        <w:t xml:space="preserve">. </w:t>
      </w:r>
      <w:r w:rsidR="001F2093">
        <w:t>F</w:t>
      </w:r>
      <w:r>
        <w:t>ederal bod</w:t>
      </w:r>
      <w:r w:rsidR="001F2093">
        <w:t>ies,</w:t>
      </w:r>
      <w:r>
        <w:t xml:space="preserve"> such as Australia Post</w:t>
      </w:r>
      <w:r w:rsidR="001F2093">
        <w:t>, are also not covered by the Act</w:t>
      </w:r>
      <w:r>
        <w:t>.</w:t>
      </w:r>
    </w:p>
    <w:p w14:paraId="34A9A872" w14:textId="0710F0CD" w:rsidR="00F07E80" w:rsidRDefault="00F07E80" w:rsidP="00F07E80">
      <w:r>
        <w:t>‘</w:t>
      </w:r>
      <w:r w:rsidR="00073186">
        <w:t>C</w:t>
      </w:r>
      <w:r>
        <w:t xml:space="preserve">orrections’ includes </w:t>
      </w:r>
      <w:r w:rsidR="00073186">
        <w:t xml:space="preserve">both </w:t>
      </w:r>
      <w:r>
        <w:t>prisons and youth detention</w:t>
      </w:r>
      <w:r w:rsidR="00851704">
        <w:t>.</w:t>
      </w:r>
    </w:p>
    <w:p w14:paraId="14C530EA" w14:textId="708630FA" w:rsidR="00B46EA8" w:rsidRDefault="00B46EA8" w:rsidP="2544220E">
      <w:r>
        <w:t xml:space="preserve">‘Work’ is where a public sector worker is complaining about issues arising in their workplace. </w:t>
      </w:r>
    </w:p>
    <w:p w14:paraId="0499C7D1" w14:textId="01B794CF" w:rsidR="00BA5AA6" w:rsidRPr="00FC096B" w:rsidRDefault="00BA5AA6" w:rsidP="00FC096B">
      <w:pPr>
        <w:pStyle w:val="Heading3"/>
        <w:rPr>
          <w:color w:val="E66A37"/>
        </w:rPr>
      </w:pPr>
      <w:r w:rsidRPr="00FC096B">
        <w:rPr>
          <w:color w:val="E66A37"/>
        </w:rPr>
        <w:t>All human rights complaints</w:t>
      </w:r>
    </w:p>
    <w:p w14:paraId="7CBBDC05" w14:textId="48179B9D" w:rsidR="00A51EB1" w:rsidRDefault="00BA5AA6" w:rsidP="00A51EB1">
      <w:r w:rsidRPr="00B132DB">
        <w:t xml:space="preserve">Figure </w:t>
      </w:r>
      <w:r w:rsidR="00B132DB">
        <w:t>9</w:t>
      </w:r>
      <w:r>
        <w:t xml:space="preserve"> includes</w:t>
      </w:r>
      <w:r w:rsidR="00A51EB1">
        <w:t xml:space="preserve"> all complaints – piggy-back and human rights only complaints</w:t>
      </w:r>
      <w:r w:rsidR="007114CB">
        <w:t xml:space="preserve"> – by the sector of the public entit</w:t>
      </w:r>
      <w:r w:rsidR="00A12C78">
        <w:t>y or entities</w:t>
      </w:r>
      <w:r w:rsidR="007114CB">
        <w:t xml:space="preserve"> named</w:t>
      </w:r>
      <w:r w:rsidR="00A12C78">
        <w:t xml:space="preserve"> in the complaint</w:t>
      </w:r>
      <w:r w:rsidR="00A51EB1">
        <w:t>.</w:t>
      </w:r>
    </w:p>
    <w:p w14:paraId="3513D96D" w14:textId="484CAFF1" w:rsidR="001A7668" w:rsidRDefault="001A7668" w:rsidP="001A7668">
      <w:pPr>
        <w:pStyle w:val="Caption"/>
      </w:pPr>
      <w:r>
        <w:t xml:space="preserve">Figure </w:t>
      </w:r>
      <w:r w:rsidR="00B132DB">
        <w:t>9</w:t>
      </w:r>
      <w:r>
        <w:t xml:space="preserve">: Finalised complaints by sector – all complaints, </w:t>
      </w:r>
      <w:r w:rsidR="007D27F7">
        <w:t>2022-23</w:t>
      </w:r>
    </w:p>
    <w:p w14:paraId="314749F7" w14:textId="7A5DD93C" w:rsidR="009C3FAC" w:rsidRDefault="00BB3661" w:rsidP="00A40DAA">
      <w:pPr>
        <w:rPr>
          <w:noProof/>
          <w:color w:val="2B579A"/>
          <w:shd w:val="clear" w:color="auto" w:fill="E6E6E6"/>
        </w:rPr>
      </w:pPr>
      <w:r>
        <w:rPr>
          <w:noProof/>
        </w:rPr>
        <w:drawing>
          <wp:inline distT="0" distB="0" distL="0" distR="0" wp14:anchorId="460DBD91" wp14:editId="695198BF">
            <wp:extent cx="4276725" cy="3467100"/>
            <wp:effectExtent l="0" t="0" r="0" b="0"/>
            <wp:docPr id="41" name="Chart 41">
              <a:extLst xmlns:a="http://schemas.openxmlformats.org/drawingml/2006/main">
                <a:ext uri="{FF2B5EF4-FFF2-40B4-BE49-F238E27FC236}">
                  <a16:creationId xmlns:a16="http://schemas.microsoft.com/office/drawing/2014/main" id="{34A5C0EA-83AC-39FC-D35E-8CF45A9E9D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Pr>
          <w:noProof/>
          <w:color w:val="2B579A"/>
          <w:shd w:val="clear" w:color="auto" w:fill="E6E6E6"/>
        </w:rPr>
        <w:t xml:space="preserve"> </w:t>
      </w:r>
    </w:p>
    <w:p w14:paraId="3D70F17E" w14:textId="77777777" w:rsidR="002602D8" w:rsidRDefault="002602D8" w:rsidP="002602D8">
      <w:pPr>
        <w:rPr>
          <w:i/>
        </w:rPr>
      </w:pPr>
      <w:r>
        <w:t>Most of the complaints that were made to the Commission were about workplace issues. In most instances where the Commission has recorded the sector as ‘work’, a person is complaining about discrimination or sexual harassment as their primary concern, and because their workplace is a public entity the Human Rights Act also applies to their complaint. As public servants become increasingly aware of their obligations under the Human Rights Act, they may also become aware of their own rights and protections and how the Act applies to their employment.</w:t>
      </w:r>
    </w:p>
    <w:p w14:paraId="30ED31B0" w14:textId="77777777" w:rsidR="002602D8" w:rsidRDefault="002602D8" w:rsidP="002602D8">
      <w:r>
        <w:t xml:space="preserve">Complaints about health, police, and corrections were high in number, as was the case in previous years. Compared with the periods in which COVID-19 Public Health Directions were in effect, complaints about health bodies have reduced in number. </w:t>
      </w:r>
    </w:p>
    <w:p w14:paraId="1697E849" w14:textId="77777777" w:rsidR="002602D8" w:rsidRDefault="002602D8" w:rsidP="002602D8">
      <w:r>
        <w:t xml:space="preserve">While there were fewer complaints about education than corrections, a higher number of complaints involving schools, tertiary institutions, and vocational education were accepted for dispute resolution than for corrections. </w:t>
      </w:r>
    </w:p>
    <w:p w14:paraId="5CB6E699" w14:textId="514932B9" w:rsidR="002602D8" w:rsidRDefault="002602D8" w:rsidP="002602D8">
      <w:r>
        <w:t xml:space="preserve">Most education complaints were piggy-back complaints about alleged discrimination, and particularly impairment discrimination, in educational institutions run by public entities, with a human rights complaint </w:t>
      </w:r>
      <w:r w:rsidR="005A63F6">
        <w:t>piggy-back</w:t>
      </w:r>
      <w:r>
        <w:t xml:space="preserve">ed to it. </w:t>
      </w:r>
    </w:p>
    <w:p w14:paraId="7415C365" w14:textId="036C7F79" w:rsidR="008066A4" w:rsidRPr="00370136" w:rsidRDefault="00ED090D" w:rsidP="00794342">
      <w:pPr>
        <w:pStyle w:val="Heading3"/>
        <w:rPr>
          <w:color w:val="E66A37"/>
        </w:rPr>
      </w:pPr>
      <w:bookmarkStart w:id="746" w:name="_Toc56452198"/>
      <w:bookmarkStart w:id="747" w:name="_Toc84593933"/>
      <w:bookmarkStart w:id="748" w:name="_Toc85451808"/>
      <w:bookmarkStart w:id="749" w:name="_Toc85526739"/>
      <w:bookmarkStart w:id="750" w:name="_Toc85787154"/>
      <w:bookmarkStart w:id="751" w:name="_Toc950536848"/>
      <w:r w:rsidRPr="00794342">
        <w:rPr>
          <w:color w:val="E66A37"/>
        </w:rPr>
        <w:t>H</w:t>
      </w:r>
      <w:r w:rsidR="008066A4" w:rsidRPr="00794342">
        <w:rPr>
          <w:color w:val="E66A37"/>
        </w:rPr>
        <w:t>uman</w:t>
      </w:r>
      <w:r w:rsidR="008066A4" w:rsidRPr="00370136">
        <w:rPr>
          <w:color w:val="E66A37"/>
        </w:rPr>
        <w:t xml:space="preserve"> rights only complaints</w:t>
      </w:r>
      <w:bookmarkEnd w:id="746"/>
      <w:bookmarkEnd w:id="747"/>
      <w:bookmarkEnd w:id="748"/>
      <w:bookmarkEnd w:id="749"/>
      <w:bookmarkEnd w:id="750"/>
      <w:bookmarkEnd w:id="751"/>
    </w:p>
    <w:p w14:paraId="1F8DB529" w14:textId="5988424C" w:rsidR="00241F73" w:rsidRDefault="00ED090D" w:rsidP="00421BF7">
      <w:r w:rsidRPr="00CF55D0">
        <w:t>Figure 1</w:t>
      </w:r>
      <w:r w:rsidR="00B132DB">
        <w:t>0</w:t>
      </w:r>
      <w:r>
        <w:t xml:space="preserve"> shows</w:t>
      </w:r>
      <w:r w:rsidR="008066A4">
        <w:t xml:space="preserve"> human rights only complaints finalised in </w:t>
      </w:r>
      <w:r w:rsidR="00950F2B">
        <w:t>202</w:t>
      </w:r>
      <w:r w:rsidR="00A656C8">
        <w:t>2</w:t>
      </w:r>
      <w:r w:rsidR="00FB0631">
        <w:t>–</w:t>
      </w:r>
      <w:r w:rsidR="00950F2B">
        <w:t>2</w:t>
      </w:r>
      <w:r w:rsidR="00A656C8">
        <w:t>3</w:t>
      </w:r>
      <w:r>
        <w:t xml:space="preserve"> by the sector of the public entity named.</w:t>
      </w:r>
    </w:p>
    <w:p w14:paraId="3E8D215A" w14:textId="238183CF" w:rsidR="00074205" w:rsidRDefault="00074205" w:rsidP="00421BF7">
      <w:r>
        <w:t>Of the human rights only complaints, a significant proportion involved prisons</w:t>
      </w:r>
      <w:r w:rsidR="001C4A57">
        <w:t>. Police and health bodies were the next most commo</w:t>
      </w:r>
      <w:r w:rsidR="00881950">
        <w:t>n sectors</w:t>
      </w:r>
      <w:r w:rsidR="001C4A57">
        <w:t xml:space="preserve">. </w:t>
      </w:r>
    </w:p>
    <w:p w14:paraId="5D3032B8" w14:textId="473D467F" w:rsidR="00C73315" w:rsidRDefault="008066A4" w:rsidP="001E658D">
      <w:pPr>
        <w:pStyle w:val="Caption"/>
      </w:pPr>
      <w:r>
        <w:t xml:space="preserve">Figure </w:t>
      </w:r>
      <w:r w:rsidR="000829E3">
        <w:t>1</w:t>
      </w:r>
      <w:r w:rsidR="00B132DB">
        <w:t>0</w:t>
      </w:r>
      <w:r>
        <w:t xml:space="preserve">: Finalised complaints by sector – human rights only complaints, </w:t>
      </w:r>
      <w:r w:rsidR="007D27F7">
        <w:t>2022-23</w:t>
      </w:r>
      <w:r w:rsidR="00C36FAE" w:rsidRPr="00C36FAE">
        <w:rPr>
          <w:noProof/>
        </w:rPr>
        <w:t xml:space="preserve"> </w:t>
      </w:r>
      <w:r w:rsidR="00C36FAE">
        <w:rPr>
          <w:noProof/>
        </w:rPr>
        <w:drawing>
          <wp:inline distT="0" distB="0" distL="0" distR="0" wp14:anchorId="076E9F94" wp14:editId="02060466">
            <wp:extent cx="4314825" cy="3790950"/>
            <wp:effectExtent l="0" t="0" r="0" b="0"/>
            <wp:docPr id="47" name="Chart 47">
              <a:extLst xmlns:a="http://schemas.openxmlformats.org/drawingml/2006/main">
                <a:ext uri="{FF2B5EF4-FFF2-40B4-BE49-F238E27FC236}">
                  <a16:creationId xmlns:a16="http://schemas.microsoft.com/office/drawing/2014/main" id="{DF1F2E47-FCEA-925E-EA12-C2EDF4F3F8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0AE6211" w14:textId="5BE0E14D" w:rsidR="00DE22D0" w:rsidRPr="000151C3" w:rsidRDefault="00AD4AAE" w:rsidP="00C73315">
      <w:r w:rsidRPr="00200AC7">
        <w:t xml:space="preserve">Of the complaints made only about human rights, the most common sectors </w:t>
      </w:r>
      <w:r w:rsidR="00734C83" w:rsidRPr="00200AC7">
        <w:t xml:space="preserve">represented in complaints </w:t>
      </w:r>
      <w:r w:rsidRPr="00200AC7">
        <w:t xml:space="preserve">were </w:t>
      </w:r>
      <w:r w:rsidR="00431626" w:rsidRPr="00200AC7">
        <w:t xml:space="preserve">corrections and </w:t>
      </w:r>
      <w:r w:rsidRPr="00200AC7">
        <w:t>health</w:t>
      </w:r>
      <w:r w:rsidR="006E738E" w:rsidRPr="00200AC7">
        <w:t>, followed by</w:t>
      </w:r>
      <w:r w:rsidRPr="00200AC7">
        <w:t xml:space="preserve"> police.</w:t>
      </w:r>
    </w:p>
    <w:p w14:paraId="4F8A55E1" w14:textId="77777777" w:rsidR="001E658D" w:rsidRPr="001E658D" w:rsidRDefault="001E658D" w:rsidP="001E658D">
      <w:pPr>
        <w:pStyle w:val="Heading2"/>
        <w:rPr>
          <w:rFonts w:eastAsia="Yu Gothic Light" w:cs="Times New Roman"/>
          <w:color w:val="E66A37"/>
        </w:rPr>
      </w:pPr>
      <w:bookmarkStart w:id="752" w:name="_Toc148086979"/>
      <w:bookmarkStart w:id="753" w:name="_Toc958829992"/>
      <w:bookmarkStart w:id="754" w:name="_Toc117697208"/>
      <w:bookmarkStart w:id="755" w:name="_Toc117697915"/>
      <w:bookmarkStart w:id="756" w:name="_Toc147757354"/>
      <w:r w:rsidRPr="001E658D">
        <w:rPr>
          <w:color w:val="E66A37"/>
        </w:rPr>
        <w:t>COVID-19 complaints</w:t>
      </w:r>
      <w:bookmarkEnd w:id="752"/>
    </w:p>
    <w:p w14:paraId="090D84A4" w14:textId="77777777" w:rsidR="001E658D" w:rsidRDefault="001E658D" w:rsidP="001E658D">
      <w:pPr>
        <w:rPr>
          <w:rFonts w:eastAsia="Calibri" w:cs="Arial"/>
        </w:rPr>
      </w:pPr>
      <w:r w:rsidRPr="0A0E2F54">
        <w:rPr>
          <w:rFonts w:eastAsia="Calibri" w:cs="Arial"/>
        </w:rPr>
        <w:t xml:space="preserve">Since the start of </w:t>
      </w:r>
      <w:r w:rsidRPr="398DD150">
        <w:rPr>
          <w:rFonts w:eastAsia="Calibri" w:cs="Arial"/>
        </w:rPr>
        <w:t>the pandemic</w:t>
      </w:r>
      <w:r w:rsidRPr="0A0E2F54">
        <w:rPr>
          <w:rFonts w:eastAsia="Calibri" w:cs="Arial"/>
        </w:rPr>
        <w:t xml:space="preserve">, the </w:t>
      </w:r>
      <w:r w:rsidRPr="31FE0228">
        <w:rPr>
          <w:rFonts w:eastAsia="Calibri" w:cs="Arial"/>
        </w:rPr>
        <w:t xml:space="preserve">Commission has recorded whether </w:t>
      </w:r>
      <w:r w:rsidRPr="0EF7D37C">
        <w:rPr>
          <w:rFonts w:eastAsia="Calibri" w:cs="Arial"/>
        </w:rPr>
        <w:t xml:space="preserve">the complaint is about </w:t>
      </w:r>
      <w:r w:rsidRPr="398DD150">
        <w:rPr>
          <w:rFonts w:eastAsia="Calibri" w:cs="Arial"/>
        </w:rPr>
        <w:t>COVID-19</w:t>
      </w:r>
      <w:r w:rsidRPr="3F9241A0">
        <w:rPr>
          <w:rFonts w:eastAsia="Calibri" w:cs="Arial"/>
        </w:rPr>
        <w:t xml:space="preserve"> or related </w:t>
      </w:r>
      <w:r w:rsidRPr="039042AF">
        <w:rPr>
          <w:rFonts w:eastAsia="Calibri" w:cs="Arial"/>
        </w:rPr>
        <w:t xml:space="preserve">issues. </w:t>
      </w:r>
      <w:r w:rsidRPr="4551BB01">
        <w:rPr>
          <w:rFonts w:eastAsia="Calibri" w:cs="Arial"/>
        </w:rPr>
        <w:t xml:space="preserve">Common issues </w:t>
      </w:r>
      <w:r w:rsidRPr="698C1008">
        <w:rPr>
          <w:rFonts w:eastAsia="Calibri" w:cs="Arial"/>
        </w:rPr>
        <w:t xml:space="preserve">in these complaints </w:t>
      </w:r>
      <w:r w:rsidRPr="4551BB01">
        <w:rPr>
          <w:rFonts w:eastAsia="Calibri" w:cs="Arial"/>
        </w:rPr>
        <w:t xml:space="preserve">include vaccination, </w:t>
      </w:r>
      <w:r w:rsidRPr="728DE3D5">
        <w:rPr>
          <w:rFonts w:eastAsia="Calibri" w:cs="Arial"/>
        </w:rPr>
        <w:t>mask-wearing, border restrictions</w:t>
      </w:r>
      <w:r>
        <w:rPr>
          <w:rFonts w:eastAsia="Calibri" w:cs="Arial"/>
        </w:rPr>
        <w:t>,</w:t>
      </w:r>
      <w:r w:rsidRPr="728DE3D5">
        <w:rPr>
          <w:rFonts w:eastAsia="Calibri" w:cs="Arial"/>
        </w:rPr>
        <w:t xml:space="preserve"> and </w:t>
      </w:r>
      <w:r w:rsidRPr="1009B5FF">
        <w:rPr>
          <w:rFonts w:eastAsia="Calibri" w:cs="Arial"/>
        </w:rPr>
        <w:t>quarantine requirements.</w:t>
      </w:r>
      <w:r w:rsidRPr="0A2724E0">
        <w:rPr>
          <w:rFonts w:eastAsia="Calibri" w:cs="Arial"/>
        </w:rPr>
        <w:t xml:space="preserve"> </w:t>
      </w:r>
    </w:p>
    <w:p w14:paraId="66A62A45" w14:textId="77777777" w:rsidR="001E658D" w:rsidRDefault="001E658D" w:rsidP="001E658D">
      <w:pPr>
        <w:rPr>
          <w:rFonts w:eastAsia="Calibri" w:cs="Arial"/>
        </w:rPr>
      </w:pPr>
      <w:r w:rsidRPr="3E165737">
        <w:rPr>
          <w:rFonts w:eastAsia="Calibri" w:cs="Arial"/>
        </w:rPr>
        <w:t xml:space="preserve">Of the </w:t>
      </w:r>
      <w:r>
        <w:rPr>
          <w:rFonts w:eastAsia="Calibri" w:cs="Arial"/>
        </w:rPr>
        <w:t>561</w:t>
      </w:r>
      <w:r w:rsidRPr="3E165737">
        <w:rPr>
          <w:rFonts w:eastAsia="Calibri" w:cs="Arial"/>
        </w:rPr>
        <w:t xml:space="preserve"> </w:t>
      </w:r>
      <w:r w:rsidRPr="25DCDBA1">
        <w:rPr>
          <w:rFonts w:eastAsia="Calibri" w:cs="Arial"/>
        </w:rPr>
        <w:t xml:space="preserve">human rights </w:t>
      </w:r>
      <w:r w:rsidRPr="3E165737">
        <w:rPr>
          <w:rFonts w:eastAsia="Calibri" w:cs="Arial"/>
        </w:rPr>
        <w:t>complaints</w:t>
      </w:r>
      <w:r w:rsidRPr="1C07457D">
        <w:rPr>
          <w:rFonts w:eastAsia="Calibri" w:cs="Arial"/>
        </w:rPr>
        <w:t xml:space="preserve"> finalised in the reporting </w:t>
      </w:r>
      <w:r w:rsidRPr="26EE6989">
        <w:rPr>
          <w:rFonts w:eastAsia="Calibri" w:cs="Arial"/>
        </w:rPr>
        <w:t>period</w:t>
      </w:r>
      <w:r w:rsidRPr="3E165737">
        <w:rPr>
          <w:rFonts w:eastAsia="Calibri" w:cs="Arial"/>
        </w:rPr>
        <w:t xml:space="preserve">, </w:t>
      </w:r>
      <w:r>
        <w:rPr>
          <w:rFonts w:eastAsia="Calibri" w:cs="Arial"/>
        </w:rPr>
        <w:t>250</w:t>
      </w:r>
      <w:r w:rsidRPr="3E165737">
        <w:rPr>
          <w:rFonts w:eastAsia="Calibri" w:cs="Arial"/>
        </w:rPr>
        <w:t xml:space="preserve"> </w:t>
      </w:r>
      <w:r>
        <w:rPr>
          <w:rFonts w:eastAsia="Calibri" w:cs="Arial"/>
        </w:rPr>
        <w:t xml:space="preserve">(44%) </w:t>
      </w:r>
      <w:r w:rsidRPr="3E165737">
        <w:rPr>
          <w:rFonts w:eastAsia="Calibri" w:cs="Arial"/>
        </w:rPr>
        <w:t xml:space="preserve">were </w:t>
      </w:r>
      <w:r w:rsidRPr="54FF6B77">
        <w:rPr>
          <w:rFonts w:eastAsia="Calibri" w:cs="Arial"/>
        </w:rPr>
        <w:t>COVID-19</w:t>
      </w:r>
      <w:r>
        <w:rPr>
          <w:rFonts w:eastAsia="Calibri" w:cs="Arial"/>
        </w:rPr>
        <w:t>-related</w:t>
      </w:r>
      <w:r w:rsidRPr="2699CB5A">
        <w:rPr>
          <w:rFonts w:eastAsia="Calibri" w:cs="Arial"/>
        </w:rPr>
        <w:t xml:space="preserve">. </w:t>
      </w:r>
      <w:r>
        <w:rPr>
          <w:rFonts w:eastAsia="Calibri" w:cs="Arial"/>
        </w:rPr>
        <w:t xml:space="preserve">This is nearly the same rate as last year (43%) despite most restrictions on the rights of individuals ending in </w:t>
      </w:r>
      <w:r w:rsidRPr="002F211C">
        <w:rPr>
          <w:rFonts w:eastAsia="Calibri" w:cs="Arial"/>
        </w:rPr>
        <w:t>April 2022</w:t>
      </w:r>
      <w:r>
        <w:rPr>
          <w:rFonts w:eastAsia="Calibri" w:cs="Arial"/>
        </w:rPr>
        <w:t>. In part, the high proportion of COVID-related complaints resulted because a sharp increase in complaint numbers in the previous 2 years created a backlog of complaints, which was added to by a stream of complaints to the Commission about incidents that had occurred during the height of the pandemic. Complaints may be made up to one year after the incident, and complaints made more than one year after the alleged contravention may still be accepted in certain circumstances.</w:t>
      </w:r>
      <w:r>
        <w:rPr>
          <w:rStyle w:val="FootnoteReference"/>
          <w:rFonts w:eastAsia="Calibri" w:cs="Arial"/>
        </w:rPr>
        <w:footnoteReference w:id="111"/>
      </w:r>
      <w:r>
        <w:rPr>
          <w:rFonts w:eastAsia="Calibri" w:cs="Arial"/>
        </w:rPr>
        <w:t xml:space="preserve"> </w:t>
      </w:r>
    </w:p>
    <w:p w14:paraId="0FB076BB" w14:textId="77777777" w:rsidR="001E658D" w:rsidRPr="00F15E4D" w:rsidRDefault="001E658D" w:rsidP="001E658D">
      <w:pPr>
        <w:rPr>
          <w:rFonts w:eastAsia="Calibri" w:cs="Arial"/>
        </w:rPr>
      </w:pPr>
      <w:r>
        <w:rPr>
          <w:rFonts w:eastAsia="Calibri" w:cs="Arial"/>
        </w:rPr>
        <w:t>Of the finalised COVID-19 complaints, 50 were accepted and 8 were conciliated. The</w:t>
      </w:r>
      <w:r w:rsidRPr="00680B27">
        <w:rPr>
          <w:rFonts w:eastAsia="Calibri" w:cs="Arial"/>
        </w:rPr>
        <w:t xml:space="preserve"> COVID-19 complaints </w:t>
      </w:r>
      <w:r>
        <w:rPr>
          <w:rFonts w:eastAsia="Calibri" w:cs="Arial"/>
        </w:rPr>
        <w:t>that proceeded through the conciliation process</w:t>
      </w:r>
      <w:r w:rsidRPr="00680B27">
        <w:rPr>
          <w:rFonts w:eastAsia="Calibri" w:cs="Arial"/>
        </w:rPr>
        <w:t xml:space="preserve"> tended to involve complex and </w:t>
      </w:r>
      <w:r>
        <w:rPr>
          <w:rFonts w:eastAsia="Calibri" w:cs="Arial"/>
        </w:rPr>
        <w:t>intractable</w:t>
      </w:r>
      <w:r w:rsidRPr="00680B27">
        <w:rPr>
          <w:rFonts w:eastAsia="Calibri" w:cs="Arial"/>
        </w:rPr>
        <w:t xml:space="preserve"> disputes</w:t>
      </w:r>
      <w:r>
        <w:rPr>
          <w:rFonts w:eastAsia="Calibri" w:cs="Arial"/>
        </w:rPr>
        <w:t>, which may explain to some extent</w:t>
      </w:r>
      <w:r w:rsidRPr="00680B27">
        <w:rPr>
          <w:rFonts w:eastAsia="Calibri" w:cs="Arial"/>
        </w:rPr>
        <w:t xml:space="preserve"> the </w:t>
      </w:r>
      <w:r>
        <w:rPr>
          <w:rFonts w:eastAsia="Calibri" w:cs="Arial"/>
        </w:rPr>
        <w:t xml:space="preserve">significantly lower </w:t>
      </w:r>
      <w:r w:rsidRPr="00680B27">
        <w:rPr>
          <w:rFonts w:eastAsia="Calibri" w:cs="Arial"/>
        </w:rPr>
        <w:t xml:space="preserve">resolution rate for COVID-19 related complaints (16%) compared </w:t>
      </w:r>
      <w:r>
        <w:rPr>
          <w:rFonts w:eastAsia="Calibri" w:cs="Arial"/>
        </w:rPr>
        <w:t>with</w:t>
      </w:r>
      <w:r w:rsidRPr="00680B27">
        <w:rPr>
          <w:rFonts w:eastAsia="Calibri" w:cs="Arial"/>
        </w:rPr>
        <w:t xml:space="preserve"> the overall resolution rate for complaints (36%).</w:t>
      </w:r>
      <w:r>
        <w:rPr>
          <w:rFonts w:eastAsia="Calibri" w:cs="Arial"/>
        </w:rPr>
        <w:t xml:space="preserve"> The Commission’s complaints team reported that many of the COVID-related complaints in the financial year related to vaccination mandates that applied to public servants, and these matters were particularly unlikely to resolve pending the outcome of a Supreme Court decision about the lawfulness of the mandate in certain circumstances. </w:t>
      </w:r>
    </w:p>
    <w:p w14:paraId="2F0B69BC" w14:textId="77777777" w:rsidR="00950F2B" w:rsidRPr="00950F2B" w:rsidRDefault="00950F2B" w:rsidP="00950F2B">
      <w:pPr>
        <w:pStyle w:val="Heading2"/>
        <w:rPr>
          <w:color w:val="E66A37"/>
        </w:rPr>
      </w:pPr>
      <w:bookmarkStart w:id="757" w:name="_Toc148086980"/>
      <w:r w:rsidRPr="25DCDBA1">
        <w:rPr>
          <w:color w:val="E66A37"/>
        </w:rPr>
        <w:t>Demographic information for finalised complaints</w:t>
      </w:r>
      <w:bookmarkEnd w:id="753"/>
      <w:bookmarkEnd w:id="754"/>
      <w:bookmarkEnd w:id="755"/>
      <w:bookmarkEnd w:id="756"/>
      <w:bookmarkEnd w:id="757"/>
    </w:p>
    <w:p w14:paraId="63E40B37" w14:textId="39C3D9D5" w:rsidR="00950F2B" w:rsidRPr="008A00EB" w:rsidRDefault="00950F2B" w:rsidP="00950F2B">
      <w:r w:rsidRPr="008A00EB">
        <w:t>The information in this section breaks down complaints by the complainant’s country of birth, sex, and age</w:t>
      </w:r>
      <w:r>
        <w:t>,</w:t>
      </w:r>
      <w:r w:rsidRPr="008A00EB">
        <w:t xml:space="preserve"> based on information provided to the Commission. Demographic data </w:t>
      </w:r>
      <w:r w:rsidR="004B3197">
        <w:t>was</w:t>
      </w:r>
      <w:r w:rsidRPr="008A00EB">
        <w:t xml:space="preserve"> not </w:t>
      </w:r>
      <w:r w:rsidR="004B3197">
        <w:t>available</w:t>
      </w:r>
      <w:r w:rsidRPr="008A00EB">
        <w:t xml:space="preserve"> for every complaint</w:t>
      </w:r>
      <w:r w:rsidR="00BA7284">
        <w:t>,</w:t>
      </w:r>
      <w:r w:rsidR="12D2E9B2">
        <w:t xml:space="preserve"> but the information captured demonstrate</w:t>
      </w:r>
      <w:r w:rsidR="0011091F">
        <w:t>s</w:t>
      </w:r>
      <w:r w:rsidR="12D2E9B2">
        <w:t xml:space="preserve"> general trends</w:t>
      </w:r>
      <w:r>
        <w:t>.</w:t>
      </w:r>
      <w:r w:rsidRPr="008A00EB">
        <w:t xml:space="preserve"> The demographic information in this section </w:t>
      </w:r>
      <w:r w:rsidR="00AD42FB">
        <w:t>covers people</w:t>
      </w:r>
      <w:r w:rsidRPr="008A00EB">
        <w:t xml:space="preserve"> who made </w:t>
      </w:r>
      <w:r>
        <w:t>piggy-back</w:t>
      </w:r>
      <w:r w:rsidRPr="008A00EB">
        <w:t xml:space="preserve"> complaints as well </w:t>
      </w:r>
      <w:r w:rsidR="00AD42FB">
        <w:t>people</w:t>
      </w:r>
      <w:r>
        <w:t xml:space="preserve"> who made</w:t>
      </w:r>
      <w:r w:rsidRPr="008A00EB">
        <w:t xml:space="preserve"> human rights only complaints.</w:t>
      </w:r>
    </w:p>
    <w:p w14:paraId="521D5257" w14:textId="638B769D" w:rsidR="00415DC9" w:rsidRPr="008A00EB" w:rsidRDefault="00950F2B" w:rsidP="00415DC9">
      <w:r w:rsidRPr="008A00EB">
        <w:t xml:space="preserve">Most of the complainants </w:t>
      </w:r>
      <w:r>
        <w:t xml:space="preserve">living </w:t>
      </w:r>
      <w:r w:rsidRPr="008A00EB">
        <w:t xml:space="preserve">in Queensland were from the </w:t>
      </w:r>
      <w:r>
        <w:t>south</w:t>
      </w:r>
      <w:r w:rsidR="00CB48DA">
        <w:t>-</w:t>
      </w:r>
      <w:r>
        <w:t>east</w:t>
      </w:r>
      <w:r w:rsidRPr="008A00EB">
        <w:t xml:space="preserve"> </w:t>
      </w:r>
      <w:r w:rsidR="00AD42FB">
        <w:t>corner</w:t>
      </w:r>
      <w:r>
        <w:t xml:space="preserve">, </w:t>
      </w:r>
      <w:r w:rsidR="006C0E81">
        <w:t xml:space="preserve">and </w:t>
      </w:r>
      <w:r w:rsidR="00151F70">
        <w:t>some</w:t>
      </w:r>
      <w:r>
        <w:t xml:space="preserve"> </w:t>
      </w:r>
      <w:r w:rsidR="00151F70">
        <w:t>from smaller</w:t>
      </w:r>
      <w:r>
        <w:t xml:space="preserve"> regional </w:t>
      </w:r>
      <w:r w:rsidR="00B731B3">
        <w:t>coastal</w:t>
      </w:r>
      <w:r w:rsidR="00F33A72">
        <w:t xml:space="preserve"> areas</w:t>
      </w:r>
      <w:r>
        <w:t xml:space="preserve">. Few complaints were received from people living in </w:t>
      </w:r>
      <w:r w:rsidR="005D5780">
        <w:t xml:space="preserve">rural or </w:t>
      </w:r>
      <w:r>
        <w:t>remote areas.</w:t>
      </w:r>
      <w:r w:rsidR="7E6F665D">
        <w:t xml:space="preserve"> </w:t>
      </w:r>
    </w:p>
    <w:p w14:paraId="312462FE" w14:textId="3BCFDF9D" w:rsidR="00415DC9" w:rsidRPr="008A00EB" w:rsidRDefault="00415DC9" w:rsidP="00415DC9">
      <w:r w:rsidRPr="008A00EB">
        <w:t>Of the finalised complaints</w:t>
      </w:r>
      <w:r>
        <w:t>,</w:t>
      </w:r>
      <w:r w:rsidRPr="008A00EB">
        <w:t xml:space="preserve"> </w:t>
      </w:r>
      <w:r w:rsidR="001B38CA">
        <w:t>58</w:t>
      </w:r>
      <w:r w:rsidR="00AF3E25">
        <w:t>% were from female complainants</w:t>
      </w:r>
      <w:r w:rsidR="001B38CA">
        <w:t>,</w:t>
      </w:r>
      <w:r w:rsidR="00AF3E25">
        <w:t xml:space="preserve"> </w:t>
      </w:r>
      <w:r w:rsidR="004926F6">
        <w:t>40</w:t>
      </w:r>
      <w:r w:rsidR="00AF3E25">
        <w:t>% were from male complainants</w:t>
      </w:r>
      <w:r w:rsidR="001B38CA">
        <w:t xml:space="preserve">, and 2% from </w:t>
      </w:r>
      <w:r w:rsidR="00D9099E">
        <w:t>people with a gender other than male or female</w:t>
      </w:r>
      <w:r w:rsidR="00AF3E25">
        <w:t>.</w:t>
      </w:r>
    </w:p>
    <w:p w14:paraId="5BF686F5" w14:textId="6635E647" w:rsidR="00415DC9" w:rsidRPr="008A00EB" w:rsidRDefault="00415DC9" w:rsidP="00415DC9">
      <w:r w:rsidRPr="008A00EB">
        <w:t xml:space="preserve">Around </w:t>
      </w:r>
      <w:r w:rsidR="00DF6C4C">
        <w:t>76</w:t>
      </w:r>
      <w:r w:rsidRPr="008A00EB">
        <w:t>% of compl</w:t>
      </w:r>
      <w:r>
        <w:t xml:space="preserve">ainants were born in Australia, and </w:t>
      </w:r>
      <w:r w:rsidR="00995F2F">
        <w:t>24</w:t>
      </w:r>
      <w:r>
        <w:t>% were born overseas.</w:t>
      </w:r>
      <w:r w:rsidR="00BB4253">
        <w:t xml:space="preserve"> </w:t>
      </w:r>
      <w:r w:rsidR="00E44F68" w:rsidRPr="00E44F68">
        <w:t>Complainants with a primary language other than English accounted for 6%.</w:t>
      </w:r>
      <w:r w:rsidR="00E44F68">
        <w:t xml:space="preserve"> </w:t>
      </w:r>
      <w:r w:rsidR="00BB4253">
        <w:t xml:space="preserve">This was a similar result </w:t>
      </w:r>
      <w:r w:rsidR="00AF3569">
        <w:t xml:space="preserve">to </w:t>
      </w:r>
      <w:r w:rsidR="00BB4253">
        <w:t>last year.</w:t>
      </w:r>
    </w:p>
    <w:p w14:paraId="766F5FDE" w14:textId="46E50994" w:rsidR="00415DC9" w:rsidRDefault="00415DC9" w:rsidP="00415DC9">
      <w:r w:rsidRPr="008A00EB">
        <w:t>Most complainants were in the</w:t>
      </w:r>
      <w:r>
        <w:t xml:space="preserve"> </w:t>
      </w:r>
      <w:r w:rsidR="005005D5">
        <w:t xml:space="preserve">age </w:t>
      </w:r>
      <w:r w:rsidRPr="008A00EB">
        <w:t>bracket</w:t>
      </w:r>
      <w:r>
        <w:t>s</w:t>
      </w:r>
      <w:r w:rsidRPr="008A00EB">
        <w:t xml:space="preserve"> of 35 to 44 </w:t>
      </w:r>
      <w:r>
        <w:t xml:space="preserve">years </w:t>
      </w:r>
      <w:r w:rsidRPr="008A00EB">
        <w:t>(</w:t>
      </w:r>
      <w:r w:rsidR="00FC7C78">
        <w:t>30.5</w:t>
      </w:r>
      <w:r w:rsidRPr="008A00EB">
        <w:t>%)</w:t>
      </w:r>
      <w:r w:rsidR="00676FB6">
        <w:t xml:space="preserve"> </w:t>
      </w:r>
      <w:r>
        <w:t>and</w:t>
      </w:r>
      <w:r w:rsidRPr="008A00EB">
        <w:t xml:space="preserve"> 45 to 54 </w:t>
      </w:r>
      <w:r>
        <w:t xml:space="preserve">years </w:t>
      </w:r>
      <w:r w:rsidRPr="008A00EB">
        <w:t>(</w:t>
      </w:r>
      <w:r w:rsidR="00471EF9">
        <w:t>25.9</w:t>
      </w:r>
      <w:r w:rsidRPr="008A00EB">
        <w:t>%)</w:t>
      </w:r>
      <w:r>
        <w:t>.</w:t>
      </w:r>
    </w:p>
    <w:p w14:paraId="742BC409" w14:textId="6D4451F2" w:rsidR="0065756F" w:rsidRDefault="0065756F" w:rsidP="0065756F">
      <w:pPr>
        <w:pStyle w:val="Caption"/>
      </w:pPr>
      <w:r>
        <w:t>Figure 1</w:t>
      </w:r>
      <w:r w:rsidR="00B132DB">
        <w:t>1</w:t>
      </w:r>
      <w:r>
        <w:t xml:space="preserve">: Finalised complaints by complainant age, </w:t>
      </w:r>
      <w:r w:rsidR="007D27F7">
        <w:t>2022-23</w:t>
      </w:r>
    </w:p>
    <w:p w14:paraId="1056D9E8" w14:textId="454AEC05" w:rsidR="009305EC" w:rsidRPr="009305EC" w:rsidRDefault="004E0AC8" w:rsidP="009305EC">
      <w:r>
        <w:rPr>
          <w:noProof/>
        </w:rPr>
        <w:drawing>
          <wp:inline distT="0" distB="0" distL="0" distR="0" wp14:anchorId="664D46BE" wp14:editId="5DA5C908">
            <wp:extent cx="4831090" cy="2401829"/>
            <wp:effectExtent l="0" t="0" r="7620" b="0"/>
            <wp:docPr id="45" name="Picture 45" descr="Donut chart showing the age brackets of people whose human rights complaints were dealt with by the Commission in 2022-23, where the complainant provided demographic information. &#10;&#10;2 complaints were from or on behalf of people aged under 15. 2 were from 15-19 year olds, 9 from 20-24 year olds, 49 from 25-34 year olds, 96 from 35-44 year olds, 107 from 45-54 year olds, 52 from 55-64 year olds, and 25 from people aged over 6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Donut chart showing the age brackets of people whose human rights complaints were dealt with by the Commission in 2022-23, where the complainant provided demographic information. &#10;&#10;2 complaints were from or on behalf of people aged under 15. 2 were from 15-19 year olds, 9 from 20-24 year olds, 49 from 25-34 year olds, 96 from 35-44 year olds, 107 from 45-54 year olds, 52 from 55-64 year olds, and 25 from people aged over 65. "/>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831090" cy="2401829"/>
                    </a:xfrm>
                    <a:prstGeom prst="rect">
                      <a:avLst/>
                    </a:prstGeom>
                  </pic:spPr>
                </pic:pic>
              </a:graphicData>
            </a:graphic>
          </wp:inline>
        </w:drawing>
      </w:r>
    </w:p>
    <w:p w14:paraId="79E7060E" w14:textId="3C1E14AB" w:rsidR="00CF3E58" w:rsidRPr="00CF3E58" w:rsidRDefault="00CF3E58" w:rsidP="00CF3E58"/>
    <w:p w14:paraId="7B33A376" w14:textId="71568B69" w:rsidR="530B3268" w:rsidRDefault="00F1173C">
      <w:r>
        <w:t xml:space="preserve">The Commission </w:t>
      </w:r>
      <w:r w:rsidR="006A7D8F">
        <w:t>finalised</w:t>
      </w:r>
      <w:r>
        <w:t xml:space="preserve"> </w:t>
      </w:r>
      <w:r w:rsidR="004C6DCD">
        <w:t>49</w:t>
      </w:r>
      <w:r w:rsidR="004F78AB">
        <w:t xml:space="preserve"> complaints from people who </w:t>
      </w:r>
      <w:r w:rsidR="00DD57B3">
        <w:t>were Aboriginal or Torres Strait Islander</w:t>
      </w:r>
      <w:r w:rsidR="00987C00">
        <w:t xml:space="preserve">, </w:t>
      </w:r>
      <w:r w:rsidR="00DF55F8">
        <w:t xml:space="preserve">around double the number of the previous year. Of First Nations complainants this year, </w:t>
      </w:r>
      <w:r w:rsidR="00571E0C">
        <w:t>38</w:t>
      </w:r>
      <w:r w:rsidR="009113F3">
        <w:t xml:space="preserve"> </w:t>
      </w:r>
      <w:r w:rsidR="007F43E5">
        <w:t>identified as</w:t>
      </w:r>
      <w:r w:rsidR="00DD57B3">
        <w:t xml:space="preserve"> of Aboriginal descent</w:t>
      </w:r>
      <w:r w:rsidR="006321E5">
        <w:t xml:space="preserve">, </w:t>
      </w:r>
      <w:r w:rsidR="007F43E5">
        <w:t>one identified as</w:t>
      </w:r>
      <w:r w:rsidR="00035C8D">
        <w:t xml:space="preserve"> Torr</w:t>
      </w:r>
      <w:r w:rsidR="006321E5">
        <w:t>es Strait Islander,</w:t>
      </w:r>
      <w:r w:rsidR="00DD57B3">
        <w:t xml:space="preserve"> and </w:t>
      </w:r>
      <w:r w:rsidR="00035C8D">
        <w:t>10</w:t>
      </w:r>
      <w:r w:rsidR="00DD57B3">
        <w:t xml:space="preserve"> </w:t>
      </w:r>
      <w:r w:rsidR="00C87BC0">
        <w:t>identified</w:t>
      </w:r>
      <w:r w:rsidR="004D7F2C">
        <w:t xml:space="preserve"> as</w:t>
      </w:r>
      <w:r w:rsidR="006321E5">
        <w:t xml:space="preserve"> </w:t>
      </w:r>
      <w:r w:rsidR="00B85CB6">
        <w:t xml:space="preserve">both </w:t>
      </w:r>
      <w:r w:rsidR="006321E5">
        <w:t>Aboriginal</w:t>
      </w:r>
      <w:r w:rsidR="00B85CB6">
        <w:t xml:space="preserve"> and Torres Strait Islander</w:t>
      </w:r>
      <w:r w:rsidR="009D58CC">
        <w:t>.</w:t>
      </w:r>
      <w:r w:rsidR="007B381E">
        <w:t xml:space="preserve"> </w:t>
      </w:r>
    </w:p>
    <w:p w14:paraId="46FB4247" w14:textId="1FC17051" w:rsidR="00B54C59" w:rsidRPr="00776B24" w:rsidRDefault="00F208BC" w:rsidP="00C8616F">
      <w:pPr>
        <w:pStyle w:val="Heading2"/>
        <w:rPr>
          <w:color w:val="E66A37"/>
        </w:rPr>
      </w:pPr>
      <w:bookmarkStart w:id="758" w:name="_Toc56452200"/>
      <w:bookmarkStart w:id="759" w:name="_Toc84593935"/>
      <w:bookmarkStart w:id="760" w:name="_Toc85451810"/>
      <w:bookmarkStart w:id="761" w:name="_Toc85526741"/>
      <w:bookmarkStart w:id="762" w:name="_Toc85787156"/>
      <w:bookmarkStart w:id="763" w:name="_Toc2085525363"/>
      <w:bookmarkStart w:id="764" w:name="_Toc117697209"/>
      <w:bookmarkStart w:id="765" w:name="_Toc117697916"/>
      <w:bookmarkStart w:id="766" w:name="_Toc147757355"/>
      <w:bookmarkStart w:id="767" w:name="_Toc148086981"/>
      <w:r w:rsidRPr="25DCDBA1">
        <w:rPr>
          <w:color w:val="E66A37"/>
        </w:rPr>
        <w:t>Dispute resolution process: conciliation and early intervention</w:t>
      </w:r>
      <w:bookmarkEnd w:id="758"/>
      <w:bookmarkEnd w:id="759"/>
      <w:bookmarkEnd w:id="760"/>
      <w:bookmarkEnd w:id="761"/>
      <w:bookmarkEnd w:id="762"/>
      <w:bookmarkEnd w:id="763"/>
      <w:bookmarkEnd w:id="764"/>
      <w:bookmarkEnd w:id="765"/>
      <w:bookmarkEnd w:id="766"/>
      <w:bookmarkEnd w:id="767"/>
    </w:p>
    <w:p w14:paraId="254E46B5" w14:textId="74A56510" w:rsidR="00B54C59" w:rsidRDefault="00E83166" w:rsidP="00B54C59">
      <w:r>
        <w:t>T</w:t>
      </w:r>
      <w:r w:rsidR="00B54C59" w:rsidRPr="009B4A3C">
        <w:t xml:space="preserve">he Human Rights Act </w:t>
      </w:r>
      <w:r w:rsidR="00A44E32">
        <w:t>offers</w:t>
      </w:r>
      <w:r w:rsidR="00A44E32" w:rsidRPr="008A00EB">
        <w:t xml:space="preserve"> </w:t>
      </w:r>
      <w:r w:rsidR="00B54C59" w:rsidRPr="008A00EB">
        <w:t>a flexible approach to complaint handling</w:t>
      </w:r>
      <w:r w:rsidR="001710A9">
        <w:t xml:space="preserve"> </w:t>
      </w:r>
      <w:r w:rsidR="00E304D7">
        <w:t>and i</w:t>
      </w:r>
      <w:r w:rsidR="00F334E2">
        <w:t>n past years we reported that</w:t>
      </w:r>
      <w:r w:rsidR="00B54C59">
        <w:t xml:space="preserve"> e</w:t>
      </w:r>
      <w:r w:rsidR="00B54C59" w:rsidRPr="008A00EB">
        <w:t xml:space="preserve">arly interventions </w:t>
      </w:r>
      <w:r w:rsidR="00F334E2">
        <w:t>had</w:t>
      </w:r>
      <w:r w:rsidR="00A44E32">
        <w:t xml:space="preserve"> </w:t>
      </w:r>
      <w:r w:rsidR="00B54C59">
        <w:t xml:space="preserve">replaced </w:t>
      </w:r>
      <w:r w:rsidR="00B54C59" w:rsidRPr="008A00EB">
        <w:t>conciliation conferences</w:t>
      </w:r>
      <w:r w:rsidR="00F334E2">
        <w:t xml:space="preserve"> on many occasions</w:t>
      </w:r>
      <w:r w:rsidR="00060254">
        <w:t>, but</w:t>
      </w:r>
      <w:r w:rsidR="00F334E2" w:rsidDel="00060254">
        <w:t xml:space="preserve"> </w:t>
      </w:r>
      <w:r>
        <w:t xml:space="preserve">in the </w:t>
      </w:r>
      <w:r w:rsidR="00060254">
        <w:t xml:space="preserve">current </w:t>
      </w:r>
      <w:r>
        <w:t>reporting period</w:t>
      </w:r>
      <w:r w:rsidR="00F334E2">
        <w:t xml:space="preserve"> early intervention was used </w:t>
      </w:r>
      <w:r w:rsidR="003C2EAB">
        <w:t xml:space="preserve">much </w:t>
      </w:r>
      <w:r w:rsidR="00E304D7">
        <w:t>less often</w:t>
      </w:r>
      <w:r w:rsidR="00424363">
        <w:t>,</w:t>
      </w:r>
      <w:r w:rsidR="00F334E2">
        <w:t xml:space="preserve"> due to a shift in the type and nature of complaints brought to the Commission</w:t>
      </w:r>
      <w:r w:rsidR="00B54C59">
        <w:t>.</w:t>
      </w:r>
    </w:p>
    <w:p w14:paraId="2D847B8C" w14:textId="173678FA" w:rsidR="00F334E2" w:rsidRDefault="00191DE0" w:rsidP="00B54C59">
      <w:r>
        <w:t>In previous years, t</w:t>
      </w:r>
      <w:r w:rsidR="00F334E2">
        <w:t>he complaints team found that</w:t>
      </w:r>
      <w:r w:rsidR="00BD46D3">
        <w:t xml:space="preserve"> early intervention was </w:t>
      </w:r>
      <w:r w:rsidR="0010092B">
        <w:t>an</w:t>
      </w:r>
      <w:r w:rsidR="00BD46D3">
        <w:t xml:space="preserve"> effective process to quickly resolve matters involving hotel quarantine and </w:t>
      </w:r>
      <w:r w:rsidR="0010092B">
        <w:t xml:space="preserve">mandatory use of masks during COVID-19. However, the team found that </w:t>
      </w:r>
      <w:r w:rsidR="00251A4A">
        <w:t>early intervention</w:t>
      </w:r>
      <w:r w:rsidR="0010092B">
        <w:t xml:space="preserve"> was </w:t>
      </w:r>
      <w:r>
        <w:t>not</w:t>
      </w:r>
      <w:r w:rsidR="0010092B">
        <w:t xml:space="preserve"> suitable for </w:t>
      </w:r>
      <w:r w:rsidR="00251A4A">
        <w:t xml:space="preserve">the </w:t>
      </w:r>
      <w:r w:rsidR="0010092B">
        <w:t>more complex and intractable complaints that arose in the la</w:t>
      </w:r>
      <w:r w:rsidR="00060254">
        <w:t>t</w:t>
      </w:r>
      <w:r w:rsidR="0010092B">
        <w:t xml:space="preserve">ter part of </w:t>
      </w:r>
      <w:r w:rsidR="00F77A0C">
        <w:t xml:space="preserve">the </w:t>
      </w:r>
      <w:r w:rsidR="0010092B">
        <w:t>COVID-19 pandemic</w:t>
      </w:r>
      <w:r w:rsidR="00251A4A">
        <w:t>, such as those</w:t>
      </w:r>
      <w:r w:rsidR="0010092B">
        <w:t xml:space="preserve"> involving vaccination</w:t>
      </w:r>
      <w:r w:rsidR="00820374">
        <w:t xml:space="preserve"> mandates.</w:t>
      </w:r>
    </w:p>
    <w:p w14:paraId="7024D5D9" w14:textId="79088A98" w:rsidR="00776B24" w:rsidRPr="008A00EB" w:rsidRDefault="00B54C59" w:rsidP="00B54C59">
      <w:r>
        <w:t xml:space="preserve">In the reporting period, </w:t>
      </w:r>
      <w:r w:rsidR="00D167ED">
        <w:t>57</w:t>
      </w:r>
      <w:r w:rsidR="00776B24" w:rsidRPr="008A00EB">
        <w:t xml:space="preserve"> complaints were resolved and finalised</w:t>
      </w:r>
      <w:r w:rsidR="00A71953">
        <w:t xml:space="preserve"> by the Commission</w:t>
      </w:r>
      <w:r w:rsidR="00776B24" w:rsidRPr="008A00EB">
        <w:t>, comprising:</w:t>
      </w:r>
    </w:p>
    <w:p w14:paraId="502CD7A6" w14:textId="3EC1AC6D" w:rsidR="00776B24" w:rsidRPr="008A00EB" w:rsidRDefault="0001603B" w:rsidP="00B15E96">
      <w:pPr>
        <w:pStyle w:val="Listparagraph-bulleted"/>
      </w:pPr>
      <w:r>
        <w:t>22</w:t>
      </w:r>
      <w:r w:rsidR="00776B24">
        <w:t xml:space="preserve"> human rights only complaints </w:t>
      </w:r>
    </w:p>
    <w:p w14:paraId="6359D1D8" w14:textId="0C9BF4EC" w:rsidR="00776B24" w:rsidRDefault="0001603B" w:rsidP="00B15E96">
      <w:pPr>
        <w:pStyle w:val="Listparagraph-bulleted"/>
      </w:pPr>
      <w:r>
        <w:t>35</w:t>
      </w:r>
      <w:r w:rsidR="00776B24">
        <w:t xml:space="preserve"> piggy-back complaints.</w:t>
      </w:r>
    </w:p>
    <w:p w14:paraId="3DB833A7" w14:textId="43C643A6" w:rsidR="2B517062" w:rsidRPr="00321EC8" w:rsidRDefault="00F84874" w:rsidP="000A22B1">
      <w:r>
        <w:t xml:space="preserve">Of these, </w:t>
      </w:r>
      <w:r w:rsidR="002868FA">
        <w:t>one</w:t>
      </w:r>
      <w:r>
        <w:t xml:space="preserve"> of the human rights only complaints w</w:t>
      </w:r>
      <w:r w:rsidR="003647A2">
        <w:t>as</w:t>
      </w:r>
      <w:r>
        <w:t xml:space="preserve"> resolved through early intervention</w:t>
      </w:r>
      <w:r w:rsidR="00D22508">
        <w:t xml:space="preserve"> (</w:t>
      </w:r>
      <w:r w:rsidR="00086C25">
        <w:t>4</w:t>
      </w:r>
      <w:r w:rsidR="00D22508">
        <w:t xml:space="preserve">% of the human rights only matters resolved), and </w:t>
      </w:r>
      <w:r w:rsidR="009B5572">
        <w:t>5</w:t>
      </w:r>
      <w:r w:rsidR="00D22508">
        <w:t xml:space="preserve"> </w:t>
      </w:r>
      <w:r w:rsidR="00827097">
        <w:t xml:space="preserve">piggy-back complaints </w:t>
      </w:r>
      <w:r w:rsidR="00D22508">
        <w:t xml:space="preserve">were resolved by </w:t>
      </w:r>
      <w:r w:rsidR="00827097">
        <w:t xml:space="preserve">early intervention (approximately </w:t>
      </w:r>
      <w:r w:rsidR="00086C25">
        <w:t>14</w:t>
      </w:r>
      <w:r w:rsidR="00827097">
        <w:t>% of the piggy-back complaints).</w:t>
      </w:r>
    </w:p>
    <w:tbl>
      <w:tblPr>
        <w:tblW w:w="0" w:type="dxa"/>
        <w:tblCellMar>
          <w:top w:w="15" w:type="dxa"/>
          <w:left w:w="15" w:type="dxa"/>
          <w:bottom w:w="15" w:type="dxa"/>
          <w:right w:w="15" w:type="dxa"/>
        </w:tblCellMar>
        <w:tblLook w:val="04A0" w:firstRow="1" w:lastRow="0" w:firstColumn="1" w:lastColumn="0" w:noHBand="0" w:noVBand="1"/>
      </w:tblPr>
      <w:tblGrid>
        <w:gridCol w:w="6"/>
      </w:tblGrid>
      <w:tr w:rsidR="002512A7" w14:paraId="71136652" w14:textId="77777777" w:rsidTr="002512A7">
        <w:tc>
          <w:tcPr>
            <w:tcW w:w="0" w:type="auto"/>
            <w:shd w:val="clear" w:color="auto" w:fill="auto"/>
            <w:tcMar>
              <w:top w:w="0" w:type="dxa"/>
              <w:left w:w="0" w:type="dxa"/>
              <w:bottom w:w="0" w:type="dxa"/>
              <w:right w:w="0" w:type="dxa"/>
            </w:tcMar>
            <w:vAlign w:val="center"/>
            <w:hideMark/>
          </w:tcPr>
          <w:p w14:paraId="0DC59C8C" w14:textId="23AC99C2" w:rsidR="002512A7" w:rsidRDefault="002512A7" w:rsidP="00047EFA">
            <w:pPr>
              <w:pStyle w:val="Caption"/>
            </w:pPr>
          </w:p>
        </w:tc>
      </w:tr>
    </w:tbl>
    <w:p w14:paraId="0B815800" w14:textId="46645655" w:rsidR="0065552E" w:rsidRPr="006E242A" w:rsidRDefault="0065552E" w:rsidP="0065552E">
      <w:pPr>
        <w:pStyle w:val="Heading2"/>
        <w:rPr>
          <w:color w:val="E66A37"/>
        </w:rPr>
      </w:pPr>
      <w:bookmarkStart w:id="768" w:name="_Toc527859634"/>
      <w:bookmarkStart w:id="769" w:name="_Toc117697210"/>
      <w:bookmarkStart w:id="770" w:name="_Toc117697917"/>
      <w:bookmarkStart w:id="771" w:name="_Toc147757356"/>
      <w:bookmarkStart w:id="772" w:name="_Toc148086982"/>
      <w:r w:rsidRPr="006E242A">
        <w:rPr>
          <w:color w:val="E66A37"/>
        </w:rPr>
        <w:t>Corporations carrying out public functions</w:t>
      </w:r>
      <w:bookmarkEnd w:id="768"/>
      <w:bookmarkEnd w:id="769"/>
      <w:bookmarkEnd w:id="770"/>
      <w:bookmarkEnd w:id="771"/>
      <w:bookmarkEnd w:id="772"/>
    </w:p>
    <w:p w14:paraId="7C19C194" w14:textId="1A05D865" w:rsidR="0065552E" w:rsidRDefault="0065552E" w:rsidP="0065552E">
      <w:r w:rsidRPr="008A00EB">
        <w:t xml:space="preserve">In the </w:t>
      </w:r>
      <w:r w:rsidR="00037ADD">
        <w:t>c</w:t>
      </w:r>
      <w:r>
        <w:t>ommittee</w:t>
      </w:r>
      <w:r w:rsidRPr="008A00EB">
        <w:t xml:space="preserve"> report on the Human Rights Bill in 2018, the Legal Affairs and Community Safety </w:t>
      </w:r>
      <w:r>
        <w:t>Committee</w:t>
      </w:r>
      <w:r w:rsidRPr="008A00EB">
        <w:t xml:space="preserve"> commented that it would be beneficial for the Commission to monitor complaints </w:t>
      </w:r>
      <w:r w:rsidR="00A12A75">
        <w:t>made</w:t>
      </w:r>
      <w:r w:rsidRPr="008A00EB">
        <w:t xml:space="preserve"> against private corporations undertaking public functions </w:t>
      </w:r>
      <w:r w:rsidR="002007BC">
        <w:t>given the</w:t>
      </w:r>
      <w:r w:rsidRPr="008A00EB">
        <w:t xml:space="preserve"> concerns raised that the definition of public entity </w:t>
      </w:r>
      <w:r w:rsidR="00F9277A">
        <w:t>in</w:t>
      </w:r>
      <w:r w:rsidRPr="008A00EB">
        <w:t xml:space="preserve"> section 9 </w:t>
      </w:r>
      <w:r w:rsidR="00F9277A">
        <w:t xml:space="preserve">of the Human Rights Act </w:t>
      </w:r>
      <w:r w:rsidRPr="008A00EB">
        <w:t xml:space="preserve">may create uncertainty </w:t>
      </w:r>
      <w:r w:rsidR="002D5D0A">
        <w:t>about</w:t>
      </w:r>
      <w:r w:rsidRPr="008A00EB">
        <w:t xml:space="preserve"> which entities may be captured.</w:t>
      </w:r>
      <w:r w:rsidRPr="004E5C79">
        <w:rPr>
          <w:vertAlign w:val="superscript"/>
        </w:rPr>
        <w:footnoteReference w:id="112"/>
      </w:r>
      <w:r w:rsidRPr="004E5C79">
        <w:rPr>
          <w:vertAlign w:val="superscript"/>
        </w:rPr>
        <w:t xml:space="preserve"> </w:t>
      </w:r>
    </w:p>
    <w:p w14:paraId="1EBF477C" w14:textId="32255FF3" w:rsidR="0065552E" w:rsidRDefault="0065552E" w:rsidP="0065552E">
      <w:r>
        <w:t xml:space="preserve">Of the accepted and finalised human rights complaints, </w:t>
      </w:r>
      <w:r w:rsidR="00D76A18">
        <w:t>we</w:t>
      </w:r>
      <w:r>
        <w:t xml:space="preserve"> identified </w:t>
      </w:r>
      <w:r w:rsidR="00B96879">
        <w:t>7</w:t>
      </w:r>
      <w:r w:rsidR="002D5D0A">
        <w:t xml:space="preserve"> </w:t>
      </w:r>
      <w:r>
        <w:t>in which a corporation was named as a respondent. They were:</w:t>
      </w:r>
    </w:p>
    <w:p w14:paraId="1D5F5E7C" w14:textId="41853DB8" w:rsidR="00E9648E" w:rsidRDefault="00E9648E" w:rsidP="00E9648E">
      <w:pPr>
        <w:pStyle w:val="Listparagraph-bulleted"/>
      </w:pPr>
      <w:r>
        <w:t>A recruitment agency working for a government department</w:t>
      </w:r>
    </w:p>
    <w:p w14:paraId="4CD47D1D" w14:textId="4DB2A80B" w:rsidR="00E9648E" w:rsidRDefault="40EF9EBB" w:rsidP="00E9648E">
      <w:pPr>
        <w:pStyle w:val="Listparagraph-bulleted"/>
      </w:pPr>
      <w:r>
        <w:t>An e</w:t>
      </w:r>
      <w:r w:rsidR="00E9648E">
        <w:t>mployee superannuation company</w:t>
      </w:r>
    </w:p>
    <w:p w14:paraId="65FDB318" w14:textId="11A0F634" w:rsidR="00E9648E" w:rsidRDefault="00973BEA" w:rsidP="00E9648E">
      <w:pPr>
        <w:pStyle w:val="Listparagraph-bulleted"/>
      </w:pPr>
      <w:r>
        <w:t>Three</w:t>
      </w:r>
      <w:r w:rsidR="00863EA8">
        <w:t xml:space="preserve"> National Disability Insurance </w:t>
      </w:r>
      <w:r w:rsidR="008C038B">
        <w:t>Scheme (NDIS) service</w:t>
      </w:r>
      <w:r w:rsidR="00863EA8">
        <w:t xml:space="preserve"> provider</w:t>
      </w:r>
      <w:r w:rsidR="00365E81">
        <w:t>s</w:t>
      </w:r>
    </w:p>
    <w:p w14:paraId="17944755" w14:textId="0F3442D8" w:rsidR="00863EA8" w:rsidRDefault="0076747A" w:rsidP="00E9648E">
      <w:pPr>
        <w:pStyle w:val="Listparagraph-bulleted"/>
      </w:pPr>
      <w:r>
        <w:t>Two</w:t>
      </w:r>
      <w:r w:rsidR="00E774F7">
        <w:t xml:space="preserve"> hotel</w:t>
      </w:r>
      <w:r>
        <w:t>s</w:t>
      </w:r>
      <w:r w:rsidR="00E774F7">
        <w:t xml:space="preserve"> used for quarantine during COVID-19</w:t>
      </w:r>
      <w:r w:rsidR="004A3E52">
        <w:t>.</w:t>
      </w:r>
    </w:p>
    <w:p w14:paraId="00A8333D" w14:textId="419BACEA" w:rsidR="00B1233B" w:rsidRPr="006E242A" w:rsidRDefault="00B1233B" w:rsidP="004735FB">
      <w:pPr>
        <w:pStyle w:val="Heading1"/>
        <w:rPr>
          <w:color w:val="E66A37"/>
        </w:rPr>
      </w:pPr>
      <w:bookmarkStart w:id="773" w:name="_Toc84593939"/>
      <w:bookmarkStart w:id="774" w:name="_Toc85451814"/>
      <w:bookmarkStart w:id="775" w:name="_Toc85526745"/>
      <w:bookmarkStart w:id="776" w:name="_Toc85787160"/>
      <w:bookmarkStart w:id="777" w:name="_Toc471847667"/>
      <w:bookmarkStart w:id="778" w:name="_Toc117697212"/>
      <w:bookmarkStart w:id="779" w:name="_Toc147757359"/>
      <w:bookmarkStart w:id="780" w:name="_Toc148086984"/>
      <w:r w:rsidRPr="006E242A">
        <w:rPr>
          <w:color w:val="E66A37"/>
        </w:rPr>
        <w:t>Resolved complaint case studies</w:t>
      </w:r>
      <w:bookmarkEnd w:id="773"/>
      <w:bookmarkEnd w:id="774"/>
      <w:bookmarkEnd w:id="775"/>
      <w:bookmarkEnd w:id="776"/>
      <w:bookmarkEnd w:id="777"/>
      <w:bookmarkEnd w:id="778"/>
      <w:bookmarkEnd w:id="779"/>
      <w:bookmarkEnd w:id="780"/>
    </w:p>
    <w:p w14:paraId="30D2D518" w14:textId="490ABA97" w:rsidR="00617CE3" w:rsidRDefault="00484FBC" w:rsidP="00484FBC">
      <w:r w:rsidRPr="008A00EB">
        <w:t xml:space="preserve">The following case studies are a selection of resolved outcomes of complaints </w:t>
      </w:r>
      <w:r>
        <w:t>finalised</w:t>
      </w:r>
      <w:r w:rsidRPr="008A00EB">
        <w:t xml:space="preserve"> in the financial year </w:t>
      </w:r>
      <w:r>
        <w:t>2022</w:t>
      </w:r>
      <w:r w:rsidR="009A01B9">
        <w:t>-</w:t>
      </w:r>
      <w:r w:rsidDel="00655F71">
        <w:t>2</w:t>
      </w:r>
      <w:r w:rsidR="00655F71">
        <w:t>3</w:t>
      </w:r>
      <w:r w:rsidR="008F1728">
        <w:t>.</w:t>
      </w:r>
    </w:p>
    <w:p w14:paraId="336405E2" w14:textId="77777777" w:rsidR="00516F4A" w:rsidRPr="008C3CCC" w:rsidRDefault="00516F4A" w:rsidP="008C3CCC">
      <w:pPr>
        <w:pStyle w:val="Heading2"/>
        <w:rPr>
          <w:color w:val="E66A37"/>
          <w:sz w:val="32"/>
          <w:szCs w:val="32"/>
        </w:rPr>
      </w:pPr>
      <w:bookmarkStart w:id="781" w:name="_Toc147757361"/>
      <w:bookmarkStart w:id="782" w:name="_Toc148086985"/>
      <w:r w:rsidRPr="008C3CCC">
        <w:rPr>
          <w:color w:val="E66A37"/>
          <w:sz w:val="32"/>
          <w:szCs w:val="32"/>
        </w:rPr>
        <w:t>Aboriginal prisoner released from solitary confinement</w:t>
      </w:r>
      <w:bookmarkEnd w:id="781"/>
      <w:bookmarkEnd w:id="782"/>
    </w:p>
    <w:p w14:paraId="1F428A24" w14:textId="5B6A65A0" w:rsidR="00516F4A" w:rsidRPr="00B37094" w:rsidRDefault="00516F4A" w:rsidP="00516F4A">
      <w:pPr>
        <w:rPr>
          <w:lang w:val="en-GB"/>
        </w:rPr>
      </w:pPr>
      <w:r w:rsidRPr="00B37094">
        <w:rPr>
          <w:lang w:val="en-GB"/>
        </w:rPr>
        <w:t xml:space="preserve">The Commission received a complaint from an Aboriginal man </w:t>
      </w:r>
      <w:r w:rsidR="002709BF">
        <w:rPr>
          <w:lang w:val="en-GB"/>
        </w:rPr>
        <w:t xml:space="preserve">in prison </w:t>
      </w:r>
      <w:r w:rsidRPr="00B37094">
        <w:rPr>
          <w:lang w:val="en-GB"/>
        </w:rPr>
        <w:t xml:space="preserve">who was </w:t>
      </w:r>
      <w:r w:rsidR="002709BF">
        <w:rPr>
          <w:lang w:val="en-GB"/>
        </w:rPr>
        <w:t xml:space="preserve">being </w:t>
      </w:r>
      <w:r w:rsidRPr="00B37094">
        <w:rPr>
          <w:lang w:val="en-GB"/>
        </w:rPr>
        <w:t>held in isolation while on a Safety Order</w:t>
      </w:r>
      <w:r w:rsidR="00140BF4">
        <w:rPr>
          <w:lang w:val="en-GB"/>
        </w:rPr>
        <w:t xml:space="preserve">. </w:t>
      </w:r>
      <w:r w:rsidRPr="00B37094">
        <w:rPr>
          <w:lang w:val="en-GB"/>
        </w:rPr>
        <w:t>The Safety Order</w:t>
      </w:r>
      <w:r w:rsidR="00EF05C3">
        <w:rPr>
          <w:lang w:val="en-GB"/>
        </w:rPr>
        <w:t>, which had been in place for 5 weeks</w:t>
      </w:r>
      <w:r w:rsidR="00C46FCF">
        <w:rPr>
          <w:lang w:val="en-GB"/>
        </w:rPr>
        <w:t xml:space="preserve"> at the time of the complaint</w:t>
      </w:r>
      <w:r w:rsidR="00EF05C3">
        <w:rPr>
          <w:lang w:val="en-GB"/>
        </w:rPr>
        <w:t>,</w:t>
      </w:r>
      <w:r w:rsidRPr="00B37094">
        <w:rPr>
          <w:lang w:val="en-GB"/>
        </w:rPr>
        <w:t xml:space="preserve"> required him to be provided with a medical examination as soon as practicable after the order was made and at intervals of no more than 7 days thereafter for the duration of the order, and for a daily review by a prison health nurse. However, the prisoner indicated that while he had received a brief visit from a nurse, he had not been provided with </w:t>
      </w:r>
      <w:r>
        <w:rPr>
          <w:lang w:val="en-GB"/>
        </w:rPr>
        <w:t>regular</w:t>
      </w:r>
      <w:r w:rsidRPr="00B37094">
        <w:rPr>
          <w:lang w:val="en-GB"/>
        </w:rPr>
        <w:t xml:space="preserve"> medical examination</w:t>
      </w:r>
      <w:r>
        <w:rPr>
          <w:lang w:val="en-GB"/>
        </w:rPr>
        <w:t>s</w:t>
      </w:r>
      <w:r w:rsidRPr="00B37094">
        <w:rPr>
          <w:lang w:val="en-GB"/>
        </w:rPr>
        <w:t xml:space="preserve"> by a nurse or doctor. </w:t>
      </w:r>
    </w:p>
    <w:p w14:paraId="56BA5527" w14:textId="2257799B" w:rsidR="00516F4A" w:rsidRPr="00B37094" w:rsidRDefault="00516F4A" w:rsidP="00516F4A">
      <w:pPr>
        <w:rPr>
          <w:lang w:val="en-GB"/>
        </w:rPr>
      </w:pPr>
      <w:r w:rsidRPr="00B37094">
        <w:rPr>
          <w:lang w:val="en-GB"/>
        </w:rPr>
        <w:t xml:space="preserve">Since being remanded in prison he said that he had not been provided with his usual medications for his </w:t>
      </w:r>
      <w:r w:rsidR="00C26B45" w:rsidRPr="005907CE">
        <w:rPr>
          <w:lang w:val="en-GB"/>
        </w:rPr>
        <w:t xml:space="preserve">attention deficit hyperactivity disorder </w:t>
      </w:r>
      <w:r w:rsidRPr="00B37094">
        <w:rPr>
          <w:lang w:val="en-GB"/>
        </w:rPr>
        <w:t>and depression. His mental health had significantly deteriorated as a result of his solitary confinement, which was exacerbated by not receiving the daily check-ups under the Safety Order. He also allege</w:t>
      </w:r>
      <w:r w:rsidR="00DF1F1D">
        <w:rPr>
          <w:lang w:val="en-GB"/>
        </w:rPr>
        <w:t>d</w:t>
      </w:r>
      <w:r w:rsidRPr="00B37094">
        <w:rPr>
          <w:lang w:val="en-GB"/>
        </w:rPr>
        <w:t xml:space="preserve"> that </w:t>
      </w:r>
      <w:r w:rsidR="00735E4D">
        <w:rPr>
          <w:lang w:val="en-GB"/>
        </w:rPr>
        <w:t>while held in isolation</w:t>
      </w:r>
      <w:r w:rsidRPr="00B37094">
        <w:rPr>
          <w:lang w:val="en-GB"/>
        </w:rPr>
        <w:t xml:space="preserve">, there were several occasions where he was not receiving his two hours outside his cell and that </w:t>
      </w:r>
      <w:r>
        <w:rPr>
          <w:lang w:val="en-GB"/>
        </w:rPr>
        <w:t>his time out</w:t>
      </w:r>
      <w:r w:rsidR="00404F08">
        <w:rPr>
          <w:lang w:val="en-GB"/>
        </w:rPr>
        <w:t>-</w:t>
      </w:r>
      <w:r>
        <w:rPr>
          <w:lang w:val="en-GB"/>
        </w:rPr>
        <w:t>of</w:t>
      </w:r>
      <w:r w:rsidR="00404F08">
        <w:rPr>
          <w:lang w:val="en-GB"/>
        </w:rPr>
        <w:t>-</w:t>
      </w:r>
      <w:r>
        <w:rPr>
          <w:lang w:val="en-GB"/>
        </w:rPr>
        <w:t xml:space="preserve">cell </w:t>
      </w:r>
      <w:r w:rsidRPr="00B37094">
        <w:rPr>
          <w:lang w:val="en-GB"/>
        </w:rPr>
        <w:t xml:space="preserve">was </w:t>
      </w:r>
      <w:r>
        <w:rPr>
          <w:lang w:val="en-GB"/>
        </w:rPr>
        <w:t>the</w:t>
      </w:r>
      <w:r w:rsidRPr="00B37094">
        <w:rPr>
          <w:lang w:val="en-GB"/>
        </w:rPr>
        <w:t xml:space="preserve"> only opportunity to use the phone and contact his family.</w:t>
      </w:r>
    </w:p>
    <w:p w14:paraId="4CDE338D" w14:textId="45455E97" w:rsidR="00516F4A" w:rsidRPr="00B37094" w:rsidRDefault="00516F4A" w:rsidP="001C5D7C">
      <w:pPr>
        <w:rPr>
          <w:rFonts w:ascii="Calibri" w:hAnsi="Calibri" w:cs="Cordia New"/>
        </w:rPr>
      </w:pPr>
      <w:r w:rsidRPr="00B37094">
        <w:rPr>
          <w:lang w:val="en-GB"/>
        </w:rPr>
        <w:t xml:space="preserve">The Commission dealt with the complaint urgently and as a result, it </w:t>
      </w:r>
      <w:r w:rsidRPr="00B37094">
        <w:rPr>
          <w:color w:val="000000"/>
        </w:rPr>
        <w:t xml:space="preserve">was resolved prior to the parties </w:t>
      </w:r>
      <w:r w:rsidR="00623908">
        <w:rPr>
          <w:color w:val="000000"/>
        </w:rPr>
        <w:t xml:space="preserve">attending </w:t>
      </w:r>
      <w:r w:rsidRPr="00B37094">
        <w:rPr>
          <w:color w:val="000000"/>
        </w:rPr>
        <w:t xml:space="preserve">a conciliation conference. The complainant advised the Commission that that he was no longer in isolation and his mental health had improved. </w:t>
      </w:r>
    </w:p>
    <w:p w14:paraId="036C885C" w14:textId="77777777" w:rsidR="00516F4A" w:rsidRPr="00B37094" w:rsidRDefault="00516F4A" w:rsidP="005A0B74">
      <w:pPr>
        <w:ind w:left="2880" w:hanging="2880"/>
        <w:rPr>
          <w:rFonts w:eastAsia="Calibri" w:cs="Arial"/>
          <w:sz w:val="22"/>
          <w:lang w:val="en-GB"/>
        </w:rPr>
      </w:pPr>
      <w:r w:rsidRPr="00B37094">
        <w:rPr>
          <w:lang w:val="en-GB"/>
        </w:rPr>
        <w:t>Relevant rights:</w:t>
      </w:r>
      <w:r w:rsidRPr="00B37094">
        <w:rPr>
          <w:rFonts w:eastAsia="Calibri" w:cs="Arial"/>
          <w:sz w:val="22"/>
          <w:lang w:val="en-GB"/>
        </w:rPr>
        <w:t xml:space="preserve"> </w:t>
      </w:r>
      <w:r w:rsidRPr="00B37094">
        <w:rPr>
          <w:rFonts w:eastAsia="Calibri" w:cs="Arial"/>
          <w:sz w:val="22"/>
          <w:lang w:val="en-GB"/>
        </w:rPr>
        <w:tab/>
      </w:r>
      <w:r w:rsidRPr="00B37094">
        <w:rPr>
          <w:lang w:val="en-GB"/>
        </w:rPr>
        <w:t>Protection from torture &amp; cruel, inhuman or degrading treatment (section 17), freedom of association (section 22), cultural rights – Aboriginal peoples and Torres Strait Islanders (section 28), protection of families and children (section 26), right to liberty and security of person (section 29), humane treatment when deprived of liberty (section 30) and right to health services (section 37).</w:t>
      </w:r>
    </w:p>
    <w:p w14:paraId="75B7E69E" w14:textId="77777777" w:rsidR="00516F4A" w:rsidRPr="00B37094" w:rsidRDefault="00516F4A" w:rsidP="00516F4A">
      <w:pPr>
        <w:spacing w:after="160" w:line="259" w:lineRule="auto"/>
        <w:ind w:right="0"/>
        <w:rPr>
          <w:lang w:val="en-GB"/>
        </w:rPr>
      </w:pPr>
      <w:r w:rsidRPr="00B37094">
        <w:rPr>
          <w:lang w:val="en-GB"/>
        </w:rPr>
        <w:t>Complaint type:</w:t>
      </w:r>
      <w:r w:rsidRPr="00B37094">
        <w:rPr>
          <w:rFonts w:eastAsia="Calibri" w:cs="Arial"/>
          <w:sz w:val="22"/>
          <w:lang w:val="en-GB"/>
        </w:rPr>
        <w:t xml:space="preserve"> </w:t>
      </w:r>
      <w:r w:rsidRPr="00B37094">
        <w:rPr>
          <w:rFonts w:eastAsia="Calibri" w:cs="Arial"/>
          <w:sz w:val="22"/>
          <w:lang w:val="en-GB"/>
        </w:rPr>
        <w:tab/>
      </w:r>
      <w:r w:rsidRPr="00B37094">
        <w:rPr>
          <w:rFonts w:eastAsia="Calibri" w:cs="Arial"/>
          <w:sz w:val="22"/>
          <w:lang w:val="en-GB"/>
        </w:rPr>
        <w:tab/>
      </w:r>
      <w:r w:rsidRPr="00B37094">
        <w:rPr>
          <w:lang w:val="en-GB"/>
        </w:rPr>
        <w:t>Human rights only</w:t>
      </w:r>
    </w:p>
    <w:p w14:paraId="4C63948F" w14:textId="1F1BC68E" w:rsidR="00516F4A" w:rsidRPr="00DE76B3" w:rsidRDefault="00516F4A" w:rsidP="00DE76B3">
      <w:pPr>
        <w:spacing w:after="160" w:line="259" w:lineRule="auto"/>
        <w:ind w:right="0"/>
        <w:rPr>
          <w:rFonts w:eastAsia="Calibri" w:cs="Arial"/>
          <w:sz w:val="22"/>
          <w:lang w:val="en-GB"/>
        </w:rPr>
      </w:pPr>
      <w:r w:rsidRPr="00B37094">
        <w:rPr>
          <w:lang w:val="en-GB"/>
        </w:rPr>
        <w:t xml:space="preserve">Dispute resolution mode: </w:t>
      </w:r>
      <w:r w:rsidRPr="00B37094">
        <w:rPr>
          <w:rFonts w:eastAsia="Calibri" w:cs="Arial"/>
          <w:sz w:val="22"/>
          <w:lang w:val="en-GB"/>
        </w:rPr>
        <w:tab/>
      </w:r>
      <w:r w:rsidRPr="00B37094">
        <w:rPr>
          <w:lang w:val="en-GB"/>
        </w:rPr>
        <w:t xml:space="preserve">Early </w:t>
      </w:r>
      <w:r>
        <w:rPr>
          <w:lang w:val="en-GB"/>
        </w:rPr>
        <w:t>i</w:t>
      </w:r>
      <w:r w:rsidRPr="00B37094">
        <w:rPr>
          <w:lang w:val="en-GB"/>
        </w:rPr>
        <w:t>ntervention</w:t>
      </w:r>
    </w:p>
    <w:p w14:paraId="0DF23476" w14:textId="6E0F6C8C" w:rsidR="00E60C8B" w:rsidRDefault="00E60C8B" w:rsidP="00E60C8B">
      <w:pPr>
        <w:pStyle w:val="Heading2"/>
        <w:rPr>
          <w:color w:val="E66A37"/>
          <w:sz w:val="32"/>
          <w:szCs w:val="32"/>
        </w:rPr>
      </w:pPr>
      <w:bookmarkStart w:id="783" w:name="_Toc148086986"/>
      <w:bookmarkStart w:id="784" w:name="_Toc147757362"/>
      <w:r w:rsidRPr="003F36AF">
        <w:rPr>
          <w:color w:val="E66A37"/>
          <w:sz w:val="32"/>
          <w:szCs w:val="32"/>
        </w:rPr>
        <w:t xml:space="preserve">Student </w:t>
      </w:r>
      <w:r>
        <w:rPr>
          <w:color w:val="E66A37"/>
          <w:sz w:val="32"/>
          <w:szCs w:val="32"/>
        </w:rPr>
        <w:t>with a disability provided equipment by school to continue at-home learning</w:t>
      </w:r>
      <w:bookmarkEnd w:id="783"/>
    </w:p>
    <w:p w14:paraId="1FD34931" w14:textId="77777777" w:rsidR="00E60C8B" w:rsidRDefault="00E60C8B" w:rsidP="00E60C8B">
      <w:r>
        <w:t xml:space="preserve">A high school student on the autism spectrum found it challenging to transition back to in-person learning after remote learning due to COVID-19 restrictions. Based on medical advice, she requested to continue with her at-home learning and a reduced study load. </w:t>
      </w:r>
    </w:p>
    <w:p w14:paraId="07ABAABB" w14:textId="1352F1EF" w:rsidR="00E60C8B" w:rsidRDefault="00E60C8B" w:rsidP="00E60C8B">
      <w:r>
        <w:t xml:space="preserve">While the principal of the school </w:t>
      </w:r>
      <w:r w:rsidR="00D80ABA">
        <w:t>presented</w:t>
      </w:r>
      <w:r>
        <w:t xml:space="preserve"> several options</w:t>
      </w:r>
      <w:r w:rsidR="00D80ABA">
        <w:t xml:space="preserve"> to </w:t>
      </w:r>
      <w:r w:rsidR="00BD1E46">
        <w:t>transition her back to school</w:t>
      </w:r>
      <w:r>
        <w:t xml:space="preserve">, </w:t>
      </w:r>
      <w:r w:rsidR="00CB4B92">
        <w:t>the student</w:t>
      </w:r>
      <w:r>
        <w:t xml:space="preserve"> considered that none of them met her particular needs and that the school had not been adhering to her current support plan. In conciliation, the school expressed that they considered the steps taken to provide adjustments to the student were reasonable. </w:t>
      </w:r>
    </w:p>
    <w:p w14:paraId="5FC177D0" w14:textId="0FA05D1F" w:rsidR="00E60C8B" w:rsidRDefault="00E60C8B" w:rsidP="00E60C8B">
      <w:r>
        <w:t xml:space="preserve">The parties attended a conciliation conference and came to an agreement that the school would provide the student with computer equipment (a laptop and headset) as well as a letter of regret. The school agreed to post the student </w:t>
      </w:r>
      <w:r w:rsidR="002C385D">
        <w:t xml:space="preserve">the </w:t>
      </w:r>
      <w:r>
        <w:t>new equipment that would allow her to complete her studies at home.</w:t>
      </w:r>
    </w:p>
    <w:p w14:paraId="1C1E4307" w14:textId="01110045" w:rsidR="00E60C8B" w:rsidRDefault="00E60C8B" w:rsidP="001E6518">
      <w:pPr>
        <w:ind w:left="2880" w:hanging="2880"/>
      </w:pPr>
      <w:r>
        <w:t xml:space="preserve">Relevant rights: </w:t>
      </w:r>
      <w:r>
        <w:tab/>
        <w:t>Recognition and equality before the law (section 15), protection of families and children (section 26) and right to education (section 36)</w:t>
      </w:r>
    </w:p>
    <w:p w14:paraId="4FFE1C90" w14:textId="77777777" w:rsidR="00E60C8B" w:rsidRDefault="00E60C8B" w:rsidP="00E60C8B">
      <w:r>
        <w:t xml:space="preserve">Complaint type: </w:t>
      </w:r>
      <w:r>
        <w:tab/>
      </w:r>
      <w:r>
        <w:tab/>
        <w:t xml:space="preserve">Piggy-back </w:t>
      </w:r>
    </w:p>
    <w:p w14:paraId="629AA2EB" w14:textId="7A33DE3A" w:rsidR="00E60C8B" w:rsidRDefault="00E60C8B" w:rsidP="00E60C8B">
      <w:r>
        <w:t>Attribute:</w:t>
      </w:r>
      <w:r w:rsidR="00E865C3">
        <w:t xml:space="preserve">  </w:t>
      </w:r>
      <w:r>
        <w:tab/>
      </w:r>
      <w:r>
        <w:tab/>
      </w:r>
      <w:r>
        <w:tab/>
        <w:t xml:space="preserve">Impairment </w:t>
      </w:r>
    </w:p>
    <w:p w14:paraId="6168ECB5" w14:textId="77777777" w:rsidR="00E60C8B" w:rsidRDefault="00E60C8B" w:rsidP="00E60C8B">
      <w:r>
        <w:t xml:space="preserve">Dispute resolution mode: </w:t>
      </w:r>
      <w:r>
        <w:tab/>
        <w:t>Conciliation conference</w:t>
      </w:r>
    </w:p>
    <w:p w14:paraId="1C3A8CC9" w14:textId="6FA65E15" w:rsidR="00840405" w:rsidRPr="006E242A" w:rsidRDefault="00464598" w:rsidP="000D7D41">
      <w:pPr>
        <w:pStyle w:val="Heading2"/>
        <w:rPr>
          <w:color w:val="E66A37"/>
        </w:rPr>
      </w:pPr>
      <w:bookmarkStart w:id="785" w:name="_Toc148086987"/>
      <w:r>
        <w:rPr>
          <w:color w:val="E66A37"/>
          <w:sz w:val="32"/>
          <w:szCs w:val="32"/>
        </w:rPr>
        <w:t>Complaint results in medical</w:t>
      </w:r>
      <w:r w:rsidR="00837541">
        <w:rPr>
          <w:color w:val="E66A37"/>
          <w:sz w:val="32"/>
          <w:szCs w:val="32"/>
        </w:rPr>
        <w:t xml:space="preserve"> review </w:t>
      </w:r>
      <w:r>
        <w:rPr>
          <w:color w:val="E66A37"/>
          <w:sz w:val="32"/>
          <w:szCs w:val="32"/>
        </w:rPr>
        <w:t>for a prisoner experiencing pain</w:t>
      </w:r>
      <w:bookmarkEnd w:id="784"/>
      <w:bookmarkEnd w:id="785"/>
    </w:p>
    <w:p w14:paraId="7FF4339F" w14:textId="684E1091" w:rsidR="00D82FC0" w:rsidRDefault="009C265B" w:rsidP="00D82FC0">
      <w:pPr>
        <w:rPr>
          <w:rFonts w:cs="Arial"/>
        </w:rPr>
      </w:pPr>
      <w:r>
        <w:rPr>
          <w:rFonts w:cs="Arial"/>
        </w:rPr>
        <w:t>Prior to being</w:t>
      </w:r>
      <w:r w:rsidR="00D82FC0">
        <w:rPr>
          <w:rFonts w:cs="Arial"/>
        </w:rPr>
        <w:t xml:space="preserve"> incarcerated, a prisoner had been prescribed </w:t>
      </w:r>
      <w:r w:rsidR="001E6518">
        <w:rPr>
          <w:rFonts w:cs="Arial"/>
        </w:rPr>
        <w:t xml:space="preserve">pain </w:t>
      </w:r>
      <w:r w:rsidR="00D82FC0">
        <w:rPr>
          <w:rFonts w:cs="Arial"/>
        </w:rPr>
        <w:t>medication and spinal supports through the National Disability Insurance Scheme</w:t>
      </w:r>
      <w:r w:rsidR="00565467">
        <w:rPr>
          <w:rFonts w:cs="Arial"/>
        </w:rPr>
        <w:t xml:space="preserve"> </w:t>
      </w:r>
      <w:r w:rsidR="00D82FC0">
        <w:rPr>
          <w:rFonts w:cs="Arial"/>
        </w:rPr>
        <w:t>(NDIS)</w:t>
      </w:r>
      <w:r w:rsidR="00D82FC0" w:rsidRPr="05F63CBF">
        <w:rPr>
          <w:rFonts w:cs="Arial"/>
        </w:rPr>
        <w:t>.</w:t>
      </w:r>
      <w:r w:rsidR="00D82FC0">
        <w:rPr>
          <w:rFonts w:cs="Arial"/>
        </w:rPr>
        <w:t xml:space="preserve"> The prisoner complained that on entering prison he was refused his prescribed medication, was not given a suitable substitute</w:t>
      </w:r>
      <w:r w:rsidR="001E6518">
        <w:rPr>
          <w:rFonts w:cs="Arial"/>
        </w:rPr>
        <w:t>,</w:t>
      </w:r>
      <w:r w:rsidR="00D82FC0">
        <w:rPr>
          <w:rFonts w:cs="Arial"/>
        </w:rPr>
        <w:t xml:space="preserve"> and was experiencing significant pain.</w:t>
      </w:r>
    </w:p>
    <w:p w14:paraId="566D54D2" w14:textId="6F47BADD" w:rsidR="00D82FC0" w:rsidRDefault="00C41A0F" w:rsidP="00D82FC0">
      <w:pPr>
        <w:rPr>
          <w:rFonts w:cs="Arial"/>
        </w:rPr>
      </w:pPr>
      <w:r>
        <w:rPr>
          <w:rFonts w:cs="Arial"/>
        </w:rPr>
        <w:t>T</w:t>
      </w:r>
      <w:r w:rsidR="00D82FC0">
        <w:rPr>
          <w:rFonts w:cs="Arial"/>
        </w:rPr>
        <w:t xml:space="preserve">he prisoner and the prison health service resolved the complaint through a conciliation conference in which it was agreed that a medical review would take place to </w:t>
      </w:r>
      <w:r w:rsidR="008E49B6">
        <w:rPr>
          <w:rFonts w:cs="Arial"/>
        </w:rPr>
        <w:t>improve the prisoner’s pain management.</w:t>
      </w:r>
      <w:r w:rsidR="00D82FC0">
        <w:rPr>
          <w:rFonts w:cs="Arial"/>
        </w:rPr>
        <w:t xml:space="preserve"> This included a review of the suitability of his current medication, further scans, consideration of whether the prisoner needed a back brace and a special mattress, and a referral to a physiotherapist.</w:t>
      </w:r>
    </w:p>
    <w:p w14:paraId="3B5BD215" w14:textId="77777777" w:rsidR="00D82FC0" w:rsidRDefault="00D82FC0" w:rsidP="00D82FC0">
      <w:pPr>
        <w:ind w:left="2880" w:hanging="2880"/>
        <w:rPr>
          <w:rFonts w:cs="Arial"/>
        </w:rPr>
      </w:pPr>
      <w:r w:rsidRPr="002D36AE">
        <w:rPr>
          <w:rFonts w:cs="Arial"/>
        </w:rPr>
        <w:t xml:space="preserve">Relevant rights: </w:t>
      </w:r>
      <w:r w:rsidRPr="002D36AE">
        <w:rPr>
          <w:rFonts w:cs="Arial"/>
        </w:rPr>
        <w:tab/>
      </w:r>
      <w:r w:rsidRPr="00116760">
        <w:rPr>
          <w:rFonts w:cs="Arial"/>
        </w:rPr>
        <w:t xml:space="preserve">Right to health services (section 37), recognition and equality before the law (section 15), protection from torture &amp; cruel, inhuman or degrading treatment (section 17) and humane treatment when deprived of liberty (section 30). </w:t>
      </w:r>
    </w:p>
    <w:p w14:paraId="4C9748A5" w14:textId="77777777" w:rsidR="00D82FC0" w:rsidRPr="002D36AE" w:rsidRDefault="00D82FC0" w:rsidP="00D82FC0">
      <w:pPr>
        <w:ind w:left="2880" w:hanging="2880"/>
        <w:rPr>
          <w:rFonts w:cs="Arial"/>
        </w:rPr>
      </w:pPr>
      <w:r w:rsidRPr="002D36AE">
        <w:rPr>
          <w:rFonts w:cs="Arial"/>
        </w:rPr>
        <w:t xml:space="preserve">Complaint type: </w:t>
      </w:r>
      <w:r w:rsidRPr="002D36AE">
        <w:rPr>
          <w:rFonts w:cs="Arial"/>
        </w:rPr>
        <w:tab/>
      </w:r>
      <w:r>
        <w:rPr>
          <w:rFonts w:cs="Arial"/>
        </w:rPr>
        <w:t>Human rights only</w:t>
      </w:r>
      <w:r w:rsidRPr="002D36AE">
        <w:rPr>
          <w:rFonts w:cs="Arial"/>
        </w:rPr>
        <w:tab/>
      </w:r>
      <w:r w:rsidRPr="002D36AE">
        <w:rPr>
          <w:rFonts w:cs="Arial"/>
        </w:rPr>
        <w:tab/>
      </w:r>
      <w:r w:rsidRPr="002D36AE">
        <w:rPr>
          <w:rFonts w:cs="Arial"/>
        </w:rPr>
        <w:tab/>
      </w:r>
    </w:p>
    <w:p w14:paraId="1400DB92" w14:textId="62CAB3B0" w:rsidR="00D82FC0" w:rsidRDefault="00D82FC0" w:rsidP="00D82FC0">
      <w:r w:rsidRPr="002D36AE">
        <w:rPr>
          <w:rFonts w:cs="Arial"/>
        </w:rPr>
        <w:t xml:space="preserve">Dispute resolution mode: </w:t>
      </w:r>
      <w:r w:rsidRPr="002D36AE">
        <w:rPr>
          <w:rFonts w:cs="Arial"/>
        </w:rPr>
        <w:tab/>
      </w:r>
      <w:r>
        <w:rPr>
          <w:rFonts w:cs="Arial"/>
        </w:rPr>
        <w:t>Conciliation conference</w:t>
      </w:r>
    </w:p>
    <w:p w14:paraId="23A5E614" w14:textId="2390216B" w:rsidR="00840405" w:rsidRPr="006E242A" w:rsidRDefault="004F4E74" w:rsidP="00AE4740">
      <w:pPr>
        <w:pStyle w:val="Heading2"/>
        <w:ind w:right="926"/>
        <w:rPr>
          <w:color w:val="E66A37"/>
        </w:rPr>
      </w:pPr>
      <w:bookmarkStart w:id="786" w:name="_Toc147757363"/>
      <w:bookmarkStart w:id="787" w:name="_Toc148086988"/>
      <w:r>
        <w:rPr>
          <w:color w:val="E66A37"/>
        </w:rPr>
        <w:t>Housing provider agrees to modify property for mother with a disability</w:t>
      </w:r>
      <w:bookmarkEnd w:id="786"/>
      <w:bookmarkEnd w:id="787"/>
    </w:p>
    <w:p w14:paraId="5DDCE46C" w14:textId="191AC9B5" w:rsidR="00367574" w:rsidRPr="00367574" w:rsidRDefault="00367574" w:rsidP="00FA7FFA">
      <w:pPr>
        <w:rPr>
          <w:lang w:val="en-GB"/>
        </w:rPr>
      </w:pPr>
      <w:r w:rsidRPr="00367574">
        <w:rPr>
          <w:lang w:val="en-GB"/>
        </w:rPr>
        <w:t xml:space="preserve">A complaint was made by a </w:t>
      </w:r>
      <w:r>
        <w:rPr>
          <w:lang w:val="en-GB"/>
        </w:rPr>
        <w:t>woman</w:t>
      </w:r>
      <w:r w:rsidRPr="00367574">
        <w:rPr>
          <w:lang w:val="en-GB"/>
        </w:rPr>
        <w:t xml:space="preserve"> </w:t>
      </w:r>
      <w:r w:rsidR="003E76E7">
        <w:rPr>
          <w:lang w:val="en-GB"/>
        </w:rPr>
        <w:t xml:space="preserve">with a disability </w:t>
      </w:r>
      <w:r w:rsidRPr="00367574">
        <w:rPr>
          <w:lang w:val="en-GB"/>
        </w:rPr>
        <w:t xml:space="preserve">who resides with her child in public housing. After the complainant’s </w:t>
      </w:r>
      <w:r w:rsidR="004C2F1B">
        <w:rPr>
          <w:lang w:val="en-GB"/>
        </w:rPr>
        <w:t>condition worsened</w:t>
      </w:r>
      <w:r w:rsidR="004C2F1B" w:rsidRPr="00367574">
        <w:rPr>
          <w:lang w:val="en-GB"/>
        </w:rPr>
        <w:t>,</w:t>
      </w:r>
      <w:r w:rsidRPr="00367574">
        <w:rPr>
          <w:lang w:val="en-GB"/>
        </w:rPr>
        <w:t xml:space="preserve"> </w:t>
      </w:r>
      <w:r w:rsidR="003E76E7" w:rsidRPr="00367574">
        <w:rPr>
          <w:lang w:val="en-GB"/>
        </w:rPr>
        <w:t xml:space="preserve">she </w:t>
      </w:r>
      <w:r w:rsidR="003E76E7">
        <w:rPr>
          <w:lang w:val="en-GB"/>
        </w:rPr>
        <w:t xml:space="preserve">started to rely more frequently on </w:t>
      </w:r>
      <w:r w:rsidR="0009713D">
        <w:rPr>
          <w:lang w:val="en-GB"/>
        </w:rPr>
        <w:t>a</w:t>
      </w:r>
      <w:r w:rsidR="003E76E7">
        <w:rPr>
          <w:lang w:val="en-GB"/>
        </w:rPr>
        <w:t xml:space="preserve"> wheelchair</w:t>
      </w:r>
      <w:r w:rsidR="00FA7FFA">
        <w:rPr>
          <w:lang w:val="en-GB"/>
        </w:rPr>
        <w:t xml:space="preserve"> and</w:t>
      </w:r>
      <w:r>
        <w:rPr>
          <w:lang w:val="en-GB"/>
        </w:rPr>
        <w:t xml:space="preserve"> </w:t>
      </w:r>
      <w:r w:rsidRPr="00367574">
        <w:rPr>
          <w:lang w:val="en-GB"/>
        </w:rPr>
        <w:t>requested that her housing provider transfer her to a wheelchair accessible property</w:t>
      </w:r>
      <w:r w:rsidR="00FA7FFA">
        <w:rPr>
          <w:lang w:val="en-GB"/>
        </w:rPr>
        <w:t>. The</w:t>
      </w:r>
      <w:r>
        <w:rPr>
          <w:lang w:val="en-GB"/>
        </w:rPr>
        <w:t xml:space="preserve"> </w:t>
      </w:r>
      <w:r w:rsidRPr="00367574">
        <w:rPr>
          <w:lang w:val="en-GB"/>
        </w:rPr>
        <w:t>transfer request was support</w:t>
      </w:r>
      <w:r w:rsidR="00FA7FFA">
        <w:rPr>
          <w:lang w:val="en-GB"/>
        </w:rPr>
        <w:t>ed</w:t>
      </w:r>
      <w:r w:rsidRPr="00367574">
        <w:rPr>
          <w:lang w:val="en-GB"/>
        </w:rPr>
        <w:t xml:space="preserve"> by </w:t>
      </w:r>
      <w:r w:rsidR="00FA7FFA">
        <w:rPr>
          <w:lang w:val="en-GB"/>
        </w:rPr>
        <w:t>her</w:t>
      </w:r>
      <w:r w:rsidRPr="00367574">
        <w:rPr>
          <w:lang w:val="en-GB"/>
        </w:rPr>
        <w:t xml:space="preserve"> occupational therapist. </w:t>
      </w:r>
    </w:p>
    <w:p w14:paraId="7E33DB92" w14:textId="211C5CB5" w:rsidR="00367574" w:rsidRPr="00367574" w:rsidRDefault="003E76E7" w:rsidP="00FA7FFA">
      <w:pPr>
        <w:rPr>
          <w:rFonts w:eastAsia="Calibri"/>
          <w:lang w:val="en-GB"/>
        </w:rPr>
      </w:pPr>
      <w:r w:rsidRPr="00367574">
        <w:rPr>
          <w:lang w:val="en-GB"/>
        </w:rPr>
        <w:t>While</w:t>
      </w:r>
      <w:r w:rsidR="00367574" w:rsidRPr="00367574">
        <w:rPr>
          <w:lang w:val="en-GB"/>
        </w:rPr>
        <w:t xml:space="preserve"> waiting for a suitable property to move into, the complainant became aware that an accessible property in the area had been allocated to a family who did not require</w:t>
      </w:r>
      <w:r w:rsidRPr="00367574">
        <w:rPr>
          <w:lang w:val="en-GB"/>
        </w:rPr>
        <w:t xml:space="preserve"> </w:t>
      </w:r>
      <w:r>
        <w:rPr>
          <w:lang w:val="en-GB"/>
        </w:rPr>
        <w:t>a</w:t>
      </w:r>
      <w:r w:rsidR="00367574" w:rsidRPr="00367574">
        <w:rPr>
          <w:lang w:val="en-GB"/>
        </w:rPr>
        <w:t xml:space="preserve"> wheelchair </w:t>
      </w:r>
      <w:r>
        <w:rPr>
          <w:lang w:val="en-GB"/>
        </w:rPr>
        <w:t>accessible home</w:t>
      </w:r>
      <w:r w:rsidR="00367574" w:rsidRPr="00367574">
        <w:rPr>
          <w:lang w:val="en-GB"/>
        </w:rPr>
        <w:t>.</w:t>
      </w:r>
    </w:p>
    <w:p w14:paraId="267B762A" w14:textId="7621581D" w:rsidR="00367574" w:rsidRPr="00367574" w:rsidRDefault="00367574" w:rsidP="00FA7FFA">
      <w:pPr>
        <w:rPr>
          <w:rFonts w:eastAsia="Calibri"/>
          <w:lang w:val="en-GB"/>
        </w:rPr>
      </w:pPr>
      <w:r w:rsidRPr="00367574">
        <w:rPr>
          <w:rFonts w:eastAsia="Calibri"/>
          <w:lang w:val="en-GB"/>
        </w:rPr>
        <w:t xml:space="preserve">The parties attended conciliation and agreed that the housing provider would transfer the complainant to a suitable property </w:t>
      </w:r>
      <w:r w:rsidR="0049734A" w:rsidRPr="00367574">
        <w:rPr>
          <w:rFonts w:eastAsia="Calibri"/>
          <w:lang w:val="en-GB"/>
        </w:rPr>
        <w:t xml:space="preserve">as soon as </w:t>
      </w:r>
      <w:r w:rsidR="0049734A">
        <w:rPr>
          <w:rFonts w:eastAsia="Calibri"/>
          <w:lang w:val="en-GB"/>
        </w:rPr>
        <w:t>possible</w:t>
      </w:r>
      <w:r w:rsidRPr="00367574">
        <w:rPr>
          <w:rFonts w:eastAsia="Calibri"/>
          <w:lang w:val="en-GB"/>
        </w:rPr>
        <w:t>. In the meantime, the housing provide</w:t>
      </w:r>
      <w:r w:rsidR="00526597">
        <w:rPr>
          <w:rFonts w:eastAsia="Calibri"/>
          <w:lang w:val="en-GB"/>
        </w:rPr>
        <w:t>r</w:t>
      </w:r>
      <w:r w:rsidRPr="00367574">
        <w:rPr>
          <w:rFonts w:eastAsia="Calibri"/>
          <w:lang w:val="en-GB"/>
        </w:rPr>
        <w:t xml:space="preserve"> agreed to </w:t>
      </w:r>
      <w:r w:rsidR="00815FB2">
        <w:rPr>
          <w:rFonts w:eastAsia="Calibri"/>
          <w:lang w:val="en-GB"/>
        </w:rPr>
        <w:t>have</w:t>
      </w:r>
      <w:r>
        <w:rPr>
          <w:rFonts w:eastAsia="Calibri"/>
          <w:lang w:val="en-GB"/>
        </w:rPr>
        <w:t xml:space="preserve"> an </w:t>
      </w:r>
      <w:r w:rsidRPr="00367574">
        <w:rPr>
          <w:rFonts w:eastAsia="Calibri"/>
          <w:lang w:val="en-GB"/>
        </w:rPr>
        <w:t xml:space="preserve">occupational therapist </w:t>
      </w:r>
      <w:r w:rsidR="00815FB2">
        <w:rPr>
          <w:rFonts w:eastAsia="Calibri"/>
          <w:lang w:val="en-GB"/>
        </w:rPr>
        <w:t>attend</w:t>
      </w:r>
      <w:r w:rsidRPr="00367574">
        <w:rPr>
          <w:rFonts w:eastAsia="Calibri"/>
          <w:lang w:val="en-GB"/>
        </w:rPr>
        <w:t xml:space="preserve"> the complainant’s current property</w:t>
      </w:r>
      <w:r w:rsidR="00815FB2">
        <w:rPr>
          <w:rFonts w:eastAsia="Calibri"/>
          <w:lang w:val="en-GB"/>
        </w:rPr>
        <w:t>,</w:t>
      </w:r>
      <w:r w:rsidRPr="00367574">
        <w:rPr>
          <w:rFonts w:eastAsia="Calibri"/>
          <w:lang w:val="en-GB"/>
        </w:rPr>
        <w:t xml:space="preserve"> at the housing provider’s expense, to assist them in identifying appropriate modifications to make to the property. The housing provider agreed to make the necessary modifications to the current property as appropriate. </w:t>
      </w:r>
    </w:p>
    <w:p w14:paraId="1329D6B9" w14:textId="5F172505" w:rsidR="00FC35FB" w:rsidRPr="00FC35FB" w:rsidRDefault="00FC35FB" w:rsidP="00815FB2">
      <w:pPr>
        <w:ind w:left="2880" w:hanging="2880"/>
        <w:rPr>
          <w:rFonts w:eastAsia="Calibri"/>
          <w:sz w:val="22"/>
          <w:lang w:val="en-GB"/>
        </w:rPr>
      </w:pPr>
      <w:r w:rsidRPr="00FC35FB">
        <w:rPr>
          <w:lang w:val="en-GB"/>
        </w:rPr>
        <w:t>Relevant rights:</w:t>
      </w:r>
      <w:r w:rsidRPr="00FC35FB">
        <w:rPr>
          <w:rFonts w:eastAsia="Calibri"/>
          <w:sz w:val="22"/>
          <w:lang w:val="en-GB"/>
        </w:rPr>
        <w:t xml:space="preserve"> </w:t>
      </w:r>
      <w:r w:rsidRPr="00FC35FB">
        <w:rPr>
          <w:rFonts w:eastAsia="Calibri"/>
          <w:sz w:val="22"/>
          <w:lang w:val="en-GB"/>
        </w:rPr>
        <w:tab/>
      </w:r>
      <w:r w:rsidRPr="00FC35FB">
        <w:rPr>
          <w:lang w:val="en-GB"/>
        </w:rPr>
        <w:t>Recognition and equality before the law (section 15)</w:t>
      </w:r>
    </w:p>
    <w:p w14:paraId="471F3087" w14:textId="77777777" w:rsidR="00FC35FB" w:rsidRPr="00FC35FB" w:rsidRDefault="00FC35FB" w:rsidP="00FA7FFA">
      <w:pPr>
        <w:rPr>
          <w:lang w:val="en-GB"/>
        </w:rPr>
      </w:pPr>
      <w:r w:rsidRPr="00FC35FB">
        <w:rPr>
          <w:lang w:val="en-GB"/>
        </w:rPr>
        <w:t>Complaint type:</w:t>
      </w:r>
      <w:r w:rsidRPr="00FC35FB">
        <w:rPr>
          <w:rFonts w:eastAsia="Calibri"/>
          <w:sz w:val="22"/>
          <w:lang w:val="en-GB"/>
        </w:rPr>
        <w:t xml:space="preserve"> </w:t>
      </w:r>
      <w:r w:rsidRPr="00FC35FB">
        <w:rPr>
          <w:rFonts w:eastAsia="Calibri"/>
          <w:sz w:val="22"/>
          <w:lang w:val="en-GB"/>
        </w:rPr>
        <w:tab/>
      </w:r>
      <w:r w:rsidRPr="00FC35FB">
        <w:rPr>
          <w:rFonts w:eastAsia="Calibri"/>
          <w:sz w:val="22"/>
          <w:lang w:val="en-GB"/>
        </w:rPr>
        <w:tab/>
      </w:r>
      <w:r w:rsidRPr="00FC35FB">
        <w:rPr>
          <w:lang w:val="en-GB"/>
        </w:rPr>
        <w:t>Piggy-back complaint</w:t>
      </w:r>
    </w:p>
    <w:p w14:paraId="12958329" w14:textId="77777777" w:rsidR="00FC35FB" w:rsidRPr="00FC35FB" w:rsidRDefault="00FC35FB" w:rsidP="00FA7FFA">
      <w:pPr>
        <w:rPr>
          <w:lang w:val="en-GB"/>
        </w:rPr>
      </w:pPr>
      <w:r w:rsidRPr="00FC35FB">
        <w:rPr>
          <w:lang w:val="en-GB"/>
        </w:rPr>
        <w:t>Attribute:</w:t>
      </w:r>
      <w:r w:rsidRPr="00FC35FB">
        <w:rPr>
          <w:rFonts w:eastAsia="Calibri"/>
          <w:sz w:val="22"/>
          <w:lang w:val="en-GB"/>
        </w:rPr>
        <w:t xml:space="preserve"> </w:t>
      </w:r>
      <w:r w:rsidRPr="00FC35FB">
        <w:rPr>
          <w:rFonts w:eastAsia="Calibri"/>
          <w:sz w:val="22"/>
          <w:lang w:val="en-GB"/>
        </w:rPr>
        <w:tab/>
      </w:r>
      <w:r w:rsidRPr="00FC35FB">
        <w:rPr>
          <w:rFonts w:eastAsia="Calibri"/>
          <w:sz w:val="22"/>
          <w:lang w:val="en-GB"/>
        </w:rPr>
        <w:tab/>
      </w:r>
      <w:r w:rsidRPr="00FC35FB">
        <w:rPr>
          <w:rFonts w:eastAsia="Calibri"/>
          <w:sz w:val="22"/>
          <w:lang w:val="en-GB"/>
        </w:rPr>
        <w:tab/>
      </w:r>
      <w:r w:rsidRPr="00FC35FB">
        <w:rPr>
          <w:lang w:val="en-GB"/>
        </w:rPr>
        <w:t>Impairment</w:t>
      </w:r>
    </w:p>
    <w:p w14:paraId="0CD586C0" w14:textId="77777777" w:rsidR="00FC35FB" w:rsidRPr="00FC35FB" w:rsidRDefault="00FC35FB" w:rsidP="00FA7FFA">
      <w:pPr>
        <w:rPr>
          <w:lang w:val="en-GB"/>
        </w:rPr>
      </w:pPr>
      <w:r w:rsidRPr="00FC35FB">
        <w:rPr>
          <w:lang w:val="en-GB"/>
        </w:rPr>
        <w:t>Dispute resolution mode:</w:t>
      </w:r>
      <w:r w:rsidRPr="00FC35FB">
        <w:rPr>
          <w:rFonts w:eastAsia="Calibri"/>
          <w:sz w:val="22"/>
          <w:lang w:val="en-GB"/>
        </w:rPr>
        <w:t xml:space="preserve"> </w:t>
      </w:r>
      <w:r w:rsidRPr="00FC35FB">
        <w:rPr>
          <w:rFonts w:eastAsia="Calibri"/>
          <w:sz w:val="22"/>
          <w:lang w:val="en-GB"/>
        </w:rPr>
        <w:tab/>
      </w:r>
      <w:r w:rsidRPr="00FC35FB">
        <w:rPr>
          <w:lang w:val="en-GB"/>
        </w:rPr>
        <w:t xml:space="preserve">Conciliation conference </w:t>
      </w:r>
    </w:p>
    <w:p w14:paraId="648F12D2" w14:textId="7DB48044" w:rsidR="001F53F1" w:rsidRDefault="00995963" w:rsidP="00D37FD2">
      <w:pPr>
        <w:keepNext/>
        <w:keepLines/>
        <w:spacing w:before="40" w:line="259" w:lineRule="auto"/>
        <w:ind w:right="0"/>
        <w:outlineLvl w:val="1"/>
        <w:rPr>
          <w:rFonts w:eastAsia="SimSun" w:cs="Angsana New"/>
          <w:color w:val="E66A37"/>
          <w:sz w:val="32"/>
          <w:szCs w:val="32"/>
          <w:lang w:val="en-GB"/>
        </w:rPr>
      </w:pPr>
      <w:r w:rsidRPr="00995963">
        <w:rPr>
          <w:rFonts w:eastAsia="SimSun" w:cs="Angsana New"/>
          <w:color w:val="E66A37"/>
          <w:sz w:val="32"/>
          <w:szCs w:val="32"/>
          <w:lang w:val="en-GB"/>
        </w:rPr>
        <w:t xml:space="preserve">NDIS </w:t>
      </w:r>
      <w:r w:rsidR="0037385D">
        <w:rPr>
          <w:rFonts w:eastAsia="SimSun" w:cs="Angsana New"/>
          <w:color w:val="E66A37"/>
          <w:sz w:val="32"/>
          <w:szCs w:val="32"/>
          <w:lang w:val="en-GB"/>
        </w:rPr>
        <w:t xml:space="preserve">service </w:t>
      </w:r>
      <w:r w:rsidRPr="00995963">
        <w:rPr>
          <w:rFonts w:eastAsia="SimSun" w:cs="Angsana New"/>
          <w:color w:val="E66A37"/>
          <w:sz w:val="32"/>
          <w:szCs w:val="32"/>
          <w:lang w:val="en-GB"/>
        </w:rPr>
        <w:t xml:space="preserve">provider </w:t>
      </w:r>
      <w:r w:rsidR="004851C7">
        <w:rPr>
          <w:rFonts w:eastAsia="SimSun" w:cs="Angsana New"/>
          <w:color w:val="E66A37"/>
          <w:sz w:val="32"/>
          <w:szCs w:val="32"/>
          <w:lang w:val="en-GB"/>
        </w:rPr>
        <w:t>addresses</w:t>
      </w:r>
      <w:r w:rsidRPr="00995963">
        <w:rPr>
          <w:rFonts w:eastAsia="SimSun" w:cs="Angsana New"/>
          <w:color w:val="E66A37"/>
          <w:sz w:val="32"/>
          <w:szCs w:val="32"/>
          <w:lang w:val="en-GB"/>
        </w:rPr>
        <w:t xml:space="preserve"> </w:t>
      </w:r>
      <w:r w:rsidR="00A57908">
        <w:rPr>
          <w:rFonts w:eastAsia="SimSun" w:cs="Angsana New"/>
          <w:color w:val="E66A37"/>
          <w:sz w:val="32"/>
          <w:szCs w:val="32"/>
          <w:lang w:val="en-GB"/>
        </w:rPr>
        <w:t>misgendering</w:t>
      </w:r>
      <w:r w:rsidRPr="00995963">
        <w:rPr>
          <w:rFonts w:eastAsia="SimSun" w:cs="Angsana New"/>
          <w:color w:val="E66A37"/>
          <w:sz w:val="32"/>
          <w:szCs w:val="32"/>
          <w:lang w:val="en-GB"/>
        </w:rPr>
        <w:t xml:space="preserve"> </w:t>
      </w:r>
      <w:r w:rsidR="0024172E">
        <w:rPr>
          <w:rFonts w:eastAsia="SimSun" w:cs="Angsana New"/>
          <w:color w:val="E66A37"/>
          <w:sz w:val="32"/>
          <w:szCs w:val="32"/>
          <w:lang w:val="en-GB"/>
        </w:rPr>
        <w:t>of their client</w:t>
      </w:r>
    </w:p>
    <w:p w14:paraId="44542B81" w14:textId="74866806" w:rsidR="001F53F1" w:rsidRPr="001F53F1" w:rsidRDefault="00EC76DC" w:rsidP="00DE76B3">
      <w:pPr>
        <w:rPr>
          <w:lang w:val="en-GB"/>
        </w:rPr>
      </w:pPr>
      <w:r>
        <w:rPr>
          <w:lang w:val="en-GB"/>
        </w:rPr>
        <w:t>A gender diverse person who</w:t>
      </w:r>
      <w:r w:rsidR="001F53F1" w:rsidRPr="001F53F1">
        <w:rPr>
          <w:lang w:val="en-GB"/>
        </w:rPr>
        <w:t xml:space="preserve"> uses they/them pronouns raised a complaint about their </w:t>
      </w:r>
      <w:r w:rsidR="00815FB2">
        <w:rPr>
          <w:lang w:val="en-GB"/>
        </w:rPr>
        <w:t xml:space="preserve">National Disability Insurance </w:t>
      </w:r>
      <w:r w:rsidR="0012435D">
        <w:rPr>
          <w:lang w:val="en-GB"/>
        </w:rPr>
        <w:t>Scheme</w:t>
      </w:r>
      <w:r w:rsidR="00815FB2">
        <w:rPr>
          <w:lang w:val="en-GB"/>
        </w:rPr>
        <w:t xml:space="preserve"> (NDIS)</w:t>
      </w:r>
      <w:r w:rsidR="00815FB2" w:rsidRPr="001F53F1">
        <w:rPr>
          <w:lang w:val="en-GB"/>
        </w:rPr>
        <w:t xml:space="preserve"> </w:t>
      </w:r>
      <w:r w:rsidR="001F53F1" w:rsidRPr="001F53F1">
        <w:rPr>
          <w:lang w:val="en-GB"/>
        </w:rPr>
        <w:t xml:space="preserve">service provider. They said that employees of their </w:t>
      </w:r>
      <w:r w:rsidR="00815FB2">
        <w:rPr>
          <w:lang w:val="en-GB"/>
        </w:rPr>
        <w:t xml:space="preserve">NDIS </w:t>
      </w:r>
      <w:r w:rsidR="0037385D">
        <w:rPr>
          <w:lang w:val="en-GB"/>
        </w:rPr>
        <w:t xml:space="preserve">service </w:t>
      </w:r>
      <w:r w:rsidR="001F53F1" w:rsidRPr="001F53F1">
        <w:rPr>
          <w:lang w:val="en-GB"/>
        </w:rPr>
        <w:t xml:space="preserve">provider took them to visit a new female doctor without their consent, insisting that they needed to see a female doctor despite them having used the same male doctor for over 20 years. </w:t>
      </w:r>
    </w:p>
    <w:p w14:paraId="6C15BAF8" w14:textId="763A1EF2" w:rsidR="001F53F1" w:rsidRPr="001F53F1" w:rsidRDefault="001F53F1" w:rsidP="00DE76B3">
      <w:pPr>
        <w:rPr>
          <w:lang w:val="en-GB"/>
        </w:rPr>
      </w:pPr>
      <w:r w:rsidRPr="001F53F1">
        <w:rPr>
          <w:lang w:val="en-GB"/>
        </w:rPr>
        <w:t>The complainant said that one of the staff members would misgender them by using the wrong pronouns</w:t>
      </w:r>
      <w:r w:rsidR="0006656D">
        <w:rPr>
          <w:lang w:val="en-GB"/>
        </w:rPr>
        <w:t>, and that the staff member had told them that they had been in trouble with their employer since the complainant raised the issue with the NDIS provider.</w:t>
      </w:r>
    </w:p>
    <w:p w14:paraId="18B2A466" w14:textId="35D7BB35" w:rsidR="001F53F1" w:rsidRPr="001F53F1" w:rsidRDefault="001F53F1" w:rsidP="00DE76B3">
      <w:pPr>
        <w:rPr>
          <w:rFonts w:eastAsia="Calibri"/>
          <w:lang w:val="en-GB"/>
        </w:rPr>
      </w:pPr>
      <w:r w:rsidRPr="001F53F1">
        <w:rPr>
          <w:rFonts w:eastAsia="Calibri"/>
          <w:lang w:val="en-GB"/>
        </w:rPr>
        <w:t xml:space="preserve">The complaint was resolved by conciliation. The parties agreed that the staff member involved would apologise and financial compensation would be provided to the complainant. The NDIS service provider agreed to </w:t>
      </w:r>
      <w:r w:rsidRPr="001F53F1">
        <w:rPr>
          <w:lang w:val="en-GB"/>
        </w:rPr>
        <w:t xml:space="preserve">review the organisational anti-discrimination and human rights policy, provide an updated copy to all employees, and undertake training on their obligations under discrimination law. </w:t>
      </w:r>
    </w:p>
    <w:p w14:paraId="18598A8A" w14:textId="7041FBB9" w:rsidR="001F53F1" w:rsidRPr="001F53F1" w:rsidRDefault="001F53F1" w:rsidP="00614495">
      <w:pPr>
        <w:ind w:left="2880" w:hanging="2880"/>
        <w:rPr>
          <w:lang w:val="en-GB"/>
        </w:rPr>
      </w:pPr>
      <w:r w:rsidRPr="001F53F1">
        <w:rPr>
          <w:lang w:val="en-GB"/>
        </w:rPr>
        <w:t>Relevant rights:</w:t>
      </w:r>
      <w:r w:rsidRPr="001F53F1">
        <w:rPr>
          <w:rFonts w:eastAsia="Calibri" w:cs="Arial"/>
          <w:sz w:val="22"/>
          <w:lang w:val="en-GB"/>
        </w:rPr>
        <w:t xml:space="preserve"> </w:t>
      </w:r>
      <w:r w:rsidRPr="001F53F1">
        <w:rPr>
          <w:rFonts w:eastAsia="Calibri" w:cs="Arial"/>
          <w:sz w:val="22"/>
          <w:lang w:val="en-GB"/>
        </w:rPr>
        <w:tab/>
      </w:r>
      <w:r w:rsidRPr="001F53F1">
        <w:rPr>
          <w:lang w:val="en-GB"/>
        </w:rPr>
        <w:t xml:space="preserve">Recognition and equality before the law (section 15), right to health services (section 37), </w:t>
      </w:r>
      <w:r w:rsidR="0063342B">
        <w:rPr>
          <w:lang w:val="en-GB"/>
        </w:rPr>
        <w:t>p</w:t>
      </w:r>
      <w:r w:rsidRPr="001F53F1">
        <w:rPr>
          <w:lang w:val="en-GB"/>
        </w:rPr>
        <w:t>rivacy and reputation (section 25)</w:t>
      </w:r>
    </w:p>
    <w:p w14:paraId="3E248D6D" w14:textId="77777777" w:rsidR="001F53F1" w:rsidRPr="001F53F1" w:rsidRDefault="001F53F1" w:rsidP="001F53F1">
      <w:pPr>
        <w:spacing w:after="160" w:line="259" w:lineRule="auto"/>
        <w:ind w:right="0"/>
        <w:rPr>
          <w:lang w:val="en-GB"/>
        </w:rPr>
      </w:pPr>
      <w:r w:rsidRPr="001F53F1">
        <w:rPr>
          <w:lang w:val="en-GB"/>
        </w:rPr>
        <w:t>Complaint type:</w:t>
      </w:r>
      <w:r w:rsidRPr="001F53F1">
        <w:rPr>
          <w:rFonts w:eastAsia="Calibri" w:cs="Arial"/>
          <w:sz w:val="22"/>
          <w:lang w:val="en-GB"/>
        </w:rPr>
        <w:t xml:space="preserve"> </w:t>
      </w:r>
      <w:r w:rsidRPr="001F53F1">
        <w:rPr>
          <w:rFonts w:eastAsia="Calibri" w:cs="Arial"/>
          <w:sz w:val="22"/>
          <w:lang w:val="en-GB"/>
        </w:rPr>
        <w:tab/>
      </w:r>
      <w:r w:rsidRPr="001F53F1">
        <w:rPr>
          <w:rFonts w:eastAsia="Calibri" w:cs="Arial"/>
          <w:sz w:val="22"/>
          <w:lang w:val="en-GB"/>
        </w:rPr>
        <w:tab/>
      </w:r>
      <w:r w:rsidRPr="001F53F1">
        <w:rPr>
          <w:lang w:val="en-GB"/>
        </w:rPr>
        <w:t>Piggy-back complaint</w:t>
      </w:r>
    </w:p>
    <w:p w14:paraId="1B525868" w14:textId="67F5F107" w:rsidR="001F53F1" w:rsidRPr="001F53F1" w:rsidRDefault="001F53F1" w:rsidP="001F53F1">
      <w:pPr>
        <w:spacing w:after="160" w:line="259" w:lineRule="auto"/>
        <w:ind w:right="0"/>
        <w:rPr>
          <w:lang w:val="en-GB"/>
        </w:rPr>
      </w:pPr>
      <w:r w:rsidRPr="001F53F1">
        <w:rPr>
          <w:lang w:val="en-GB"/>
        </w:rPr>
        <w:t>Attribute:</w:t>
      </w:r>
      <w:r w:rsidR="00E865C3">
        <w:rPr>
          <w:rFonts w:eastAsia="Calibri" w:cs="Arial"/>
          <w:sz w:val="22"/>
          <w:lang w:val="en-GB"/>
        </w:rPr>
        <w:t xml:space="preserve">  </w:t>
      </w:r>
      <w:r w:rsidRPr="001F53F1">
        <w:rPr>
          <w:rFonts w:eastAsia="Calibri" w:cs="Arial"/>
          <w:sz w:val="22"/>
          <w:lang w:val="en-GB"/>
        </w:rPr>
        <w:tab/>
      </w:r>
      <w:r w:rsidRPr="001F53F1">
        <w:rPr>
          <w:rFonts w:eastAsia="Calibri" w:cs="Arial"/>
          <w:sz w:val="22"/>
          <w:lang w:val="en-GB"/>
        </w:rPr>
        <w:tab/>
      </w:r>
      <w:r w:rsidRPr="001F53F1">
        <w:rPr>
          <w:rFonts w:eastAsia="Calibri" w:cs="Arial"/>
          <w:sz w:val="22"/>
          <w:lang w:val="en-GB"/>
        </w:rPr>
        <w:tab/>
      </w:r>
      <w:r w:rsidRPr="001F53F1">
        <w:rPr>
          <w:lang w:val="en-GB"/>
        </w:rPr>
        <w:t xml:space="preserve">Gender identity </w:t>
      </w:r>
    </w:p>
    <w:p w14:paraId="41163E09" w14:textId="77777777" w:rsidR="001F53F1" w:rsidRPr="001B0946" w:rsidRDefault="001F53F1" w:rsidP="001F53F1">
      <w:pPr>
        <w:spacing w:after="160" w:line="259" w:lineRule="auto"/>
        <w:ind w:right="0"/>
      </w:pPr>
      <w:r w:rsidRPr="001F53F1">
        <w:rPr>
          <w:lang w:val="en-GB"/>
        </w:rPr>
        <w:t>Dispute resolution mode:</w:t>
      </w:r>
      <w:r w:rsidRPr="001F53F1">
        <w:rPr>
          <w:rFonts w:eastAsia="Calibri" w:cs="Arial"/>
          <w:sz w:val="22"/>
          <w:lang w:val="en-GB"/>
        </w:rPr>
        <w:t xml:space="preserve"> </w:t>
      </w:r>
      <w:r w:rsidRPr="001F53F1">
        <w:rPr>
          <w:rFonts w:eastAsia="Calibri" w:cs="Arial"/>
          <w:sz w:val="22"/>
          <w:lang w:val="en-GB"/>
        </w:rPr>
        <w:tab/>
      </w:r>
      <w:r w:rsidRPr="001F53F1">
        <w:rPr>
          <w:lang w:val="en-GB"/>
        </w:rPr>
        <w:t xml:space="preserve">Conciliation conference </w:t>
      </w:r>
    </w:p>
    <w:p w14:paraId="26441286" w14:textId="1B41904D" w:rsidR="007031E4" w:rsidRPr="002D36AE" w:rsidRDefault="007031E4" w:rsidP="007031E4">
      <w:pPr>
        <w:pStyle w:val="Heading2"/>
        <w:rPr>
          <w:color w:val="E66A37"/>
          <w:sz w:val="32"/>
          <w:szCs w:val="32"/>
        </w:rPr>
      </w:pPr>
      <w:bookmarkStart w:id="788" w:name="_Toc147757364"/>
      <w:bookmarkStart w:id="789" w:name="_Toc148086989"/>
      <w:r>
        <w:rPr>
          <w:color w:val="E66A37"/>
          <w:sz w:val="32"/>
          <w:szCs w:val="32"/>
        </w:rPr>
        <w:t>Employer apologises for enforcing a COVID-19 mandate</w:t>
      </w:r>
      <w:r w:rsidR="00292056">
        <w:rPr>
          <w:color w:val="E66A37"/>
          <w:sz w:val="32"/>
          <w:szCs w:val="32"/>
        </w:rPr>
        <w:t xml:space="preserve"> where not relevant to employee’s role</w:t>
      </w:r>
      <w:bookmarkEnd w:id="788"/>
      <w:bookmarkEnd w:id="789"/>
    </w:p>
    <w:p w14:paraId="003FF252" w14:textId="763BD38A" w:rsidR="00456363" w:rsidRPr="00632E95" w:rsidRDefault="00456363" w:rsidP="00456363">
      <w:pPr>
        <w:rPr>
          <w:rFonts w:cs="Arial"/>
        </w:rPr>
      </w:pPr>
      <w:r>
        <w:rPr>
          <w:rFonts w:cs="Arial"/>
        </w:rPr>
        <w:t xml:space="preserve">A public sector employee did not wish to obtain a COVID-19 vaccination because she had an autoimmune disease and had been provided a medical opinion that the vaccination may be risky for her. However, her employer advised that she was subject to a mandatory vaccination unless she had an exemption. The employee provided medical evidence but her application for an exemption was rejected. The employee was provided with 2 days </w:t>
      </w:r>
      <w:r w:rsidRPr="00632E95">
        <w:rPr>
          <w:rFonts w:cs="Arial"/>
        </w:rPr>
        <w:t xml:space="preserve">to comply with </w:t>
      </w:r>
      <w:r>
        <w:rPr>
          <w:rFonts w:cs="Arial"/>
        </w:rPr>
        <w:t xml:space="preserve">the mandatory vaccination </w:t>
      </w:r>
      <w:r w:rsidRPr="00632E95">
        <w:rPr>
          <w:rFonts w:cs="Arial"/>
        </w:rPr>
        <w:t xml:space="preserve">directive or face disciplinary action. </w:t>
      </w:r>
      <w:r>
        <w:rPr>
          <w:rFonts w:cs="Arial"/>
        </w:rPr>
        <w:t xml:space="preserve">Following this decision, the employee was seconded to a role working from home full time, and because of this the employer determined that </w:t>
      </w:r>
      <w:r w:rsidR="00CC0C36">
        <w:rPr>
          <w:rFonts w:cs="Arial"/>
        </w:rPr>
        <w:t>an exemption should be granted as</w:t>
      </w:r>
      <w:r>
        <w:rPr>
          <w:rFonts w:cs="Arial"/>
        </w:rPr>
        <w:t xml:space="preserve"> she </w:t>
      </w:r>
      <w:r w:rsidRPr="00632E95">
        <w:rPr>
          <w:rFonts w:cs="Arial"/>
        </w:rPr>
        <w:t>had no contact with the public.</w:t>
      </w:r>
    </w:p>
    <w:p w14:paraId="303FF1AE" w14:textId="6CD635E4" w:rsidR="00456363" w:rsidRPr="00632E95" w:rsidRDefault="00456363" w:rsidP="00456363">
      <w:pPr>
        <w:rPr>
          <w:rFonts w:cs="Arial"/>
        </w:rPr>
      </w:pPr>
      <w:r>
        <w:rPr>
          <w:rFonts w:cs="Arial"/>
        </w:rPr>
        <w:t>On return to her substantive role, a decision was made by the employer that she was again subject to the mandatory vaccination directive. The employee said that she was not given sufficient information about the reasons for the rejection of the exemption application or the appeal rights available</w:t>
      </w:r>
      <w:r w:rsidR="009F2639">
        <w:rPr>
          <w:rFonts w:cs="Arial"/>
        </w:rPr>
        <w:t>, and her employer</w:t>
      </w:r>
      <w:r w:rsidR="00846CA4">
        <w:rPr>
          <w:rFonts w:cs="Arial"/>
        </w:rPr>
        <w:t xml:space="preserve"> did not take up the</w:t>
      </w:r>
      <w:r w:rsidR="009F2639">
        <w:rPr>
          <w:rFonts w:cs="Arial"/>
        </w:rPr>
        <w:t xml:space="preserve"> opportunity to speak with her treating doctor</w:t>
      </w:r>
      <w:r>
        <w:rPr>
          <w:rFonts w:cs="Arial"/>
        </w:rPr>
        <w:t xml:space="preserve">. </w:t>
      </w:r>
    </w:p>
    <w:p w14:paraId="20277B67" w14:textId="2DB14F26" w:rsidR="00456363" w:rsidRDefault="00456363" w:rsidP="00456363">
      <w:pPr>
        <w:rPr>
          <w:rFonts w:cs="Arial"/>
        </w:rPr>
      </w:pPr>
      <w:r>
        <w:rPr>
          <w:rFonts w:cs="Arial"/>
        </w:rPr>
        <w:t>The employer and employee attended a conciliation conference in which they came to an agreement that the</w:t>
      </w:r>
      <w:r w:rsidRPr="005C11AF">
        <w:rPr>
          <w:rFonts w:cs="Arial"/>
        </w:rPr>
        <w:t xml:space="preserve"> </w:t>
      </w:r>
      <w:r>
        <w:rPr>
          <w:rFonts w:cs="Arial"/>
        </w:rPr>
        <w:t>employer would</w:t>
      </w:r>
      <w:r w:rsidRPr="005C11AF">
        <w:rPr>
          <w:rFonts w:cs="Arial"/>
        </w:rPr>
        <w:t xml:space="preserve"> provide the </w:t>
      </w:r>
      <w:r>
        <w:rPr>
          <w:rFonts w:cs="Arial"/>
        </w:rPr>
        <w:t>employee</w:t>
      </w:r>
      <w:r w:rsidRPr="005C11AF">
        <w:rPr>
          <w:rFonts w:cs="Arial"/>
        </w:rPr>
        <w:t xml:space="preserve"> with a written apology </w:t>
      </w:r>
      <w:r>
        <w:rPr>
          <w:rFonts w:cs="Arial"/>
        </w:rPr>
        <w:t xml:space="preserve">stating that the </w:t>
      </w:r>
      <w:r w:rsidR="005A1445">
        <w:rPr>
          <w:rFonts w:cs="Arial"/>
        </w:rPr>
        <w:t>COVID</w:t>
      </w:r>
      <w:r>
        <w:rPr>
          <w:rFonts w:cs="Arial"/>
        </w:rPr>
        <w:t>-19 vaccination mandate did not apply to her role, acknowledging the detrimental impact on her and her family during this period. The employer also agreed to recredit a loss of earnings caused to her as it was now agreed that the vaccination mandate did not apply to her.</w:t>
      </w:r>
    </w:p>
    <w:p w14:paraId="25B5E274" w14:textId="39D2D00B" w:rsidR="00456363" w:rsidRPr="00D24287" w:rsidRDefault="00456363" w:rsidP="00456363">
      <w:pPr>
        <w:ind w:left="2880" w:hanging="2880"/>
        <w:rPr>
          <w:rFonts w:cs="Arial"/>
        </w:rPr>
      </w:pPr>
      <w:r w:rsidRPr="00D24287">
        <w:rPr>
          <w:rFonts w:cs="Arial"/>
        </w:rPr>
        <w:t xml:space="preserve">Relevant rights: </w:t>
      </w:r>
      <w:r>
        <w:tab/>
      </w:r>
      <w:r w:rsidRPr="00D24287">
        <w:rPr>
          <w:rFonts w:cs="Arial"/>
        </w:rPr>
        <w:t xml:space="preserve">Recognition and equality before the law (section 15), privacy and reputation (section 25), freedom of expression (section 21) and </w:t>
      </w:r>
      <w:r w:rsidRPr="3E0CE576">
        <w:rPr>
          <w:rFonts w:cs="Arial"/>
        </w:rPr>
        <w:t xml:space="preserve">right not to be subjected to medical treatment without full, free and informed consent </w:t>
      </w:r>
      <w:r w:rsidR="00CD735F">
        <w:rPr>
          <w:rFonts w:cs="Arial"/>
        </w:rPr>
        <w:t>(</w:t>
      </w:r>
      <w:r w:rsidRPr="3E0CE576">
        <w:rPr>
          <w:rFonts w:cs="Arial"/>
        </w:rPr>
        <w:t>section 17(1)(c</w:t>
      </w:r>
      <w:r w:rsidR="00B26387">
        <w:rPr>
          <w:rFonts w:cs="Arial"/>
        </w:rPr>
        <w:t>)</w:t>
      </w:r>
      <w:r w:rsidR="00CD735F">
        <w:rPr>
          <w:rFonts w:cs="Arial"/>
        </w:rPr>
        <w:t>).</w:t>
      </w:r>
    </w:p>
    <w:p w14:paraId="4DBD5348" w14:textId="77777777" w:rsidR="00456363" w:rsidRPr="002D36AE" w:rsidRDefault="00456363" w:rsidP="00456363">
      <w:pPr>
        <w:rPr>
          <w:rFonts w:cs="Arial"/>
        </w:rPr>
      </w:pPr>
      <w:r w:rsidRPr="002D36AE">
        <w:rPr>
          <w:rFonts w:cs="Arial"/>
        </w:rPr>
        <w:t xml:space="preserve">Complaint type: </w:t>
      </w:r>
      <w:r w:rsidRPr="002D36AE">
        <w:rPr>
          <w:rFonts w:cs="Arial"/>
        </w:rPr>
        <w:tab/>
      </w:r>
      <w:r w:rsidRPr="002D36AE">
        <w:rPr>
          <w:rFonts w:cs="Arial"/>
        </w:rPr>
        <w:tab/>
      </w:r>
      <w:r>
        <w:rPr>
          <w:rFonts w:cs="Arial"/>
        </w:rPr>
        <w:t>Piggy-back</w:t>
      </w:r>
    </w:p>
    <w:p w14:paraId="7330D482" w14:textId="345BDCC2" w:rsidR="00456363" w:rsidRPr="002D36AE" w:rsidRDefault="00456363" w:rsidP="00456363">
      <w:pPr>
        <w:rPr>
          <w:rFonts w:cs="Arial"/>
        </w:rPr>
      </w:pPr>
      <w:r w:rsidRPr="002D36AE">
        <w:rPr>
          <w:rFonts w:cs="Arial"/>
        </w:rPr>
        <w:t>Attribute:</w:t>
      </w:r>
      <w:r w:rsidR="00E865C3">
        <w:rPr>
          <w:rFonts w:cs="Arial"/>
        </w:rPr>
        <w:t xml:space="preserve">  </w:t>
      </w:r>
      <w:r w:rsidRPr="002D36AE">
        <w:rPr>
          <w:rFonts w:cs="Arial"/>
        </w:rPr>
        <w:tab/>
      </w:r>
      <w:r w:rsidRPr="002D36AE">
        <w:rPr>
          <w:rFonts w:cs="Arial"/>
        </w:rPr>
        <w:tab/>
      </w:r>
      <w:r w:rsidRPr="002D36AE">
        <w:rPr>
          <w:rFonts w:cs="Arial"/>
        </w:rPr>
        <w:tab/>
      </w:r>
      <w:r>
        <w:rPr>
          <w:rFonts w:cs="Arial"/>
        </w:rPr>
        <w:t xml:space="preserve">Impairment </w:t>
      </w:r>
    </w:p>
    <w:p w14:paraId="335579E3" w14:textId="77777777" w:rsidR="00456363" w:rsidRDefault="00456363" w:rsidP="00456363">
      <w:pPr>
        <w:rPr>
          <w:rFonts w:cs="Arial"/>
        </w:rPr>
      </w:pPr>
      <w:r w:rsidRPr="002D36AE">
        <w:rPr>
          <w:rFonts w:cs="Arial"/>
        </w:rPr>
        <w:t xml:space="preserve">Dispute resolution mode: </w:t>
      </w:r>
      <w:r w:rsidRPr="002D36AE">
        <w:rPr>
          <w:rFonts w:cs="Arial"/>
        </w:rPr>
        <w:tab/>
      </w:r>
      <w:r>
        <w:rPr>
          <w:rFonts w:cs="Arial"/>
        </w:rPr>
        <w:t>Conciliation conference</w:t>
      </w:r>
    </w:p>
    <w:p w14:paraId="6F86A529" w14:textId="77777777" w:rsidR="002667D0" w:rsidRPr="009D129C" w:rsidRDefault="002667D0" w:rsidP="009D129C">
      <w:pPr>
        <w:pStyle w:val="Heading2"/>
        <w:rPr>
          <w:color w:val="E66A37"/>
          <w:sz w:val="32"/>
          <w:szCs w:val="32"/>
        </w:rPr>
      </w:pPr>
      <w:bookmarkStart w:id="790" w:name="_Toc148086990"/>
      <w:r w:rsidRPr="009D129C">
        <w:rPr>
          <w:color w:val="E66A37"/>
          <w:sz w:val="32"/>
          <w:szCs w:val="32"/>
        </w:rPr>
        <w:t>University agrees to investigate stalking allegations made by student</w:t>
      </w:r>
      <w:bookmarkEnd w:id="790"/>
    </w:p>
    <w:p w14:paraId="1B7B10C8" w14:textId="31315A0D" w:rsidR="002667D0" w:rsidRPr="008D2A0F" w:rsidRDefault="002667D0" w:rsidP="002667D0">
      <w:pPr>
        <w:rPr>
          <w:rFonts w:cs="Arial"/>
        </w:rPr>
      </w:pPr>
      <w:r>
        <w:rPr>
          <w:rFonts w:cs="Arial"/>
        </w:rPr>
        <w:t>A student</w:t>
      </w:r>
      <w:r w:rsidRPr="008D2A0F">
        <w:rPr>
          <w:rFonts w:cs="Arial"/>
        </w:rPr>
        <w:t xml:space="preserve"> </w:t>
      </w:r>
      <w:r w:rsidR="00AC6977">
        <w:rPr>
          <w:rFonts w:cs="Arial"/>
        </w:rPr>
        <w:t>complained</w:t>
      </w:r>
      <w:r w:rsidRPr="008D2A0F">
        <w:rPr>
          <w:rFonts w:cs="Arial"/>
        </w:rPr>
        <w:t xml:space="preserve"> that </w:t>
      </w:r>
      <w:r>
        <w:rPr>
          <w:rFonts w:cs="Arial"/>
        </w:rPr>
        <w:t>her education provider</w:t>
      </w:r>
      <w:r w:rsidRPr="008D2A0F">
        <w:rPr>
          <w:rFonts w:cs="Arial"/>
        </w:rPr>
        <w:t xml:space="preserve"> failed to provide her with a safe place for education after she made repeated reports of stalking from a</w:t>
      </w:r>
      <w:r w:rsidR="004E5D37">
        <w:rPr>
          <w:rFonts w:cs="Arial"/>
        </w:rPr>
        <w:t>nother</w:t>
      </w:r>
      <w:r w:rsidRPr="008D2A0F">
        <w:rPr>
          <w:rFonts w:cs="Arial"/>
        </w:rPr>
        <w:t xml:space="preserve"> student. </w:t>
      </w:r>
      <w:r>
        <w:rPr>
          <w:rFonts w:cs="Arial"/>
        </w:rPr>
        <w:t>She said that</w:t>
      </w:r>
      <w:r w:rsidRPr="008D2A0F">
        <w:rPr>
          <w:rFonts w:cs="Arial"/>
        </w:rPr>
        <w:t xml:space="preserve"> her mental and physical health and academic performance </w:t>
      </w:r>
      <w:r>
        <w:rPr>
          <w:rFonts w:cs="Arial"/>
        </w:rPr>
        <w:t>were adversely</w:t>
      </w:r>
      <w:r w:rsidRPr="008D2A0F">
        <w:rPr>
          <w:rFonts w:cs="Arial"/>
        </w:rPr>
        <w:t xml:space="preserve"> </w:t>
      </w:r>
      <w:r>
        <w:rPr>
          <w:rFonts w:cs="Arial"/>
        </w:rPr>
        <w:t>affected</w:t>
      </w:r>
      <w:r w:rsidRPr="008D2A0F">
        <w:rPr>
          <w:rFonts w:cs="Arial"/>
        </w:rPr>
        <w:t xml:space="preserve"> as a result of the stalking and lack of action from </w:t>
      </w:r>
      <w:r>
        <w:rPr>
          <w:rFonts w:cs="Arial"/>
        </w:rPr>
        <w:t>the education provider</w:t>
      </w:r>
      <w:r w:rsidRPr="008D2A0F">
        <w:rPr>
          <w:rFonts w:cs="Arial"/>
        </w:rPr>
        <w:t xml:space="preserve">. </w:t>
      </w:r>
    </w:p>
    <w:p w14:paraId="5B3F77EF" w14:textId="62732339" w:rsidR="002667D0" w:rsidRDefault="002667D0" w:rsidP="002667D0">
      <w:pPr>
        <w:rPr>
          <w:rFonts w:cs="Arial"/>
        </w:rPr>
      </w:pPr>
      <w:r>
        <w:rPr>
          <w:rFonts w:cs="Arial"/>
        </w:rPr>
        <w:t xml:space="preserve">The </w:t>
      </w:r>
      <w:r w:rsidR="00DA13C8">
        <w:rPr>
          <w:rFonts w:cs="Arial"/>
        </w:rPr>
        <w:t>education provider and the student</w:t>
      </w:r>
      <w:r>
        <w:rPr>
          <w:rFonts w:cs="Arial"/>
        </w:rPr>
        <w:t xml:space="preserve"> attended conciliation and came to an agreement that the education provider would commence a formal investigation including a review of CCTV footage of the alleged incidents</w:t>
      </w:r>
      <w:r w:rsidR="00CA0586">
        <w:rPr>
          <w:rFonts w:cs="Arial"/>
        </w:rPr>
        <w:t>,</w:t>
      </w:r>
      <w:r>
        <w:rPr>
          <w:rFonts w:cs="Arial"/>
        </w:rPr>
        <w:t xml:space="preserve"> and that the student would be given support to defer exams. </w:t>
      </w:r>
    </w:p>
    <w:p w14:paraId="2CE8FD44" w14:textId="1B040FEC" w:rsidR="002667D0" w:rsidRPr="002D36AE" w:rsidRDefault="002667D0" w:rsidP="002667D0">
      <w:pPr>
        <w:ind w:left="2880" w:hanging="2880"/>
        <w:rPr>
          <w:rFonts w:cs="Arial"/>
        </w:rPr>
      </w:pPr>
      <w:r w:rsidRPr="002D36AE">
        <w:rPr>
          <w:rFonts w:cs="Arial"/>
        </w:rPr>
        <w:t xml:space="preserve">Relevant rights: </w:t>
      </w:r>
      <w:r>
        <w:tab/>
      </w:r>
      <w:r>
        <w:rPr>
          <w:rFonts w:cs="Arial"/>
        </w:rPr>
        <w:t>Freedom of movement (section 19), privacy and reputation (section 25), right to education (section 36)</w:t>
      </w:r>
      <w:r w:rsidR="009A479E">
        <w:rPr>
          <w:rFonts w:cs="Arial"/>
        </w:rPr>
        <w:t>.</w:t>
      </w:r>
    </w:p>
    <w:p w14:paraId="0148F3B2" w14:textId="7AFC3167" w:rsidR="002667D0" w:rsidRPr="002D36AE" w:rsidRDefault="002667D0" w:rsidP="002667D0">
      <w:pPr>
        <w:rPr>
          <w:rFonts w:cs="Arial"/>
        </w:rPr>
      </w:pPr>
      <w:r w:rsidRPr="002D36AE">
        <w:rPr>
          <w:rFonts w:cs="Arial"/>
        </w:rPr>
        <w:t xml:space="preserve">Complaint type: </w:t>
      </w:r>
      <w:r w:rsidRPr="002D36AE">
        <w:rPr>
          <w:rFonts w:cs="Arial"/>
        </w:rPr>
        <w:tab/>
      </w:r>
      <w:r w:rsidRPr="002D36AE">
        <w:rPr>
          <w:rFonts w:cs="Arial"/>
        </w:rPr>
        <w:tab/>
      </w:r>
      <w:r>
        <w:rPr>
          <w:rFonts w:cs="Arial"/>
        </w:rPr>
        <w:t>Human rights only</w:t>
      </w:r>
      <w:r w:rsidR="00C22DAC">
        <w:rPr>
          <w:rStyle w:val="FootnoteReference"/>
          <w:rFonts w:cs="Arial"/>
        </w:rPr>
        <w:footnoteReference w:id="113"/>
      </w:r>
    </w:p>
    <w:p w14:paraId="65F5EAF8" w14:textId="5B0EF0B1" w:rsidR="007031E4" w:rsidRPr="001F53F1" w:rsidRDefault="002667D0" w:rsidP="002667D0">
      <w:pPr>
        <w:rPr>
          <w:rFonts w:cs="Arial"/>
        </w:rPr>
      </w:pPr>
      <w:r w:rsidRPr="002D36AE">
        <w:rPr>
          <w:rFonts w:cs="Arial"/>
        </w:rPr>
        <w:t xml:space="preserve">Dispute resolution mode: </w:t>
      </w:r>
      <w:r w:rsidRPr="002D36AE">
        <w:rPr>
          <w:rFonts w:cs="Arial"/>
        </w:rPr>
        <w:tab/>
      </w:r>
      <w:r>
        <w:rPr>
          <w:rFonts w:cs="Arial"/>
        </w:rPr>
        <w:t>Conciliation conference</w:t>
      </w:r>
    </w:p>
    <w:p w14:paraId="04A615DC" w14:textId="130E0F4B" w:rsidR="00876BDE" w:rsidRPr="007D58A2" w:rsidRDefault="00876BDE" w:rsidP="00876BDE">
      <w:pPr>
        <w:pStyle w:val="Heading2"/>
        <w:rPr>
          <w:color w:val="E66A37"/>
          <w:sz w:val="32"/>
          <w:szCs w:val="32"/>
        </w:rPr>
      </w:pPr>
      <w:bookmarkStart w:id="791" w:name="_Toc147757365"/>
      <w:bookmarkStart w:id="792" w:name="_Toc148086991"/>
      <w:r w:rsidRPr="007D58A2">
        <w:rPr>
          <w:color w:val="E66A37"/>
          <w:sz w:val="32"/>
          <w:szCs w:val="32"/>
        </w:rPr>
        <w:t xml:space="preserve">Health service </w:t>
      </w:r>
      <w:r w:rsidR="008363B8" w:rsidRPr="007D58A2">
        <w:rPr>
          <w:color w:val="E66A37"/>
          <w:sz w:val="32"/>
          <w:szCs w:val="32"/>
        </w:rPr>
        <w:t xml:space="preserve">addresses </w:t>
      </w:r>
      <w:r w:rsidR="00164CBF" w:rsidRPr="007D58A2">
        <w:rPr>
          <w:color w:val="E66A37"/>
          <w:sz w:val="32"/>
          <w:szCs w:val="32"/>
        </w:rPr>
        <w:t>concerns of prisoner with</w:t>
      </w:r>
      <w:r w:rsidR="008363B8" w:rsidRPr="007D58A2">
        <w:rPr>
          <w:color w:val="E66A37"/>
          <w:sz w:val="32"/>
          <w:szCs w:val="32"/>
        </w:rPr>
        <w:t xml:space="preserve"> </w:t>
      </w:r>
      <w:r w:rsidR="006A6FF9" w:rsidRPr="007D58A2">
        <w:rPr>
          <w:color w:val="E66A37"/>
          <w:sz w:val="32"/>
          <w:szCs w:val="32"/>
        </w:rPr>
        <w:t>dietary need</w:t>
      </w:r>
      <w:r w:rsidR="00F72DDF" w:rsidRPr="007D58A2">
        <w:rPr>
          <w:color w:val="E66A37"/>
          <w:sz w:val="32"/>
          <w:szCs w:val="32"/>
        </w:rPr>
        <w:t>s related to his disability</w:t>
      </w:r>
      <w:bookmarkEnd w:id="791"/>
      <w:bookmarkEnd w:id="792"/>
    </w:p>
    <w:p w14:paraId="2AF5789B" w14:textId="4AE86D89" w:rsidR="006E1D68" w:rsidRPr="006E1D68" w:rsidRDefault="006E1D68" w:rsidP="00B9212A">
      <w:pPr>
        <w:rPr>
          <w:lang w:val="en-GB"/>
        </w:rPr>
      </w:pPr>
      <w:r w:rsidRPr="006E1D68">
        <w:rPr>
          <w:lang w:val="en-GB"/>
        </w:rPr>
        <w:t xml:space="preserve">A prisoner who </w:t>
      </w:r>
      <w:r w:rsidR="00347CA6">
        <w:rPr>
          <w:lang w:val="en-GB"/>
        </w:rPr>
        <w:t>experienced</w:t>
      </w:r>
      <w:r w:rsidRPr="006E1D68">
        <w:rPr>
          <w:lang w:val="en-GB"/>
        </w:rPr>
        <w:t xml:space="preserve"> ongoing physical and mental health concerns spoke to a nurse on reception into the prison, expressing his concerns about how his health issues </w:t>
      </w:r>
      <w:r>
        <w:rPr>
          <w:lang w:val="en-GB"/>
        </w:rPr>
        <w:t>could</w:t>
      </w:r>
      <w:r w:rsidRPr="006E1D68">
        <w:rPr>
          <w:lang w:val="en-GB"/>
        </w:rPr>
        <w:t xml:space="preserve"> be </w:t>
      </w:r>
      <w:r>
        <w:rPr>
          <w:lang w:val="en-GB"/>
        </w:rPr>
        <w:t xml:space="preserve">effectively </w:t>
      </w:r>
      <w:r w:rsidRPr="006E1D68">
        <w:rPr>
          <w:lang w:val="en-GB"/>
        </w:rPr>
        <w:t xml:space="preserve">managed in the prison. </w:t>
      </w:r>
      <w:r w:rsidR="00732AFB">
        <w:rPr>
          <w:lang w:val="en-GB"/>
        </w:rPr>
        <w:t>He alleged that the attending nurse dismissed his concerns because he was at an appropriate weight</w:t>
      </w:r>
      <w:r w:rsidR="00347CA6">
        <w:rPr>
          <w:lang w:val="en-GB"/>
        </w:rPr>
        <w:t xml:space="preserve"> on reception to prison</w:t>
      </w:r>
      <w:r w:rsidR="00732AFB">
        <w:rPr>
          <w:lang w:val="en-GB"/>
        </w:rPr>
        <w:t xml:space="preserve">. </w:t>
      </w:r>
    </w:p>
    <w:p w14:paraId="2620AEFF" w14:textId="25F65307" w:rsidR="006E1D68" w:rsidRPr="006E1D68" w:rsidRDefault="006E1D68" w:rsidP="00B9212A">
      <w:pPr>
        <w:rPr>
          <w:lang w:val="en-GB"/>
        </w:rPr>
      </w:pPr>
      <w:r w:rsidRPr="006E1D68">
        <w:rPr>
          <w:lang w:val="en-GB"/>
        </w:rPr>
        <w:t xml:space="preserve">The prisoner also claimed that a dietician at the prison told him that while allowances would be made for his allergies, there were no grounds for him to be allowed to take supplements or to be placed on a low fibre diet. The prison health service listed him for a colonoscopy and endoscopy, and continued </w:t>
      </w:r>
      <w:r w:rsidR="0012209F">
        <w:rPr>
          <w:lang w:val="en-GB"/>
        </w:rPr>
        <w:t xml:space="preserve">to </w:t>
      </w:r>
      <w:r w:rsidRPr="006E1D68">
        <w:rPr>
          <w:lang w:val="en-GB"/>
        </w:rPr>
        <w:t xml:space="preserve">monitor his weight. </w:t>
      </w:r>
    </w:p>
    <w:p w14:paraId="75B7441D" w14:textId="3990B443" w:rsidR="006E1D68" w:rsidRPr="006E1D68" w:rsidRDefault="29E10A39" w:rsidP="70BA57B9">
      <w:pPr>
        <w:rPr>
          <w:rFonts w:eastAsia="Arial" w:cs="Arial"/>
          <w:szCs w:val="20"/>
          <w:lang w:val="en-GB"/>
        </w:rPr>
      </w:pPr>
      <w:r w:rsidRPr="70BA57B9">
        <w:rPr>
          <w:rFonts w:eastAsia="Arial" w:cs="Arial"/>
          <w:color w:val="000000" w:themeColor="text1"/>
          <w:szCs w:val="20"/>
          <w:lang w:val="en-GB"/>
        </w:rPr>
        <w:t xml:space="preserve">The prisoner expressed that he suffered a detrimental effect on his mental wellbeing from what he perceived was inadequate health treatment. This led to him </w:t>
      </w:r>
      <w:r>
        <w:rPr>
          <w:rFonts w:eastAsia="Arial" w:cs="Arial"/>
          <w:color w:val="000000" w:themeColor="text1"/>
          <w:szCs w:val="20"/>
          <w:lang w:val="en-GB"/>
        </w:rPr>
        <w:t xml:space="preserve">to </w:t>
      </w:r>
      <w:r w:rsidRPr="70BA57B9">
        <w:rPr>
          <w:rFonts w:eastAsia="Arial" w:cs="Arial"/>
          <w:color w:val="000000" w:themeColor="text1"/>
          <w:szCs w:val="20"/>
          <w:lang w:val="en-GB"/>
        </w:rPr>
        <w:t xml:space="preserve">experience several panic attacks for which he was prescribed anxiety medication and placed in the Mental Health Unit. While in the Mental Health Unit staff told him that he could take a fibre supplement but it was not provided </w:t>
      </w:r>
      <w:r w:rsidR="00646B2B">
        <w:rPr>
          <w:rFonts w:eastAsia="Arial" w:cs="Arial"/>
          <w:color w:val="000000" w:themeColor="text1"/>
          <w:szCs w:val="20"/>
          <w:lang w:val="en-GB"/>
        </w:rPr>
        <w:t>unless</w:t>
      </w:r>
      <w:r w:rsidRPr="70BA57B9">
        <w:rPr>
          <w:rFonts w:eastAsia="Arial" w:cs="Arial"/>
          <w:color w:val="000000" w:themeColor="text1"/>
          <w:szCs w:val="20"/>
          <w:lang w:val="en-GB"/>
        </w:rPr>
        <w:t xml:space="preserve"> he argued his case with each staff member.</w:t>
      </w:r>
    </w:p>
    <w:p w14:paraId="71617C8D" w14:textId="6BF42036" w:rsidR="006E1D68" w:rsidRPr="006E1D68" w:rsidRDefault="006E1D68" w:rsidP="00B9212A">
      <w:pPr>
        <w:rPr>
          <w:lang w:val="en-GB"/>
        </w:rPr>
      </w:pPr>
      <w:r w:rsidRPr="006E1D68">
        <w:rPr>
          <w:lang w:val="en-GB"/>
        </w:rPr>
        <w:t xml:space="preserve">Through the conciliation process, the parties agreed that the prisoner would receive his medication in accordance with all medical recommendations and reviews. The prison medical service agreed that they would continue to liaise with staff to ensure his dietary requirements are met. The prison also </w:t>
      </w:r>
      <w:r w:rsidR="00831E6D">
        <w:rPr>
          <w:lang w:val="en-GB"/>
        </w:rPr>
        <w:t>listed</w:t>
      </w:r>
      <w:r w:rsidRPr="006E1D68">
        <w:rPr>
          <w:lang w:val="en-GB"/>
        </w:rPr>
        <w:t xml:space="preserve"> him as a ‘Prisoner of Concern</w:t>
      </w:r>
      <w:r w:rsidR="00831E6D">
        <w:rPr>
          <w:lang w:val="en-GB"/>
        </w:rPr>
        <w:t>’</w:t>
      </w:r>
      <w:r w:rsidRPr="006E1D68">
        <w:rPr>
          <w:lang w:val="en-GB"/>
        </w:rPr>
        <w:t xml:space="preserve"> and appointed him a </w:t>
      </w:r>
      <w:r w:rsidR="00831E6D">
        <w:rPr>
          <w:lang w:val="en-GB"/>
        </w:rPr>
        <w:t>c</w:t>
      </w:r>
      <w:r w:rsidRPr="006E1D68">
        <w:rPr>
          <w:lang w:val="en-GB"/>
        </w:rPr>
        <w:t xml:space="preserve">ase </w:t>
      </w:r>
      <w:r w:rsidR="00831E6D">
        <w:rPr>
          <w:lang w:val="en-GB"/>
        </w:rPr>
        <w:t>m</w:t>
      </w:r>
      <w:r w:rsidRPr="006E1D68">
        <w:rPr>
          <w:lang w:val="en-GB"/>
        </w:rPr>
        <w:t xml:space="preserve">anager to support his care needs. </w:t>
      </w:r>
    </w:p>
    <w:p w14:paraId="43F4300C" w14:textId="0EEE572B" w:rsidR="006E1D68" w:rsidRPr="006E1D68" w:rsidRDefault="006E1D68" w:rsidP="00B26387">
      <w:pPr>
        <w:ind w:left="2880" w:hanging="2880"/>
        <w:rPr>
          <w:lang w:val="en-GB"/>
        </w:rPr>
      </w:pPr>
      <w:r w:rsidRPr="006E1D68">
        <w:rPr>
          <w:lang w:val="en-GB"/>
        </w:rPr>
        <w:t>Relevant rights:</w:t>
      </w:r>
      <w:r w:rsidRPr="006E1D68">
        <w:rPr>
          <w:rFonts w:eastAsia="Calibri" w:cs="Arial"/>
          <w:sz w:val="22"/>
          <w:lang w:val="en-GB"/>
        </w:rPr>
        <w:t xml:space="preserve"> </w:t>
      </w:r>
      <w:r w:rsidRPr="006E1D68">
        <w:rPr>
          <w:rFonts w:eastAsia="Calibri" w:cs="Arial"/>
          <w:sz w:val="22"/>
          <w:lang w:val="en-GB"/>
        </w:rPr>
        <w:tab/>
      </w:r>
      <w:r w:rsidRPr="006E1D68">
        <w:rPr>
          <w:lang w:val="en-GB"/>
        </w:rPr>
        <w:t>Right to health services (section 37), recognition and equality before the law (section 15), protection from torture &amp; cruel, inhuman or degrading treatment (section 17) and humane treatment when deprived of liberty (section 30)</w:t>
      </w:r>
    </w:p>
    <w:p w14:paraId="09E41BE6" w14:textId="77777777" w:rsidR="006E1D68" w:rsidRPr="006E1D68" w:rsidRDefault="006E1D68" w:rsidP="006E1D68">
      <w:pPr>
        <w:spacing w:after="160" w:line="259" w:lineRule="auto"/>
        <w:ind w:right="0"/>
        <w:rPr>
          <w:lang w:val="en-GB"/>
        </w:rPr>
      </w:pPr>
      <w:r w:rsidRPr="006E1D68">
        <w:rPr>
          <w:lang w:val="en-GB"/>
        </w:rPr>
        <w:t>Complaint type:</w:t>
      </w:r>
      <w:r w:rsidRPr="006E1D68">
        <w:rPr>
          <w:rFonts w:eastAsia="Calibri" w:cs="Arial"/>
          <w:sz w:val="22"/>
          <w:lang w:val="en-GB"/>
        </w:rPr>
        <w:t xml:space="preserve"> </w:t>
      </w:r>
      <w:r w:rsidRPr="006E1D68">
        <w:rPr>
          <w:rFonts w:eastAsia="Calibri" w:cs="Arial"/>
          <w:sz w:val="22"/>
          <w:lang w:val="en-GB"/>
        </w:rPr>
        <w:tab/>
      </w:r>
      <w:r w:rsidRPr="006E1D68">
        <w:rPr>
          <w:rFonts w:eastAsia="Calibri" w:cs="Arial"/>
          <w:sz w:val="22"/>
          <w:lang w:val="en-GB"/>
        </w:rPr>
        <w:tab/>
      </w:r>
      <w:r w:rsidRPr="006E1D68">
        <w:rPr>
          <w:lang w:val="en-GB"/>
        </w:rPr>
        <w:t>Human rights only</w:t>
      </w:r>
    </w:p>
    <w:p w14:paraId="47460049" w14:textId="1AF8D9F2" w:rsidR="00CF2350" w:rsidRPr="00B9212A" w:rsidRDefault="006E1D68" w:rsidP="006E1D68">
      <w:pPr>
        <w:spacing w:after="160" w:line="259" w:lineRule="auto"/>
        <w:ind w:right="0"/>
      </w:pPr>
      <w:r w:rsidRPr="006E1D68">
        <w:rPr>
          <w:lang w:val="en-GB"/>
        </w:rPr>
        <w:t>Dispute resolution mode:</w:t>
      </w:r>
      <w:r w:rsidRPr="006E1D68">
        <w:rPr>
          <w:rFonts w:eastAsia="Calibri" w:cs="Arial"/>
          <w:sz w:val="22"/>
          <w:lang w:val="en-GB"/>
        </w:rPr>
        <w:t xml:space="preserve"> </w:t>
      </w:r>
      <w:r w:rsidRPr="006E1D68">
        <w:rPr>
          <w:rFonts w:eastAsia="Calibri" w:cs="Arial"/>
          <w:sz w:val="22"/>
          <w:lang w:val="en-GB"/>
        </w:rPr>
        <w:tab/>
      </w:r>
      <w:r w:rsidRPr="006E1D68">
        <w:rPr>
          <w:lang w:val="en-GB"/>
        </w:rPr>
        <w:t xml:space="preserve">Conciliation conference </w:t>
      </w:r>
    </w:p>
    <w:p w14:paraId="6A346DEE" w14:textId="77777777" w:rsidR="00617CE3" w:rsidRPr="00CB6617" w:rsidRDefault="00617CE3" w:rsidP="00617CE3">
      <w:pPr>
        <w:rPr>
          <w:lang w:val="en-GB"/>
        </w:rPr>
      </w:pPr>
    </w:p>
    <w:p w14:paraId="1A55C4F6" w14:textId="77777777" w:rsidR="00D75486" w:rsidRPr="00F47270" w:rsidRDefault="006B7E32" w:rsidP="00D75486">
      <w:pPr>
        <w:pStyle w:val="Heading1"/>
      </w:pPr>
      <w:r>
        <w:rPr>
          <w:color w:val="D46228"/>
          <w:sz w:val="28"/>
          <w:shd w:val="clear" w:color="auto" w:fill="FFFFFF"/>
        </w:rPr>
        <w:br w:type="page"/>
      </w:r>
      <w:bookmarkStart w:id="793" w:name="_Toc147757358"/>
      <w:bookmarkStart w:id="794" w:name="_Toc148086992"/>
      <w:r w:rsidR="00D75486" w:rsidRPr="00D75486">
        <w:rPr>
          <w:color w:val="E66A37"/>
        </w:rPr>
        <w:t>Unresolved complaints with recommendations</w:t>
      </w:r>
      <w:bookmarkEnd w:id="793"/>
      <w:bookmarkEnd w:id="794"/>
    </w:p>
    <w:p w14:paraId="6771DA45" w14:textId="77777777" w:rsidR="00D75486" w:rsidRDefault="00D75486" w:rsidP="00D75486">
      <w:r>
        <w:t>Where the Commission considers a complaint has not been resolved by conciliation or otherwise, the Commissioner must give the parties a report that includes the substance of the complaint and the actions taken to try to resolve the complaint.</w:t>
      </w:r>
      <w:r>
        <w:rPr>
          <w:rStyle w:val="FootnoteReference"/>
        </w:rPr>
        <w:footnoteReference w:id="114"/>
      </w:r>
      <w:r>
        <w:t xml:space="preserve"> </w:t>
      </w:r>
    </w:p>
    <w:p w14:paraId="15CF7F28" w14:textId="77777777" w:rsidR="00D75486" w:rsidRDefault="00D75486" w:rsidP="00D75486">
      <w:r>
        <w:t>The Commission has the discretion to include details of actions the Commissioner considers the respondent should take to ensure its acts and decisions are compatible with human rights (recommendations).</w:t>
      </w:r>
      <w:r>
        <w:rPr>
          <w:rStyle w:val="FootnoteReference"/>
        </w:rPr>
        <w:footnoteReference w:id="115"/>
      </w:r>
    </w:p>
    <w:p w14:paraId="544DDF32" w14:textId="77777777" w:rsidR="00D75486" w:rsidRDefault="00D75486" w:rsidP="00D75486">
      <w:r>
        <w:t>In the reporting period</w:t>
      </w:r>
      <w:r w:rsidRPr="00C20C47">
        <w:t xml:space="preserve"> </w:t>
      </w:r>
      <w:r>
        <w:t>2 reports with recommendations were published:</w:t>
      </w:r>
    </w:p>
    <w:p w14:paraId="4A786DCF" w14:textId="77777777" w:rsidR="00D75486" w:rsidRPr="007D58A2" w:rsidRDefault="00D75486" w:rsidP="00DD47CB">
      <w:pPr>
        <w:pStyle w:val="Heading2"/>
        <w:rPr>
          <w:color w:val="E66A37"/>
        </w:rPr>
      </w:pPr>
      <w:bookmarkStart w:id="795" w:name="_Toc148086993"/>
      <w:r w:rsidRPr="007D58A2">
        <w:rPr>
          <w:color w:val="E66A37"/>
        </w:rPr>
        <w:t>Visitor access to prisons</w:t>
      </w:r>
      <w:bookmarkEnd w:id="795"/>
    </w:p>
    <w:p w14:paraId="09198694" w14:textId="77777777" w:rsidR="00D75486" w:rsidRDefault="00D75486" w:rsidP="00D75486">
      <w:r>
        <w:t>Complaint lodged against:</w:t>
      </w:r>
      <w:r>
        <w:tab/>
        <w:t>Queensland Corrective Services</w:t>
      </w:r>
    </w:p>
    <w:p w14:paraId="334C9037" w14:textId="77777777" w:rsidR="00D75486" w:rsidRDefault="00D75486" w:rsidP="00D75486">
      <w:pPr>
        <w:ind w:left="2880" w:hanging="2880"/>
      </w:pPr>
      <w:r>
        <w:t>Human Rights Act sections:</w:t>
      </w:r>
      <w:r>
        <w:tab/>
        <w:t>Protection of families and children (section 26), cultural rights - Aboriginal peoples and Torres Strait Islander peoples (section 28), humane treatment when deprived of liberty (section 30)</w:t>
      </w:r>
    </w:p>
    <w:p w14:paraId="1B456D84" w14:textId="77777777" w:rsidR="00D75486" w:rsidRDefault="00D75486" w:rsidP="00D75486">
      <w:r>
        <w:t>Date report published:</w:t>
      </w:r>
      <w:r>
        <w:tab/>
      </w:r>
      <w:r>
        <w:tab/>
        <w:t>26 October 2022</w:t>
      </w:r>
    </w:p>
    <w:p w14:paraId="51872B22" w14:textId="77777777" w:rsidR="00D75486" w:rsidRDefault="00D75486" w:rsidP="00D75486">
      <w:r>
        <w:t xml:space="preserve">The complainant is an Aboriginal man with a criminal history and disability. He applied for access approval to see his son in prison. Following an incident in which threats were allegedly made by the complainant, his access approval was suspended for 3 months. When the complainant’s son moved to another prison, there was confusion as to whether a fresh application for access approval was needed. Ultimately, access approval to the second prison was also suspended. </w:t>
      </w:r>
    </w:p>
    <w:p w14:paraId="498E8A72" w14:textId="77777777" w:rsidR="00D75486" w:rsidRDefault="00D75486" w:rsidP="00D75486">
      <w:r>
        <w:t>The complainant’s grievances against Queensland Corrective Services included the requirement to have criminal history checks in order to visit prisons, the delays criminal history checks cause to the process, and the impact, particularly the mental health impact, this has on prisoners and their families.</w:t>
      </w:r>
    </w:p>
    <w:p w14:paraId="7C62221C" w14:textId="77777777" w:rsidR="00D75486" w:rsidRDefault="00D75486" w:rsidP="00D75486">
      <w:r>
        <w:t>The unresolved complaint report makes a number of recommendations about the process, including that Queensland Corrective Services should:</w:t>
      </w:r>
    </w:p>
    <w:p w14:paraId="5BC37F2F" w14:textId="77777777" w:rsidR="00D75486" w:rsidRDefault="00D75486" w:rsidP="00D75486">
      <w:pPr>
        <w:pStyle w:val="ListParagraph"/>
        <w:numPr>
          <w:ilvl w:val="0"/>
          <w:numId w:val="26"/>
        </w:numPr>
      </w:pPr>
      <w:r>
        <w:t>implement measures to mitigate against undue delay and distress caused by the need to obtain a criminal history check, such as by giving applicants an estimated timeframe for processing applications, providing guidance on the exercise of discretion to give interim approval for a visitor while they are awaiting a decision, and reinforcing the requirement to give procedural fairness to applicants against whom adverse decisions are made on the basis of their criminal history check;</w:t>
      </w:r>
    </w:p>
    <w:p w14:paraId="75F32761" w14:textId="1E7ACCB1" w:rsidR="00D75486" w:rsidRDefault="00D75486" w:rsidP="00D75486">
      <w:pPr>
        <w:pStyle w:val="ListParagraph"/>
        <w:numPr>
          <w:ilvl w:val="0"/>
          <w:numId w:val="26"/>
        </w:numPr>
      </w:pPr>
      <w:r>
        <w:t>obtain information from applicants about any accommodations they may need to participate in the application process or to visit the prisoner;</w:t>
      </w:r>
    </w:p>
    <w:p w14:paraId="0C3AB75E" w14:textId="521D70AF" w:rsidR="00D75486" w:rsidRDefault="00D75486" w:rsidP="00D75486">
      <w:pPr>
        <w:pStyle w:val="ListParagraph"/>
        <w:numPr>
          <w:ilvl w:val="0"/>
          <w:numId w:val="26"/>
        </w:numPr>
      </w:pPr>
      <w:r>
        <w:t>include human rights considerations in their decision letters.</w:t>
      </w:r>
    </w:p>
    <w:p w14:paraId="43993FD4" w14:textId="77777777" w:rsidR="00D75486" w:rsidRPr="007D58A2" w:rsidRDefault="00D75486" w:rsidP="00DD47CB">
      <w:pPr>
        <w:pStyle w:val="Heading2"/>
        <w:rPr>
          <w:color w:val="E66A37"/>
        </w:rPr>
      </w:pPr>
      <w:bookmarkStart w:id="796" w:name="_Toc148086994"/>
      <w:r w:rsidRPr="007D58A2">
        <w:rPr>
          <w:color w:val="E66A37"/>
        </w:rPr>
        <w:t>Prisoner accommodation and medication</w:t>
      </w:r>
      <w:bookmarkEnd w:id="796"/>
    </w:p>
    <w:p w14:paraId="69328812" w14:textId="77777777" w:rsidR="00D75486" w:rsidRDefault="00D75486" w:rsidP="00D75486">
      <w:pPr>
        <w:ind w:left="2880" w:hanging="2880"/>
      </w:pPr>
      <w:r>
        <w:t>Complaint lodged against:</w:t>
      </w:r>
      <w:r>
        <w:tab/>
        <w:t>Hospital and Health Service, Queensland Corrective Services</w:t>
      </w:r>
    </w:p>
    <w:p w14:paraId="529B157F" w14:textId="77777777" w:rsidR="00D75486" w:rsidRDefault="00D75486" w:rsidP="00D75486">
      <w:pPr>
        <w:ind w:left="2880" w:hanging="2880"/>
      </w:pPr>
      <w:r>
        <w:t>Human Rights Act sections:</w:t>
      </w:r>
      <w:r>
        <w:tab/>
        <w:t>Humane treatment when deprived of liberty (section 30)</w:t>
      </w:r>
    </w:p>
    <w:p w14:paraId="229485C0" w14:textId="77777777" w:rsidR="00D75486" w:rsidRDefault="00D75486" w:rsidP="00D75486">
      <w:r>
        <w:t>Date report published:</w:t>
      </w:r>
      <w:r>
        <w:tab/>
      </w:r>
      <w:r>
        <w:tab/>
        <w:t>28 June 2023</w:t>
      </w:r>
    </w:p>
    <w:p w14:paraId="36DBDDB5" w14:textId="77777777" w:rsidR="00D75486" w:rsidRDefault="00D75486" w:rsidP="00D75486">
      <w:r>
        <w:t xml:space="preserve">A prisoner alleged significant delay in his transfer to single cell accommodation in accordance with a medical recommendation. This was because the prisoner was required to pass on the medical recommendation from the Hospital and Health Service (HHS) to Queensland Corrective Services (QCS) to implement, instead of the HHS sending on medical recommendations directly to QCS. </w:t>
      </w:r>
    </w:p>
    <w:p w14:paraId="2BD5431E" w14:textId="77777777" w:rsidR="00D75486" w:rsidRDefault="00D75486" w:rsidP="00D75486">
      <w:r>
        <w:t>The prisoner also alleged the HHS failed to provide continuity and equivalence of medical care to that available in the community, including a decision not to continue the prescription medication that had been prescribed to him prior to admission to prison.</w:t>
      </w:r>
    </w:p>
    <w:p w14:paraId="2F7CB1FD" w14:textId="77777777" w:rsidR="00D75486" w:rsidRDefault="00D75486" w:rsidP="00D75486">
      <w:r>
        <w:t>The Commission recommended that the HHS review its prison policies and procedures and make them compatible with rights in the Human Rights Act to ensure:</w:t>
      </w:r>
    </w:p>
    <w:p w14:paraId="5DC4F373" w14:textId="77777777" w:rsidR="00D75486" w:rsidRDefault="00D75486" w:rsidP="00D75486">
      <w:pPr>
        <w:pStyle w:val="ListParagraph"/>
        <w:numPr>
          <w:ilvl w:val="0"/>
          <w:numId w:val="27"/>
        </w:numPr>
      </w:pPr>
      <w:r>
        <w:t>Subject to the prisoner’s consent, medical recommendations about the accommodation of prisoners are communicated directly from the HHS to QCS.</w:t>
      </w:r>
    </w:p>
    <w:p w14:paraId="67BC79FC" w14:textId="77777777" w:rsidR="00D75486" w:rsidRDefault="00D75486" w:rsidP="00D75486">
      <w:pPr>
        <w:pStyle w:val="ListParagraph"/>
        <w:numPr>
          <w:ilvl w:val="0"/>
          <w:numId w:val="27"/>
        </w:numPr>
      </w:pPr>
      <w:r>
        <w:t xml:space="preserve">The consideration of factors related to </w:t>
      </w:r>
      <w:r w:rsidDel="005766FE">
        <w:t>as</w:t>
      </w:r>
      <w:r>
        <w:t xml:space="preserve"> the risk of abuse and diversion in prescribing, ceasing, and managing medication in prison are demonstrably justified.</w:t>
      </w:r>
    </w:p>
    <w:p w14:paraId="44A0B860" w14:textId="519B223F" w:rsidR="00D75486" w:rsidRDefault="00D75486" w:rsidP="00D75486">
      <w:r>
        <w:t xml:space="preserve">The Commission welcomed the response from QCS and the HHS that they were prepared to accept the Commission’s recommendations and have already commenced implementation. </w:t>
      </w:r>
    </w:p>
    <w:p w14:paraId="6F7F45DD" w14:textId="411EA696" w:rsidR="006B7E32" w:rsidRDefault="006B7E32">
      <w:pPr>
        <w:spacing w:after="160" w:line="259" w:lineRule="auto"/>
        <w:ind w:right="0"/>
        <w:rPr>
          <w:rFonts w:eastAsiaTheme="majorEastAsia" w:cstheme="majorBidi"/>
          <w:color w:val="D46228"/>
          <w:sz w:val="28"/>
          <w:szCs w:val="32"/>
          <w:shd w:val="clear" w:color="auto" w:fill="FFFFFF"/>
        </w:rPr>
      </w:pPr>
    </w:p>
    <w:p w14:paraId="0E715C40" w14:textId="41149FE5" w:rsidR="00BB08EE" w:rsidRDefault="00BB08EE" w:rsidP="00BB08EE">
      <w:pPr>
        <w:rPr>
          <w:shd w:val="clear" w:color="auto" w:fill="FFFFFF"/>
        </w:rPr>
      </w:pPr>
      <w:bookmarkStart w:id="797" w:name="_Toc884098592"/>
    </w:p>
    <w:p w14:paraId="4C275D4E" w14:textId="4004FCAB" w:rsidR="00F22830" w:rsidRPr="007D58A2" w:rsidRDefault="00F22830" w:rsidP="00F22830">
      <w:pPr>
        <w:pStyle w:val="Heading1"/>
        <w:rPr>
          <w:color w:val="E66A37"/>
        </w:rPr>
      </w:pPr>
      <w:bookmarkStart w:id="798" w:name="_Toc84593937"/>
      <w:bookmarkStart w:id="799" w:name="_Toc85451812"/>
      <w:bookmarkStart w:id="800" w:name="_Toc85526743"/>
      <w:bookmarkStart w:id="801" w:name="_Toc85787158"/>
      <w:bookmarkStart w:id="802" w:name="_Toc1421887058"/>
      <w:bookmarkStart w:id="803" w:name="_Toc117697211"/>
      <w:bookmarkStart w:id="804" w:name="_Toc117697918"/>
      <w:bookmarkStart w:id="805" w:name="_Toc147757357"/>
      <w:bookmarkStart w:id="806" w:name="_Toc148086983"/>
      <w:r w:rsidRPr="007D58A2">
        <w:rPr>
          <w:color w:val="E66A37"/>
        </w:rPr>
        <w:t>Complaints to other agencies</w:t>
      </w:r>
      <w:bookmarkEnd w:id="798"/>
      <w:bookmarkEnd w:id="799"/>
      <w:bookmarkEnd w:id="800"/>
      <w:bookmarkEnd w:id="801"/>
      <w:bookmarkEnd w:id="802"/>
      <w:bookmarkEnd w:id="803"/>
      <w:bookmarkEnd w:id="804"/>
      <w:bookmarkEnd w:id="805"/>
      <w:bookmarkEnd w:id="806"/>
    </w:p>
    <w:p w14:paraId="1D33549A" w14:textId="5F347635" w:rsidR="00F22830" w:rsidRPr="008A00EB" w:rsidRDefault="00F22830" w:rsidP="00F22830">
      <w:r>
        <w:t xml:space="preserve">Aside from the </w:t>
      </w:r>
      <w:r w:rsidRPr="008A00EB">
        <w:t>Commission</w:t>
      </w:r>
      <w:r>
        <w:t>, other oversight bodies reported receiving</w:t>
      </w:r>
      <w:r w:rsidRPr="008A00EB">
        <w:t xml:space="preserve"> complaints about human rights in </w:t>
      </w:r>
      <w:r w:rsidRPr="00E641FF">
        <w:t>2022–23</w:t>
      </w:r>
      <w:r w:rsidRPr="008A00EB">
        <w:t>.</w:t>
      </w:r>
    </w:p>
    <w:p w14:paraId="55415490" w14:textId="77777777" w:rsidR="00F22830" w:rsidRDefault="00F22830" w:rsidP="00F22830">
      <w:r>
        <w:t xml:space="preserve">The Office of the Queensland Ombudsman received </w:t>
      </w:r>
      <w:r w:rsidRPr="00DB050A">
        <w:t xml:space="preserve">1,075 </w:t>
      </w:r>
      <w:r>
        <w:t>complaints that were assessed as containing a human rights element with the most common complaint issues being right to health services, property rights, protection of families and children, humane treatment when deprived of liberty and right to education.</w:t>
      </w:r>
      <w:r w:rsidRPr="2C3DB73A">
        <w:rPr>
          <w:rStyle w:val="FootnoteReference"/>
        </w:rPr>
        <w:footnoteReference w:id="116"/>
      </w:r>
    </w:p>
    <w:p w14:paraId="4655F021" w14:textId="2975E15F" w:rsidR="00F22830" w:rsidRDefault="00F22830" w:rsidP="00F22830">
      <w:pPr>
        <w:rPr>
          <w:rFonts w:eastAsia="Calibri" w:cs="Arial"/>
        </w:rPr>
      </w:pPr>
      <w:r w:rsidRPr="2C3DB73A">
        <w:rPr>
          <w:rFonts w:eastAsia="Calibri" w:cs="Arial"/>
        </w:rPr>
        <w:t xml:space="preserve">The Office of the Health Ombudsman </w:t>
      </w:r>
      <w:r>
        <w:rPr>
          <w:rFonts w:eastAsia="Calibri" w:cs="Arial"/>
        </w:rPr>
        <w:t xml:space="preserve">(OHO) </w:t>
      </w:r>
      <w:r w:rsidRPr="2C3DB73A">
        <w:rPr>
          <w:rFonts w:eastAsia="Calibri" w:cs="Arial"/>
        </w:rPr>
        <w:t xml:space="preserve">identified </w:t>
      </w:r>
      <w:r w:rsidRPr="008C038B">
        <w:rPr>
          <w:rFonts w:eastAsia="Calibri" w:cs="Arial"/>
        </w:rPr>
        <w:t xml:space="preserve">825 </w:t>
      </w:r>
      <w:r w:rsidRPr="2C3DB73A">
        <w:rPr>
          <w:rFonts w:eastAsia="Calibri" w:cs="Arial"/>
        </w:rPr>
        <w:t>health service complaints in the reporting period that potentially engaged at least one human right.</w:t>
      </w:r>
      <w:r>
        <w:rPr>
          <w:rFonts w:eastAsia="Calibri" w:cs="Arial"/>
        </w:rPr>
        <w:t xml:space="preserve"> There is a significant increase on previous years data. A focused quality assurance audit was undertaken to ensure matters where one or more human rights were potentially limited were captured and recorded accurately in the case management system.</w:t>
      </w:r>
      <w:r>
        <w:rPr>
          <w:rStyle w:val="FootnoteReference"/>
          <w:rFonts w:eastAsia="Calibri" w:cs="Arial"/>
        </w:rPr>
        <w:footnoteReference w:id="117"/>
      </w:r>
      <w:r>
        <w:rPr>
          <w:rFonts w:eastAsia="Calibri" w:cs="Arial"/>
        </w:rPr>
        <w:t xml:space="preserve"> </w:t>
      </w:r>
    </w:p>
    <w:p w14:paraId="69E9F754" w14:textId="3F2D0DF2" w:rsidR="00F22830" w:rsidRDefault="00F22830" w:rsidP="00F22830">
      <w:pPr>
        <w:rPr>
          <w:rFonts w:eastAsia="Calibri" w:cs="Arial"/>
        </w:rPr>
      </w:pPr>
      <w:r>
        <w:rPr>
          <w:rFonts w:eastAsia="Calibri" w:cs="Arial"/>
        </w:rPr>
        <w:t>The main human rights issues identified were right to protection from torture and cruel, inhuman or degrading treatment, right to access health services, right to liberty and security of person, right to humane treatment when deprived of liberty and right to privacy and reputation.</w:t>
      </w:r>
      <w:r w:rsidRPr="2C3DB73A">
        <w:rPr>
          <w:rStyle w:val="FootnoteReference"/>
          <w:rFonts w:eastAsia="Calibri" w:cs="Arial"/>
        </w:rPr>
        <w:footnoteReference w:id="118"/>
      </w:r>
    </w:p>
    <w:p w14:paraId="078B8998" w14:textId="5C6156D1" w:rsidR="00F22830" w:rsidRDefault="00F22830">
      <w:pPr>
        <w:spacing w:after="160" w:line="259" w:lineRule="auto"/>
        <w:ind w:right="0"/>
        <w:rPr>
          <w:shd w:val="clear" w:color="auto" w:fill="FFFFFF"/>
        </w:rPr>
      </w:pPr>
      <w:r>
        <w:rPr>
          <w:shd w:val="clear" w:color="auto" w:fill="FFFFFF"/>
        </w:rPr>
        <w:br w:type="page"/>
      </w:r>
    </w:p>
    <w:p w14:paraId="08E40A4F" w14:textId="1B908F9F" w:rsidR="00BB08EE" w:rsidRDefault="00F22830" w:rsidP="00BB08EE">
      <w:pPr>
        <w:rPr>
          <w:shd w:val="clear" w:color="auto" w:fill="FFFFFF"/>
        </w:rPr>
      </w:pPr>
      <w:r>
        <w:rPr>
          <w:noProof/>
          <w:color w:val="2B579A"/>
          <w:shd w:val="clear" w:color="auto" w:fill="FFFFFF"/>
          <w:lang w:eastAsia="en-AU"/>
        </w:rPr>
        <w:drawing>
          <wp:anchor distT="0" distB="0" distL="114300" distR="114300" simplePos="0" relativeHeight="251658243" behindDoc="1" locked="0" layoutInCell="1" allowOverlap="1" wp14:anchorId="3FA23176" wp14:editId="705830D0">
            <wp:simplePos x="0" y="0"/>
            <wp:positionH relativeFrom="page">
              <wp:posOffset>-29845</wp:posOffset>
            </wp:positionH>
            <wp:positionV relativeFrom="paragraph">
              <wp:posOffset>-912495</wp:posOffset>
            </wp:positionV>
            <wp:extent cx="7581929" cy="10862015"/>
            <wp:effectExtent l="0" t="0" r="0" b="0"/>
            <wp:wrapNone/>
            <wp:docPr id="36" name="Picture 36" descr="A young man on a rocky outcrop at the beach. The rocks are bright red, and the water is just visible lapping at the bottom of them. The sky is clear and blue, the water is a pale aqua, and the young man on top of the outcrop is wearing a yellow cap, red shorts, and a tshirt with the Aboriginal flag on the fro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young man on a rocky outcrop at the beach. The rocks are bright red, and the water is just visible lapping at the bottom of them. The sky is clear and blue, the water is a pale aqua, and the young man on top of the outcrop is wearing a yellow cap, red shorts, and a tshirt with the Aboriginal flag on the front. "/>
                    <pic:cNvPicPr/>
                  </pic:nvPicPr>
                  <pic:blipFill rotWithShape="1">
                    <a:blip r:embed="rId38" cstate="print">
                      <a:extLst>
                        <a:ext uri="{28A0092B-C50C-407E-A947-70E740481C1C}">
                          <a14:useLocalDpi xmlns:a14="http://schemas.microsoft.com/office/drawing/2010/main" val="0"/>
                        </a:ext>
                      </a:extLst>
                    </a:blip>
                    <a:srcRect l="33570" r="19898"/>
                    <a:stretch/>
                  </pic:blipFill>
                  <pic:spPr bwMode="auto">
                    <a:xfrm>
                      <a:off x="0" y="0"/>
                      <a:ext cx="7581929" cy="10862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291E" w:rsidRPr="00CA5DA3">
        <w:rPr>
          <w:noProof/>
          <w:color w:val="2B579A"/>
          <w:shd w:val="clear" w:color="auto" w:fill="E6E6E6"/>
          <w:lang w:eastAsia="en-AU"/>
        </w:rPr>
        <w:drawing>
          <wp:anchor distT="0" distB="0" distL="114300" distR="114300" simplePos="0" relativeHeight="251658264" behindDoc="1" locked="0" layoutInCell="1" allowOverlap="1" wp14:anchorId="11071202" wp14:editId="712EC32B">
            <wp:simplePos x="0" y="0"/>
            <wp:positionH relativeFrom="page">
              <wp:align>right</wp:align>
            </wp:positionH>
            <wp:positionV relativeFrom="paragraph">
              <wp:posOffset>-913329</wp:posOffset>
            </wp:positionV>
            <wp:extent cx="370687" cy="10725150"/>
            <wp:effectExtent l="0" t="0" r="0" b="0"/>
            <wp:wrapNone/>
            <wp:docPr id="31"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a:extLst>
                        <a:ext uri="{C183D7F6-B498-43B3-948B-1728B52AA6E4}">
                          <adec:decorative xmlns:adec="http://schemas.microsoft.com/office/drawing/2017/decorative" val="1"/>
                        </a:ext>
                      </a:extLs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0687" cy="10725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1B1E2E" w14:textId="5EDE3D82" w:rsidR="00BB08EE" w:rsidRDefault="00BB08EE" w:rsidP="00BB08EE">
      <w:pPr>
        <w:rPr>
          <w:shd w:val="clear" w:color="auto" w:fill="FFFFFF"/>
        </w:rPr>
      </w:pPr>
    </w:p>
    <w:p w14:paraId="2BC9C62D" w14:textId="012988B5" w:rsidR="00BB08EE" w:rsidRDefault="00BB08EE" w:rsidP="00BB08EE">
      <w:pPr>
        <w:rPr>
          <w:shd w:val="clear" w:color="auto" w:fill="FFFFFF"/>
        </w:rPr>
      </w:pPr>
    </w:p>
    <w:p w14:paraId="6B45DDA7" w14:textId="1CDB5E2A" w:rsidR="00BB08EE" w:rsidRDefault="00BB08EE" w:rsidP="00BB08EE">
      <w:pPr>
        <w:rPr>
          <w:shd w:val="clear" w:color="auto" w:fill="FFFFFF"/>
        </w:rPr>
      </w:pPr>
    </w:p>
    <w:p w14:paraId="4A81D6D1" w14:textId="54A36618" w:rsidR="00BB08EE" w:rsidRDefault="00BB08EE" w:rsidP="00BB08EE">
      <w:pPr>
        <w:rPr>
          <w:shd w:val="clear" w:color="auto" w:fill="FFFFFF"/>
        </w:rPr>
      </w:pPr>
    </w:p>
    <w:p w14:paraId="7F872D14" w14:textId="7034790F" w:rsidR="006E242A" w:rsidRDefault="006E242A" w:rsidP="00BB08EE">
      <w:pPr>
        <w:rPr>
          <w:shd w:val="clear" w:color="auto" w:fill="FFFFFF"/>
        </w:rPr>
      </w:pPr>
    </w:p>
    <w:p w14:paraId="277C2D52" w14:textId="311E5A9C" w:rsidR="006E242A" w:rsidRDefault="006E242A" w:rsidP="00BB08EE">
      <w:pPr>
        <w:rPr>
          <w:shd w:val="clear" w:color="auto" w:fill="FFFFFF"/>
        </w:rPr>
      </w:pPr>
    </w:p>
    <w:p w14:paraId="6A34B794" w14:textId="0E31F5C9" w:rsidR="006E242A" w:rsidRDefault="006E242A" w:rsidP="00BB08EE">
      <w:pPr>
        <w:rPr>
          <w:shd w:val="clear" w:color="auto" w:fill="FFFFFF"/>
        </w:rPr>
      </w:pPr>
    </w:p>
    <w:p w14:paraId="055458B8" w14:textId="1BDA7EBB" w:rsidR="006E242A" w:rsidRDefault="006E242A" w:rsidP="00BB08EE">
      <w:pPr>
        <w:rPr>
          <w:shd w:val="clear" w:color="auto" w:fill="FFFFFF"/>
        </w:rPr>
      </w:pPr>
    </w:p>
    <w:p w14:paraId="118E8799" w14:textId="58DB8809" w:rsidR="006E242A" w:rsidRDefault="006E242A" w:rsidP="00BB08EE">
      <w:pPr>
        <w:rPr>
          <w:shd w:val="clear" w:color="auto" w:fill="FFFFFF"/>
        </w:rPr>
      </w:pPr>
    </w:p>
    <w:p w14:paraId="0B4DAF7C" w14:textId="218BE943" w:rsidR="00BB08EE" w:rsidRDefault="00BB08EE" w:rsidP="00BB08EE">
      <w:pPr>
        <w:rPr>
          <w:shd w:val="clear" w:color="auto" w:fill="FFFFFF"/>
        </w:rPr>
      </w:pPr>
    </w:p>
    <w:p w14:paraId="2EAB8823" w14:textId="7A4F3CB8" w:rsidR="00BB08EE" w:rsidRDefault="00BB08EE" w:rsidP="00F22830">
      <w:pPr>
        <w:spacing w:after="160" w:line="259" w:lineRule="auto"/>
        <w:rPr>
          <w:rFonts w:eastAsiaTheme="majorEastAsia" w:cstheme="majorBidi"/>
          <w:color w:val="E66A37"/>
          <w:sz w:val="48"/>
          <w:szCs w:val="32"/>
        </w:rPr>
      </w:pPr>
    </w:p>
    <w:p w14:paraId="059285F4" w14:textId="4ED20DA3" w:rsidR="00BB08EE" w:rsidRDefault="00F22830" w:rsidP="00F22830">
      <w:pPr>
        <w:spacing w:after="160" w:line="259" w:lineRule="auto"/>
        <w:ind w:right="0"/>
        <w:rPr>
          <w:rFonts w:eastAsiaTheme="majorEastAsia" w:cstheme="majorBidi"/>
          <w:color w:val="E66A37"/>
          <w:sz w:val="48"/>
          <w:szCs w:val="32"/>
        </w:rPr>
      </w:pPr>
      <w:r w:rsidRPr="00CA5DA3">
        <w:rPr>
          <w:noProof/>
          <w:color w:val="2B579A"/>
          <w:shd w:val="clear" w:color="auto" w:fill="E6E6E6"/>
          <w:lang w:eastAsia="en-AU"/>
        </w:rPr>
        <mc:AlternateContent>
          <mc:Choice Requires="wps">
            <w:drawing>
              <wp:anchor distT="0" distB="0" distL="114300" distR="114300" simplePos="0" relativeHeight="251658269" behindDoc="1" locked="0" layoutInCell="1" allowOverlap="1" wp14:anchorId="4FC24D72" wp14:editId="2B5B1AB1">
                <wp:simplePos x="0" y="0"/>
                <wp:positionH relativeFrom="margin">
                  <wp:posOffset>-1037495</wp:posOffset>
                </wp:positionH>
                <wp:positionV relativeFrom="paragraph">
                  <wp:posOffset>521657</wp:posOffset>
                </wp:positionV>
                <wp:extent cx="6496050" cy="723900"/>
                <wp:effectExtent l="0" t="0" r="0" b="0"/>
                <wp:wrapNone/>
                <wp:docPr id="30" name="Rectangle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96050" cy="723900"/>
                        </a:xfrm>
                        <a:prstGeom prst="rect">
                          <a:avLst/>
                        </a:prstGeom>
                        <a:solidFill>
                          <a:srgbClr val="D83A3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037B234" id="Rectangle 30" o:spid="_x0000_s1026" alt="&quot;&quot;" style="position:absolute;margin-left:-81.7pt;margin-top:41.1pt;width:511.5pt;height:57pt;z-index:-2516582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" fillcolor="#d83a37" stroked="f" strokeweight="1pt">
                <w10:wrap anchorx="margin"/>
              </v:rect>
            </w:pict>
          </mc:Fallback>
        </mc:AlternateContent>
      </w:r>
    </w:p>
    <w:bookmarkStart w:id="807" w:name="_Toc117697220"/>
    <w:bookmarkStart w:id="808" w:name="_Toc147757366"/>
    <w:bookmarkStart w:id="809" w:name="_Toc148086995"/>
    <w:bookmarkEnd w:id="797"/>
    <w:p w14:paraId="636D9F37" w14:textId="06022988" w:rsidR="00484AA4" w:rsidRDefault="00484AA4" w:rsidP="00484AA4">
      <w:pPr>
        <w:pStyle w:val="Sectiontitle"/>
      </w:pPr>
      <w:r w:rsidRPr="005D211A">
        <w:rPr>
          <w:noProof/>
          <w:color w:val="2B579A"/>
          <w:shd w:val="clear" w:color="auto" w:fill="E6E6E6"/>
          <w:lang w:eastAsia="en-AU"/>
        </w:rPr>
        <mc:AlternateContent>
          <mc:Choice Requires="wps">
            <w:drawing>
              <wp:anchor distT="0" distB="0" distL="114300" distR="114300" simplePos="0" relativeHeight="251658267" behindDoc="1" locked="0" layoutInCell="1" allowOverlap="1" wp14:anchorId="7F81F1D2" wp14:editId="475627B1">
                <wp:simplePos x="0" y="0"/>
                <wp:positionH relativeFrom="page">
                  <wp:align>left</wp:align>
                </wp:positionH>
                <wp:positionV relativeFrom="paragraph">
                  <wp:posOffset>893445</wp:posOffset>
                </wp:positionV>
                <wp:extent cx="4343400" cy="723900"/>
                <wp:effectExtent l="0" t="0" r="0" b="0"/>
                <wp:wrapNone/>
                <wp:docPr id="7" name="Rectangle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343400" cy="723900"/>
                        </a:xfrm>
                        <a:prstGeom prst="rect">
                          <a:avLst/>
                        </a:prstGeom>
                        <a:solidFill>
                          <a:srgbClr val="D83A3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1E05EDD" id="Rectangle 7" o:spid="_x0000_s1026" alt="&quot;&quot;" style="position:absolute;margin-left:0;margin-top:70.35pt;width:342pt;height:57pt;z-index:-251658213;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" fillcolor="#d83a37" stroked="f" strokeweight="1pt">
                <w10:wrap anchorx="page"/>
              </v:rect>
            </w:pict>
          </mc:Fallback>
        </mc:AlternateContent>
      </w:r>
      <w:r>
        <w:t>Human rights</w:t>
      </w:r>
      <w:r w:rsidR="00594F23">
        <w:t xml:space="preserve"> in the</w:t>
      </w:r>
      <w:r>
        <w:t xml:space="preserve"> com</w:t>
      </w:r>
      <w:r w:rsidR="00594F23">
        <w:t>munity</w:t>
      </w:r>
      <w:bookmarkEnd w:id="807"/>
      <w:bookmarkEnd w:id="808"/>
      <w:bookmarkEnd w:id="809"/>
    </w:p>
    <w:p w14:paraId="636E3164" w14:textId="1C68EE56" w:rsidR="00ED0ECD" w:rsidRPr="00BD5CEF" w:rsidRDefault="00ED0ECD" w:rsidP="00BD5CEF"/>
    <w:p w14:paraId="2B049FDD" w14:textId="0342919B" w:rsidR="00A409EB" w:rsidRPr="00A409EB" w:rsidRDefault="00A409EB" w:rsidP="00A409EB"/>
    <w:p w14:paraId="72238441" w14:textId="3AB34904" w:rsidR="006F377C" w:rsidRPr="006E242A" w:rsidRDefault="391EEB24" w:rsidP="72325FA5">
      <w:pPr>
        <w:rPr>
          <w:color w:val="D83A37"/>
        </w:rPr>
      </w:pPr>
      <w:r>
        <w:t xml:space="preserve"> </w:t>
      </w:r>
      <w:r w:rsidR="00367397" w:rsidRPr="25306663">
        <w:rPr>
          <w:color w:val="D46228"/>
        </w:rPr>
        <w:br w:type="page"/>
      </w:r>
      <w:bookmarkStart w:id="810" w:name="_Toc84593958"/>
      <w:bookmarkStart w:id="811" w:name="_Toc85451833"/>
      <w:bookmarkStart w:id="812" w:name="_Toc85526764"/>
      <w:bookmarkStart w:id="813" w:name="_Toc85787179"/>
      <w:bookmarkStart w:id="814" w:name="_Toc964499330"/>
      <w:bookmarkStart w:id="815" w:name="_Toc117697221"/>
      <w:bookmarkStart w:id="816" w:name="_Toc147757367"/>
      <w:bookmarkStart w:id="817" w:name="_Toc148086996"/>
      <w:r w:rsidR="006F377C" w:rsidRPr="006E242A">
        <w:rPr>
          <w:rStyle w:val="Heading1Char"/>
          <w:color w:val="D83A37"/>
        </w:rPr>
        <w:t>Community education</w:t>
      </w:r>
      <w:bookmarkEnd w:id="810"/>
      <w:bookmarkEnd w:id="811"/>
      <w:bookmarkEnd w:id="812"/>
      <w:bookmarkEnd w:id="813"/>
      <w:bookmarkEnd w:id="814"/>
      <w:r w:rsidR="005C6536">
        <w:rPr>
          <w:rStyle w:val="Heading1Char"/>
          <w:color w:val="D83A37"/>
        </w:rPr>
        <w:t xml:space="preserve"> and training</w:t>
      </w:r>
      <w:bookmarkEnd w:id="815"/>
      <w:bookmarkEnd w:id="816"/>
      <w:bookmarkEnd w:id="817"/>
    </w:p>
    <w:p w14:paraId="0D869FF2" w14:textId="77777777" w:rsidR="0058445C" w:rsidRDefault="00E568D5" w:rsidP="006F377C">
      <w:r>
        <w:t xml:space="preserve">The Human Rights Act gives the Commission functions </w:t>
      </w:r>
      <w:r w:rsidR="0058445C">
        <w:t>to:</w:t>
      </w:r>
    </w:p>
    <w:p w14:paraId="16DD49CB" w14:textId="2E0595CD" w:rsidR="0058445C" w:rsidRPr="00AF4776" w:rsidRDefault="0058445C" w:rsidP="00E1244B">
      <w:pPr>
        <w:pStyle w:val="ListParagraph"/>
        <w:numPr>
          <w:ilvl w:val="0"/>
          <w:numId w:val="21"/>
        </w:numPr>
      </w:pPr>
      <w:r w:rsidRPr="00AF4776">
        <w:rPr>
          <w:rFonts w:eastAsiaTheme="minorHAnsi"/>
          <w:iCs w:val="0"/>
          <w:color w:val="auto"/>
          <w:szCs w:val="22"/>
        </w:rPr>
        <w:t>promote an understanding</w:t>
      </w:r>
      <w:r w:rsidR="00CA0FA3">
        <w:rPr>
          <w:rFonts w:eastAsiaTheme="minorHAnsi"/>
          <w:iCs w:val="0"/>
          <w:color w:val="auto"/>
          <w:szCs w:val="22"/>
        </w:rPr>
        <w:t xml:space="preserve"> and</w:t>
      </w:r>
      <w:r w:rsidRPr="00AF4776">
        <w:rPr>
          <w:rFonts w:eastAsiaTheme="minorHAnsi"/>
          <w:iCs w:val="0"/>
          <w:color w:val="auto"/>
          <w:szCs w:val="22"/>
        </w:rPr>
        <w:t xml:space="preserve"> acceptance, and </w:t>
      </w:r>
      <w:r w:rsidR="00CA0FA3">
        <w:rPr>
          <w:rFonts w:eastAsiaTheme="minorHAnsi"/>
          <w:iCs w:val="0"/>
          <w:color w:val="auto"/>
          <w:szCs w:val="22"/>
        </w:rPr>
        <w:t xml:space="preserve">the </w:t>
      </w:r>
      <w:r w:rsidRPr="00AF4776">
        <w:rPr>
          <w:rFonts w:eastAsiaTheme="minorHAnsi"/>
          <w:iCs w:val="0"/>
          <w:color w:val="auto"/>
          <w:szCs w:val="22"/>
        </w:rPr>
        <w:t>public discussion</w:t>
      </w:r>
      <w:r w:rsidR="00CA0FA3">
        <w:rPr>
          <w:rFonts w:eastAsiaTheme="minorHAnsi"/>
          <w:iCs w:val="0"/>
          <w:color w:val="auto"/>
          <w:szCs w:val="22"/>
        </w:rPr>
        <w:t>,</w:t>
      </w:r>
      <w:r w:rsidRPr="00AF4776">
        <w:rPr>
          <w:rFonts w:eastAsiaTheme="minorHAnsi"/>
          <w:iCs w:val="0"/>
          <w:color w:val="auto"/>
          <w:szCs w:val="22"/>
        </w:rPr>
        <w:t xml:space="preserve"> of human rights</w:t>
      </w:r>
    </w:p>
    <w:p w14:paraId="40A7F78E" w14:textId="77777777" w:rsidR="0058445C" w:rsidRPr="00AF4776" w:rsidRDefault="0058445C" w:rsidP="00E1244B">
      <w:pPr>
        <w:pStyle w:val="ListParagraph"/>
        <w:numPr>
          <w:ilvl w:val="0"/>
          <w:numId w:val="21"/>
        </w:numPr>
      </w:pPr>
      <w:r w:rsidRPr="00AF4776">
        <w:rPr>
          <w:rFonts w:eastAsiaTheme="minorHAnsi"/>
          <w:iCs w:val="0"/>
          <w:color w:val="auto"/>
          <w:szCs w:val="22"/>
        </w:rPr>
        <w:t>make information about human rights available to the community</w:t>
      </w:r>
    </w:p>
    <w:p w14:paraId="2DE2AACB" w14:textId="60D9F27B" w:rsidR="0058445C" w:rsidRDefault="0058445C" w:rsidP="00E1244B">
      <w:pPr>
        <w:pStyle w:val="ListParagraph"/>
        <w:numPr>
          <w:ilvl w:val="0"/>
          <w:numId w:val="21"/>
        </w:numPr>
      </w:pPr>
      <w:r w:rsidRPr="7CCBA865">
        <w:rPr>
          <w:color w:val="auto"/>
        </w:rPr>
        <w:t>provide education about human rights and the Act</w:t>
      </w:r>
      <w:r>
        <w:t>.</w:t>
      </w:r>
      <w:r w:rsidR="001F64EF">
        <w:rPr>
          <w:rStyle w:val="FootnoteReference"/>
        </w:rPr>
        <w:footnoteReference w:id="119"/>
      </w:r>
    </w:p>
    <w:p w14:paraId="57959FD5" w14:textId="6B8594B5" w:rsidR="006F377C" w:rsidRDefault="002267FE" w:rsidP="006F377C">
      <w:r>
        <w:t>This work is integral</w:t>
      </w:r>
      <w:r w:rsidR="006F377C">
        <w:t xml:space="preserve"> to </w:t>
      </w:r>
      <w:r w:rsidR="00950624">
        <w:t xml:space="preserve">achieving </w:t>
      </w:r>
      <w:r w:rsidR="007C6B4C">
        <w:t>the Act’s objectives</w:t>
      </w:r>
      <w:r w:rsidR="006F377C">
        <w:t xml:space="preserve"> of protecting and promoting human rights</w:t>
      </w:r>
      <w:r w:rsidR="009C51C6">
        <w:t>, building a</w:t>
      </w:r>
      <w:r w:rsidR="0097093C">
        <w:t xml:space="preserve"> </w:t>
      </w:r>
      <w:r w:rsidR="006F377C">
        <w:t xml:space="preserve">culture </w:t>
      </w:r>
      <w:r w:rsidR="0097093C">
        <w:t xml:space="preserve">in the public sector that </w:t>
      </w:r>
      <w:r w:rsidR="00ED3ABD">
        <w:t>respects human rights,</w:t>
      </w:r>
      <w:r w:rsidR="006F377C">
        <w:t xml:space="preserve"> and promoting a dialogue about the nature, meaning and scope of human rights.</w:t>
      </w:r>
      <w:r w:rsidR="006F377C">
        <w:rPr>
          <w:rStyle w:val="FootnoteReference"/>
        </w:rPr>
        <w:footnoteReference w:id="120"/>
      </w:r>
      <w:r w:rsidR="006F377C">
        <w:t xml:space="preserve"> </w:t>
      </w:r>
    </w:p>
    <w:p w14:paraId="3E175085" w14:textId="77777777" w:rsidR="003606C8" w:rsidRDefault="00A03253" w:rsidP="003606C8">
      <w:r>
        <w:t xml:space="preserve">After several years of </w:t>
      </w:r>
      <w:r w:rsidR="003606C8">
        <w:t xml:space="preserve">After several years of events being cancelled or held via alternative formats due to COVID-19, 2022-23 saw a strong return to face-to-face events. This year we took part in or attended over 50 events across the state – more than double the number we took part in in 2021-22 – including: </w:t>
      </w:r>
    </w:p>
    <w:p w14:paraId="1F78D875" w14:textId="3ED0D3E9" w:rsidR="003606C8" w:rsidRPr="002F72AD" w:rsidRDefault="003606C8" w:rsidP="002F72AD">
      <w:pPr>
        <w:pStyle w:val="Listparagraph-bulleted"/>
      </w:pPr>
      <w:r w:rsidRPr="002F72AD">
        <w:t xml:space="preserve">MOSAIC Multicultural Festival </w:t>
      </w:r>
    </w:p>
    <w:p w14:paraId="7A14C7AF" w14:textId="7E765865" w:rsidR="003606C8" w:rsidRPr="002F72AD" w:rsidRDefault="003606C8" w:rsidP="002F72AD">
      <w:pPr>
        <w:pStyle w:val="Listparagraph-bulleted"/>
      </w:pPr>
      <w:r w:rsidRPr="002F72AD">
        <w:t xml:space="preserve">Brisbane and Cairns Pride Fair Days </w:t>
      </w:r>
    </w:p>
    <w:p w14:paraId="0A3D73D9" w14:textId="1D2A180D" w:rsidR="003606C8" w:rsidRPr="002F72AD" w:rsidRDefault="003606C8" w:rsidP="002F72AD">
      <w:pPr>
        <w:pStyle w:val="Listparagraph-bulleted"/>
      </w:pPr>
      <w:r w:rsidRPr="002F72AD">
        <w:t xml:space="preserve">Rockhampton’s all abilities Beach Day Out </w:t>
      </w:r>
    </w:p>
    <w:p w14:paraId="7291F544" w14:textId="72E959DA" w:rsidR="003606C8" w:rsidRPr="002F72AD" w:rsidRDefault="003606C8" w:rsidP="002F72AD">
      <w:pPr>
        <w:pStyle w:val="Listparagraph-bulleted"/>
      </w:pPr>
      <w:r w:rsidRPr="002F72AD">
        <w:t>NAIDOC parades, fairs and Deadly Day Out in Townsville, Cairns, Rockhampton and Brisbane</w:t>
      </w:r>
    </w:p>
    <w:p w14:paraId="647B1CB3" w14:textId="7D28E3B2" w:rsidR="003606C8" w:rsidRPr="002F72AD" w:rsidRDefault="003606C8" w:rsidP="002F72AD">
      <w:pPr>
        <w:pStyle w:val="Listparagraph-bulleted"/>
      </w:pPr>
      <w:r w:rsidRPr="002F72AD">
        <w:t>QCOSS conference in Brisbane</w:t>
      </w:r>
    </w:p>
    <w:p w14:paraId="6208E78D" w14:textId="24B42C43" w:rsidR="003606C8" w:rsidRPr="002F72AD" w:rsidRDefault="003606C8" w:rsidP="002F72AD">
      <w:pPr>
        <w:pStyle w:val="Listparagraph-bulleted"/>
      </w:pPr>
      <w:r w:rsidRPr="002F72AD">
        <w:t>Islamic Society of Central Queensland’s first Youth Conference</w:t>
      </w:r>
    </w:p>
    <w:p w14:paraId="0AA7F4FA" w14:textId="2F12BEE9" w:rsidR="003606C8" w:rsidRPr="002F72AD" w:rsidRDefault="003606C8" w:rsidP="002F72AD">
      <w:pPr>
        <w:pStyle w:val="Listparagraph-bulleted"/>
      </w:pPr>
      <w:r w:rsidRPr="002F72AD">
        <w:t xml:space="preserve">Townsville citizenship ceremonies </w:t>
      </w:r>
    </w:p>
    <w:p w14:paraId="686DCBBF" w14:textId="7D32CFCD" w:rsidR="003606C8" w:rsidRPr="002F72AD" w:rsidRDefault="003606C8" w:rsidP="002F72AD">
      <w:pPr>
        <w:pStyle w:val="Listparagraph-bulleted"/>
      </w:pPr>
      <w:r w:rsidRPr="002F72AD">
        <w:t xml:space="preserve">Iftar dinners in Brisbane, Mareeba and Cairns </w:t>
      </w:r>
    </w:p>
    <w:p w14:paraId="572E4FAD" w14:textId="215ADF8A" w:rsidR="003606C8" w:rsidRPr="002F72AD" w:rsidRDefault="003606C8" w:rsidP="002F72AD">
      <w:pPr>
        <w:pStyle w:val="Listparagraph-bulleted"/>
      </w:pPr>
      <w:r w:rsidRPr="002F72AD">
        <w:t xml:space="preserve">Human Rights Week community conversation days across southeast Queensland </w:t>
      </w:r>
    </w:p>
    <w:p w14:paraId="26B39244" w14:textId="363E728C" w:rsidR="003606C8" w:rsidRPr="002F72AD" w:rsidRDefault="003606C8" w:rsidP="002F72AD">
      <w:pPr>
        <w:pStyle w:val="Listparagraph-bulleted"/>
      </w:pPr>
      <w:r w:rsidRPr="002F72AD">
        <w:t xml:space="preserve">Townsville International Women’s Day </w:t>
      </w:r>
    </w:p>
    <w:p w14:paraId="10955018" w14:textId="35FF0F2A" w:rsidR="00A03253" w:rsidRPr="002F72AD" w:rsidRDefault="003606C8" w:rsidP="002F72AD">
      <w:pPr>
        <w:pStyle w:val="Listparagraph-bulleted"/>
      </w:pPr>
      <w:r w:rsidRPr="002F72AD">
        <w:t>Market days and Orientation Week events at James Cook University’s Townsville and Cairns campuses and Central Queensland University.</w:t>
      </w:r>
    </w:p>
    <w:p w14:paraId="18C675F9" w14:textId="7303FF6F" w:rsidR="00713652" w:rsidRPr="0093448F" w:rsidRDefault="00713652" w:rsidP="005C6536">
      <w:pPr>
        <w:pStyle w:val="Heading2"/>
        <w:rPr>
          <w:color w:val="D83A37"/>
        </w:rPr>
      </w:pPr>
      <w:bookmarkStart w:id="818" w:name="_Toc117697222"/>
      <w:bookmarkStart w:id="819" w:name="_Toc117697929"/>
      <w:bookmarkStart w:id="820" w:name="_Toc147757368"/>
      <w:bookmarkStart w:id="821" w:name="_Toc148086997"/>
      <w:r w:rsidRPr="0093448F">
        <w:rPr>
          <w:color w:val="D83A37"/>
        </w:rPr>
        <w:t>Training for public entities</w:t>
      </w:r>
      <w:bookmarkEnd w:id="818"/>
      <w:bookmarkEnd w:id="819"/>
      <w:bookmarkEnd w:id="820"/>
      <w:bookmarkEnd w:id="821"/>
    </w:p>
    <w:p w14:paraId="3D441CB7" w14:textId="39C650F5" w:rsidR="00374E71" w:rsidRPr="007D63A1" w:rsidRDefault="0038396F" w:rsidP="006F377C">
      <w:r>
        <w:t xml:space="preserve">In addition to human rights complaint handling functions, the </w:t>
      </w:r>
      <w:r w:rsidR="007D78FD">
        <w:t>Commission provides education and training to government</w:t>
      </w:r>
      <w:r w:rsidR="00117975">
        <w:t xml:space="preserve"> </w:t>
      </w:r>
      <w:r w:rsidR="007D78FD">
        <w:t>and functional public entities</w:t>
      </w:r>
      <w:r w:rsidR="00101240">
        <w:t xml:space="preserve"> (as well as private </w:t>
      </w:r>
      <w:r w:rsidR="00357C7A">
        <w:t xml:space="preserve">and not-for-profit </w:t>
      </w:r>
      <w:r w:rsidR="00101240">
        <w:t>sector</w:t>
      </w:r>
      <w:r w:rsidR="00357C7A">
        <w:t>s</w:t>
      </w:r>
      <w:r w:rsidR="00101240">
        <w:t>)</w:t>
      </w:r>
      <w:r w:rsidR="0041586E">
        <w:t xml:space="preserve">, and in the financial year delivered </w:t>
      </w:r>
      <w:r w:rsidR="00AD5C7E">
        <w:t>56</w:t>
      </w:r>
      <w:r w:rsidR="0041586E">
        <w:t xml:space="preserve"> </w:t>
      </w:r>
      <w:r w:rsidR="0041586E" w:rsidRPr="005131C9">
        <w:rPr>
          <w:i/>
        </w:rPr>
        <w:t>I</w:t>
      </w:r>
      <w:r w:rsidR="0041586E" w:rsidRPr="27274A20">
        <w:rPr>
          <w:i/>
        </w:rPr>
        <w:t>ntroduction to the Human Rights Act</w:t>
      </w:r>
      <w:r w:rsidR="0041586E">
        <w:t xml:space="preserve"> </w:t>
      </w:r>
      <w:r w:rsidR="00684865">
        <w:t>sessions</w:t>
      </w:r>
      <w:r w:rsidR="00102E2B">
        <w:t xml:space="preserve">. The Commission delivered </w:t>
      </w:r>
      <w:r w:rsidR="007D63A1">
        <w:t xml:space="preserve">10 sessions on </w:t>
      </w:r>
      <w:r w:rsidR="007D63A1" w:rsidRPr="27274A20">
        <w:rPr>
          <w:i/>
        </w:rPr>
        <w:t xml:space="preserve">Human Rights Act </w:t>
      </w:r>
      <w:r w:rsidR="007D63A1">
        <w:rPr>
          <w:i/>
          <w:iCs/>
        </w:rPr>
        <w:t xml:space="preserve">for community advocates </w:t>
      </w:r>
      <w:r w:rsidR="007D63A1">
        <w:t xml:space="preserve">and 3 sessions on </w:t>
      </w:r>
      <w:r w:rsidR="007D63A1">
        <w:rPr>
          <w:i/>
          <w:iCs/>
        </w:rPr>
        <w:t>Human Rights Act for legal advocates</w:t>
      </w:r>
      <w:r w:rsidR="007D63A1">
        <w:t>.</w:t>
      </w:r>
    </w:p>
    <w:p w14:paraId="2FA21C75" w14:textId="02689C64" w:rsidR="007D63A1" w:rsidRDefault="00142E04" w:rsidP="006F377C">
      <w:r>
        <w:t>F</w:t>
      </w:r>
      <w:r w:rsidR="009F3184">
        <w:t xml:space="preserve">ace-to-face training is </w:t>
      </w:r>
      <w:r w:rsidR="00083E3F">
        <w:t xml:space="preserve">complemented by </w:t>
      </w:r>
      <w:r>
        <w:t xml:space="preserve">the Commission’s </w:t>
      </w:r>
      <w:r w:rsidR="00B12293">
        <w:t>online learning modules</w:t>
      </w:r>
      <w:r w:rsidR="00083E3F">
        <w:t xml:space="preserve">, </w:t>
      </w:r>
      <w:r w:rsidR="007D63A1">
        <w:t xml:space="preserve">which have been increasing in popularity in </w:t>
      </w:r>
      <w:r w:rsidR="000610E6">
        <w:t>last 3 years.</w:t>
      </w:r>
    </w:p>
    <w:p w14:paraId="68C8372E" w14:textId="37227952" w:rsidR="007D78FD" w:rsidRDefault="00B12293" w:rsidP="006F377C">
      <w:r>
        <w:t>The</w:t>
      </w:r>
      <w:r w:rsidR="003E5A5A">
        <w:t xml:space="preserve"> online</w:t>
      </w:r>
      <w:r>
        <w:t xml:space="preserve"> </w:t>
      </w:r>
      <w:r w:rsidRPr="005131C9">
        <w:rPr>
          <w:i/>
          <w:iCs/>
        </w:rPr>
        <w:t>Introduction to the Human Rights Act</w:t>
      </w:r>
      <w:r w:rsidDel="00B12293">
        <w:t xml:space="preserve"> </w:t>
      </w:r>
      <w:r>
        <w:t xml:space="preserve">module was completed by </w:t>
      </w:r>
      <w:r w:rsidR="007A0DA3">
        <w:t>1813</w:t>
      </w:r>
      <w:r w:rsidR="00DC27CB">
        <w:t xml:space="preserve"> </w:t>
      </w:r>
      <w:r w:rsidR="004A6856">
        <w:t xml:space="preserve">people </w:t>
      </w:r>
      <w:r w:rsidR="000E0DF4">
        <w:t xml:space="preserve">and </w:t>
      </w:r>
      <w:r w:rsidR="007D7BB0">
        <w:t>5740</w:t>
      </w:r>
      <w:r w:rsidR="000E0DF4">
        <w:t xml:space="preserve"> </w:t>
      </w:r>
      <w:r w:rsidR="009F3184">
        <w:t>people</w:t>
      </w:r>
      <w:r w:rsidR="000E0DF4">
        <w:t xml:space="preserve"> completed </w:t>
      </w:r>
      <w:r w:rsidR="004A6856">
        <w:t>the</w:t>
      </w:r>
      <w:r w:rsidR="00672ECB">
        <w:t xml:space="preserve"> </w:t>
      </w:r>
      <w:r w:rsidR="00672ECB" w:rsidRPr="005131C9">
        <w:rPr>
          <w:i/>
        </w:rPr>
        <w:t>Public entities and the Queensland Human Rights Act</w:t>
      </w:r>
      <w:r w:rsidR="009F3184" w:rsidRPr="005131C9">
        <w:rPr>
          <w:i/>
          <w:iCs/>
        </w:rPr>
        <w:t xml:space="preserve"> </w:t>
      </w:r>
      <w:r w:rsidR="009F3184">
        <w:t>module</w:t>
      </w:r>
      <w:r w:rsidR="00672ECB">
        <w:t xml:space="preserve">. </w:t>
      </w:r>
    </w:p>
    <w:p w14:paraId="3C55EC6B" w14:textId="6525F746" w:rsidR="001D1B2E" w:rsidRPr="001D1B2E" w:rsidRDefault="001D1B2E" w:rsidP="006F377C">
      <w:r w:rsidRPr="003C6B4D">
        <w:t>In addition to the publicly-available modules</w:t>
      </w:r>
      <w:r>
        <w:t xml:space="preserve">, </w:t>
      </w:r>
      <w:r w:rsidRPr="003C6B4D">
        <w:t xml:space="preserve">a </w:t>
      </w:r>
      <w:bookmarkStart w:id="822" w:name="_Hlk106090949"/>
      <w:r w:rsidRPr="003C6B4D">
        <w:t>tailored ‘Public</w:t>
      </w:r>
      <w:r>
        <w:t xml:space="preserve"> e</w:t>
      </w:r>
      <w:r w:rsidRPr="003C6B4D">
        <w:t xml:space="preserve">ntities and the </w:t>
      </w:r>
      <w:r w:rsidRPr="003C6B4D">
        <w:rPr>
          <w:i/>
          <w:iCs/>
        </w:rPr>
        <w:t xml:space="preserve">Queensland Human Rights Act 2019’ </w:t>
      </w:r>
      <w:r w:rsidRPr="003C6B4D">
        <w:t xml:space="preserve">module </w:t>
      </w:r>
      <w:r>
        <w:t xml:space="preserve">was developed </w:t>
      </w:r>
      <w:r w:rsidRPr="003C6B4D">
        <w:t xml:space="preserve">for the Department </w:t>
      </w:r>
      <w:r>
        <w:t xml:space="preserve">of </w:t>
      </w:r>
      <w:r w:rsidRPr="003C6B4D">
        <w:t xml:space="preserve">Children, Youth Justice and Multicultural Affairs. </w:t>
      </w:r>
      <w:bookmarkEnd w:id="822"/>
      <w:r>
        <w:t>This module was completed by an 1,103 people.</w:t>
      </w:r>
    </w:p>
    <w:p w14:paraId="135FEECD" w14:textId="77777777" w:rsidR="00BC6D97" w:rsidRPr="006E242A" w:rsidRDefault="00BC6D97" w:rsidP="00BC6D97">
      <w:pPr>
        <w:pStyle w:val="Heading2"/>
        <w:rPr>
          <w:color w:val="D83A37"/>
        </w:rPr>
      </w:pPr>
      <w:bookmarkStart w:id="823" w:name="_Toc147757369"/>
      <w:bookmarkStart w:id="824" w:name="_Toc148086998"/>
      <w:r w:rsidRPr="006E242A">
        <w:rPr>
          <w:color w:val="D83A37"/>
        </w:rPr>
        <w:t>Human Rights Week</w:t>
      </w:r>
      <w:bookmarkEnd w:id="823"/>
      <w:bookmarkEnd w:id="824"/>
    </w:p>
    <w:p w14:paraId="6258F581" w14:textId="77777777" w:rsidR="00BC6D97" w:rsidRDefault="00BC6D97" w:rsidP="00BC6D97">
      <w:r>
        <w:t xml:space="preserve">As part of our objective to provide education and awareness about human rights to the community, the Commission runs an annual </w:t>
      </w:r>
      <w:r w:rsidRPr="00A21D7D">
        <w:t xml:space="preserve">Human Rights </w:t>
      </w:r>
      <w:r>
        <w:t>Week</w:t>
      </w:r>
      <w:r w:rsidRPr="00A21D7D">
        <w:t xml:space="preserve"> campaign</w:t>
      </w:r>
      <w:r>
        <w:t xml:space="preserve"> starting on</w:t>
      </w:r>
      <w:r w:rsidRPr="00A21D7D">
        <w:t xml:space="preserve"> </w:t>
      </w:r>
      <w:r>
        <w:t xml:space="preserve">1 December and culminating on Human Rights Day on 10 December. </w:t>
      </w:r>
    </w:p>
    <w:p w14:paraId="09CF3733" w14:textId="77777777" w:rsidR="00BC6D97" w:rsidRDefault="00BC6D97" w:rsidP="00BC6D97">
      <w:r>
        <w:t xml:space="preserve">As with other events this year, more face-to-face activity was possible in 2022-23 than the preceding years and we were able to augment our online awareness activities with more in-person events. </w:t>
      </w:r>
    </w:p>
    <w:p w14:paraId="6D855121" w14:textId="77777777" w:rsidR="00BC6D97" w:rsidRDefault="00BC6D97" w:rsidP="00BC6D97">
      <w:r>
        <w:t xml:space="preserve">This fit well with our theme for Human Rights Week 2022, ‘Close to Home’. Close to Home aimed to focus on human rights at a local level, helping people and their communities to know the Act, to share it, and to use it. </w:t>
      </w:r>
    </w:p>
    <w:p w14:paraId="2E864245" w14:textId="77777777" w:rsidR="00BC6D97" w:rsidRPr="00E914D6" w:rsidRDefault="00BC6D97" w:rsidP="00BC6D97">
      <w:r w:rsidRPr="00E914D6">
        <w:t>Human Rights Week opened with a forum on the implementation of the Optional Protocol to the Convention Against Torture and Other Cruel, Inhuman or Degrading Treatment (often referred to simply as OPCAT). OPCAT is an international agreement aiming to prevent the mistreatment of people in detention. We co-convened the forum with the Public Advocate and Queensland Advocacy for Inclusion on 1 December in Brisbane, and o</w:t>
      </w:r>
      <w:r w:rsidRPr="00E914D6">
        <w:rPr>
          <w:shd w:val="clear" w:color="auto" w:fill="FFFFFF"/>
        </w:rPr>
        <w:t>ver 120 participants gathered to call on state government to prioritise the commencement of independent oversight of prisons, youth detention centres, locked mental health wards, and state-run aged care centres.</w:t>
      </w:r>
    </w:p>
    <w:p w14:paraId="6FA91E77" w14:textId="5ACA2B12" w:rsidR="00BC6D97" w:rsidRDefault="00BC6D97" w:rsidP="00BC6D97">
      <w:r>
        <w:t>In keeping with the ‘Close t</w:t>
      </w:r>
      <w:r w:rsidR="008B3C55">
        <w:softHyphen/>
      </w:r>
      <w:r w:rsidR="008B3C55">
        <w:softHyphen/>
      </w:r>
      <w:r w:rsidR="008B3C55">
        <w:softHyphen/>
      </w:r>
      <w:r w:rsidR="008B3C55">
        <w:softHyphen/>
      </w:r>
      <w:r w:rsidR="008B3C55">
        <w:softHyphen/>
      </w:r>
      <w:r>
        <w:t xml:space="preserve">o Home’ theme, we held several community conversation days across southeast Queensland during Human Rights Week, which provided an opportunity for people to come together to discuss human rights and discrimination, and to find out about or connect with services or campaigns happening in their local community. These events incorporated free human rights training for community advocates, which we also offered online during Human Rights Week for people who weren’t able to make it to a face-to-face event. </w:t>
      </w:r>
    </w:p>
    <w:p w14:paraId="0D8DC8E0" w14:textId="1E680701" w:rsidR="00BC6D97" w:rsidRDefault="00BC6D97" w:rsidP="006F377C">
      <w:r>
        <w:t>We also ran free introductory human rights training in Townsville, a pop-up information stall in Cairns, and free webinars on Queensland’s Anti-Discrimination and Human Rights Acts. Daily spotlights on our website and across our socials highlighted key human rights issues in Queensland, including accessibility, climate change, housing, and First Nations Justice.</w:t>
      </w:r>
    </w:p>
    <w:p w14:paraId="198CFA3C" w14:textId="2B307B76" w:rsidR="0023788D" w:rsidRDefault="0023788D" w:rsidP="0023788D">
      <w:pPr>
        <w:pStyle w:val="Heading2"/>
        <w:rPr>
          <w:color w:val="D83A37"/>
        </w:rPr>
      </w:pPr>
      <w:bookmarkStart w:id="825" w:name="_Toc147757370"/>
      <w:bookmarkStart w:id="826" w:name="_Toc148086999"/>
      <w:r w:rsidRPr="0023788D">
        <w:rPr>
          <w:color w:val="D83A37"/>
        </w:rPr>
        <w:t>Aboriginal and Torre</w:t>
      </w:r>
      <w:r>
        <w:rPr>
          <w:color w:val="D83A37"/>
        </w:rPr>
        <w:t>s Strait Islander community engagement</w:t>
      </w:r>
      <w:bookmarkEnd w:id="825"/>
      <w:bookmarkEnd w:id="826"/>
    </w:p>
    <w:p w14:paraId="724321A8" w14:textId="224EC386" w:rsidR="00160844" w:rsidRDefault="00160844" w:rsidP="00F74ED7">
      <w:r>
        <w:t xml:space="preserve">The role of the Aboriginal and Torres Strait Islander engagement unit includes </w:t>
      </w:r>
      <w:r w:rsidR="00D73351" w:rsidRPr="00D73351">
        <w:t>promoting and protecting the rights of Aboriginal peoples and Torres Strait Islander peoples.</w:t>
      </w:r>
    </w:p>
    <w:p w14:paraId="22BA8E82" w14:textId="5E9C5465" w:rsidR="00F74ED7" w:rsidRPr="00D042FF" w:rsidRDefault="00D73351" w:rsidP="00F74ED7">
      <w:r>
        <w:t>This year, t</w:t>
      </w:r>
      <w:r w:rsidR="00F74ED7" w:rsidRPr="00D042FF">
        <w:t xml:space="preserve">raining sessions on the Human Rights Act were conducted with staff from an Aboriginal and Torres Strait Islander healthcare service provider. </w:t>
      </w:r>
    </w:p>
    <w:p w14:paraId="35128665" w14:textId="41F08606" w:rsidR="00F74ED7" w:rsidRPr="00F74ED7" w:rsidRDefault="00F74ED7" w:rsidP="00F74ED7">
      <w:r w:rsidRPr="00D042FF">
        <w:t xml:space="preserve">In </w:t>
      </w:r>
      <w:r>
        <w:t>April</w:t>
      </w:r>
      <w:r w:rsidRPr="00D042FF">
        <w:t xml:space="preserve"> </w:t>
      </w:r>
      <w:r w:rsidR="000F7B09">
        <w:t>the engagement unit</w:t>
      </w:r>
      <w:r w:rsidRPr="00D042FF">
        <w:t xml:space="preserve"> had the opportunity to speak about the role of the </w:t>
      </w:r>
      <w:r>
        <w:t>C</w:t>
      </w:r>
      <w:r w:rsidRPr="00D042FF">
        <w:t>ommission and the Human Rights Act to representatives from 17 First Nations councils at a Local Government A</w:t>
      </w:r>
      <w:r>
        <w:t>ssociation</w:t>
      </w:r>
      <w:r w:rsidRPr="00D042FF">
        <w:t xml:space="preserve"> Queensland forum in Cairns.</w:t>
      </w:r>
    </w:p>
    <w:p w14:paraId="1E0D7E16" w14:textId="0C81834C" w:rsidR="00113760" w:rsidRDefault="00113760" w:rsidP="005C6536">
      <w:pPr>
        <w:pStyle w:val="Heading2"/>
      </w:pPr>
      <w:bookmarkStart w:id="827" w:name="_Toc117697224"/>
      <w:bookmarkStart w:id="828" w:name="_Toc117697931"/>
      <w:bookmarkStart w:id="829" w:name="_Toc147757371"/>
      <w:bookmarkStart w:id="830" w:name="_Toc148087000"/>
      <w:r w:rsidRPr="0093448F">
        <w:rPr>
          <w:color w:val="D83A37"/>
        </w:rPr>
        <w:t>Website</w:t>
      </w:r>
      <w:bookmarkEnd w:id="827"/>
      <w:bookmarkEnd w:id="828"/>
      <w:bookmarkEnd w:id="829"/>
      <w:bookmarkEnd w:id="830"/>
    </w:p>
    <w:p w14:paraId="07CF7521" w14:textId="7980FCC8" w:rsidR="006459B0" w:rsidRDefault="0B0B72D9" w:rsidP="27274A20">
      <w:pPr>
        <w:rPr>
          <w:rFonts w:eastAsia="Arial" w:cs="Arial"/>
        </w:rPr>
      </w:pPr>
      <w:r>
        <w:t xml:space="preserve">The Commission’s website remained a key source of information for the community about their rights. </w:t>
      </w:r>
      <w:r w:rsidR="00D24D29">
        <w:t>General information</w:t>
      </w:r>
      <w:r w:rsidR="000E266F">
        <w:t xml:space="preserve"> on human rights law</w:t>
      </w:r>
      <w:r w:rsidR="00D24D29">
        <w:t xml:space="preserve">, </w:t>
      </w:r>
      <w:r w:rsidR="00486BD2">
        <w:t>the ‘right to recognition and equality before the law</w:t>
      </w:r>
      <w:r w:rsidR="00C47232">
        <w:t>’, ‘right to life’ and ‘right to liberty and security of person’ pages were</w:t>
      </w:r>
      <w:r w:rsidR="00D24D29">
        <w:t xml:space="preserve"> in the top ten most accessed pages on the site in the reporting period.</w:t>
      </w:r>
    </w:p>
    <w:p w14:paraId="269BE9E9" w14:textId="1438C520" w:rsidR="007F00F7" w:rsidRPr="0093448F" w:rsidRDefault="007F00F7" w:rsidP="005C6536">
      <w:pPr>
        <w:pStyle w:val="Heading2"/>
        <w:rPr>
          <w:color w:val="D83A37"/>
        </w:rPr>
      </w:pPr>
      <w:bookmarkStart w:id="831" w:name="_Toc117697225"/>
      <w:bookmarkStart w:id="832" w:name="_Toc117697932"/>
      <w:bookmarkStart w:id="833" w:name="_Toc147757372"/>
      <w:bookmarkStart w:id="834" w:name="_Toc148087001"/>
      <w:r w:rsidRPr="0093448F">
        <w:rPr>
          <w:color w:val="D83A37"/>
        </w:rPr>
        <w:t>Consultation and engagement</w:t>
      </w:r>
      <w:bookmarkEnd w:id="831"/>
      <w:bookmarkEnd w:id="832"/>
      <w:bookmarkEnd w:id="833"/>
      <w:bookmarkEnd w:id="834"/>
    </w:p>
    <w:p w14:paraId="2964AB89" w14:textId="590353F6" w:rsidR="0055372E" w:rsidRPr="00F0138C" w:rsidRDefault="00A53744" w:rsidP="27274A20">
      <w:pPr>
        <w:rPr>
          <w:rFonts w:eastAsia="Arial" w:cs="Arial"/>
        </w:rPr>
      </w:pPr>
      <w:r>
        <w:rPr>
          <w:rFonts w:eastAsia="Arial" w:cs="Arial"/>
        </w:rPr>
        <w:t xml:space="preserve">The Commission </w:t>
      </w:r>
      <w:r w:rsidR="008849B4">
        <w:rPr>
          <w:rFonts w:eastAsia="Arial" w:cs="Arial"/>
        </w:rPr>
        <w:t>continues to</w:t>
      </w:r>
      <w:r w:rsidR="00A33341">
        <w:rPr>
          <w:rFonts w:eastAsia="Arial" w:cs="Arial"/>
        </w:rPr>
        <w:t xml:space="preserve"> </w:t>
      </w:r>
      <w:r w:rsidR="008849B4">
        <w:rPr>
          <w:rFonts w:eastAsia="Arial" w:cs="Arial"/>
        </w:rPr>
        <w:t xml:space="preserve">facilitate consultation groups to </w:t>
      </w:r>
      <w:r w:rsidR="00E55901">
        <w:rPr>
          <w:rFonts w:eastAsia="Arial" w:cs="Arial"/>
        </w:rPr>
        <w:t>contribute towards</w:t>
      </w:r>
      <w:r w:rsidR="008849B4">
        <w:rPr>
          <w:rFonts w:eastAsia="Arial" w:cs="Arial"/>
        </w:rPr>
        <w:t xml:space="preserve"> build</w:t>
      </w:r>
      <w:r w:rsidR="00116E57">
        <w:rPr>
          <w:rFonts w:eastAsia="Arial" w:cs="Arial"/>
        </w:rPr>
        <w:t>ing</w:t>
      </w:r>
      <w:r w:rsidR="008849B4">
        <w:rPr>
          <w:rFonts w:eastAsia="Arial" w:cs="Arial"/>
        </w:rPr>
        <w:t xml:space="preserve"> a culture of human rights</w:t>
      </w:r>
      <w:r w:rsidR="003D7C07">
        <w:rPr>
          <w:rFonts w:eastAsia="Arial" w:cs="Arial"/>
        </w:rPr>
        <w:t xml:space="preserve"> in the legal a</w:t>
      </w:r>
      <w:r w:rsidR="00116E57">
        <w:rPr>
          <w:rFonts w:eastAsia="Arial" w:cs="Arial"/>
        </w:rPr>
        <w:t>nd academic</w:t>
      </w:r>
      <w:r w:rsidR="003D7C07">
        <w:rPr>
          <w:rFonts w:eastAsia="Arial" w:cs="Arial"/>
        </w:rPr>
        <w:t xml:space="preserve"> </w:t>
      </w:r>
      <w:r w:rsidR="003D7C07" w:rsidRPr="00F0138C">
        <w:rPr>
          <w:rFonts w:eastAsia="Arial" w:cs="Arial"/>
        </w:rPr>
        <w:t>sectors</w:t>
      </w:r>
      <w:r w:rsidR="008849B4" w:rsidRPr="00F0138C">
        <w:rPr>
          <w:rFonts w:eastAsia="Arial" w:cs="Arial"/>
        </w:rPr>
        <w:t>:</w:t>
      </w:r>
    </w:p>
    <w:p w14:paraId="20024C8F" w14:textId="75699B1E" w:rsidR="00E55901" w:rsidRPr="00F0138C" w:rsidRDefault="00E55901" w:rsidP="005C6536">
      <w:pPr>
        <w:pStyle w:val="ListParagraph"/>
        <w:numPr>
          <w:ilvl w:val="0"/>
          <w:numId w:val="21"/>
        </w:numPr>
      </w:pPr>
      <w:r w:rsidRPr="00F0138C">
        <w:t xml:space="preserve">Queensland Academics Human Rights Group: academics undertaking research and sharing information to support Queensland’s developing human rights culture </w:t>
      </w:r>
    </w:p>
    <w:p w14:paraId="4DC8F02A" w14:textId="1F4BA357" w:rsidR="47689E4B" w:rsidRPr="00C75CE0" w:rsidRDefault="0078116E" w:rsidP="00F0138C">
      <w:pPr>
        <w:pStyle w:val="ListParagraph"/>
        <w:numPr>
          <w:ilvl w:val="0"/>
          <w:numId w:val="21"/>
        </w:numPr>
      </w:pPr>
      <w:r w:rsidRPr="00F0138C">
        <w:t>Queensland Human Rights Advocates Group: lawyers and advocates who work in discrimination and human rights law</w:t>
      </w:r>
      <w:r w:rsidR="005C6536" w:rsidRPr="00F0138C">
        <w:t>.</w:t>
      </w:r>
      <w:r w:rsidR="006F377C" w:rsidRPr="00F0138C">
        <w:t xml:space="preserve"> </w:t>
      </w:r>
    </w:p>
    <w:p w14:paraId="15CA265E" w14:textId="77777777" w:rsidR="00340A84" w:rsidRDefault="00541A9A" w:rsidP="00340A84">
      <w:pPr>
        <w:pStyle w:val="Heading2"/>
        <w:rPr>
          <w:color w:val="D83A37"/>
        </w:rPr>
      </w:pPr>
      <w:bookmarkStart w:id="835" w:name="_Toc147757373"/>
      <w:bookmarkStart w:id="836" w:name="_Toc148087002"/>
      <w:r>
        <w:rPr>
          <w:color w:val="D83A37"/>
        </w:rPr>
        <w:t xml:space="preserve">Community </w:t>
      </w:r>
      <w:r w:rsidR="00340A84">
        <w:rPr>
          <w:color w:val="D83A37"/>
        </w:rPr>
        <w:t>attitudes</w:t>
      </w:r>
      <w:r>
        <w:rPr>
          <w:color w:val="D83A37"/>
        </w:rPr>
        <w:t xml:space="preserve"> to human rights</w:t>
      </w:r>
      <w:bookmarkEnd w:id="835"/>
      <w:bookmarkEnd w:id="836"/>
      <w:r w:rsidRPr="0093448F">
        <w:rPr>
          <w:color w:val="D83A37"/>
        </w:rPr>
        <w:t xml:space="preserve"> </w:t>
      </w:r>
    </w:p>
    <w:p w14:paraId="17AB334A" w14:textId="2001F9FE" w:rsidR="00FB69A5" w:rsidRDefault="007276B4" w:rsidP="00340A84">
      <w:r>
        <w:t xml:space="preserve">Between July and August 2021, researchers from Griffith University conducted a community survey to identify attitudes to human rights in Queensland, the adequacy of Queensland’s human rights performance, and </w:t>
      </w:r>
      <w:r w:rsidR="004D6B3C">
        <w:t xml:space="preserve">to gauge levels of support for the </w:t>
      </w:r>
      <w:r w:rsidR="00AE1F65">
        <w:t xml:space="preserve">then new </w:t>
      </w:r>
      <w:r w:rsidR="004D6B3C">
        <w:t xml:space="preserve">Human Rights Act. </w:t>
      </w:r>
    </w:p>
    <w:p w14:paraId="64D8AFFF" w14:textId="34A4A552" w:rsidR="00340A84" w:rsidRDefault="004508EE" w:rsidP="00340A84">
      <w:r>
        <w:t>Their findings</w:t>
      </w:r>
      <w:r w:rsidR="00500C27">
        <w:t xml:space="preserve"> included that there is great support for human rights</w:t>
      </w:r>
      <w:r w:rsidR="00764528">
        <w:t xml:space="preserve">, </w:t>
      </w:r>
      <w:r w:rsidR="00982550">
        <w:t xml:space="preserve">general </w:t>
      </w:r>
      <w:r w:rsidR="00764528">
        <w:t>confidence that rights are well protected</w:t>
      </w:r>
      <w:r w:rsidR="00982550">
        <w:t xml:space="preserve"> in Queensland</w:t>
      </w:r>
      <w:r w:rsidR="00764528">
        <w:t>, but there were particular concerns about certain sectors including aged care facilities and prisons.</w:t>
      </w:r>
      <w:r w:rsidR="00982550">
        <w:t xml:space="preserve"> </w:t>
      </w:r>
      <w:r w:rsidR="00806478">
        <w:t xml:space="preserve">Of most importance to </w:t>
      </w:r>
      <w:r w:rsidR="00FB69A5">
        <w:t>2021</w:t>
      </w:r>
      <w:r w:rsidR="00806478">
        <w:t xml:space="preserve"> participants </w:t>
      </w:r>
      <w:r w:rsidR="00FB69A5">
        <w:t>were</w:t>
      </w:r>
      <w:r w:rsidR="00806478">
        <w:t xml:space="preserve"> the </w:t>
      </w:r>
      <w:r w:rsidR="008929C0">
        <w:t>rights of children, the elderly and in healthcare.</w:t>
      </w:r>
      <w:r w:rsidR="00AF3599">
        <w:t xml:space="preserve"> The researchers concluded that more work needed to be done to </w:t>
      </w:r>
      <w:r w:rsidR="00C33E8B">
        <w:t xml:space="preserve">develop public knowledge of the legislation and the </w:t>
      </w:r>
      <w:r w:rsidR="002A6AF7">
        <w:t>free complaints process offered by the Commission.</w:t>
      </w:r>
      <w:r w:rsidR="002A6AF7">
        <w:rPr>
          <w:rStyle w:val="FootnoteReference"/>
        </w:rPr>
        <w:footnoteReference w:id="121"/>
      </w:r>
    </w:p>
    <w:p w14:paraId="5452CE77" w14:textId="0FA7D28A" w:rsidR="00B013AD" w:rsidRPr="00B013AD" w:rsidRDefault="0022520C" w:rsidP="00B013AD">
      <w:pPr>
        <w:rPr>
          <w:rFonts w:eastAsiaTheme="minorEastAsia"/>
          <w:iCs/>
          <w:color w:val="000000" w:themeColor="text1"/>
          <w:szCs w:val="20"/>
        </w:rPr>
      </w:pPr>
      <w:r>
        <w:t>In</w:t>
      </w:r>
      <w:r w:rsidR="00B013AD" w:rsidRPr="00B013AD">
        <w:t xml:space="preserve"> late June 2023, the survey was conducted once again, marking approximately two years since the initial survey. Although a comprehensive analysis of the survey results is pending, the Commission has taken a keen interest in a few preliminary findings:</w:t>
      </w:r>
    </w:p>
    <w:p w14:paraId="15FCAF1F" w14:textId="15C673E6" w:rsidR="0093187C" w:rsidRDefault="00010DC0" w:rsidP="005519B9">
      <w:pPr>
        <w:pStyle w:val="ListParagraph"/>
        <w:numPr>
          <w:ilvl w:val="0"/>
          <w:numId w:val="21"/>
        </w:numPr>
      </w:pPr>
      <w:r>
        <w:t>Consistent with 2 years ago, t</w:t>
      </w:r>
      <w:r w:rsidR="0062473F">
        <w:t>he community continues t</w:t>
      </w:r>
      <w:r w:rsidR="00A91D30">
        <w:t xml:space="preserve">o consider that protection of human rights and dignity </w:t>
      </w:r>
      <w:r w:rsidR="00250033">
        <w:t xml:space="preserve">is </w:t>
      </w:r>
      <w:r>
        <w:t>both vital</w:t>
      </w:r>
      <w:r w:rsidR="00CB70F3">
        <w:t xml:space="preserve"> </w:t>
      </w:r>
      <w:r w:rsidR="00DD4920">
        <w:t>(</w:t>
      </w:r>
      <w:r w:rsidR="00661670">
        <w:t xml:space="preserve">92%) </w:t>
      </w:r>
      <w:r w:rsidR="00CB70F3">
        <w:t>and relevant to them as individuals</w:t>
      </w:r>
      <w:r w:rsidR="00661670">
        <w:t xml:space="preserve"> (8</w:t>
      </w:r>
      <w:r w:rsidR="005F643A">
        <w:t>5%)</w:t>
      </w:r>
    </w:p>
    <w:p w14:paraId="19E39864" w14:textId="2F85AE30" w:rsidR="00CB70F3" w:rsidRDefault="0013763C" w:rsidP="005519B9">
      <w:pPr>
        <w:pStyle w:val="ListParagraph"/>
        <w:numPr>
          <w:ilvl w:val="0"/>
          <w:numId w:val="21"/>
        </w:numPr>
      </w:pPr>
      <w:r>
        <w:t xml:space="preserve">Knowledge </w:t>
      </w:r>
      <w:r w:rsidR="00623518">
        <w:t>of the existence of the Human Rights Act has</w:t>
      </w:r>
      <w:r w:rsidR="003356D2">
        <w:t xml:space="preserve"> had a marked uptick</w:t>
      </w:r>
      <w:r w:rsidR="00623518">
        <w:t xml:space="preserve"> from 43% </w:t>
      </w:r>
      <w:r>
        <w:t xml:space="preserve">awareness </w:t>
      </w:r>
      <w:r w:rsidR="00623518">
        <w:t>in 2021</w:t>
      </w:r>
      <w:r>
        <w:t xml:space="preserve"> </w:t>
      </w:r>
      <w:r w:rsidR="00623518">
        <w:t xml:space="preserve">to 69% </w:t>
      </w:r>
      <w:r>
        <w:t xml:space="preserve">awareness </w:t>
      </w:r>
      <w:r w:rsidR="00623518">
        <w:t>in 2023.</w:t>
      </w:r>
    </w:p>
    <w:p w14:paraId="7395563F" w14:textId="50453929" w:rsidR="00322D59" w:rsidRDefault="00BD3E3A" w:rsidP="00F455C3">
      <w:pPr>
        <w:pStyle w:val="ListParagraph"/>
        <w:numPr>
          <w:ilvl w:val="0"/>
          <w:numId w:val="21"/>
        </w:numPr>
      </w:pPr>
      <w:r>
        <w:t>Conviction</w:t>
      </w:r>
      <w:r w:rsidR="00FC5883">
        <w:t xml:space="preserve"> that the Human Rights Act makes a difference in protecting human rights has also substantially increased from 38%</w:t>
      </w:r>
      <w:r w:rsidR="008E5316">
        <w:t xml:space="preserve"> in 2021</w:t>
      </w:r>
      <w:r w:rsidR="00BB3846">
        <w:t xml:space="preserve"> to 58%</w:t>
      </w:r>
      <w:r w:rsidR="00322D59">
        <w:t xml:space="preserve"> in 2023.</w:t>
      </w:r>
    </w:p>
    <w:p w14:paraId="575CD73B" w14:textId="5E59350D" w:rsidR="006D08D1" w:rsidRDefault="002777C6" w:rsidP="006D08D1">
      <w:pPr>
        <w:pStyle w:val="ListParagraph"/>
        <w:numPr>
          <w:ilvl w:val="0"/>
          <w:numId w:val="21"/>
        </w:numPr>
      </w:pPr>
      <w:r>
        <w:t>Confidence about how well human rights works for people in regional</w:t>
      </w:r>
      <w:r w:rsidR="00092C2C">
        <w:t xml:space="preserve"> </w:t>
      </w:r>
      <w:r>
        <w:t xml:space="preserve">areas has decreased from 42% </w:t>
      </w:r>
      <w:r w:rsidR="00092C2C">
        <w:t xml:space="preserve">in 2021 </w:t>
      </w:r>
      <w:r>
        <w:t>down to 34%</w:t>
      </w:r>
      <w:r w:rsidR="00092C2C">
        <w:t xml:space="preserve"> in 2023</w:t>
      </w:r>
      <w:r w:rsidR="00AB53F6">
        <w:t>.</w:t>
      </w:r>
      <w:r w:rsidR="00157A35">
        <w:t xml:space="preserve"> </w:t>
      </w:r>
    </w:p>
    <w:p w14:paraId="79E11B5F" w14:textId="303B4C18" w:rsidR="00BB3846" w:rsidRDefault="00814197" w:rsidP="006D08D1">
      <w:pPr>
        <w:pStyle w:val="ListParagraph"/>
        <w:numPr>
          <w:ilvl w:val="0"/>
          <w:numId w:val="21"/>
        </w:numPr>
      </w:pPr>
      <w:r>
        <w:t>Approval</w:t>
      </w:r>
      <w:r w:rsidR="00157A35">
        <w:t xml:space="preserve"> </w:t>
      </w:r>
      <w:r w:rsidR="006D08D1">
        <w:t>of the way</w:t>
      </w:r>
      <w:r w:rsidR="00157A35">
        <w:t xml:space="preserve"> in which </w:t>
      </w:r>
      <w:r w:rsidR="00795ADD">
        <w:t xml:space="preserve">Queenslanders’ </w:t>
      </w:r>
      <w:r w:rsidR="00157A35">
        <w:t xml:space="preserve">human rights were protected during COVID-19 was also down </w:t>
      </w:r>
      <w:r w:rsidR="00B855C9">
        <w:t xml:space="preserve">from </w:t>
      </w:r>
      <w:r w:rsidR="008728CB">
        <w:t>a</w:t>
      </w:r>
      <w:r w:rsidR="00157A35">
        <w:t xml:space="preserve"> </w:t>
      </w:r>
      <w:r w:rsidR="00C81B72">
        <w:t xml:space="preserve">62% </w:t>
      </w:r>
      <w:r w:rsidR="008728CB">
        <w:t>positive</w:t>
      </w:r>
      <w:r w:rsidR="00C81B72">
        <w:t xml:space="preserve"> </w:t>
      </w:r>
      <w:r w:rsidR="00092C2C">
        <w:t xml:space="preserve">response </w:t>
      </w:r>
      <w:r w:rsidR="006D08D1">
        <w:t xml:space="preserve">in 2021 </w:t>
      </w:r>
      <w:r w:rsidR="00092C2C">
        <w:t>to 52%</w:t>
      </w:r>
      <w:r w:rsidR="006D08D1">
        <w:t xml:space="preserve"> in 2023</w:t>
      </w:r>
      <w:r w:rsidR="00092C2C">
        <w:t xml:space="preserve">. </w:t>
      </w:r>
    </w:p>
    <w:p w14:paraId="15972334" w14:textId="1132B457" w:rsidR="002655B3" w:rsidRDefault="002655B3" w:rsidP="002777C6">
      <w:r>
        <w:t xml:space="preserve">The key areas in which </w:t>
      </w:r>
      <w:r w:rsidR="00547983">
        <w:t xml:space="preserve">survey respondents considered that </w:t>
      </w:r>
      <w:r>
        <w:t>human rights</w:t>
      </w:r>
      <w:r w:rsidR="00547983">
        <w:t xml:space="preserve"> </w:t>
      </w:r>
      <w:r w:rsidR="004E5197">
        <w:t>were</w:t>
      </w:r>
      <w:r w:rsidR="00547983">
        <w:t xml:space="preserve"> in need of protection </w:t>
      </w:r>
      <w:r w:rsidR="00E53811">
        <w:t>were</w:t>
      </w:r>
      <w:r w:rsidR="00547983">
        <w:t xml:space="preserve"> fairly stable</w:t>
      </w:r>
      <w:r w:rsidR="001540FF">
        <w:t xml:space="preserve"> between 2021 and 2023</w:t>
      </w:r>
      <w:r w:rsidR="00547983">
        <w:t xml:space="preserve">, </w:t>
      </w:r>
      <w:r w:rsidR="002626CA">
        <w:t xml:space="preserve">with child protection, health and aged care </w:t>
      </w:r>
      <w:r w:rsidR="00E53811">
        <w:t xml:space="preserve">remaining the top </w:t>
      </w:r>
      <w:r w:rsidR="00EB6740">
        <w:t>priorities</w:t>
      </w:r>
      <w:r w:rsidR="00E53811">
        <w:t>.</w:t>
      </w:r>
    </w:p>
    <w:p w14:paraId="30019F94" w14:textId="3440E66C" w:rsidR="004E5197" w:rsidRDefault="004E5197" w:rsidP="002777C6">
      <w:r>
        <w:t>These results are positive affirmation that human rights</w:t>
      </w:r>
      <w:r w:rsidR="004909A2">
        <w:t xml:space="preserve"> are of enduring importance </w:t>
      </w:r>
      <w:r w:rsidR="008527CF">
        <w:t xml:space="preserve">to the </w:t>
      </w:r>
      <w:r w:rsidR="004909A2">
        <w:t xml:space="preserve">Queensland </w:t>
      </w:r>
      <w:r w:rsidR="008527CF">
        <w:t xml:space="preserve">community, and that the public perceives the Human Rights Act to have a significant role in protecting and promoting </w:t>
      </w:r>
      <w:r w:rsidR="004909A2">
        <w:t xml:space="preserve">these </w:t>
      </w:r>
      <w:r w:rsidR="008527CF">
        <w:t xml:space="preserve">rights. </w:t>
      </w:r>
      <w:r>
        <w:t xml:space="preserve">The Commission looks forward to </w:t>
      </w:r>
      <w:r w:rsidR="00723B23">
        <w:t>sharing</w:t>
      </w:r>
      <w:r w:rsidR="0023154D">
        <w:t xml:space="preserve"> </w:t>
      </w:r>
      <w:r w:rsidR="00723B23">
        <w:t>comprehensive insights</w:t>
      </w:r>
      <w:r w:rsidR="0023154D">
        <w:t xml:space="preserve"> </w:t>
      </w:r>
      <w:r w:rsidR="00010EC8">
        <w:t>about the survey in the coming months.</w:t>
      </w:r>
    </w:p>
    <w:p w14:paraId="23CE1CC4" w14:textId="22E942F5" w:rsidR="009A1563" w:rsidRPr="00340A84" w:rsidRDefault="009A1563" w:rsidP="00EE5D77">
      <w:r w:rsidRPr="00340A84">
        <w:br w:type="page"/>
      </w:r>
    </w:p>
    <w:p w14:paraId="7E9E24F7" w14:textId="76B4C808" w:rsidR="006D78BE" w:rsidRDefault="00183346">
      <w:pPr>
        <w:spacing w:after="160" w:line="259" w:lineRule="auto"/>
        <w:ind w:right="0"/>
      </w:pPr>
      <w:bookmarkStart w:id="837" w:name="_Toc84593963"/>
      <w:bookmarkStart w:id="838" w:name="_Toc85451838"/>
      <w:bookmarkStart w:id="839" w:name="_Toc85526769"/>
      <w:bookmarkStart w:id="840" w:name="_Toc85787184"/>
      <w:bookmarkStart w:id="841" w:name="_Toc1281698658"/>
      <w:r w:rsidRPr="00CA5DA3">
        <w:rPr>
          <w:noProof/>
          <w:color w:val="2B579A"/>
          <w:shd w:val="clear" w:color="auto" w:fill="E6E6E6"/>
          <w:lang w:eastAsia="en-AU"/>
        </w:rPr>
        <w:drawing>
          <wp:anchor distT="0" distB="0" distL="114300" distR="114300" simplePos="0" relativeHeight="251658258" behindDoc="1" locked="0" layoutInCell="1" allowOverlap="1" wp14:anchorId="2A733C66" wp14:editId="409F0252">
            <wp:simplePos x="0" y="0"/>
            <wp:positionH relativeFrom="page">
              <wp:posOffset>7277100</wp:posOffset>
            </wp:positionH>
            <wp:positionV relativeFrom="paragraph">
              <wp:posOffset>-942975</wp:posOffset>
            </wp:positionV>
            <wp:extent cx="370205" cy="10763250"/>
            <wp:effectExtent l="0" t="0" r="0" b="0"/>
            <wp:wrapNone/>
            <wp:docPr id="34"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0205" cy="10763250"/>
                    </a:xfrm>
                    <a:prstGeom prst="rect">
                      <a:avLst/>
                    </a:prstGeom>
                    <a:noFill/>
                    <a:ln>
                      <a:noFill/>
                    </a:ln>
                  </pic:spPr>
                </pic:pic>
              </a:graphicData>
            </a:graphic>
            <wp14:sizeRelH relativeFrom="page">
              <wp14:pctWidth>0</wp14:pctWidth>
            </wp14:sizeRelH>
            <wp14:sizeRelV relativeFrom="page">
              <wp14:pctHeight>0</wp14:pctHeight>
            </wp14:sizeRelV>
          </wp:anchor>
        </w:drawing>
      </w:r>
      <w:r w:rsidR="00E07560">
        <w:rPr>
          <w:noProof/>
          <w:color w:val="2B579A"/>
          <w:shd w:val="clear" w:color="auto" w:fill="E6E6E6"/>
          <w:lang w:eastAsia="en-AU"/>
        </w:rPr>
        <w:drawing>
          <wp:anchor distT="0" distB="0" distL="114300" distR="114300" simplePos="0" relativeHeight="251658240" behindDoc="1" locked="0" layoutInCell="1" allowOverlap="1" wp14:anchorId="14C8D9D8" wp14:editId="24D78884">
            <wp:simplePos x="0" y="0"/>
            <wp:positionH relativeFrom="page">
              <wp:align>left</wp:align>
            </wp:positionH>
            <wp:positionV relativeFrom="paragraph">
              <wp:posOffset>-914400</wp:posOffset>
            </wp:positionV>
            <wp:extent cx="7486650" cy="10666730"/>
            <wp:effectExtent l="0" t="0" r="0" b="1270"/>
            <wp:wrapNone/>
            <wp:docPr id="37" name="Picture 37" descr="A stack of files in ring binder fol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stack of files in ring binder folders."/>
                    <pic:cNvPicPr/>
                  </pic:nvPicPr>
                  <pic:blipFill rotWithShape="1">
                    <a:blip r:embed="rId39">
                      <a:extLst>
                        <a:ext uri="{28A0092B-C50C-407E-A947-70E740481C1C}">
                          <a14:useLocalDpi xmlns:a14="http://schemas.microsoft.com/office/drawing/2010/main" val="0"/>
                        </a:ext>
                      </a:extLst>
                    </a:blip>
                    <a:srcRect l="4654" r="48558"/>
                    <a:stretch/>
                  </pic:blipFill>
                  <pic:spPr bwMode="auto">
                    <a:xfrm>
                      <a:off x="0" y="0"/>
                      <a:ext cx="7493004" cy="106757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1679D1" w14:textId="579A3964" w:rsidR="006D78BE" w:rsidRDefault="006D78BE">
      <w:pPr>
        <w:spacing w:after="160" w:line="259" w:lineRule="auto"/>
        <w:ind w:right="0"/>
      </w:pPr>
    </w:p>
    <w:p w14:paraId="1085CF04" w14:textId="0CA93A36" w:rsidR="006D78BE" w:rsidRDefault="006D78BE">
      <w:pPr>
        <w:spacing w:after="160" w:line="259" w:lineRule="auto"/>
        <w:ind w:right="0"/>
      </w:pPr>
    </w:p>
    <w:p w14:paraId="1CC2388A" w14:textId="41A5DAC0" w:rsidR="006D78BE" w:rsidRDefault="006D78BE">
      <w:pPr>
        <w:spacing w:after="160" w:line="259" w:lineRule="auto"/>
        <w:ind w:right="0"/>
      </w:pPr>
    </w:p>
    <w:p w14:paraId="2D718576" w14:textId="7FFDBC95" w:rsidR="006D78BE" w:rsidRDefault="006D78BE">
      <w:pPr>
        <w:spacing w:after="160" w:line="259" w:lineRule="auto"/>
        <w:ind w:right="0"/>
      </w:pPr>
    </w:p>
    <w:p w14:paraId="34DBD0C6" w14:textId="14A3AEF5" w:rsidR="006D78BE" w:rsidRDefault="00A34F54" w:rsidP="00A34F54">
      <w:pPr>
        <w:tabs>
          <w:tab w:val="left" w:pos="5250"/>
        </w:tabs>
        <w:spacing w:after="160" w:line="259" w:lineRule="auto"/>
        <w:ind w:right="0"/>
      </w:pPr>
      <w:r>
        <w:tab/>
      </w:r>
    </w:p>
    <w:p w14:paraId="401F93A8" w14:textId="77777777" w:rsidR="006D78BE" w:rsidRDefault="006D78BE">
      <w:pPr>
        <w:spacing w:after="160" w:line="259" w:lineRule="auto"/>
        <w:ind w:right="0"/>
      </w:pPr>
    </w:p>
    <w:p w14:paraId="70DAE533" w14:textId="77777777" w:rsidR="006D78BE" w:rsidRDefault="006D78BE">
      <w:pPr>
        <w:spacing w:after="160" w:line="259" w:lineRule="auto"/>
        <w:ind w:right="0"/>
      </w:pPr>
    </w:p>
    <w:p w14:paraId="0EC30675" w14:textId="77777777" w:rsidR="006D78BE" w:rsidRDefault="006D78BE">
      <w:pPr>
        <w:spacing w:after="160" w:line="259" w:lineRule="auto"/>
        <w:ind w:right="0"/>
      </w:pPr>
    </w:p>
    <w:p w14:paraId="00BF59DD" w14:textId="77777777" w:rsidR="006D78BE" w:rsidRDefault="006D78BE">
      <w:pPr>
        <w:spacing w:after="160" w:line="259" w:lineRule="auto"/>
        <w:ind w:right="0"/>
      </w:pPr>
    </w:p>
    <w:p w14:paraId="41D49935" w14:textId="77777777" w:rsidR="006D78BE" w:rsidRDefault="006D78BE">
      <w:pPr>
        <w:spacing w:after="160" w:line="259" w:lineRule="auto"/>
        <w:ind w:right="0"/>
      </w:pPr>
    </w:p>
    <w:p w14:paraId="547BC090" w14:textId="77777777" w:rsidR="006D78BE" w:rsidRDefault="006D78BE">
      <w:pPr>
        <w:spacing w:after="160" w:line="259" w:lineRule="auto"/>
        <w:ind w:right="0"/>
      </w:pPr>
    </w:p>
    <w:p w14:paraId="0C113E22" w14:textId="77777777" w:rsidR="006D78BE" w:rsidRDefault="006D78BE">
      <w:pPr>
        <w:spacing w:after="160" w:line="259" w:lineRule="auto"/>
        <w:ind w:right="0"/>
      </w:pPr>
    </w:p>
    <w:p w14:paraId="0D3A0AFD" w14:textId="77777777" w:rsidR="006D78BE" w:rsidRDefault="006D78BE">
      <w:pPr>
        <w:spacing w:after="160" w:line="259" w:lineRule="auto"/>
        <w:ind w:right="0"/>
      </w:pPr>
    </w:p>
    <w:p w14:paraId="34754B78" w14:textId="77777777" w:rsidR="006D78BE" w:rsidRDefault="006D78BE">
      <w:pPr>
        <w:spacing w:after="160" w:line="259" w:lineRule="auto"/>
        <w:ind w:right="0"/>
      </w:pPr>
    </w:p>
    <w:p w14:paraId="46F85166" w14:textId="77777777" w:rsidR="006D78BE" w:rsidRDefault="006D78BE">
      <w:pPr>
        <w:spacing w:after="160" w:line="259" w:lineRule="auto"/>
        <w:ind w:right="0"/>
      </w:pPr>
    </w:p>
    <w:p w14:paraId="2026541D" w14:textId="77777777" w:rsidR="006D78BE" w:rsidRDefault="006D78BE">
      <w:pPr>
        <w:spacing w:after="160" w:line="259" w:lineRule="auto"/>
        <w:ind w:right="0"/>
      </w:pPr>
    </w:p>
    <w:p w14:paraId="2DDAB7FF" w14:textId="304150B8" w:rsidR="006D78BE" w:rsidRDefault="006D78BE">
      <w:pPr>
        <w:spacing w:after="160" w:line="259" w:lineRule="auto"/>
        <w:ind w:right="0"/>
      </w:pPr>
      <w:r w:rsidRPr="00CA5DA3">
        <w:rPr>
          <w:noProof/>
          <w:color w:val="2B579A"/>
          <w:shd w:val="clear" w:color="auto" w:fill="E6E6E6"/>
          <w:lang w:eastAsia="en-AU"/>
        </w:rPr>
        <mc:AlternateContent>
          <mc:Choice Requires="wps">
            <w:drawing>
              <wp:anchor distT="0" distB="0" distL="114300" distR="114300" simplePos="0" relativeHeight="251658257" behindDoc="1" locked="0" layoutInCell="1" allowOverlap="1" wp14:anchorId="297A247A" wp14:editId="319419B5">
                <wp:simplePos x="0" y="0"/>
                <wp:positionH relativeFrom="page">
                  <wp:posOffset>0</wp:posOffset>
                </wp:positionH>
                <wp:positionV relativeFrom="paragraph">
                  <wp:posOffset>288290</wp:posOffset>
                </wp:positionV>
                <wp:extent cx="5372100" cy="723900"/>
                <wp:effectExtent l="0" t="0" r="0" b="0"/>
                <wp:wrapNone/>
                <wp:docPr id="33" name="Rectangle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372100" cy="723900"/>
                        </a:xfrm>
                        <a:prstGeom prst="rect">
                          <a:avLst/>
                        </a:prstGeom>
                        <a:solidFill>
                          <a:srgbClr val="373D4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3AA00255" id="Rectangle 33" o:spid="_x0000_s1026" alt="&quot;&quot;" style="position:absolute;margin-left:0;margin-top:22.7pt;width:423pt;height:57pt;z-index:-25165822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" fillcolor="#373d41" stroked="f" strokeweight="1pt">
                <w10:wrap anchorx="page"/>
              </v:rect>
            </w:pict>
          </mc:Fallback>
        </mc:AlternateContent>
      </w:r>
    </w:p>
    <w:p w14:paraId="55B077D8" w14:textId="012D229F" w:rsidR="006D78BE" w:rsidRDefault="006D78BE" w:rsidP="006D78BE">
      <w:pPr>
        <w:pStyle w:val="Sectiontitle"/>
        <w:rPr>
          <w:color w:val="347B9F"/>
          <w:sz w:val="48"/>
          <w:szCs w:val="32"/>
        </w:rPr>
      </w:pPr>
      <w:bookmarkStart w:id="842" w:name="_Toc117697227"/>
      <w:bookmarkStart w:id="843" w:name="_Toc147757374"/>
      <w:bookmarkStart w:id="844" w:name="_Toc148087003"/>
      <w:r>
        <w:t>Appendi</w:t>
      </w:r>
      <w:r w:rsidR="00A51344">
        <w:t>x</w:t>
      </w:r>
      <w:r>
        <w:t>es</w:t>
      </w:r>
      <w:bookmarkEnd w:id="842"/>
      <w:bookmarkEnd w:id="843"/>
      <w:bookmarkEnd w:id="844"/>
      <w:r>
        <w:br w:type="page"/>
      </w:r>
    </w:p>
    <w:p w14:paraId="5791CE52" w14:textId="751C31D4" w:rsidR="00EF6EE1" w:rsidRPr="00AC4763" w:rsidRDefault="00EF6EE1" w:rsidP="1F34D93D">
      <w:pPr>
        <w:pStyle w:val="Heading1"/>
        <w:rPr>
          <w:color w:val="373D41"/>
        </w:rPr>
      </w:pPr>
      <w:bookmarkStart w:id="845" w:name="_Toc117697228"/>
      <w:bookmarkStart w:id="846" w:name="_Toc147757375"/>
      <w:bookmarkStart w:id="847" w:name="_Toc148087004"/>
      <w:r w:rsidRPr="00AC4763">
        <w:rPr>
          <w:color w:val="373D41"/>
        </w:rPr>
        <w:t>Appendix A: Courts and tribunals</w:t>
      </w:r>
      <w:bookmarkEnd w:id="837"/>
      <w:bookmarkEnd w:id="838"/>
      <w:bookmarkEnd w:id="839"/>
      <w:bookmarkEnd w:id="840"/>
      <w:bookmarkEnd w:id="841"/>
      <w:bookmarkEnd w:id="845"/>
      <w:bookmarkEnd w:id="846"/>
      <w:bookmarkEnd w:id="847"/>
    </w:p>
    <w:p w14:paraId="70D173E8" w14:textId="62E0BE62" w:rsidR="331C5BCE" w:rsidRDefault="331C5BCE" w:rsidP="61F0D21D">
      <w:r w:rsidRPr="45117535">
        <w:t xml:space="preserve">In the financial year ended 30 June 2022, courts and tribunals considered or mentioned the </w:t>
      </w:r>
      <w:r w:rsidR="585CF1EF" w:rsidRPr="45117535">
        <w:t>Human Rights Act in 86 matters.</w:t>
      </w:r>
    </w:p>
    <w:p w14:paraId="2AC3A967" w14:textId="0977195F" w:rsidR="00412349" w:rsidRPr="00D964AC" w:rsidRDefault="00412349" w:rsidP="00D964AC">
      <w:pPr>
        <w:pStyle w:val="Caption"/>
      </w:pPr>
      <w:r w:rsidRPr="00E13401">
        <w:t xml:space="preserve">Table </w:t>
      </w:r>
      <w:r w:rsidR="00C553CA" w:rsidRPr="00E13401">
        <w:t>7</w:t>
      </w:r>
      <w:r w:rsidRPr="00E13401">
        <w:t xml:space="preserve">: Courts and tribunals </w:t>
      </w:r>
      <w:r w:rsidR="0CCD4932" w:rsidRPr="00E13401">
        <w:t>that</w:t>
      </w:r>
      <w:r w:rsidRPr="00E13401">
        <w:t xml:space="preserve"> considered or mentioned the Human Rights Act, </w:t>
      </w:r>
      <w:r w:rsidR="007D27F7" w:rsidRPr="00E13401">
        <w:t>2022-23</w:t>
      </w:r>
    </w:p>
    <w:tbl>
      <w:tblPr>
        <w:tblStyle w:val="TableGrid"/>
        <w:tblW w:w="0" w:type="auto"/>
        <w:tblLayout w:type="fixed"/>
        <w:tblLook w:val="04A0" w:firstRow="1" w:lastRow="0" w:firstColumn="1" w:lastColumn="0" w:noHBand="0" w:noVBand="1"/>
      </w:tblPr>
      <w:tblGrid>
        <w:gridCol w:w="6990"/>
        <w:gridCol w:w="1110"/>
      </w:tblGrid>
      <w:tr w:rsidR="00AC4763" w:rsidRPr="00AC4763" w14:paraId="0AF814D8" w14:textId="77777777" w:rsidTr="45117535">
        <w:trPr>
          <w:trHeight w:val="540"/>
        </w:trPr>
        <w:tc>
          <w:tcPr>
            <w:tcW w:w="6990" w:type="dxa"/>
            <w:tcBorders>
              <w:top w:val="single" w:sz="6" w:space="0" w:color="373D42"/>
              <w:left w:val="nil"/>
              <w:bottom w:val="single" w:sz="6" w:space="0" w:color="373D42"/>
              <w:right w:val="nil"/>
            </w:tcBorders>
          </w:tcPr>
          <w:p w14:paraId="73419424" w14:textId="1D240EC1" w:rsidR="45117535" w:rsidRPr="00AC4763" w:rsidRDefault="45117535" w:rsidP="27274A20">
            <w:pPr>
              <w:pStyle w:val="Tableheading"/>
              <w:rPr>
                <w:b w:val="0"/>
                <w:color w:val="373D41"/>
              </w:rPr>
            </w:pPr>
            <w:r w:rsidRPr="00AC4763">
              <w:rPr>
                <w:color w:val="373D41"/>
              </w:rPr>
              <w:t>Court</w:t>
            </w:r>
          </w:p>
        </w:tc>
        <w:tc>
          <w:tcPr>
            <w:tcW w:w="1110" w:type="dxa"/>
            <w:tcBorders>
              <w:top w:val="single" w:sz="6" w:space="0" w:color="373D42"/>
              <w:left w:val="nil"/>
              <w:bottom w:val="single" w:sz="6" w:space="0" w:color="373D42"/>
              <w:right w:val="nil"/>
            </w:tcBorders>
          </w:tcPr>
          <w:p w14:paraId="75086D1E" w14:textId="4310D888" w:rsidR="45117535" w:rsidRPr="00AC4763" w:rsidRDefault="45117535" w:rsidP="27274A20">
            <w:pPr>
              <w:pStyle w:val="Tableheading"/>
              <w:rPr>
                <w:b w:val="0"/>
                <w:color w:val="373D41"/>
              </w:rPr>
            </w:pPr>
            <w:r w:rsidRPr="00AC4763">
              <w:rPr>
                <w:color w:val="373D41"/>
              </w:rPr>
              <w:t>Number</w:t>
            </w:r>
          </w:p>
        </w:tc>
      </w:tr>
      <w:tr w:rsidR="45117535" w14:paraId="382EF689" w14:textId="77777777" w:rsidTr="45117535">
        <w:tc>
          <w:tcPr>
            <w:tcW w:w="6990" w:type="dxa"/>
            <w:tcBorders>
              <w:top w:val="single" w:sz="6" w:space="0" w:color="373D42"/>
              <w:left w:val="nil"/>
              <w:bottom w:val="single" w:sz="6" w:space="0" w:color="373D42"/>
              <w:right w:val="nil"/>
            </w:tcBorders>
          </w:tcPr>
          <w:p w14:paraId="6B230677" w14:textId="6E9673B6" w:rsidR="45117535" w:rsidRDefault="45117535" w:rsidP="27274A20">
            <w:pPr>
              <w:pStyle w:val="Tabletext"/>
            </w:pPr>
            <w:r w:rsidRPr="45117535">
              <w:t>Federal Court of Australia (FCA)</w:t>
            </w:r>
          </w:p>
        </w:tc>
        <w:tc>
          <w:tcPr>
            <w:tcW w:w="1110" w:type="dxa"/>
            <w:tcBorders>
              <w:top w:val="single" w:sz="6" w:space="0" w:color="373D42"/>
              <w:left w:val="nil"/>
              <w:bottom w:val="single" w:sz="6" w:space="0" w:color="373D42"/>
              <w:right w:val="nil"/>
            </w:tcBorders>
          </w:tcPr>
          <w:p w14:paraId="19BB35DB" w14:textId="0CA9D2A6" w:rsidR="45117535" w:rsidRDefault="45117535" w:rsidP="27274A20">
            <w:pPr>
              <w:pStyle w:val="Tabletext"/>
            </w:pPr>
            <w:r w:rsidRPr="45117535">
              <w:t>1</w:t>
            </w:r>
          </w:p>
        </w:tc>
      </w:tr>
      <w:tr w:rsidR="45117535" w14:paraId="494B25F7" w14:textId="77777777" w:rsidTr="45117535">
        <w:tc>
          <w:tcPr>
            <w:tcW w:w="6990" w:type="dxa"/>
            <w:tcBorders>
              <w:top w:val="single" w:sz="6" w:space="0" w:color="373D42"/>
              <w:left w:val="nil"/>
              <w:bottom w:val="single" w:sz="6" w:space="0" w:color="373D42"/>
              <w:right w:val="nil"/>
            </w:tcBorders>
          </w:tcPr>
          <w:p w14:paraId="17440995" w14:textId="7695B927" w:rsidR="45117535" w:rsidRDefault="45117535" w:rsidP="27274A20">
            <w:pPr>
              <w:pStyle w:val="Tabletext"/>
            </w:pPr>
            <w:r w:rsidRPr="45117535">
              <w:t>Fair Work Commission (FWC)</w:t>
            </w:r>
          </w:p>
        </w:tc>
        <w:tc>
          <w:tcPr>
            <w:tcW w:w="1110" w:type="dxa"/>
            <w:tcBorders>
              <w:top w:val="single" w:sz="6" w:space="0" w:color="373D42"/>
              <w:left w:val="nil"/>
              <w:bottom w:val="single" w:sz="6" w:space="0" w:color="373D42"/>
              <w:right w:val="nil"/>
            </w:tcBorders>
          </w:tcPr>
          <w:p w14:paraId="44025FF7" w14:textId="1A2CD55C" w:rsidR="45117535" w:rsidRDefault="45117535" w:rsidP="27274A20">
            <w:pPr>
              <w:pStyle w:val="Tabletext"/>
            </w:pPr>
            <w:r w:rsidRPr="45117535">
              <w:t>2</w:t>
            </w:r>
          </w:p>
        </w:tc>
      </w:tr>
      <w:tr w:rsidR="45117535" w14:paraId="26AE92B0" w14:textId="77777777" w:rsidTr="45117535">
        <w:tc>
          <w:tcPr>
            <w:tcW w:w="6990" w:type="dxa"/>
            <w:tcBorders>
              <w:top w:val="single" w:sz="6" w:space="0" w:color="373D42"/>
              <w:left w:val="nil"/>
              <w:bottom w:val="single" w:sz="6" w:space="0" w:color="373D42"/>
              <w:right w:val="nil"/>
            </w:tcBorders>
          </w:tcPr>
          <w:p w14:paraId="14639CEB" w14:textId="301B6483" w:rsidR="45117535" w:rsidRPr="00C039B7" w:rsidRDefault="45117535" w:rsidP="27274A20">
            <w:pPr>
              <w:pStyle w:val="Tabletext"/>
              <w:rPr>
                <w:rFonts w:eastAsia="Calibri"/>
                <w:szCs w:val="20"/>
              </w:rPr>
            </w:pPr>
            <w:r w:rsidRPr="00C039B7">
              <w:rPr>
                <w:szCs w:val="20"/>
              </w:rPr>
              <w:t>Court of Appeal Queensland (QCA)</w:t>
            </w:r>
          </w:p>
        </w:tc>
        <w:tc>
          <w:tcPr>
            <w:tcW w:w="1110" w:type="dxa"/>
            <w:tcBorders>
              <w:top w:val="single" w:sz="6" w:space="0" w:color="373D42"/>
              <w:left w:val="nil"/>
              <w:bottom w:val="single" w:sz="6" w:space="0" w:color="373D42"/>
              <w:right w:val="nil"/>
            </w:tcBorders>
          </w:tcPr>
          <w:p w14:paraId="75CC07F8" w14:textId="41009484" w:rsidR="45117535" w:rsidRDefault="45117535" w:rsidP="27274A20">
            <w:pPr>
              <w:pStyle w:val="Tabletext"/>
            </w:pPr>
            <w:r w:rsidRPr="45117535">
              <w:t>1</w:t>
            </w:r>
          </w:p>
        </w:tc>
      </w:tr>
      <w:tr w:rsidR="45117535" w14:paraId="32B31DBB" w14:textId="77777777" w:rsidTr="45117535">
        <w:tc>
          <w:tcPr>
            <w:tcW w:w="6990" w:type="dxa"/>
            <w:tcBorders>
              <w:top w:val="single" w:sz="6" w:space="0" w:color="373D42"/>
              <w:left w:val="nil"/>
              <w:bottom w:val="single" w:sz="6" w:space="0" w:color="373D42"/>
              <w:right w:val="nil"/>
            </w:tcBorders>
          </w:tcPr>
          <w:p w14:paraId="0B8B7CEC" w14:textId="678150AA" w:rsidR="45117535" w:rsidRDefault="45117535" w:rsidP="27274A20">
            <w:pPr>
              <w:pStyle w:val="Tabletext"/>
            </w:pPr>
            <w:r w:rsidRPr="45117535">
              <w:t>Supreme Court of Queensland (QSC)</w:t>
            </w:r>
          </w:p>
        </w:tc>
        <w:tc>
          <w:tcPr>
            <w:tcW w:w="1110" w:type="dxa"/>
            <w:tcBorders>
              <w:top w:val="single" w:sz="6" w:space="0" w:color="373D42"/>
              <w:left w:val="nil"/>
              <w:bottom w:val="single" w:sz="6" w:space="0" w:color="373D42"/>
              <w:right w:val="nil"/>
            </w:tcBorders>
          </w:tcPr>
          <w:p w14:paraId="74D80D43" w14:textId="1A655F4F" w:rsidR="45117535" w:rsidRDefault="45117535" w:rsidP="27274A20">
            <w:pPr>
              <w:pStyle w:val="Tabletext"/>
            </w:pPr>
            <w:r w:rsidRPr="45117535">
              <w:t>3</w:t>
            </w:r>
          </w:p>
        </w:tc>
      </w:tr>
      <w:tr w:rsidR="45117535" w14:paraId="1ABF871E" w14:textId="77777777" w:rsidTr="45117535">
        <w:tc>
          <w:tcPr>
            <w:tcW w:w="6990" w:type="dxa"/>
            <w:tcBorders>
              <w:top w:val="single" w:sz="6" w:space="0" w:color="373D42"/>
              <w:left w:val="nil"/>
              <w:bottom w:val="single" w:sz="6" w:space="0" w:color="373D42"/>
              <w:right w:val="nil"/>
            </w:tcBorders>
          </w:tcPr>
          <w:p w14:paraId="74A8D86E" w14:textId="05D068C5" w:rsidR="45117535" w:rsidRDefault="45117535" w:rsidP="27274A20">
            <w:pPr>
              <w:pStyle w:val="Tabletext"/>
            </w:pPr>
            <w:r w:rsidRPr="45117535">
              <w:t>District Court of Queensland (QDA)</w:t>
            </w:r>
          </w:p>
        </w:tc>
        <w:tc>
          <w:tcPr>
            <w:tcW w:w="1110" w:type="dxa"/>
            <w:tcBorders>
              <w:top w:val="single" w:sz="6" w:space="0" w:color="373D42"/>
              <w:left w:val="nil"/>
              <w:bottom w:val="single" w:sz="6" w:space="0" w:color="373D42"/>
              <w:right w:val="nil"/>
            </w:tcBorders>
          </w:tcPr>
          <w:p w14:paraId="5D5002F3" w14:textId="3EB7CB5A" w:rsidR="45117535" w:rsidRDefault="45117535" w:rsidP="27274A20">
            <w:pPr>
              <w:pStyle w:val="Tabletext"/>
            </w:pPr>
            <w:r w:rsidRPr="45117535">
              <w:t>4</w:t>
            </w:r>
          </w:p>
        </w:tc>
      </w:tr>
      <w:tr w:rsidR="45117535" w14:paraId="63D48897" w14:textId="77777777" w:rsidTr="45117535">
        <w:tc>
          <w:tcPr>
            <w:tcW w:w="6990" w:type="dxa"/>
            <w:tcBorders>
              <w:top w:val="single" w:sz="6" w:space="0" w:color="373D42"/>
              <w:left w:val="nil"/>
              <w:bottom w:val="single" w:sz="6" w:space="0" w:color="373D42"/>
              <w:right w:val="nil"/>
            </w:tcBorders>
          </w:tcPr>
          <w:p w14:paraId="1D8113F7" w14:textId="4A3EDC81" w:rsidR="45117535" w:rsidRDefault="45117535" w:rsidP="27274A20">
            <w:pPr>
              <w:pStyle w:val="Tabletext"/>
            </w:pPr>
            <w:r w:rsidRPr="45117535">
              <w:t>Land Court of Queensland (QLC)</w:t>
            </w:r>
          </w:p>
        </w:tc>
        <w:tc>
          <w:tcPr>
            <w:tcW w:w="1110" w:type="dxa"/>
            <w:tcBorders>
              <w:top w:val="single" w:sz="6" w:space="0" w:color="373D42"/>
              <w:left w:val="nil"/>
              <w:bottom w:val="single" w:sz="6" w:space="0" w:color="373D42"/>
              <w:right w:val="nil"/>
            </w:tcBorders>
          </w:tcPr>
          <w:p w14:paraId="478813E2" w14:textId="6A649577" w:rsidR="45117535" w:rsidRDefault="45117535" w:rsidP="27274A20">
            <w:pPr>
              <w:pStyle w:val="Tabletext"/>
            </w:pPr>
            <w:r w:rsidRPr="45117535">
              <w:t>2</w:t>
            </w:r>
          </w:p>
        </w:tc>
      </w:tr>
      <w:tr w:rsidR="45117535" w14:paraId="0D9B4FEA" w14:textId="77777777" w:rsidTr="45117535">
        <w:tc>
          <w:tcPr>
            <w:tcW w:w="6990" w:type="dxa"/>
            <w:tcBorders>
              <w:top w:val="single" w:sz="6" w:space="0" w:color="373D42"/>
              <w:left w:val="nil"/>
              <w:bottom w:val="single" w:sz="6" w:space="0" w:color="373D42"/>
              <w:right w:val="nil"/>
            </w:tcBorders>
          </w:tcPr>
          <w:p w14:paraId="0631CD88" w14:textId="489FB117" w:rsidR="45117535" w:rsidRDefault="45117535" w:rsidP="27274A20">
            <w:pPr>
              <w:pStyle w:val="Tabletext"/>
            </w:pPr>
            <w:r w:rsidRPr="45117535">
              <w:t>Mental Health Court Queensland (QMHC)</w:t>
            </w:r>
          </w:p>
        </w:tc>
        <w:tc>
          <w:tcPr>
            <w:tcW w:w="1110" w:type="dxa"/>
            <w:tcBorders>
              <w:top w:val="single" w:sz="6" w:space="0" w:color="373D42"/>
              <w:left w:val="nil"/>
              <w:bottom w:val="single" w:sz="6" w:space="0" w:color="373D42"/>
              <w:right w:val="nil"/>
            </w:tcBorders>
          </w:tcPr>
          <w:p w14:paraId="3708F67A" w14:textId="0E765392" w:rsidR="45117535" w:rsidRDefault="45117535" w:rsidP="27274A20">
            <w:pPr>
              <w:pStyle w:val="Tabletext"/>
            </w:pPr>
            <w:r w:rsidRPr="45117535">
              <w:t>1</w:t>
            </w:r>
          </w:p>
        </w:tc>
      </w:tr>
      <w:tr w:rsidR="45117535" w14:paraId="1B1375EB" w14:textId="77777777" w:rsidTr="45117535">
        <w:tc>
          <w:tcPr>
            <w:tcW w:w="6990" w:type="dxa"/>
            <w:tcBorders>
              <w:top w:val="single" w:sz="6" w:space="0" w:color="373D42"/>
              <w:left w:val="nil"/>
              <w:bottom w:val="single" w:sz="6" w:space="0" w:color="373D42"/>
              <w:right w:val="nil"/>
            </w:tcBorders>
          </w:tcPr>
          <w:p w14:paraId="241C3F90" w14:textId="175AB1FA" w:rsidR="45117535" w:rsidRDefault="45117535" w:rsidP="27274A20">
            <w:pPr>
              <w:pStyle w:val="Tabletext"/>
            </w:pPr>
            <w:r w:rsidRPr="45117535">
              <w:t>Coroners Court Queensland</w:t>
            </w:r>
          </w:p>
        </w:tc>
        <w:tc>
          <w:tcPr>
            <w:tcW w:w="1110" w:type="dxa"/>
            <w:tcBorders>
              <w:top w:val="single" w:sz="6" w:space="0" w:color="373D42"/>
              <w:left w:val="nil"/>
              <w:bottom w:val="single" w:sz="6" w:space="0" w:color="373D42"/>
              <w:right w:val="nil"/>
            </w:tcBorders>
          </w:tcPr>
          <w:p w14:paraId="26F058EE" w14:textId="0E09357D" w:rsidR="45117535" w:rsidRDefault="45117535" w:rsidP="27274A20">
            <w:pPr>
              <w:pStyle w:val="Tabletext"/>
            </w:pPr>
            <w:r w:rsidRPr="45117535">
              <w:t>1</w:t>
            </w:r>
          </w:p>
        </w:tc>
      </w:tr>
      <w:tr w:rsidR="45117535" w14:paraId="675736E3" w14:textId="77777777" w:rsidTr="45117535">
        <w:tc>
          <w:tcPr>
            <w:tcW w:w="6990" w:type="dxa"/>
            <w:tcBorders>
              <w:top w:val="single" w:sz="6" w:space="0" w:color="373D42"/>
              <w:left w:val="nil"/>
              <w:bottom w:val="single" w:sz="6" w:space="0" w:color="373D42"/>
              <w:right w:val="nil"/>
            </w:tcBorders>
          </w:tcPr>
          <w:p w14:paraId="0811D8CE" w14:textId="707B233F" w:rsidR="45117535" w:rsidRDefault="45117535" w:rsidP="27274A20">
            <w:pPr>
              <w:pStyle w:val="Tabletext"/>
            </w:pPr>
            <w:r w:rsidRPr="45117535">
              <w:t>Queensland Civil and Administrative Tribunal Appeals (QCATA)</w:t>
            </w:r>
          </w:p>
        </w:tc>
        <w:tc>
          <w:tcPr>
            <w:tcW w:w="1110" w:type="dxa"/>
            <w:tcBorders>
              <w:top w:val="single" w:sz="6" w:space="0" w:color="373D42"/>
              <w:left w:val="nil"/>
              <w:bottom w:val="single" w:sz="6" w:space="0" w:color="373D42"/>
              <w:right w:val="nil"/>
            </w:tcBorders>
          </w:tcPr>
          <w:p w14:paraId="127FC7E7" w14:textId="1D8B91E5" w:rsidR="45117535" w:rsidRDefault="45117535" w:rsidP="27274A20">
            <w:pPr>
              <w:pStyle w:val="Tabletext"/>
            </w:pPr>
            <w:r w:rsidRPr="45117535">
              <w:t>4</w:t>
            </w:r>
          </w:p>
        </w:tc>
      </w:tr>
      <w:tr w:rsidR="45117535" w14:paraId="5FA5F548" w14:textId="77777777" w:rsidTr="45117535">
        <w:tc>
          <w:tcPr>
            <w:tcW w:w="6990" w:type="dxa"/>
            <w:tcBorders>
              <w:top w:val="single" w:sz="6" w:space="0" w:color="373D42"/>
              <w:left w:val="nil"/>
              <w:bottom w:val="single" w:sz="6" w:space="0" w:color="373D42"/>
              <w:right w:val="nil"/>
            </w:tcBorders>
          </w:tcPr>
          <w:p w14:paraId="4D3760E6" w14:textId="4890E141" w:rsidR="45117535" w:rsidRDefault="45117535" w:rsidP="27274A20">
            <w:pPr>
              <w:pStyle w:val="Tabletext"/>
            </w:pPr>
            <w:r w:rsidRPr="45117535">
              <w:t>Queensland Civil and Administrative Tribunal (QCAT)</w:t>
            </w:r>
          </w:p>
        </w:tc>
        <w:tc>
          <w:tcPr>
            <w:tcW w:w="1110" w:type="dxa"/>
            <w:tcBorders>
              <w:top w:val="single" w:sz="6" w:space="0" w:color="373D42"/>
              <w:left w:val="nil"/>
              <w:bottom w:val="single" w:sz="6" w:space="0" w:color="373D42"/>
              <w:right w:val="nil"/>
            </w:tcBorders>
          </w:tcPr>
          <w:p w14:paraId="08E26AF2" w14:textId="3E8C1157" w:rsidR="45117535" w:rsidRDefault="45117535" w:rsidP="27274A20">
            <w:pPr>
              <w:pStyle w:val="Tabletext"/>
            </w:pPr>
            <w:r w:rsidRPr="45117535">
              <w:t>44</w:t>
            </w:r>
          </w:p>
        </w:tc>
      </w:tr>
      <w:tr w:rsidR="45117535" w14:paraId="3D09BC0C" w14:textId="77777777" w:rsidTr="45117535">
        <w:tc>
          <w:tcPr>
            <w:tcW w:w="6990" w:type="dxa"/>
            <w:tcBorders>
              <w:top w:val="single" w:sz="6" w:space="0" w:color="373D42"/>
              <w:left w:val="nil"/>
              <w:bottom w:val="single" w:sz="6" w:space="0" w:color="373D42"/>
              <w:right w:val="nil"/>
            </w:tcBorders>
          </w:tcPr>
          <w:p w14:paraId="714C7439" w14:textId="7C0C44A2" w:rsidR="45117535" w:rsidRPr="00C039B7" w:rsidRDefault="45117535" w:rsidP="27274A20">
            <w:pPr>
              <w:pStyle w:val="Tabletext"/>
              <w:rPr>
                <w:rFonts w:eastAsia="Calibri"/>
                <w:szCs w:val="20"/>
              </w:rPr>
            </w:pPr>
            <w:r w:rsidRPr="00C039B7">
              <w:rPr>
                <w:szCs w:val="20"/>
              </w:rPr>
              <w:t>Queensland Industrial Relations Commission (QIRC)</w:t>
            </w:r>
          </w:p>
        </w:tc>
        <w:tc>
          <w:tcPr>
            <w:tcW w:w="1110" w:type="dxa"/>
            <w:tcBorders>
              <w:top w:val="single" w:sz="6" w:space="0" w:color="373D42"/>
              <w:left w:val="nil"/>
              <w:bottom w:val="single" w:sz="6" w:space="0" w:color="373D42"/>
              <w:right w:val="nil"/>
            </w:tcBorders>
          </w:tcPr>
          <w:p w14:paraId="50B4E409" w14:textId="499E24BD" w:rsidR="45117535" w:rsidRDefault="45117535" w:rsidP="27274A20">
            <w:pPr>
              <w:pStyle w:val="Tabletext"/>
            </w:pPr>
            <w:r w:rsidRPr="45117535">
              <w:t>23</w:t>
            </w:r>
          </w:p>
        </w:tc>
      </w:tr>
      <w:tr w:rsidR="45117535" w14:paraId="5BD18173" w14:textId="77777777" w:rsidTr="45117535">
        <w:tc>
          <w:tcPr>
            <w:tcW w:w="6990" w:type="dxa"/>
            <w:tcBorders>
              <w:top w:val="single" w:sz="6" w:space="0" w:color="373D42"/>
              <w:left w:val="nil"/>
              <w:bottom w:val="single" w:sz="6" w:space="0" w:color="373D42"/>
              <w:right w:val="nil"/>
            </w:tcBorders>
          </w:tcPr>
          <w:p w14:paraId="0E280411" w14:textId="0F854F12" w:rsidR="45117535" w:rsidRDefault="45117535" w:rsidP="27274A20">
            <w:pPr>
              <w:pStyle w:val="Tabletext"/>
              <w:rPr>
                <w:b/>
              </w:rPr>
            </w:pPr>
            <w:r w:rsidRPr="45117535">
              <w:rPr>
                <w:b/>
              </w:rPr>
              <w:t>Total</w:t>
            </w:r>
          </w:p>
        </w:tc>
        <w:tc>
          <w:tcPr>
            <w:tcW w:w="1110" w:type="dxa"/>
            <w:tcBorders>
              <w:top w:val="single" w:sz="6" w:space="0" w:color="373D42"/>
              <w:left w:val="nil"/>
              <w:bottom w:val="single" w:sz="6" w:space="0" w:color="373D42"/>
              <w:right w:val="nil"/>
            </w:tcBorders>
          </w:tcPr>
          <w:p w14:paraId="08530A45" w14:textId="2FBD302C" w:rsidR="45117535" w:rsidRDefault="45117535" w:rsidP="27274A20">
            <w:pPr>
              <w:pStyle w:val="Tabletext"/>
              <w:rPr>
                <w:b/>
              </w:rPr>
            </w:pPr>
            <w:r w:rsidRPr="45117535">
              <w:rPr>
                <w:b/>
              </w:rPr>
              <w:t>86</w:t>
            </w:r>
          </w:p>
        </w:tc>
      </w:tr>
    </w:tbl>
    <w:p w14:paraId="762A3C78" w14:textId="0B8EC767" w:rsidR="45117535" w:rsidRDefault="45117535" w:rsidP="45117535">
      <w:pPr>
        <w:keepLines/>
        <w:widowControl w:val="0"/>
        <w:spacing w:after="160" w:line="240" w:lineRule="auto"/>
        <w:ind w:right="2160"/>
        <w:rPr>
          <w:rFonts w:eastAsia="Arial" w:cs="Arial"/>
          <w:color w:val="000000" w:themeColor="text1"/>
          <w:sz w:val="24"/>
          <w:szCs w:val="24"/>
        </w:rPr>
      </w:pPr>
    </w:p>
    <w:p w14:paraId="63246198" w14:textId="6B320D84" w:rsidR="28A6CC2D" w:rsidRDefault="28A6CC2D" w:rsidP="27274A20">
      <w:r w:rsidRPr="45117535">
        <w:t xml:space="preserve">Details of the cause of action that gave rise to the mention or consideration of the </w:t>
      </w:r>
      <w:r w:rsidRPr="45117535">
        <w:rPr>
          <w:i/>
        </w:rPr>
        <w:t>Human Rights Act 2019</w:t>
      </w:r>
      <w:r w:rsidRPr="45117535">
        <w:t xml:space="preserve"> in each court or tribunal matter are given in the following table.</w:t>
      </w:r>
    </w:p>
    <w:p w14:paraId="07066E69" w14:textId="213DDD20" w:rsidR="28A6CC2D" w:rsidRPr="007B4AA4" w:rsidRDefault="28A6CC2D" w:rsidP="27274A20">
      <w:pPr>
        <w:pStyle w:val="Caption"/>
      </w:pPr>
      <w:r>
        <w:t xml:space="preserve">Table </w:t>
      </w:r>
      <w:r w:rsidR="00C553CA">
        <w:t>8</w:t>
      </w:r>
      <w:r>
        <w:t xml:space="preserve">: Cause of action in court </w:t>
      </w:r>
      <w:r w:rsidR="70511B15">
        <w:t>and</w:t>
      </w:r>
      <w:r>
        <w:t xml:space="preserve"> tribunal matters that considered or mentioned the Human Rights Act in the 2021–2022 period</w:t>
      </w:r>
    </w:p>
    <w:tbl>
      <w:tblPr>
        <w:tblStyle w:val="TableGrid"/>
        <w:tblW w:w="0" w:type="auto"/>
        <w:tblLayout w:type="fixed"/>
        <w:tblLook w:val="04A0" w:firstRow="1" w:lastRow="0" w:firstColumn="1" w:lastColumn="0" w:noHBand="0" w:noVBand="1"/>
      </w:tblPr>
      <w:tblGrid>
        <w:gridCol w:w="1080"/>
        <w:gridCol w:w="5866"/>
        <w:gridCol w:w="1134"/>
      </w:tblGrid>
      <w:tr w:rsidR="00AC4763" w:rsidRPr="00AC4763" w14:paraId="174035FB" w14:textId="77777777" w:rsidTr="009F1C53">
        <w:trPr>
          <w:trHeight w:val="540"/>
        </w:trPr>
        <w:tc>
          <w:tcPr>
            <w:tcW w:w="1080" w:type="dxa"/>
            <w:tcBorders>
              <w:top w:val="single" w:sz="6" w:space="0" w:color="373D42"/>
              <w:left w:val="nil"/>
              <w:bottom w:val="single" w:sz="6" w:space="0" w:color="373D42"/>
              <w:right w:val="nil"/>
            </w:tcBorders>
          </w:tcPr>
          <w:p w14:paraId="6773763B" w14:textId="2E32E1F2" w:rsidR="45117535" w:rsidRPr="00AC4763" w:rsidRDefault="45117535" w:rsidP="27274A20">
            <w:pPr>
              <w:pStyle w:val="Tableheading"/>
              <w:rPr>
                <w:color w:val="373D41"/>
              </w:rPr>
            </w:pPr>
            <w:r w:rsidRPr="00AC4763">
              <w:rPr>
                <w:color w:val="373D41"/>
              </w:rPr>
              <w:t>Court</w:t>
            </w:r>
          </w:p>
        </w:tc>
        <w:tc>
          <w:tcPr>
            <w:tcW w:w="5866" w:type="dxa"/>
            <w:tcBorders>
              <w:top w:val="single" w:sz="6" w:space="0" w:color="373D42"/>
              <w:left w:val="nil"/>
              <w:bottom w:val="single" w:sz="6" w:space="0" w:color="373D42"/>
              <w:right w:val="nil"/>
            </w:tcBorders>
          </w:tcPr>
          <w:p w14:paraId="463076BE" w14:textId="23B8B373" w:rsidR="45117535" w:rsidRPr="00AC4763" w:rsidRDefault="45117535" w:rsidP="27274A20">
            <w:pPr>
              <w:pStyle w:val="Tableheading"/>
              <w:rPr>
                <w:color w:val="373D41"/>
              </w:rPr>
            </w:pPr>
            <w:r w:rsidRPr="00AC4763">
              <w:rPr>
                <w:color w:val="373D41"/>
              </w:rPr>
              <w:t>Cause of action</w:t>
            </w:r>
          </w:p>
        </w:tc>
        <w:tc>
          <w:tcPr>
            <w:tcW w:w="1134" w:type="dxa"/>
            <w:tcBorders>
              <w:top w:val="single" w:sz="6" w:space="0" w:color="373D42"/>
              <w:left w:val="nil"/>
              <w:bottom w:val="single" w:sz="6" w:space="0" w:color="373D42"/>
              <w:right w:val="nil"/>
            </w:tcBorders>
          </w:tcPr>
          <w:p w14:paraId="48B80A8B" w14:textId="1586EE25" w:rsidR="45117535" w:rsidRPr="00AC4763" w:rsidRDefault="45117535" w:rsidP="27274A20">
            <w:pPr>
              <w:pStyle w:val="Tableheading"/>
              <w:rPr>
                <w:color w:val="373D41"/>
              </w:rPr>
            </w:pPr>
            <w:r w:rsidRPr="00AC4763">
              <w:rPr>
                <w:color w:val="373D41"/>
              </w:rPr>
              <w:t>No</w:t>
            </w:r>
          </w:p>
        </w:tc>
      </w:tr>
      <w:tr w:rsidR="45117535" w14:paraId="0DDB4C09" w14:textId="77777777" w:rsidTr="009F1C53">
        <w:tc>
          <w:tcPr>
            <w:tcW w:w="1080" w:type="dxa"/>
            <w:tcBorders>
              <w:top w:val="single" w:sz="6" w:space="0" w:color="373D42"/>
              <w:left w:val="nil"/>
              <w:bottom w:val="single" w:sz="6" w:space="0" w:color="373D42"/>
              <w:right w:val="nil"/>
            </w:tcBorders>
          </w:tcPr>
          <w:p w14:paraId="1AC0887C" w14:textId="3D565D34" w:rsidR="45117535" w:rsidRDefault="45117535" w:rsidP="27274A20">
            <w:pPr>
              <w:pStyle w:val="Tabletext"/>
              <w:rPr>
                <w:rFonts w:eastAsia="Arial" w:cs="Arial"/>
              </w:rPr>
            </w:pPr>
            <w:r w:rsidRPr="27274A20">
              <w:rPr>
                <w:rFonts w:eastAsia="Arial" w:cs="Arial"/>
              </w:rPr>
              <w:t>FCA</w:t>
            </w:r>
          </w:p>
        </w:tc>
        <w:tc>
          <w:tcPr>
            <w:tcW w:w="5866" w:type="dxa"/>
            <w:tcBorders>
              <w:top w:val="single" w:sz="6" w:space="0" w:color="373D42"/>
              <w:left w:val="nil"/>
              <w:bottom w:val="single" w:sz="6" w:space="0" w:color="373D42"/>
              <w:right w:val="nil"/>
            </w:tcBorders>
          </w:tcPr>
          <w:p w14:paraId="46C5146F" w14:textId="730597BF" w:rsidR="45117535" w:rsidRDefault="00953692" w:rsidP="27274A20">
            <w:pPr>
              <w:pStyle w:val="Tabletext"/>
              <w:rPr>
                <w:rFonts w:eastAsia="Arial" w:cs="Arial"/>
              </w:rPr>
            </w:pPr>
            <w:r>
              <w:rPr>
                <w:rFonts w:eastAsia="Arial" w:cs="Arial"/>
              </w:rPr>
              <w:t xml:space="preserve">Covid-19 insurance test case </w:t>
            </w:r>
            <w:r w:rsidR="45117535" w:rsidRPr="27274A20">
              <w:rPr>
                <w:rFonts w:eastAsia="Arial" w:cs="Arial"/>
              </w:rPr>
              <w:t xml:space="preserve">– 1 </w:t>
            </w:r>
          </w:p>
        </w:tc>
        <w:tc>
          <w:tcPr>
            <w:tcW w:w="1134" w:type="dxa"/>
            <w:tcBorders>
              <w:top w:val="single" w:sz="6" w:space="0" w:color="373D42"/>
              <w:left w:val="nil"/>
              <w:bottom w:val="single" w:sz="6" w:space="0" w:color="373D42"/>
              <w:right w:val="nil"/>
            </w:tcBorders>
          </w:tcPr>
          <w:p w14:paraId="3265270D" w14:textId="1F5369EC" w:rsidR="45117535" w:rsidRDefault="45117535" w:rsidP="27274A20">
            <w:pPr>
              <w:pStyle w:val="Tabletext"/>
              <w:rPr>
                <w:rFonts w:eastAsia="Arial" w:cs="Arial"/>
              </w:rPr>
            </w:pPr>
            <w:r w:rsidRPr="27274A20">
              <w:rPr>
                <w:rFonts w:eastAsia="Arial" w:cs="Arial"/>
              </w:rPr>
              <w:t>1</w:t>
            </w:r>
          </w:p>
        </w:tc>
      </w:tr>
      <w:tr w:rsidR="45117535" w14:paraId="333EB953" w14:textId="77777777" w:rsidTr="009F1C53">
        <w:tc>
          <w:tcPr>
            <w:tcW w:w="1080" w:type="dxa"/>
            <w:tcBorders>
              <w:top w:val="single" w:sz="6" w:space="0" w:color="373D42"/>
              <w:left w:val="nil"/>
              <w:bottom w:val="single" w:sz="6" w:space="0" w:color="373D42"/>
              <w:right w:val="nil"/>
            </w:tcBorders>
          </w:tcPr>
          <w:p w14:paraId="2FAC67C5" w14:textId="706255EF" w:rsidR="45117535" w:rsidRDefault="45117535" w:rsidP="27274A20">
            <w:pPr>
              <w:pStyle w:val="Tabletext"/>
              <w:rPr>
                <w:rFonts w:eastAsia="Arial" w:cs="Arial"/>
              </w:rPr>
            </w:pPr>
            <w:r w:rsidRPr="27274A20">
              <w:rPr>
                <w:rFonts w:eastAsia="Arial" w:cs="Arial"/>
              </w:rPr>
              <w:t>FWC</w:t>
            </w:r>
          </w:p>
        </w:tc>
        <w:tc>
          <w:tcPr>
            <w:tcW w:w="5866" w:type="dxa"/>
            <w:tcBorders>
              <w:top w:val="single" w:sz="6" w:space="0" w:color="373D42"/>
              <w:left w:val="nil"/>
              <w:bottom w:val="single" w:sz="6" w:space="0" w:color="373D42"/>
              <w:right w:val="nil"/>
            </w:tcBorders>
          </w:tcPr>
          <w:p w14:paraId="2F8584A9" w14:textId="5F3ECDE4" w:rsidR="45117535" w:rsidRDefault="45117535" w:rsidP="27274A20">
            <w:pPr>
              <w:pStyle w:val="Tabletext"/>
              <w:rPr>
                <w:rFonts w:eastAsia="Arial" w:cs="Arial"/>
              </w:rPr>
            </w:pPr>
            <w:r w:rsidRPr="27274A20">
              <w:rPr>
                <w:rFonts w:eastAsia="Arial" w:cs="Arial"/>
              </w:rPr>
              <w:t>Unfair dismissal – 1</w:t>
            </w:r>
          </w:p>
          <w:p w14:paraId="72864637" w14:textId="352D6570" w:rsidR="45117535" w:rsidRDefault="45117535" w:rsidP="27274A20">
            <w:pPr>
              <w:pStyle w:val="Tabletext"/>
              <w:rPr>
                <w:rFonts w:eastAsia="Arial" w:cs="Arial"/>
              </w:rPr>
            </w:pPr>
            <w:r w:rsidRPr="27274A20">
              <w:rPr>
                <w:rFonts w:eastAsia="Arial" w:cs="Arial"/>
              </w:rPr>
              <w:t xml:space="preserve">General protections – 1 </w:t>
            </w:r>
          </w:p>
        </w:tc>
        <w:tc>
          <w:tcPr>
            <w:tcW w:w="1134" w:type="dxa"/>
            <w:tcBorders>
              <w:top w:val="single" w:sz="6" w:space="0" w:color="373D42"/>
              <w:left w:val="nil"/>
              <w:bottom w:val="single" w:sz="6" w:space="0" w:color="373D42"/>
              <w:right w:val="nil"/>
            </w:tcBorders>
          </w:tcPr>
          <w:p w14:paraId="3DBEBE27" w14:textId="393F5B05" w:rsidR="45117535" w:rsidRDefault="45117535" w:rsidP="27274A20">
            <w:pPr>
              <w:pStyle w:val="Tabletext"/>
              <w:rPr>
                <w:rFonts w:eastAsia="Arial" w:cs="Arial"/>
              </w:rPr>
            </w:pPr>
            <w:r w:rsidRPr="27274A20">
              <w:rPr>
                <w:rFonts w:eastAsia="Arial" w:cs="Arial"/>
              </w:rPr>
              <w:t>2</w:t>
            </w:r>
          </w:p>
        </w:tc>
      </w:tr>
      <w:tr w:rsidR="45117535" w14:paraId="52CB76D8" w14:textId="77777777" w:rsidTr="009F1C53">
        <w:tc>
          <w:tcPr>
            <w:tcW w:w="1080" w:type="dxa"/>
            <w:tcBorders>
              <w:top w:val="single" w:sz="6" w:space="0" w:color="373D42"/>
              <w:left w:val="nil"/>
              <w:bottom w:val="single" w:sz="6" w:space="0" w:color="373D42"/>
              <w:right w:val="nil"/>
            </w:tcBorders>
          </w:tcPr>
          <w:p w14:paraId="0A240C2C" w14:textId="3D0EC008" w:rsidR="45117535" w:rsidRDefault="45117535" w:rsidP="27274A20">
            <w:pPr>
              <w:pStyle w:val="Tabletext"/>
              <w:rPr>
                <w:rFonts w:eastAsia="Arial" w:cs="Arial"/>
              </w:rPr>
            </w:pPr>
            <w:r w:rsidRPr="27274A20">
              <w:rPr>
                <w:rFonts w:eastAsia="Arial" w:cs="Arial"/>
              </w:rPr>
              <w:t>QCA</w:t>
            </w:r>
          </w:p>
        </w:tc>
        <w:tc>
          <w:tcPr>
            <w:tcW w:w="5866" w:type="dxa"/>
            <w:tcBorders>
              <w:top w:val="single" w:sz="6" w:space="0" w:color="373D42"/>
              <w:left w:val="nil"/>
              <w:bottom w:val="single" w:sz="6" w:space="0" w:color="373D42"/>
              <w:right w:val="nil"/>
            </w:tcBorders>
          </w:tcPr>
          <w:p w14:paraId="5CC940D0" w14:textId="47D42C5B" w:rsidR="45117535" w:rsidRDefault="45117535" w:rsidP="27274A20">
            <w:pPr>
              <w:pStyle w:val="Tabletext"/>
              <w:rPr>
                <w:rFonts w:eastAsia="Arial" w:cs="Arial"/>
              </w:rPr>
            </w:pPr>
            <w:r w:rsidRPr="27274A20">
              <w:rPr>
                <w:rFonts w:eastAsia="Arial" w:cs="Arial"/>
              </w:rPr>
              <w:t>Referral of point of law under Criminal Code</w:t>
            </w:r>
          </w:p>
        </w:tc>
        <w:tc>
          <w:tcPr>
            <w:tcW w:w="1134" w:type="dxa"/>
            <w:tcBorders>
              <w:top w:val="single" w:sz="6" w:space="0" w:color="373D42"/>
              <w:left w:val="nil"/>
              <w:bottom w:val="single" w:sz="6" w:space="0" w:color="373D42"/>
              <w:right w:val="nil"/>
            </w:tcBorders>
          </w:tcPr>
          <w:p w14:paraId="2C6BE6BA" w14:textId="7B07145B" w:rsidR="45117535" w:rsidRDefault="45117535" w:rsidP="27274A20">
            <w:pPr>
              <w:pStyle w:val="Tabletext"/>
              <w:rPr>
                <w:rFonts w:eastAsia="Arial" w:cs="Arial"/>
              </w:rPr>
            </w:pPr>
            <w:r w:rsidRPr="27274A20">
              <w:rPr>
                <w:rFonts w:eastAsia="Arial" w:cs="Arial"/>
              </w:rPr>
              <w:t>1</w:t>
            </w:r>
          </w:p>
        </w:tc>
      </w:tr>
      <w:tr w:rsidR="45117535" w14:paraId="1CDB39FB" w14:textId="77777777" w:rsidTr="009F1C53">
        <w:tc>
          <w:tcPr>
            <w:tcW w:w="1080" w:type="dxa"/>
            <w:tcBorders>
              <w:top w:val="single" w:sz="6" w:space="0" w:color="373D42"/>
              <w:left w:val="nil"/>
              <w:bottom w:val="single" w:sz="6" w:space="0" w:color="373D42"/>
              <w:right w:val="nil"/>
            </w:tcBorders>
          </w:tcPr>
          <w:p w14:paraId="608BBD33" w14:textId="16E07287" w:rsidR="45117535" w:rsidRDefault="45117535" w:rsidP="27274A20">
            <w:pPr>
              <w:pStyle w:val="Tabletext"/>
              <w:rPr>
                <w:rFonts w:eastAsia="Arial" w:cs="Arial"/>
              </w:rPr>
            </w:pPr>
            <w:r w:rsidRPr="27274A20">
              <w:rPr>
                <w:rFonts w:eastAsia="Arial" w:cs="Arial"/>
              </w:rPr>
              <w:t>QSC</w:t>
            </w:r>
          </w:p>
        </w:tc>
        <w:tc>
          <w:tcPr>
            <w:tcW w:w="5866" w:type="dxa"/>
            <w:tcBorders>
              <w:top w:val="single" w:sz="6" w:space="0" w:color="373D42"/>
              <w:left w:val="nil"/>
              <w:bottom w:val="single" w:sz="6" w:space="0" w:color="373D42"/>
              <w:right w:val="nil"/>
            </w:tcBorders>
          </w:tcPr>
          <w:p w14:paraId="43CE3400" w14:textId="41B4E6BD" w:rsidR="45117535" w:rsidRDefault="45117535" w:rsidP="27274A20">
            <w:pPr>
              <w:pStyle w:val="Tabletext"/>
              <w:rPr>
                <w:rFonts w:eastAsia="Arial" w:cs="Arial"/>
              </w:rPr>
            </w:pPr>
            <w:r w:rsidRPr="27274A20">
              <w:rPr>
                <w:rFonts w:eastAsia="Arial" w:cs="Arial"/>
              </w:rPr>
              <w:t xml:space="preserve">Appeal from decision of Crime and Corruption Commission – 1 </w:t>
            </w:r>
          </w:p>
          <w:p w14:paraId="2711FBD3" w14:textId="4D08DD4D" w:rsidR="45117535" w:rsidRDefault="45117535" w:rsidP="27274A20">
            <w:pPr>
              <w:pStyle w:val="Tabletext"/>
              <w:rPr>
                <w:rFonts w:eastAsia="Arial" w:cs="Arial"/>
              </w:rPr>
            </w:pPr>
            <w:r w:rsidRPr="27274A20">
              <w:rPr>
                <w:rFonts w:eastAsia="Arial" w:cs="Arial"/>
              </w:rPr>
              <w:t xml:space="preserve">Application for </w:t>
            </w:r>
            <w:r w:rsidRPr="0093448F">
              <w:rPr>
                <w:rFonts w:eastAsia="Arial" w:cs="Arial"/>
              </w:rPr>
              <w:t>relief for</w:t>
            </w:r>
            <w:r w:rsidRPr="27274A20">
              <w:rPr>
                <w:rFonts w:eastAsia="Arial" w:cs="Arial"/>
              </w:rPr>
              <w:t xml:space="preserve"> unlawful imprisonment – 1 </w:t>
            </w:r>
          </w:p>
          <w:p w14:paraId="5642F62D" w14:textId="26F3A0F6" w:rsidR="45117535" w:rsidRDefault="45117535" w:rsidP="27274A20">
            <w:pPr>
              <w:pStyle w:val="Tabletext"/>
              <w:rPr>
                <w:rFonts w:eastAsia="Arial" w:cs="Arial"/>
              </w:rPr>
            </w:pPr>
            <w:r w:rsidRPr="27274A20">
              <w:rPr>
                <w:rFonts w:eastAsia="Arial" w:cs="Arial"/>
              </w:rPr>
              <w:t xml:space="preserve">Judicial review – 1 </w:t>
            </w:r>
          </w:p>
        </w:tc>
        <w:tc>
          <w:tcPr>
            <w:tcW w:w="1134" w:type="dxa"/>
            <w:tcBorders>
              <w:top w:val="single" w:sz="6" w:space="0" w:color="373D42"/>
              <w:left w:val="nil"/>
              <w:bottom w:val="single" w:sz="6" w:space="0" w:color="373D42"/>
              <w:right w:val="nil"/>
            </w:tcBorders>
          </w:tcPr>
          <w:p w14:paraId="472055E3" w14:textId="5CC439A1" w:rsidR="45117535" w:rsidRDefault="45117535" w:rsidP="27274A20">
            <w:pPr>
              <w:pStyle w:val="Tabletext"/>
              <w:rPr>
                <w:rFonts w:eastAsia="Arial" w:cs="Arial"/>
              </w:rPr>
            </w:pPr>
            <w:r w:rsidRPr="27274A20">
              <w:rPr>
                <w:rFonts w:eastAsia="Arial" w:cs="Arial"/>
              </w:rPr>
              <w:t>3</w:t>
            </w:r>
          </w:p>
        </w:tc>
      </w:tr>
      <w:tr w:rsidR="45117535" w14:paraId="56295E30" w14:textId="77777777" w:rsidTr="009F1C53">
        <w:tc>
          <w:tcPr>
            <w:tcW w:w="1080" w:type="dxa"/>
            <w:tcBorders>
              <w:top w:val="single" w:sz="6" w:space="0" w:color="373D42"/>
              <w:left w:val="nil"/>
              <w:bottom w:val="single" w:sz="6" w:space="0" w:color="373D42"/>
              <w:right w:val="nil"/>
            </w:tcBorders>
          </w:tcPr>
          <w:p w14:paraId="35BE11B7" w14:textId="6AAFF4BC" w:rsidR="45117535" w:rsidRDefault="45117535" w:rsidP="27274A20">
            <w:pPr>
              <w:pStyle w:val="Tabletext"/>
              <w:rPr>
                <w:rFonts w:eastAsia="Arial" w:cs="Arial"/>
              </w:rPr>
            </w:pPr>
            <w:r w:rsidRPr="27274A20">
              <w:rPr>
                <w:rFonts w:eastAsia="Arial" w:cs="Arial"/>
              </w:rPr>
              <w:t>QDA</w:t>
            </w:r>
          </w:p>
        </w:tc>
        <w:tc>
          <w:tcPr>
            <w:tcW w:w="5866" w:type="dxa"/>
            <w:tcBorders>
              <w:top w:val="single" w:sz="6" w:space="0" w:color="373D42"/>
              <w:left w:val="nil"/>
              <w:bottom w:val="single" w:sz="6" w:space="0" w:color="373D42"/>
              <w:right w:val="nil"/>
            </w:tcBorders>
          </w:tcPr>
          <w:p w14:paraId="3A3F8777" w14:textId="146A8E3B" w:rsidR="45117535" w:rsidRDefault="45117535" w:rsidP="27274A20">
            <w:pPr>
              <w:pStyle w:val="Tabletext"/>
              <w:rPr>
                <w:rFonts w:eastAsia="Arial" w:cs="Arial"/>
              </w:rPr>
            </w:pPr>
            <w:r w:rsidRPr="27274A20">
              <w:rPr>
                <w:rFonts w:eastAsia="Arial" w:cs="Arial"/>
              </w:rPr>
              <w:t>Appeal from decision to stay a summary charge arising from arguably same set of facts that had already resulted in conviction of indictable charge – 1</w:t>
            </w:r>
          </w:p>
          <w:p w14:paraId="4118F678" w14:textId="4A9A6D1C" w:rsidR="45117535" w:rsidRDefault="45117535" w:rsidP="27274A20">
            <w:pPr>
              <w:pStyle w:val="Tabletext"/>
              <w:rPr>
                <w:rFonts w:eastAsia="Arial" w:cs="Arial"/>
              </w:rPr>
            </w:pPr>
            <w:r w:rsidRPr="27274A20">
              <w:rPr>
                <w:rFonts w:eastAsia="Arial" w:cs="Arial"/>
              </w:rPr>
              <w:t xml:space="preserve">Breach of lease – 1 </w:t>
            </w:r>
          </w:p>
          <w:p w14:paraId="019E15CF" w14:textId="7D35F00A" w:rsidR="45117535" w:rsidRDefault="45117535" w:rsidP="27274A20">
            <w:pPr>
              <w:pStyle w:val="Tabletext"/>
              <w:rPr>
                <w:rFonts w:eastAsia="Arial" w:cs="Arial"/>
              </w:rPr>
            </w:pPr>
            <w:r w:rsidRPr="27274A20">
              <w:rPr>
                <w:rFonts w:eastAsia="Arial" w:cs="Arial"/>
              </w:rPr>
              <w:t>Defamation (orders for anonymisation) – 1</w:t>
            </w:r>
          </w:p>
          <w:p w14:paraId="4D93FCBE" w14:textId="7A752F05" w:rsidR="45117535" w:rsidRDefault="45117535" w:rsidP="27274A20">
            <w:pPr>
              <w:pStyle w:val="Tabletext"/>
              <w:rPr>
                <w:rFonts w:eastAsia="Arial" w:cs="Arial"/>
              </w:rPr>
            </w:pPr>
            <w:r w:rsidRPr="27274A20">
              <w:rPr>
                <w:rFonts w:eastAsia="Arial" w:cs="Arial"/>
              </w:rPr>
              <w:t>Protection order – 1</w:t>
            </w:r>
          </w:p>
        </w:tc>
        <w:tc>
          <w:tcPr>
            <w:tcW w:w="1134" w:type="dxa"/>
            <w:tcBorders>
              <w:top w:val="single" w:sz="6" w:space="0" w:color="373D42"/>
              <w:left w:val="nil"/>
              <w:bottom w:val="single" w:sz="6" w:space="0" w:color="373D42"/>
              <w:right w:val="nil"/>
            </w:tcBorders>
          </w:tcPr>
          <w:p w14:paraId="2BA498B8" w14:textId="117AF05B" w:rsidR="45117535" w:rsidRDefault="45117535" w:rsidP="27274A20">
            <w:pPr>
              <w:pStyle w:val="Tabletext"/>
              <w:rPr>
                <w:rFonts w:eastAsia="Arial" w:cs="Arial"/>
              </w:rPr>
            </w:pPr>
            <w:r w:rsidRPr="27274A20">
              <w:rPr>
                <w:rFonts w:eastAsia="Arial" w:cs="Arial"/>
              </w:rPr>
              <w:t>4</w:t>
            </w:r>
          </w:p>
        </w:tc>
      </w:tr>
      <w:tr w:rsidR="45117535" w14:paraId="6B109043" w14:textId="77777777" w:rsidTr="009F1C53">
        <w:tc>
          <w:tcPr>
            <w:tcW w:w="1080" w:type="dxa"/>
            <w:tcBorders>
              <w:top w:val="single" w:sz="6" w:space="0" w:color="373D42"/>
              <w:left w:val="nil"/>
              <w:bottom w:val="single" w:sz="6" w:space="0" w:color="373D42"/>
              <w:right w:val="nil"/>
            </w:tcBorders>
          </w:tcPr>
          <w:p w14:paraId="0E57E8E0" w14:textId="66B9D750" w:rsidR="45117535" w:rsidRDefault="45117535" w:rsidP="27274A20">
            <w:pPr>
              <w:pStyle w:val="Tabletext"/>
              <w:rPr>
                <w:rFonts w:eastAsia="Arial" w:cs="Arial"/>
              </w:rPr>
            </w:pPr>
            <w:r w:rsidRPr="27274A20">
              <w:rPr>
                <w:rFonts w:eastAsia="Arial" w:cs="Arial"/>
              </w:rPr>
              <w:t>QLC</w:t>
            </w:r>
          </w:p>
        </w:tc>
        <w:tc>
          <w:tcPr>
            <w:tcW w:w="5866" w:type="dxa"/>
            <w:tcBorders>
              <w:top w:val="single" w:sz="6" w:space="0" w:color="373D42"/>
              <w:left w:val="nil"/>
              <w:bottom w:val="single" w:sz="6" w:space="0" w:color="373D42"/>
              <w:right w:val="nil"/>
            </w:tcBorders>
          </w:tcPr>
          <w:p w14:paraId="1476648B" w14:textId="22360E56" w:rsidR="45117535" w:rsidRDefault="45117535" w:rsidP="27274A20">
            <w:pPr>
              <w:pStyle w:val="Tabletext"/>
              <w:rPr>
                <w:rFonts w:eastAsia="Arial" w:cs="Arial"/>
              </w:rPr>
            </w:pPr>
            <w:r w:rsidRPr="27274A20">
              <w:rPr>
                <w:rFonts w:eastAsia="Arial" w:cs="Arial"/>
              </w:rPr>
              <w:t xml:space="preserve">Objection to mining lease – 1 </w:t>
            </w:r>
          </w:p>
          <w:p w14:paraId="4D6074E9" w14:textId="6D053ED3" w:rsidR="45117535" w:rsidRDefault="45117535" w:rsidP="27274A20">
            <w:pPr>
              <w:pStyle w:val="Tabletext"/>
              <w:rPr>
                <w:rFonts w:eastAsia="Arial" w:cs="Arial"/>
              </w:rPr>
            </w:pPr>
            <w:r w:rsidRPr="27274A20">
              <w:rPr>
                <w:rFonts w:eastAsia="Arial" w:cs="Arial"/>
              </w:rPr>
              <w:t xml:space="preserve">Objection to mining lease (procedural issue) – 1 </w:t>
            </w:r>
          </w:p>
        </w:tc>
        <w:tc>
          <w:tcPr>
            <w:tcW w:w="1134" w:type="dxa"/>
            <w:tcBorders>
              <w:top w:val="single" w:sz="6" w:space="0" w:color="373D42"/>
              <w:left w:val="nil"/>
              <w:bottom w:val="single" w:sz="6" w:space="0" w:color="373D42"/>
              <w:right w:val="nil"/>
            </w:tcBorders>
          </w:tcPr>
          <w:p w14:paraId="2957EDC3" w14:textId="57F5A92B" w:rsidR="45117535" w:rsidRDefault="45117535" w:rsidP="27274A20">
            <w:pPr>
              <w:pStyle w:val="Tabletext"/>
              <w:rPr>
                <w:rFonts w:eastAsia="Arial" w:cs="Arial"/>
              </w:rPr>
            </w:pPr>
            <w:r w:rsidRPr="27274A20">
              <w:rPr>
                <w:rFonts w:eastAsia="Arial" w:cs="Arial"/>
              </w:rPr>
              <w:t>2</w:t>
            </w:r>
          </w:p>
        </w:tc>
      </w:tr>
      <w:tr w:rsidR="45117535" w14:paraId="3811AE9F" w14:textId="77777777" w:rsidTr="009F1C53">
        <w:tc>
          <w:tcPr>
            <w:tcW w:w="1080" w:type="dxa"/>
            <w:tcBorders>
              <w:top w:val="single" w:sz="6" w:space="0" w:color="373D42"/>
              <w:left w:val="nil"/>
              <w:bottom w:val="single" w:sz="6" w:space="0" w:color="373D42"/>
              <w:right w:val="nil"/>
            </w:tcBorders>
          </w:tcPr>
          <w:p w14:paraId="55B5455B" w14:textId="593FF6F6" w:rsidR="45117535" w:rsidRDefault="45117535" w:rsidP="27274A20">
            <w:pPr>
              <w:pStyle w:val="Tabletext"/>
              <w:rPr>
                <w:rFonts w:eastAsia="Arial" w:cs="Arial"/>
              </w:rPr>
            </w:pPr>
            <w:r w:rsidRPr="27274A20">
              <w:rPr>
                <w:rFonts w:eastAsia="Arial" w:cs="Arial"/>
              </w:rPr>
              <w:t>QMHC</w:t>
            </w:r>
          </w:p>
        </w:tc>
        <w:tc>
          <w:tcPr>
            <w:tcW w:w="5866" w:type="dxa"/>
            <w:tcBorders>
              <w:top w:val="single" w:sz="6" w:space="0" w:color="373D42"/>
              <w:left w:val="nil"/>
              <w:bottom w:val="single" w:sz="6" w:space="0" w:color="373D42"/>
              <w:right w:val="nil"/>
            </w:tcBorders>
          </w:tcPr>
          <w:p w14:paraId="2FB3963E" w14:textId="307ACC94" w:rsidR="45117535" w:rsidRDefault="45117535" w:rsidP="27274A20">
            <w:pPr>
              <w:pStyle w:val="Tabletext"/>
              <w:rPr>
                <w:rFonts w:eastAsia="Arial" w:cs="Arial"/>
              </w:rPr>
            </w:pPr>
            <w:r w:rsidRPr="0093448F">
              <w:rPr>
                <w:rFonts w:eastAsia="Arial" w:cs="Arial"/>
              </w:rPr>
              <w:t>Condition on forensic order</w:t>
            </w:r>
          </w:p>
        </w:tc>
        <w:tc>
          <w:tcPr>
            <w:tcW w:w="1134" w:type="dxa"/>
            <w:tcBorders>
              <w:top w:val="single" w:sz="6" w:space="0" w:color="373D42"/>
              <w:left w:val="nil"/>
              <w:bottom w:val="single" w:sz="6" w:space="0" w:color="373D42"/>
              <w:right w:val="nil"/>
            </w:tcBorders>
          </w:tcPr>
          <w:p w14:paraId="209814D8" w14:textId="1E6AAA9D" w:rsidR="45117535" w:rsidRDefault="45117535" w:rsidP="27274A20">
            <w:pPr>
              <w:pStyle w:val="Tabletext"/>
              <w:rPr>
                <w:rFonts w:eastAsia="Arial" w:cs="Arial"/>
              </w:rPr>
            </w:pPr>
            <w:r w:rsidRPr="27274A20">
              <w:rPr>
                <w:rFonts w:eastAsia="Arial" w:cs="Arial"/>
              </w:rPr>
              <w:t>1</w:t>
            </w:r>
          </w:p>
        </w:tc>
      </w:tr>
      <w:tr w:rsidR="45117535" w14:paraId="23022D6A" w14:textId="77777777" w:rsidTr="009F1C53">
        <w:tc>
          <w:tcPr>
            <w:tcW w:w="1080" w:type="dxa"/>
            <w:tcBorders>
              <w:top w:val="single" w:sz="6" w:space="0" w:color="373D42"/>
              <w:left w:val="nil"/>
              <w:bottom w:val="single" w:sz="6" w:space="0" w:color="373D42"/>
              <w:right w:val="nil"/>
            </w:tcBorders>
          </w:tcPr>
          <w:p w14:paraId="3BFB3926" w14:textId="1DFE442D" w:rsidR="45117535" w:rsidRDefault="45117535" w:rsidP="27274A20">
            <w:pPr>
              <w:pStyle w:val="Tabletext"/>
              <w:rPr>
                <w:rFonts w:eastAsia="Arial" w:cs="Arial"/>
              </w:rPr>
            </w:pPr>
            <w:r w:rsidRPr="27274A20">
              <w:rPr>
                <w:rFonts w:eastAsia="Arial" w:cs="Arial"/>
              </w:rPr>
              <w:t>Coroner</w:t>
            </w:r>
          </w:p>
        </w:tc>
        <w:tc>
          <w:tcPr>
            <w:tcW w:w="5866" w:type="dxa"/>
            <w:tcBorders>
              <w:top w:val="single" w:sz="6" w:space="0" w:color="373D42"/>
              <w:left w:val="nil"/>
              <w:bottom w:val="single" w:sz="6" w:space="0" w:color="373D42"/>
              <w:right w:val="nil"/>
            </w:tcBorders>
          </w:tcPr>
          <w:p w14:paraId="49CF96B0" w14:textId="411EB368" w:rsidR="45117535" w:rsidRDefault="45117535" w:rsidP="27274A20">
            <w:pPr>
              <w:pStyle w:val="Tabletext"/>
              <w:rPr>
                <w:rFonts w:eastAsia="Arial" w:cs="Arial"/>
              </w:rPr>
            </w:pPr>
            <w:r w:rsidRPr="27274A20">
              <w:rPr>
                <w:rFonts w:eastAsia="Arial" w:cs="Arial"/>
              </w:rPr>
              <w:t>Coronial inquest (procedural issue)</w:t>
            </w:r>
          </w:p>
        </w:tc>
        <w:tc>
          <w:tcPr>
            <w:tcW w:w="1134" w:type="dxa"/>
            <w:tcBorders>
              <w:top w:val="single" w:sz="6" w:space="0" w:color="373D42"/>
              <w:left w:val="nil"/>
              <w:bottom w:val="single" w:sz="6" w:space="0" w:color="373D42"/>
              <w:right w:val="nil"/>
            </w:tcBorders>
          </w:tcPr>
          <w:p w14:paraId="49FB48D3" w14:textId="2ADDD045" w:rsidR="45117535" w:rsidRDefault="45117535" w:rsidP="27274A20">
            <w:pPr>
              <w:pStyle w:val="Tabletext"/>
              <w:rPr>
                <w:rFonts w:eastAsia="Arial" w:cs="Arial"/>
              </w:rPr>
            </w:pPr>
            <w:r w:rsidRPr="27274A20">
              <w:rPr>
                <w:rFonts w:eastAsia="Arial" w:cs="Arial"/>
              </w:rPr>
              <w:t>1</w:t>
            </w:r>
          </w:p>
        </w:tc>
      </w:tr>
      <w:tr w:rsidR="45117535" w14:paraId="427BBAB3" w14:textId="77777777" w:rsidTr="009F1C53">
        <w:tc>
          <w:tcPr>
            <w:tcW w:w="1080" w:type="dxa"/>
            <w:tcBorders>
              <w:top w:val="single" w:sz="6" w:space="0" w:color="373D42"/>
              <w:left w:val="nil"/>
              <w:bottom w:val="single" w:sz="6" w:space="0" w:color="373D42"/>
              <w:right w:val="nil"/>
            </w:tcBorders>
          </w:tcPr>
          <w:p w14:paraId="7B8DBAA4" w14:textId="4F58C914" w:rsidR="45117535" w:rsidRDefault="45117535" w:rsidP="27274A20">
            <w:pPr>
              <w:pStyle w:val="Tabletext"/>
              <w:rPr>
                <w:rFonts w:eastAsia="Arial" w:cs="Arial"/>
              </w:rPr>
            </w:pPr>
            <w:r w:rsidRPr="27274A20">
              <w:rPr>
                <w:rFonts w:eastAsia="Arial" w:cs="Arial"/>
              </w:rPr>
              <w:t>QCATA</w:t>
            </w:r>
          </w:p>
        </w:tc>
        <w:tc>
          <w:tcPr>
            <w:tcW w:w="5866" w:type="dxa"/>
            <w:tcBorders>
              <w:top w:val="single" w:sz="6" w:space="0" w:color="373D42"/>
              <w:left w:val="nil"/>
              <w:bottom w:val="single" w:sz="6" w:space="0" w:color="373D42"/>
              <w:right w:val="nil"/>
            </w:tcBorders>
          </w:tcPr>
          <w:p w14:paraId="60C4A22F" w14:textId="551C46DA" w:rsidR="45117535" w:rsidRDefault="45117535" w:rsidP="27274A20">
            <w:pPr>
              <w:pStyle w:val="Tabletext"/>
              <w:rPr>
                <w:rFonts w:eastAsia="Arial" w:cs="Arial"/>
              </w:rPr>
            </w:pPr>
            <w:r w:rsidRPr="27274A20">
              <w:rPr>
                <w:rFonts w:eastAsia="Arial" w:cs="Arial"/>
              </w:rPr>
              <w:t xml:space="preserve">Minor civil dispute – 2 </w:t>
            </w:r>
          </w:p>
          <w:p w14:paraId="3F54701B" w14:textId="5CEB7DA7" w:rsidR="45117535" w:rsidRDefault="45117535" w:rsidP="27274A20">
            <w:pPr>
              <w:pStyle w:val="Tabletext"/>
              <w:rPr>
                <w:rFonts w:eastAsia="Arial" w:cs="Arial"/>
              </w:rPr>
            </w:pPr>
            <w:r w:rsidRPr="27274A20">
              <w:rPr>
                <w:rFonts w:eastAsia="Arial" w:cs="Arial"/>
              </w:rPr>
              <w:t xml:space="preserve">Minor civil dispute (tenancy) – 1 </w:t>
            </w:r>
          </w:p>
          <w:p w14:paraId="14DA0DEE" w14:textId="5164E0D6" w:rsidR="45117535" w:rsidRDefault="45117535" w:rsidP="27274A20">
            <w:pPr>
              <w:pStyle w:val="Tabletext"/>
              <w:rPr>
                <w:rFonts w:eastAsia="Arial" w:cs="Arial"/>
              </w:rPr>
            </w:pPr>
            <w:r w:rsidRPr="27274A20">
              <w:rPr>
                <w:rFonts w:eastAsia="Arial" w:cs="Arial"/>
              </w:rPr>
              <w:t>Review of blue card decision – 1</w:t>
            </w:r>
          </w:p>
        </w:tc>
        <w:tc>
          <w:tcPr>
            <w:tcW w:w="1134" w:type="dxa"/>
            <w:tcBorders>
              <w:top w:val="single" w:sz="6" w:space="0" w:color="373D42"/>
              <w:left w:val="nil"/>
              <w:bottom w:val="single" w:sz="6" w:space="0" w:color="373D42"/>
              <w:right w:val="nil"/>
            </w:tcBorders>
          </w:tcPr>
          <w:p w14:paraId="30C96B9A" w14:textId="3E538DAF" w:rsidR="45117535" w:rsidRDefault="45117535" w:rsidP="27274A20">
            <w:pPr>
              <w:pStyle w:val="Tabletext"/>
              <w:rPr>
                <w:rFonts w:eastAsia="Arial" w:cs="Arial"/>
              </w:rPr>
            </w:pPr>
            <w:r w:rsidRPr="27274A20">
              <w:rPr>
                <w:rFonts w:eastAsia="Arial" w:cs="Arial"/>
              </w:rPr>
              <w:t>4</w:t>
            </w:r>
          </w:p>
        </w:tc>
      </w:tr>
      <w:tr w:rsidR="45117535" w14:paraId="04DAD0CC" w14:textId="77777777" w:rsidTr="009F1C53">
        <w:tc>
          <w:tcPr>
            <w:tcW w:w="1080" w:type="dxa"/>
            <w:tcBorders>
              <w:top w:val="single" w:sz="6" w:space="0" w:color="373D42"/>
              <w:left w:val="nil"/>
              <w:bottom w:val="single" w:sz="6" w:space="0" w:color="373D42"/>
              <w:right w:val="nil"/>
            </w:tcBorders>
          </w:tcPr>
          <w:p w14:paraId="1831C18F" w14:textId="4E3CE570" w:rsidR="45117535" w:rsidRDefault="45117535" w:rsidP="27274A20">
            <w:pPr>
              <w:pStyle w:val="Tabletext"/>
              <w:rPr>
                <w:rFonts w:eastAsia="Arial" w:cs="Arial"/>
              </w:rPr>
            </w:pPr>
            <w:r w:rsidRPr="27274A20">
              <w:rPr>
                <w:rFonts w:eastAsia="Arial" w:cs="Arial"/>
              </w:rPr>
              <w:t>QCAT</w:t>
            </w:r>
          </w:p>
        </w:tc>
        <w:tc>
          <w:tcPr>
            <w:tcW w:w="5866" w:type="dxa"/>
            <w:tcBorders>
              <w:top w:val="single" w:sz="6" w:space="0" w:color="373D42"/>
              <w:left w:val="nil"/>
              <w:bottom w:val="single" w:sz="6" w:space="0" w:color="373D42"/>
              <w:right w:val="nil"/>
            </w:tcBorders>
          </w:tcPr>
          <w:p w14:paraId="294301FE" w14:textId="7624B0A2" w:rsidR="45117535" w:rsidRDefault="45117535" w:rsidP="27274A20">
            <w:pPr>
              <w:pStyle w:val="Tabletext"/>
              <w:rPr>
                <w:rFonts w:eastAsia="Arial" w:cs="Arial"/>
              </w:rPr>
            </w:pPr>
            <w:r w:rsidRPr="27274A20">
              <w:rPr>
                <w:rFonts w:eastAsia="Arial" w:cs="Arial"/>
              </w:rPr>
              <w:t xml:space="preserve">Application for stay of decision to suspend driver authorisation number – 1 </w:t>
            </w:r>
          </w:p>
          <w:p w14:paraId="477E751A" w14:textId="6417A249" w:rsidR="45117535" w:rsidRDefault="45117535" w:rsidP="27274A20">
            <w:pPr>
              <w:pStyle w:val="Tabletext"/>
              <w:rPr>
                <w:rFonts w:eastAsia="Arial" w:cs="Arial"/>
              </w:rPr>
            </w:pPr>
            <w:r w:rsidRPr="27274A20">
              <w:rPr>
                <w:rFonts w:eastAsia="Arial" w:cs="Arial"/>
              </w:rPr>
              <w:t xml:space="preserve">Discrimination – 1 </w:t>
            </w:r>
          </w:p>
          <w:p w14:paraId="4E178515" w14:textId="650530DD" w:rsidR="45117535" w:rsidRDefault="45117535" w:rsidP="27274A20">
            <w:pPr>
              <w:pStyle w:val="Tabletext"/>
              <w:rPr>
                <w:rFonts w:eastAsia="Arial" w:cs="Arial"/>
              </w:rPr>
            </w:pPr>
            <w:r w:rsidRPr="27274A20">
              <w:rPr>
                <w:rFonts w:eastAsia="Arial" w:cs="Arial"/>
              </w:rPr>
              <w:t>Discrimination (exemption application) – 3</w:t>
            </w:r>
          </w:p>
          <w:p w14:paraId="1C99FA28" w14:textId="22B8E3DD" w:rsidR="45117535" w:rsidRDefault="45117535" w:rsidP="27274A20">
            <w:pPr>
              <w:pStyle w:val="Tabletext"/>
              <w:rPr>
                <w:rFonts w:eastAsia="Arial" w:cs="Arial"/>
              </w:rPr>
            </w:pPr>
            <w:r w:rsidRPr="27274A20">
              <w:rPr>
                <w:rFonts w:eastAsia="Arial" w:cs="Arial"/>
              </w:rPr>
              <w:t xml:space="preserve">Discrimination (procedural issue) – 1 </w:t>
            </w:r>
          </w:p>
          <w:p w14:paraId="2EC5A48C" w14:textId="589B9081" w:rsidR="45117535" w:rsidRDefault="45117535" w:rsidP="27274A20">
            <w:pPr>
              <w:pStyle w:val="Tabletext"/>
              <w:rPr>
                <w:rFonts w:eastAsia="Arial" w:cs="Arial"/>
              </w:rPr>
            </w:pPr>
            <w:r w:rsidRPr="27274A20">
              <w:rPr>
                <w:rFonts w:eastAsia="Arial" w:cs="Arial"/>
              </w:rPr>
              <w:t xml:space="preserve">Guardianship and administration – 7 </w:t>
            </w:r>
          </w:p>
          <w:p w14:paraId="3907BC9D" w14:textId="4B64A3C9" w:rsidR="45117535" w:rsidRDefault="45117535" w:rsidP="27274A20">
            <w:pPr>
              <w:pStyle w:val="Tabletext"/>
              <w:rPr>
                <w:rFonts w:eastAsia="Arial" w:cs="Arial"/>
              </w:rPr>
            </w:pPr>
            <w:r w:rsidRPr="27274A20">
              <w:rPr>
                <w:rFonts w:eastAsia="Arial" w:cs="Arial"/>
              </w:rPr>
              <w:t xml:space="preserve">Guardianship and administration (Interim appointment) – 3 </w:t>
            </w:r>
          </w:p>
          <w:p w14:paraId="173D50B8" w14:textId="1CB6D26D" w:rsidR="45117535" w:rsidRDefault="45117535" w:rsidP="27274A20">
            <w:pPr>
              <w:pStyle w:val="Tabletext"/>
              <w:rPr>
                <w:rFonts w:eastAsia="Arial" w:cs="Arial"/>
              </w:rPr>
            </w:pPr>
            <w:r w:rsidRPr="27274A20">
              <w:rPr>
                <w:rFonts w:eastAsia="Arial" w:cs="Arial"/>
              </w:rPr>
              <w:t xml:space="preserve">Information privacy – 1 </w:t>
            </w:r>
          </w:p>
          <w:p w14:paraId="00DA94C8" w14:textId="4910D017" w:rsidR="45117535" w:rsidRDefault="45117535" w:rsidP="27274A20">
            <w:pPr>
              <w:pStyle w:val="Tabletext"/>
              <w:rPr>
                <w:rFonts w:eastAsia="Arial" w:cs="Arial"/>
              </w:rPr>
            </w:pPr>
            <w:r w:rsidRPr="27274A20">
              <w:rPr>
                <w:rFonts w:eastAsia="Arial" w:cs="Arial"/>
              </w:rPr>
              <w:t xml:space="preserve">Minor civil dispute – 1 </w:t>
            </w:r>
          </w:p>
          <w:p w14:paraId="59600FC2" w14:textId="1A770AD5" w:rsidR="45117535" w:rsidRDefault="45117535" w:rsidP="27274A20">
            <w:pPr>
              <w:pStyle w:val="Tabletext"/>
              <w:rPr>
                <w:rFonts w:eastAsia="Arial" w:cs="Arial"/>
              </w:rPr>
            </w:pPr>
            <w:r w:rsidRPr="27274A20">
              <w:rPr>
                <w:rFonts w:eastAsia="Arial" w:cs="Arial"/>
              </w:rPr>
              <w:t xml:space="preserve">Minor civil dispute (tenancy) – 1 </w:t>
            </w:r>
          </w:p>
          <w:p w14:paraId="360595D9" w14:textId="72E75CDB" w:rsidR="45117535" w:rsidRDefault="45117535" w:rsidP="27274A20">
            <w:pPr>
              <w:pStyle w:val="Tabletext"/>
              <w:rPr>
                <w:rFonts w:eastAsia="Arial" w:cs="Arial"/>
              </w:rPr>
            </w:pPr>
            <w:r w:rsidRPr="27274A20">
              <w:rPr>
                <w:rFonts w:eastAsia="Arial" w:cs="Arial"/>
              </w:rPr>
              <w:t xml:space="preserve">Occupational regulation matter – 1 </w:t>
            </w:r>
          </w:p>
          <w:p w14:paraId="07F7B5E4" w14:textId="25CE8EE8" w:rsidR="45117535" w:rsidRDefault="45117535" w:rsidP="27274A20">
            <w:pPr>
              <w:pStyle w:val="Tabletext"/>
              <w:rPr>
                <w:rFonts w:eastAsia="Arial" w:cs="Arial"/>
              </w:rPr>
            </w:pPr>
            <w:r w:rsidRPr="27274A20">
              <w:rPr>
                <w:rFonts w:eastAsia="Arial" w:cs="Arial"/>
              </w:rPr>
              <w:t xml:space="preserve">Order for costs – 1 </w:t>
            </w:r>
          </w:p>
          <w:p w14:paraId="06DC05F2" w14:textId="7ED3B3A6" w:rsidR="45117535" w:rsidRDefault="45117535" w:rsidP="27274A20">
            <w:pPr>
              <w:pStyle w:val="Tabletext"/>
              <w:rPr>
                <w:rFonts w:eastAsia="Arial" w:cs="Arial"/>
              </w:rPr>
            </w:pPr>
            <w:r w:rsidRPr="27274A20">
              <w:rPr>
                <w:rFonts w:eastAsia="Arial" w:cs="Arial"/>
              </w:rPr>
              <w:t xml:space="preserve">Police disciplinary review – 1 </w:t>
            </w:r>
          </w:p>
          <w:p w14:paraId="7CDF4410" w14:textId="28264000" w:rsidR="45117535" w:rsidRDefault="45117535" w:rsidP="27274A20">
            <w:pPr>
              <w:pStyle w:val="Tabletext"/>
              <w:rPr>
                <w:rFonts w:eastAsia="Arial" w:cs="Arial"/>
              </w:rPr>
            </w:pPr>
            <w:r w:rsidRPr="27274A20">
              <w:rPr>
                <w:rFonts w:eastAsia="Arial" w:cs="Arial"/>
              </w:rPr>
              <w:t xml:space="preserve">Review of blue card decision – 19 </w:t>
            </w:r>
          </w:p>
          <w:p w14:paraId="2FA6C76D" w14:textId="29DEE657" w:rsidR="45117535" w:rsidRDefault="45117535" w:rsidP="27274A20">
            <w:pPr>
              <w:pStyle w:val="Tabletext"/>
              <w:rPr>
                <w:rFonts w:eastAsia="Arial" w:cs="Arial"/>
              </w:rPr>
            </w:pPr>
            <w:r w:rsidRPr="27274A20">
              <w:rPr>
                <w:rFonts w:eastAsia="Arial" w:cs="Arial"/>
              </w:rPr>
              <w:t xml:space="preserve">Review of child protection decision – 1 </w:t>
            </w:r>
          </w:p>
          <w:p w14:paraId="3CE5A92F" w14:textId="62EAA96E" w:rsidR="45117535" w:rsidRDefault="45117535" w:rsidP="27274A20">
            <w:pPr>
              <w:pStyle w:val="Tabletext"/>
              <w:rPr>
                <w:rFonts w:eastAsia="Arial" w:cs="Arial"/>
              </w:rPr>
            </w:pPr>
            <w:r w:rsidRPr="27274A20">
              <w:rPr>
                <w:rFonts w:eastAsia="Arial" w:cs="Arial"/>
              </w:rPr>
              <w:t xml:space="preserve">Review of decision of Queensland Racing Integrity Commission – 1 </w:t>
            </w:r>
          </w:p>
          <w:p w14:paraId="3A170654" w14:textId="6C76B3D7" w:rsidR="45117535" w:rsidRDefault="45117535" w:rsidP="27274A20">
            <w:pPr>
              <w:pStyle w:val="Tabletext"/>
              <w:rPr>
                <w:rFonts w:eastAsia="Arial" w:cs="Arial"/>
              </w:rPr>
            </w:pPr>
            <w:r w:rsidRPr="27274A20">
              <w:rPr>
                <w:rFonts w:eastAsia="Arial" w:cs="Arial"/>
              </w:rPr>
              <w:t xml:space="preserve">Review of decision of weapons division of QPS – 1 </w:t>
            </w:r>
          </w:p>
        </w:tc>
        <w:tc>
          <w:tcPr>
            <w:tcW w:w="1134" w:type="dxa"/>
            <w:tcBorders>
              <w:top w:val="single" w:sz="6" w:space="0" w:color="373D42"/>
              <w:left w:val="nil"/>
              <w:bottom w:val="single" w:sz="6" w:space="0" w:color="373D42"/>
              <w:right w:val="nil"/>
            </w:tcBorders>
          </w:tcPr>
          <w:p w14:paraId="2764832C" w14:textId="0F0806A0" w:rsidR="45117535" w:rsidRDefault="45117535" w:rsidP="27274A20">
            <w:pPr>
              <w:pStyle w:val="Tabletext"/>
              <w:rPr>
                <w:rFonts w:eastAsia="Arial" w:cs="Arial"/>
              </w:rPr>
            </w:pPr>
            <w:r w:rsidRPr="27274A20">
              <w:rPr>
                <w:rFonts w:eastAsia="Arial" w:cs="Arial"/>
              </w:rPr>
              <w:t>44</w:t>
            </w:r>
          </w:p>
        </w:tc>
      </w:tr>
      <w:tr w:rsidR="45117535" w14:paraId="62BEBA48" w14:textId="77777777" w:rsidTr="009F1C53">
        <w:tc>
          <w:tcPr>
            <w:tcW w:w="1080" w:type="dxa"/>
            <w:tcBorders>
              <w:top w:val="single" w:sz="6" w:space="0" w:color="373D42"/>
              <w:left w:val="nil"/>
              <w:bottom w:val="single" w:sz="6" w:space="0" w:color="373D42"/>
              <w:right w:val="nil"/>
            </w:tcBorders>
          </w:tcPr>
          <w:p w14:paraId="5CF8C99A" w14:textId="49F95B8A" w:rsidR="45117535" w:rsidRDefault="45117535" w:rsidP="27274A20">
            <w:pPr>
              <w:pStyle w:val="Tabletext"/>
              <w:rPr>
                <w:rFonts w:eastAsia="Arial" w:cs="Arial"/>
              </w:rPr>
            </w:pPr>
            <w:r w:rsidRPr="27274A20">
              <w:rPr>
                <w:rFonts w:eastAsia="Arial" w:cs="Arial"/>
              </w:rPr>
              <w:t>QIRC</w:t>
            </w:r>
          </w:p>
        </w:tc>
        <w:tc>
          <w:tcPr>
            <w:tcW w:w="5866" w:type="dxa"/>
            <w:tcBorders>
              <w:top w:val="single" w:sz="6" w:space="0" w:color="373D42"/>
              <w:left w:val="nil"/>
              <w:bottom w:val="single" w:sz="6" w:space="0" w:color="373D42"/>
              <w:right w:val="nil"/>
            </w:tcBorders>
          </w:tcPr>
          <w:p w14:paraId="33B3C473" w14:textId="7A5D66EA" w:rsidR="45117535" w:rsidRDefault="45117535" w:rsidP="27274A20">
            <w:pPr>
              <w:pStyle w:val="Tabletext"/>
              <w:rPr>
                <w:rFonts w:eastAsia="Arial" w:cs="Arial"/>
              </w:rPr>
            </w:pPr>
            <w:r w:rsidRPr="27274A20">
              <w:rPr>
                <w:rFonts w:eastAsia="Arial" w:cs="Arial"/>
              </w:rPr>
              <w:t xml:space="preserve">Discrimination (Interim order) – 1 </w:t>
            </w:r>
          </w:p>
          <w:p w14:paraId="2EC2BEBB" w14:textId="6ABE3188" w:rsidR="45117535" w:rsidRDefault="45117535" w:rsidP="27274A20">
            <w:pPr>
              <w:pStyle w:val="Tabletext"/>
              <w:rPr>
                <w:rFonts w:eastAsia="Arial" w:cs="Arial"/>
              </w:rPr>
            </w:pPr>
            <w:r w:rsidRPr="27274A20">
              <w:rPr>
                <w:rFonts w:eastAsia="Arial" w:cs="Arial"/>
              </w:rPr>
              <w:t xml:space="preserve">General protections – 1 </w:t>
            </w:r>
          </w:p>
          <w:p w14:paraId="334DF914" w14:textId="209BCC2E" w:rsidR="45117535" w:rsidRDefault="45117535" w:rsidP="27274A20">
            <w:pPr>
              <w:pStyle w:val="Tabletext"/>
              <w:rPr>
                <w:rFonts w:eastAsia="Arial" w:cs="Arial"/>
              </w:rPr>
            </w:pPr>
            <w:r w:rsidRPr="27274A20">
              <w:rPr>
                <w:rFonts w:eastAsia="Arial" w:cs="Arial"/>
              </w:rPr>
              <w:t xml:space="preserve">Industrial dispute – 1 </w:t>
            </w:r>
          </w:p>
          <w:p w14:paraId="39BB9CC5" w14:textId="2F6109CA" w:rsidR="45117535" w:rsidRDefault="45117535" w:rsidP="27274A20">
            <w:pPr>
              <w:pStyle w:val="Tabletext"/>
              <w:rPr>
                <w:rFonts w:eastAsia="Arial" w:cs="Arial"/>
              </w:rPr>
            </w:pPr>
            <w:r w:rsidRPr="27274A20">
              <w:rPr>
                <w:rFonts w:eastAsia="Arial" w:cs="Arial"/>
              </w:rPr>
              <w:t xml:space="preserve">Public service appeal – 4 </w:t>
            </w:r>
          </w:p>
          <w:p w14:paraId="66ED00B7" w14:textId="5D26D97D" w:rsidR="45117535" w:rsidRDefault="45117535" w:rsidP="27274A20">
            <w:pPr>
              <w:pStyle w:val="Tabletext"/>
              <w:rPr>
                <w:rFonts w:eastAsia="Arial" w:cs="Arial"/>
              </w:rPr>
            </w:pPr>
            <w:r w:rsidRPr="27274A20">
              <w:rPr>
                <w:rFonts w:eastAsia="Arial" w:cs="Arial"/>
              </w:rPr>
              <w:t xml:space="preserve">Public service appeal (vaccination) – 16 </w:t>
            </w:r>
          </w:p>
        </w:tc>
        <w:tc>
          <w:tcPr>
            <w:tcW w:w="1134" w:type="dxa"/>
            <w:tcBorders>
              <w:top w:val="single" w:sz="6" w:space="0" w:color="373D42"/>
              <w:left w:val="nil"/>
              <w:bottom w:val="single" w:sz="6" w:space="0" w:color="373D42"/>
              <w:right w:val="nil"/>
            </w:tcBorders>
          </w:tcPr>
          <w:p w14:paraId="0632F538" w14:textId="677E0449" w:rsidR="45117535" w:rsidRDefault="45117535" w:rsidP="27274A20">
            <w:pPr>
              <w:pStyle w:val="Tabletext"/>
              <w:rPr>
                <w:rFonts w:eastAsia="Arial" w:cs="Arial"/>
              </w:rPr>
            </w:pPr>
            <w:r w:rsidRPr="27274A20">
              <w:rPr>
                <w:rFonts w:eastAsia="Arial" w:cs="Arial"/>
              </w:rPr>
              <w:t>23</w:t>
            </w:r>
          </w:p>
        </w:tc>
      </w:tr>
      <w:tr w:rsidR="45117535" w14:paraId="4685C042" w14:textId="77777777" w:rsidTr="009F1C53">
        <w:tc>
          <w:tcPr>
            <w:tcW w:w="1080" w:type="dxa"/>
            <w:tcBorders>
              <w:top w:val="single" w:sz="6" w:space="0" w:color="373D42"/>
              <w:left w:val="nil"/>
              <w:bottom w:val="single" w:sz="6" w:space="0" w:color="373D42"/>
              <w:right w:val="nil"/>
            </w:tcBorders>
          </w:tcPr>
          <w:p w14:paraId="57FCCCF7" w14:textId="72A6CC8A" w:rsidR="45117535" w:rsidRDefault="45117535" w:rsidP="27274A20">
            <w:pPr>
              <w:pStyle w:val="Tabletext"/>
              <w:rPr>
                <w:rFonts w:eastAsia="Arial" w:cs="Arial"/>
              </w:rPr>
            </w:pPr>
            <w:r w:rsidRPr="27274A20">
              <w:rPr>
                <w:rFonts w:eastAsia="Arial" w:cs="Arial"/>
                <w:b/>
              </w:rPr>
              <w:t>Total</w:t>
            </w:r>
          </w:p>
        </w:tc>
        <w:tc>
          <w:tcPr>
            <w:tcW w:w="5866" w:type="dxa"/>
            <w:tcBorders>
              <w:top w:val="single" w:sz="6" w:space="0" w:color="373D42"/>
              <w:left w:val="nil"/>
              <w:bottom w:val="single" w:sz="6" w:space="0" w:color="373D42"/>
              <w:right w:val="nil"/>
            </w:tcBorders>
          </w:tcPr>
          <w:p w14:paraId="33EBFF05" w14:textId="3DA0CC70" w:rsidR="45117535" w:rsidRDefault="45117535" w:rsidP="27274A20">
            <w:pPr>
              <w:pStyle w:val="Tabletext"/>
              <w:rPr>
                <w:rFonts w:eastAsia="Arial" w:cs="Arial"/>
                <w:sz w:val="24"/>
                <w:szCs w:val="24"/>
              </w:rPr>
            </w:pPr>
          </w:p>
        </w:tc>
        <w:tc>
          <w:tcPr>
            <w:tcW w:w="1134" w:type="dxa"/>
            <w:tcBorders>
              <w:top w:val="single" w:sz="6" w:space="0" w:color="373D42"/>
              <w:left w:val="nil"/>
              <w:bottom w:val="single" w:sz="6" w:space="0" w:color="373D42"/>
              <w:right w:val="nil"/>
            </w:tcBorders>
          </w:tcPr>
          <w:p w14:paraId="3A7A7F22" w14:textId="30A41B61" w:rsidR="45117535" w:rsidRDefault="45117535" w:rsidP="27274A20">
            <w:pPr>
              <w:pStyle w:val="Tabletext"/>
              <w:rPr>
                <w:rFonts w:eastAsia="Arial" w:cs="Arial"/>
              </w:rPr>
            </w:pPr>
            <w:r w:rsidRPr="27274A20">
              <w:rPr>
                <w:rFonts w:eastAsia="Arial" w:cs="Arial"/>
                <w:b/>
              </w:rPr>
              <w:t>86</w:t>
            </w:r>
          </w:p>
        </w:tc>
      </w:tr>
    </w:tbl>
    <w:p w14:paraId="174B5B5A" w14:textId="617C89C4" w:rsidR="45117535" w:rsidRDefault="45117535" w:rsidP="45117535">
      <w:pPr>
        <w:keepLines/>
        <w:widowControl w:val="0"/>
        <w:spacing w:after="160" w:line="240" w:lineRule="auto"/>
        <w:ind w:left="720" w:right="2160" w:hanging="720"/>
        <w:rPr>
          <w:rFonts w:eastAsia="Arial" w:cs="Arial"/>
          <w:color w:val="000000" w:themeColor="text1"/>
          <w:sz w:val="24"/>
          <w:szCs w:val="24"/>
        </w:rPr>
      </w:pPr>
    </w:p>
    <w:p w14:paraId="54C54AA4" w14:textId="55516A66" w:rsidR="45117535" w:rsidRDefault="45117535" w:rsidP="45117535">
      <w:pPr>
        <w:rPr>
          <w:rFonts w:eastAsia="Calibri" w:cs="Arial"/>
        </w:rPr>
      </w:pPr>
    </w:p>
    <w:p w14:paraId="0F446EA2" w14:textId="50514F0A" w:rsidR="45117535" w:rsidRDefault="45117535" w:rsidP="27274A20">
      <w:pPr>
        <w:rPr>
          <w:rFonts w:eastAsia="Calibri" w:cs="Arial"/>
        </w:rPr>
      </w:pPr>
    </w:p>
    <w:p w14:paraId="33A39BA8" w14:textId="34D26C57" w:rsidR="27274A20" w:rsidRDefault="27274A20"/>
    <w:p w14:paraId="5664CC77" w14:textId="5619ECAC" w:rsidR="27274A20" w:rsidRDefault="27274A20"/>
    <w:p w14:paraId="19AFC8FE" w14:textId="1B5F26E8" w:rsidR="27274A20" w:rsidRDefault="27274A20"/>
    <w:p w14:paraId="7A84A4EE" w14:textId="159629E9" w:rsidR="27274A20" w:rsidRDefault="27274A20"/>
    <w:p w14:paraId="301BC1B8" w14:textId="21F53E7D" w:rsidR="27274A20" w:rsidRDefault="27274A20"/>
    <w:p w14:paraId="20CC0B32" w14:textId="4A2C3D5A" w:rsidR="27274A20" w:rsidRDefault="27274A20"/>
    <w:p w14:paraId="0510EBA7" w14:textId="0A8C4D16" w:rsidR="27274A20" w:rsidRDefault="27274A20"/>
    <w:p w14:paraId="7CF8E991" w14:textId="35D7050E" w:rsidR="27274A20" w:rsidRDefault="27274A20"/>
    <w:p w14:paraId="294EA4A0" w14:textId="3644AA2F" w:rsidR="27274A20" w:rsidRDefault="27274A20"/>
    <w:p w14:paraId="098D841A" w14:textId="4A803C27" w:rsidR="004C374F" w:rsidRPr="008B4B16" w:rsidRDefault="004C374F" w:rsidP="004C374F">
      <w:pPr>
        <w:pStyle w:val="Caption"/>
        <w:rPr>
          <w:rFonts w:eastAsia="Calibri" w:cs="Arial"/>
          <w:b/>
          <w:szCs w:val="20"/>
        </w:rPr>
      </w:pPr>
    </w:p>
    <w:p w14:paraId="24A24B83" w14:textId="310172C2" w:rsidR="27274A20" w:rsidRDefault="27274A20"/>
    <w:p w14:paraId="1A5EFE0B" w14:textId="1BDF23D1" w:rsidR="27274A20" w:rsidRDefault="27274A20"/>
    <w:p w14:paraId="597C5018" w14:textId="678AA4DD" w:rsidR="27274A20" w:rsidRDefault="27274A20"/>
    <w:p w14:paraId="676C1EDF" w14:textId="77777777" w:rsidR="00C31058" w:rsidRDefault="00C31058">
      <w:pPr>
        <w:spacing w:after="160" w:line="259" w:lineRule="auto"/>
        <w:ind w:right="0"/>
        <w:rPr>
          <w:rFonts w:eastAsiaTheme="majorEastAsia" w:cstheme="majorBidi"/>
          <w:iCs/>
          <w:color w:val="373D41"/>
          <w:sz w:val="48"/>
          <w:szCs w:val="32"/>
        </w:rPr>
      </w:pPr>
      <w:bookmarkStart w:id="848" w:name="_Toc514513151"/>
      <w:bookmarkStart w:id="849" w:name="_Toc117697229"/>
      <w:r>
        <w:rPr>
          <w:color w:val="373D41"/>
        </w:rPr>
        <w:br w:type="page"/>
      </w:r>
    </w:p>
    <w:p w14:paraId="0F1E4A8A" w14:textId="275AF4C0" w:rsidR="00C923E6" w:rsidRPr="00497C52" w:rsidRDefault="00C923E6" w:rsidP="00497C52">
      <w:pPr>
        <w:pStyle w:val="Heading1"/>
        <w:rPr>
          <w:rFonts w:cs="Arial"/>
          <w:color w:val="373D41"/>
        </w:rPr>
      </w:pPr>
      <w:bookmarkStart w:id="850" w:name="_Toc147757376"/>
      <w:bookmarkStart w:id="851" w:name="_Toc148087005"/>
      <w:r w:rsidRPr="00497C52">
        <w:rPr>
          <w:color w:val="373D41"/>
        </w:rPr>
        <w:t>Appendix B: Human rights indicators</w:t>
      </w:r>
      <w:bookmarkEnd w:id="848"/>
      <w:bookmarkEnd w:id="849"/>
      <w:bookmarkEnd w:id="850"/>
      <w:bookmarkEnd w:id="851"/>
    </w:p>
    <w:p w14:paraId="6B43D109" w14:textId="77777777" w:rsidR="00E41E6C" w:rsidRPr="00A84CBD" w:rsidRDefault="00E41E6C" w:rsidP="00497C52">
      <w:pPr>
        <w:pStyle w:val="Heading2"/>
        <w:rPr>
          <w:color w:val="373D41"/>
          <w:sz w:val="24"/>
          <w:szCs w:val="24"/>
        </w:rPr>
      </w:pPr>
      <w:bookmarkStart w:id="852" w:name="_Toc1475947977"/>
      <w:bookmarkStart w:id="853" w:name="_Toc117697230"/>
      <w:bookmarkStart w:id="854" w:name="_Toc117697937"/>
      <w:bookmarkStart w:id="855" w:name="_Toc147757377"/>
      <w:bookmarkStart w:id="856" w:name="_Toc148087006"/>
      <w:r w:rsidRPr="00A84CBD">
        <w:rPr>
          <w:color w:val="373D41"/>
        </w:rPr>
        <w:t>Indicators of a developing human rights culture: State government</w:t>
      </w:r>
      <w:bookmarkEnd w:id="852"/>
      <w:bookmarkEnd w:id="853"/>
      <w:bookmarkEnd w:id="854"/>
      <w:bookmarkEnd w:id="855"/>
      <w:bookmarkEnd w:id="856"/>
    </w:p>
    <w:p w14:paraId="23B72608" w14:textId="77777777" w:rsidR="00E41E6C" w:rsidRPr="00A84CBD" w:rsidRDefault="00E41E6C" w:rsidP="00A84CBD">
      <w:pPr>
        <w:pStyle w:val="Heading3"/>
        <w:ind w:right="296"/>
        <w:rPr>
          <w:color w:val="373D41"/>
          <w:lang w:val="en-US"/>
        </w:rPr>
      </w:pPr>
      <w:bookmarkStart w:id="857" w:name="_Toc85526779"/>
      <w:bookmarkStart w:id="858" w:name="_Toc85787194"/>
      <w:bookmarkStart w:id="859" w:name="_Toc1434868254"/>
      <w:r w:rsidRPr="00A84CBD">
        <w:rPr>
          <w:color w:val="373D41"/>
          <w:lang w:val="en-US"/>
        </w:rPr>
        <w:t>Indicator 1: Staff awareness, education, and development</w:t>
      </w:r>
      <w:bookmarkEnd w:id="857"/>
      <w:bookmarkEnd w:id="858"/>
      <w:bookmarkEnd w:id="859"/>
    </w:p>
    <w:p w14:paraId="443AB9C7" w14:textId="77777777" w:rsidR="00E41E6C" w:rsidRPr="009954F9" w:rsidRDefault="00E41E6C" w:rsidP="00FD4BC7">
      <w:pPr>
        <w:pStyle w:val="ListParagraph"/>
        <w:numPr>
          <w:ilvl w:val="0"/>
          <w:numId w:val="5"/>
        </w:numPr>
        <w:spacing w:after="200"/>
        <w:ind w:right="0"/>
        <w:rPr>
          <w:rFonts w:cs="Arial"/>
          <w:lang w:val="en-US"/>
        </w:rPr>
      </w:pPr>
      <w:r w:rsidRPr="0F6617A5">
        <w:rPr>
          <w:rFonts w:cs="Arial"/>
          <w:lang w:val="en-US"/>
        </w:rPr>
        <w:t>How has staff awareness been raised about the Act?</w:t>
      </w:r>
    </w:p>
    <w:p w14:paraId="1BF5DBF7" w14:textId="77777777" w:rsidR="00E41E6C" w:rsidRPr="009954F9" w:rsidRDefault="00E41E6C" w:rsidP="00FD4BC7">
      <w:pPr>
        <w:pStyle w:val="ListParagraph"/>
        <w:numPr>
          <w:ilvl w:val="0"/>
          <w:numId w:val="5"/>
        </w:numPr>
        <w:spacing w:after="200"/>
        <w:ind w:right="0"/>
        <w:rPr>
          <w:rFonts w:cs="Arial"/>
          <w:lang w:val="en-US"/>
        </w:rPr>
      </w:pPr>
      <w:r w:rsidRPr="0F6617A5">
        <w:rPr>
          <w:rFonts w:cs="Arial"/>
          <w:lang w:val="en-US"/>
        </w:rPr>
        <w:t>What education and training on the Act has been provided?</w:t>
      </w:r>
    </w:p>
    <w:p w14:paraId="42044FF2" w14:textId="04C54881" w:rsidR="00E41E6C" w:rsidRPr="009954F9" w:rsidRDefault="00E41E6C" w:rsidP="00FD4BC7">
      <w:pPr>
        <w:pStyle w:val="ListParagraph"/>
        <w:numPr>
          <w:ilvl w:val="0"/>
          <w:numId w:val="5"/>
        </w:numPr>
        <w:spacing w:after="200"/>
        <w:ind w:right="0"/>
        <w:rPr>
          <w:rFonts w:cs="Arial"/>
          <w:lang w:val="en-US"/>
        </w:rPr>
      </w:pPr>
      <w:r w:rsidRPr="0F6617A5">
        <w:rPr>
          <w:rFonts w:cs="Arial"/>
          <w:lang w:val="en-US"/>
        </w:rPr>
        <w:t xml:space="preserve">Does the training include examples specifically tailored to the </w:t>
      </w:r>
      <w:proofErr w:type="spellStart"/>
      <w:r w:rsidRPr="0F6617A5">
        <w:rPr>
          <w:rFonts w:cs="Arial"/>
          <w:lang w:val="en-US"/>
        </w:rPr>
        <w:t>organi</w:t>
      </w:r>
      <w:r w:rsidR="00D7749C">
        <w:rPr>
          <w:rFonts w:cs="Arial"/>
          <w:lang w:val="en-US"/>
        </w:rPr>
        <w:t>s</w:t>
      </w:r>
      <w:r w:rsidRPr="0F6617A5">
        <w:rPr>
          <w:rFonts w:cs="Arial"/>
          <w:lang w:val="en-US"/>
        </w:rPr>
        <w:t>ation</w:t>
      </w:r>
      <w:proofErr w:type="spellEnd"/>
      <w:r w:rsidRPr="0F6617A5">
        <w:rPr>
          <w:rFonts w:cs="Arial"/>
          <w:lang w:val="en-US"/>
        </w:rPr>
        <w:t xml:space="preserve"> to illustrate how to put human rights into practice?</w:t>
      </w:r>
    </w:p>
    <w:p w14:paraId="3A7BE01D" w14:textId="77777777" w:rsidR="00E41E6C" w:rsidRPr="009954F9" w:rsidRDefault="00E41E6C" w:rsidP="00FD4BC7">
      <w:pPr>
        <w:pStyle w:val="ListParagraph"/>
        <w:numPr>
          <w:ilvl w:val="0"/>
          <w:numId w:val="5"/>
        </w:numPr>
        <w:spacing w:after="200"/>
        <w:ind w:right="0"/>
        <w:rPr>
          <w:rFonts w:cs="Arial"/>
          <w:lang w:val="en-US"/>
        </w:rPr>
      </w:pPr>
      <w:r w:rsidRPr="0F6617A5">
        <w:rPr>
          <w:rFonts w:cs="Arial"/>
          <w:lang w:val="en-US"/>
        </w:rPr>
        <w:t xml:space="preserve">Approximately what percentage of staff have received training? </w:t>
      </w:r>
    </w:p>
    <w:p w14:paraId="3D519346" w14:textId="77777777" w:rsidR="00E41E6C" w:rsidRPr="009954F9" w:rsidRDefault="00E41E6C" w:rsidP="00FD4BC7">
      <w:pPr>
        <w:pStyle w:val="ListParagraph"/>
        <w:numPr>
          <w:ilvl w:val="0"/>
          <w:numId w:val="5"/>
        </w:numPr>
        <w:spacing w:after="200"/>
        <w:ind w:right="0"/>
        <w:rPr>
          <w:rFonts w:cs="Arial"/>
          <w:lang w:val="en-US"/>
        </w:rPr>
      </w:pPr>
      <w:r w:rsidRPr="0F6617A5">
        <w:rPr>
          <w:rFonts w:cs="Arial"/>
          <w:lang w:val="en-US"/>
        </w:rPr>
        <w:t>Which work groups or areas of the agency have received training? What training has been provided to senior leadership? What was the mode of delivery of the training? For example, online, face</w:t>
      </w:r>
      <w:r>
        <w:rPr>
          <w:rFonts w:cs="Arial"/>
          <w:lang w:val="en-US"/>
        </w:rPr>
        <w:t>-</w:t>
      </w:r>
      <w:r w:rsidRPr="0F6617A5">
        <w:rPr>
          <w:rFonts w:cs="Arial"/>
          <w:lang w:val="en-US"/>
        </w:rPr>
        <w:t>to</w:t>
      </w:r>
      <w:r>
        <w:rPr>
          <w:rFonts w:cs="Arial"/>
          <w:lang w:val="en-US"/>
        </w:rPr>
        <w:t>-</w:t>
      </w:r>
      <w:r w:rsidRPr="0F6617A5">
        <w:rPr>
          <w:rFonts w:cs="Arial"/>
          <w:lang w:val="en-US"/>
        </w:rPr>
        <w:t>face, both online and face</w:t>
      </w:r>
      <w:r>
        <w:rPr>
          <w:rFonts w:cs="Arial"/>
          <w:lang w:val="en-US"/>
        </w:rPr>
        <w:t>-</w:t>
      </w:r>
      <w:r w:rsidRPr="0F6617A5">
        <w:rPr>
          <w:rFonts w:cs="Arial"/>
          <w:lang w:val="en-US"/>
        </w:rPr>
        <w:t>to</w:t>
      </w:r>
      <w:r>
        <w:rPr>
          <w:rFonts w:cs="Arial"/>
          <w:lang w:val="en-US"/>
        </w:rPr>
        <w:t>-</w:t>
      </w:r>
      <w:r w:rsidRPr="0F6617A5">
        <w:rPr>
          <w:rFonts w:cs="Arial"/>
          <w:lang w:val="en-US"/>
        </w:rPr>
        <w:t>face, or other? Has the training been delivered by internal staff, or external providers?</w:t>
      </w:r>
    </w:p>
    <w:p w14:paraId="7D8BBCFE" w14:textId="77777777" w:rsidR="00E41E6C" w:rsidRPr="009954F9" w:rsidRDefault="00E41E6C" w:rsidP="00FD4BC7">
      <w:pPr>
        <w:pStyle w:val="ListParagraph"/>
        <w:numPr>
          <w:ilvl w:val="0"/>
          <w:numId w:val="5"/>
        </w:numPr>
        <w:spacing w:after="200"/>
        <w:ind w:right="0"/>
        <w:rPr>
          <w:rFonts w:cs="Arial"/>
          <w:lang w:val="en-US"/>
        </w:rPr>
      </w:pPr>
      <w:r w:rsidRPr="0F6617A5">
        <w:rPr>
          <w:rFonts w:cs="Arial"/>
          <w:lang w:val="en-US"/>
        </w:rPr>
        <w:t>What has been the impact of increased working from home arrangements on the design and delivery of training?</w:t>
      </w:r>
    </w:p>
    <w:p w14:paraId="74DE50EF" w14:textId="77777777" w:rsidR="00E41E6C" w:rsidRPr="009954F9" w:rsidRDefault="00E41E6C" w:rsidP="00FD4BC7">
      <w:pPr>
        <w:pStyle w:val="ListParagraph"/>
        <w:numPr>
          <w:ilvl w:val="0"/>
          <w:numId w:val="5"/>
        </w:numPr>
        <w:spacing w:after="200"/>
        <w:ind w:right="0"/>
        <w:rPr>
          <w:rFonts w:cs="Arial"/>
          <w:lang w:val="en-US"/>
        </w:rPr>
      </w:pPr>
      <w:r w:rsidRPr="0F6617A5">
        <w:rPr>
          <w:rFonts w:cs="Arial"/>
          <w:lang w:val="en-US"/>
        </w:rPr>
        <w:t>Has human rights been included in induction training (onboarding of new staff)? Does ongoing professional development/training for staff include human rights? If so, what is the mode of the delivery of the training?</w:t>
      </w:r>
    </w:p>
    <w:p w14:paraId="0FD3D9FD" w14:textId="77777777" w:rsidR="00E41E6C" w:rsidRPr="009954F9" w:rsidRDefault="00E41E6C" w:rsidP="00FD4BC7">
      <w:pPr>
        <w:pStyle w:val="ListParagraph"/>
        <w:numPr>
          <w:ilvl w:val="0"/>
          <w:numId w:val="5"/>
        </w:numPr>
        <w:spacing w:after="200"/>
        <w:ind w:right="0"/>
        <w:rPr>
          <w:rFonts w:cs="Arial"/>
          <w:lang w:val="en-US"/>
        </w:rPr>
      </w:pPr>
      <w:r w:rsidRPr="0F6617A5">
        <w:rPr>
          <w:rFonts w:cs="Arial"/>
          <w:lang w:val="en-US"/>
        </w:rPr>
        <w:t>What feedback do you collect about education and training? How is it used to design future training and/or resources?</w:t>
      </w:r>
    </w:p>
    <w:p w14:paraId="4D5E6772" w14:textId="77777777" w:rsidR="00E41E6C" w:rsidRPr="00A84CBD" w:rsidRDefault="00E41E6C" w:rsidP="00A84CBD">
      <w:pPr>
        <w:pStyle w:val="Heading3"/>
        <w:ind w:right="-244"/>
        <w:rPr>
          <w:color w:val="373D41"/>
          <w:lang w:val="en-US"/>
        </w:rPr>
      </w:pPr>
      <w:bookmarkStart w:id="860" w:name="_Toc85526780"/>
      <w:bookmarkStart w:id="861" w:name="_Toc85787195"/>
      <w:bookmarkStart w:id="862" w:name="_Toc1121608900"/>
      <w:r w:rsidRPr="00A84CBD">
        <w:rPr>
          <w:color w:val="373D41"/>
          <w:lang w:val="en-US"/>
        </w:rPr>
        <w:t>Indicator 2: Community consultation and engagement about human rights</w:t>
      </w:r>
      <w:bookmarkEnd w:id="860"/>
      <w:bookmarkEnd w:id="861"/>
      <w:bookmarkEnd w:id="862"/>
    </w:p>
    <w:p w14:paraId="39B36485" w14:textId="77777777" w:rsidR="00E41E6C" w:rsidRPr="009954F9" w:rsidRDefault="00E41E6C" w:rsidP="00FD4BC7">
      <w:pPr>
        <w:pStyle w:val="ListParagraph"/>
        <w:numPr>
          <w:ilvl w:val="0"/>
          <w:numId w:val="6"/>
        </w:numPr>
        <w:spacing w:after="200"/>
        <w:ind w:right="0"/>
        <w:rPr>
          <w:rFonts w:cs="Arial"/>
          <w:lang w:val="en-US"/>
        </w:rPr>
      </w:pPr>
      <w:r w:rsidRPr="0F6617A5">
        <w:rPr>
          <w:rFonts w:cs="Arial"/>
          <w:lang w:val="en-US"/>
        </w:rPr>
        <w:t xml:space="preserve">Have you conducted any community consultation and engagement, such as with stakeholders, clients, or consumers about human rights? </w:t>
      </w:r>
    </w:p>
    <w:p w14:paraId="32240F92" w14:textId="77777777" w:rsidR="00E41E6C" w:rsidRPr="009954F9" w:rsidRDefault="00E41E6C" w:rsidP="00FD4BC7">
      <w:pPr>
        <w:pStyle w:val="ListParagraph"/>
        <w:numPr>
          <w:ilvl w:val="0"/>
          <w:numId w:val="6"/>
        </w:numPr>
        <w:spacing w:after="200"/>
        <w:ind w:right="0"/>
        <w:rPr>
          <w:rFonts w:cs="Arial"/>
          <w:lang w:val="en-US"/>
        </w:rPr>
      </w:pPr>
      <w:r w:rsidRPr="0F6617A5">
        <w:rPr>
          <w:rFonts w:cs="Arial"/>
          <w:lang w:val="en-US"/>
        </w:rPr>
        <w:t>What information have you provided to the community about human rights?</w:t>
      </w:r>
    </w:p>
    <w:p w14:paraId="2C7611EE" w14:textId="77777777" w:rsidR="00E41E6C" w:rsidRPr="009954F9" w:rsidRDefault="00E41E6C" w:rsidP="00FD4BC7">
      <w:pPr>
        <w:pStyle w:val="ListParagraph"/>
        <w:numPr>
          <w:ilvl w:val="0"/>
          <w:numId w:val="6"/>
        </w:numPr>
        <w:spacing w:after="200"/>
        <w:ind w:right="0"/>
        <w:rPr>
          <w:rFonts w:cs="Arial"/>
          <w:lang w:val="en-US"/>
        </w:rPr>
      </w:pPr>
      <w:r w:rsidRPr="0F6617A5">
        <w:rPr>
          <w:rFonts w:cs="Arial"/>
          <w:lang w:val="en-US"/>
        </w:rPr>
        <w:t>Have you consulted relevant sectors of the community about proposed changes to, or development of, legislation, regulations, policies, procedures, services etc. which may impact human rights?</w:t>
      </w:r>
    </w:p>
    <w:p w14:paraId="489AB2A6" w14:textId="77777777" w:rsidR="00E41E6C" w:rsidRPr="009954F9" w:rsidRDefault="00E41E6C" w:rsidP="00FD4BC7">
      <w:pPr>
        <w:pStyle w:val="ListParagraph"/>
        <w:numPr>
          <w:ilvl w:val="0"/>
          <w:numId w:val="6"/>
        </w:numPr>
        <w:spacing w:after="200"/>
        <w:ind w:right="0"/>
        <w:rPr>
          <w:rFonts w:cs="Arial"/>
        </w:rPr>
      </w:pPr>
      <w:r w:rsidRPr="0F6617A5">
        <w:rPr>
          <w:rFonts w:cs="Arial"/>
          <w:lang w:val="en-US"/>
        </w:rPr>
        <w:t xml:space="preserve">Please provide details, including </w:t>
      </w:r>
      <w:r w:rsidRPr="0F6617A5">
        <w:rPr>
          <w:rFonts w:cs="Arial"/>
        </w:rPr>
        <w:t>how did the community consultation and engagement impact on any decision-making/policy formulation, or other?</w:t>
      </w:r>
    </w:p>
    <w:p w14:paraId="71C46650" w14:textId="77777777" w:rsidR="00E41E6C" w:rsidRPr="00A84CBD" w:rsidRDefault="00E41E6C" w:rsidP="00A84CBD">
      <w:pPr>
        <w:pStyle w:val="Heading3"/>
        <w:ind w:right="296"/>
        <w:rPr>
          <w:color w:val="373D41"/>
          <w:lang w:val="en-US"/>
        </w:rPr>
      </w:pPr>
      <w:bookmarkStart w:id="863" w:name="_Toc85526781"/>
      <w:bookmarkStart w:id="864" w:name="_Toc85787196"/>
      <w:bookmarkStart w:id="865" w:name="_Toc1464141180"/>
      <w:r w:rsidRPr="00A84CBD">
        <w:rPr>
          <w:color w:val="373D41"/>
          <w:lang w:val="en-US"/>
        </w:rPr>
        <w:t>Indicator 3: Awareness raising and support for related entities (including functional public entities engaged by the entity i.e. contractors)</w:t>
      </w:r>
      <w:bookmarkEnd w:id="863"/>
      <w:bookmarkEnd w:id="864"/>
      <w:bookmarkEnd w:id="865"/>
    </w:p>
    <w:p w14:paraId="16960D5E" w14:textId="77777777" w:rsidR="00E41E6C" w:rsidRPr="009954F9" w:rsidRDefault="00E41E6C" w:rsidP="00FD4BC7">
      <w:pPr>
        <w:pStyle w:val="ListParagraph"/>
        <w:numPr>
          <w:ilvl w:val="0"/>
          <w:numId w:val="7"/>
        </w:numPr>
        <w:spacing w:after="200"/>
        <w:ind w:right="0"/>
        <w:rPr>
          <w:rFonts w:cs="Arial"/>
          <w:lang w:val="en-US"/>
        </w:rPr>
      </w:pPr>
      <w:r w:rsidRPr="0F6617A5">
        <w:rPr>
          <w:rFonts w:cs="Arial"/>
          <w:lang w:val="en-US"/>
        </w:rPr>
        <w:t>Have you raised awareness of human rights with contractors/providers engaged by your agency? If so, provide details. For example, has human rights been embedded into formal contracts?</w:t>
      </w:r>
    </w:p>
    <w:p w14:paraId="158B7DD5" w14:textId="77777777" w:rsidR="00E41E6C" w:rsidRPr="009954F9" w:rsidRDefault="00E41E6C" w:rsidP="00FD4BC7">
      <w:pPr>
        <w:pStyle w:val="ListParagraph"/>
        <w:numPr>
          <w:ilvl w:val="0"/>
          <w:numId w:val="7"/>
        </w:numPr>
        <w:spacing w:after="200"/>
        <w:ind w:right="0"/>
        <w:rPr>
          <w:rFonts w:cs="Arial"/>
          <w:lang w:val="en-US"/>
        </w:rPr>
      </w:pPr>
      <w:r w:rsidRPr="0F6617A5">
        <w:rPr>
          <w:rFonts w:cs="Arial"/>
          <w:lang w:val="en-US"/>
        </w:rPr>
        <w:t>What support in ensuring compatibility with the Act have you provided to providers engaged by your agency? If any, provide details.</w:t>
      </w:r>
    </w:p>
    <w:p w14:paraId="23670E13" w14:textId="77777777" w:rsidR="00E41E6C" w:rsidRPr="00A84CBD" w:rsidRDefault="00E41E6C" w:rsidP="00A84CBD">
      <w:pPr>
        <w:pStyle w:val="Heading3"/>
        <w:ind w:right="386"/>
        <w:rPr>
          <w:color w:val="373D41"/>
          <w:lang w:val="en-US"/>
        </w:rPr>
      </w:pPr>
      <w:bookmarkStart w:id="866" w:name="_Toc85526782"/>
      <w:bookmarkStart w:id="867" w:name="_Toc85787197"/>
      <w:bookmarkStart w:id="868" w:name="_Toc2114395277"/>
      <w:r w:rsidRPr="00A84CBD">
        <w:rPr>
          <w:color w:val="373D41"/>
          <w:lang w:val="en-US"/>
        </w:rPr>
        <w:t>Indicator 4: Reviews and development of legislation or subordinate legislation</w:t>
      </w:r>
      <w:bookmarkEnd w:id="866"/>
      <w:bookmarkEnd w:id="867"/>
      <w:bookmarkEnd w:id="868"/>
    </w:p>
    <w:p w14:paraId="4393C37F" w14:textId="77777777" w:rsidR="00E41E6C" w:rsidRPr="009954F9" w:rsidRDefault="00E41E6C" w:rsidP="004C5148">
      <w:pPr>
        <w:pStyle w:val="Listparagraph-bulleted"/>
        <w:ind w:right="-154"/>
        <w:rPr>
          <w:lang w:val="en-US"/>
        </w:rPr>
      </w:pPr>
      <w:r w:rsidRPr="009954F9">
        <w:t>Please point to legislation or subordinate legislation that has been introduced in the financial year 2020</w:t>
      </w:r>
      <w:r>
        <w:t>–</w:t>
      </w:r>
      <w:r w:rsidRPr="009954F9">
        <w:t xml:space="preserve">21 that: </w:t>
      </w:r>
    </w:p>
    <w:p w14:paraId="16BFBBC0" w14:textId="77777777" w:rsidR="00E41E6C" w:rsidRPr="009954F9" w:rsidRDefault="00E41E6C" w:rsidP="004C5148">
      <w:pPr>
        <w:pStyle w:val="Listparagraph-bulleted"/>
        <w:numPr>
          <w:ilvl w:val="1"/>
          <w:numId w:val="3"/>
        </w:numPr>
        <w:ind w:right="-154"/>
        <w:rPr>
          <w:lang w:val="en-US"/>
        </w:rPr>
      </w:pPr>
      <w:r w:rsidRPr="009954F9">
        <w:t>has a significant impact on human rights;</w:t>
      </w:r>
    </w:p>
    <w:p w14:paraId="54927BB5" w14:textId="77777777" w:rsidR="00E41E6C" w:rsidRPr="009954F9" w:rsidRDefault="00E41E6C" w:rsidP="004C5148">
      <w:pPr>
        <w:pStyle w:val="Listparagraph-bulleted"/>
        <w:numPr>
          <w:ilvl w:val="1"/>
          <w:numId w:val="3"/>
        </w:numPr>
        <w:ind w:right="-154"/>
        <w:rPr>
          <w:lang w:val="en-US"/>
        </w:rPr>
      </w:pPr>
      <w:r w:rsidRPr="009954F9">
        <w:t>works to respect, protect, or promote human rights</w:t>
      </w:r>
    </w:p>
    <w:p w14:paraId="12A0A91F" w14:textId="77777777" w:rsidR="00E41E6C" w:rsidRPr="009954F9" w:rsidRDefault="00E41E6C" w:rsidP="004C5148">
      <w:pPr>
        <w:pStyle w:val="Listparagraph-bulleted"/>
        <w:ind w:right="-154"/>
        <w:rPr>
          <w:lang w:val="en-US"/>
        </w:rPr>
      </w:pPr>
      <w:r w:rsidRPr="009954F9">
        <w:t>Please provide any examples of good practice in ensuring the proper consideration of human rights is part of legislation development</w:t>
      </w:r>
      <w:r>
        <w:t>.</w:t>
      </w:r>
    </w:p>
    <w:p w14:paraId="3884BFFC" w14:textId="77777777" w:rsidR="00E41E6C" w:rsidRPr="004C5148" w:rsidRDefault="00E41E6C" w:rsidP="004C5148">
      <w:pPr>
        <w:pStyle w:val="Heading3"/>
        <w:rPr>
          <w:color w:val="373D41"/>
          <w:lang w:val="en-US"/>
        </w:rPr>
      </w:pPr>
      <w:bookmarkStart w:id="869" w:name="_Toc85526783"/>
      <w:bookmarkStart w:id="870" w:name="_Toc85787198"/>
      <w:bookmarkStart w:id="871" w:name="_Toc1735145543"/>
      <w:r w:rsidRPr="004C5148">
        <w:rPr>
          <w:color w:val="373D41"/>
          <w:lang w:val="en-US"/>
        </w:rPr>
        <w:t>Indicator 5: Review of policies and procedures</w:t>
      </w:r>
      <w:bookmarkEnd w:id="869"/>
      <w:bookmarkEnd w:id="870"/>
      <w:bookmarkEnd w:id="871"/>
    </w:p>
    <w:p w14:paraId="57C60973" w14:textId="77777777" w:rsidR="00E41E6C" w:rsidRPr="009954F9" w:rsidRDefault="00E41E6C" w:rsidP="00FD4BC7">
      <w:pPr>
        <w:pStyle w:val="ListParagraph"/>
        <w:numPr>
          <w:ilvl w:val="0"/>
          <w:numId w:val="9"/>
        </w:numPr>
        <w:spacing w:after="200"/>
        <w:ind w:right="0"/>
        <w:rPr>
          <w:rFonts w:cs="Arial"/>
          <w:lang w:val="en-US"/>
        </w:rPr>
      </w:pPr>
      <w:r w:rsidRPr="0F6617A5">
        <w:rPr>
          <w:rFonts w:cs="Arial"/>
          <w:lang w:val="en-US"/>
        </w:rPr>
        <w:t>Has your agency reviewed policies and procedures for compatibility with human rights?</w:t>
      </w:r>
      <w:r>
        <w:rPr>
          <w:rFonts w:cs="Arial"/>
          <w:lang w:val="en-US"/>
        </w:rPr>
        <w:t xml:space="preserve"> </w:t>
      </w:r>
    </w:p>
    <w:p w14:paraId="636577FD" w14:textId="77777777" w:rsidR="00E41E6C" w:rsidRPr="009954F9" w:rsidRDefault="00E41E6C" w:rsidP="00FD4BC7">
      <w:pPr>
        <w:pStyle w:val="ListParagraph"/>
        <w:numPr>
          <w:ilvl w:val="0"/>
          <w:numId w:val="9"/>
        </w:numPr>
        <w:spacing w:after="200"/>
        <w:ind w:right="0"/>
        <w:rPr>
          <w:rFonts w:cs="Arial"/>
          <w:lang w:val="en-US"/>
        </w:rPr>
      </w:pPr>
      <w:r w:rsidRPr="0F6617A5">
        <w:rPr>
          <w:rFonts w:cs="Arial"/>
          <w:lang w:val="en-US"/>
        </w:rPr>
        <w:t>Please provide an example of the way in which the review of policies and procedures has resulted in positive change?</w:t>
      </w:r>
    </w:p>
    <w:p w14:paraId="46B8FE60" w14:textId="77777777" w:rsidR="00E41E6C" w:rsidRPr="009954F9" w:rsidRDefault="00E41E6C" w:rsidP="00FD4BC7">
      <w:pPr>
        <w:pStyle w:val="ListParagraph"/>
        <w:numPr>
          <w:ilvl w:val="0"/>
          <w:numId w:val="9"/>
        </w:numPr>
        <w:spacing w:after="200"/>
        <w:ind w:right="0"/>
        <w:rPr>
          <w:rFonts w:cs="Arial"/>
          <w:lang w:val="en-US"/>
        </w:rPr>
      </w:pPr>
      <w:r w:rsidRPr="0F6617A5">
        <w:rPr>
          <w:rFonts w:cs="Arial"/>
          <w:lang w:val="en-US"/>
        </w:rPr>
        <w:t>In particular, have you developed any new guides or other tools to assist staff to act and make decisions that are compatible with human rights, and to properly consider human rights when making decisions?</w:t>
      </w:r>
    </w:p>
    <w:p w14:paraId="42037E12" w14:textId="77777777" w:rsidR="00E41E6C" w:rsidRPr="009954F9" w:rsidRDefault="00E41E6C" w:rsidP="00FD4BC7">
      <w:pPr>
        <w:pStyle w:val="ListParagraph"/>
        <w:numPr>
          <w:ilvl w:val="0"/>
          <w:numId w:val="9"/>
        </w:numPr>
        <w:spacing w:after="200"/>
        <w:ind w:right="0"/>
        <w:rPr>
          <w:rFonts w:cs="Arial"/>
          <w:lang w:val="en-US"/>
        </w:rPr>
      </w:pPr>
      <w:r w:rsidRPr="0F6617A5">
        <w:rPr>
          <w:rFonts w:cs="Arial"/>
          <w:lang w:val="en-US"/>
        </w:rPr>
        <w:t>Has any review of policies and procedures resulted in a change to service delivery? If so, please provide examples.</w:t>
      </w:r>
    </w:p>
    <w:p w14:paraId="1B08402C" w14:textId="77777777" w:rsidR="00E41E6C" w:rsidRPr="00AD751D" w:rsidRDefault="00E41E6C" w:rsidP="00AD751D">
      <w:pPr>
        <w:pStyle w:val="Heading3"/>
        <w:ind w:right="26"/>
        <w:rPr>
          <w:color w:val="373D41"/>
          <w:lang w:val="en-US"/>
        </w:rPr>
      </w:pPr>
      <w:bookmarkStart w:id="872" w:name="_Toc85526784"/>
      <w:bookmarkStart w:id="873" w:name="_Toc85787199"/>
      <w:bookmarkStart w:id="874" w:name="_Toc1985856642"/>
      <w:r w:rsidRPr="00AD751D">
        <w:rPr>
          <w:color w:val="373D41"/>
          <w:lang w:val="en-US"/>
        </w:rPr>
        <w:t>Indicator 6: Internal complaint management for human rights complaints</w:t>
      </w:r>
      <w:bookmarkEnd w:id="872"/>
      <w:bookmarkEnd w:id="873"/>
      <w:bookmarkEnd w:id="874"/>
    </w:p>
    <w:p w14:paraId="2692A457" w14:textId="77777777" w:rsidR="00E41E6C" w:rsidRPr="009954F9" w:rsidRDefault="00E41E6C" w:rsidP="00FD4BC7">
      <w:pPr>
        <w:pStyle w:val="ListParagraph"/>
        <w:numPr>
          <w:ilvl w:val="0"/>
          <w:numId w:val="10"/>
        </w:numPr>
        <w:spacing w:after="200"/>
        <w:ind w:right="0"/>
        <w:rPr>
          <w:rFonts w:cs="Arial"/>
          <w:lang w:val="en-US"/>
        </w:rPr>
      </w:pPr>
      <w:r w:rsidRPr="00AD751D">
        <w:t>How successful</w:t>
      </w:r>
      <w:r w:rsidRPr="0F6617A5">
        <w:rPr>
          <w:rFonts w:cs="Arial"/>
          <w:lang w:val="en-US"/>
        </w:rPr>
        <w:t xml:space="preserve"> has your agency been in integrating human rights complaints into internal complaints processes? If possible, provide examples of what has been achieved. </w:t>
      </w:r>
    </w:p>
    <w:p w14:paraId="62B7549A" w14:textId="77777777" w:rsidR="00E41E6C" w:rsidRPr="009954F9" w:rsidRDefault="00E41E6C" w:rsidP="00FD4BC7">
      <w:pPr>
        <w:pStyle w:val="ListParagraph"/>
        <w:numPr>
          <w:ilvl w:val="0"/>
          <w:numId w:val="10"/>
        </w:numPr>
        <w:spacing w:after="200"/>
        <w:ind w:right="0"/>
        <w:rPr>
          <w:rFonts w:cs="Arial"/>
          <w:lang w:val="en-US"/>
        </w:rPr>
      </w:pPr>
      <w:r w:rsidRPr="0F6617A5">
        <w:rPr>
          <w:rFonts w:cs="Arial"/>
          <w:lang w:val="en-US"/>
        </w:rPr>
        <w:t>Does your agency face any barriers in successfully identifying, considering, and responding to human rights complaints? If so, what are they?</w:t>
      </w:r>
    </w:p>
    <w:p w14:paraId="2E357E39" w14:textId="77777777" w:rsidR="00E41E6C" w:rsidRPr="009954F9" w:rsidRDefault="00E41E6C" w:rsidP="00FD4BC7">
      <w:pPr>
        <w:pStyle w:val="ListParagraph"/>
        <w:numPr>
          <w:ilvl w:val="0"/>
          <w:numId w:val="10"/>
        </w:numPr>
        <w:spacing w:after="200"/>
        <w:ind w:right="0"/>
        <w:rPr>
          <w:rFonts w:cs="Arial"/>
          <w:lang w:val="en-US"/>
        </w:rPr>
      </w:pPr>
      <w:r w:rsidRPr="0F6617A5">
        <w:rPr>
          <w:rFonts w:cs="Arial"/>
          <w:lang w:val="en-US"/>
        </w:rPr>
        <w:t>Please provide examples of where a complaint has been resolved through the internal complaints process and/or has resulted in policy/procedure/practice review, service improvements or change for the agency.</w:t>
      </w:r>
    </w:p>
    <w:p w14:paraId="55382839" w14:textId="77777777" w:rsidR="00E41E6C" w:rsidRPr="00AD751D" w:rsidRDefault="00E41E6C" w:rsidP="00AD751D">
      <w:pPr>
        <w:pStyle w:val="Heading3"/>
        <w:rPr>
          <w:color w:val="373D41"/>
          <w:lang w:val="en-US"/>
        </w:rPr>
      </w:pPr>
      <w:bookmarkStart w:id="875" w:name="_Toc85526785"/>
      <w:bookmarkStart w:id="876" w:name="_Toc85787200"/>
      <w:bookmarkStart w:id="877" w:name="_Toc1472709938"/>
      <w:r w:rsidRPr="00AD751D">
        <w:rPr>
          <w:color w:val="373D41"/>
          <w:lang w:val="en-US"/>
        </w:rPr>
        <w:t>Indicator 7: Future plans</w:t>
      </w:r>
      <w:bookmarkEnd w:id="875"/>
      <w:bookmarkEnd w:id="876"/>
      <w:bookmarkEnd w:id="877"/>
    </w:p>
    <w:p w14:paraId="666BF28A" w14:textId="77777777" w:rsidR="00E41E6C" w:rsidRPr="009954F9" w:rsidRDefault="00E41E6C" w:rsidP="00AD751D">
      <w:pPr>
        <w:ind w:right="26"/>
        <w:rPr>
          <w:rFonts w:cs="Arial"/>
          <w:lang w:val="en-US"/>
        </w:rPr>
      </w:pPr>
      <w:r w:rsidRPr="009954F9">
        <w:rPr>
          <w:rFonts w:cs="Arial"/>
          <w:lang w:val="en-US"/>
        </w:rPr>
        <w:t>What future plans does your agency have to achieve the objects of the Act in:</w:t>
      </w:r>
    </w:p>
    <w:p w14:paraId="56447E2F" w14:textId="77777777" w:rsidR="00E41E6C" w:rsidRPr="009954F9" w:rsidRDefault="00E41E6C" w:rsidP="00FD4BC7">
      <w:pPr>
        <w:pStyle w:val="ListParagraph"/>
        <w:numPr>
          <w:ilvl w:val="0"/>
          <w:numId w:val="4"/>
        </w:numPr>
        <w:spacing w:after="200"/>
        <w:ind w:right="0"/>
        <w:rPr>
          <w:rFonts w:cs="Arial"/>
          <w:lang w:val="en-US"/>
        </w:rPr>
      </w:pPr>
      <w:r w:rsidRPr="0F6617A5">
        <w:rPr>
          <w:rFonts w:cs="Arial"/>
          <w:lang w:val="en-US"/>
        </w:rPr>
        <w:t>protecting and promoting human rights;</w:t>
      </w:r>
    </w:p>
    <w:p w14:paraId="1CA9BA0D" w14:textId="77777777" w:rsidR="00E41E6C" w:rsidRPr="009954F9" w:rsidRDefault="00E41E6C" w:rsidP="00FD4BC7">
      <w:pPr>
        <w:pStyle w:val="ListParagraph"/>
        <w:numPr>
          <w:ilvl w:val="0"/>
          <w:numId w:val="4"/>
        </w:numPr>
        <w:spacing w:after="200"/>
        <w:ind w:right="0"/>
        <w:rPr>
          <w:rFonts w:cs="Arial"/>
          <w:lang w:val="en-US"/>
        </w:rPr>
      </w:pPr>
      <w:r w:rsidRPr="0F6617A5">
        <w:rPr>
          <w:rFonts w:cs="Arial"/>
          <w:lang w:val="en-US"/>
        </w:rPr>
        <w:t>building a culture in the Queensland public sector that respects and promotes human rights; and</w:t>
      </w:r>
    </w:p>
    <w:p w14:paraId="36534A8F" w14:textId="77777777" w:rsidR="00E41E6C" w:rsidRPr="009954F9" w:rsidRDefault="00E41E6C" w:rsidP="00FD4BC7">
      <w:pPr>
        <w:pStyle w:val="ListParagraph"/>
        <w:numPr>
          <w:ilvl w:val="0"/>
          <w:numId w:val="4"/>
        </w:numPr>
        <w:spacing w:after="200"/>
        <w:ind w:right="0"/>
        <w:rPr>
          <w:rFonts w:cs="Arial"/>
          <w:lang w:val="en-US"/>
        </w:rPr>
      </w:pPr>
      <w:r w:rsidRPr="0F6617A5">
        <w:rPr>
          <w:rFonts w:cs="Arial"/>
          <w:lang w:val="en-US"/>
        </w:rPr>
        <w:t>helping promote a dialogue about the nature, meaning, and scope of human rights.</w:t>
      </w:r>
    </w:p>
    <w:p w14:paraId="34600E84" w14:textId="77777777" w:rsidR="00E41E6C" w:rsidRPr="00AD751D" w:rsidRDefault="00E41E6C" w:rsidP="00AD751D">
      <w:pPr>
        <w:pStyle w:val="Heading3"/>
        <w:rPr>
          <w:color w:val="373D41"/>
          <w:lang w:val="en-US"/>
        </w:rPr>
      </w:pPr>
      <w:bookmarkStart w:id="878" w:name="_Toc85526786"/>
      <w:bookmarkStart w:id="879" w:name="_Toc85787201"/>
      <w:bookmarkStart w:id="880" w:name="_Toc683981575"/>
      <w:r w:rsidRPr="00AD751D">
        <w:rPr>
          <w:color w:val="373D41"/>
          <w:lang w:val="en-US"/>
        </w:rPr>
        <w:t>Additional question:</w:t>
      </w:r>
      <w:bookmarkEnd w:id="878"/>
      <w:bookmarkEnd w:id="879"/>
      <w:bookmarkEnd w:id="880"/>
    </w:p>
    <w:p w14:paraId="6419AB21" w14:textId="77777777" w:rsidR="00E41E6C" w:rsidRDefault="00E41E6C" w:rsidP="00AD751D">
      <w:pPr>
        <w:ind w:right="26"/>
        <w:rPr>
          <w:bCs/>
        </w:rPr>
      </w:pPr>
      <w:r w:rsidRPr="009954F9">
        <w:rPr>
          <w:lang w:val="en-US"/>
        </w:rPr>
        <w:t>How has senior leadership demon</w:t>
      </w:r>
      <w:r w:rsidRPr="009954F9">
        <w:rPr>
          <w:rFonts w:cs="Arial"/>
          <w:lang w:val="en-US"/>
        </w:rPr>
        <w:t>strated a commitment to embedding human rights generally, and in particular with respect to the Indicators 1 – 6 noted above</w:t>
      </w:r>
      <w:r>
        <w:rPr>
          <w:rFonts w:cs="Arial"/>
          <w:lang w:val="en-US"/>
        </w:rPr>
        <w:t>?</w:t>
      </w:r>
    </w:p>
    <w:p w14:paraId="35AFD2BD" w14:textId="77777777" w:rsidR="00E41E6C" w:rsidRPr="00AD751D" w:rsidRDefault="00E41E6C" w:rsidP="00AD751D">
      <w:pPr>
        <w:pStyle w:val="Heading2"/>
        <w:rPr>
          <w:color w:val="373D41"/>
        </w:rPr>
      </w:pPr>
      <w:bookmarkStart w:id="881" w:name="_Toc85526787"/>
      <w:bookmarkStart w:id="882" w:name="_Toc85787202"/>
      <w:bookmarkStart w:id="883" w:name="_Toc428529182"/>
      <w:bookmarkStart w:id="884" w:name="_Toc117697231"/>
      <w:bookmarkStart w:id="885" w:name="_Toc117697938"/>
      <w:bookmarkStart w:id="886" w:name="_Toc147757378"/>
      <w:bookmarkStart w:id="887" w:name="_Toc148087007"/>
      <w:r w:rsidRPr="00AD751D">
        <w:rPr>
          <w:color w:val="373D41"/>
        </w:rPr>
        <w:t>Indicators of a developing human rights culture: Councils</w:t>
      </w:r>
      <w:bookmarkEnd w:id="881"/>
      <w:bookmarkEnd w:id="882"/>
      <w:bookmarkEnd w:id="883"/>
      <w:bookmarkEnd w:id="884"/>
      <w:bookmarkEnd w:id="885"/>
      <w:bookmarkEnd w:id="886"/>
      <w:bookmarkEnd w:id="887"/>
    </w:p>
    <w:p w14:paraId="3534784C" w14:textId="77777777" w:rsidR="00E41E6C" w:rsidRPr="00AD751D" w:rsidRDefault="00E41E6C" w:rsidP="00AD751D">
      <w:pPr>
        <w:pStyle w:val="Heading3"/>
        <w:ind w:right="26"/>
        <w:rPr>
          <w:color w:val="373D41"/>
        </w:rPr>
      </w:pPr>
      <w:bookmarkStart w:id="888" w:name="_Toc85526788"/>
      <w:bookmarkStart w:id="889" w:name="_Toc85787203"/>
      <w:bookmarkStart w:id="890" w:name="_Toc1141949105"/>
      <w:r w:rsidRPr="00AD751D">
        <w:rPr>
          <w:color w:val="373D41"/>
        </w:rPr>
        <w:t>Indicator 1: Staff awareness, education and development</w:t>
      </w:r>
      <w:bookmarkEnd w:id="888"/>
      <w:bookmarkEnd w:id="889"/>
      <w:bookmarkEnd w:id="890"/>
    </w:p>
    <w:p w14:paraId="38F7DB12" w14:textId="77777777" w:rsidR="00E41E6C" w:rsidRPr="009954F9" w:rsidRDefault="00E41E6C" w:rsidP="00FD4BC7">
      <w:pPr>
        <w:pStyle w:val="ListParagraph"/>
        <w:numPr>
          <w:ilvl w:val="0"/>
          <w:numId w:val="5"/>
        </w:numPr>
        <w:spacing w:after="200"/>
        <w:ind w:right="0"/>
        <w:rPr>
          <w:rFonts w:cs="Arial"/>
          <w:lang w:val="en-US"/>
        </w:rPr>
      </w:pPr>
      <w:r w:rsidRPr="0F6617A5">
        <w:rPr>
          <w:rFonts w:cs="Arial"/>
          <w:lang w:val="en-US"/>
        </w:rPr>
        <w:t>How has staff awareness been raised about the Act?</w:t>
      </w:r>
    </w:p>
    <w:p w14:paraId="179C04C1" w14:textId="77777777" w:rsidR="00E41E6C" w:rsidRPr="009954F9" w:rsidRDefault="00E41E6C" w:rsidP="00FD4BC7">
      <w:pPr>
        <w:pStyle w:val="ListParagraph"/>
        <w:numPr>
          <w:ilvl w:val="0"/>
          <w:numId w:val="5"/>
        </w:numPr>
        <w:spacing w:after="200"/>
        <w:ind w:right="0"/>
        <w:rPr>
          <w:rFonts w:cs="Arial"/>
          <w:lang w:val="en-US"/>
        </w:rPr>
      </w:pPr>
      <w:r w:rsidRPr="0F6617A5">
        <w:rPr>
          <w:rFonts w:cs="Arial"/>
          <w:lang w:val="en-US"/>
        </w:rPr>
        <w:t>What education and training on the Act has been provided?</w:t>
      </w:r>
    </w:p>
    <w:p w14:paraId="576F10F7" w14:textId="77777777" w:rsidR="00E41E6C" w:rsidRPr="009954F9" w:rsidRDefault="00E41E6C" w:rsidP="00FD4BC7">
      <w:pPr>
        <w:pStyle w:val="ListParagraph"/>
        <w:numPr>
          <w:ilvl w:val="0"/>
          <w:numId w:val="5"/>
        </w:numPr>
        <w:spacing w:after="200"/>
        <w:ind w:right="0"/>
        <w:rPr>
          <w:rFonts w:cs="Arial"/>
          <w:lang w:val="en-US"/>
        </w:rPr>
      </w:pPr>
      <w:r w:rsidRPr="0F6617A5">
        <w:rPr>
          <w:rFonts w:cs="Arial"/>
          <w:lang w:val="en-US"/>
        </w:rPr>
        <w:t>Does the training include examples specifically tailored to the council to illustrate how to put human rights into practice?</w:t>
      </w:r>
    </w:p>
    <w:p w14:paraId="5AEABE0D" w14:textId="77777777" w:rsidR="00E41E6C" w:rsidRPr="009954F9" w:rsidRDefault="00E41E6C" w:rsidP="00FD4BC7">
      <w:pPr>
        <w:pStyle w:val="ListParagraph"/>
        <w:numPr>
          <w:ilvl w:val="0"/>
          <w:numId w:val="5"/>
        </w:numPr>
        <w:spacing w:after="200"/>
        <w:ind w:right="0"/>
        <w:rPr>
          <w:rFonts w:cs="Arial"/>
          <w:lang w:val="en-US"/>
        </w:rPr>
      </w:pPr>
      <w:r w:rsidRPr="0F6617A5">
        <w:rPr>
          <w:rFonts w:cs="Arial"/>
          <w:lang w:val="en-US"/>
        </w:rPr>
        <w:t xml:space="preserve">Approximately what percentage of staff have received training? </w:t>
      </w:r>
    </w:p>
    <w:p w14:paraId="7A89EF42" w14:textId="77777777" w:rsidR="00E41E6C" w:rsidRPr="009954F9" w:rsidRDefault="00E41E6C" w:rsidP="00FD4BC7">
      <w:pPr>
        <w:pStyle w:val="ListParagraph"/>
        <w:numPr>
          <w:ilvl w:val="0"/>
          <w:numId w:val="5"/>
        </w:numPr>
        <w:spacing w:after="200"/>
        <w:ind w:right="0"/>
        <w:rPr>
          <w:rFonts w:cs="Arial"/>
          <w:lang w:val="en-US"/>
        </w:rPr>
      </w:pPr>
      <w:r w:rsidRPr="0F6617A5">
        <w:rPr>
          <w:rFonts w:cs="Arial"/>
          <w:lang w:val="en-US"/>
        </w:rPr>
        <w:t>Which work groups or areas of the council have received training? What training has been provided to senior leadership? What was the mode of delivery of the training? For example, online, face to face, both online and face to face, or other? Has the training been delivered by internal staff, or external providers?</w:t>
      </w:r>
    </w:p>
    <w:p w14:paraId="18AC9E75" w14:textId="77777777" w:rsidR="00E41E6C" w:rsidRPr="009954F9" w:rsidRDefault="00E41E6C" w:rsidP="00FD4BC7">
      <w:pPr>
        <w:pStyle w:val="ListParagraph"/>
        <w:numPr>
          <w:ilvl w:val="0"/>
          <w:numId w:val="5"/>
        </w:numPr>
        <w:spacing w:after="200"/>
        <w:ind w:right="0"/>
        <w:rPr>
          <w:rFonts w:cs="Arial"/>
          <w:lang w:val="en-US"/>
        </w:rPr>
      </w:pPr>
      <w:r w:rsidRPr="0F6617A5">
        <w:rPr>
          <w:rFonts w:cs="Arial"/>
          <w:lang w:val="en-US"/>
        </w:rPr>
        <w:t>What has been the impact of increased working from home arrangements on the design and delivery of training?</w:t>
      </w:r>
    </w:p>
    <w:p w14:paraId="31479C23" w14:textId="77777777" w:rsidR="00E41E6C" w:rsidRPr="009954F9" w:rsidRDefault="00E41E6C" w:rsidP="00FD4BC7">
      <w:pPr>
        <w:pStyle w:val="ListParagraph"/>
        <w:numPr>
          <w:ilvl w:val="0"/>
          <w:numId w:val="5"/>
        </w:numPr>
        <w:spacing w:after="200"/>
        <w:ind w:right="0"/>
        <w:rPr>
          <w:rFonts w:cs="Arial"/>
          <w:lang w:val="en-US"/>
        </w:rPr>
      </w:pPr>
      <w:r w:rsidRPr="0F6617A5">
        <w:rPr>
          <w:rFonts w:cs="Arial"/>
          <w:lang w:val="en-US"/>
        </w:rPr>
        <w:t>Has human rights been included in induction training (onboarding of new staff)? Does ongoing professional development/training for staff include human rights? If so, what is the mode of the delivery of the training?</w:t>
      </w:r>
    </w:p>
    <w:p w14:paraId="233DB5F2" w14:textId="77777777" w:rsidR="00E41E6C" w:rsidRPr="009954F9" w:rsidRDefault="00E41E6C" w:rsidP="00FD4BC7">
      <w:pPr>
        <w:pStyle w:val="ListParagraph"/>
        <w:numPr>
          <w:ilvl w:val="0"/>
          <w:numId w:val="5"/>
        </w:numPr>
        <w:spacing w:after="200"/>
        <w:ind w:right="0"/>
        <w:rPr>
          <w:rFonts w:cs="Arial"/>
          <w:lang w:val="en-US"/>
        </w:rPr>
      </w:pPr>
      <w:r w:rsidRPr="0F6617A5">
        <w:rPr>
          <w:rFonts w:cs="Arial"/>
          <w:lang w:val="en-US"/>
        </w:rPr>
        <w:t>What feedback do you collect about education and training? How is it used to design future training and/or resources?</w:t>
      </w:r>
    </w:p>
    <w:p w14:paraId="1179C67B" w14:textId="77777777" w:rsidR="00E41E6C" w:rsidRPr="00AD751D" w:rsidRDefault="00E41E6C" w:rsidP="00AD751D">
      <w:pPr>
        <w:pStyle w:val="Heading3"/>
        <w:ind w:right="-154"/>
        <w:rPr>
          <w:color w:val="373D41"/>
          <w:lang w:val="en-US"/>
        </w:rPr>
      </w:pPr>
      <w:bookmarkStart w:id="891" w:name="_Toc85526789"/>
      <w:bookmarkStart w:id="892" w:name="_Toc85787204"/>
      <w:bookmarkStart w:id="893" w:name="_Toc2077976445"/>
      <w:r w:rsidRPr="00AD751D">
        <w:rPr>
          <w:color w:val="373D41"/>
          <w:lang w:val="en-US"/>
        </w:rPr>
        <w:t>Indicator 2: Community consultation and engagement about human rights</w:t>
      </w:r>
      <w:bookmarkEnd w:id="891"/>
      <w:bookmarkEnd w:id="892"/>
      <w:bookmarkEnd w:id="893"/>
    </w:p>
    <w:p w14:paraId="07C00DB1" w14:textId="77777777" w:rsidR="00E41E6C" w:rsidRPr="009954F9" w:rsidRDefault="00E41E6C" w:rsidP="00FD4BC7">
      <w:pPr>
        <w:pStyle w:val="ListParagraph"/>
        <w:numPr>
          <w:ilvl w:val="0"/>
          <w:numId w:val="6"/>
        </w:numPr>
        <w:spacing w:after="200"/>
        <w:ind w:right="0"/>
        <w:rPr>
          <w:rFonts w:cs="Arial"/>
          <w:lang w:val="en-US"/>
        </w:rPr>
      </w:pPr>
      <w:r w:rsidRPr="0F6617A5">
        <w:rPr>
          <w:rFonts w:cs="Arial"/>
          <w:lang w:val="en-US"/>
        </w:rPr>
        <w:t xml:space="preserve">Have you conducted any community consultation and engagement, such as with stakeholders, clients, or consumers about human rights? </w:t>
      </w:r>
    </w:p>
    <w:p w14:paraId="6DD9EAD5" w14:textId="77777777" w:rsidR="00E41E6C" w:rsidRPr="009954F9" w:rsidRDefault="00E41E6C" w:rsidP="00FD4BC7">
      <w:pPr>
        <w:pStyle w:val="ListParagraph"/>
        <w:numPr>
          <w:ilvl w:val="0"/>
          <w:numId w:val="6"/>
        </w:numPr>
        <w:spacing w:after="200"/>
        <w:ind w:right="0"/>
        <w:rPr>
          <w:rFonts w:cs="Arial"/>
          <w:lang w:val="en-US"/>
        </w:rPr>
      </w:pPr>
      <w:r w:rsidRPr="0F6617A5">
        <w:rPr>
          <w:rFonts w:cs="Arial"/>
          <w:lang w:val="en-US"/>
        </w:rPr>
        <w:t>What information have you provided to the community about human rights?</w:t>
      </w:r>
    </w:p>
    <w:p w14:paraId="5C12DBAC" w14:textId="77777777" w:rsidR="00E41E6C" w:rsidRPr="009954F9" w:rsidRDefault="00E41E6C" w:rsidP="00FD4BC7">
      <w:pPr>
        <w:pStyle w:val="ListParagraph"/>
        <w:numPr>
          <w:ilvl w:val="0"/>
          <w:numId w:val="6"/>
        </w:numPr>
        <w:spacing w:after="200"/>
        <w:ind w:right="0"/>
        <w:rPr>
          <w:rFonts w:cs="Arial"/>
          <w:lang w:val="en-US"/>
        </w:rPr>
      </w:pPr>
      <w:r w:rsidRPr="0F6617A5">
        <w:rPr>
          <w:rFonts w:cs="Arial"/>
          <w:lang w:val="en-US"/>
        </w:rPr>
        <w:t>Have you consulted relevant sectors of the community about proposed changes to, or development of, legislation, regulations, policies, procedures, services etc. which may impact human rights?</w:t>
      </w:r>
    </w:p>
    <w:p w14:paraId="5A823DB5" w14:textId="77777777" w:rsidR="00E41E6C" w:rsidRPr="009954F9" w:rsidRDefault="00E41E6C" w:rsidP="00FD4BC7">
      <w:pPr>
        <w:pStyle w:val="ListParagraph"/>
        <w:numPr>
          <w:ilvl w:val="0"/>
          <w:numId w:val="6"/>
        </w:numPr>
        <w:spacing w:after="200"/>
        <w:ind w:right="0"/>
        <w:rPr>
          <w:rFonts w:cs="Arial"/>
        </w:rPr>
      </w:pPr>
      <w:r w:rsidRPr="0F6617A5">
        <w:rPr>
          <w:rFonts w:cs="Arial"/>
          <w:lang w:val="en-US"/>
        </w:rPr>
        <w:t xml:space="preserve">Please provide details, including </w:t>
      </w:r>
      <w:r w:rsidRPr="0F6617A5">
        <w:rPr>
          <w:rFonts w:cs="Arial"/>
        </w:rPr>
        <w:t>how did the community consultation and engagement impact on any decision-making/policy formulation, or other?</w:t>
      </w:r>
    </w:p>
    <w:p w14:paraId="51863BFE" w14:textId="77777777" w:rsidR="00E41E6C" w:rsidRPr="00AD751D" w:rsidRDefault="00E41E6C" w:rsidP="00AD751D">
      <w:pPr>
        <w:pStyle w:val="Heading3"/>
        <w:ind w:right="26"/>
        <w:rPr>
          <w:color w:val="373D41"/>
          <w:lang w:val="en-US"/>
        </w:rPr>
      </w:pPr>
      <w:bookmarkStart w:id="894" w:name="_Toc85526790"/>
      <w:bookmarkStart w:id="895" w:name="_Toc85787205"/>
      <w:bookmarkStart w:id="896" w:name="_Toc227269512"/>
      <w:r w:rsidRPr="00AD751D">
        <w:rPr>
          <w:color w:val="373D41"/>
          <w:lang w:val="en-US"/>
        </w:rPr>
        <w:t>Indicator 3: Awareness raising and support for related entities (including functional public entities engaged by the council i.e. contractors)</w:t>
      </w:r>
      <w:bookmarkEnd w:id="894"/>
      <w:bookmarkEnd w:id="895"/>
      <w:bookmarkEnd w:id="896"/>
    </w:p>
    <w:p w14:paraId="25B8670D" w14:textId="77777777" w:rsidR="00E41E6C" w:rsidRPr="009954F9" w:rsidRDefault="00E41E6C" w:rsidP="00FD4BC7">
      <w:pPr>
        <w:pStyle w:val="ListParagraph"/>
        <w:numPr>
          <w:ilvl w:val="0"/>
          <w:numId w:val="7"/>
        </w:numPr>
        <w:spacing w:after="200"/>
        <w:ind w:right="0"/>
        <w:rPr>
          <w:rFonts w:cs="Arial"/>
          <w:lang w:val="en-US"/>
        </w:rPr>
      </w:pPr>
      <w:r w:rsidRPr="0F6617A5">
        <w:rPr>
          <w:rFonts w:cs="Arial"/>
          <w:lang w:val="en-US"/>
        </w:rPr>
        <w:t>Have you raised awareness of human rights with contractors/providers engaged by the council? If so, provide details. For example, has human rights been embedded into formal contracts?</w:t>
      </w:r>
    </w:p>
    <w:p w14:paraId="2E562727" w14:textId="77777777" w:rsidR="00E41E6C" w:rsidRPr="009954F9" w:rsidRDefault="00E41E6C" w:rsidP="00FD4BC7">
      <w:pPr>
        <w:pStyle w:val="ListParagraph"/>
        <w:numPr>
          <w:ilvl w:val="0"/>
          <w:numId w:val="7"/>
        </w:numPr>
        <w:spacing w:after="200"/>
        <w:ind w:right="0"/>
        <w:rPr>
          <w:rFonts w:cs="Arial"/>
          <w:lang w:val="en-US"/>
        </w:rPr>
      </w:pPr>
      <w:r w:rsidRPr="0F6617A5">
        <w:rPr>
          <w:rFonts w:cs="Arial"/>
          <w:lang w:val="en-US"/>
        </w:rPr>
        <w:t>What support in ensuring compatibility with the Act have you provided to providers engaged by the council? If any, provide details.</w:t>
      </w:r>
    </w:p>
    <w:p w14:paraId="3A28DD4F" w14:textId="77777777" w:rsidR="00E41E6C" w:rsidRPr="00AD751D" w:rsidRDefault="00E41E6C" w:rsidP="00AD751D">
      <w:pPr>
        <w:pStyle w:val="Heading3"/>
        <w:ind w:right="116"/>
        <w:rPr>
          <w:color w:val="373D41"/>
          <w:lang w:val="en-US"/>
        </w:rPr>
      </w:pPr>
      <w:bookmarkStart w:id="897" w:name="_Toc85526791"/>
      <w:bookmarkStart w:id="898" w:name="_Toc85787206"/>
      <w:bookmarkStart w:id="899" w:name="_Toc1080955018"/>
      <w:r w:rsidRPr="00AD751D">
        <w:rPr>
          <w:color w:val="373D41"/>
          <w:lang w:val="en-US"/>
        </w:rPr>
        <w:t>Indicator 4: Reviews and development of local laws and subordinate local laws</w:t>
      </w:r>
      <w:bookmarkEnd w:id="897"/>
      <w:bookmarkEnd w:id="898"/>
      <w:bookmarkEnd w:id="899"/>
    </w:p>
    <w:p w14:paraId="4CBEE6E1" w14:textId="7605B43C" w:rsidR="00E41E6C" w:rsidRPr="009954F9" w:rsidRDefault="00E41E6C" w:rsidP="00AD751D">
      <w:pPr>
        <w:pStyle w:val="Listparagraph-bulleted"/>
        <w:ind w:right="26"/>
        <w:rPr>
          <w:lang w:val="en-US"/>
        </w:rPr>
      </w:pPr>
      <w:r w:rsidRPr="009954F9">
        <w:t xml:space="preserve">Please point to </w:t>
      </w:r>
      <w:r>
        <w:t>a local law or subordinate local law</w:t>
      </w:r>
      <w:r w:rsidRPr="009954F9">
        <w:t xml:space="preserve"> that </w:t>
      </w:r>
      <w:r>
        <w:t>has</w:t>
      </w:r>
      <w:r w:rsidRPr="009954F9">
        <w:t xml:space="preserve"> been introduced in the financial year </w:t>
      </w:r>
      <w:r w:rsidR="007D27F7">
        <w:t>2022-23</w:t>
      </w:r>
      <w:r>
        <w:t xml:space="preserve"> and</w:t>
      </w:r>
      <w:r w:rsidRPr="009954F9">
        <w:t xml:space="preserve"> that: </w:t>
      </w:r>
    </w:p>
    <w:p w14:paraId="52AC3502" w14:textId="77777777" w:rsidR="00E41E6C" w:rsidRPr="009954F9" w:rsidRDefault="00E41E6C" w:rsidP="00AD751D">
      <w:pPr>
        <w:pStyle w:val="Listparagraph-bulleted"/>
        <w:numPr>
          <w:ilvl w:val="1"/>
          <w:numId w:val="3"/>
        </w:numPr>
        <w:ind w:right="26"/>
        <w:rPr>
          <w:lang w:val="en-US"/>
        </w:rPr>
      </w:pPr>
      <w:r w:rsidRPr="009954F9">
        <w:t>has a significant impact on human rights;</w:t>
      </w:r>
    </w:p>
    <w:p w14:paraId="337A5D74" w14:textId="77777777" w:rsidR="00E41E6C" w:rsidRPr="009954F9" w:rsidRDefault="00E41E6C" w:rsidP="00AD751D">
      <w:pPr>
        <w:pStyle w:val="Listparagraph-bulleted"/>
        <w:numPr>
          <w:ilvl w:val="1"/>
          <w:numId w:val="3"/>
        </w:numPr>
        <w:ind w:right="26"/>
        <w:rPr>
          <w:lang w:val="en-US"/>
        </w:rPr>
      </w:pPr>
      <w:r w:rsidRPr="009954F9">
        <w:t>works to respect, protect, or promote human rights</w:t>
      </w:r>
    </w:p>
    <w:p w14:paraId="785FE8CE" w14:textId="77777777" w:rsidR="00E41E6C" w:rsidRPr="009954F9" w:rsidRDefault="00E41E6C" w:rsidP="00AD751D">
      <w:pPr>
        <w:pStyle w:val="Listparagraph-bulleted"/>
        <w:ind w:right="26"/>
        <w:rPr>
          <w:lang w:val="en-US"/>
        </w:rPr>
      </w:pPr>
      <w:r w:rsidRPr="009954F9">
        <w:t xml:space="preserve">Please provide any examples of good practice in ensuring the proper consideration of human rights is part of </w:t>
      </w:r>
      <w:r>
        <w:t>local law</w:t>
      </w:r>
      <w:r w:rsidRPr="009954F9">
        <w:t xml:space="preserve"> development</w:t>
      </w:r>
      <w:r>
        <w:t>.</w:t>
      </w:r>
    </w:p>
    <w:p w14:paraId="1273137C" w14:textId="77777777" w:rsidR="00E41E6C" w:rsidRPr="00A416E2" w:rsidRDefault="00E41E6C" w:rsidP="00A416E2">
      <w:pPr>
        <w:pStyle w:val="Heading3"/>
        <w:rPr>
          <w:color w:val="373D41"/>
          <w:lang w:val="en-US"/>
        </w:rPr>
      </w:pPr>
      <w:bookmarkStart w:id="900" w:name="_Toc85526792"/>
      <w:bookmarkStart w:id="901" w:name="_Toc85787207"/>
      <w:bookmarkStart w:id="902" w:name="_Toc2094578353"/>
      <w:r w:rsidRPr="00A416E2">
        <w:rPr>
          <w:color w:val="373D41"/>
          <w:lang w:val="en-US"/>
        </w:rPr>
        <w:t>Indicator 5: Review of policies and procedures</w:t>
      </w:r>
      <w:bookmarkEnd w:id="900"/>
      <w:bookmarkEnd w:id="901"/>
      <w:bookmarkEnd w:id="902"/>
    </w:p>
    <w:p w14:paraId="63BF3E35" w14:textId="77777777" w:rsidR="00E41E6C" w:rsidRPr="009954F9" w:rsidRDefault="00E41E6C" w:rsidP="00FD4BC7">
      <w:pPr>
        <w:pStyle w:val="ListParagraph"/>
        <w:numPr>
          <w:ilvl w:val="0"/>
          <w:numId w:val="9"/>
        </w:numPr>
        <w:spacing w:after="200"/>
        <w:ind w:right="0"/>
        <w:rPr>
          <w:rFonts w:cs="Arial"/>
          <w:lang w:val="en-US"/>
        </w:rPr>
      </w:pPr>
      <w:r w:rsidRPr="0F6617A5">
        <w:rPr>
          <w:rFonts w:cs="Arial"/>
          <w:lang w:val="en-US"/>
        </w:rPr>
        <w:t>Has the council reviewed policies and procedures for compatibility with human rights?</w:t>
      </w:r>
      <w:r>
        <w:rPr>
          <w:rFonts w:cs="Arial"/>
          <w:lang w:val="en-US"/>
        </w:rPr>
        <w:t xml:space="preserve"> </w:t>
      </w:r>
    </w:p>
    <w:p w14:paraId="3AC26001" w14:textId="77777777" w:rsidR="00E41E6C" w:rsidRPr="009954F9" w:rsidRDefault="00E41E6C" w:rsidP="00FD4BC7">
      <w:pPr>
        <w:pStyle w:val="ListParagraph"/>
        <w:numPr>
          <w:ilvl w:val="0"/>
          <w:numId w:val="9"/>
        </w:numPr>
        <w:spacing w:after="200"/>
        <w:ind w:right="0"/>
        <w:rPr>
          <w:rFonts w:cs="Arial"/>
          <w:lang w:val="en-US"/>
        </w:rPr>
      </w:pPr>
      <w:r w:rsidRPr="0F6617A5">
        <w:rPr>
          <w:rFonts w:cs="Arial"/>
          <w:lang w:val="en-US"/>
        </w:rPr>
        <w:t>Please provide an example of the way in which the review of policies and procedures has resulted in positive change?</w:t>
      </w:r>
    </w:p>
    <w:p w14:paraId="4DE9DDA7" w14:textId="77777777" w:rsidR="00E41E6C" w:rsidRPr="009954F9" w:rsidRDefault="00E41E6C" w:rsidP="00FD4BC7">
      <w:pPr>
        <w:pStyle w:val="ListParagraph"/>
        <w:numPr>
          <w:ilvl w:val="0"/>
          <w:numId w:val="9"/>
        </w:numPr>
        <w:spacing w:after="200"/>
        <w:ind w:right="0"/>
        <w:rPr>
          <w:rFonts w:cs="Arial"/>
          <w:lang w:val="en-US"/>
        </w:rPr>
      </w:pPr>
      <w:r w:rsidRPr="0F6617A5">
        <w:rPr>
          <w:rFonts w:cs="Arial"/>
          <w:lang w:val="en-US"/>
        </w:rPr>
        <w:t>In particular, have you developed any new guides or other tools to assist staff to act and make decisions that are compatible with human rights, and to properly consider human rights when making decisions?</w:t>
      </w:r>
    </w:p>
    <w:p w14:paraId="1FE940F6" w14:textId="77777777" w:rsidR="00E41E6C" w:rsidRPr="009954F9" w:rsidRDefault="00E41E6C" w:rsidP="00FD4BC7">
      <w:pPr>
        <w:pStyle w:val="ListParagraph"/>
        <w:numPr>
          <w:ilvl w:val="0"/>
          <w:numId w:val="9"/>
        </w:numPr>
        <w:spacing w:after="200"/>
        <w:ind w:right="0"/>
        <w:rPr>
          <w:rFonts w:cs="Arial"/>
          <w:lang w:val="en-US"/>
        </w:rPr>
      </w:pPr>
      <w:r w:rsidRPr="0F6617A5">
        <w:rPr>
          <w:rFonts w:cs="Arial"/>
          <w:lang w:val="en-US"/>
        </w:rPr>
        <w:t>Has any review of policies and procedures resulted in a change to service delivery? If so, please provide examples.</w:t>
      </w:r>
    </w:p>
    <w:p w14:paraId="526DE96B" w14:textId="77777777" w:rsidR="00E41E6C" w:rsidRPr="00A416E2" w:rsidRDefault="00E41E6C" w:rsidP="00A416E2">
      <w:pPr>
        <w:pStyle w:val="Heading3"/>
        <w:ind w:right="26"/>
        <w:rPr>
          <w:color w:val="373D41"/>
          <w:lang w:val="en-US"/>
        </w:rPr>
      </w:pPr>
      <w:bookmarkStart w:id="903" w:name="_Toc85526793"/>
      <w:bookmarkStart w:id="904" w:name="_Toc85787208"/>
      <w:bookmarkStart w:id="905" w:name="_Toc1675814067"/>
      <w:r w:rsidRPr="00A416E2">
        <w:rPr>
          <w:color w:val="373D41"/>
          <w:lang w:val="en-US"/>
        </w:rPr>
        <w:t>Indicator 6: Internal complaint management for human rights complaints</w:t>
      </w:r>
      <w:bookmarkEnd w:id="903"/>
      <w:bookmarkEnd w:id="904"/>
      <w:bookmarkEnd w:id="905"/>
    </w:p>
    <w:p w14:paraId="5DA095B8" w14:textId="680F84CD" w:rsidR="00E41E6C" w:rsidRPr="009954F9" w:rsidRDefault="00146E05" w:rsidP="00FD4BC7">
      <w:pPr>
        <w:pStyle w:val="ListParagraph"/>
        <w:numPr>
          <w:ilvl w:val="0"/>
          <w:numId w:val="10"/>
        </w:numPr>
        <w:spacing w:after="200"/>
        <w:ind w:right="0"/>
        <w:rPr>
          <w:rFonts w:cs="Arial"/>
          <w:lang w:val="en-US"/>
        </w:rPr>
      </w:pPr>
      <w:r>
        <w:rPr>
          <w:rFonts w:cs="Arial"/>
          <w:lang w:val="en-US"/>
        </w:rPr>
        <w:t>How</w:t>
      </w:r>
      <w:r w:rsidR="00E41E6C" w:rsidRPr="0F6617A5">
        <w:rPr>
          <w:rFonts w:cs="Arial"/>
          <w:lang w:val="en-US"/>
        </w:rPr>
        <w:t xml:space="preserve"> successful has the council been in integrating human rights complaints into internal complaints processes? If possible, provide examples of what has been achieved. </w:t>
      </w:r>
    </w:p>
    <w:p w14:paraId="749CAA9A" w14:textId="77777777" w:rsidR="00E41E6C" w:rsidRPr="009954F9" w:rsidRDefault="00E41E6C" w:rsidP="00FD4BC7">
      <w:pPr>
        <w:pStyle w:val="ListParagraph"/>
        <w:numPr>
          <w:ilvl w:val="0"/>
          <w:numId w:val="10"/>
        </w:numPr>
        <w:spacing w:after="200"/>
        <w:ind w:right="0"/>
        <w:rPr>
          <w:rFonts w:cs="Arial"/>
          <w:lang w:val="en-US"/>
        </w:rPr>
      </w:pPr>
      <w:r w:rsidRPr="0F6617A5">
        <w:rPr>
          <w:rFonts w:cs="Arial"/>
          <w:lang w:val="en-US"/>
        </w:rPr>
        <w:t>Does the council face any barriers in successfully identifying, considering, and responding to human rights complaints? If so, what are they?</w:t>
      </w:r>
    </w:p>
    <w:p w14:paraId="3949D254" w14:textId="77777777" w:rsidR="00E41E6C" w:rsidRPr="009954F9" w:rsidRDefault="00E41E6C" w:rsidP="00FD4BC7">
      <w:pPr>
        <w:pStyle w:val="ListParagraph"/>
        <w:numPr>
          <w:ilvl w:val="0"/>
          <w:numId w:val="10"/>
        </w:numPr>
        <w:spacing w:after="200"/>
        <w:ind w:right="0"/>
        <w:rPr>
          <w:rFonts w:cs="Arial"/>
          <w:lang w:val="en-US"/>
        </w:rPr>
      </w:pPr>
      <w:r w:rsidRPr="0F6617A5">
        <w:rPr>
          <w:rFonts w:cs="Arial"/>
          <w:lang w:val="en-US"/>
        </w:rPr>
        <w:t>Please provide examples of where a complaint has been resolved through the internal complaints process and/or has resulted in policy/procedure/practice review, service improvements or change for the council.</w:t>
      </w:r>
    </w:p>
    <w:p w14:paraId="6016A812" w14:textId="77777777" w:rsidR="00E41E6C" w:rsidRPr="00A416E2" w:rsidRDefault="00E41E6C" w:rsidP="00A416E2">
      <w:pPr>
        <w:pStyle w:val="Heading3"/>
        <w:rPr>
          <w:color w:val="373D41"/>
          <w:lang w:val="en-US"/>
        </w:rPr>
      </w:pPr>
      <w:bookmarkStart w:id="906" w:name="_Toc85526794"/>
      <w:bookmarkStart w:id="907" w:name="_Toc85787209"/>
      <w:bookmarkStart w:id="908" w:name="_Toc873125945"/>
      <w:r w:rsidRPr="00A416E2">
        <w:rPr>
          <w:color w:val="373D41"/>
          <w:lang w:val="en-US"/>
        </w:rPr>
        <w:t>Indicator 7: Future plans</w:t>
      </w:r>
      <w:bookmarkEnd w:id="906"/>
      <w:bookmarkEnd w:id="907"/>
      <w:bookmarkEnd w:id="908"/>
    </w:p>
    <w:p w14:paraId="603AA649" w14:textId="77777777" w:rsidR="00E41E6C" w:rsidRPr="009954F9" w:rsidRDefault="00E41E6C" w:rsidP="00A416E2">
      <w:pPr>
        <w:ind w:right="26"/>
        <w:rPr>
          <w:rFonts w:cs="Arial"/>
          <w:lang w:val="en-US"/>
        </w:rPr>
      </w:pPr>
      <w:r w:rsidRPr="009954F9">
        <w:rPr>
          <w:rFonts w:cs="Arial"/>
          <w:lang w:val="en-US"/>
        </w:rPr>
        <w:t xml:space="preserve">What future plans does </w:t>
      </w:r>
      <w:r>
        <w:rPr>
          <w:rFonts w:cs="Arial"/>
          <w:lang w:val="en-US"/>
        </w:rPr>
        <w:t>the council</w:t>
      </w:r>
      <w:r w:rsidRPr="009954F9">
        <w:rPr>
          <w:rFonts w:cs="Arial"/>
          <w:lang w:val="en-US"/>
        </w:rPr>
        <w:t xml:space="preserve"> have to achieve the objects of the Act in:</w:t>
      </w:r>
    </w:p>
    <w:p w14:paraId="450A2000" w14:textId="77777777" w:rsidR="00E41E6C" w:rsidRPr="009954F9" w:rsidRDefault="00E41E6C" w:rsidP="00FD4BC7">
      <w:pPr>
        <w:pStyle w:val="ListParagraph"/>
        <w:numPr>
          <w:ilvl w:val="0"/>
          <w:numId w:val="4"/>
        </w:numPr>
        <w:spacing w:after="200"/>
        <w:ind w:right="0"/>
        <w:rPr>
          <w:rFonts w:cs="Arial"/>
          <w:lang w:val="en-US"/>
        </w:rPr>
      </w:pPr>
      <w:r w:rsidRPr="0F6617A5">
        <w:rPr>
          <w:rFonts w:cs="Arial"/>
          <w:lang w:val="en-US"/>
        </w:rPr>
        <w:t>protecting and promoting human rights;</w:t>
      </w:r>
    </w:p>
    <w:p w14:paraId="307A85E7" w14:textId="77777777" w:rsidR="00E41E6C" w:rsidRPr="009954F9" w:rsidRDefault="00E41E6C" w:rsidP="00FD4BC7">
      <w:pPr>
        <w:pStyle w:val="ListParagraph"/>
        <w:numPr>
          <w:ilvl w:val="0"/>
          <w:numId w:val="4"/>
        </w:numPr>
        <w:spacing w:after="200"/>
        <w:ind w:right="0"/>
        <w:rPr>
          <w:rFonts w:cs="Arial"/>
          <w:lang w:val="en-US"/>
        </w:rPr>
      </w:pPr>
      <w:r w:rsidRPr="0F6617A5">
        <w:rPr>
          <w:rFonts w:cs="Arial"/>
          <w:lang w:val="en-US"/>
        </w:rPr>
        <w:t>building a culture in the Queensland public sector that respects and promotes human rights; and</w:t>
      </w:r>
    </w:p>
    <w:p w14:paraId="676FC9F4" w14:textId="77777777" w:rsidR="00E41E6C" w:rsidRPr="009954F9" w:rsidRDefault="00E41E6C" w:rsidP="00FD4BC7">
      <w:pPr>
        <w:pStyle w:val="ListParagraph"/>
        <w:numPr>
          <w:ilvl w:val="0"/>
          <w:numId w:val="4"/>
        </w:numPr>
        <w:spacing w:after="200"/>
        <w:ind w:right="0"/>
        <w:rPr>
          <w:rFonts w:cs="Arial"/>
          <w:lang w:val="en-US"/>
        </w:rPr>
      </w:pPr>
      <w:r w:rsidRPr="0F6617A5">
        <w:rPr>
          <w:rFonts w:cs="Arial"/>
          <w:lang w:val="en-US"/>
        </w:rPr>
        <w:t>helping promote a dialogue about the nature, meaning, and scope of human rights.</w:t>
      </w:r>
    </w:p>
    <w:p w14:paraId="46A38A14" w14:textId="77777777" w:rsidR="00E41E6C" w:rsidRPr="00A416E2" w:rsidRDefault="00E41E6C" w:rsidP="00A416E2">
      <w:pPr>
        <w:pStyle w:val="Heading3"/>
        <w:rPr>
          <w:color w:val="373D41"/>
          <w:lang w:val="en-US"/>
        </w:rPr>
      </w:pPr>
      <w:bookmarkStart w:id="909" w:name="_Toc85526795"/>
      <w:bookmarkStart w:id="910" w:name="_Toc85787210"/>
      <w:bookmarkStart w:id="911" w:name="_Toc1066289032"/>
      <w:r w:rsidRPr="00A416E2">
        <w:rPr>
          <w:color w:val="373D41"/>
          <w:lang w:val="en-US"/>
        </w:rPr>
        <w:t>Additional question:</w:t>
      </w:r>
      <w:bookmarkEnd w:id="909"/>
      <w:bookmarkEnd w:id="910"/>
      <w:bookmarkEnd w:id="911"/>
    </w:p>
    <w:p w14:paraId="0AF50573" w14:textId="77777777" w:rsidR="00E41E6C" w:rsidRPr="006C400D" w:rsidRDefault="00E41E6C" w:rsidP="00A416E2">
      <w:pPr>
        <w:ind w:right="26"/>
        <w:rPr>
          <w:rFonts w:cs="Arial"/>
          <w:lang w:val="en-US"/>
        </w:rPr>
      </w:pPr>
      <w:r w:rsidRPr="009954F9">
        <w:rPr>
          <w:rFonts w:cs="Arial"/>
          <w:lang w:val="en-US"/>
        </w:rPr>
        <w:t>How has senior leadership demonstrated a commitment to embedding human rights generally, and in particular with respect to the Indicators 1 – 6 noted above?</w:t>
      </w:r>
      <w:r>
        <w:rPr>
          <w:rFonts w:cs="Arial"/>
        </w:rPr>
        <w:br w:type="page"/>
      </w:r>
    </w:p>
    <w:p w14:paraId="0931C0AA" w14:textId="77295500" w:rsidR="00586931" w:rsidRPr="00EA5DF0" w:rsidRDefault="5C8B440A" w:rsidP="25306663">
      <w:pPr>
        <w:pStyle w:val="Heading1"/>
        <w:rPr>
          <w:rFonts w:eastAsia="Yu Gothic Light" w:cs="Times New Roman"/>
          <w:color w:val="373D41"/>
        </w:rPr>
      </w:pPr>
      <w:bookmarkStart w:id="912" w:name="_Toc84593965"/>
      <w:bookmarkStart w:id="913" w:name="_Toc85451840"/>
      <w:bookmarkStart w:id="914" w:name="_Toc85526796"/>
      <w:bookmarkStart w:id="915" w:name="_Toc85787211"/>
      <w:bookmarkStart w:id="916" w:name="_Toc1797445815"/>
      <w:bookmarkStart w:id="917" w:name="_Toc117697232"/>
      <w:bookmarkStart w:id="918" w:name="_Toc147757379"/>
      <w:bookmarkStart w:id="919" w:name="_Toc148087008"/>
      <w:r w:rsidRPr="00EA5DF0">
        <w:rPr>
          <w:color w:val="373D41"/>
        </w:rPr>
        <w:t>Appendix C: Complaints data tables</w:t>
      </w:r>
      <w:bookmarkEnd w:id="912"/>
      <w:bookmarkEnd w:id="913"/>
      <w:bookmarkEnd w:id="914"/>
      <w:bookmarkEnd w:id="915"/>
      <w:bookmarkEnd w:id="916"/>
      <w:bookmarkEnd w:id="917"/>
      <w:bookmarkEnd w:id="918"/>
      <w:bookmarkEnd w:id="919"/>
    </w:p>
    <w:p w14:paraId="5E168B8E" w14:textId="45DAD8AD" w:rsidR="00030621" w:rsidRDefault="00030621" w:rsidP="00155D28">
      <w:r>
        <w:t xml:space="preserve">Refer to section </w:t>
      </w:r>
      <w:r>
        <w:rPr>
          <w:i/>
        </w:rPr>
        <w:t>Human rights complaints snapshot</w:t>
      </w:r>
      <w:r>
        <w:t xml:space="preserve"> for explanations of terms such as ‘accepted’, ‘resolved’ and ‘finalised.’ </w:t>
      </w:r>
    </w:p>
    <w:p w14:paraId="745C88C9" w14:textId="6147B551" w:rsidR="00155D28" w:rsidRDefault="00155D28" w:rsidP="00155D28">
      <w:pPr>
        <w:pStyle w:val="Caption"/>
      </w:pPr>
      <w:r>
        <w:t xml:space="preserve">Table </w:t>
      </w:r>
      <w:r w:rsidR="001C6894">
        <w:t>9</w:t>
      </w:r>
      <w:r>
        <w:t xml:space="preserve">: Outcome of finalised complaints – inclusive of piggy-back complaints and human rights only complaints, </w:t>
      </w:r>
      <w:r w:rsidR="007D27F7">
        <w:t>2022-23</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6584"/>
        <w:gridCol w:w="2442"/>
      </w:tblGrid>
      <w:tr w:rsidR="00673307" w:rsidRPr="00673307" w14:paraId="585E02EA" w14:textId="77777777" w:rsidTr="007450C5">
        <w:tc>
          <w:tcPr>
            <w:tcW w:w="6584" w:type="dxa"/>
          </w:tcPr>
          <w:p w14:paraId="1CF8820E" w14:textId="77777777" w:rsidR="00155D28" w:rsidRPr="00EA5DF0" w:rsidRDefault="00155D28" w:rsidP="00155D28">
            <w:pPr>
              <w:pStyle w:val="Tableheading"/>
              <w:rPr>
                <w:color w:val="373D41"/>
              </w:rPr>
            </w:pPr>
            <w:r w:rsidRPr="00EA5DF0">
              <w:rPr>
                <w:color w:val="373D41"/>
              </w:rPr>
              <w:t>Outcome of finalised complaints – all (piggy-back complaints and human rights only)</w:t>
            </w:r>
          </w:p>
        </w:tc>
        <w:tc>
          <w:tcPr>
            <w:tcW w:w="2442" w:type="dxa"/>
          </w:tcPr>
          <w:p w14:paraId="04A21075" w14:textId="77777777" w:rsidR="00155D28" w:rsidRPr="00EA5DF0" w:rsidRDefault="00155D28" w:rsidP="00155D28">
            <w:pPr>
              <w:pStyle w:val="Tableheading"/>
              <w:rPr>
                <w:color w:val="373D41"/>
              </w:rPr>
            </w:pPr>
            <w:r w:rsidRPr="00EA5DF0">
              <w:rPr>
                <w:color w:val="373D41"/>
              </w:rPr>
              <w:t>No. finalised</w:t>
            </w:r>
          </w:p>
        </w:tc>
      </w:tr>
      <w:tr w:rsidR="00155D28" w:rsidRPr="00E24F78" w14:paraId="1E2EA6F8" w14:textId="77777777" w:rsidTr="007450C5">
        <w:tc>
          <w:tcPr>
            <w:tcW w:w="6584" w:type="dxa"/>
          </w:tcPr>
          <w:p w14:paraId="29A29D81" w14:textId="77777777" w:rsidR="00155D28" w:rsidRPr="00E24F78" w:rsidRDefault="00155D28" w:rsidP="00155D28">
            <w:pPr>
              <w:pStyle w:val="Tabletext"/>
            </w:pPr>
            <w:r w:rsidRPr="00E24F78">
              <w:rPr>
                <w:lang w:val="en-GB"/>
              </w:rPr>
              <w:t>Information provided indicates not covered by the HR Act</w:t>
            </w:r>
          </w:p>
        </w:tc>
        <w:tc>
          <w:tcPr>
            <w:tcW w:w="2442" w:type="dxa"/>
          </w:tcPr>
          <w:p w14:paraId="5E81372D" w14:textId="58565784" w:rsidR="00155D28" w:rsidRPr="00E24F78" w:rsidRDefault="007450C5" w:rsidP="00155D28">
            <w:pPr>
              <w:pStyle w:val="Tabletext"/>
            </w:pPr>
            <w:r>
              <w:t>2</w:t>
            </w:r>
            <w:r w:rsidR="00C477C1">
              <w:t>61</w:t>
            </w:r>
          </w:p>
        </w:tc>
      </w:tr>
      <w:tr w:rsidR="00155D28" w:rsidRPr="00E24F78" w14:paraId="47565125" w14:textId="77777777" w:rsidTr="007450C5">
        <w:tc>
          <w:tcPr>
            <w:tcW w:w="6584" w:type="dxa"/>
          </w:tcPr>
          <w:p w14:paraId="7EC847F7" w14:textId="77777777" w:rsidR="00155D28" w:rsidRPr="00E24F78" w:rsidRDefault="00155D28" w:rsidP="00155D28">
            <w:pPr>
              <w:pStyle w:val="Tabletext"/>
            </w:pPr>
            <w:r w:rsidRPr="00E24F78">
              <w:rPr>
                <w:lang w:val="en-GB"/>
              </w:rPr>
              <w:t>Prior internal complaint requirements not met</w:t>
            </w:r>
          </w:p>
        </w:tc>
        <w:tc>
          <w:tcPr>
            <w:tcW w:w="2442" w:type="dxa"/>
          </w:tcPr>
          <w:p w14:paraId="647DC0B2" w14:textId="4FE89551" w:rsidR="00155D28" w:rsidRPr="00E24F78" w:rsidRDefault="00C477C1" w:rsidP="00155D28">
            <w:pPr>
              <w:pStyle w:val="Tabletext"/>
            </w:pPr>
            <w:r>
              <w:t>3</w:t>
            </w:r>
            <w:r w:rsidR="00551182">
              <w:t>4</w:t>
            </w:r>
          </w:p>
        </w:tc>
      </w:tr>
      <w:tr w:rsidR="00155D28" w:rsidRPr="00E24F78" w14:paraId="1E98E0EA" w14:textId="77777777" w:rsidTr="007450C5">
        <w:tc>
          <w:tcPr>
            <w:tcW w:w="6584" w:type="dxa"/>
          </w:tcPr>
          <w:p w14:paraId="5573C22B" w14:textId="77777777" w:rsidR="00155D28" w:rsidRPr="00E24F78" w:rsidRDefault="00155D28" w:rsidP="00155D28">
            <w:pPr>
              <w:pStyle w:val="Tabletext"/>
            </w:pPr>
            <w:r>
              <w:rPr>
                <w:lang w:val="en-GB"/>
              </w:rPr>
              <w:t>Accepted and r</w:t>
            </w:r>
            <w:r w:rsidRPr="00E24F78">
              <w:rPr>
                <w:lang w:val="en-GB"/>
              </w:rPr>
              <w:t>esolved</w:t>
            </w:r>
          </w:p>
        </w:tc>
        <w:tc>
          <w:tcPr>
            <w:tcW w:w="2442" w:type="dxa"/>
          </w:tcPr>
          <w:p w14:paraId="54ECE1A2" w14:textId="69BB458B" w:rsidR="00155D28" w:rsidRPr="00E24F78" w:rsidRDefault="00C477C1" w:rsidP="00155D28">
            <w:pPr>
              <w:pStyle w:val="Tabletext"/>
            </w:pPr>
            <w:r>
              <w:t>57</w:t>
            </w:r>
          </w:p>
        </w:tc>
      </w:tr>
      <w:tr w:rsidR="00155D28" w:rsidRPr="00E24F78" w14:paraId="6F1050C6" w14:textId="77777777" w:rsidTr="007450C5">
        <w:tc>
          <w:tcPr>
            <w:tcW w:w="6584" w:type="dxa"/>
          </w:tcPr>
          <w:p w14:paraId="69F93B69" w14:textId="77777777" w:rsidR="00155D28" w:rsidRPr="00E24F78" w:rsidRDefault="00155D28" w:rsidP="00155D28">
            <w:pPr>
              <w:pStyle w:val="Tabletext"/>
            </w:pPr>
            <w:r w:rsidRPr="00E24F78">
              <w:rPr>
                <w:lang w:val="en-GB"/>
              </w:rPr>
              <w:t>Withdrawn or lost contact</w:t>
            </w:r>
          </w:p>
        </w:tc>
        <w:tc>
          <w:tcPr>
            <w:tcW w:w="2442" w:type="dxa"/>
          </w:tcPr>
          <w:p w14:paraId="19691326" w14:textId="537D5FA0" w:rsidR="00155D28" w:rsidRPr="00E24F78" w:rsidRDefault="00AB14C1" w:rsidP="00155D28">
            <w:pPr>
              <w:pStyle w:val="Tabletext"/>
            </w:pPr>
            <w:r>
              <w:t>54</w:t>
            </w:r>
          </w:p>
        </w:tc>
      </w:tr>
      <w:tr w:rsidR="00155D28" w:rsidRPr="00E24F78" w14:paraId="425784EA" w14:textId="77777777" w:rsidTr="007450C5">
        <w:tc>
          <w:tcPr>
            <w:tcW w:w="6584" w:type="dxa"/>
          </w:tcPr>
          <w:p w14:paraId="5FF7B011" w14:textId="34890DEF" w:rsidR="00155D28" w:rsidRPr="00E24F78" w:rsidRDefault="00155D28" w:rsidP="00155D28">
            <w:pPr>
              <w:pStyle w:val="Tabletext"/>
            </w:pPr>
            <w:proofErr w:type="spellStart"/>
            <w:r w:rsidRPr="00E24F78">
              <w:rPr>
                <w:lang w:val="en-GB"/>
              </w:rPr>
              <w:t>Unconciliable</w:t>
            </w:r>
            <w:proofErr w:type="spellEnd"/>
            <w:r w:rsidRPr="00E24F78">
              <w:rPr>
                <w:lang w:val="en-GB"/>
              </w:rPr>
              <w:t xml:space="preserve"> piggy-back complaint: referred to Tribunal</w:t>
            </w:r>
            <w:r w:rsidR="00A67FB5">
              <w:rPr>
                <w:lang w:val="en-GB"/>
              </w:rPr>
              <w:t xml:space="preserve"> </w:t>
            </w:r>
          </w:p>
        </w:tc>
        <w:tc>
          <w:tcPr>
            <w:tcW w:w="2442" w:type="dxa"/>
          </w:tcPr>
          <w:p w14:paraId="3C2A6AFF" w14:textId="53B7DD1F" w:rsidR="00155D28" w:rsidRPr="00E24F78" w:rsidRDefault="005574ED" w:rsidP="00155D28">
            <w:pPr>
              <w:pStyle w:val="Tabletext"/>
            </w:pPr>
            <w:r>
              <w:t>73</w:t>
            </w:r>
          </w:p>
        </w:tc>
      </w:tr>
      <w:tr w:rsidR="00155D28" w:rsidRPr="00E24F78" w14:paraId="29EBB349" w14:textId="77777777" w:rsidTr="007450C5">
        <w:tc>
          <w:tcPr>
            <w:tcW w:w="6584" w:type="dxa"/>
          </w:tcPr>
          <w:p w14:paraId="3292DB67" w14:textId="4041D9ED" w:rsidR="00155D28" w:rsidRPr="00E24F78" w:rsidRDefault="00155D28" w:rsidP="00155D28">
            <w:pPr>
              <w:pStyle w:val="Tabletext"/>
            </w:pPr>
            <w:proofErr w:type="spellStart"/>
            <w:r w:rsidRPr="00E24F78">
              <w:rPr>
                <w:lang w:val="en-GB"/>
              </w:rPr>
              <w:t>Unconciliable</w:t>
            </w:r>
            <w:proofErr w:type="spellEnd"/>
            <w:r w:rsidRPr="00E24F78">
              <w:rPr>
                <w:lang w:val="en-GB"/>
              </w:rPr>
              <w:t xml:space="preserve"> piggy-back complaint: no </w:t>
            </w:r>
            <w:r w:rsidR="001C5023">
              <w:rPr>
                <w:lang w:val="en-GB"/>
              </w:rPr>
              <w:t xml:space="preserve">Tribunal </w:t>
            </w:r>
            <w:r w:rsidRPr="00E24F78">
              <w:rPr>
                <w:lang w:val="en-GB"/>
              </w:rPr>
              <w:t xml:space="preserve">referral </w:t>
            </w:r>
          </w:p>
        </w:tc>
        <w:tc>
          <w:tcPr>
            <w:tcW w:w="2442" w:type="dxa"/>
          </w:tcPr>
          <w:p w14:paraId="46F7C274" w14:textId="2B54D421" w:rsidR="00155D28" w:rsidRPr="00E24F78" w:rsidRDefault="001C5023" w:rsidP="00155D28">
            <w:pPr>
              <w:pStyle w:val="Tabletext"/>
            </w:pPr>
            <w:r>
              <w:t>35</w:t>
            </w:r>
          </w:p>
        </w:tc>
      </w:tr>
      <w:tr w:rsidR="00155D28" w:rsidRPr="00E24F78" w14:paraId="19199A35" w14:textId="77777777" w:rsidTr="007450C5">
        <w:tc>
          <w:tcPr>
            <w:tcW w:w="6584" w:type="dxa"/>
          </w:tcPr>
          <w:p w14:paraId="5249B483" w14:textId="0462621D" w:rsidR="00155D28" w:rsidRPr="00E24F78" w:rsidRDefault="00155D28" w:rsidP="00155D28">
            <w:pPr>
              <w:pStyle w:val="Tabletext"/>
            </w:pPr>
            <w:proofErr w:type="spellStart"/>
            <w:r w:rsidRPr="00E24F78">
              <w:rPr>
                <w:lang w:val="en-GB"/>
              </w:rPr>
              <w:t>Unconciliable</w:t>
            </w:r>
            <w:proofErr w:type="spellEnd"/>
            <w:r w:rsidRPr="00E24F78">
              <w:rPr>
                <w:lang w:val="en-GB"/>
              </w:rPr>
              <w:t xml:space="preserve"> human rights only complaint</w:t>
            </w:r>
          </w:p>
        </w:tc>
        <w:tc>
          <w:tcPr>
            <w:tcW w:w="2442" w:type="dxa"/>
          </w:tcPr>
          <w:p w14:paraId="709ED9E2" w14:textId="57C48261" w:rsidR="00155D28" w:rsidRPr="00E24F78" w:rsidRDefault="00E8324D" w:rsidP="00155D28">
            <w:pPr>
              <w:pStyle w:val="Tabletext"/>
            </w:pPr>
            <w:r>
              <w:t>2</w:t>
            </w:r>
            <w:r w:rsidR="001A5DE5">
              <w:t>7</w:t>
            </w:r>
          </w:p>
        </w:tc>
      </w:tr>
      <w:tr w:rsidR="00155D28" w:rsidRPr="00E24F78" w14:paraId="082FB833" w14:textId="77777777" w:rsidTr="007450C5">
        <w:tc>
          <w:tcPr>
            <w:tcW w:w="6584" w:type="dxa"/>
          </w:tcPr>
          <w:p w14:paraId="063D9456" w14:textId="77777777" w:rsidR="00155D28" w:rsidRPr="00E24F78" w:rsidRDefault="00155D28" w:rsidP="00155D28">
            <w:pPr>
              <w:pStyle w:val="Tabletext"/>
              <w:rPr>
                <w:highlight w:val="yellow"/>
              </w:rPr>
            </w:pPr>
            <w:r w:rsidRPr="00E24F78">
              <w:rPr>
                <w:lang w:val="en-GB"/>
              </w:rPr>
              <w:t>Has been or could be dealt with better elsewhere</w:t>
            </w:r>
          </w:p>
        </w:tc>
        <w:tc>
          <w:tcPr>
            <w:tcW w:w="2442" w:type="dxa"/>
          </w:tcPr>
          <w:p w14:paraId="037059BF" w14:textId="05941C09" w:rsidR="00155D28" w:rsidRPr="00E24F78" w:rsidRDefault="001A5DE5" w:rsidP="00155D28">
            <w:pPr>
              <w:pStyle w:val="Tabletext"/>
            </w:pPr>
            <w:r>
              <w:t>15</w:t>
            </w:r>
          </w:p>
        </w:tc>
      </w:tr>
      <w:tr w:rsidR="00155D28" w:rsidRPr="00E24F78" w14:paraId="4063771F" w14:textId="77777777" w:rsidTr="007450C5">
        <w:tc>
          <w:tcPr>
            <w:tcW w:w="6584" w:type="dxa"/>
          </w:tcPr>
          <w:p w14:paraId="29BA3EC4" w14:textId="77777777" w:rsidR="00155D28" w:rsidRPr="00E24F78" w:rsidRDefault="00155D28" w:rsidP="00155D28">
            <w:pPr>
              <w:pStyle w:val="Tabletext"/>
            </w:pPr>
            <w:r w:rsidRPr="00E24F78">
              <w:rPr>
                <w:lang w:val="en-GB"/>
              </w:rPr>
              <w:t>Rejected - lacked substance</w:t>
            </w:r>
          </w:p>
        </w:tc>
        <w:tc>
          <w:tcPr>
            <w:tcW w:w="2442" w:type="dxa"/>
          </w:tcPr>
          <w:p w14:paraId="6906AE8E" w14:textId="6433462B" w:rsidR="00155D28" w:rsidRPr="00E24F78" w:rsidRDefault="001A5DE5" w:rsidP="00155D28">
            <w:pPr>
              <w:pStyle w:val="Tabletext"/>
            </w:pPr>
            <w:r>
              <w:t>1</w:t>
            </w:r>
          </w:p>
        </w:tc>
      </w:tr>
      <w:tr w:rsidR="00155D28" w:rsidRPr="00E24F78" w14:paraId="525A9E80" w14:textId="77777777" w:rsidTr="007450C5">
        <w:tc>
          <w:tcPr>
            <w:tcW w:w="6584" w:type="dxa"/>
          </w:tcPr>
          <w:p w14:paraId="42DDAB91" w14:textId="77777777" w:rsidR="00155D28" w:rsidRPr="00E24F78" w:rsidRDefault="00155D28" w:rsidP="00155D28">
            <w:pPr>
              <w:pStyle w:val="Tabletext"/>
            </w:pPr>
            <w:proofErr w:type="spellStart"/>
            <w:r w:rsidRPr="00E24F78">
              <w:rPr>
                <w:lang w:val="en-GB"/>
              </w:rPr>
              <w:t>Unconciliable</w:t>
            </w:r>
            <w:proofErr w:type="spellEnd"/>
            <w:r w:rsidRPr="00E24F78">
              <w:rPr>
                <w:lang w:val="en-GB"/>
              </w:rPr>
              <w:t xml:space="preserve"> human rights only complaint: report with recommendations published</w:t>
            </w:r>
          </w:p>
        </w:tc>
        <w:tc>
          <w:tcPr>
            <w:tcW w:w="2442" w:type="dxa"/>
          </w:tcPr>
          <w:p w14:paraId="4D0BA235" w14:textId="7F971E55" w:rsidR="00155D28" w:rsidRPr="00E24F78" w:rsidRDefault="001A5DE5" w:rsidP="00155D28">
            <w:pPr>
              <w:pStyle w:val="Tabletext"/>
            </w:pPr>
            <w:r>
              <w:t>4</w:t>
            </w:r>
          </w:p>
        </w:tc>
      </w:tr>
    </w:tbl>
    <w:p w14:paraId="7C7A96B0" w14:textId="77777777" w:rsidR="00155D28" w:rsidRDefault="00155D28" w:rsidP="00155D28"/>
    <w:p w14:paraId="05F3D65A" w14:textId="0656607D" w:rsidR="00155D28" w:rsidRDefault="00155D28" w:rsidP="00155D28">
      <w:pPr>
        <w:pStyle w:val="Caption"/>
      </w:pPr>
      <w:r>
        <w:t xml:space="preserve">Table </w:t>
      </w:r>
      <w:r w:rsidR="001C6894">
        <w:t>10</w:t>
      </w:r>
      <w:r>
        <w:t xml:space="preserve">: Human rights identified in all finalised human rights complaints – inclusive of piggy-back complaints and human rights only complaints, </w:t>
      </w:r>
      <w:r w:rsidR="007D27F7">
        <w:t>2022-23</w:t>
      </w:r>
    </w:p>
    <w:tbl>
      <w:tblPr>
        <w:tblW w:w="9493" w:type="dxa"/>
        <w:tblLook w:val="04A0" w:firstRow="1" w:lastRow="0" w:firstColumn="1" w:lastColumn="0" w:noHBand="0" w:noVBand="1"/>
      </w:tblPr>
      <w:tblGrid>
        <w:gridCol w:w="9493"/>
      </w:tblGrid>
      <w:tr w:rsidR="002238F4" w:rsidRPr="0037049D" w14:paraId="32C0D113" w14:textId="77777777" w:rsidTr="00BD1C3C">
        <w:tc>
          <w:tcPr>
            <w:tcW w:w="9493" w:type="dxa"/>
          </w:tcPr>
          <w:tbl>
            <w:tblPr>
              <w:tblW w:w="8967" w:type="dxa"/>
              <w:tblBorders>
                <w:top w:val="single" w:sz="4" w:space="0" w:color="3B3838" w:themeColor="background2" w:themeShade="40"/>
                <w:bottom w:val="single" w:sz="4" w:space="0" w:color="3B3838" w:themeColor="background2" w:themeShade="40"/>
                <w:insideH w:val="single" w:sz="4" w:space="0" w:color="3B3838" w:themeColor="background2" w:themeShade="40"/>
              </w:tblBorders>
              <w:tblLook w:val="04A0" w:firstRow="1" w:lastRow="0" w:firstColumn="1" w:lastColumn="0" w:noHBand="0" w:noVBand="1"/>
            </w:tblPr>
            <w:tblGrid>
              <w:gridCol w:w="4715"/>
              <w:gridCol w:w="2126"/>
              <w:gridCol w:w="2126"/>
            </w:tblGrid>
            <w:tr w:rsidR="00B73ADE" w:rsidRPr="00BD1C3C" w14:paraId="19B08048" w14:textId="77777777" w:rsidTr="00BD1C3C">
              <w:trPr>
                <w:trHeight w:val="285"/>
              </w:trPr>
              <w:tc>
                <w:tcPr>
                  <w:tcW w:w="4715" w:type="dxa"/>
                  <w:shd w:val="clear" w:color="auto" w:fill="auto"/>
                  <w:noWrap/>
                  <w:vAlign w:val="bottom"/>
                </w:tcPr>
                <w:p w14:paraId="0B9B28CB" w14:textId="489BDE12" w:rsidR="00B73ADE" w:rsidRPr="00BD1C3C" w:rsidRDefault="00BD1C3C" w:rsidP="00BD1C3C">
                  <w:pPr>
                    <w:pStyle w:val="Tableheading"/>
                    <w:rPr>
                      <w:color w:val="3B3838" w:themeColor="background2" w:themeShade="40"/>
                      <w:lang w:eastAsia="zh-CN" w:bidi="th-TH"/>
                    </w:rPr>
                  </w:pPr>
                  <w:r w:rsidRPr="00BD1C3C">
                    <w:rPr>
                      <w:color w:val="3B3838" w:themeColor="background2" w:themeShade="40"/>
                      <w:lang w:eastAsia="zh-CN" w:bidi="th-TH"/>
                    </w:rPr>
                    <w:t>Relevant human right</w:t>
                  </w:r>
                </w:p>
              </w:tc>
              <w:tc>
                <w:tcPr>
                  <w:tcW w:w="2126" w:type="dxa"/>
                  <w:shd w:val="clear" w:color="auto" w:fill="auto"/>
                  <w:noWrap/>
                  <w:vAlign w:val="bottom"/>
                </w:tcPr>
                <w:p w14:paraId="5A789D2E" w14:textId="0B3B0EF9" w:rsidR="00B73ADE" w:rsidRPr="00BD1C3C" w:rsidRDefault="00BD1C3C" w:rsidP="00BD1C3C">
                  <w:pPr>
                    <w:pStyle w:val="Tableheading"/>
                    <w:rPr>
                      <w:color w:val="3B3838" w:themeColor="background2" w:themeShade="40"/>
                      <w:lang w:eastAsia="zh-CN" w:bidi="th-TH"/>
                    </w:rPr>
                  </w:pPr>
                  <w:r w:rsidRPr="00BD1C3C">
                    <w:rPr>
                      <w:color w:val="3B3838" w:themeColor="background2" w:themeShade="40"/>
                      <w:lang w:eastAsia="zh-CN" w:bidi="th-TH"/>
                    </w:rPr>
                    <w:t>Complaints accepted and finalised</w:t>
                  </w:r>
                </w:p>
              </w:tc>
              <w:tc>
                <w:tcPr>
                  <w:tcW w:w="2126" w:type="dxa"/>
                  <w:shd w:val="clear" w:color="auto" w:fill="auto"/>
                  <w:noWrap/>
                  <w:vAlign w:val="bottom"/>
                </w:tcPr>
                <w:p w14:paraId="6032D8B5" w14:textId="3BEDE343" w:rsidR="00B73ADE" w:rsidRPr="00BD1C3C" w:rsidRDefault="00BD1C3C" w:rsidP="00BD1C3C">
                  <w:pPr>
                    <w:pStyle w:val="Tableheading"/>
                    <w:rPr>
                      <w:color w:val="3B3838" w:themeColor="background2" w:themeShade="40"/>
                      <w:lang w:eastAsia="zh-CN" w:bidi="th-TH"/>
                    </w:rPr>
                  </w:pPr>
                  <w:r w:rsidRPr="00BD1C3C">
                    <w:rPr>
                      <w:color w:val="3B3838" w:themeColor="background2" w:themeShade="40"/>
                      <w:lang w:eastAsia="zh-CN" w:bidi="th-TH"/>
                    </w:rPr>
                    <w:t xml:space="preserve">Complaints not accepted and finalised </w:t>
                  </w:r>
                </w:p>
              </w:tc>
            </w:tr>
            <w:tr w:rsidR="002238F4" w:rsidRPr="005C43B9" w14:paraId="52C6D9F7" w14:textId="77777777" w:rsidTr="00BD1C3C">
              <w:trPr>
                <w:trHeight w:val="285"/>
              </w:trPr>
              <w:tc>
                <w:tcPr>
                  <w:tcW w:w="4715" w:type="dxa"/>
                  <w:shd w:val="clear" w:color="auto" w:fill="auto"/>
                  <w:noWrap/>
                  <w:vAlign w:val="bottom"/>
                  <w:hideMark/>
                </w:tcPr>
                <w:p w14:paraId="079DDA6C" w14:textId="77777777" w:rsidR="002238F4" w:rsidRPr="005C43B9" w:rsidRDefault="002238F4" w:rsidP="005502A5">
                  <w:pPr>
                    <w:pStyle w:val="Tabletext"/>
                    <w:rPr>
                      <w:lang w:eastAsia="zh-CN" w:bidi="th-TH"/>
                    </w:rPr>
                  </w:pPr>
                  <w:r w:rsidRPr="005C43B9">
                    <w:rPr>
                      <w:lang w:eastAsia="zh-CN" w:bidi="th-TH"/>
                    </w:rPr>
                    <w:t>Privacy and reputation</w:t>
                  </w:r>
                </w:p>
              </w:tc>
              <w:tc>
                <w:tcPr>
                  <w:tcW w:w="2126" w:type="dxa"/>
                  <w:shd w:val="clear" w:color="auto" w:fill="auto"/>
                  <w:noWrap/>
                  <w:vAlign w:val="bottom"/>
                  <w:hideMark/>
                </w:tcPr>
                <w:p w14:paraId="4DD11CCD" w14:textId="77777777" w:rsidR="002238F4" w:rsidRPr="005C43B9" w:rsidRDefault="002238F4" w:rsidP="005502A5">
                  <w:pPr>
                    <w:pStyle w:val="Tabletext"/>
                    <w:rPr>
                      <w:lang w:eastAsia="zh-CN" w:bidi="th-TH"/>
                    </w:rPr>
                  </w:pPr>
                  <w:r w:rsidRPr="005C43B9">
                    <w:rPr>
                      <w:lang w:eastAsia="zh-CN" w:bidi="th-TH"/>
                    </w:rPr>
                    <w:t>106</w:t>
                  </w:r>
                </w:p>
              </w:tc>
              <w:tc>
                <w:tcPr>
                  <w:tcW w:w="2126" w:type="dxa"/>
                  <w:shd w:val="clear" w:color="auto" w:fill="auto"/>
                  <w:noWrap/>
                  <w:vAlign w:val="bottom"/>
                  <w:hideMark/>
                </w:tcPr>
                <w:p w14:paraId="6A4ACDD2" w14:textId="77777777" w:rsidR="002238F4" w:rsidRPr="005C43B9" w:rsidRDefault="002238F4" w:rsidP="005502A5">
                  <w:pPr>
                    <w:pStyle w:val="Tabletext"/>
                    <w:rPr>
                      <w:lang w:eastAsia="zh-CN" w:bidi="th-TH"/>
                    </w:rPr>
                  </w:pPr>
                  <w:r w:rsidRPr="005C43B9">
                    <w:rPr>
                      <w:lang w:eastAsia="zh-CN" w:bidi="th-TH"/>
                    </w:rPr>
                    <w:t>213</w:t>
                  </w:r>
                </w:p>
              </w:tc>
            </w:tr>
            <w:tr w:rsidR="002238F4" w:rsidRPr="005C43B9" w14:paraId="5D60FEB3" w14:textId="77777777" w:rsidTr="00BD1C3C">
              <w:trPr>
                <w:trHeight w:val="285"/>
              </w:trPr>
              <w:tc>
                <w:tcPr>
                  <w:tcW w:w="4715" w:type="dxa"/>
                  <w:shd w:val="clear" w:color="auto" w:fill="auto"/>
                  <w:noWrap/>
                  <w:vAlign w:val="bottom"/>
                  <w:hideMark/>
                </w:tcPr>
                <w:p w14:paraId="31A4A90E" w14:textId="77777777" w:rsidR="002238F4" w:rsidRPr="005C43B9" w:rsidRDefault="002238F4" w:rsidP="005502A5">
                  <w:pPr>
                    <w:pStyle w:val="Tabletext"/>
                    <w:rPr>
                      <w:lang w:eastAsia="zh-CN" w:bidi="th-TH"/>
                    </w:rPr>
                  </w:pPr>
                  <w:r w:rsidRPr="005C43B9">
                    <w:rPr>
                      <w:lang w:eastAsia="zh-CN" w:bidi="th-TH"/>
                    </w:rPr>
                    <w:t xml:space="preserve">Torture &amp; cruel, inhuman, degrading </w:t>
                  </w:r>
                  <w:proofErr w:type="spellStart"/>
                  <w:r w:rsidRPr="005C43B9">
                    <w:rPr>
                      <w:lang w:eastAsia="zh-CN" w:bidi="th-TH"/>
                    </w:rPr>
                    <w:t>t'ment</w:t>
                  </w:r>
                  <w:proofErr w:type="spellEnd"/>
                </w:p>
              </w:tc>
              <w:tc>
                <w:tcPr>
                  <w:tcW w:w="2126" w:type="dxa"/>
                  <w:shd w:val="clear" w:color="auto" w:fill="auto"/>
                  <w:noWrap/>
                  <w:vAlign w:val="bottom"/>
                  <w:hideMark/>
                </w:tcPr>
                <w:p w14:paraId="14F64D23" w14:textId="77777777" w:rsidR="002238F4" w:rsidRPr="005C43B9" w:rsidRDefault="002238F4" w:rsidP="005502A5">
                  <w:pPr>
                    <w:pStyle w:val="Tabletext"/>
                    <w:rPr>
                      <w:lang w:eastAsia="zh-CN" w:bidi="th-TH"/>
                    </w:rPr>
                  </w:pPr>
                  <w:r w:rsidRPr="005C43B9">
                    <w:rPr>
                      <w:lang w:eastAsia="zh-CN" w:bidi="th-TH"/>
                    </w:rPr>
                    <w:t>47</w:t>
                  </w:r>
                </w:p>
              </w:tc>
              <w:tc>
                <w:tcPr>
                  <w:tcW w:w="2126" w:type="dxa"/>
                  <w:shd w:val="clear" w:color="auto" w:fill="auto"/>
                  <w:noWrap/>
                  <w:vAlign w:val="bottom"/>
                  <w:hideMark/>
                </w:tcPr>
                <w:p w14:paraId="47FA0364" w14:textId="77777777" w:rsidR="002238F4" w:rsidRPr="005C43B9" w:rsidRDefault="002238F4" w:rsidP="005502A5">
                  <w:pPr>
                    <w:pStyle w:val="Tabletext"/>
                    <w:rPr>
                      <w:lang w:eastAsia="zh-CN" w:bidi="th-TH"/>
                    </w:rPr>
                  </w:pPr>
                  <w:r w:rsidRPr="005C43B9">
                    <w:rPr>
                      <w:lang w:eastAsia="zh-CN" w:bidi="th-TH"/>
                    </w:rPr>
                    <w:t>219</w:t>
                  </w:r>
                </w:p>
              </w:tc>
            </w:tr>
            <w:tr w:rsidR="002238F4" w:rsidRPr="005C43B9" w14:paraId="2DC9F805" w14:textId="77777777" w:rsidTr="00BD1C3C">
              <w:trPr>
                <w:trHeight w:val="285"/>
              </w:trPr>
              <w:tc>
                <w:tcPr>
                  <w:tcW w:w="4715" w:type="dxa"/>
                  <w:shd w:val="clear" w:color="auto" w:fill="auto"/>
                  <w:noWrap/>
                  <w:vAlign w:val="bottom"/>
                  <w:hideMark/>
                </w:tcPr>
                <w:p w14:paraId="6D17FE07" w14:textId="77777777" w:rsidR="002238F4" w:rsidRPr="005C43B9" w:rsidRDefault="002238F4" w:rsidP="005502A5">
                  <w:pPr>
                    <w:pStyle w:val="Tabletext"/>
                    <w:rPr>
                      <w:lang w:eastAsia="zh-CN" w:bidi="th-TH"/>
                    </w:rPr>
                  </w:pPr>
                  <w:r w:rsidRPr="005C43B9">
                    <w:rPr>
                      <w:lang w:eastAsia="zh-CN" w:bidi="th-TH"/>
                    </w:rPr>
                    <w:t>Recognition and equality before the law</w:t>
                  </w:r>
                </w:p>
              </w:tc>
              <w:tc>
                <w:tcPr>
                  <w:tcW w:w="2126" w:type="dxa"/>
                  <w:shd w:val="clear" w:color="auto" w:fill="auto"/>
                  <w:noWrap/>
                  <w:vAlign w:val="bottom"/>
                  <w:hideMark/>
                </w:tcPr>
                <w:p w14:paraId="4C794D0D" w14:textId="77777777" w:rsidR="002238F4" w:rsidRPr="005C43B9" w:rsidRDefault="002238F4" w:rsidP="005502A5">
                  <w:pPr>
                    <w:pStyle w:val="Tabletext"/>
                    <w:rPr>
                      <w:lang w:eastAsia="zh-CN" w:bidi="th-TH"/>
                    </w:rPr>
                  </w:pPr>
                  <w:r w:rsidRPr="005C43B9">
                    <w:rPr>
                      <w:lang w:eastAsia="zh-CN" w:bidi="th-TH"/>
                    </w:rPr>
                    <w:t>180</w:t>
                  </w:r>
                </w:p>
              </w:tc>
              <w:tc>
                <w:tcPr>
                  <w:tcW w:w="2126" w:type="dxa"/>
                  <w:shd w:val="clear" w:color="auto" w:fill="auto"/>
                  <w:noWrap/>
                  <w:vAlign w:val="bottom"/>
                  <w:hideMark/>
                </w:tcPr>
                <w:p w14:paraId="648DC4F6" w14:textId="77777777" w:rsidR="002238F4" w:rsidRPr="005C43B9" w:rsidRDefault="002238F4" w:rsidP="005502A5">
                  <w:pPr>
                    <w:pStyle w:val="Tabletext"/>
                    <w:rPr>
                      <w:lang w:eastAsia="zh-CN" w:bidi="th-TH"/>
                    </w:rPr>
                  </w:pPr>
                  <w:r w:rsidRPr="005C43B9">
                    <w:rPr>
                      <w:lang w:eastAsia="zh-CN" w:bidi="th-TH"/>
                    </w:rPr>
                    <w:t>71</w:t>
                  </w:r>
                </w:p>
              </w:tc>
            </w:tr>
            <w:tr w:rsidR="002238F4" w:rsidRPr="005C43B9" w14:paraId="265F8411" w14:textId="77777777" w:rsidTr="00BD1C3C">
              <w:trPr>
                <w:trHeight w:val="285"/>
              </w:trPr>
              <w:tc>
                <w:tcPr>
                  <w:tcW w:w="4715" w:type="dxa"/>
                  <w:shd w:val="clear" w:color="auto" w:fill="auto"/>
                  <w:noWrap/>
                  <w:vAlign w:val="bottom"/>
                  <w:hideMark/>
                </w:tcPr>
                <w:p w14:paraId="383CABD0" w14:textId="77777777" w:rsidR="002238F4" w:rsidRPr="005C43B9" w:rsidRDefault="002238F4" w:rsidP="005502A5">
                  <w:pPr>
                    <w:pStyle w:val="Tabletext"/>
                    <w:rPr>
                      <w:lang w:eastAsia="zh-CN" w:bidi="th-TH"/>
                    </w:rPr>
                  </w:pPr>
                  <w:r w:rsidRPr="005C43B9">
                    <w:rPr>
                      <w:lang w:eastAsia="zh-CN" w:bidi="th-TH"/>
                    </w:rPr>
                    <w:t>Right to liberty and security of person</w:t>
                  </w:r>
                </w:p>
              </w:tc>
              <w:tc>
                <w:tcPr>
                  <w:tcW w:w="2126" w:type="dxa"/>
                  <w:shd w:val="clear" w:color="auto" w:fill="auto"/>
                  <w:noWrap/>
                  <w:vAlign w:val="bottom"/>
                  <w:hideMark/>
                </w:tcPr>
                <w:p w14:paraId="0A9815CB" w14:textId="77777777" w:rsidR="002238F4" w:rsidRPr="005C43B9" w:rsidRDefault="002238F4" w:rsidP="005502A5">
                  <w:pPr>
                    <w:pStyle w:val="Tabletext"/>
                    <w:rPr>
                      <w:lang w:eastAsia="zh-CN" w:bidi="th-TH"/>
                    </w:rPr>
                  </w:pPr>
                  <w:r w:rsidRPr="005C43B9">
                    <w:rPr>
                      <w:lang w:eastAsia="zh-CN" w:bidi="th-TH"/>
                    </w:rPr>
                    <w:t>8</w:t>
                  </w:r>
                </w:p>
              </w:tc>
              <w:tc>
                <w:tcPr>
                  <w:tcW w:w="2126" w:type="dxa"/>
                  <w:shd w:val="clear" w:color="auto" w:fill="auto"/>
                  <w:noWrap/>
                  <w:vAlign w:val="bottom"/>
                  <w:hideMark/>
                </w:tcPr>
                <w:p w14:paraId="0788CE50" w14:textId="77777777" w:rsidR="002238F4" w:rsidRPr="005C43B9" w:rsidRDefault="002238F4" w:rsidP="005502A5">
                  <w:pPr>
                    <w:pStyle w:val="Tabletext"/>
                    <w:rPr>
                      <w:lang w:eastAsia="zh-CN" w:bidi="th-TH"/>
                    </w:rPr>
                  </w:pPr>
                  <w:r w:rsidRPr="005C43B9">
                    <w:rPr>
                      <w:lang w:eastAsia="zh-CN" w:bidi="th-TH"/>
                    </w:rPr>
                    <w:t>204</w:t>
                  </w:r>
                </w:p>
              </w:tc>
            </w:tr>
            <w:tr w:rsidR="002238F4" w:rsidRPr="005C43B9" w14:paraId="0EF6E830" w14:textId="77777777" w:rsidTr="00BD1C3C">
              <w:trPr>
                <w:trHeight w:val="285"/>
              </w:trPr>
              <w:tc>
                <w:tcPr>
                  <w:tcW w:w="4715" w:type="dxa"/>
                  <w:shd w:val="clear" w:color="auto" w:fill="auto"/>
                  <w:noWrap/>
                  <w:vAlign w:val="bottom"/>
                  <w:hideMark/>
                </w:tcPr>
                <w:p w14:paraId="395A5213" w14:textId="77777777" w:rsidR="002238F4" w:rsidRPr="005C43B9" w:rsidRDefault="002238F4" w:rsidP="005502A5">
                  <w:pPr>
                    <w:pStyle w:val="Tabletext"/>
                    <w:rPr>
                      <w:lang w:eastAsia="zh-CN" w:bidi="th-TH"/>
                    </w:rPr>
                  </w:pPr>
                  <w:r w:rsidRPr="005C43B9">
                    <w:rPr>
                      <w:lang w:eastAsia="zh-CN" w:bidi="th-TH"/>
                    </w:rPr>
                    <w:t>Freedom of thought, conscience, religion</w:t>
                  </w:r>
                </w:p>
              </w:tc>
              <w:tc>
                <w:tcPr>
                  <w:tcW w:w="2126" w:type="dxa"/>
                  <w:shd w:val="clear" w:color="auto" w:fill="auto"/>
                  <w:noWrap/>
                  <w:vAlign w:val="bottom"/>
                  <w:hideMark/>
                </w:tcPr>
                <w:p w14:paraId="590B6AD5" w14:textId="77777777" w:rsidR="002238F4" w:rsidRPr="005C43B9" w:rsidRDefault="002238F4" w:rsidP="005502A5">
                  <w:pPr>
                    <w:pStyle w:val="Tabletext"/>
                    <w:rPr>
                      <w:lang w:eastAsia="zh-CN" w:bidi="th-TH"/>
                    </w:rPr>
                  </w:pPr>
                  <w:r w:rsidRPr="005C43B9">
                    <w:rPr>
                      <w:lang w:eastAsia="zh-CN" w:bidi="th-TH"/>
                    </w:rPr>
                    <w:t>12</w:t>
                  </w:r>
                </w:p>
              </w:tc>
              <w:tc>
                <w:tcPr>
                  <w:tcW w:w="2126" w:type="dxa"/>
                  <w:shd w:val="clear" w:color="auto" w:fill="auto"/>
                  <w:noWrap/>
                  <w:vAlign w:val="bottom"/>
                  <w:hideMark/>
                </w:tcPr>
                <w:p w14:paraId="260E559B" w14:textId="77777777" w:rsidR="002238F4" w:rsidRPr="005C43B9" w:rsidRDefault="002238F4" w:rsidP="005502A5">
                  <w:pPr>
                    <w:pStyle w:val="Tabletext"/>
                    <w:rPr>
                      <w:lang w:eastAsia="zh-CN" w:bidi="th-TH"/>
                    </w:rPr>
                  </w:pPr>
                  <w:r w:rsidRPr="005C43B9">
                    <w:rPr>
                      <w:lang w:eastAsia="zh-CN" w:bidi="th-TH"/>
                    </w:rPr>
                    <w:t>195</w:t>
                  </w:r>
                </w:p>
              </w:tc>
            </w:tr>
            <w:tr w:rsidR="002238F4" w:rsidRPr="005C43B9" w14:paraId="01A331E4" w14:textId="77777777" w:rsidTr="00BD1C3C">
              <w:trPr>
                <w:trHeight w:val="285"/>
              </w:trPr>
              <w:tc>
                <w:tcPr>
                  <w:tcW w:w="4715" w:type="dxa"/>
                  <w:shd w:val="clear" w:color="auto" w:fill="auto"/>
                  <w:noWrap/>
                  <w:vAlign w:val="bottom"/>
                  <w:hideMark/>
                </w:tcPr>
                <w:p w14:paraId="31363ADA" w14:textId="77777777" w:rsidR="002238F4" w:rsidRPr="005C43B9" w:rsidRDefault="002238F4" w:rsidP="005502A5">
                  <w:pPr>
                    <w:pStyle w:val="Tabletext"/>
                    <w:rPr>
                      <w:lang w:eastAsia="zh-CN" w:bidi="th-TH"/>
                    </w:rPr>
                  </w:pPr>
                  <w:r w:rsidRPr="005C43B9">
                    <w:rPr>
                      <w:lang w:eastAsia="zh-CN" w:bidi="th-TH"/>
                    </w:rPr>
                    <w:t>Peaceful assembly and freedom of association</w:t>
                  </w:r>
                </w:p>
              </w:tc>
              <w:tc>
                <w:tcPr>
                  <w:tcW w:w="2126" w:type="dxa"/>
                  <w:shd w:val="clear" w:color="auto" w:fill="auto"/>
                  <w:noWrap/>
                  <w:vAlign w:val="bottom"/>
                  <w:hideMark/>
                </w:tcPr>
                <w:p w14:paraId="087C86A1" w14:textId="77777777" w:rsidR="002238F4" w:rsidRPr="005C43B9" w:rsidRDefault="002238F4" w:rsidP="005502A5">
                  <w:pPr>
                    <w:pStyle w:val="Tabletext"/>
                    <w:rPr>
                      <w:lang w:eastAsia="zh-CN" w:bidi="th-TH"/>
                    </w:rPr>
                  </w:pPr>
                  <w:r w:rsidRPr="005C43B9">
                    <w:rPr>
                      <w:lang w:eastAsia="zh-CN" w:bidi="th-TH"/>
                    </w:rPr>
                    <w:t>1</w:t>
                  </w:r>
                </w:p>
              </w:tc>
              <w:tc>
                <w:tcPr>
                  <w:tcW w:w="2126" w:type="dxa"/>
                  <w:shd w:val="clear" w:color="auto" w:fill="auto"/>
                  <w:noWrap/>
                  <w:vAlign w:val="bottom"/>
                  <w:hideMark/>
                </w:tcPr>
                <w:p w14:paraId="2C458244" w14:textId="77777777" w:rsidR="002238F4" w:rsidRPr="005C43B9" w:rsidRDefault="002238F4" w:rsidP="005502A5">
                  <w:pPr>
                    <w:pStyle w:val="Tabletext"/>
                    <w:rPr>
                      <w:lang w:eastAsia="zh-CN" w:bidi="th-TH"/>
                    </w:rPr>
                  </w:pPr>
                  <w:r w:rsidRPr="005C43B9">
                    <w:rPr>
                      <w:lang w:eastAsia="zh-CN" w:bidi="th-TH"/>
                    </w:rPr>
                    <w:t>179</w:t>
                  </w:r>
                </w:p>
              </w:tc>
            </w:tr>
            <w:tr w:rsidR="002238F4" w:rsidRPr="005C43B9" w14:paraId="155C6263" w14:textId="77777777" w:rsidTr="00BD1C3C">
              <w:trPr>
                <w:trHeight w:val="285"/>
              </w:trPr>
              <w:tc>
                <w:tcPr>
                  <w:tcW w:w="4715" w:type="dxa"/>
                  <w:shd w:val="clear" w:color="auto" w:fill="auto"/>
                  <w:noWrap/>
                  <w:vAlign w:val="bottom"/>
                  <w:hideMark/>
                </w:tcPr>
                <w:p w14:paraId="6CBD9A5E" w14:textId="77777777" w:rsidR="002238F4" w:rsidRPr="005C43B9" w:rsidRDefault="002238F4" w:rsidP="005502A5">
                  <w:pPr>
                    <w:pStyle w:val="Tabletext"/>
                    <w:rPr>
                      <w:lang w:eastAsia="zh-CN" w:bidi="th-TH"/>
                    </w:rPr>
                  </w:pPr>
                  <w:r w:rsidRPr="005C43B9">
                    <w:rPr>
                      <w:lang w:eastAsia="zh-CN" w:bidi="th-TH"/>
                    </w:rPr>
                    <w:t>Humane treatment when deprived of liberty</w:t>
                  </w:r>
                </w:p>
              </w:tc>
              <w:tc>
                <w:tcPr>
                  <w:tcW w:w="2126" w:type="dxa"/>
                  <w:shd w:val="clear" w:color="auto" w:fill="auto"/>
                  <w:noWrap/>
                  <w:vAlign w:val="bottom"/>
                  <w:hideMark/>
                </w:tcPr>
                <w:p w14:paraId="40D7FE3D" w14:textId="77777777" w:rsidR="002238F4" w:rsidRPr="005C43B9" w:rsidRDefault="002238F4" w:rsidP="005502A5">
                  <w:pPr>
                    <w:pStyle w:val="Tabletext"/>
                    <w:rPr>
                      <w:lang w:eastAsia="zh-CN" w:bidi="th-TH"/>
                    </w:rPr>
                  </w:pPr>
                  <w:r w:rsidRPr="005C43B9">
                    <w:rPr>
                      <w:lang w:eastAsia="zh-CN" w:bidi="th-TH"/>
                    </w:rPr>
                    <w:t>39</w:t>
                  </w:r>
                </w:p>
              </w:tc>
              <w:tc>
                <w:tcPr>
                  <w:tcW w:w="2126" w:type="dxa"/>
                  <w:shd w:val="clear" w:color="auto" w:fill="auto"/>
                  <w:noWrap/>
                  <w:vAlign w:val="bottom"/>
                  <w:hideMark/>
                </w:tcPr>
                <w:p w14:paraId="3941335E" w14:textId="77777777" w:rsidR="002238F4" w:rsidRPr="005C43B9" w:rsidRDefault="002238F4" w:rsidP="005502A5">
                  <w:pPr>
                    <w:pStyle w:val="Tabletext"/>
                    <w:rPr>
                      <w:lang w:eastAsia="zh-CN" w:bidi="th-TH"/>
                    </w:rPr>
                  </w:pPr>
                  <w:r w:rsidRPr="005C43B9">
                    <w:rPr>
                      <w:lang w:eastAsia="zh-CN" w:bidi="th-TH"/>
                    </w:rPr>
                    <w:t>31</w:t>
                  </w:r>
                </w:p>
              </w:tc>
            </w:tr>
            <w:tr w:rsidR="002238F4" w:rsidRPr="005C43B9" w14:paraId="3C09E3C6" w14:textId="77777777" w:rsidTr="00BD1C3C">
              <w:trPr>
                <w:trHeight w:val="285"/>
              </w:trPr>
              <w:tc>
                <w:tcPr>
                  <w:tcW w:w="4715" w:type="dxa"/>
                  <w:shd w:val="clear" w:color="auto" w:fill="auto"/>
                  <w:noWrap/>
                  <w:vAlign w:val="bottom"/>
                  <w:hideMark/>
                </w:tcPr>
                <w:p w14:paraId="14371D26" w14:textId="77777777" w:rsidR="002238F4" w:rsidRPr="005C43B9" w:rsidRDefault="002238F4" w:rsidP="005502A5">
                  <w:pPr>
                    <w:pStyle w:val="Tabletext"/>
                    <w:rPr>
                      <w:lang w:eastAsia="zh-CN" w:bidi="th-TH"/>
                    </w:rPr>
                  </w:pPr>
                  <w:r w:rsidRPr="005C43B9">
                    <w:rPr>
                      <w:lang w:eastAsia="zh-CN" w:bidi="th-TH"/>
                    </w:rPr>
                    <w:t>Protection of families and children</w:t>
                  </w:r>
                </w:p>
              </w:tc>
              <w:tc>
                <w:tcPr>
                  <w:tcW w:w="2126" w:type="dxa"/>
                  <w:shd w:val="clear" w:color="auto" w:fill="auto"/>
                  <w:noWrap/>
                  <w:vAlign w:val="bottom"/>
                  <w:hideMark/>
                </w:tcPr>
                <w:p w14:paraId="21660297" w14:textId="77777777" w:rsidR="002238F4" w:rsidRPr="005C43B9" w:rsidRDefault="002238F4" w:rsidP="005502A5">
                  <w:pPr>
                    <w:pStyle w:val="Tabletext"/>
                    <w:rPr>
                      <w:lang w:eastAsia="zh-CN" w:bidi="th-TH"/>
                    </w:rPr>
                  </w:pPr>
                  <w:r w:rsidRPr="005C43B9">
                    <w:rPr>
                      <w:lang w:eastAsia="zh-CN" w:bidi="th-TH"/>
                    </w:rPr>
                    <w:t>34</w:t>
                  </w:r>
                </w:p>
              </w:tc>
              <w:tc>
                <w:tcPr>
                  <w:tcW w:w="2126" w:type="dxa"/>
                  <w:shd w:val="clear" w:color="auto" w:fill="auto"/>
                  <w:noWrap/>
                  <w:vAlign w:val="bottom"/>
                  <w:hideMark/>
                </w:tcPr>
                <w:p w14:paraId="617E0EC7" w14:textId="77777777" w:rsidR="002238F4" w:rsidRPr="005C43B9" w:rsidRDefault="002238F4" w:rsidP="005502A5">
                  <w:pPr>
                    <w:pStyle w:val="Tabletext"/>
                    <w:rPr>
                      <w:lang w:eastAsia="zh-CN" w:bidi="th-TH"/>
                    </w:rPr>
                  </w:pPr>
                  <w:r w:rsidRPr="005C43B9">
                    <w:rPr>
                      <w:lang w:eastAsia="zh-CN" w:bidi="th-TH"/>
                    </w:rPr>
                    <w:t>30</w:t>
                  </w:r>
                </w:p>
              </w:tc>
            </w:tr>
            <w:tr w:rsidR="002238F4" w:rsidRPr="005C43B9" w14:paraId="36C13723" w14:textId="77777777" w:rsidTr="00BD1C3C">
              <w:trPr>
                <w:trHeight w:val="285"/>
              </w:trPr>
              <w:tc>
                <w:tcPr>
                  <w:tcW w:w="4715" w:type="dxa"/>
                  <w:shd w:val="clear" w:color="auto" w:fill="auto"/>
                  <w:noWrap/>
                  <w:vAlign w:val="bottom"/>
                  <w:hideMark/>
                </w:tcPr>
                <w:p w14:paraId="627409F4" w14:textId="77777777" w:rsidR="002238F4" w:rsidRPr="005C43B9" w:rsidRDefault="002238F4" w:rsidP="005502A5">
                  <w:pPr>
                    <w:pStyle w:val="Tabletext"/>
                    <w:rPr>
                      <w:lang w:eastAsia="zh-CN" w:bidi="th-TH"/>
                    </w:rPr>
                  </w:pPr>
                  <w:r w:rsidRPr="005C43B9">
                    <w:rPr>
                      <w:lang w:eastAsia="zh-CN" w:bidi="th-TH"/>
                    </w:rPr>
                    <w:t>Right to health services</w:t>
                  </w:r>
                </w:p>
              </w:tc>
              <w:tc>
                <w:tcPr>
                  <w:tcW w:w="2126" w:type="dxa"/>
                  <w:shd w:val="clear" w:color="auto" w:fill="auto"/>
                  <w:noWrap/>
                  <w:vAlign w:val="bottom"/>
                  <w:hideMark/>
                </w:tcPr>
                <w:p w14:paraId="18AECC7B" w14:textId="77777777" w:rsidR="002238F4" w:rsidRPr="005C43B9" w:rsidRDefault="002238F4" w:rsidP="005502A5">
                  <w:pPr>
                    <w:pStyle w:val="Tabletext"/>
                    <w:rPr>
                      <w:lang w:eastAsia="zh-CN" w:bidi="th-TH"/>
                    </w:rPr>
                  </w:pPr>
                  <w:r w:rsidRPr="005C43B9">
                    <w:rPr>
                      <w:lang w:eastAsia="zh-CN" w:bidi="th-TH"/>
                    </w:rPr>
                    <w:t>26</w:t>
                  </w:r>
                </w:p>
              </w:tc>
              <w:tc>
                <w:tcPr>
                  <w:tcW w:w="2126" w:type="dxa"/>
                  <w:shd w:val="clear" w:color="auto" w:fill="auto"/>
                  <w:noWrap/>
                  <w:vAlign w:val="bottom"/>
                  <w:hideMark/>
                </w:tcPr>
                <w:p w14:paraId="04E7414F" w14:textId="77777777" w:rsidR="002238F4" w:rsidRPr="005C43B9" w:rsidRDefault="002238F4" w:rsidP="005502A5">
                  <w:pPr>
                    <w:pStyle w:val="Tabletext"/>
                    <w:rPr>
                      <w:lang w:eastAsia="zh-CN" w:bidi="th-TH"/>
                    </w:rPr>
                  </w:pPr>
                  <w:r w:rsidRPr="005C43B9">
                    <w:rPr>
                      <w:lang w:eastAsia="zh-CN" w:bidi="th-TH"/>
                    </w:rPr>
                    <w:t>32</w:t>
                  </w:r>
                </w:p>
              </w:tc>
            </w:tr>
            <w:tr w:rsidR="002238F4" w:rsidRPr="005C43B9" w14:paraId="42BB9708" w14:textId="77777777" w:rsidTr="00BD1C3C">
              <w:trPr>
                <w:trHeight w:val="285"/>
              </w:trPr>
              <w:tc>
                <w:tcPr>
                  <w:tcW w:w="4715" w:type="dxa"/>
                  <w:shd w:val="clear" w:color="auto" w:fill="auto"/>
                  <w:noWrap/>
                  <w:vAlign w:val="bottom"/>
                  <w:hideMark/>
                </w:tcPr>
                <w:p w14:paraId="2D6CFF79" w14:textId="77777777" w:rsidR="002238F4" w:rsidRPr="005C43B9" w:rsidRDefault="002238F4" w:rsidP="005502A5">
                  <w:pPr>
                    <w:pStyle w:val="Tabletext"/>
                    <w:rPr>
                      <w:lang w:eastAsia="zh-CN" w:bidi="th-TH"/>
                    </w:rPr>
                  </w:pPr>
                  <w:r w:rsidRPr="005C43B9">
                    <w:rPr>
                      <w:lang w:eastAsia="zh-CN" w:bidi="th-TH"/>
                    </w:rPr>
                    <w:t>Freedom of movement</w:t>
                  </w:r>
                </w:p>
              </w:tc>
              <w:tc>
                <w:tcPr>
                  <w:tcW w:w="2126" w:type="dxa"/>
                  <w:shd w:val="clear" w:color="auto" w:fill="auto"/>
                  <w:noWrap/>
                  <w:vAlign w:val="bottom"/>
                  <w:hideMark/>
                </w:tcPr>
                <w:p w14:paraId="4991A2EB" w14:textId="77777777" w:rsidR="002238F4" w:rsidRPr="005C43B9" w:rsidRDefault="002238F4" w:rsidP="005502A5">
                  <w:pPr>
                    <w:pStyle w:val="Tabletext"/>
                    <w:rPr>
                      <w:lang w:eastAsia="zh-CN" w:bidi="th-TH"/>
                    </w:rPr>
                  </w:pPr>
                  <w:r w:rsidRPr="005C43B9">
                    <w:rPr>
                      <w:lang w:eastAsia="zh-CN" w:bidi="th-TH"/>
                    </w:rPr>
                    <w:t>14</w:t>
                  </w:r>
                </w:p>
              </w:tc>
              <w:tc>
                <w:tcPr>
                  <w:tcW w:w="2126" w:type="dxa"/>
                  <w:shd w:val="clear" w:color="auto" w:fill="auto"/>
                  <w:noWrap/>
                  <w:vAlign w:val="bottom"/>
                  <w:hideMark/>
                </w:tcPr>
                <w:p w14:paraId="7323E2AA" w14:textId="77777777" w:rsidR="002238F4" w:rsidRPr="005C43B9" w:rsidRDefault="002238F4" w:rsidP="005502A5">
                  <w:pPr>
                    <w:pStyle w:val="Tabletext"/>
                    <w:rPr>
                      <w:lang w:eastAsia="zh-CN" w:bidi="th-TH"/>
                    </w:rPr>
                  </w:pPr>
                  <w:r w:rsidRPr="005C43B9">
                    <w:rPr>
                      <w:lang w:eastAsia="zh-CN" w:bidi="th-TH"/>
                    </w:rPr>
                    <w:t>29</w:t>
                  </w:r>
                </w:p>
              </w:tc>
            </w:tr>
            <w:tr w:rsidR="002238F4" w:rsidRPr="005C43B9" w14:paraId="2D8292AA" w14:textId="77777777" w:rsidTr="00BD1C3C">
              <w:trPr>
                <w:trHeight w:val="285"/>
              </w:trPr>
              <w:tc>
                <w:tcPr>
                  <w:tcW w:w="4715" w:type="dxa"/>
                  <w:shd w:val="clear" w:color="auto" w:fill="auto"/>
                  <w:noWrap/>
                  <w:vAlign w:val="bottom"/>
                  <w:hideMark/>
                </w:tcPr>
                <w:p w14:paraId="319DF0BD" w14:textId="77777777" w:rsidR="002238F4" w:rsidRPr="005C43B9" w:rsidRDefault="002238F4" w:rsidP="005502A5">
                  <w:pPr>
                    <w:pStyle w:val="Tabletext"/>
                    <w:rPr>
                      <w:lang w:eastAsia="zh-CN" w:bidi="th-TH"/>
                    </w:rPr>
                  </w:pPr>
                  <w:r w:rsidRPr="005C43B9">
                    <w:rPr>
                      <w:lang w:eastAsia="zh-CN" w:bidi="th-TH"/>
                    </w:rPr>
                    <w:t>Freedom of expression</w:t>
                  </w:r>
                </w:p>
              </w:tc>
              <w:tc>
                <w:tcPr>
                  <w:tcW w:w="2126" w:type="dxa"/>
                  <w:shd w:val="clear" w:color="auto" w:fill="auto"/>
                  <w:noWrap/>
                  <w:vAlign w:val="bottom"/>
                  <w:hideMark/>
                </w:tcPr>
                <w:p w14:paraId="13294C8B" w14:textId="77777777" w:rsidR="002238F4" w:rsidRPr="005C43B9" w:rsidRDefault="002238F4" w:rsidP="005502A5">
                  <w:pPr>
                    <w:pStyle w:val="Tabletext"/>
                    <w:rPr>
                      <w:lang w:eastAsia="zh-CN" w:bidi="th-TH"/>
                    </w:rPr>
                  </w:pPr>
                  <w:r w:rsidRPr="005C43B9">
                    <w:rPr>
                      <w:lang w:eastAsia="zh-CN" w:bidi="th-TH"/>
                    </w:rPr>
                    <w:t>16</w:t>
                  </w:r>
                </w:p>
              </w:tc>
              <w:tc>
                <w:tcPr>
                  <w:tcW w:w="2126" w:type="dxa"/>
                  <w:shd w:val="clear" w:color="auto" w:fill="auto"/>
                  <w:noWrap/>
                  <w:vAlign w:val="bottom"/>
                  <w:hideMark/>
                </w:tcPr>
                <w:p w14:paraId="326A27B8" w14:textId="77777777" w:rsidR="002238F4" w:rsidRPr="005C43B9" w:rsidRDefault="002238F4" w:rsidP="005502A5">
                  <w:pPr>
                    <w:pStyle w:val="Tabletext"/>
                    <w:rPr>
                      <w:lang w:eastAsia="zh-CN" w:bidi="th-TH"/>
                    </w:rPr>
                  </w:pPr>
                  <w:r w:rsidRPr="005C43B9">
                    <w:rPr>
                      <w:lang w:eastAsia="zh-CN" w:bidi="th-TH"/>
                    </w:rPr>
                    <w:t>25</w:t>
                  </w:r>
                </w:p>
              </w:tc>
            </w:tr>
            <w:tr w:rsidR="002238F4" w:rsidRPr="005C43B9" w14:paraId="4C412FD9" w14:textId="77777777" w:rsidTr="00BD1C3C">
              <w:trPr>
                <w:trHeight w:val="285"/>
              </w:trPr>
              <w:tc>
                <w:tcPr>
                  <w:tcW w:w="4715" w:type="dxa"/>
                  <w:shd w:val="clear" w:color="auto" w:fill="auto"/>
                  <w:noWrap/>
                  <w:vAlign w:val="bottom"/>
                  <w:hideMark/>
                </w:tcPr>
                <w:p w14:paraId="05414EEA" w14:textId="77777777" w:rsidR="002238F4" w:rsidRPr="005C43B9" w:rsidRDefault="002238F4" w:rsidP="005502A5">
                  <w:pPr>
                    <w:pStyle w:val="Tabletext"/>
                    <w:rPr>
                      <w:lang w:eastAsia="zh-CN" w:bidi="th-TH"/>
                    </w:rPr>
                  </w:pPr>
                  <w:r w:rsidRPr="005C43B9">
                    <w:rPr>
                      <w:lang w:eastAsia="zh-CN" w:bidi="th-TH"/>
                    </w:rPr>
                    <w:t>Fair hearing</w:t>
                  </w:r>
                </w:p>
              </w:tc>
              <w:tc>
                <w:tcPr>
                  <w:tcW w:w="2126" w:type="dxa"/>
                  <w:shd w:val="clear" w:color="auto" w:fill="auto"/>
                  <w:noWrap/>
                  <w:vAlign w:val="bottom"/>
                  <w:hideMark/>
                </w:tcPr>
                <w:p w14:paraId="357D219A" w14:textId="77777777" w:rsidR="002238F4" w:rsidRPr="005C43B9" w:rsidRDefault="002238F4" w:rsidP="005502A5">
                  <w:pPr>
                    <w:pStyle w:val="Tabletext"/>
                    <w:rPr>
                      <w:lang w:eastAsia="zh-CN" w:bidi="th-TH"/>
                    </w:rPr>
                  </w:pPr>
                  <w:r w:rsidRPr="005C43B9">
                    <w:rPr>
                      <w:lang w:eastAsia="zh-CN" w:bidi="th-TH"/>
                    </w:rPr>
                    <w:t>3</w:t>
                  </w:r>
                </w:p>
              </w:tc>
              <w:tc>
                <w:tcPr>
                  <w:tcW w:w="2126" w:type="dxa"/>
                  <w:shd w:val="clear" w:color="auto" w:fill="auto"/>
                  <w:noWrap/>
                  <w:vAlign w:val="bottom"/>
                  <w:hideMark/>
                </w:tcPr>
                <w:p w14:paraId="1C7EEC6F" w14:textId="77777777" w:rsidR="002238F4" w:rsidRPr="005C43B9" w:rsidRDefault="002238F4" w:rsidP="005502A5">
                  <w:pPr>
                    <w:pStyle w:val="Tabletext"/>
                    <w:rPr>
                      <w:lang w:eastAsia="zh-CN" w:bidi="th-TH"/>
                    </w:rPr>
                  </w:pPr>
                  <w:r w:rsidRPr="005C43B9">
                    <w:rPr>
                      <w:lang w:eastAsia="zh-CN" w:bidi="th-TH"/>
                    </w:rPr>
                    <w:t>36</w:t>
                  </w:r>
                </w:p>
              </w:tc>
            </w:tr>
            <w:tr w:rsidR="002238F4" w:rsidRPr="005C43B9" w14:paraId="49B46CC5" w14:textId="77777777" w:rsidTr="00BD1C3C">
              <w:trPr>
                <w:trHeight w:val="285"/>
              </w:trPr>
              <w:tc>
                <w:tcPr>
                  <w:tcW w:w="4715" w:type="dxa"/>
                  <w:shd w:val="clear" w:color="auto" w:fill="auto"/>
                  <w:noWrap/>
                  <w:vAlign w:val="bottom"/>
                  <w:hideMark/>
                </w:tcPr>
                <w:p w14:paraId="7BD56348" w14:textId="77777777" w:rsidR="002238F4" w:rsidRPr="005C43B9" w:rsidRDefault="002238F4" w:rsidP="005502A5">
                  <w:pPr>
                    <w:pStyle w:val="Tabletext"/>
                    <w:rPr>
                      <w:lang w:eastAsia="zh-CN" w:bidi="th-TH"/>
                    </w:rPr>
                  </w:pPr>
                  <w:r w:rsidRPr="005C43B9">
                    <w:rPr>
                      <w:lang w:eastAsia="zh-CN" w:bidi="th-TH"/>
                    </w:rPr>
                    <w:t>Right to life</w:t>
                  </w:r>
                </w:p>
              </w:tc>
              <w:tc>
                <w:tcPr>
                  <w:tcW w:w="2126" w:type="dxa"/>
                  <w:shd w:val="clear" w:color="auto" w:fill="auto"/>
                  <w:noWrap/>
                  <w:vAlign w:val="bottom"/>
                  <w:hideMark/>
                </w:tcPr>
                <w:p w14:paraId="444EBDFD" w14:textId="77777777" w:rsidR="002238F4" w:rsidRPr="005C43B9" w:rsidRDefault="002238F4" w:rsidP="005502A5">
                  <w:pPr>
                    <w:pStyle w:val="Tabletext"/>
                    <w:rPr>
                      <w:lang w:eastAsia="zh-CN" w:bidi="th-TH"/>
                    </w:rPr>
                  </w:pPr>
                  <w:r w:rsidRPr="005C43B9">
                    <w:rPr>
                      <w:lang w:eastAsia="zh-CN" w:bidi="th-TH"/>
                    </w:rPr>
                    <w:t>3</w:t>
                  </w:r>
                </w:p>
              </w:tc>
              <w:tc>
                <w:tcPr>
                  <w:tcW w:w="2126" w:type="dxa"/>
                  <w:shd w:val="clear" w:color="auto" w:fill="auto"/>
                  <w:noWrap/>
                  <w:vAlign w:val="bottom"/>
                  <w:hideMark/>
                </w:tcPr>
                <w:p w14:paraId="1BDB5E11" w14:textId="77777777" w:rsidR="002238F4" w:rsidRPr="005C43B9" w:rsidRDefault="002238F4" w:rsidP="005502A5">
                  <w:pPr>
                    <w:pStyle w:val="Tabletext"/>
                    <w:rPr>
                      <w:lang w:eastAsia="zh-CN" w:bidi="th-TH"/>
                    </w:rPr>
                  </w:pPr>
                  <w:r w:rsidRPr="005C43B9">
                    <w:rPr>
                      <w:lang w:eastAsia="zh-CN" w:bidi="th-TH"/>
                    </w:rPr>
                    <w:t>30</w:t>
                  </w:r>
                </w:p>
              </w:tc>
            </w:tr>
            <w:tr w:rsidR="002238F4" w:rsidRPr="005C43B9" w14:paraId="07916919" w14:textId="77777777" w:rsidTr="00BD1C3C">
              <w:trPr>
                <w:trHeight w:val="285"/>
              </w:trPr>
              <w:tc>
                <w:tcPr>
                  <w:tcW w:w="4715" w:type="dxa"/>
                  <w:shd w:val="clear" w:color="auto" w:fill="auto"/>
                  <w:noWrap/>
                  <w:vAlign w:val="bottom"/>
                  <w:hideMark/>
                </w:tcPr>
                <w:p w14:paraId="29BD9D0E" w14:textId="77777777" w:rsidR="002238F4" w:rsidRPr="005C43B9" w:rsidRDefault="002238F4" w:rsidP="005502A5">
                  <w:pPr>
                    <w:pStyle w:val="Tabletext"/>
                    <w:rPr>
                      <w:lang w:eastAsia="zh-CN" w:bidi="th-TH"/>
                    </w:rPr>
                  </w:pPr>
                  <w:r w:rsidRPr="005C43B9">
                    <w:rPr>
                      <w:lang w:eastAsia="zh-CN" w:bidi="th-TH"/>
                    </w:rPr>
                    <w:t>Property rights</w:t>
                  </w:r>
                </w:p>
              </w:tc>
              <w:tc>
                <w:tcPr>
                  <w:tcW w:w="2126" w:type="dxa"/>
                  <w:shd w:val="clear" w:color="auto" w:fill="auto"/>
                  <w:noWrap/>
                  <w:vAlign w:val="bottom"/>
                  <w:hideMark/>
                </w:tcPr>
                <w:p w14:paraId="6A3EF39B" w14:textId="77777777" w:rsidR="002238F4" w:rsidRPr="005C43B9" w:rsidRDefault="002238F4" w:rsidP="005502A5">
                  <w:pPr>
                    <w:pStyle w:val="Tabletext"/>
                    <w:rPr>
                      <w:lang w:eastAsia="zh-CN" w:bidi="th-TH"/>
                    </w:rPr>
                  </w:pPr>
                  <w:r w:rsidRPr="005C43B9">
                    <w:rPr>
                      <w:lang w:eastAsia="zh-CN" w:bidi="th-TH"/>
                    </w:rPr>
                    <w:t>3</w:t>
                  </w:r>
                </w:p>
              </w:tc>
              <w:tc>
                <w:tcPr>
                  <w:tcW w:w="2126" w:type="dxa"/>
                  <w:shd w:val="clear" w:color="auto" w:fill="auto"/>
                  <w:noWrap/>
                  <w:vAlign w:val="bottom"/>
                  <w:hideMark/>
                </w:tcPr>
                <w:p w14:paraId="0C147321" w14:textId="77777777" w:rsidR="002238F4" w:rsidRPr="005C43B9" w:rsidRDefault="002238F4" w:rsidP="005502A5">
                  <w:pPr>
                    <w:pStyle w:val="Tabletext"/>
                    <w:rPr>
                      <w:lang w:eastAsia="zh-CN" w:bidi="th-TH"/>
                    </w:rPr>
                  </w:pPr>
                  <w:r w:rsidRPr="005C43B9">
                    <w:rPr>
                      <w:lang w:eastAsia="zh-CN" w:bidi="th-TH"/>
                    </w:rPr>
                    <w:t>24</w:t>
                  </w:r>
                </w:p>
              </w:tc>
            </w:tr>
            <w:tr w:rsidR="002238F4" w:rsidRPr="005C43B9" w14:paraId="18CBE140" w14:textId="77777777" w:rsidTr="00BD1C3C">
              <w:trPr>
                <w:trHeight w:val="285"/>
              </w:trPr>
              <w:tc>
                <w:tcPr>
                  <w:tcW w:w="4715" w:type="dxa"/>
                  <w:shd w:val="clear" w:color="auto" w:fill="auto"/>
                  <w:noWrap/>
                  <w:vAlign w:val="bottom"/>
                  <w:hideMark/>
                </w:tcPr>
                <w:p w14:paraId="707988B8" w14:textId="77777777" w:rsidR="002238F4" w:rsidRPr="005C43B9" w:rsidRDefault="002238F4" w:rsidP="005502A5">
                  <w:pPr>
                    <w:pStyle w:val="Tabletext"/>
                    <w:rPr>
                      <w:lang w:eastAsia="zh-CN" w:bidi="th-TH"/>
                    </w:rPr>
                  </w:pPr>
                  <w:r w:rsidRPr="005C43B9">
                    <w:rPr>
                      <w:lang w:eastAsia="zh-CN" w:bidi="th-TH"/>
                    </w:rPr>
                    <w:t>Right to education</w:t>
                  </w:r>
                </w:p>
              </w:tc>
              <w:tc>
                <w:tcPr>
                  <w:tcW w:w="2126" w:type="dxa"/>
                  <w:shd w:val="clear" w:color="auto" w:fill="auto"/>
                  <w:noWrap/>
                  <w:vAlign w:val="bottom"/>
                  <w:hideMark/>
                </w:tcPr>
                <w:p w14:paraId="017EF43B" w14:textId="77777777" w:rsidR="002238F4" w:rsidRPr="005C43B9" w:rsidRDefault="002238F4" w:rsidP="005502A5">
                  <w:pPr>
                    <w:pStyle w:val="Tabletext"/>
                    <w:rPr>
                      <w:lang w:eastAsia="zh-CN" w:bidi="th-TH"/>
                    </w:rPr>
                  </w:pPr>
                  <w:r w:rsidRPr="005C43B9">
                    <w:rPr>
                      <w:lang w:eastAsia="zh-CN" w:bidi="th-TH"/>
                    </w:rPr>
                    <w:t>15</w:t>
                  </w:r>
                </w:p>
              </w:tc>
              <w:tc>
                <w:tcPr>
                  <w:tcW w:w="2126" w:type="dxa"/>
                  <w:shd w:val="clear" w:color="auto" w:fill="auto"/>
                  <w:noWrap/>
                  <w:vAlign w:val="bottom"/>
                  <w:hideMark/>
                </w:tcPr>
                <w:p w14:paraId="7E6C38CC" w14:textId="77777777" w:rsidR="002238F4" w:rsidRPr="005C43B9" w:rsidRDefault="002238F4" w:rsidP="005502A5">
                  <w:pPr>
                    <w:pStyle w:val="Tabletext"/>
                    <w:rPr>
                      <w:lang w:eastAsia="zh-CN" w:bidi="th-TH"/>
                    </w:rPr>
                  </w:pPr>
                  <w:r w:rsidRPr="005C43B9">
                    <w:rPr>
                      <w:lang w:eastAsia="zh-CN" w:bidi="th-TH"/>
                    </w:rPr>
                    <w:t>9</w:t>
                  </w:r>
                </w:p>
              </w:tc>
            </w:tr>
            <w:tr w:rsidR="002238F4" w:rsidRPr="005C43B9" w14:paraId="35F73D97" w14:textId="77777777" w:rsidTr="00BD1C3C">
              <w:trPr>
                <w:trHeight w:val="285"/>
              </w:trPr>
              <w:tc>
                <w:tcPr>
                  <w:tcW w:w="4715" w:type="dxa"/>
                  <w:shd w:val="clear" w:color="auto" w:fill="auto"/>
                  <w:noWrap/>
                  <w:vAlign w:val="bottom"/>
                  <w:hideMark/>
                </w:tcPr>
                <w:p w14:paraId="608D0BEC" w14:textId="77777777" w:rsidR="002238F4" w:rsidRPr="005C43B9" w:rsidRDefault="002238F4" w:rsidP="005502A5">
                  <w:pPr>
                    <w:pStyle w:val="Tabletext"/>
                    <w:rPr>
                      <w:lang w:eastAsia="zh-CN" w:bidi="th-TH"/>
                    </w:rPr>
                  </w:pPr>
                  <w:r w:rsidRPr="005C43B9">
                    <w:rPr>
                      <w:lang w:eastAsia="zh-CN" w:bidi="th-TH"/>
                    </w:rPr>
                    <w:t>Taking part in public life</w:t>
                  </w:r>
                </w:p>
              </w:tc>
              <w:tc>
                <w:tcPr>
                  <w:tcW w:w="2126" w:type="dxa"/>
                  <w:shd w:val="clear" w:color="auto" w:fill="auto"/>
                  <w:noWrap/>
                  <w:vAlign w:val="bottom"/>
                  <w:hideMark/>
                </w:tcPr>
                <w:p w14:paraId="1E0F3501" w14:textId="77777777" w:rsidR="002238F4" w:rsidRPr="005C43B9" w:rsidRDefault="002238F4" w:rsidP="005502A5">
                  <w:pPr>
                    <w:pStyle w:val="Tabletext"/>
                    <w:rPr>
                      <w:lang w:eastAsia="zh-CN" w:bidi="th-TH"/>
                    </w:rPr>
                  </w:pPr>
                  <w:r w:rsidRPr="005C43B9">
                    <w:rPr>
                      <w:lang w:eastAsia="zh-CN" w:bidi="th-TH"/>
                    </w:rPr>
                    <w:t>7</w:t>
                  </w:r>
                </w:p>
              </w:tc>
              <w:tc>
                <w:tcPr>
                  <w:tcW w:w="2126" w:type="dxa"/>
                  <w:shd w:val="clear" w:color="auto" w:fill="auto"/>
                  <w:noWrap/>
                  <w:vAlign w:val="bottom"/>
                  <w:hideMark/>
                </w:tcPr>
                <w:p w14:paraId="487119CA" w14:textId="77777777" w:rsidR="002238F4" w:rsidRPr="005C43B9" w:rsidRDefault="002238F4" w:rsidP="005502A5">
                  <w:pPr>
                    <w:pStyle w:val="Tabletext"/>
                    <w:rPr>
                      <w:lang w:eastAsia="zh-CN" w:bidi="th-TH"/>
                    </w:rPr>
                  </w:pPr>
                  <w:r w:rsidRPr="005C43B9">
                    <w:rPr>
                      <w:lang w:eastAsia="zh-CN" w:bidi="th-TH"/>
                    </w:rPr>
                    <w:t>14</w:t>
                  </w:r>
                </w:p>
              </w:tc>
            </w:tr>
            <w:tr w:rsidR="002238F4" w:rsidRPr="005C43B9" w14:paraId="5D52095B" w14:textId="77777777" w:rsidTr="00BD1C3C">
              <w:trPr>
                <w:trHeight w:val="285"/>
              </w:trPr>
              <w:tc>
                <w:tcPr>
                  <w:tcW w:w="4715" w:type="dxa"/>
                  <w:shd w:val="clear" w:color="auto" w:fill="auto"/>
                  <w:noWrap/>
                  <w:vAlign w:val="bottom"/>
                  <w:hideMark/>
                </w:tcPr>
                <w:p w14:paraId="69029036" w14:textId="77777777" w:rsidR="002238F4" w:rsidRPr="005C43B9" w:rsidRDefault="002238F4" w:rsidP="005502A5">
                  <w:pPr>
                    <w:pStyle w:val="Tabletext"/>
                    <w:rPr>
                      <w:lang w:eastAsia="zh-CN" w:bidi="th-TH"/>
                    </w:rPr>
                  </w:pPr>
                  <w:r w:rsidRPr="005C43B9">
                    <w:rPr>
                      <w:lang w:eastAsia="zh-CN" w:bidi="th-TH"/>
                    </w:rPr>
                    <w:t>Cultural rights—First Nations peoples</w:t>
                  </w:r>
                </w:p>
              </w:tc>
              <w:tc>
                <w:tcPr>
                  <w:tcW w:w="2126" w:type="dxa"/>
                  <w:shd w:val="clear" w:color="auto" w:fill="auto"/>
                  <w:noWrap/>
                  <w:vAlign w:val="bottom"/>
                  <w:hideMark/>
                </w:tcPr>
                <w:p w14:paraId="226356F6" w14:textId="77777777" w:rsidR="002238F4" w:rsidRPr="005C43B9" w:rsidRDefault="002238F4" w:rsidP="005502A5">
                  <w:pPr>
                    <w:pStyle w:val="Tabletext"/>
                    <w:rPr>
                      <w:lang w:eastAsia="zh-CN" w:bidi="th-TH"/>
                    </w:rPr>
                  </w:pPr>
                  <w:r w:rsidRPr="005C43B9">
                    <w:rPr>
                      <w:lang w:eastAsia="zh-CN" w:bidi="th-TH"/>
                    </w:rPr>
                    <w:t>9</w:t>
                  </w:r>
                </w:p>
              </w:tc>
              <w:tc>
                <w:tcPr>
                  <w:tcW w:w="2126" w:type="dxa"/>
                  <w:shd w:val="clear" w:color="auto" w:fill="auto"/>
                  <w:noWrap/>
                  <w:vAlign w:val="bottom"/>
                  <w:hideMark/>
                </w:tcPr>
                <w:p w14:paraId="580BF20F" w14:textId="77777777" w:rsidR="002238F4" w:rsidRPr="005C43B9" w:rsidRDefault="002238F4" w:rsidP="005502A5">
                  <w:pPr>
                    <w:pStyle w:val="Tabletext"/>
                    <w:rPr>
                      <w:lang w:eastAsia="zh-CN" w:bidi="th-TH"/>
                    </w:rPr>
                  </w:pPr>
                  <w:r w:rsidRPr="005C43B9">
                    <w:rPr>
                      <w:lang w:eastAsia="zh-CN" w:bidi="th-TH"/>
                    </w:rPr>
                    <w:t>13</w:t>
                  </w:r>
                </w:p>
              </w:tc>
            </w:tr>
            <w:tr w:rsidR="002238F4" w:rsidRPr="005C43B9" w14:paraId="66BFE913" w14:textId="77777777" w:rsidTr="00BD1C3C">
              <w:trPr>
                <w:trHeight w:val="285"/>
              </w:trPr>
              <w:tc>
                <w:tcPr>
                  <w:tcW w:w="4715" w:type="dxa"/>
                  <w:shd w:val="clear" w:color="auto" w:fill="auto"/>
                  <w:noWrap/>
                  <w:vAlign w:val="bottom"/>
                  <w:hideMark/>
                </w:tcPr>
                <w:p w14:paraId="2F3DD515" w14:textId="77777777" w:rsidR="002238F4" w:rsidRPr="005C43B9" w:rsidRDefault="002238F4" w:rsidP="005502A5">
                  <w:pPr>
                    <w:pStyle w:val="Tabletext"/>
                    <w:rPr>
                      <w:lang w:eastAsia="zh-CN" w:bidi="th-TH"/>
                    </w:rPr>
                  </w:pPr>
                  <w:r w:rsidRPr="005C43B9">
                    <w:rPr>
                      <w:lang w:eastAsia="zh-CN" w:bidi="th-TH"/>
                    </w:rPr>
                    <w:t>Cultural rights—generally</w:t>
                  </w:r>
                </w:p>
              </w:tc>
              <w:tc>
                <w:tcPr>
                  <w:tcW w:w="2126" w:type="dxa"/>
                  <w:shd w:val="clear" w:color="auto" w:fill="auto"/>
                  <w:noWrap/>
                  <w:vAlign w:val="bottom"/>
                  <w:hideMark/>
                </w:tcPr>
                <w:p w14:paraId="7224451E" w14:textId="77777777" w:rsidR="002238F4" w:rsidRPr="005C43B9" w:rsidRDefault="002238F4" w:rsidP="005502A5">
                  <w:pPr>
                    <w:pStyle w:val="Tabletext"/>
                    <w:rPr>
                      <w:lang w:eastAsia="zh-CN" w:bidi="th-TH"/>
                    </w:rPr>
                  </w:pPr>
                  <w:r w:rsidRPr="005C43B9">
                    <w:rPr>
                      <w:lang w:eastAsia="zh-CN" w:bidi="th-TH"/>
                    </w:rPr>
                    <w:t>5</w:t>
                  </w:r>
                </w:p>
              </w:tc>
              <w:tc>
                <w:tcPr>
                  <w:tcW w:w="2126" w:type="dxa"/>
                  <w:shd w:val="clear" w:color="auto" w:fill="auto"/>
                  <w:noWrap/>
                  <w:vAlign w:val="bottom"/>
                  <w:hideMark/>
                </w:tcPr>
                <w:p w14:paraId="747C7C77" w14:textId="77777777" w:rsidR="002238F4" w:rsidRPr="005C43B9" w:rsidRDefault="002238F4" w:rsidP="005502A5">
                  <w:pPr>
                    <w:pStyle w:val="Tabletext"/>
                    <w:rPr>
                      <w:lang w:eastAsia="zh-CN" w:bidi="th-TH"/>
                    </w:rPr>
                  </w:pPr>
                  <w:r w:rsidRPr="005C43B9">
                    <w:rPr>
                      <w:lang w:eastAsia="zh-CN" w:bidi="th-TH"/>
                    </w:rPr>
                    <w:t>8</w:t>
                  </w:r>
                </w:p>
              </w:tc>
            </w:tr>
            <w:tr w:rsidR="002238F4" w:rsidRPr="005C43B9" w14:paraId="2B71233C" w14:textId="77777777" w:rsidTr="00BD1C3C">
              <w:trPr>
                <w:trHeight w:val="285"/>
              </w:trPr>
              <w:tc>
                <w:tcPr>
                  <w:tcW w:w="4715" w:type="dxa"/>
                  <w:shd w:val="clear" w:color="auto" w:fill="auto"/>
                  <w:noWrap/>
                  <w:vAlign w:val="bottom"/>
                  <w:hideMark/>
                </w:tcPr>
                <w:p w14:paraId="6B5D63E1" w14:textId="77777777" w:rsidR="002238F4" w:rsidRPr="005C43B9" w:rsidRDefault="002238F4" w:rsidP="005502A5">
                  <w:pPr>
                    <w:pStyle w:val="Tabletext"/>
                    <w:rPr>
                      <w:lang w:eastAsia="zh-CN" w:bidi="th-TH"/>
                    </w:rPr>
                  </w:pPr>
                  <w:r w:rsidRPr="005C43B9">
                    <w:rPr>
                      <w:lang w:eastAsia="zh-CN" w:bidi="th-TH"/>
                    </w:rPr>
                    <w:t>Rights in criminal proceedings</w:t>
                  </w:r>
                </w:p>
              </w:tc>
              <w:tc>
                <w:tcPr>
                  <w:tcW w:w="2126" w:type="dxa"/>
                  <w:shd w:val="clear" w:color="auto" w:fill="auto"/>
                  <w:noWrap/>
                  <w:vAlign w:val="bottom"/>
                  <w:hideMark/>
                </w:tcPr>
                <w:p w14:paraId="78CD90BE" w14:textId="77777777" w:rsidR="002238F4" w:rsidRPr="005C43B9" w:rsidRDefault="002238F4" w:rsidP="005502A5">
                  <w:pPr>
                    <w:pStyle w:val="Tabletext"/>
                    <w:rPr>
                      <w:lang w:eastAsia="zh-CN" w:bidi="th-TH"/>
                    </w:rPr>
                  </w:pPr>
                  <w:r w:rsidRPr="005C43B9">
                    <w:rPr>
                      <w:lang w:eastAsia="zh-CN" w:bidi="th-TH"/>
                    </w:rPr>
                    <w:t>1</w:t>
                  </w:r>
                </w:p>
              </w:tc>
              <w:tc>
                <w:tcPr>
                  <w:tcW w:w="2126" w:type="dxa"/>
                  <w:shd w:val="clear" w:color="auto" w:fill="auto"/>
                  <w:noWrap/>
                  <w:vAlign w:val="bottom"/>
                  <w:hideMark/>
                </w:tcPr>
                <w:p w14:paraId="0136B958" w14:textId="77777777" w:rsidR="002238F4" w:rsidRPr="005C43B9" w:rsidRDefault="002238F4" w:rsidP="005502A5">
                  <w:pPr>
                    <w:pStyle w:val="Tabletext"/>
                    <w:rPr>
                      <w:lang w:eastAsia="zh-CN" w:bidi="th-TH"/>
                    </w:rPr>
                  </w:pPr>
                  <w:r w:rsidRPr="005C43B9">
                    <w:rPr>
                      <w:lang w:eastAsia="zh-CN" w:bidi="th-TH"/>
                    </w:rPr>
                    <w:t>10</w:t>
                  </w:r>
                </w:p>
              </w:tc>
            </w:tr>
            <w:tr w:rsidR="002238F4" w:rsidRPr="005C43B9" w14:paraId="6970C528" w14:textId="77777777" w:rsidTr="00BD1C3C">
              <w:trPr>
                <w:trHeight w:val="285"/>
              </w:trPr>
              <w:tc>
                <w:tcPr>
                  <w:tcW w:w="4715" w:type="dxa"/>
                  <w:shd w:val="clear" w:color="auto" w:fill="auto"/>
                  <w:noWrap/>
                  <w:vAlign w:val="bottom"/>
                  <w:hideMark/>
                </w:tcPr>
                <w:p w14:paraId="2E618C77" w14:textId="77777777" w:rsidR="002238F4" w:rsidRPr="005C43B9" w:rsidRDefault="002238F4" w:rsidP="005502A5">
                  <w:pPr>
                    <w:pStyle w:val="Tabletext"/>
                    <w:rPr>
                      <w:lang w:eastAsia="zh-CN" w:bidi="th-TH"/>
                    </w:rPr>
                  </w:pPr>
                  <w:r w:rsidRPr="005C43B9">
                    <w:rPr>
                      <w:lang w:eastAsia="zh-CN" w:bidi="th-TH"/>
                    </w:rPr>
                    <w:t>Right not to be tried or punished more than once</w:t>
                  </w:r>
                </w:p>
              </w:tc>
              <w:tc>
                <w:tcPr>
                  <w:tcW w:w="2126" w:type="dxa"/>
                  <w:shd w:val="clear" w:color="auto" w:fill="auto"/>
                  <w:noWrap/>
                  <w:vAlign w:val="bottom"/>
                  <w:hideMark/>
                </w:tcPr>
                <w:p w14:paraId="6F568423" w14:textId="64654432" w:rsidR="002238F4" w:rsidRPr="005C43B9" w:rsidRDefault="001C3DF7" w:rsidP="005502A5">
                  <w:pPr>
                    <w:pStyle w:val="Tabletext"/>
                    <w:rPr>
                      <w:lang w:eastAsia="zh-CN" w:bidi="th-TH"/>
                    </w:rPr>
                  </w:pPr>
                  <w:r>
                    <w:rPr>
                      <w:lang w:eastAsia="zh-CN" w:bidi="th-TH"/>
                    </w:rPr>
                    <w:t>0</w:t>
                  </w:r>
                </w:p>
              </w:tc>
              <w:tc>
                <w:tcPr>
                  <w:tcW w:w="2126" w:type="dxa"/>
                  <w:shd w:val="clear" w:color="auto" w:fill="auto"/>
                  <w:noWrap/>
                  <w:vAlign w:val="bottom"/>
                  <w:hideMark/>
                </w:tcPr>
                <w:p w14:paraId="65181F2C" w14:textId="77777777" w:rsidR="002238F4" w:rsidRPr="005C43B9" w:rsidRDefault="002238F4" w:rsidP="005502A5">
                  <w:pPr>
                    <w:pStyle w:val="Tabletext"/>
                    <w:rPr>
                      <w:lang w:eastAsia="zh-CN" w:bidi="th-TH"/>
                    </w:rPr>
                  </w:pPr>
                  <w:r w:rsidRPr="005C43B9">
                    <w:rPr>
                      <w:lang w:eastAsia="zh-CN" w:bidi="th-TH"/>
                    </w:rPr>
                    <w:t>5</w:t>
                  </w:r>
                </w:p>
              </w:tc>
            </w:tr>
            <w:tr w:rsidR="002238F4" w:rsidRPr="005C43B9" w14:paraId="7EF03A66" w14:textId="77777777" w:rsidTr="00BD1C3C">
              <w:trPr>
                <w:trHeight w:val="285"/>
              </w:trPr>
              <w:tc>
                <w:tcPr>
                  <w:tcW w:w="4715" w:type="dxa"/>
                  <w:shd w:val="clear" w:color="auto" w:fill="auto"/>
                  <w:noWrap/>
                  <w:vAlign w:val="bottom"/>
                  <w:hideMark/>
                </w:tcPr>
                <w:p w14:paraId="26487822" w14:textId="77777777" w:rsidR="002238F4" w:rsidRPr="005C43B9" w:rsidRDefault="002238F4" w:rsidP="005502A5">
                  <w:pPr>
                    <w:pStyle w:val="Tabletext"/>
                    <w:rPr>
                      <w:lang w:eastAsia="zh-CN" w:bidi="th-TH"/>
                    </w:rPr>
                  </w:pPr>
                  <w:r w:rsidRPr="005C43B9">
                    <w:rPr>
                      <w:lang w:eastAsia="zh-CN" w:bidi="th-TH"/>
                    </w:rPr>
                    <w:t>Freedom from forced work</w:t>
                  </w:r>
                </w:p>
              </w:tc>
              <w:tc>
                <w:tcPr>
                  <w:tcW w:w="2126" w:type="dxa"/>
                  <w:shd w:val="clear" w:color="auto" w:fill="auto"/>
                  <w:noWrap/>
                  <w:vAlign w:val="bottom"/>
                  <w:hideMark/>
                </w:tcPr>
                <w:p w14:paraId="453579B5" w14:textId="1BF61CCA" w:rsidR="002238F4" w:rsidRPr="005C43B9" w:rsidRDefault="001C3DF7" w:rsidP="005502A5">
                  <w:pPr>
                    <w:pStyle w:val="Tabletext"/>
                    <w:rPr>
                      <w:lang w:eastAsia="zh-CN" w:bidi="th-TH"/>
                    </w:rPr>
                  </w:pPr>
                  <w:r>
                    <w:rPr>
                      <w:lang w:eastAsia="zh-CN" w:bidi="th-TH"/>
                    </w:rPr>
                    <w:t>0</w:t>
                  </w:r>
                </w:p>
              </w:tc>
              <w:tc>
                <w:tcPr>
                  <w:tcW w:w="2126" w:type="dxa"/>
                  <w:shd w:val="clear" w:color="auto" w:fill="auto"/>
                  <w:noWrap/>
                  <w:vAlign w:val="bottom"/>
                  <w:hideMark/>
                </w:tcPr>
                <w:p w14:paraId="2F8AE7ED" w14:textId="77777777" w:rsidR="002238F4" w:rsidRPr="005C43B9" w:rsidRDefault="002238F4" w:rsidP="005502A5">
                  <w:pPr>
                    <w:pStyle w:val="Tabletext"/>
                    <w:rPr>
                      <w:lang w:eastAsia="zh-CN" w:bidi="th-TH"/>
                    </w:rPr>
                  </w:pPr>
                  <w:r w:rsidRPr="005C43B9">
                    <w:rPr>
                      <w:lang w:eastAsia="zh-CN" w:bidi="th-TH"/>
                    </w:rPr>
                    <w:t>5</w:t>
                  </w:r>
                </w:p>
              </w:tc>
            </w:tr>
            <w:tr w:rsidR="002238F4" w:rsidRPr="005C43B9" w14:paraId="7FF53532" w14:textId="77777777" w:rsidTr="00BD1C3C">
              <w:trPr>
                <w:trHeight w:val="285"/>
              </w:trPr>
              <w:tc>
                <w:tcPr>
                  <w:tcW w:w="4715" w:type="dxa"/>
                  <w:shd w:val="clear" w:color="auto" w:fill="auto"/>
                  <w:noWrap/>
                  <w:vAlign w:val="bottom"/>
                  <w:hideMark/>
                </w:tcPr>
                <w:p w14:paraId="60FD49F2" w14:textId="77777777" w:rsidR="002238F4" w:rsidRPr="005C43B9" w:rsidRDefault="002238F4" w:rsidP="005502A5">
                  <w:pPr>
                    <w:pStyle w:val="Tabletext"/>
                    <w:rPr>
                      <w:lang w:eastAsia="zh-CN" w:bidi="th-TH"/>
                    </w:rPr>
                  </w:pPr>
                  <w:r w:rsidRPr="005C43B9">
                    <w:rPr>
                      <w:lang w:eastAsia="zh-CN" w:bidi="th-TH"/>
                    </w:rPr>
                    <w:t>Protection of children in the criminal process</w:t>
                  </w:r>
                </w:p>
              </w:tc>
              <w:tc>
                <w:tcPr>
                  <w:tcW w:w="2126" w:type="dxa"/>
                  <w:shd w:val="clear" w:color="auto" w:fill="auto"/>
                  <w:noWrap/>
                  <w:vAlign w:val="bottom"/>
                  <w:hideMark/>
                </w:tcPr>
                <w:p w14:paraId="700AC285" w14:textId="77777777" w:rsidR="002238F4" w:rsidRPr="005C43B9" w:rsidRDefault="002238F4" w:rsidP="005502A5">
                  <w:pPr>
                    <w:pStyle w:val="Tabletext"/>
                    <w:rPr>
                      <w:lang w:eastAsia="zh-CN" w:bidi="th-TH"/>
                    </w:rPr>
                  </w:pPr>
                  <w:r w:rsidRPr="005C43B9">
                    <w:rPr>
                      <w:lang w:eastAsia="zh-CN" w:bidi="th-TH"/>
                    </w:rPr>
                    <w:t>1</w:t>
                  </w:r>
                </w:p>
              </w:tc>
              <w:tc>
                <w:tcPr>
                  <w:tcW w:w="2126" w:type="dxa"/>
                  <w:shd w:val="clear" w:color="auto" w:fill="auto"/>
                  <w:noWrap/>
                  <w:vAlign w:val="bottom"/>
                  <w:hideMark/>
                </w:tcPr>
                <w:p w14:paraId="67D560F3" w14:textId="77777777" w:rsidR="002238F4" w:rsidRPr="005C43B9" w:rsidRDefault="002238F4" w:rsidP="005502A5">
                  <w:pPr>
                    <w:pStyle w:val="Tabletext"/>
                    <w:rPr>
                      <w:lang w:eastAsia="zh-CN" w:bidi="th-TH"/>
                    </w:rPr>
                  </w:pPr>
                  <w:r w:rsidRPr="005C43B9">
                    <w:rPr>
                      <w:lang w:eastAsia="zh-CN" w:bidi="th-TH"/>
                    </w:rPr>
                    <w:t>1</w:t>
                  </w:r>
                </w:p>
              </w:tc>
            </w:tr>
            <w:tr w:rsidR="002238F4" w:rsidRPr="005C43B9" w14:paraId="5F8E60F9" w14:textId="77777777" w:rsidTr="00BD1C3C">
              <w:trPr>
                <w:trHeight w:val="285"/>
              </w:trPr>
              <w:tc>
                <w:tcPr>
                  <w:tcW w:w="4715" w:type="dxa"/>
                  <w:shd w:val="clear" w:color="auto" w:fill="auto"/>
                  <w:noWrap/>
                  <w:vAlign w:val="bottom"/>
                  <w:hideMark/>
                </w:tcPr>
                <w:p w14:paraId="7D06C715" w14:textId="77777777" w:rsidR="002238F4" w:rsidRPr="005C43B9" w:rsidRDefault="002238F4" w:rsidP="005502A5">
                  <w:pPr>
                    <w:pStyle w:val="Tabletext"/>
                    <w:rPr>
                      <w:lang w:eastAsia="zh-CN" w:bidi="th-TH"/>
                    </w:rPr>
                  </w:pPr>
                  <w:r w:rsidRPr="005C43B9">
                    <w:rPr>
                      <w:lang w:eastAsia="zh-CN" w:bidi="th-TH"/>
                    </w:rPr>
                    <w:t>Protection from retrospective criminal laws</w:t>
                  </w:r>
                </w:p>
              </w:tc>
              <w:tc>
                <w:tcPr>
                  <w:tcW w:w="2126" w:type="dxa"/>
                  <w:shd w:val="clear" w:color="auto" w:fill="auto"/>
                  <w:noWrap/>
                  <w:vAlign w:val="bottom"/>
                  <w:hideMark/>
                </w:tcPr>
                <w:p w14:paraId="08105DA7" w14:textId="4BBB3711" w:rsidR="002238F4" w:rsidRPr="005C43B9" w:rsidRDefault="001C3DF7" w:rsidP="005502A5">
                  <w:pPr>
                    <w:pStyle w:val="Tabletext"/>
                    <w:rPr>
                      <w:lang w:eastAsia="zh-CN" w:bidi="th-TH"/>
                    </w:rPr>
                  </w:pPr>
                  <w:r>
                    <w:rPr>
                      <w:lang w:eastAsia="zh-CN" w:bidi="th-TH"/>
                    </w:rPr>
                    <w:t>0</w:t>
                  </w:r>
                </w:p>
              </w:tc>
              <w:tc>
                <w:tcPr>
                  <w:tcW w:w="2126" w:type="dxa"/>
                  <w:shd w:val="clear" w:color="auto" w:fill="auto"/>
                  <w:noWrap/>
                  <w:vAlign w:val="bottom"/>
                  <w:hideMark/>
                </w:tcPr>
                <w:p w14:paraId="76E58E3B" w14:textId="77777777" w:rsidR="002238F4" w:rsidRPr="005C43B9" w:rsidRDefault="002238F4" w:rsidP="005502A5">
                  <w:pPr>
                    <w:pStyle w:val="Tabletext"/>
                    <w:rPr>
                      <w:lang w:eastAsia="zh-CN" w:bidi="th-TH"/>
                    </w:rPr>
                  </w:pPr>
                  <w:r w:rsidRPr="005C43B9">
                    <w:rPr>
                      <w:lang w:eastAsia="zh-CN" w:bidi="th-TH"/>
                    </w:rPr>
                    <w:t>1</w:t>
                  </w:r>
                </w:p>
              </w:tc>
            </w:tr>
          </w:tbl>
          <w:p w14:paraId="742B0DE4" w14:textId="77777777" w:rsidR="002238F4" w:rsidRPr="0037049D" w:rsidRDefault="002238F4" w:rsidP="005B34EE">
            <w:pPr>
              <w:pStyle w:val="Tabletext"/>
            </w:pPr>
          </w:p>
        </w:tc>
      </w:tr>
    </w:tbl>
    <w:p w14:paraId="60E68C36" w14:textId="77777777" w:rsidR="002238F4" w:rsidRPr="002238F4" w:rsidRDefault="002238F4" w:rsidP="002238F4"/>
    <w:p w14:paraId="337FC11F" w14:textId="77777777" w:rsidR="00155D28" w:rsidRDefault="00155D28" w:rsidP="00155D28"/>
    <w:p w14:paraId="3061C680" w14:textId="77777777" w:rsidR="00D82C55" w:rsidRDefault="00D82C55">
      <w:pPr>
        <w:spacing w:after="160" w:line="259" w:lineRule="auto"/>
        <w:ind w:right="0"/>
        <w:rPr>
          <w:i/>
          <w:color w:val="000000" w:themeColor="text1"/>
          <w:szCs w:val="18"/>
        </w:rPr>
      </w:pPr>
      <w:r>
        <w:br w:type="page"/>
      </w:r>
    </w:p>
    <w:p w14:paraId="47207FED" w14:textId="01202F4D" w:rsidR="00155D28" w:rsidRPr="008A00EB" w:rsidRDefault="00155D28" w:rsidP="00155D28">
      <w:pPr>
        <w:pStyle w:val="Caption"/>
      </w:pPr>
      <w:r>
        <w:t xml:space="preserve">Table </w:t>
      </w:r>
      <w:r w:rsidR="001C6894">
        <w:t>11</w:t>
      </w:r>
      <w:r>
        <w:t xml:space="preserve">: Human rights identified in finalised human rights only complaints, </w:t>
      </w:r>
      <w:r w:rsidR="007D27F7">
        <w:t>2022-23</w:t>
      </w:r>
    </w:p>
    <w:tbl>
      <w:tblPr>
        <w:tblW w:w="9072" w:type="dxa"/>
        <w:tblBorders>
          <w:top w:val="single" w:sz="4" w:space="0" w:color="3B3838" w:themeColor="background2" w:themeShade="40"/>
          <w:bottom w:val="single" w:sz="4" w:space="0" w:color="3B3838" w:themeColor="background2" w:themeShade="40"/>
          <w:insideH w:val="single" w:sz="4" w:space="0" w:color="3B3838" w:themeColor="background2" w:themeShade="40"/>
        </w:tblBorders>
        <w:tblLook w:val="04A0" w:firstRow="1" w:lastRow="0" w:firstColumn="1" w:lastColumn="0" w:noHBand="0" w:noVBand="1"/>
      </w:tblPr>
      <w:tblGrid>
        <w:gridCol w:w="4980"/>
        <w:gridCol w:w="1966"/>
        <w:gridCol w:w="2126"/>
      </w:tblGrid>
      <w:tr w:rsidR="00B617C3" w:rsidRPr="00B617C3" w14:paraId="42A64F62" w14:textId="77777777" w:rsidTr="00B617C3">
        <w:trPr>
          <w:trHeight w:val="285"/>
        </w:trPr>
        <w:tc>
          <w:tcPr>
            <w:tcW w:w="4980" w:type="dxa"/>
            <w:shd w:val="clear" w:color="auto" w:fill="auto"/>
            <w:noWrap/>
            <w:vAlign w:val="bottom"/>
          </w:tcPr>
          <w:p w14:paraId="23D8D4F9" w14:textId="60F9531B" w:rsidR="00BD597A" w:rsidRPr="00B617C3" w:rsidRDefault="00BD597A" w:rsidP="00B617C3">
            <w:pPr>
              <w:pStyle w:val="Tableheading"/>
              <w:rPr>
                <w:color w:val="3B3838" w:themeColor="background2" w:themeShade="40"/>
                <w:lang w:eastAsia="zh-CN" w:bidi="th-TH"/>
              </w:rPr>
            </w:pPr>
            <w:r w:rsidRPr="00B617C3">
              <w:rPr>
                <w:color w:val="3B3838" w:themeColor="background2" w:themeShade="40"/>
                <w:lang w:eastAsia="zh-CN" w:bidi="th-TH"/>
              </w:rPr>
              <w:t>Relevant human right</w:t>
            </w:r>
          </w:p>
        </w:tc>
        <w:tc>
          <w:tcPr>
            <w:tcW w:w="1966" w:type="dxa"/>
            <w:shd w:val="clear" w:color="auto" w:fill="auto"/>
            <w:noWrap/>
            <w:vAlign w:val="bottom"/>
          </w:tcPr>
          <w:p w14:paraId="506F22C2" w14:textId="7922AD3C" w:rsidR="00BD597A" w:rsidRPr="00B617C3" w:rsidRDefault="00BD597A" w:rsidP="00B617C3">
            <w:pPr>
              <w:pStyle w:val="Tableheading"/>
              <w:rPr>
                <w:color w:val="3B3838" w:themeColor="background2" w:themeShade="40"/>
                <w:lang w:eastAsia="zh-CN" w:bidi="th-TH"/>
              </w:rPr>
            </w:pPr>
            <w:r w:rsidRPr="00B617C3">
              <w:rPr>
                <w:color w:val="3B3838" w:themeColor="background2" w:themeShade="40"/>
                <w:lang w:eastAsia="zh-CN" w:bidi="th-TH"/>
              </w:rPr>
              <w:t>Complaints accepted and finalised</w:t>
            </w:r>
          </w:p>
        </w:tc>
        <w:tc>
          <w:tcPr>
            <w:tcW w:w="2126" w:type="dxa"/>
            <w:shd w:val="clear" w:color="auto" w:fill="auto"/>
            <w:noWrap/>
            <w:vAlign w:val="bottom"/>
          </w:tcPr>
          <w:p w14:paraId="52953F32" w14:textId="342B3F63" w:rsidR="00BD597A" w:rsidRPr="00B617C3" w:rsidRDefault="00BD597A" w:rsidP="00B617C3">
            <w:pPr>
              <w:pStyle w:val="Tableheading"/>
              <w:rPr>
                <w:color w:val="3B3838" w:themeColor="background2" w:themeShade="40"/>
                <w:lang w:eastAsia="zh-CN" w:bidi="th-TH"/>
              </w:rPr>
            </w:pPr>
            <w:r w:rsidRPr="00B617C3">
              <w:rPr>
                <w:color w:val="3B3838" w:themeColor="background2" w:themeShade="40"/>
                <w:lang w:eastAsia="zh-CN" w:bidi="th-TH"/>
              </w:rPr>
              <w:t>Complaints not accepted and finalised</w:t>
            </w:r>
          </w:p>
        </w:tc>
      </w:tr>
      <w:tr w:rsidR="00BD597A" w:rsidRPr="00BD597A" w14:paraId="23C39D95" w14:textId="77777777" w:rsidTr="00B617C3">
        <w:trPr>
          <w:trHeight w:val="285"/>
        </w:trPr>
        <w:tc>
          <w:tcPr>
            <w:tcW w:w="4980" w:type="dxa"/>
            <w:shd w:val="clear" w:color="auto" w:fill="auto"/>
            <w:noWrap/>
            <w:vAlign w:val="bottom"/>
            <w:hideMark/>
          </w:tcPr>
          <w:p w14:paraId="4B569A86" w14:textId="77777777" w:rsidR="00BD597A" w:rsidRPr="00BD597A" w:rsidRDefault="00BD597A" w:rsidP="00BD597A">
            <w:pPr>
              <w:pStyle w:val="Tabletext"/>
              <w:rPr>
                <w:lang w:eastAsia="zh-CN" w:bidi="th-TH"/>
              </w:rPr>
            </w:pPr>
            <w:r w:rsidRPr="00BD597A">
              <w:rPr>
                <w:lang w:eastAsia="zh-CN" w:bidi="th-TH"/>
              </w:rPr>
              <w:t>Privacy and reputation</w:t>
            </w:r>
          </w:p>
        </w:tc>
        <w:tc>
          <w:tcPr>
            <w:tcW w:w="1966" w:type="dxa"/>
            <w:shd w:val="clear" w:color="auto" w:fill="auto"/>
            <w:noWrap/>
            <w:vAlign w:val="bottom"/>
            <w:hideMark/>
          </w:tcPr>
          <w:p w14:paraId="5472DE45" w14:textId="77777777" w:rsidR="00BD597A" w:rsidRPr="00BD597A" w:rsidRDefault="00BD597A" w:rsidP="00BD597A">
            <w:pPr>
              <w:pStyle w:val="Tabletext"/>
              <w:rPr>
                <w:lang w:eastAsia="zh-CN" w:bidi="th-TH"/>
              </w:rPr>
            </w:pPr>
            <w:r w:rsidRPr="00BD597A">
              <w:rPr>
                <w:lang w:eastAsia="zh-CN" w:bidi="th-TH"/>
              </w:rPr>
              <w:t>34</w:t>
            </w:r>
          </w:p>
        </w:tc>
        <w:tc>
          <w:tcPr>
            <w:tcW w:w="2126" w:type="dxa"/>
            <w:shd w:val="clear" w:color="auto" w:fill="auto"/>
            <w:noWrap/>
            <w:vAlign w:val="bottom"/>
            <w:hideMark/>
          </w:tcPr>
          <w:p w14:paraId="55C5E3DE" w14:textId="77777777" w:rsidR="00BD597A" w:rsidRPr="00BD597A" w:rsidRDefault="00BD597A" w:rsidP="00BD597A">
            <w:pPr>
              <w:pStyle w:val="Tabletext"/>
              <w:rPr>
                <w:lang w:eastAsia="zh-CN" w:bidi="th-TH"/>
              </w:rPr>
            </w:pPr>
            <w:r w:rsidRPr="00BD597A">
              <w:rPr>
                <w:lang w:eastAsia="zh-CN" w:bidi="th-TH"/>
              </w:rPr>
              <w:t>48</w:t>
            </w:r>
          </w:p>
        </w:tc>
      </w:tr>
      <w:tr w:rsidR="00BD597A" w:rsidRPr="00BD597A" w14:paraId="76218099" w14:textId="77777777" w:rsidTr="00B617C3">
        <w:trPr>
          <w:trHeight w:val="285"/>
        </w:trPr>
        <w:tc>
          <w:tcPr>
            <w:tcW w:w="4980" w:type="dxa"/>
            <w:shd w:val="clear" w:color="auto" w:fill="auto"/>
            <w:noWrap/>
            <w:vAlign w:val="bottom"/>
            <w:hideMark/>
          </w:tcPr>
          <w:p w14:paraId="2281201E" w14:textId="77777777" w:rsidR="00BD597A" w:rsidRPr="00BD597A" w:rsidRDefault="00BD597A" w:rsidP="00BD597A">
            <w:pPr>
              <w:pStyle w:val="Tabletext"/>
              <w:rPr>
                <w:lang w:eastAsia="zh-CN" w:bidi="th-TH"/>
              </w:rPr>
            </w:pPr>
            <w:r w:rsidRPr="00BD597A">
              <w:rPr>
                <w:lang w:eastAsia="zh-CN" w:bidi="th-TH"/>
              </w:rPr>
              <w:t>Recognition and equality before the law</w:t>
            </w:r>
          </w:p>
        </w:tc>
        <w:tc>
          <w:tcPr>
            <w:tcW w:w="1966" w:type="dxa"/>
            <w:shd w:val="clear" w:color="auto" w:fill="auto"/>
            <w:noWrap/>
            <w:vAlign w:val="bottom"/>
            <w:hideMark/>
          </w:tcPr>
          <w:p w14:paraId="4EB9E136" w14:textId="77777777" w:rsidR="00BD597A" w:rsidRPr="00BD597A" w:rsidRDefault="00BD597A" w:rsidP="00BD597A">
            <w:pPr>
              <w:pStyle w:val="Tabletext"/>
              <w:rPr>
                <w:lang w:eastAsia="zh-CN" w:bidi="th-TH"/>
              </w:rPr>
            </w:pPr>
            <w:r w:rsidRPr="00BD597A">
              <w:rPr>
                <w:lang w:eastAsia="zh-CN" w:bidi="th-TH"/>
              </w:rPr>
              <w:t>20</w:t>
            </w:r>
          </w:p>
        </w:tc>
        <w:tc>
          <w:tcPr>
            <w:tcW w:w="2126" w:type="dxa"/>
            <w:shd w:val="clear" w:color="auto" w:fill="auto"/>
            <w:noWrap/>
            <w:vAlign w:val="bottom"/>
            <w:hideMark/>
          </w:tcPr>
          <w:p w14:paraId="4C01A4F1" w14:textId="77777777" w:rsidR="00BD597A" w:rsidRPr="00BD597A" w:rsidRDefault="00BD597A" w:rsidP="00BD597A">
            <w:pPr>
              <w:pStyle w:val="Tabletext"/>
              <w:rPr>
                <w:lang w:eastAsia="zh-CN" w:bidi="th-TH"/>
              </w:rPr>
            </w:pPr>
            <w:r w:rsidRPr="00BD597A">
              <w:rPr>
                <w:lang w:eastAsia="zh-CN" w:bidi="th-TH"/>
              </w:rPr>
              <w:t>52</w:t>
            </w:r>
          </w:p>
        </w:tc>
      </w:tr>
      <w:tr w:rsidR="00BD597A" w:rsidRPr="00BD597A" w14:paraId="3162E5DB" w14:textId="77777777" w:rsidTr="00B617C3">
        <w:trPr>
          <w:trHeight w:val="285"/>
        </w:trPr>
        <w:tc>
          <w:tcPr>
            <w:tcW w:w="4980" w:type="dxa"/>
            <w:shd w:val="clear" w:color="auto" w:fill="auto"/>
            <w:noWrap/>
            <w:vAlign w:val="bottom"/>
            <w:hideMark/>
          </w:tcPr>
          <w:p w14:paraId="7E4F5F9F" w14:textId="77777777" w:rsidR="00BD597A" w:rsidRPr="00BD597A" w:rsidRDefault="00BD597A" w:rsidP="00BD597A">
            <w:pPr>
              <w:pStyle w:val="Tabletext"/>
              <w:rPr>
                <w:lang w:eastAsia="zh-CN" w:bidi="th-TH"/>
              </w:rPr>
            </w:pPr>
            <w:r w:rsidRPr="00BD597A">
              <w:rPr>
                <w:lang w:eastAsia="zh-CN" w:bidi="th-TH"/>
              </w:rPr>
              <w:t xml:space="preserve">Torture &amp; cruel, inhuman, degrading </w:t>
            </w:r>
            <w:proofErr w:type="spellStart"/>
            <w:r w:rsidRPr="00BD597A">
              <w:rPr>
                <w:lang w:eastAsia="zh-CN" w:bidi="th-TH"/>
              </w:rPr>
              <w:t>t'ment</w:t>
            </w:r>
            <w:proofErr w:type="spellEnd"/>
          </w:p>
        </w:tc>
        <w:tc>
          <w:tcPr>
            <w:tcW w:w="1966" w:type="dxa"/>
            <w:shd w:val="clear" w:color="auto" w:fill="auto"/>
            <w:noWrap/>
            <w:vAlign w:val="bottom"/>
            <w:hideMark/>
          </w:tcPr>
          <w:p w14:paraId="46144249" w14:textId="77777777" w:rsidR="00BD597A" w:rsidRPr="00BD597A" w:rsidRDefault="00BD597A" w:rsidP="00BD597A">
            <w:pPr>
              <w:pStyle w:val="Tabletext"/>
              <w:rPr>
                <w:lang w:eastAsia="zh-CN" w:bidi="th-TH"/>
              </w:rPr>
            </w:pPr>
            <w:r w:rsidRPr="00BD597A">
              <w:rPr>
                <w:lang w:eastAsia="zh-CN" w:bidi="th-TH"/>
              </w:rPr>
              <w:t>22</w:t>
            </w:r>
          </w:p>
        </w:tc>
        <w:tc>
          <w:tcPr>
            <w:tcW w:w="2126" w:type="dxa"/>
            <w:shd w:val="clear" w:color="auto" w:fill="auto"/>
            <w:noWrap/>
            <w:vAlign w:val="bottom"/>
            <w:hideMark/>
          </w:tcPr>
          <w:p w14:paraId="123FB72D" w14:textId="77777777" w:rsidR="00BD597A" w:rsidRPr="00BD597A" w:rsidRDefault="00BD597A" w:rsidP="00BD597A">
            <w:pPr>
              <w:pStyle w:val="Tabletext"/>
              <w:rPr>
                <w:lang w:eastAsia="zh-CN" w:bidi="th-TH"/>
              </w:rPr>
            </w:pPr>
            <w:r w:rsidRPr="00BD597A">
              <w:rPr>
                <w:lang w:eastAsia="zh-CN" w:bidi="th-TH"/>
              </w:rPr>
              <w:t>31</w:t>
            </w:r>
          </w:p>
        </w:tc>
      </w:tr>
      <w:tr w:rsidR="00BD597A" w:rsidRPr="00BD597A" w14:paraId="22D24EA5" w14:textId="77777777" w:rsidTr="00B617C3">
        <w:trPr>
          <w:trHeight w:val="285"/>
        </w:trPr>
        <w:tc>
          <w:tcPr>
            <w:tcW w:w="4980" w:type="dxa"/>
            <w:shd w:val="clear" w:color="auto" w:fill="auto"/>
            <w:noWrap/>
            <w:vAlign w:val="bottom"/>
            <w:hideMark/>
          </w:tcPr>
          <w:p w14:paraId="3A18D85A" w14:textId="77777777" w:rsidR="00BD597A" w:rsidRPr="00BD597A" w:rsidRDefault="00BD597A" w:rsidP="00BD597A">
            <w:pPr>
              <w:pStyle w:val="Tabletext"/>
              <w:rPr>
                <w:lang w:eastAsia="zh-CN" w:bidi="th-TH"/>
              </w:rPr>
            </w:pPr>
            <w:r w:rsidRPr="00BD597A">
              <w:rPr>
                <w:lang w:eastAsia="zh-CN" w:bidi="th-TH"/>
              </w:rPr>
              <w:t>Humane treatment when deprived of liberty</w:t>
            </w:r>
          </w:p>
        </w:tc>
        <w:tc>
          <w:tcPr>
            <w:tcW w:w="1966" w:type="dxa"/>
            <w:shd w:val="clear" w:color="auto" w:fill="auto"/>
            <w:noWrap/>
            <w:vAlign w:val="bottom"/>
            <w:hideMark/>
          </w:tcPr>
          <w:p w14:paraId="6630CDB5" w14:textId="77777777" w:rsidR="00BD597A" w:rsidRPr="00BD597A" w:rsidRDefault="00BD597A" w:rsidP="00BD597A">
            <w:pPr>
              <w:pStyle w:val="Tabletext"/>
              <w:rPr>
                <w:lang w:eastAsia="zh-CN" w:bidi="th-TH"/>
              </w:rPr>
            </w:pPr>
            <w:r w:rsidRPr="00BD597A">
              <w:rPr>
                <w:lang w:eastAsia="zh-CN" w:bidi="th-TH"/>
              </w:rPr>
              <w:t>19</w:t>
            </w:r>
          </w:p>
        </w:tc>
        <w:tc>
          <w:tcPr>
            <w:tcW w:w="2126" w:type="dxa"/>
            <w:shd w:val="clear" w:color="auto" w:fill="auto"/>
            <w:noWrap/>
            <w:vAlign w:val="bottom"/>
            <w:hideMark/>
          </w:tcPr>
          <w:p w14:paraId="795090DC" w14:textId="77777777" w:rsidR="00BD597A" w:rsidRPr="00BD597A" w:rsidRDefault="00BD597A" w:rsidP="00BD597A">
            <w:pPr>
              <w:pStyle w:val="Tabletext"/>
              <w:rPr>
                <w:lang w:eastAsia="zh-CN" w:bidi="th-TH"/>
              </w:rPr>
            </w:pPr>
            <w:r w:rsidRPr="00BD597A">
              <w:rPr>
                <w:lang w:eastAsia="zh-CN" w:bidi="th-TH"/>
              </w:rPr>
              <w:t>26</w:t>
            </w:r>
          </w:p>
        </w:tc>
      </w:tr>
      <w:tr w:rsidR="00BD597A" w:rsidRPr="00BD597A" w14:paraId="044DA214" w14:textId="77777777" w:rsidTr="00B617C3">
        <w:trPr>
          <w:trHeight w:val="285"/>
        </w:trPr>
        <w:tc>
          <w:tcPr>
            <w:tcW w:w="4980" w:type="dxa"/>
            <w:shd w:val="clear" w:color="auto" w:fill="auto"/>
            <w:noWrap/>
            <w:vAlign w:val="bottom"/>
            <w:hideMark/>
          </w:tcPr>
          <w:p w14:paraId="791FDA31" w14:textId="77777777" w:rsidR="00BD597A" w:rsidRPr="00BD597A" w:rsidRDefault="00BD597A" w:rsidP="00BD597A">
            <w:pPr>
              <w:pStyle w:val="Tabletext"/>
              <w:rPr>
                <w:lang w:eastAsia="zh-CN" w:bidi="th-TH"/>
              </w:rPr>
            </w:pPr>
            <w:r w:rsidRPr="00BD597A">
              <w:rPr>
                <w:lang w:eastAsia="zh-CN" w:bidi="th-TH"/>
              </w:rPr>
              <w:t>Protection of families and children</w:t>
            </w:r>
          </w:p>
        </w:tc>
        <w:tc>
          <w:tcPr>
            <w:tcW w:w="1966" w:type="dxa"/>
            <w:shd w:val="clear" w:color="auto" w:fill="auto"/>
            <w:noWrap/>
            <w:vAlign w:val="bottom"/>
            <w:hideMark/>
          </w:tcPr>
          <w:p w14:paraId="56028A3A" w14:textId="77777777" w:rsidR="00BD597A" w:rsidRPr="00BD597A" w:rsidRDefault="00BD597A" w:rsidP="00BD597A">
            <w:pPr>
              <w:pStyle w:val="Tabletext"/>
              <w:rPr>
                <w:lang w:eastAsia="zh-CN" w:bidi="th-TH"/>
              </w:rPr>
            </w:pPr>
            <w:r w:rsidRPr="00BD597A">
              <w:rPr>
                <w:lang w:eastAsia="zh-CN" w:bidi="th-TH"/>
              </w:rPr>
              <w:t>16</w:t>
            </w:r>
          </w:p>
        </w:tc>
        <w:tc>
          <w:tcPr>
            <w:tcW w:w="2126" w:type="dxa"/>
            <w:shd w:val="clear" w:color="auto" w:fill="auto"/>
            <w:noWrap/>
            <w:vAlign w:val="bottom"/>
            <w:hideMark/>
          </w:tcPr>
          <w:p w14:paraId="3A7DB9CC" w14:textId="77777777" w:rsidR="00BD597A" w:rsidRPr="00BD597A" w:rsidRDefault="00BD597A" w:rsidP="00BD597A">
            <w:pPr>
              <w:pStyle w:val="Tabletext"/>
              <w:rPr>
                <w:lang w:eastAsia="zh-CN" w:bidi="th-TH"/>
              </w:rPr>
            </w:pPr>
            <w:r w:rsidRPr="00BD597A">
              <w:rPr>
                <w:lang w:eastAsia="zh-CN" w:bidi="th-TH"/>
              </w:rPr>
              <w:t>24</w:t>
            </w:r>
          </w:p>
        </w:tc>
      </w:tr>
      <w:tr w:rsidR="00BD597A" w:rsidRPr="00BD597A" w14:paraId="22C3189F" w14:textId="77777777" w:rsidTr="00B617C3">
        <w:trPr>
          <w:trHeight w:val="285"/>
        </w:trPr>
        <w:tc>
          <w:tcPr>
            <w:tcW w:w="4980" w:type="dxa"/>
            <w:shd w:val="clear" w:color="auto" w:fill="auto"/>
            <w:noWrap/>
            <w:vAlign w:val="bottom"/>
            <w:hideMark/>
          </w:tcPr>
          <w:p w14:paraId="314F7A03" w14:textId="77777777" w:rsidR="00BD597A" w:rsidRPr="00BD597A" w:rsidRDefault="00BD597A" w:rsidP="00BD597A">
            <w:pPr>
              <w:pStyle w:val="Tabletext"/>
              <w:rPr>
                <w:lang w:eastAsia="zh-CN" w:bidi="th-TH"/>
              </w:rPr>
            </w:pPr>
            <w:r w:rsidRPr="00BD597A">
              <w:rPr>
                <w:lang w:eastAsia="zh-CN" w:bidi="th-TH"/>
              </w:rPr>
              <w:t>Right to health services</w:t>
            </w:r>
          </w:p>
        </w:tc>
        <w:tc>
          <w:tcPr>
            <w:tcW w:w="1966" w:type="dxa"/>
            <w:shd w:val="clear" w:color="auto" w:fill="auto"/>
            <w:noWrap/>
            <w:vAlign w:val="bottom"/>
            <w:hideMark/>
          </w:tcPr>
          <w:p w14:paraId="51088707" w14:textId="77777777" w:rsidR="00BD597A" w:rsidRPr="00BD597A" w:rsidRDefault="00BD597A" w:rsidP="00BD597A">
            <w:pPr>
              <w:pStyle w:val="Tabletext"/>
              <w:rPr>
                <w:lang w:eastAsia="zh-CN" w:bidi="th-TH"/>
              </w:rPr>
            </w:pPr>
            <w:r w:rsidRPr="00BD597A">
              <w:rPr>
                <w:lang w:eastAsia="zh-CN" w:bidi="th-TH"/>
              </w:rPr>
              <w:t>13</w:t>
            </w:r>
          </w:p>
        </w:tc>
        <w:tc>
          <w:tcPr>
            <w:tcW w:w="2126" w:type="dxa"/>
            <w:shd w:val="clear" w:color="auto" w:fill="auto"/>
            <w:noWrap/>
            <w:vAlign w:val="bottom"/>
            <w:hideMark/>
          </w:tcPr>
          <w:p w14:paraId="4F30EB63" w14:textId="77777777" w:rsidR="00BD597A" w:rsidRPr="00BD597A" w:rsidRDefault="00BD597A" w:rsidP="00BD597A">
            <w:pPr>
              <w:pStyle w:val="Tabletext"/>
              <w:rPr>
                <w:lang w:eastAsia="zh-CN" w:bidi="th-TH"/>
              </w:rPr>
            </w:pPr>
            <w:r w:rsidRPr="00BD597A">
              <w:rPr>
                <w:lang w:eastAsia="zh-CN" w:bidi="th-TH"/>
              </w:rPr>
              <w:t>25</w:t>
            </w:r>
          </w:p>
        </w:tc>
      </w:tr>
      <w:tr w:rsidR="00BD597A" w:rsidRPr="00BD597A" w14:paraId="71967C37" w14:textId="77777777" w:rsidTr="00B617C3">
        <w:trPr>
          <w:trHeight w:val="285"/>
        </w:trPr>
        <w:tc>
          <w:tcPr>
            <w:tcW w:w="4980" w:type="dxa"/>
            <w:shd w:val="clear" w:color="auto" w:fill="auto"/>
            <w:noWrap/>
            <w:vAlign w:val="bottom"/>
            <w:hideMark/>
          </w:tcPr>
          <w:p w14:paraId="31945591" w14:textId="77777777" w:rsidR="00BD597A" w:rsidRPr="00BD597A" w:rsidRDefault="00BD597A" w:rsidP="00BD597A">
            <w:pPr>
              <w:pStyle w:val="Tabletext"/>
              <w:rPr>
                <w:lang w:eastAsia="zh-CN" w:bidi="th-TH"/>
              </w:rPr>
            </w:pPr>
            <w:r w:rsidRPr="00BD597A">
              <w:rPr>
                <w:lang w:eastAsia="zh-CN" w:bidi="th-TH"/>
              </w:rPr>
              <w:t>Fair hearing</w:t>
            </w:r>
          </w:p>
        </w:tc>
        <w:tc>
          <w:tcPr>
            <w:tcW w:w="1966" w:type="dxa"/>
            <w:shd w:val="clear" w:color="auto" w:fill="auto"/>
            <w:noWrap/>
            <w:vAlign w:val="bottom"/>
            <w:hideMark/>
          </w:tcPr>
          <w:p w14:paraId="22A3724C" w14:textId="77777777" w:rsidR="00BD597A" w:rsidRPr="00BD597A" w:rsidRDefault="00BD597A" w:rsidP="00BD597A">
            <w:pPr>
              <w:pStyle w:val="Tabletext"/>
              <w:rPr>
                <w:lang w:eastAsia="zh-CN" w:bidi="th-TH"/>
              </w:rPr>
            </w:pPr>
            <w:r w:rsidRPr="00BD597A">
              <w:rPr>
                <w:lang w:eastAsia="zh-CN" w:bidi="th-TH"/>
              </w:rPr>
              <w:t>1</w:t>
            </w:r>
          </w:p>
        </w:tc>
        <w:tc>
          <w:tcPr>
            <w:tcW w:w="2126" w:type="dxa"/>
            <w:shd w:val="clear" w:color="auto" w:fill="auto"/>
            <w:noWrap/>
            <w:vAlign w:val="bottom"/>
            <w:hideMark/>
          </w:tcPr>
          <w:p w14:paraId="7364802F" w14:textId="77777777" w:rsidR="00BD597A" w:rsidRPr="00BD597A" w:rsidRDefault="00BD597A" w:rsidP="00BD597A">
            <w:pPr>
              <w:pStyle w:val="Tabletext"/>
              <w:rPr>
                <w:lang w:eastAsia="zh-CN" w:bidi="th-TH"/>
              </w:rPr>
            </w:pPr>
            <w:r w:rsidRPr="00BD597A">
              <w:rPr>
                <w:lang w:eastAsia="zh-CN" w:bidi="th-TH"/>
              </w:rPr>
              <w:t>27</w:t>
            </w:r>
          </w:p>
        </w:tc>
      </w:tr>
      <w:tr w:rsidR="00BD597A" w:rsidRPr="00BD597A" w14:paraId="633B85CA" w14:textId="77777777" w:rsidTr="00B617C3">
        <w:trPr>
          <w:trHeight w:val="285"/>
        </w:trPr>
        <w:tc>
          <w:tcPr>
            <w:tcW w:w="4980" w:type="dxa"/>
            <w:shd w:val="clear" w:color="auto" w:fill="auto"/>
            <w:noWrap/>
            <w:vAlign w:val="bottom"/>
            <w:hideMark/>
          </w:tcPr>
          <w:p w14:paraId="35282E9C" w14:textId="77777777" w:rsidR="00BD597A" w:rsidRPr="00BD597A" w:rsidRDefault="00BD597A" w:rsidP="00BD597A">
            <w:pPr>
              <w:pStyle w:val="Tabletext"/>
              <w:rPr>
                <w:lang w:eastAsia="zh-CN" w:bidi="th-TH"/>
              </w:rPr>
            </w:pPr>
            <w:r w:rsidRPr="00BD597A">
              <w:rPr>
                <w:lang w:eastAsia="zh-CN" w:bidi="th-TH"/>
              </w:rPr>
              <w:t>Freedom of expression</w:t>
            </w:r>
          </w:p>
        </w:tc>
        <w:tc>
          <w:tcPr>
            <w:tcW w:w="1966" w:type="dxa"/>
            <w:shd w:val="clear" w:color="auto" w:fill="auto"/>
            <w:noWrap/>
            <w:vAlign w:val="bottom"/>
            <w:hideMark/>
          </w:tcPr>
          <w:p w14:paraId="6190EE69" w14:textId="77777777" w:rsidR="00BD597A" w:rsidRPr="00BD597A" w:rsidRDefault="00BD597A" w:rsidP="00BD597A">
            <w:pPr>
              <w:pStyle w:val="Tabletext"/>
              <w:rPr>
                <w:lang w:eastAsia="zh-CN" w:bidi="th-TH"/>
              </w:rPr>
            </w:pPr>
            <w:r w:rsidRPr="00BD597A">
              <w:rPr>
                <w:lang w:eastAsia="zh-CN" w:bidi="th-TH"/>
              </w:rPr>
              <w:t>8</w:t>
            </w:r>
          </w:p>
        </w:tc>
        <w:tc>
          <w:tcPr>
            <w:tcW w:w="2126" w:type="dxa"/>
            <w:shd w:val="clear" w:color="auto" w:fill="auto"/>
            <w:noWrap/>
            <w:vAlign w:val="bottom"/>
            <w:hideMark/>
          </w:tcPr>
          <w:p w14:paraId="101726E3" w14:textId="77777777" w:rsidR="00BD597A" w:rsidRPr="00BD597A" w:rsidRDefault="00BD597A" w:rsidP="00BD597A">
            <w:pPr>
              <w:pStyle w:val="Tabletext"/>
              <w:rPr>
                <w:lang w:eastAsia="zh-CN" w:bidi="th-TH"/>
              </w:rPr>
            </w:pPr>
            <w:r w:rsidRPr="00BD597A">
              <w:rPr>
                <w:lang w:eastAsia="zh-CN" w:bidi="th-TH"/>
              </w:rPr>
              <w:t>18</w:t>
            </w:r>
          </w:p>
        </w:tc>
      </w:tr>
      <w:tr w:rsidR="00BD597A" w:rsidRPr="00BD597A" w14:paraId="5831D0A8" w14:textId="77777777" w:rsidTr="00B617C3">
        <w:trPr>
          <w:trHeight w:val="285"/>
        </w:trPr>
        <w:tc>
          <w:tcPr>
            <w:tcW w:w="4980" w:type="dxa"/>
            <w:shd w:val="clear" w:color="auto" w:fill="auto"/>
            <w:noWrap/>
            <w:vAlign w:val="bottom"/>
            <w:hideMark/>
          </w:tcPr>
          <w:p w14:paraId="7D88807A" w14:textId="77777777" w:rsidR="00BD597A" w:rsidRPr="00BD597A" w:rsidRDefault="00BD597A" w:rsidP="00BD597A">
            <w:pPr>
              <w:pStyle w:val="Tabletext"/>
              <w:rPr>
                <w:lang w:eastAsia="zh-CN" w:bidi="th-TH"/>
              </w:rPr>
            </w:pPr>
            <w:r w:rsidRPr="00BD597A">
              <w:rPr>
                <w:lang w:eastAsia="zh-CN" w:bidi="th-TH"/>
              </w:rPr>
              <w:t>Freedom of movement</w:t>
            </w:r>
          </w:p>
        </w:tc>
        <w:tc>
          <w:tcPr>
            <w:tcW w:w="1966" w:type="dxa"/>
            <w:shd w:val="clear" w:color="auto" w:fill="auto"/>
            <w:noWrap/>
            <w:vAlign w:val="bottom"/>
            <w:hideMark/>
          </w:tcPr>
          <w:p w14:paraId="78B5D050" w14:textId="77777777" w:rsidR="00BD597A" w:rsidRPr="00BD597A" w:rsidRDefault="00BD597A" w:rsidP="00BD597A">
            <w:pPr>
              <w:pStyle w:val="Tabletext"/>
              <w:rPr>
                <w:lang w:eastAsia="zh-CN" w:bidi="th-TH"/>
              </w:rPr>
            </w:pPr>
            <w:r w:rsidRPr="00BD597A">
              <w:rPr>
                <w:lang w:eastAsia="zh-CN" w:bidi="th-TH"/>
              </w:rPr>
              <w:t>6</w:t>
            </w:r>
          </w:p>
        </w:tc>
        <w:tc>
          <w:tcPr>
            <w:tcW w:w="2126" w:type="dxa"/>
            <w:shd w:val="clear" w:color="auto" w:fill="auto"/>
            <w:noWrap/>
            <w:vAlign w:val="bottom"/>
            <w:hideMark/>
          </w:tcPr>
          <w:p w14:paraId="720580F9" w14:textId="77777777" w:rsidR="00BD597A" w:rsidRPr="00BD597A" w:rsidRDefault="00BD597A" w:rsidP="00BD597A">
            <w:pPr>
              <w:pStyle w:val="Tabletext"/>
              <w:rPr>
                <w:lang w:eastAsia="zh-CN" w:bidi="th-TH"/>
              </w:rPr>
            </w:pPr>
            <w:r w:rsidRPr="00BD597A">
              <w:rPr>
                <w:lang w:eastAsia="zh-CN" w:bidi="th-TH"/>
              </w:rPr>
              <w:t>20</w:t>
            </w:r>
          </w:p>
        </w:tc>
      </w:tr>
      <w:tr w:rsidR="00BD597A" w:rsidRPr="00BD597A" w14:paraId="70DFF7DF" w14:textId="77777777" w:rsidTr="00B617C3">
        <w:trPr>
          <w:trHeight w:val="285"/>
        </w:trPr>
        <w:tc>
          <w:tcPr>
            <w:tcW w:w="4980" w:type="dxa"/>
            <w:shd w:val="clear" w:color="auto" w:fill="auto"/>
            <w:noWrap/>
            <w:vAlign w:val="bottom"/>
            <w:hideMark/>
          </w:tcPr>
          <w:p w14:paraId="0A1EB525" w14:textId="77777777" w:rsidR="00BD597A" w:rsidRPr="00BD597A" w:rsidRDefault="00BD597A" w:rsidP="00BD597A">
            <w:pPr>
              <w:pStyle w:val="Tabletext"/>
              <w:rPr>
                <w:lang w:eastAsia="zh-CN" w:bidi="th-TH"/>
              </w:rPr>
            </w:pPr>
            <w:r w:rsidRPr="00BD597A">
              <w:rPr>
                <w:lang w:eastAsia="zh-CN" w:bidi="th-TH"/>
              </w:rPr>
              <w:t>Right to liberty and security of person</w:t>
            </w:r>
          </w:p>
        </w:tc>
        <w:tc>
          <w:tcPr>
            <w:tcW w:w="1966" w:type="dxa"/>
            <w:shd w:val="clear" w:color="auto" w:fill="auto"/>
            <w:noWrap/>
            <w:vAlign w:val="bottom"/>
            <w:hideMark/>
          </w:tcPr>
          <w:p w14:paraId="5718066F" w14:textId="77777777" w:rsidR="00BD597A" w:rsidRPr="00BD597A" w:rsidRDefault="00BD597A" w:rsidP="00BD597A">
            <w:pPr>
              <w:pStyle w:val="Tabletext"/>
              <w:rPr>
                <w:lang w:eastAsia="zh-CN" w:bidi="th-TH"/>
              </w:rPr>
            </w:pPr>
            <w:r w:rsidRPr="00BD597A">
              <w:rPr>
                <w:lang w:eastAsia="zh-CN" w:bidi="th-TH"/>
              </w:rPr>
              <w:t>5</w:t>
            </w:r>
          </w:p>
        </w:tc>
        <w:tc>
          <w:tcPr>
            <w:tcW w:w="2126" w:type="dxa"/>
            <w:shd w:val="clear" w:color="auto" w:fill="auto"/>
            <w:noWrap/>
            <w:vAlign w:val="bottom"/>
            <w:hideMark/>
          </w:tcPr>
          <w:p w14:paraId="4FBBC0CA" w14:textId="77777777" w:rsidR="00BD597A" w:rsidRPr="00BD597A" w:rsidRDefault="00BD597A" w:rsidP="00BD597A">
            <w:pPr>
              <w:pStyle w:val="Tabletext"/>
              <w:rPr>
                <w:lang w:eastAsia="zh-CN" w:bidi="th-TH"/>
              </w:rPr>
            </w:pPr>
            <w:r w:rsidRPr="00BD597A">
              <w:rPr>
                <w:lang w:eastAsia="zh-CN" w:bidi="th-TH"/>
              </w:rPr>
              <w:t>20</w:t>
            </w:r>
          </w:p>
        </w:tc>
      </w:tr>
      <w:tr w:rsidR="00BD597A" w:rsidRPr="00BD597A" w14:paraId="2884AD86" w14:textId="77777777" w:rsidTr="00B617C3">
        <w:trPr>
          <w:trHeight w:val="285"/>
        </w:trPr>
        <w:tc>
          <w:tcPr>
            <w:tcW w:w="4980" w:type="dxa"/>
            <w:shd w:val="clear" w:color="auto" w:fill="auto"/>
            <w:noWrap/>
            <w:vAlign w:val="bottom"/>
            <w:hideMark/>
          </w:tcPr>
          <w:p w14:paraId="5B3514D4" w14:textId="77777777" w:rsidR="00BD597A" w:rsidRPr="00BD597A" w:rsidRDefault="00BD597A" w:rsidP="00BD597A">
            <w:pPr>
              <w:pStyle w:val="Tabletext"/>
              <w:rPr>
                <w:lang w:eastAsia="zh-CN" w:bidi="th-TH"/>
              </w:rPr>
            </w:pPr>
            <w:r w:rsidRPr="00BD597A">
              <w:rPr>
                <w:lang w:eastAsia="zh-CN" w:bidi="th-TH"/>
              </w:rPr>
              <w:t>Right to life</w:t>
            </w:r>
          </w:p>
        </w:tc>
        <w:tc>
          <w:tcPr>
            <w:tcW w:w="1966" w:type="dxa"/>
            <w:shd w:val="clear" w:color="auto" w:fill="auto"/>
            <w:noWrap/>
            <w:vAlign w:val="bottom"/>
            <w:hideMark/>
          </w:tcPr>
          <w:p w14:paraId="1E6CFBBC" w14:textId="77777777" w:rsidR="00BD597A" w:rsidRPr="00BD597A" w:rsidRDefault="00BD597A" w:rsidP="00BD597A">
            <w:pPr>
              <w:pStyle w:val="Tabletext"/>
              <w:rPr>
                <w:lang w:eastAsia="zh-CN" w:bidi="th-TH"/>
              </w:rPr>
            </w:pPr>
            <w:r w:rsidRPr="00BD597A">
              <w:rPr>
                <w:lang w:eastAsia="zh-CN" w:bidi="th-TH"/>
              </w:rPr>
              <w:t>2</w:t>
            </w:r>
          </w:p>
        </w:tc>
        <w:tc>
          <w:tcPr>
            <w:tcW w:w="2126" w:type="dxa"/>
            <w:shd w:val="clear" w:color="auto" w:fill="auto"/>
            <w:noWrap/>
            <w:vAlign w:val="bottom"/>
            <w:hideMark/>
          </w:tcPr>
          <w:p w14:paraId="5602124B" w14:textId="77777777" w:rsidR="00BD597A" w:rsidRPr="00BD597A" w:rsidRDefault="00BD597A" w:rsidP="00BD597A">
            <w:pPr>
              <w:pStyle w:val="Tabletext"/>
              <w:rPr>
                <w:lang w:eastAsia="zh-CN" w:bidi="th-TH"/>
              </w:rPr>
            </w:pPr>
            <w:r w:rsidRPr="00BD597A">
              <w:rPr>
                <w:lang w:eastAsia="zh-CN" w:bidi="th-TH"/>
              </w:rPr>
              <w:t>22</w:t>
            </w:r>
          </w:p>
        </w:tc>
      </w:tr>
      <w:tr w:rsidR="00BD597A" w:rsidRPr="00BD597A" w14:paraId="1B7752EA" w14:textId="77777777" w:rsidTr="00B617C3">
        <w:trPr>
          <w:trHeight w:val="285"/>
        </w:trPr>
        <w:tc>
          <w:tcPr>
            <w:tcW w:w="4980" w:type="dxa"/>
            <w:shd w:val="clear" w:color="auto" w:fill="auto"/>
            <w:noWrap/>
            <w:vAlign w:val="bottom"/>
            <w:hideMark/>
          </w:tcPr>
          <w:p w14:paraId="0501C533" w14:textId="77777777" w:rsidR="00BD597A" w:rsidRPr="00BD597A" w:rsidRDefault="00BD597A" w:rsidP="00BD597A">
            <w:pPr>
              <w:pStyle w:val="Tabletext"/>
              <w:rPr>
                <w:lang w:eastAsia="zh-CN" w:bidi="th-TH"/>
              </w:rPr>
            </w:pPr>
            <w:r w:rsidRPr="00BD597A">
              <w:rPr>
                <w:lang w:eastAsia="zh-CN" w:bidi="th-TH"/>
              </w:rPr>
              <w:t>Property rights</w:t>
            </w:r>
          </w:p>
        </w:tc>
        <w:tc>
          <w:tcPr>
            <w:tcW w:w="1966" w:type="dxa"/>
            <w:shd w:val="clear" w:color="auto" w:fill="auto"/>
            <w:noWrap/>
            <w:vAlign w:val="bottom"/>
            <w:hideMark/>
          </w:tcPr>
          <w:p w14:paraId="2FF6EF00" w14:textId="77777777" w:rsidR="00BD597A" w:rsidRPr="00BD597A" w:rsidRDefault="00BD597A" w:rsidP="00BD597A">
            <w:pPr>
              <w:pStyle w:val="Tabletext"/>
              <w:rPr>
                <w:lang w:eastAsia="zh-CN" w:bidi="th-TH"/>
              </w:rPr>
            </w:pPr>
            <w:r w:rsidRPr="00BD597A">
              <w:rPr>
                <w:lang w:eastAsia="zh-CN" w:bidi="th-TH"/>
              </w:rPr>
              <w:t>3</w:t>
            </w:r>
          </w:p>
        </w:tc>
        <w:tc>
          <w:tcPr>
            <w:tcW w:w="2126" w:type="dxa"/>
            <w:shd w:val="clear" w:color="auto" w:fill="auto"/>
            <w:noWrap/>
            <w:vAlign w:val="bottom"/>
            <w:hideMark/>
          </w:tcPr>
          <w:p w14:paraId="2F3B92B1" w14:textId="77777777" w:rsidR="00BD597A" w:rsidRPr="00BD597A" w:rsidRDefault="00BD597A" w:rsidP="00BD597A">
            <w:pPr>
              <w:pStyle w:val="Tabletext"/>
              <w:rPr>
                <w:lang w:eastAsia="zh-CN" w:bidi="th-TH"/>
              </w:rPr>
            </w:pPr>
            <w:r w:rsidRPr="00BD597A">
              <w:rPr>
                <w:lang w:eastAsia="zh-CN" w:bidi="th-TH"/>
              </w:rPr>
              <w:t>21</w:t>
            </w:r>
          </w:p>
        </w:tc>
      </w:tr>
      <w:tr w:rsidR="00BD597A" w:rsidRPr="00BD597A" w14:paraId="4841A5D9" w14:textId="77777777" w:rsidTr="00B617C3">
        <w:trPr>
          <w:trHeight w:val="285"/>
        </w:trPr>
        <w:tc>
          <w:tcPr>
            <w:tcW w:w="4980" w:type="dxa"/>
            <w:shd w:val="clear" w:color="auto" w:fill="auto"/>
            <w:noWrap/>
            <w:vAlign w:val="bottom"/>
            <w:hideMark/>
          </w:tcPr>
          <w:p w14:paraId="4BB4A0D7" w14:textId="77777777" w:rsidR="00BD597A" w:rsidRPr="00BD597A" w:rsidRDefault="00BD597A" w:rsidP="00BD597A">
            <w:pPr>
              <w:pStyle w:val="Tabletext"/>
              <w:rPr>
                <w:lang w:eastAsia="zh-CN" w:bidi="th-TH"/>
              </w:rPr>
            </w:pPr>
            <w:r w:rsidRPr="00BD597A">
              <w:rPr>
                <w:lang w:eastAsia="zh-CN" w:bidi="th-TH"/>
              </w:rPr>
              <w:t>Freedom of thought, conscience, religion</w:t>
            </w:r>
          </w:p>
        </w:tc>
        <w:tc>
          <w:tcPr>
            <w:tcW w:w="1966" w:type="dxa"/>
            <w:shd w:val="clear" w:color="auto" w:fill="auto"/>
            <w:noWrap/>
            <w:vAlign w:val="bottom"/>
            <w:hideMark/>
          </w:tcPr>
          <w:p w14:paraId="6B8B3D08" w14:textId="48613401" w:rsidR="00BD597A" w:rsidRPr="00BD597A" w:rsidRDefault="00B617C3" w:rsidP="00BD597A">
            <w:pPr>
              <w:pStyle w:val="Tabletext"/>
              <w:rPr>
                <w:lang w:eastAsia="zh-CN" w:bidi="th-TH"/>
              </w:rPr>
            </w:pPr>
            <w:r>
              <w:rPr>
                <w:lang w:eastAsia="zh-CN" w:bidi="th-TH"/>
              </w:rPr>
              <w:t>0</w:t>
            </w:r>
          </w:p>
        </w:tc>
        <w:tc>
          <w:tcPr>
            <w:tcW w:w="2126" w:type="dxa"/>
            <w:shd w:val="clear" w:color="auto" w:fill="auto"/>
            <w:noWrap/>
            <w:vAlign w:val="bottom"/>
            <w:hideMark/>
          </w:tcPr>
          <w:p w14:paraId="57B14F72" w14:textId="77777777" w:rsidR="00BD597A" w:rsidRPr="00BD597A" w:rsidRDefault="00BD597A" w:rsidP="00BD597A">
            <w:pPr>
              <w:pStyle w:val="Tabletext"/>
              <w:rPr>
                <w:lang w:eastAsia="zh-CN" w:bidi="th-TH"/>
              </w:rPr>
            </w:pPr>
            <w:r w:rsidRPr="00BD597A">
              <w:rPr>
                <w:lang w:eastAsia="zh-CN" w:bidi="th-TH"/>
              </w:rPr>
              <w:t>14</w:t>
            </w:r>
          </w:p>
        </w:tc>
      </w:tr>
      <w:tr w:rsidR="00BD597A" w:rsidRPr="00BD597A" w14:paraId="44FA4E7A" w14:textId="77777777" w:rsidTr="00B617C3">
        <w:trPr>
          <w:trHeight w:val="285"/>
        </w:trPr>
        <w:tc>
          <w:tcPr>
            <w:tcW w:w="4980" w:type="dxa"/>
            <w:shd w:val="clear" w:color="auto" w:fill="auto"/>
            <w:noWrap/>
            <w:vAlign w:val="bottom"/>
            <w:hideMark/>
          </w:tcPr>
          <w:p w14:paraId="19846315" w14:textId="77777777" w:rsidR="00BD597A" w:rsidRPr="00BD597A" w:rsidRDefault="00BD597A" w:rsidP="00BD597A">
            <w:pPr>
              <w:pStyle w:val="Tabletext"/>
              <w:rPr>
                <w:lang w:eastAsia="zh-CN" w:bidi="th-TH"/>
              </w:rPr>
            </w:pPr>
            <w:r w:rsidRPr="00BD597A">
              <w:rPr>
                <w:lang w:eastAsia="zh-CN" w:bidi="th-TH"/>
              </w:rPr>
              <w:t>Rights in criminal proceedings</w:t>
            </w:r>
          </w:p>
        </w:tc>
        <w:tc>
          <w:tcPr>
            <w:tcW w:w="1966" w:type="dxa"/>
            <w:shd w:val="clear" w:color="auto" w:fill="auto"/>
            <w:noWrap/>
            <w:vAlign w:val="bottom"/>
            <w:hideMark/>
          </w:tcPr>
          <w:p w14:paraId="06D9C9AA" w14:textId="5414EA7F" w:rsidR="00BD597A" w:rsidRPr="00BD597A" w:rsidRDefault="00B617C3" w:rsidP="00BD597A">
            <w:pPr>
              <w:pStyle w:val="Tabletext"/>
              <w:rPr>
                <w:lang w:eastAsia="zh-CN" w:bidi="th-TH"/>
              </w:rPr>
            </w:pPr>
            <w:r>
              <w:rPr>
                <w:lang w:eastAsia="zh-CN" w:bidi="th-TH"/>
              </w:rPr>
              <w:t>0</w:t>
            </w:r>
          </w:p>
        </w:tc>
        <w:tc>
          <w:tcPr>
            <w:tcW w:w="2126" w:type="dxa"/>
            <w:shd w:val="clear" w:color="auto" w:fill="auto"/>
            <w:noWrap/>
            <w:vAlign w:val="bottom"/>
            <w:hideMark/>
          </w:tcPr>
          <w:p w14:paraId="6C1A389A" w14:textId="77777777" w:rsidR="00BD597A" w:rsidRPr="00BD597A" w:rsidRDefault="00BD597A" w:rsidP="00BD597A">
            <w:pPr>
              <w:pStyle w:val="Tabletext"/>
              <w:rPr>
                <w:lang w:eastAsia="zh-CN" w:bidi="th-TH"/>
              </w:rPr>
            </w:pPr>
            <w:r w:rsidRPr="00BD597A">
              <w:rPr>
                <w:lang w:eastAsia="zh-CN" w:bidi="th-TH"/>
              </w:rPr>
              <w:t>9</w:t>
            </w:r>
          </w:p>
        </w:tc>
      </w:tr>
      <w:tr w:rsidR="00BD597A" w:rsidRPr="00BD597A" w14:paraId="1C890DCE" w14:textId="77777777" w:rsidTr="00B617C3">
        <w:trPr>
          <w:trHeight w:val="285"/>
        </w:trPr>
        <w:tc>
          <w:tcPr>
            <w:tcW w:w="4980" w:type="dxa"/>
            <w:shd w:val="clear" w:color="auto" w:fill="auto"/>
            <w:noWrap/>
            <w:vAlign w:val="bottom"/>
            <w:hideMark/>
          </w:tcPr>
          <w:p w14:paraId="51A172C4" w14:textId="77777777" w:rsidR="00BD597A" w:rsidRPr="00BD597A" w:rsidRDefault="00BD597A" w:rsidP="00BD597A">
            <w:pPr>
              <w:pStyle w:val="Tabletext"/>
              <w:rPr>
                <w:lang w:eastAsia="zh-CN" w:bidi="th-TH"/>
              </w:rPr>
            </w:pPr>
            <w:r w:rsidRPr="00BD597A">
              <w:rPr>
                <w:lang w:eastAsia="zh-CN" w:bidi="th-TH"/>
              </w:rPr>
              <w:t>Taking part in public life</w:t>
            </w:r>
          </w:p>
        </w:tc>
        <w:tc>
          <w:tcPr>
            <w:tcW w:w="1966" w:type="dxa"/>
            <w:shd w:val="clear" w:color="auto" w:fill="auto"/>
            <w:noWrap/>
            <w:vAlign w:val="bottom"/>
            <w:hideMark/>
          </w:tcPr>
          <w:p w14:paraId="39BC97E1" w14:textId="4174E5B3" w:rsidR="00BD597A" w:rsidRPr="00BD597A" w:rsidRDefault="00B617C3" w:rsidP="00BD597A">
            <w:pPr>
              <w:pStyle w:val="Tabletext"/>
              <w:rPr>
                <w:lang w:eastAsia="zh-CN" w:bidi="th-TH"/>
              </w:rPr>
            </w:pPr>
            <w:r>
              <w:rPr>
                <w:lang w:eastAsia="zh-CN" w:bidi="th-TH"/>
              </w:rPr>
              <w:t>0</w:t>
            </w:r>
          </w:p>
        </w:tc>
        <w:tc>
          <w:tcPr>
            <w:tcW w:w="2126" w:type="dxa"/>
            <w:shd w:val="clear" w:color="auto" w:fill="auto"/>
            <w:noWrap/>
            <w:vAlign w:val="bottom"/>
            <w:hideMark/>
          </w:tcPr>
          <w:p w14:paraId="131B61F1" w14:textId="77777777" w:rsidR="00BD597A" w:rsidRPr="00BD597A" w:rsidRDefault="00BD597A" w:rsidP="00BD597A">
            <w:pPr>
              <w:pStyle w:val="Tabletext"/>
              <w:rPr>
                <w:lang w:eastAsia="zh-CN" w:bidi="th-TH"/>
              </w:rPr>
            </w:pPr>
            <w:r w:rsidRPr="00BD597A">
              <w:rPr>
                <w:lang w:eastAsia="zh-CN" w:bidi="th-TH"/>
              </w:rPr>
              <w:t>9</w:t>
            </w:r>
          </w:p>
        </w:tc>
      </w:tr>
      <w:tr w:rsidR="00BD597A" w:rsidRPr="00BD597A" w14:paraId="695B0D4E" w14:textId="77777777" w:rsidTr="00B617C3">
        <w:trPr>
          <w:trHeight w:val="285"/>
        </w:trPr>
        <w:tc>
          <w:tcPr>
            <w:tcW w:w="4980" w:type="dxa"/>
            <w:shd w:val="clear" w:color="auto" w:fill="auto"/>
            <w:noWrap/>
            <w:vAlign w:val="bottom"/>
            <w:hideMark/>
          </w:tcPr>
          <w:p w14:paraId="50E3549A" w14:textId="77777777" w:rsidR="00BD597A" w:rsidRPr="00BD597A" w:rsidRDefault="00BD597A" w:rsidP="00BD597A">
            <w:pPr>
              <w:pStyle w:val="Tabletext"/>
              <w:rPr>
                <w:lang w:eastAsia="zh-CN" w:bidi="th-TH"/>
              </w:rPr>
            </w:pPr>
            <w:r w:rsidRPr="00BD597A">
              <w:rPr>
                <w:lang w:eastAsia="zh-CN" w:bidi="th-TH"/>
              </w:rPr>
              <w:t>Right to education</w:t>
            </w:r>
          </w:p>
        </w:tc>
        <w:tc>
          <w:tcPr>
            <w:tcW w:w="1966" w:type="dxa"/>
            <w:shd w:val="clear" w:color="auto" w:fill="auto"/>
            <w:noWrap/>
            <w:vAlign w:val="bottom"/>
            <w:hideMark/>
          </w:tcPr>
          <w:p w14:paraId="3C317DB3" w14:textId="77777777" w:rsidR="00BD597A" w:rsidRPr="00BD597A" w:rsidRDefault="00BD597A" w:rsidP="00BD597A">
            <w:pPr>
              <w:pStyle w:val="Tabletext"/>
              <w:rPr>
                <w:lang w:eastAsia="zh-CN" w:bidi="th-TH"/>
              </w:rPr>
            </w:pPr>
            <w:r w:rsidRPr="00BD597A">
              <w:rPr>
                <w:lang w:eastAsia="zh-CN" w:bidi="th-TH"/>
              </w:rPr>
              <w:t>3</w:t>
            </w:r>
          </w:p>
        </w:tc>
        <w:tc>
          <w:tcPr>
            <w:tcW w:w="2126" w:type="dxa"/>
            <w:shd w:val="clear" w:color="auto" w:fill="auto"/>
            <w:noWrap/>
            <w:vAlign w:val="bottom"/>
            <w:hideMark/>
          </w:tcPr>
          <w:p w14:paraId="51B00921" w14:textId="77777777" w:rsidR="00BD597A" w:rsidRPr="00BD597A" w:rsidRDefault="00BD597A" w:rsidP="00BD597A">
            <w:pPr>
              <w:pStyle w:val="Tabletext"/>
              <w:rPr>
                <w:lang w:eastAsia="zh-CN" w:bidi="th-TH"/>
              </w:rPr>
            </w:pPr>
            <w:r w:rsidRPr="00BD597A">
              <w:rPr>
                <w:lang w:eastAsia="zh-CN" w:bidi="th-TH"/>
              </w:rPr>
              <w:t>5</w:t>
            </w:r>
          </w:p>
        </w:tc>
      </w:tr>
      <w:tr w:rsidR="00BD597A" w:rsidRPr="00BD597A" w14:paraId="746ACD6E" w14:textId="77777777" w:rsidTr="00B617C3">
        <w:trPr>
          <w:trHeight w:val="285"/>
        </w:trPr>
        <w:tc>
          <w:tcPr>
            <w:tcW w:w="4980" w:type="dxa"/>
            <w:shd w:val="clear" w:color="auto" w:fill="auto"/>
            <w:noWrap/>
            <w:vAlign w:val="bottom"/>
            <w:hideMark/>
          </w:tcPr>
          <w:p w14:paraId="651A4CC4" w14:textId="77777777" w:rsidR="00BD597A" w:rsidRPr="00BD597A" w:rsidRDefault="00BD597A" w:rsidP="00BD597A">
            <w:pPr>
              <w:pStyle w:val="Tabletext"/>
              <w:rPr>
                <w:lang w:eastAsia="zh-CN" w:bidi="th-TH"/>
              </w:rPr>
            </w:pPr>
            <w:r w:rsidRPr="00BD597A">
              <w:rPr>
                <w:lang w:eastAsia="zh-CN" w:bidi="th-TH"/>
              </w:rPr>
              <w:t>Cultural rights—First Nations peoples</w:t>
            </w:r>
          </w:p>
        </w:tc>
        <w:tc>
          <w:tcPr>
            <w:tcW w:w="1966" w:type="dxa"/>
            <w:shd w:val="clear" w:color="auto" w:fill="auto"/>
            <w:noWrap/>
            <w:vAlign w:val="bottom"/>
            <w:hideMark/>
          </w:tcPr>
          <w:p w14:paraId="3CFFD677" w14:textId="77777777" w:rsidR="00BD597A" w:rsidRPr="00BD597A" w:rsidRDefault="00BD597A" w:rsidP="00BD597A">
            <w:pPr>
              <w:pStyle w:val="Tabletext"/>
              <w:rPr>
                <w:lang w:eastAsia="zh-CN" w:bidi="th-TH"/>
              </w:rPr>
            </w:pPr>
            <w:r w:rsidRPr="00BD597A">
              <w:rPr>
                <w:lang w:eastAsia="zh-CN" w:bidi="th-TH"/>
              </w:rPr>
              <w:t>2</w:t>
            </w:r>
          </w:p>
        </w:tc>
        <w:tc>
          <w:tcPr>
            <w:tcW w:w="2126" w:type="dxa"/>
            <w:shd w:val="clear" w:color="auto" w:fill="auto"/>
            <w:noWrap/>
            <w:vAlign w:val="bottom"/>
            <w:hideMark/>
          </w:tcPr>
          <w:p w14:paraId="3DD37636" w14:textId="77777777" w:rsidR="00BD597A" w:rsidRPr="00BD597A" w:rsidRDefault="00BD597A" w:rsidP="00BD597A">
            <w:pPr>
              <w:pStyle w:val="Tabletext"/>
              <w:rPr>
                <w:lang w:eastAsia="zh-CN" w:bidi="th-TH"/>
              </w:rPr>
            </w:pPr>
            <w:r w:rsidRPr="00BD597A">
              <w:rPr>
                <w:lang w:eastAsia="zh-CN" w:bidi="th-TH"/>
              </w:rPr>
              <w:t>5</w:t>
            </w:r>
          </w:p>
        </w:tc>
      </w:tr>
      <w:tr w:rsidR="00BD597A" w:rsidRPr="00BD597A" w14:paraId="016F7326" w14:textId="77777777" w:rsidTr="00B617C3">
        <w:trPr>
          <w:trHeight w:val="285"/>
        </w:trPr>
        <w:tc>
          <w:tcPr>
            <w:tcW w:w="4980" w:type="dxa"/>
            <w:shd w:val="clear" w:color="auto" w:fill="auto"/>
            <w:noWrap/>
            <w:vAlign w:val="bottom"/>
            <w:hideMark/>
          </w:tcPr>
          <w:p w14:paraId="4057F0AB" w14:textId="77777777" w:rsidR="00BD597A" w:rsidRPr="00BD597A" w:rsidRDefault="00BD597A" w:rsidP="00BD597A">
            <w:pPr>
              <w:pStyle w:val="Tabletext"/>
              <w:rPr>
                <w:lang w:eastAsia="zh-CN" w:bidi="th-TH"/>
              </w:rPr>
            </w:pPr>
            <w:r w:rsidRPr="00BD597A">
              <w:rPr>
                <w:lang w:eastAsia="zh-CN" w:bidi="th-TH"/>
              </w:rPr>
              <w:t>Cultural rights—generally</w:t>
            </w:r>
          </w:p>
        </w:tc>
        <w:tc>
          <w:tcPr>
            <w:tcW w:w="1966" w:type="dxa"/>
            <w:shd w:val="clear" w:color="auto" w:fill="auto"/>
            <w:noWrap/>
            <w:vAlign w:val="bottom"/>
            <w:hideMark/>
          </w:tcPr>
          <w:p w14:paraId="08B8A5C5" w14:textId="3C9CDC85" w:rsidR="00BD597A" w:rsidRPr="00BD597A" w:rsidRDefault="00B617C3" w:rsidP="00BD597A">
            <w:pPr>
              <w:pStyle w:val="Tabletext"/>
              <w:rPr>
                <w:lang w:eastAsia="zh-CN" w:bidi="th-TH"/>
              </w:rPr>
            </w:pPr>
            <w:r>
              <w:rPr>
                <w:lang w:eastAsia="zh-CN" w:bidi="th-TH"/>
              </w:rPr>
              <w:t>0</w:t>
            </w:r>
          </w:p>
        </w:tc>
        <w:tc>
          <w:tcPr>
            <w:tcW w:w="2126" w:type="dxa"/>
            <w:shd w:val="clear" w:color="auto" w:fill="auto"/>
            <w:noWrap/>
            <w:vAlign w:val="bottom"/>
            <w:hideMark/>
          </w:tcPr>
          <w:p w14:paraId="2EBC1B48" w14:textId="77777777" w:rsidR="00BD597A" w:rsidRPr="00BD597A" w:rsidRDefault="00BD597A" w:rsidP="00BD597A">
            <w:pPr>
              <w:pStyle w:val="Tabletext"/>
              <w:rPr>
                <w:lang w:eastAsia="zh-CN" w:bidi="th-TH"/>
              </w:rPr>
            </w:pPr>
            <w:r w:rsidRPr="00BD597A">
              <w:rPr>
                <w:lang w:eastAsia="zh-CN" w:bidi="th-TH"/>
              </w:rPr>
              <w:t>4</w:t>
            </w:r>
          </w:p>
        </w:tc>
      </w:tr>
      <w:tr w:rsidR="00BD597A" w:rsidRPr="00BD597A" w14:paraId="79F0B4BA" w14:textId="77777777" w:rsidTr="00B617C3">
        <w:trPr>
          <w:trHeight w:val="285"/>
        </w:trPr>
        <w:tc>
          <w:tcPr>
            <w:tcW w:w="4980" w:type="dxa"/>
            <w:shd w:val="clear" w:color="auto" w:fill="auto"/>
            <w:noWrap/>
            <w:vAlign w:val="bottom"/>
            <w:hideMark/>
          </w:tcPr>
          <w:p w14:paraId="2BA1320D" w14:textId="77777777" w:rsidR="00BD597A" w:rsidRPr="00BD597A" w:rsidRDefault="00BD597A" w:rsidP="00BD597A">
            <w:pPr>
              <w:pStyle w:val="Tabletext"/>
              <w:rPr>
                <w:lang w:eastAsia="zh-CN" w:bidi="th-TH"/>
              </w:rPr>
            </w:pPr>
            <w:r w:rsidRPr="00BD597A">
              <w:rPr>
                <w:lang w:eastAsia="zh-CN" w:bidi="th-TH"/>
              </w:rPr>
              <w:t>Peaceful assembly and freedom of association</w:t>
            </w:r>
          </w:p>
        </w:tc>
        <w:tc>
          <w:tcPr>
            <w:tcW w:w="1966" w:type="dxa"/>
            <w:shd w:val="clear" w:color="auto" w:fill="auto"/>
            <w:noWrap/>
            <w:vAlign w:val="bottom"/>
            <w:hideMark/>
          </w:tcPr>
          <w:p w14:paraId="6209EDDF" w14:textId="77777777" w:rsidR="00BD597A" w:rsidRPr="00BD597A" w:rsidRDefault="00BD597A" w:rsidP="00BD597A">
            <w:pPr>
              <w:pStyle w:val="Tabletext"/>
              <w:rPr>
                <w:lang w:eastAsia="zh-CN" w:bidi="th-TH"/>
              </w:rPr>
            </w:pPr>
            <w:r w:rsidRPr="00BD597A">
              <w:rPr>
                <w:lang w:eastAsia="zh-CN" w:bidi="th-TH"/>
              </w:rPr>
              <w:t>1</w:t>
            </w:r>
          </w:p>
        </w:tc>
        <w:tc>
          <w:tcPr>
            <w:tcW w:w="2126" w:type="dxa"/>
            <w:shd w:val="clear" w:color="auto" w:fill="auto"/>
            <w:noWrap/>
            <w:vAlign w:val="bottom"/>
            <w:hideMark/>
          </w:tcPr>
          <w:p w14:paraId="31F75E7D" w14:textId="77777777" w:rsidR="00BD597A" w:rsidRPr="00BD597A" w:rsidRDefault="00BD597A" w:rsidP="00BD597A">
            <w:pPr>
              <w:pStyle w:val="Tabletext"/>
              <w:rPr>
                <w:lang w:eastAsia="zh-CN" w:bidi="th-TH"/>
              </w:rPr>
            </w:pPr>
            <w:r w:rsidRPr="00BD597A">
              <w:rPr>
                <w:lang w:eastAsia="zh-CN" w:bidi="th-TH"/>
              </w:rPr>
              <w:t>3</w:t>
            </w:r>
          </w:p>
        </w:tc>
      </w:tr>
      <w:tr w:rsidR="00BD597A" w:rsidRPr="00BD597A" w14:paraId="3ED126BC" w14:textId="77777777" w:rsidTr="00B617C3">
        <w:trPr>
          <w:trHeight w:val="285"/>
        </w:trPr>
        <w:tc>
          <w:tcPr>
            <w:tcW w:w="4980" w:type="dxa"/>
            <w:shd w:val="clear" w:color="auto" w:fill="auto"/>
            <w:noWrap/>
            <w:vAlign w:val="bottom"/>
            <w:hideMark/>
          </w:tcPr>
          <w:p w14:paraId="2252432D" w14:textId="77777777" w:rsidR="00BD597A" w:rsidRPr="00BD597A" w:rsidRDefault="00BD597A" w:rsidP="00BD597A">
            <w:pPr>
              <w:pStyle w:val="Tabletext"/>
              <w:rPr>
                <w:lang w:eastAsia="zh-CN" w:bidi="th-TH"/>
              </w:rPr>
            </w:pPr>
            <w:r w:rsidRPr="00BD597A">
              <w:rPr>
                <w:lang w:eastAsia="zh-CN" w:bidi="th-TH"/>
              </w:rPr>
              <w:t>Right not to be tried or punished more than once</w:t>
            </w:r>
          </w:p>
        </w:tc>
        <w:tc>
          <w:tcPr>
            <w:tcW w:w="1966" w:type="dxa"/>
            <w:shd w:val="clear" w:color="auto" w:fill="auto"/>
            <w:noWrap/>
            <w:vAlign w:val="bottom"/>
            <w:hideMark/>
          </w:tcPr>
          <w:p w14:paraId="48E7D5B6" w14:textId="68C4A1A5" w:rsidR="00BD597A" w:rsidRPr="00BD597A" w:rsidRDefault="00B617C3" w:rsidP="00BD597A">
            <w:pPr>
              <w:pStyle w:val="Tabletext"/>
              <w:rPr>
                <w:lang w:eastAsia="zh-CN" w:bidi="th-TH"/>
              </w:rPr>
            </w:pPr>
            <w:r>
              <w:rPr>
                <w:lang w:eastAsia="zh-CN" w:bidi="th-TH"/>
              </w:rPr>
              <w:t>0</w:t>
            </w:r>
          </w:p>
        </w:tc>
        <w:tc>
          <w:tcPr>
            <w:tcW w:w="2126" w:type="dxa"/>
            <w:shd w:val="clear" w:color="auto" w:fill="auto"/>
            <w:noWrap/>
            <w:vAlign w:val="bottom"/>
            <w:hideMark/>
          </w:tcPr>
          <w:p w14:paraId="00FE8216" w14:textId="77777777" w:rsidR="00BD597A" w:rsidRPr="00BD597A" w:rsidRDefault="00BD597A" w:rsidP="00BD597A">
            <w:pPr>
              <w:pStyle w:val="Tabletext"/>
              <w:rPr>
                <w:lang w:eastAsia="zh-CN" w:bidi="th-TH"/>
              </w:rPr>
            </w:pPr>
            <w:r w:rsidRPr="00BD597A">
              <w:rPr>
                <w:lang w:eastAsia="zh-CN" w:bidi="th-TH"/>
              </w:rPr>
              <w:t>4</w:t>
            </w:r>
          </w:p>
        </w:tc>
      </w:tr>
      <w:tr w:rsidR="00BD597A" w:rsidRPr="00BD597A" w14:paraId="314678B1" w14:textId="77777777" w:rsidTr="00B617C3">
        <w:trPr>
          <w:trHeight w:val="285"/>
        </w:trPr>
        <w:tc>
          <w:tcPr>
            <w:tcW w:w="4980" w:type="dxa"/>
            <w:shd w:val="clear" w:color="auto" w:fill="auto"/>
            <w:noWrap/>
            <w:vAlign w:val="bottom"/>
            <w:hideMark/>
          </w:tcPr>
          <w:p w14:paraId="78C7E298" w14:textId="77777777" w:rsidR="00BD597A" w:rsidRPr="00BD597A" w:rsidRDefault="00BD597A" w:rsidP="00BD597A">
            <w:pPr>
              <w:pStyle w:val="Tabletext"/>
              <w:rPr>
                <w:lang w:eastAsia="zh-CN" w:bidi="th-TH"/>
              </w:rPr>
            </w:pPr>
            <w:r w:rsidRPr="00BD597A">
              <w:rPr>
                <w:lang w:eastAsia="zh-CN" w:bidi="th-TH"/>
              </w:rPr>
              <w:t>Freedom from forced work</w:t>
            </w:r>
          </w:p>
        </w:tc>
        <w:tc>
          <w:tcPr>
            <w:tcW w:w="1966" w:type="dxa"/>
            <w:shd w:val="clear" w:color="auto" w:fill="auto"/>
            <w:noWrap/>
            <w:vAlign w:val="bottom"/>
            <w:hideMark/>
          </w:tcPr>
          <w:p w14:paraId="274CE6E5" w14:textId="5A7A3425" w:rsidR="00BD597A" w:rsidRPr="00BD597A" w:rsidRDefault="00B617C3" w:rsidP="00BD597A">
            <w:pPr>
              <w:pStyle w:val="Tabletext"/>
              <w:rPr>
                <w:lang w:eastAsia="zh-CN" w:bidi="th-TH"/>
              </w:rPr>
            </w:pPr>
            <w:r>
              <w:rPr>
                <w:lang w:eastAsia="zh-CN" w:bidi="th-TH"/>
              </w:rPr>
              <w:t>0</w:t>
            </w:r>
          </w:p>
        </w:tc>
        <w:tc>
          <w:tcPr>
            <w:tcW w:w="2126" w:type="dxa"/>
            <w:shd w:val="clear" w:color="auto" w:fill="auto"/>
            <w:noWrap/>
            <w:vAlign w:val="bottom"/>
            <w:hideMark/>
          </w:tcPr>
          <w:p w14:paraId="4C429477" w14:textId="77777777" w:rsidR="00BD597A" w:rsidRPr="00BD597A" w:rsidRDefault="00BD597A" w:rsidP="00BD597A">
            <w:pPr>
              <w:pStyle w:val="Tabletext"/>
              <w:rPr>
                <w:lang w:eastAsia="zh-CN" w:bidi="th-TH"/>
              </w:rPr>
            </w:pPr>
            <w:r w:rsidRPr="00BD597A">
              <w:rPr>
                <w:lang w:eastAsia="zh-CN" w:bidi="th-TH"/>
              </w:rPr>
              <w:t>2</w:t>
            </w:r>
          </w:p>
        </w:tc>
      </w:tr>
      <w:tr w:rsidR="00BD597A" w:rsidRPr="00BD597A" w14:paraId="3F839711" w14:textId="77777777" w:rsidTr="00B617C3">
        <w:trPr>
          <w:trHeight w:val="285"/>
        </w:trPr>
        <w:tc>
          <w:tcPr>
            <w:tcW w:w="4980" w:type="dxa"/>
            <w:shd w:val="clear" w:color="auto" w:fill="auto"/>
            <w:noWrap/>
            <w:vAlign w:val="bottom"/>
            <w:hideMark/>
          </w:tcPr>
          <w:p w14:paraId="7790E182" w14:textId="77777777" w:rsidR="00BD597A" w:rsidRPr="00BD597A" w:rsidRDefault="00BD597A" w:rsidP="00BD597A">
            <w:pPr>
              <w:pStyle w:val="Tabletext"/>
              <w:rPr>
                <w:lang w:eastAsia="zh-CN" w:bidi="th-TH"/>
              </w:rPr>
            </w:pPr>
            <w:r w:rsidRPr="00BD597A">
              <w:rPr>
                <w:lang w:eastAsia="zh-CN" w:bidi="th-TH"/>
              </w:rPr>
              <w:t>Protection of children in the criminal process</w:t>
            </w:r>
          </w:p>
        </w:tc>
        <w:tc>
          <w:tcPr>
            <w:tcW w:w="1966" w:type="dxa"/>
            <w:shd w:val="clear" w:color="auto" w:fill="auto"/>
            <w:noWrap/>
            <w:vAlign w:val="bottom"/>
            <w:hideMark/>
          </w:tcPr>
          <w:p w14:paraId="0C2835CF" w14:textId="77777777" w:rsidR="00BD597A" w:rsidRPr="00BD597A" w:rsidRDefault="00BD597A" w:rsidP="00BD597A">
            <w:pPr>
              <w:pStyle w:val="Tabletext"/>
              <w:rPr>
                <w:lang w:eastAsia="zh-CN" w:bidi="th-TH"/>
              </w:rPr>
            </w:pPr>
            <w:r w:rsidRPr="00BD597A">
              <w:rPr>
                <w:lang w:eastAsia="zh-CN" w:bidi="th-TH"/>
              </w:rPr>
              <w:t>1</w:t>
            </w:r>
          </w:p>
        </w:tc>
        <w:tc>
          <w:tcPr>
            <w:tcW w:w="2126" w:type="dxa"/>
            <w:shd w:val="clear" w:color="auto" w:fill="auto"/>
            <w:noWrap/>
            <w:vAlign w:val="bottom"/>
            <w:hideMark/>
          </w:tcPr>
          <w:p w14:paraId="7DA50A28" w14:textId="77777777" w:rsidR="00BD597A" w:rsidRPr="00BD597A" w:rsidRDefault="00BD597A" w:rsidP="00BD597A">
            <w:pPr>
              <w:pStyle w:val="Tabletext"/>
              <w:rPr>
                <w:lang w:eastAsia="zh-CN" w:bidi="th-TH"/>
              </w:rPr>
            </w:pPr>
            <w:r w:rsidRPr="00BD597A">
              <w:rPr>
                <w:lang w:eastAsia="zh-CN" w:bidi="th-TH"/>
              </w:rPr>
              <w:t>1</w:t>
            </w:r>
          </w:p>
        </w:tc>
      </w:tr>
      <w:tr w:rsidR="00BD597A" w:rsidRPr="00BD597A" w14:paraId="358245FD" w14:textId="77777777" w:rsidTr="00B617C3">
        <w:trPr>
          <w:trHeight w:val="285"/>
        </w:trPr>
        <w:tc>
          <w:tcPr>
            <w:tcW w:w="4980" w:type="dxa"/>
            <w:shd w:val="clear" w:color="auto" w:fill="auto"/>
            <w:noWrap/>
            <w:vAlign w:val="bottom"/>
            <w:hideMark/>
          </w:tcPr>
          <w:p w14:paraId="36474ECD" w14:textId="77777777" w:rsidR="00BD597A" w:rsidRPr="00BD597A" w:rsidRDefault="00BD597A" w:rsidP="00BD597A">
            <w:pPr>
              <w:pStyle w:val="Tabletext"/>
              <w:rPr>
                <w:lang w:eastAsia="zh-CN" w:bidi="th-TH"/>
              </w:rPr>
            </w:pPr>
            <w:r w:rsidRPr="00BD597A">
              <w:rPr>
                <w:lang w:eastAsia="zh-CN" w:bidi="th-TH"/>
              </w:rPr>
              <w:t>Protection from retrospective criminal laws</w:t>
            </w:r>
          </w:p>
        </w:tc>
        <w:tc>
          <w:tcPr>
            <w:tcW w:w="1966" w:type="dxa"/>
            <w:shd w:val="clear" w:color="auto" w:fill="auto"/>
            <w:noWrap/>
            <w:vAlign w:val="bottom"/>
            <w:hideMark/>
          </w:tcPr>
          <w:p w14:paraId="68A6F054" w14:textId="1D2F5D4A" w:rsidR="00BD597A" w:rsidRPr="00BD597A" w:rsidRDefault="00B617C3" w:rsidP="00BD597A">
            <w:pPr>
              <w:pStyle w:val="Tabletext"/>
              <w:rPr>
                <w:lang w:eastAsia="zh-CN" w:bidi="th-TH"/>
              </w:rPr>
            </w:pPr>
            <w:r>
              <w:rPr>
                <w:lang w:eastAsia="zh-CN" w:bidi="th-TH"/>
              </w:rPr>
              <w:t>0</w:t>
            </w:r>
          </w:p>
        </w:tc>
        <w:tc>
          <w:tcPr>
            <w:tcW w:w="2126" w:type="dxa"/>
            <w:shd w:val="clear" w:color="auto" w:fill="auto"/>
            <w:noWrap/>
            <w:vAlign w:val="bottom"/>
            <w:hideMark/>
          </w:tcPr>
          <w:p w14:paraId="675EA8E5" w14:textId="77777777" w:rsidR="00BD597A" w:rsidRPr="00BD597A" w:rsidRDefault="00BD597A" w:rsidP="00BD597A">
            <w:pPr>
              <w:pStyle w:val="Tabletext"/>
              <w:rPr>
                <w:lang w:eastAsia="zh-CN" w:bidi="th-TH"/>
              </w:rPr>
            </w:pPr>
            <w:r w:rsidRPr="00BD597A">
              <w:rPr>
                <w:lang w:eastAsia="zh-CN" w:bidi="th-TH"/>
              </w:rPr>
              <w:t>1</w:t>
            </w:r>
          </w:p>
        </w:tc>
      </w:tr>
    </w:tbl>
    <w:p w14:paraId="7C354C69" w14:textId="77777777" w:rsidR="00BD597A" w:rsidRDefault="00BD597A" w:rsidP="00BD597A"/>
    <w:p w14:paraId="4C869325" w14:textId="77777777" w:rsidR="00BD597A" w:rsidRPr="00BD597A" w:rsidRDefault="00BD597A" w:rsidP="00BD597A"/>
    <w:p w14:paraId="7EBE787D" w14:textId="67AEA0D3" w:rsidR="00155D28" w:rsidRDefault="00155D28" w:rsidP="00155D28">
      <w:pPr>
        <w:pStyle w:val="Caption"/>
      </w:pPr>
      <w:r>
        <w:t xml:space="preserve">Table </w:t>
      </w:r>
      <w:r w:rsidR="004105E3">
        <w:t>1</w:t>
      </w:r>
      <w:r w:rsidR="00B132DB">
        <w:t>2</w:t>
      </w:r>
      <w:r>
        <w:t xml:space="preserve">: </w:t>
      </w:r>
      <w:r w:rsidR="00D728F4">
        <w:t>H</w:t>
      </w:r>
      <w:r>
        <w:t xml:space="preserve">uman rights complaints by sector – inclusive of piggy-back complaints and human rights only complaints, </w:t>
      </w:r>
      <w:r w:rsidR="007D27F7">
        <w:t>2022-23</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4140"/>
        <w:gridCol w:w="2277"/>
        <w:gridCol w:w="2609"/>
      </w:tblGrid>
      <w:tr w:rsidR="00075A3C" w:rsidRPr="00D14DE5" w14:paraId="466CAB69" w14:textId="662481A1" w:rsidTr="00150FCB">
        <w:trPr>
          <w:tblHeader/>
        </w:trPr>
        <w:tc>
          <w:tcPr>
            <w:tcW w:w="4140" w:type="dxa"/>
          </w:tcPr>
          <w:p w14:paraId="6C213F9B" w14:textId="77777777" w:rsidR="00075A3C" w:rsidRPr="0093448F" w:rsidRDefault="00075A3C" w:rsidP="00AD4F89">
            <w:pPr>
              <w:pStyle w:val="Tableheading"/>
              <w:rPr>
                <w:color w:val="373D41"/>
              </w:rPr>
            </w:pPr>
            <w:r w:rsidRPr="0093448F">
              <w:rPr>
                <w:color w:val="373D41"/>
              </w:rPr>
              <w:t>Public entity by sector</w:t>
            </w:r>
          </w:p>
        </w:tc>
        <w:tc>
          <w:tcPr>
            <w:tcW w:w="2277" w:type="dxa"/>
          </w:tcPr>
          <w:p w14:paraId="5292023C" w14:textId="77777777" w:rsidR="00075A3C" w:rsidRPr="0093448F" w:rsidRDefault="00075A3C" w:rsidP="00AD4F89">
            <w:pPr>
              <w:pStyle w:val="Tableheading"/>
              <w:rPr>
                <w:color w:val="373D41"/>
              </w:rPr>
            </w:pPr>
            <w:r w:rsidRPr="0093448F">
              <w:rPr>
                <w:color w:val="373D41"/>
              </w:rPr>
              <w:t>No. finalised complaints</w:t>
            </w:r>
          </w:p>
        </w:tc>
        <w:tc>
          <w:tcPr>
            <w:tcW w:w="2609" w:type="dxa"/>
          </w:tcPr>
          <w:p w14:paraId="218DE92A" w14:textId="5EF240A8" w:rsidR="00075A3C" w:rsidRPr="00673307" w:rsidRDefault="00075A3C" w:rsidP="00AD4F89">
            <w:pPr>
              <w:pStyle w:val="Tableheading"/>
              <w:rPr>
                <w:color w:val="373D41"/>
              </w:rPr>
            </w:pPr>
            <w:r>
              <w:rPr>
                <w:color w:val="373D41"/>
              </w:rPr>
              <w:t>No. accepted and finalised complaints</w:t>
            </w:r>
          </w:p>
        </w:tc>
      </w:tr>
      <w:tr w:rsidR="00075A3C" w:rsidRPr="008A00EB" w14:paraId="23F8318A" w14:textId="495AA080" w:rsidTr="00150FCB">
        <w:tc>
          <w:tcPr>
            <w:tcW w:w="4140" w:type="dxa"/>
          </w:tcPr>
          <w:p w14:paraId="51F8BF66" w14:textId="1F4D3B96" w:rsidR="00075A3C" w:rsidRPr="001E0555" w:rsidRDefault="00B12422" w:rsidP="00AD4F89">
            <w:pPr>
              <w:pStyle w:val="Tabletext"/>
            </w:pPr>
            <w:r w:rsidRPr="00AB08D5">
              <w:t>Work</w:t>
            </w:r>
          </w:p>
        </w:tc>
        <w:tc>
          <w:tcPr>
            <w:tcW w:w="2277" w:type="dxa"/>
          </w:tcPr>
          <w:p w14:paraId="4ED3873E" w14:textId="4EC531A6" w:rsidR="00075A3C" w:rsidRPr="001E0555" w:rsidRDefault="00B12422" w:rsidP="00AD4F89">
            <w:pPr>
              <w:pStyle w:val="Tabletext"/>
            </w:pPr>
            <w:r w:rsidRPr="00AB08D5">
              <w:t>68</w:t>
            </w:r>
          </w:p>
        </w:tc>
        <w:tc>
          <w:tcPr>
            <w:tcW w:w="2609" w:type="dxa"/>
          </w:tcPr>
          <w:p w14:paraId="34CC2019" w14:textId="11F57EFE" w:rsidR="00075A3C" w:rsidRDefault="00B12422" w:rsidP="00AD4F89">
            <w:pPr>
              <w:pStyle w:val="Tabletext"/>
            </w:pPr>
            <w:r w:rsidRPr="00AB08D5">
              <w:t>189</w:t>
            </w:r>
          </w:p>
        </w:tc>
      </w:tr>
      <w:tr w:rsidR="00075A3C" w:rsidRPr="008A00EB" w14:paraId="3452E64C" w14:textId="469886FF" w:rsidTr="00150FCB">
        <w:tc>
          <w:tcPr>
            <w:tcW w:w="4140" w:type="dxa"/>
          </w:tcPr>
          <w:p w14:paraId="039130B6" w14:textId="5E5567CD" w:rsidR="00075A3C" w:rsidRPr="001E0555" w:rsidRDefault="00B12422" w:rsidP="00AD4F89">
            <w:pPr>
              <w:pStyle w:val="Tabletext"/>
            </w:pPr>
            <w:r w:rsidRPr="00AB08D5">
              <w:t>Health</w:t>
            </w:r>
          </w:p>
        </w:tc>
        <w:tc>
          <w:tcPr>
            <w:tcW w:w="2277" w:type="dxa"/>
          </w:tcPr>
          <w:p w14:paraId="740664B8" w14:textId="6B3B5A81" w:rsidR="00075A3C" w:rsidRPr="001E0555" w:rsidRDefault="00B12422" w:rsidP="00AD4F89">
            <w:pPr>
              <w:pStyle w:val="Tabletext"/>
            </w:pPr>
            <w:r w:rsidRPr="00AB08D5">
              <w:t>45</w:t>
            </w:r>
          </w:p>
        </w:tc>
        <w:tc>
          <w:tcPr>
            <w:tcW w:w="2609" w:type="dxa"/>
          </w:tcPr>
          <w:p w14:paraId="647FB449" w14:textId="69CE7C10" w:rsidR="00075A3C" w:rsidRDefault="00B12422" w:rsidP="00AD4F89">
            <w:pPr>
              <w:pStyle w:val="Tabletext"/>
            </w:pPr>
            <w:r w:rsidRPr="00AB08D5">
              <w:t>34</w:t>
            </w:r>
          </w:p>
        </w:tc>
      </w:tr>
      <w:tr w:rsidR="00075A3C" w:rsidRPr="008A00EB" w14:paraId="6C7C66B2" w14:textId="0F7EA869" w:rsidTr="00150FCB">
        <w:tc>
          <w:tcPr>
            <w:tcW w:w="4140" w:type="dxa"/>
          </w:tcPr>
          <w:p w14:paraId="6B59CA66" w14:textId="3C19B2D0" w:rsidR="00075A3C" w:rsidRPr="001E0555" w:rsidRDefault="00B12422" w:rsidP="00AD4F89">
            <w:pPr>
              <w:pStyle w:val="Tabletext"/>
            </w:pPr>
            <w:r w:rsidRPr="00AB08D5">
              <w:t>Police</w:t>
            </w:r>
          </w:p>
        </w:tc>
        <w:tc>
          <w:tcPr>
            <w:tcW w:w="2277" w:type="dxa"/>
          </w:tcPr>
          <w:p w14:paraId="6EB68E42" w14:textId="7ABF24F5" w:rsidR="00075A3C" w:rsidRPr="001E0555" w:rsidRDefault="00B12422" w:rsidP="00AD4F89">
            <w:pPr>
              <w:pStyle w:val="Tabletext"/>
            </w:pPr>
            <w:r w:rsidRPr="00AB08D5">
              <w:t>38</w:t>
            </w:r>
          </w:p>
        </w:tc>
        <w:tc>
          <w:tcPr>
            <w:tcW w:w="2609" w:type="dxa"/>
          </w:tcPr>
          <w:p w14:paraId="090F7C1F" w14:textId="339FC87D" w:rsidR="00075A3C" w:rsidRDefault="00B12422" w:rsidP="00AD4F89">
            <w:pPr>
              <w:pStyle w:val="Tabletext"/>
            </w:pPr>
            <w:r w:rsidRPr="00AB08D5">
              <w:t>29</w:t>
            </w:r>
          </w:p>
        </w:tc>
      </w:tr>
      <w:tr w:rsidR="00075A3C" w:rsidRPr="008A00EB" w14:paraId="24C1639E" w14:textId="6ADE95DF" w:rsidTr="00150FCB">
        <w:tc>
          <w:tcPr>
            <w:tcW w:w="4140" w:type="dxa"/>
          </w:tcPr>
          <w:p w14:paraId="7B7CAA14" w14:textId="58826332" w:rsidR="00075A3C" w:rsidRPr="001E0555" w:rsidRDefault="00B12422" w:rsidP="00AD4F89">
            <w:pPr>
              <w:pStyle w:val="Tabletext"/>
            </w:pPr>
            <w:r w:rsidRPr="00AB08D5">
              <w:t>Corrections</w:t>
            </w:r>
          </w:p>
        </w:tc>
        <w:tc>
          <w:tcPr>
            <w:tcW w:w="2277" w:type="dxa"/>
          </w:tcPr>
          <w:p w14:paraId="7895C55C" w14:textId="147C1099" w:rsidR="00075A3C" w:rsidRPr="001E0555" w:rsidRDefault="00B12422" w:rsidP="00AD4F89">
            <w:pPr>
              <w:pStyle w:val="Tabletext"/>
            </w:pPr>
            <w:r w:rsidRPr="00AB08D5">
              <w:t>25</w:t>
            </w:r>
          </w:p>
        </w:tc>
        <w:tc>
          <w:tcPr>
            <w:tcW w:w="2609" w:type="dxa"/>
          </w:tcPr>
          <w:p w14:paraId="78286AA5" w14:textId="619D15E6" w:rsidR="00075A3C" w:rsidRDefault="00B12422" w:rsidP="00AD4F89">
            <w:pPr>
              <w:pStyle w:val="Tabletext"/>
            </w:pPr>
            <w:r w:rsidRPr="00AB08D5">
              <w:t>27</w:t>
            </w:r>
          </w:p>
        </w:tc>
      </w:tr>
      <w:tr w:rsidR="00075A3C" w:rsidRPr="008A00EB" w14:paraId="48AD02F3" w14:textId="2A94DF99" w:rsidTr="00150FCB">
        <w:tc>
          <w:tcPr>
            <w:tcW w:w="4140" w:type="dxa"/>
          </w:tcPr>
          <w:p w14:paraId="2A176E5B" w14:textId="4C8177D3" w:rsidR="00075A3C" w:rsidRPr="001E0555" w:rsidRDefault="00B12422" w:rsidP="00AD4F89">
            <w:pPr>
              <w:pStyle w:val="Tabletext"/>
            </w:pPr>
            <w:r w:rsidRPr="00AB08D5">
              <w:t>Other</w:t>
            </w:r>
          </w:p>
        </w:tc>
        <w:tc>
          <w:tcPr>
            <w:tcW w:w="2277" w:type="dxa"/>
          </w:tcPr>
          <w:p w14:paraId="5FF1573F" w14:textId="03763C00" w:rsidR="00075A3C" w:rsidRPr="001E0555" w:rsidRDefault="00B12422" w:rsidP="00AD4F89">
            <w:pPr>
              <w:pStyle w:val="Tabletext"/>
            </w:pPr>
            <w:r w:rsidRPr="00AB08D5">
              <w:t>24</w:t>
            </w:r>
          </w:p>
        </w:tc>
        <w:tc>
          <w:tcPr>
            <w:tcW w:w="2609" w:type="dxa"/>
          </w:tcPr>
          <w:p w14:paraId="2C52BD63" w14:textId="19076AA1" w:rsidR="00075A3C" w:rsidRDefault="00B12422" w:rsidP="00AD4F89">
            <w:pPr>
              <w:pStyle w:val="Tabletext"/>
            </w:pPr>
            <w:r w:rsidRPr="00AB08D5">
              <w:t>25</w:t>
            </w:r>
          </w:p>
        </w:tc>
      </w:tr>
      <w:tr w:rsidR="00075A3C" w:rsidRPr="008A00EB" w14:paraId="6B97374F" w14:textId="0B150C82" w:rsidTr="00150FCB">
        <w:tc>
          <w:tcPr>
            <w:tcW w:w="4140" w:type="dxa"/>
          </w:tcPr>
          <w:p w14:paraId="3056EFCE" w14:textId="293185C7" w:rsidR="00075A3C" w:rsidRPr="001E0555" w:rsidRDefault="00B12422" w:rsidP="00AD4F89">
            <w:pPr>
              <w:pStyle w:val="Tabletext"/>
            </w:pPr>
            <w:r w:rsidRPr="00AB08D5">
              <w:t>Education</w:t>
            </w:r>
          </w:p>
        </w:tc>
        <w:tc>
          <w:tcPr>
            <w:tcW w:w="2277" w:type="dxa"/>
          </w:tcPr>
          <w:p w14:paraId="123A8F46" w14:textId="6EDCADA9" w:rsidR="00075A3C" w:rsidRPr="001E0555" w:rsidRDefault="00B12422" w:rsidP="00AD4F89">
            <w:pPr>
              <w:pStyle w:val="Tabletext"/>
            </w:pPr>
            <w:r w:rsidRPr="00AB08D5">
              <w:t>28</w:t>
            </w:r>
          </w:p>
        </w:tc>
        <w:tc>
          <w:tcPr>
            <w:tcW w:w="2609" w:type="dxa"/>
          </w:tcPr>
          <w:p w14:paraId="418D829C" w14:textId="330B3392" w:rsidR="00075A3C" w:rsidRDefault="00B12422" w:rsidP="00AD4F89">
            <w:pPr>
              <w:pStyle w:val="Tabletext"/>
            </w:pPr>
            <w:r w:rsidRPr="00AB08D5">
              <w:t>4</w:t>
            </w:r>
          </w:p>
        </w:tc>
      </w:tr>
      <w:tr w:rsidR="00075A3C" w:rsidRPr="008A00EB" w14:paraId="529E3385" w14:textId="1077BB4C" w:rsidTr="00150FCB">
        <w:tc>
          <w:tcPr>
            <w:tcW w:w="4140" w:type="dxa"/>
          </w:tcPr>
          <w:p w14:paraId="2331CB76" w14:textId="0244D8A6" w:rsidR="00075A3C" w:rsidRPr="001E0555" w:rsidRDefault="00B12422" w:rsidP="00AD4F89">
            <w:pPr>
              <w:pStyle w:val="Tabletext"/>
            </w:pPr>
            <w:r w:rsidRPr="00AB08D5">
              <w:t>Council</w:t>
            </w:r>
          </w:p>
        </w:tc>
        <w:tc>
          <w:tcPr>
            <w:tcW w:w="2277" w:type="dxa"/>
          </w:tcPr>
          <w:p w14:paraId="485727C9" w14:textId="4FEF2068" w:rsidR="00075A3C" w:rsidRPr="001E0555" w:rsidRDefault="00B12422" w:rsidP="00AD4F89">
            <w:pPr>
              <w:pStyle w:val="Tabletext"/>
            </w:pPr>
            <w:r w:rsidRPr="00AB08D5">
              <w:t>12</w:t>
            </w:r>
          </w:p>
        </w:tc>
        <w:tc>
          <w:tcPr>
            <w:tcW w:w="2609" w:type="dxa"/>
          </w:tcPr>
          <w:p w14:paraId="5C58FBAB" w14:textId="5B55CCCB" w:rsidR="00075A3C" w:rsidRDefault="00C21797" w:rsidP="00AD4F89">
            <w:pPr>
              <w:pStyle w:val="Tabletext"/>
            </w:pPr>
            <w:r>
              <w:t>13</w:t>
            </w:r>
          </w:p>
        </w:tc>
      </w:tr>
      <w:tr w:rsidR="00075A3C" w:rsidRPr="008A00EB" w14:paraId="0EE94947" w14:textId="725DFDD8" w:rsidTr="00150FCB">
        <w:tc>
          <w:tcPr>
            <w:tcW w:w="4140" w:type="dxa"/>
          </w:tcPr>
          <w:p w14:paraId="1A2B4591" w14:textId="29E9F3F5" w:rsidR="00075A3C" w:rsidRPr="001E0555" w:rsidRDefault="00B12422" w:rsidP="00AD4F89">
            <w:pPr>
              <w:pStyle w:val="Tabletext"/>
            </w:pPr>
            <w:r w:rsidRPr="00AB08D5">
              <w:t>Accommodation/Housing</w:t>
            </w:r>
          </w:p>
        </w:tc>
        <w:tc>
          <w:tcPr>
            <w:tcW w:w="2277" w:type="dxa"/>
          </w:tcPr>
          <w:p w14:paraId="091893C3" w14:textId="4207B4C9" w:rsidR="00075A3C" w:rsidRPr="001E0555" w:rsidRDefault="00B12422" w:rsidP="00AD4F89">
            <w:pPr>
              <w:pStyle w:val="Tabletext"/>
            </w:pPr>
            <w:r w:rsidRPr="00AB08D5">
              <w:t>14</w:t>
            </w:r>
          </w:p>
        </w:tc>
        <w:tc>
          <w:tcPr>
            <w:tcW w:w="2609" w:type="dxa"/>
          </w:tcPr>
          <w:p w14:paraId="1AE0305F" w14:textId="2C1D5188" w:rsidR="00075A3C" w:rsidRDefault="00B12422" w:rsidP="00AD4F89">
            <w:pPr>
              <w:pStyle w:val="Tabletext"/>
            </w:pPr>
            <w:r w:rsidRPr="00AB08D5">
              <w:t>4</w:t>
            </w:r>
          </w:p>
        </w:tc>
      </w:tr>
      <w:tr w:rsidR="00075A3C" w:rsidRPr="008A00EB" w14:paraId="27A42903" w14:textId="359B92E6" w:rsidTr="00150FCB">
        <w:tc>
          <w:tcPr>
            <w:tcW w:w="4140" w:type="dxa"/>
          </w:tcPr>
          <w:p w14:paraId="26ACED6E" w14:textId="1716401A" w:rsidR="00075A3C" w:rsidRPr="001E0555" w:rsidRDefault="00B12422" w:rsidP="00AD4F89">
            <w:pPr>
              <w:pStyle w:val="Tabletext"/>
            </w:pPr>
            <w:r w:rsidRPr="00AB08D5">
              <w:t>Child Safety</w:t>
            </w:r>
          </w:p>
        </w:tc>
        <w:tc>
          <w:tcPr>
            <w:tcW w:w="2277" w:type="dxa"/>
          </w:tcPr>
          <w:p w14:paraId="531D571F" w14:textId="372608E3" w:rsidR="00075A3C" w:rsidRPr="001E0555" w:rsidRDefault="00B12422" w:rsidP="00AD4F89">
            <w:pPr>
              <w:pStyle w:val="Tabletext"/>
            </w:pPr>
            <w:r w:rsidRPr="00AB08D5">
              <w:t>9</w:t>
            </w:r>
          </w:p>
        </w:tc>
        <w:tc>
          <w:tcPr>
            <w:tcW w:w="2609" w:type="dxa"/>
          </w:tcPr>
          <w:p w14:paraId="2C5F625D" w14:textId="46C0C810" w:rsidR="00075A3C" w:rsidRDefault="00C21797" w:rsidP="00AD4F89">
            <w:pPr>
              <w:pStyle w:val="Tabletext"/>
            </w:pPr>
            <w:r>
              <w:t>8</w:t>
            </w:r>
          </w:p>
        </w:tc>
      </w:tr>
      <w:tr w:rsidR="00075A3C" w:rsidRPr="008A00EB" w14:paraId="1C866676" w14:textId="76690F6D" w:rsidTr="00150FCB">
        <w:tc>
          <w:tcPr>
            <w:tcW w:w="4140" w:type="dxa"/>
          </w:tcPr>
          <w:p w14:paraId="5FC62F61" w14:textId="4BE0C569" w:rsidR="00075A3C" w:rsidRPr="005024E7" w:rsidRDefault="00B12422" w:rsidP="00AD4F89">
            <w:pPr>
              <w:pStyle w:val="Tabletext"/>
            </w:pPr>
            <w:r w:rsidRPr="00AB08D5">
              <w:t>Not a public entity</w:t>
            </w:r>
          </w:p>
        </w:tc>
        <w:tc>
          <w:tcPr>
            <w:tcW w:w="2277" w:type="dxa"/>
          </w:tcPr>
          <w:p w14:paraId="51148D87" w14:textId="2F666B79" w:rsidR="00075A3C" w:rsidRPr="001E0555" w:rsidRDefault="00446DF1" w:rsidP="00AD4F89">
            <w:pPr>
              <w:pStyle w:val="Tabletext"/>
              <w:rPr>
                <w:lang w:val="en-GB"/>
              </w:rPr>
            </w:pPr>
            <w:r>
              <w:t>0</w:t>
            </w:r>
          </w:p>
        </w:tc>
        <w:tc>
          <w:tcPr>
            <w:tcW w:w="2609" w:type="dxa"/>
          </w:tcPr>
          <w:p w14:paraId="3781CC79" w14:textId="3B428083" w:rsidR="00075A3C" w:rsidRDefault="00B12422" w:rsidP="00AD4F89">
            <w:pPr>
              <w:pStyle w:val="Tabletext"/>
              <w:rPr>
                <w:lang w:val="en-GB"/>
              </w:rPr>
            </w:pPr>
            <w:r w:rsidRPr="00AB08D5">
              <w:t>16</w:t>
            </w:r>
          </w:p>
        </w:tc>
      </w:tr>
      <w:tr w:rsidR="00075A3C" w:rsidRPr="008A00EB" w14:paraId="54B21398" w14:textId="0F28A98B" w:rsidTr="00150FCB">
        <w:tc>
          <w:tcPr>
            <w:tcW w:w="4140" w:type="dxa"/>
          </w:tcPr>
          <w:p w14:paraId="6B157E5A" w14:textId="69246E25" w:rsidR="00075A3C" w:rsidRPr="001E0555" w:rsidRDefault="00B12422" w:rsidP="00AD4F89">
            <w:pPr>
              <w:pStyle w:val="Tabletext"/>
            </w:pPr>
            <w:r w:rsidRPr="00AB08D5">
              <w:t>Transport</w:t>
            </w:r>
          </w:p>
        </w:tc>
        <w:tc>
          <w:tcPr>
            <w:tcW w:w="2277" w:type="dxa"/>
          </w:tcPr>
          <w:p w14:paraId="329D3975" w14:textId="361536EC" w:rsidR="00075A3C" w:rsidRPr="001E0555" w:rsidRDefault="00B12422" w:rsidP="00AD4F89">
            <w:pPr>
              <w:pStyle w:val="Tabletext"/>
            </w:pPr>
            <w:r w:rsidRPr="00AB08D5">
              <w:t>5</w:t>
            </w:r>
          </w:p>
        </w:tc>
        <w:tc>
          <w:tcPr>
            <w:tcW w:w="2609" w:type="dxa"/>
          </w:tcPr>
          <w:p w14:paraId="25FCF225" w14:textId="0E2810A3" w:rsidR="00075A3C" w:rsidRDefault="00B12422" w:rsidP="00AD4F89">
            <w:pPr>
              <w:pStyle w:val="Tabletext"/>
            </w:pPr>
            <w:r w:rsidRPr="00AB08D5">
              <w:t>1</w:t>
            </w:r>
          </w:p>
        </w:tc>
      </w:tr>
      <w:tr w:rsidR="00075A3C" w:rsidRPr="008A00EB" w14:paraId="5884C62E" w14:textId="0E0D029C" w:rsidTr="00150FCB">
        <w:tc>
          <w:tcPr>
            <w:tcW w:w="4140" w:type="dxa"/>
          </w:tcPr>
          <w:p w14:paraId="4EA6A31B" w14:textId="1C801E47" w:rsidR="00075A3C" w:rsidRPr="001E0555" w:rsidRDefault="00B12422" w:rsidP="00AD4F89">
            <w:pPr>
              <w:pStyle w:val="Tabletext"/>
            </w:pPr>
            <w:r w:rsidRPr="00AB08D5">
              <w:t>Disability</w:t>
            </w:r>
          </w:p>
        </w:tc>
        <w:tc>
          <w:tcPr>
            <w:tcW w:w="2277" w:type="dxa"/>
          </w:tcPr>
          <w:p w14:paraId="69CC2A6F" w14:textId="41D4B644" w:rsidR="00075A3C" w:rsidRPr="001E0555" w:rsidRDefault="00B12422" w:rsidP="00AD4F89">
            <w:pPr>
              <w:pStyle w:val="Tabletext"/>
            </w:pPr>
            <w:r w:rsidRPr="00AB08D5">
              <w:t>2</w:t>
            </w:r>
          </w:p>
        </w:tc>
        <w:tc>
          <w:tcPr>
            <w:tcW w:w="2609" w:type="dxa"/>
          </w:tcPr>
          <w:p w14:paraId="2429C130" w14:textId="60ED3EB8" w:rsidR="00075A3C" w:rsidRDefault="00B12422" w:rsidP="00AD4F89">
            <w:pPr>
              <w:pStyle w:val="Tabletext"/>
            </w:pPr>
            <w:r w:rsidRPr="00AB08D5">
              <w:t>4</w:t>
            </w:r>
          </w:p>
        </w:tc>
      </w:tr>
    </w:tbl>
    <w:p w14:paraId="421003A0" w14:textId="77777777" w:rsidR="00155D28" w:rsidRDefault="00155D28" w:rsidP="00AD4F89">
      <w:pPr>
        <w:pStyle w:val="Tabletext"/>
      </w:pPr>
    </w:p>
    <w:p w14:paraId="73DF24AC" w14:textId="77777777" w:rsidR="00D82C55" w:rsidRDefault="00D82C55">
      <w:pPr>
        <w:spacing w:after="160" w:line="259" w:lineRule="auto"/>
        <w:ind w:right="0"/>
        <w:rPr>
          <w:i/>
          <w:color w:val="000000" w:themeColor="text1"/>
          <w:szCs w:val="18"/>
        </w:rPr>
      </w:pPr>
      <w:r>
        <w:br w:type="page"/>
      </w:r>
    </w:p>
    <w:p w14:paraId="091501DA" w14:textId="499A9CB4" w:rsidR="00155D28" w:rsidRDefault="00155D28" w:rsidP="00155D28">
      <w:pPr>
        <w:pStyle w:val="Caption"/>
      </w:pPr>
      <w:r>
        <w:t xml:space="preserve">Table </w:t>
      </w:r>
      <w:r w:rsidR="001C6894">
        <w:t>1</w:t>
      </w:r>
      <w:r w:rsidR="00B132DB">
        <w:t>3</w:t>
      </w:r>
      <w:r>
        <w:t xml:space="preserve">: </w:t>
      </w:r>
      <w:r w:rsidR="00D728F4">
        <w:t>H</w:t>
      </w:r>
      <w:r>
        <w:t xml:space="preserve">uman rights complaints by sector – human rights only </w:t>
      </w:r>
      <w:r w:rsidRPr="003F02D1">
        <w:t xml:space="preserve">complaints, </w:t>
      </w:r>
    </w:p>
    <w:tbl>
      <w:tblPr>
        <w:tblpPr w:leftFromText="180" w:rightFromText="180" w:vertAnchor="text" w:tblpY="-65"/>
        <w:tblW w:w="9268" w:type="dxa"/>
        <w:tblBorders>
          <w:top w:val="single" w:sz="4" w:space="0" w:color="auto"/>
          <w:bottom w:val="single" w:sz="4" w:space="0" w:color="auto"/>
          <w:insideH w:val="single" w:sz="4" w:space="0" w:color="auto"/>
        </w:tblBorders>
        <w:tblLook w:val="04A0" w:firstRow="1" w:lastRow="0" w:firstColumn="1" w:lastColumn="0" w:noHBand="0" w:noVBand="1"/>
      </w:tblPr>
      <w:tblGrid>
        <w:gridCol w:w="4050"/>
        <w:gridCol w:w="2609"/>
        <w:gridCol w:w="2609"/>
      </w:tblGrid>
      <w:tr w:rsidR="00BB529D" w:rsidRPr="008A00EB" w14:paraId="2A2D081E" w14:textId="7ACD72C0" w:rsidTr="00BB529D">
        <w:tc>
          <w:tcPr>
            <w:tcW w:w="4050" w:type="dxa"/>
          </w:tcPr>
          <w:p w14:paraId="05F4C890" w14:textId="77777777" w:rsidR="00BB529D" w:rsidRPr="0093448F" w:rsidRDefault="00BB529D" w:rsidP="00BB529D">
            <w:pPr>
              <w:pStyle w:val="Tableheading"/>
              <w:rPr>
                <w:color w:val="373D41"/>
              </w:rPr>
            </w:pPr>
            <w:r w:rsidRPr="0093448F">
              <w:rPr>
                <w:color w:val="373D41"/>
              </w:rPr>
              <w:t>Public entity by sector</w:t>
            </w:r>
          </w:p>
        </w:tc>
        <w:tc>
          <w:tcPr>
            <w:tcW w:w="2609" w:type="dxa"/>
          </w:tcPr>
          <w:p w14:paraId="3F48C9E1" w14:textId="348FB756" w:rsidR="00BB529D" w:rsidRPr="00673307" w:rsidRDefault="00BB529D" w:rsidP="00BB529D">
            <w:pPr>
              <w:pStyle w:val="Tableheading"/>
              <w:rPr>
                <w:color w:val="373D41"/>
              </w:rPr>
            </w:pPr>
            <w:r>
              <w:rPr>
                <w:color w:val="373D41"/>
              </w:rPr>
              <w:t>No. of finalised complaints</w:t>
            </w:r>
          </w:p>
        </w:tc>
        <w:tc>
          <w:tcPr>
            <w:tcW w:w="2609" w:type="dxa"/>
          </w:tcPr>
          <w:p w14:paraId="36B817C0" w14:textId="4C26C5B4" w:rsidR="00BB529D" w:rsidRDefault="00BB529D" w:rsidP="00BB529D">
            <w:pPr>
              <w:pStyle w:val="Tableheading"/>
              <w:rPr>
                <w:color w:val="373D41"/>
              </w:rPr>
            </w:pPr>
            <w:r w:rsidRPr="0093448F">
              <w:rPr>
                <w:color w:val="373D41"/>
              </w:rPr>
              <w:t xml:space="preserve">No. </w:t>
            </w:r>
            <w:r>
              <w:rPr>
                <w:color w:val="373D41"/>
              </w:rPr>
              <w:t>accepted and finalised</w:t>
            </w:r>
            <w:r w:rsidRPr="0093448F">
              <w:rPr>
                <w:color w:val="373D41"/>
              </w:rPr>
              <w:t xml:space="preserve"> complaints</w:t>
            </w:r>
          </w:p>
        </w:tc>
      </w:tr>
      <w:tr w:rsidR="00BB529D" w:rsidRPr="008A00EB" w14:paraId="7A5CF725" w14:textId="1A0F99E0" w:rsidTr="00F455C3">
        <w:tc>
          <w:tcPr>
            <w:tcW w:w="4050" w:type="dxa"/>
            <w:vAlign w:val="bottom"/>
          </w:tcPr>
          <w:p w14:paraId="1C9D28D6" w14:textId="7B29B041" w:rsidR="00BB529D" w:rsidRPr="00B867DD" w:rsidRDefault="00BB529D" w:rsidP="00BB529D">
            <w:pPr>
              <w:pStyle w:val="Tabletext"/>
            </w:pPr>
            <w:r w:rsidRPr="008E6BCC">
              <w:t>Corrections</w:t>
            </w:r>
          </w:p>
        </w:tc>
        <w:tc>
          <w:tcPr>
            <w:tcW w:w="2609" w:type="dxa"/>
            <w:vAlign w:val="bottom"/>
          </w:tcPr>
          <w:p w14:paraId="35686B50" w14:textId="1AC98EF7" w:rsidR="00BB529D" w:rsidRDefault="00BB529D" w:rsidP="00BB529D">
            <w:pPr>
              <w:pStyle w:val="Tabletext"/>
            </w:pPr>
            <w:r w:rsidRPr="008E6BCC">
              <w:t>26</w:t>
            </w:r>
          </w:p>
        </w:tc>
        <w:tc>
          <w:tcPr>
            <w:tcW w:w="2609" w:type="dxa"/>
            <w:vAlign w:val="bottom"/>
          </w:tcPr>
          <w:p w14:paraId="638EE4B7" w14:textId="067B6608" w:rsidR="00BB529D" w:rsidRPr="008E6BCC" w:rsidRDefault="00BB529D" w:rsidP="00BB529D">
            <w:pPr>
              <w:pStyle w:val="Tabletext"/>
            </w:pPr>
            <w:r w:rsidRPr="008E6BCC">
              <w:t>21</w:t>
            </w:r>
          </w:p>
        </w:tc>
      </w:tr>
      <w:tr w:rsidR="00BB529D" w:rsidRPr="008A00EB" w14:paraId="1C8730B2" w14:textId="07113A6A" w:rsidTr="00F455C3">
        <w:tc>
          <w:tcPr>
            <w:tcW w:w="4050" w:type="dxa"/>
            <w:vAlign w:val="bottom"/>
          </w:tcPr>
          <w:p w14:paraId="5B82369C" w14:textId="417E6436" w:rsidR="00BB529D" w:rsidRPr="00B867DD" w:rsidRDefault="00BB529D" w:rsidP="00BB529D">
            <w:pPr>
              <w:pStyle w:val="Tabletext"/>
            </w:pPr>
            <w:r w:rsidRPr="008E6BCC">
              <w:t>Health</w:t>
            </w:r>
          </w:p>
        </w:tc>
        <w:tc>
          <w:tcPr>
            <w:tcW w:w="2609" w:type="dxa"/>
            <w:vAlign w:val="bottom"/>
          </w:tcPr>
          <w:p w14:paraId="1A5BF6DD" w14:textId="62FB48EB" w:rsidR="00BB529D" w:rsidRDefault="00BB529D" w:rsidP="00BB529D">
            <w:pPr>
              <w:pStyle w:val="Tabletext"/>
            </w:pPr>
            <w:r w:rsidRPr="008E6BCC">
              <w:t>32</w:t>
            </w:r>
          </w:p>
        </w:tc>
        <w:tc>
          <w:tcPr>
            <w:tcW w:w="2609" w:type="dxa"/>
            <w:vAlign w:val="bottom"/>
          </w:tcPr>
          <w:p w14:paraId="3AFA9BEC" w14:textId="4705FA00" w:rsidR="00BB529D" w:rsidRPr="008E6BCC" w:rsidRDefault="00BB529D" w:rsidP="00BB529D">
            <w:pPr>
              <w:pStyle w:val="Tabletext"/>
            </w:pPr>
            <w:r w:rsidRPr="008E6BCC">
              <w:t>14</w:t>
            </w:r>
          </w:p>
        </w:tc>
      </w:tr>
      <w:tr w:rsidR="00BB529D" w:rsidRPr="008A00EB" w14:paraId="2B237127" w14:textId="0204F2E1" w:rsidTr="00F455C3">
        <w:tc>
          <w:tcPr>
            <w:tcW w:w="4050" w:type="dxa"/>
            <w:vAlign w:val="bottom"/>
          </w:tcPr>
          <w:p w14:paraId="0963E353" w14:textId="5D2953E2" w:rsidR="00BB529D" w:rsidRPr="00B867DD" w:rsidRDefault="00BB529D" w:rsidP="00BB529D">
            <w:pPr>
              <w:pStyle w:val="Tabletext"/>
            </w:pPr>
            <w:r w:rsidRPr="008E6BCC">
              <w:t>Police</w:t>
            </w:r>
          </w:p>
        </w:tc>
        <w:tc>
          <w:tcPr>
            <w:tcW w:w="2609" w:type="dxa"/>
            <w:vAlign w:val="bottom"/>
          </w:tcPr>
          <w:p w14:paraId="73E23186" w14:textId="01A4975A" w:rsidR="00BB529D" w:rsidRDefault="00BB529D" w:rsidP="00BB529D">
            <w:pPr>
              <w:pStyle w:val="Tabletext"/>
            </w:pPr>
            <w:r w:rsidRPr="008E6BCC">
              <w:t>27</w:t>
            </w:r>
          </w:p>
        </w:tc>
        <w:tc>
          <w:tcPr>
            <w:tcW w:w="2609" w:type="dxa"/>
            <w:vAlign w:val="bottom"/>
          </w:tcPr>
          <w:p w14:paraId="12E66507" w14:textId="4B54BB93" w:rsidR="00BB529D" w:rsidRPr="008E6BCC" w:rsidRDefault="00BB529D" w:rsidP="00BB529D">
            <w:pPr>
              <w:pStyle w:val="Tabletext"/>
            </w:pPr>
            <w:r w:rsidRPr="008E6BCC">
              <w:t>12</w:t>
            </w:r>
          </w:p>
        </w:tc>
      </w:tr>
      <w:tr w:rsidR="00BB529D" w:rsidRPr="008A00EB" w14:paraId="5E58FE61" w14:textId="32ED70C2" w:rsidTr="00F455C3">
        <w:tc>
          <w:tcPr>
            <w:tcW w:w="4050" w:type="dxa"/>
            <w:vAlign w:val="bottom"/>
          </w:tcPr>
          <w:p w14:paraId="09B8A037" w14:textId="224F11D8" w:rsidR="00BB529D" w:rsidRPr="00B867DD" w:rsidRDefault="00BB529D" w:rsidP="00BB529D">
            <w:pPr>
              <w:pStyle w:val="Tabletext"/>
            </w:pPr>
            <w:r w:rsidRPr="008E6BCC">
              <w:t>Other</w:t>
            </w:r>
          </w:p>
        </w:tc>
        <w:tc>
          <w:tcPr>
            <w:tcW w:w="2609" w:type="dxa"/>
            <w:vAlign w:val="bottom"/>
          </w:tcPr>
          <w:p w14:paraId="1328D2EF" w14:textId="2972AA31" w:rsidR="00BB529D" w:rsidRDefault="00BB529D" w:rsidP="00BB529D">
            <w:pPr>
              <w:pStyle w:val="Tabletext"/>
            </w:pPr>
            <w:r w:rsidRPr="008E6BCC">
              <w:t>24</w:t>
            </w:r>
          </w:p>
        </w:tc>
        <w:tc>
          <w:tcPr>
            <w:tcW w:w="2609" w:type="dxa"/>
            <w:vAlign w:val="bottom"/>
          </w:tcPr>
          <w:p w14:paraId="5A0B80E4" w14:textId="0CACCD9F" w:rsidR="00BB529D" w:rsidRPr="008E6BCC" w:rsidRDefault="00BB529D" w:rsidP="00BB529D">
            <w:pPr>
              <w:pStyle w:val="Tabletext"/>
            </w:pPr>
            <w:r w:rsidRPr="008E6BCC">
              <w:t>4</w:t>
            </w:r>
          </w:p>
        </w:tc>
      </w:tr>
      <w:tr w:rsidR="00BB529D" w:rsidRPr="008A00EB" w14:paraId="22D8D750" w14:textId="162EE6F9" w:rsidTr="00F455C3">
        <w:tc>
          <w:tcPr>
            <w:tcW w:w="4050" w:type="dxa"/>
            <w:vAlign w:val="bottom"/>
          </w:tcPr>
          <w:p w14:paraId="1723C34E" w14:textId="2EF7F19E" w:rsidR="00BB529D" w:rsidRPr="00B867DD" w:rsidRDefault="00BB529D" w:rsidP="00BB529D">
            <w:pPr>
              <w:pStyle w:val="Tabletext"/>
            </w:pPr>
            <w:r w:rsidRPr="008E6BCC">
              <w:t>Work</w:t>
            </w:r>
          </w:p>
        </w:tc>
        <w:tc>
          <w:tcPr>
            <w:tcW w:w="2609" w:type="dxa"/>
            <w:vAlign w:val="bottom"/>
          </w:tcPr>
          <w:p w14:paraId="43919AF0" w14:textId="1F51C198" w:rsidR="00BB529D" w:rsidRDefault="00BB529D" w:rsidP="00BB529D">
            <w:pPr>
              <w:pStyle w:val="Tabletext"/>
            </w:pPr>
            <w:r w:rsidRPr="008E6BCC">
              <w:t>11</w:t>
            </w:r>
          </w:p>
        </w:tc>
        <w:tc>
          <w:tcPr>
            <w:tcW w:w="2609" w:type="dxa"/>
            <w:vAlign w:val="bottom"/>
          </w:tcPr>
          <w:p w14:paraId="205F9AC7" w14:textId="5C5910B8" w:rsidR="00BB529D" w:rsidRPr="008E6BCC" w:rsidRDefault="00BB529D" w:rsidP="00BB529D">
            <w:pPr>
              <w:pStyle w:val="Tabletext"/>
            </w:pPr>
            <w:r w:rsidRPr="008E6BCC">
              <w:t>7</w:t>
            </w:r>
          </w:p>
        </w:tc>
      </w:tr>
      <w:tr w:rsidR="00BB529D" w:rsidRPr="008A00EB" w14:paraId="74F1A5D9" w14:textId="2337C532" w:rsidTr="00F455C3">
        <w:tc>
          <w:tcPr>
            <w:tcW w:w="4050" w:type="dxa"/>
            <w:vAlign w:val="bottom"/>
          </w:tcPr>
          <w:p w14:paraId="73C8CFF5" w14:textId="1E7CA87B" w:rsidR="00BB529D" w:rsidRPr="00B867DD" w:rsidRDefault="00BB529D" w:rsidP="00BB529D">
            <w:pPr>
              <w:pStyle w:val="Tabletext"/>
            </w:pPr>
            <w:r w:rsidRPr="008E6BCC">
              <w:t>Councils</w:t>
            </w:r>
          </w:p>
        </w:tc>
        <w:tc>
          <w:tcPr>
            <w:tcW w:w="2609" w:type="dxa"/>
            <w:vAlign w:val="bottom"/>
          </w:tcPr>
          <w:p w14:paraId="11B7E9A7" w14:textId="6710B923" w:rsidR="00BB529D" w:rsidRDefault="00BB529D" w:rsidP="00BB529D">
            <w:pPr>
              <w:pStyle w:val="Tabletext"/>
            </w:pPr>
            <w:r w:rsidRPr="008E6BCC">
              <w:t>12</w:t>
            </w:r>
          </w:p>
        </w:tc>
        <w:tc>
          <w:tcPr>
            <w:tcW w:w="2609" w:type="dxa"/>
            <w:vAlign w:val="bottom"/>
          </w:tcPr>
          <w:p w14:paraId="2D94E15D" w14:textId="5FE35961" w:rsidR="00BB529D" w:rsidRPr="008E6BCC" w:rsidRDefault="00BB529D" w:rsidP="00BB529D">
            <w:pPr>
              <w:pStyle w:val="Tabletext"/>
            </w:pPr>
            <w:r w:rsidRPr="008E6BCC">
              <w:t>5</w:t>
            </w:r>
          </w:p>
        </w:tc>
      </w:tr>
      <w:tr w:rsidR="00BB529D" w:rsidRPr="008A00EB" w14:paraId="06ACC149" w14:textId="57899BF0" w:rsidTr="00F455C3">
        <w:tc>
          <w:tcPr>
            <w:tcW w:w="4050" w:type="dxa"/>
            <w:vAlign w:val="bottom"/>
          </w:tcPr>
          <w:p w14:paraId="75746134" w14:textId="079B6F80" w:rsidR="00BB529D" w:rsidRPr="00B867DD" w:rsidRDefault="00BB529D" w:rsidP="00BB529D">
            <w:pPr>
              <w:pStyle w:val="Tabletext"/>
            </w:pPr>
            <w:r w:rsidRPr="008E6BCC">
              <w:t>Not a public entity</w:t>
            </w:r>
          </w:p>
        </w:tc>
        <w:tc>
          <w:tcPr>
            <w:tcW w:w="2609" w:type="dxa"/>
            <w:vAlign w:val="bottom"/>
          </w:tcPr>
          <w:p w14:paraId="4FABFA7E" w14:textId="711137AC" w:rsidR="00BB529D" w:rsidRDefault="00BB529D" w:rsidP="00BB529D">
            <w:pPr>
              <w:pStyle w:val="Tabletext"/>
            </w:pPr>
            <w:r w:rsidRPr="008E6BCC">
              <w:t>14</w:t>
            </w:r>
          </w:p>
        </w:tc>
        <w:tc>
          <w:tcPr>
            <w:tcW w:w="2609" w:type="dxa"/>
            <w:vAlign w:val="bottom"/>
          </w:tcPr>
          <w:p w14:paraId="55302007" w14:textId="2FE8C5B7" w:rsidR="00BB529D" w:rsidRPr="008E6BCC" w:rsidRDefault="00BB529D" w:rsidP="00BB529D">
            <w:pPr>
              <w:pStyle w:val="Tabletext"/>
            </w:pPr>
            <w:r>
              <w:t>0</w:t>
            </w:r>
          </w:p>
        </w:tc>
      </w:tr>
      <w:tr w:rsidR="00BB529D" w:rsidRPr="008A00EB" w14:paraId="0144795F" w14:textId="52E853BC" w:rsidTr="00F455C3">
        <w:tc>
          <w:tcPr>
            <w:tcW w:w="4050" w:type="dxa"/>
            <w:vAlign w:val="bottom"/>
          </w:tcPr>
          <w:p w14:paraId="69454E75" w14:textId="3C91A7D6" w:rsidR="00BB529D" w:rsidRPr="00B867DD" w:rsidRDefault="00BB529D" w:rsidP="00BB529D">
            <w:pPr>
              <w:pStyle w:val="Tabletext"/>
            </w:pPr>
            <w:r w:rsidRPr="008E6BCC">
              <w:t>Child Safety</w:t>
            </w:r>
          </w:p>
        </w:tc>
        <w:tc>
          <w:tcPr>
            <w:tcW w:w="2609" w:type="dxa"/>
            <w:vAlign w:val="bottom"/>
          </w:tcPr>
          <w:p w14:paraId="546FEA23" w14:textId="55B59B86" w:rsidR="00BB529D" w:rsidRDefault="00BB529D" w:rsidP="00BB529D">
            <w:pPr>
              <w:pStyle w:val="Tabletext"/>
            </w:pPr>
            <w:r w:rsidRPr="008E6BCC">
              <w:t>9</w:t>
            </w:r>
          </w:p>
        </w:tc>
        <w:tc>
          <w:tcPr>
            <w:tcW w:w="2609" w:type="dxa"/>
            <w:vAlign w:val="bottom"/>
          </w:tcPr>
          <w:p w14:paraId="35E1456A" w14:textId="0FF5D167" w:rsidR="00BB529D" w:rsidRPr="008E6BCC" w:rsidRDefault="00BB529D" w:rsidP="00BB529D">
            <w:pPr>
              <w:pStyle w:val="Tabletext"/>
            </w:pPr>
            <w:r w:rsidRPr="008E6BCC">
              <w:t>3</w:t>
            </w:r>
          </w:p>
        </w:tc>
      </w:tr>
      <w:tr w:rsidR="00BB529D" w:rsidRPr="008A00EB" w14:paraId="71676065" w14:textId="5344F6FB" w:rsidTr="00F455C3">
        <w:tc>
          <w:tcPr>
            <w:tcW w:w="4050" w:type="dxa"/>
            <w:vAlign w:val="bottom"/>
          </w:tcPr>
          <w:p w14:paraId="3AF0D5A1" w14:textId="331C41DE" w:rsidR="00BB529D" w:rsidRPr="00B867DD" w:rsidRDefault="00BB529D" w:rsidP="00BB529D">
            <w:pPr>
              <w:pStyle w:val="Tabletext"/>
            </w:pPr>
            <w:r w:rsidRPr="008E6BCC">
              <w:t>Court Services</w:t>
            </w:r>
          </w:p>
        </w:tc>
        <w:tc>
          <w:tcPr>
            <w:tcW w:w="2609" w:type="dxa"/>
            <w:vAlign w:val="bottom"/>
          </w:tcPr>
          <w:p w14:paraId="4A711336" w14:textId="5E17A17C" w:rsidR="00BB529D" w:rsidRDefault="00BB529D" w:rsidP="00BB529D">
            <w:pPr>
              <w:pStyle w:val="Tabletext"/>
            </w:pPr>
            <w:r w:rsidRPr="008E6BCC">
              <w:t>11</w:t>
            </w:r>
          </w:p>
        </w:tc>
        <w:tc>
          <w:tcPr>
            <w:tcW w:w="2609" w:type="dxa"/>
            <w:vAlign w:val="bottom"/>
          </w:tcPr>
          <w:p w14:paraId="17C3D0D4" w14:textId="646F20AD" w:rsidR="00BB529D" w:rsidRPr="008E6BCC" w:rsidRDefault="00BB529D" w:rsidP="00BB529D">
            <w:pPr>
              <w:pStyle w:val="Tabletext"/>
            </w:pPr>
            <w:r>
              <w:t>0</w:t>
            </w:r>
          </w:p>
        </w:tc>
      </w:tr>
      <w:tr w:rsidR="00BB529D" w:rsidRPr="008A00EB" w14:paraId="36381A6E" w14:textId="6EAD895C" w:rsidTr="00F455C3">
        <w:tc>
          <w:tcPr>
            <w:tcW w:w="4050" w:type="dxa"/>
            <w:vAlign w:val="bottom"/>
          </w:tcPr>
          <w:p w14:paraId="25E9EF31" w14:textId="4B9B08F5" w:rsidR="00BB529D" w:rsidRPr="00B867DD" w:rsidRDefault="00BB529D" w:rsidP="00BB529D">
            <w:pPr>
              <w:pStyle w:val="Tabletext"/>
            </w:pPr>
            <w:r w:rsidRPr="008E6BCC">
              <w:t xml:space="preserve"> Education</w:t>
            </w:r>
          </w:p>
        </w:tc>
        <w:tc>
          <w:tcPr>
            <w:tcW w:w="2609" w:type="dxa"/>
            <w:vAlign w:val="bottom"/>
          </w:tcPr>
          <w:p w14:paraId="29ADA1FB" w14:textId="22B3D6AF" w:rsidR="00BB529D" w:rsidRDefault="00BB529D" w:rsidP="00BB529D">
            <w:pPr>
              <w:pStyle w:val="Tabletext"/>
            </w:pPr>
            <w:r w:rsidRPr="008E6BCC">
              <w:t>3</w:t>
            </w:r>
          </w:p>
        </w:tc>
        <w:tc>
          <w:tcPr>
            <w:tcW w:w="2609" w:type="dxa"/>
            <w:vAlign w:val="bottom"/>
          </w:tcPr>
          <w:p w14:paraId="127B85F0" w14:textId="164578E6" w:rsidR="00BB529D" w:rsidRPr="008E6BCC" w:rsidRDefault="00BB529D" w:rsidP="00BB529D">
            <w:pPr>
              <w:pStyle w:val="Tabletext"/>
            </w:pPr>
            <w:r w:rsidRPr="008E6BCC">
              <w:t>5</w:t>
            </w:r>
          </w:p>
        </w:tc>
      </w:tr>
      <w:tr w:rsidR="00BB529D" w:rsidRPr="008A00EB" w14:paraId="0CB8129E" w14:textId="0DF1CA43" w:rsidTr="00F455C3">
        <w:tc>
          <w:tcPr>
            <w:tcW w:w="4050" w:type="dxa"/>
            <w:vAlign w:val="bottom"/>
          </w:tcPr>
          <w:p w14:paraId="215ACCBF" w14:textId="683FBDB4" w:rsidR="00BB529D" w:rsidRPr="008E6BCC" w:rsidRDefault="00BB529D" w:rsidP="00BB529D">
            <w:pPr>
              <w:pStyle w:val="Tabletext"/>
            </w:pPr>
            <w:r w:rsidRPr="008E6BCC">
              <w:t>Accommodation/Housing</w:t>
            </w:r>
          </w:p>
        </w:tc>
        <w:tc>
          <w:tcPr>
            <w:tcW w:w="2609" w:type="dxa"/>
            <w:vAlign w:val="bottom"/>
          </w:tcPr>
          <w:p w14:paraId="05B64665" w14:textId="534A71DB" w:rsidR="00BB529D" w:rsidRPr="008E6BCC" w:rsidRDefault="00BB529D" w:rsidP="00BB529D">
            <w:pPr>
              <w:pStyle w:val="Tabletext"/>
            </w:pPr>
            <w:r w:rsidRPr="008E6BCC">
              <w:t>3</w:t>
            </w:r>
          </w:p>
        </w:tc>
        <w:tc>
          <w:tcPr>
            <w:tcW w:w="2609" w:type="dxa"/>
            <w:vAlign w:val="bottom"/>
          </w:tcPr>
          <w:p w14:paraId="0FE917F4" w14:textId="023BC030" w:rsidR="00BB529D" w:rsidRPr="008E6BCC" w:rsidRDefault="00BB529D" w:rsidP="00BB529D">
            <w:pPr>
              <w:pStyle w:val="Tabletext"/>
            </w:pPr>
            <w:r w:rsidRPr="008E6BCC">
              <w:t>3</w:t>
            </w:r>
          </w:p>
        </w:tc>
      </w:tr>
      <w:tr w:rsidR="00BB529D" w:rsidRPr="008A00EB" w14:paraId="6DD4B99D" w14:textId="718C3D64" w:rsidTr="00F455C3">
        <w:tc>
          <w:tcPr>
            <w:tcW w:w="4050" w:type="dxa"/>
            <w:vAlign w:val="bottom"/>
          </w:tcPr>
          <w:p w14:paraId="0CAEF7FD" w14:textId="69FEBD7E" w:rsidR="00BB529D" w:rsidRPr="008E6BCC" w:rsidRDefault="00BB529D" w:rsidP="00BB529D">
            <w:pPr>
              <w:pStyle w:val="Tabletext"/>
            </w:pPr>
            <w:r w:rsidRPr="008E6BCC">
              <w:t>Disability</w:t>
            </w:r>
          </w:p>
        </w:tc>
        <w:tc>
          <w:tcPr>
            <w:tcW w:w="2609" w:type="dxa"/>
            <w:vAlign w:val="bottom"/>
          </w:tcPr>
          <w:p w14:paraId="324F5D1B" w14:textId="79C4C386" w:rsidR="00BB529D" w:rsidRDefault="00BB529D" w:rsidP="00BB529D">
            <w:pPr>
              <w:pStyle w:val="Tabletext"/>
            </w:pPr>
            <w:r w:rsidRPr="008E6BCC">
              <w:t>3</w:t>
            </w:r>
          </w:p>
        </w:tc>
        <w:tc>
          <w:tcPr>
            <w:tcW w:w="2609" w:type="dxa"/>
            <w:vAlign w:val="bottom"/>
          </w:tcPr>
          <w:p w14:paraId="2C1C0995" w14:textId="4948A07E" w:rsidR="00BB529D" w:rsidRPr="008E6BCC" w:rsidRDefault="00BB529D" w:rsidP="00BB529D">
            <w:pPr>
              <w:pStyle w:val="Tabletext"/>
            </w:pPr>
            <w:r w:rsidRPr="008E6BCC">
              <w:t>1</w:t>
            </w:r>
          </w:p>
        </w:tc>
      </w:tr>
    </w:tbl>
    <w:p w14:paraId="1F93BD0B" w14:textId="77777777" w:rsidR="00155D28" w:rsidRDefault="00155D28" w:rsidP="00155D28"/>
    <w:p w14:paraId="06F0491D" w14:textId="33F45D2D" w:rsidR="00067E84" w:rsidRDefault="00155D28" w:rsidP="00221875">
      <w:pPr>
        <w:pStyle w:val="Caption"/>
      </w:pPr>
      <w:r>
        <w:t xml:space="preserve">Table </w:t>
      </w:r>
      <w:r w:rsidR="005564A2">
        <w:t>1</w:t>
      </w:r>
      <w:r w:rsidR="00B132DB">
        <w:t>4</w:t>
      </w:r>
      <w:r>
        <w:t xml:space="preserve">: </w:t>
      </w:r>
      <w:r w:rsidR="00C854EF">
        <w:t>Legal representative type for complainants</w:t>
      </w:r>
      <w:r w:rsidR="00E336C6">
        <w:t xml:space="preserve"> in all </w:t>
      </w:r>
      <w:r w:rsidR="00221875">
        <w:t>finalised complaints 2022-23</w:t>
      </w:r>
    </w:p>
    <w:tbl>
      <w:tblPr>
        <w:tblpPr w:leftFromText="180" w:rightFromText="180" w:vertAnchor="text" w:tblpY="-65"/>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3250"/>
        <w:gridCol w:w="2119"/>
        <w:gridCol w:w="1435"/>
        <w:gridCol w:w="2222"/>
      </w:tblGrid>
      <w:tr w:rsidR="009C11F8" w:rsidRPr="00673307" w14:paraId="04AA1D91" w14:textId="2B0416D6" w:rsidTr="009C11F8">
        <w:tc>
          <w:tcPr>
            <w:tcW w:w="3250" w:type="dxa"/>
          </w:tcPr>
          <w:p w14:paraId="28964482" w14:textId="18843FC7" w:rsidR="009C11F8" w:rsidRPr="0093448F" w:rsidRDefault="009C11F8" w:rsidP="00D23CF5">
            <w:pPr>
              <w:pStyle w:val="Tableheading"/>
              <w:rPr>
                <w:color w:val="373D41"/>
              </w:rPr>
            </w:pPr>
            <w:r>
              <w:rPr>
                <w:color w:val="373D41"/>
              </w:rPr>
              <w:t>Legal Representative Type</w:t>
            </w:r>
          </w:p>
        </w:tc>
        <w:tc>
          <w:tcPr>
            <w:tcW w:w="2119" w:type="dxa"/>
          </w:tcPr>
          <w:p w14:paraId="27CEE8A0" w14:textId="7884E4AB" w:rsidR="009C11F8" w:rsidRPr="0093448F" w:rsidRDefault="009C11F8" w:rsidP="00D23CF5">
            <w:pPr>
              <w:pStyle w:val="Tableheading"/>
              <w:rPr>
                <w:color w:val="373D41"/>
              </w:rPr>
            </w:pPr>
            <w:r>
              <w:rPr>
                <w:color w:val="373D41"/>
              </w:rPr>
              <w:t>Anti-Discrimination Act only complaints</w:t>
            </w:r>
          </w:p>
        </w:tc>
        <w:tc>
          <w:tcPr>
            <w:tcW w:w="1435" w:type="dxa"/>
          </w:tcPr>
          <w:p w14:paraId="47BEFAD8" w14:textId="5859E2AF" w:rsidR="009C11F8" w:rsidRPr="00673307" w:rsidRDefault="009C11F8" w:rsidP="00D23CF5">
            <w:pPr>
              <w:pStyle w:val="Tableheading"/>
              <w:rPr>
                <w:color w:val="373D41"/>
              </w:rPr>
            </w:pPr>
            <w:r>
              <w:rPr>
                <w:color w:val="373D41"/>
              </w:rPr>
              <w:t xml:space="preserve">Piggy-back complaints </w:t>
            </w:r>
          </w:p>
        </w:tc>
        <w:tc>
          <w:tcPr>
            <w:tcW w:w="2222" w:type="dxa"/>
          </w:tcPr>
          <w:p w14:paraId="56ECEA7B" w14:textId="1EFB6BD4" w:rsidR="009C11F8" w:rsidRDefault="009C11F8" w:rsidP="00D23CF5">
            <w:pPr>
              <w:pStyle w:val="Tableheading"/>
              <w:rPr>
                <w:color w:val="373D41"/>
              </w:rPr>
            </w:pPr>
            <w:r>
              <w:rPr>
                <w:color w:val="373D41"/>
              </w:rPr>
              <w:t>Human Rights Act only complaints</w:t>
            </w:r>
          </w:p>
        </w:tc>
      </w:tr>
      <w:tr w:rsidR="009C11F8" w14:paraId="5A24B819" w14:textId="48ACF5F1" w:rsidTr="009C11F8">
        <w:tc>
          <w:tcPr>
            <w:tcW w:w="3250" w:type="dxa"/>
          </w:tcPr>
          <w:p w14:paraId="6E3C926B" w14:textId="24C9F554" w:rsidR="007A6A49" w:rsidRDefault="007F618C" w:rsidP="00D23CF5">
            <w:pPr>
              <w:pStyle w:val="Tabletext"/>
              <w:rPr>
                <w:lang w:val="en-GB"/>
              </w:rPr>
            </w:pPr>
            <w:r>
              <w:rPr>
                <w:lang w:val="en-GB"/>
              </w:rPr>
              <w:t>Community Legal Service</w:t>
            </w:r>
            <w:r w:rsidR="007A6A49">
              <w:rPr>
                <w:lang w:val="en-GB"/>
              </w:rPr>
              <w:t xml:space="preserve"> / </w:t>
            </w:r>
          </w:p>
          <w:p w14:paraId="0D3D0923" w14:textId="49CA3ABF" w:rsidR="009C11F8" w:rsidRPr="00B867DD" w:rsidRDefault="007A6A49" w:rsidP="00D23CF5">
            <w:pPr>
              <w:pStyle w:val="Tabletext"/>
            </w:pPr>
            <w:r>
              <w:rPr>
                <w:lang w:val="en-GB"/>
              </w:rPr>
              <w:t>Legal Aid</w:t>
            </w:r>
          </w:p>
        </w:tc>
        <w:tc>
          <w:tcPr>
            <w:tcW w:w="2119" w:type="dxa"/>
          </w:tcPr>
          <w:p w14:paraId="799445CC" w14:textId="2136225F" w:rsidR="009C11F8" w:rsidRPr="00B867DD" w:rsidRDefault="009C11F8" w:rsidP="00D23CF5">
            <w:pPr>
              <w:pStyle w:val="Tabletext"/>
            </w:pPr>
            <w:r>
              <w:t>2</w:t>
            </w:r>
            <w:r w:rsidR="00B6491D">
              <w:t>3</w:t>
            </w:r>
          </w:p>
        </w:tc>
        <w:tc>
          <w:tcPr>
            <w:tcW w:w="1435" w:type="dxa"/>
          </w:tcPr>
          <w:p w14:paraId="4846AB41" w14:textId="2322B6BD" w:rsidR="009C11F8" w:rsidRDefault="00B6491D" w:rsidP="00D23CF5">
            <w:pPr>
              <w:pStyle w:val="Tabletext"/>
            </w:pPr>
            <w:r>
              <w:t>13</w:t>
            </w:r>
          </w:p>
        </w:tc>
        <w:tc>
          <w:tcPr>
            <w:tcW w:w="2222" w:type="dxa"/>
          </w:tcPr>
          <w:p w14:paraId="2E640CC6" w14:textId="05C9312D" w:rsidR="009C11F8" w:rsidRDefault="00B6491D" w:rsidP="00D23CF5">
            <w:pPr>
              <w:pStyle w:val="Tabletext"/>
            </w:pPr>
            <w:r>
              <w:t>3</w:t>
            </w:r>
          </w:p>
        </w:tc>
      </w:tr>
      <w:tr w:rsidR="009C11F8" w14:paraId="78087184" w14:textId="43B06CB5" w:rsidTr="009C11F8">
        <w:tc>
          <w:tcPr>
            <w:tcW w:w="3250" w:type="dxa"/>
          </w:tcPr>
          <w:p w14:paraId="4DB78EF7" w14:textId="270C84DD" w:rsidR="009C11F8" w:rsidRPr="00B867DD" w:rsidRDefault="007A6A49" w:rsidP="00D23CF5">
            <w:pPr>
              <w:pStyle w:val="Tabletext"/>
            </w:pPr>
            <w:r>
              <w:rPr>
                <w:lang w:val="en-GB"/>
              </w:rPr>
              <w:t>Industrial advocate</w:t>
            </w:r>
          </w:p>
        </w:tc>
        <w:tc>
          <w:tcPr>
            <w:tcW w:w="2119" w:type="dxa"/>
          </w:tcPr>
          <w:p w14:paraId="15F48B8D" w14:textId="55347FF8" w:rsidR="009C11F8" w:rsidRPr="00B867DD" w:rsidRDefault="002338B8" w:rsidP="00D23CF5">
            <w:pPr>
              <w:pStyle w:val="Tabletext"/>
            </w:pPr>
            <w:r>
              <w:t>29</w:t>
            </w:r>
          </w:p>
        </w:tc>
        <w:tc>
          <w:tcPr>
            <w:tcW w:w="1435" w:type="dxa"/>
          </w:tcPr>
          <w:p w14:paraId="619A5053" w14:textId="29ACA9B9" w:rsidR="009C11F8" w:rsidRDefault="000E70F1" w:rsidP="00D23CF5">
            <w:pPr>
              <w:pStyle w:val="Tabletext"/>
            </w:pPr>
            <w:r>
              <w:t>7</w:t>
            </w:r>
          </w:p>
        </w:tc>
        <w:tc>
          <w:tcPr>
            <w:tcW w:w="2222" w:type="dxa"/>
          </w:tcPr>
          <w:p w14:paraId="624728B5" w14:textId="5FF7F6D8" w:rsidR="009C11F8" w:rsidRDefault="000E70F1" w:rsidP="00D23CF5">
            <w:pPr>
              <w:pStyle w:val="Tabletext"/>
            </w:pPr>
            <w:r>
              <w:t>0</w:t>
            </w:r>
          </w:p>
        </w:tc>
      </w:tr>
      <w:tr w:rsidR="009C11F8" w14:paraId="2B6602CD" w14:textId="36E32121" w:rsidTr="009C11F8">
        <w:tc>
          <w:tcPr>
            <w:tcW w:w="3250" w:type="dxa"/>
          </w:tcPr>
          <w:p w14:paraId="76F7CE55" w14:textId="3B61BCA0" w:rsidR="009C11F8" w:rsidRPr="00B867DD" w:rsidRDefault="007C7F90" w:rsidP="00D23CF5">
            <w:pPr>
              <w:pStyle w:val="Tabletext"/>
            </w:pPr>
            <w:r>
              <w:rPr>
                <w:lang w:val="en-GB"/>
              </w:rPr>
              <w:t>Other or N/A</w:t>
            </w:r>
          </w:p>
        </w:tc>
        <w:tc>
          <w:tcPr>
            <w:tcW w:w="2119" w:type="dxa"/>
          </w:tcPr>
          <w:p w14:paraId="1BB39CF9" w14:textId="5D0A99E1" w:rsidR="009C11F8" w:rsidRPr="00B867DD" w:rsidRDefault="00A42E53" w:rsidP="00D23CF5">
            <w:pPr>
              <w:pStyle w:val="Tabletext"/>
            </w:pPr>
            <w:r>
              <w:t>42</w:t>
            </w:r>
          </w:p>
        </w:tc>
        <w:tc>
          <w:tcPr>
            <w:tcW w:w="1435" w:type="dxa"/>
          </w:tcPr>
          <w:p w14:paraId="5499CD4E" w14:textId="420219FB" w:rsidR="009C11F8" w:rsidRDefault="00A42E53" w:rsidP="00D23CF5">
            <w:pPr>
              <w:pStyle w:val="Tabletext"/>
            </w:pPr>
            <w:r>
              <w:t>11</w:t>
            </w:r>
          </w:p>
        </w:tc>
        <w:tc>
          <w:tcPr>
            <w:tcW w:w="2222" w:type="dxa"/>
          </w:tcPr>
          <w:p w14:paraId="427AB2A6" w14:textId="7E187919" w:rsidR="009C11F8" w:rsidRDefault="00890978" w:rsidP="00D23CF5">
            <w:pPr>
              <w:pStyle w:val="Tabletext"/>
            </w:pPr>
            <w:r>
              <w:t>2</w:t>
            </w:r>
          </w:p>
        </w:tc>
      </w:tr>
      <w:tr w:rsidR="009C11F8" w14:paraId="2CDFCC98" w14:textId="35F80BCC" w:rsidTr="009C11F8">
        <w:tc>
          <w:tcPr>
            <w:tcW w:w="3250" w:type="dxa"/>
          </w:tcPr>
          <w:p w14:paraId="038647AC" w14:textId="572E156B" w:rsidR="009C11F8" w:rsidRPr="00B867DD" w:rsidRDefault="007C7F90" w:rsidP="00D23CF5">
            <w:pPr>
              <w:pStyle w:val="Tabletext"/>
            </w:pPr>
            <w:r>
              <w:rPr>
                <w:lang w:val="en-GB"/>
              </w:rPr>
              <w:t>Private lawyer</w:t>
            </w:r>
          </w:p>
        </w:tc>
        <w:tc>
          <w:tcPr>
            <w:tcW w:w="2119" w:type="dxa"/>
          </w:tcPr>
          <w:p w14:paraId="517832C0" w14:textId="0ED4962D" w:rsidR="009C11F8" w:rsidRPr="00B867DD" w:rsidRDefault="00890978" w:rsidP="00D23CF5">
            <w:pPr>
              <w:pStyle w:val="Tabletext"/>
            </w:pPr>
            <w:r>
              <w:t>31</w:t>
            </w:r>
          </w:p>
        </w:tc>
        <w:tc>
          <w:tcPr>
            <w:tcW w:w="1435" w:type="dxa"/>
          </w:tcPr>
          <w:p w14:paraId="0B3FE278" w14:textId="5CA9D35D" w:rsidR="009C11F8" w:rsidRDefault="009041CE" w:rsidP="00D23CF5">
            <w:pPr>
              <w:pStyle w:val="Tabletext"/>
            </w:pPr>
            <w:r>
              <w:t>11</w:t>
            </w:r>
          </w:p>
        </w:tc>
        <w:tc>
          <w:tcPr>
            <w:tcW w:w="2222" w:type="dxa"/>
          </w:tcPr>
          <w:p w14:paraId="07E96A6D" w14:textId="7A1E8B38" w:rsidR="009C11F8" w:rsidRDefault="009041CE" w:rsidP="00D23CF5">
            <w:pPr>
              <w:pStyle w:val="Tabletext"/>
            </w:pPr>
            <w:r>
              <w:t>3</w:t>
            </w:r>
          </w:p>
        </w:tc>
      </w:tr>
      <w:tr w:rsidR="009C11F8" w14:paraId="5FB53EBC" w14:textId="4C7CF8ED" w:rsidTr="009C11F8">
        <w:tc>
          <w:tcPr>
            <w:tcW w:w="3250" w:type="dxa"/>
          </w:tcPr>
          <w:p w14:paraId="20B8A323" w14:textId="6AEF7DE5" w:rsidR="009C11F8" w:rsidRPr="00B867DD" w:rsidRDefault="007C7F90" w:rsidP="00D23CF5">
            <w:pPr>
              <w:pStyle w:val="Tabletext"/>
            </w:pPr>
            <w:r>
              <w:rPr>
                <w:lang w:val="en-GB"/>
              </w:rPr>
              <w:t>Self-represented</w:t>
            </w:r>
          </w:p>
        </w:tc>
        <w:tc>
          <w:tcPr>
            <w:tcW w:w="2119" w:type="dxa"/>
          </w:tcPr>
          <w:p w14:paraId="665726DE" w14:textId="15CFBEAD" w:rsidR="009C11F8" w:rsidRPr="00B867DD" w:rsidRDefault="009041CE" w:rsidP="00D23CF5">
            <w:pPr>
              <w:pStyle w:val="Tabletext"/>
            </w:pPr>
            <w:r>
              <w:t>242</w:t>
            </w:r>
          </w:p>
        </w:tc>
        <w:tc>
          <w:tcPr>
            <w:tcW w:w="1435" w:type="dxa"/>
          </w:tcPr>
          <w:p w14:paraId="387AF27C" w14:textId="2BDEBAF7" w:rsidR="009C11F8" w:rsidRDefault="009041CE" w:rsidP="00D23CF5">
            <w:pPr>
              <w:pStyle w:val="Tabletext"/>
            </w:pPr>
            <w:r>
              <w:t>132</w:t>
            </w:r>
          </w:p>
        </w:tc>
        <w:tc>
          <w:tcPr>
            <w:tcW w:w="2222" w:type="dxa"/>
          </w:tcPr>
          <w:p w14:paraId="71668080" w14:textId="455AC843" w:rsidR="009C11F8" w:rsidRDefault="000D10B0" w:rsidP="00D23CF5">
            <w:pPr>
              <w:pStyle w:val="Tabletext"/>
            </w:pPr>
            <w:r>
              <w:t>60</w:t>
            </w:r>
          </w:p>
        </w:tc>
      </w:tr>
    </w:tbl>
    <w:p w14:paraId="45CEC632" w14:textId="77777777" w:rsidR="00067E84" w:rsidRDefault="00067E84" w:rsidP="00155D28"/>
    <w:p w14:paraId="1CA558BA" w14:textId="77777777" w:rsidR="00067E84" w:rsidRDefault="00067E84" w:rsidP="00155D28">
      <w:pPr>
        <w:spacing w:line="259" w:lineRule="auto"/>
        <w:ind w:right="0"/>
      </w:pPr>
    </w:p>
    <w:p w14:paraId="6128A224" w14:textId="713F74FC" w:rsidR="00155D28" w:rsidRDefault="00155D28" w:rsidP="00155D28">
      <w:pPr>
        <w:pStyle w:val="Caption"/>
      </w:pPr>
      <w:r>
        <w:t xml:space="preserve">Table </w:t>
      </w:r>
      <w:r w:rsidR="001C6894">
        <w:t>1</w:t>
      </w:r>
      <w:r w:rsidR="00B132DB">
        <w:t>5</w:t>
      </w:r>
      <w:r>
        <w:t xml:space="preserve">: Finalised complaints by complainant age bracket, </w:t>
      </w:r>
      <w:r w:rsidR="007D27F7">
        <w:t>2022-23</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3823"/>
        <w:gridCol w:w="4115"/>
      </w:tblGrid>
      <w:tr w:rsidR="00155D28" w:rsidRPr="00134D92" w14:paraId="4D579D86" w14:textId="77777777" w:rsidTr="00DB2856">
        <w:tc>
          <w:tcPr>
            <w:tcW w:w="3823" w:type="dxa"/>
          </w:tcPr>
          <w:p w14:paraId="6EE137B6" w14:textId="77777777" w:rsidR="00155D28" w:rsidRPr="0093448F" w:rsidRDefault="00155D28" w:rsidP="00331D2E">
            <w:pPr>
              <w:pStyle w:val="Tableheading"/>
              <w:rPr>
                <w:color w:val="373D41"/>
              </w:rPr>
            </w:pPr>
            <w:r w:rsidRPr="0093448F">
              <w:rPr>
                <w:color w:val="373D41"/>
              </w:rPr>
              <w:t>Complainant age group</w:t>
            </w:r>
          </w:p>
        </w:tc>
        <w:tc>
          <w:tcPr>
            <w:tcW w:w="4115" w:type="dxa"/>
          </w:tcPr>
          <w:p w14:paraId="51232BE4" w14:textId="77777777" w:rsidR="00155D28" w:rsidRPr="0093448F" w:rsidRDefault="00155D28" w:rsidP="00331D2E">
            <w:pPr>
              <w:pStyle w:val="Tableheading"/>
              <w:rPr>
                <w:color w:val="373D41"/>
              </w:rPr>
            </w:pPr>
            <w:r w:rsidRPr="0093448F">
              <w:rPr>
                <w:color w:val="373D41"/>
              </w:rPr>
              <w:t>No. of finalised complaints</w:t>
            </w:r>
          </w:p>
        </w:tc>
      </w:tr>
      <w:tr w:rsidR="00155D28" w:rsidRPr="008A00EB" w14:paraId="2C405551" w14:textId="77777777" w:rsidTr="00DB2856">
        <w:tc>
          <w:tcPr>
            <w:tcW w:w="3823" w:type="dxa"/>
          </w:tcPr>
          <w:p w14:paraId="3542F366" w14:textId="77777777" w:rsidR="00155D28" w:rsidRPr="008A00EB" w:rsidRDefault="00155D28" w:rsidP="00331D2E">
            <w:pPr>
              <w:pStyle w:val="Tabletext"/>
            </w:pPr>
            <w:r>
              <w:t>Under 15</w:t>
            </w:r>
          </w:p>
        </w:tc>
        <w:tc>
          <w:tcPr>
            <w:tcW w:w="4115" w:type="dxa"/>
          </w:tcPr>
          <w:p w14:paraId="64806219" w14:textId="7B2306A4" w:rsidR="00155D28" w:rsidRPr="008A00EB" w:rsidRDefault="00BB7A4F" w:rsidP="00331D2E">
            <w:pPr>
              <w:pStyle w:val="Tabletext"/>
            </w:pPr>
            <w:r>
              <w:t>2</w:t>
            </w:r>
          </w:p>
        </w:tc>
      </w:tr>
      <w:tr w:rsidR="00155D28" w:rsidRPr="008A00EB" w14:paraId="4D8E6747" w14:textId="77777777" w:rsidTr="00DB2856">
        <w:tc>
          <w:tcPr>
            <w:tcW w:w="3823" w:type="dxa"/>
          </w:tcPr>
          <w:p w14:paraId="3B15BE0C" w14:textId="77777777" w:rsidR="00155D28" w:rsidRPr="008A00EB" w:rsidRDefault="00155D28" w:rsidP="00331D2E">
            <w:pPr>
              <w:pStyle w:val="Tabletext"/>
            </w:pPr>
            <w:r>
              <w:t>15-19</w:t>
            </w:r>
          </w:p>
        </w:tc>
        <w:tc>
          <w:tcPr>
            <w:tcW w:w="4115" w:type="dxa"/>
          </w:tcPr>
          <w:p w14:paraId="4C289FFC" w14:textId="09C2AF80" w:rsidR="00155D28" w:rsidRPr="008A00EB" w:rsidRDefault="00BB7A4F" w:rsidP="00331D2E">
            <w:pPr>
              <w:pStyle w:val="Tabletext"/>
            </w:pPr>
            <w:r>
              <w:t>2</w:t>
            </w:r>
          </w:p>
        </w:tc>
      </w:tr>
      <w:tr w:rsidR="00155D28" w:rsidRPr="008A00EB" w14:paraId="5A484843" w14:textId="77777777" w:rsidTr="00DB2856">
        <w:tc>
          <w:tcPr>
            <w:tcW w:w="3823" w:type="dxa"/>
          </w:tcPr>
          <w:p w14:paraId="6B1CFBBD" w14:textId="77777777" w:rsidR="00155D28" w:rsidRDefault="00155D28" w:rsidP="00331D2E">
            <w:pPr>
              <w:pStyle w:val="Tabletext"/>
            </w:pPr>
            <w:r>
              <w:t>20-24</w:t>
            </w:r>
          </w:p>
        </w:tc>
        <w:tc>
          <w:tcPr>
            <w:tcW w:w="4115" w:type="dxa"/>
          </w:tcPr>
          <w:p w14:paraId="51F25F8B" w14:textId="0CD386F6" w:rsidR="00155D28" w:rsidRPr="008A00EB" w:rsidRDefault="00BB7A4F" w:rsidP="00331D2E">
            <w:pPr>
              <w:pStyle w:val="Tabletext"/>
            </w:pPr>
            <w:r>
              <w:t>9</w:t>
            </w:r>
          </w:p>
        </w:tc>
      </w:tr>
      <w:tr w:rsidR="00155D28" w:rsidRPr="008A00EB" w14:paraId="233B4054" w14:textId="77777777" w:rsidTr="00DB2856">
        <w:tc>
          <w:tcPr>
            <w:tcW w:w="3823" w:type="dxa"/>
          </w:tcPr>
          <w:p w14:paraId="22091A58" w14:textId="77777777" w:rsidR="00155D28" w:rsidRPr="008A00EB" w:rsidRDefault="00155D28" w:rsidP="00331D2E">
            <w:pPr>
              <w:pStyle w:val="Tabletext"/>
            </w:pPr>
            <w:r w:rsidRPr="008A00EB">
              <w:t>25-34</w:t>
            </w:r>
          </w:p>
        </w:tc>
        <w:tc>
          <w:tcPr>
            <w:tcW w:w="4115" w:type="dxa"/>
          </w:tcPr>
          <w:p w14:paraId="524459F0" w14:textId="66478ECC" w:rsidR="00155D28" w:rsidRPr="008A00EB" w:rsidRDefault="006A2808" w:rsidP="00331D2E">
            <w:pPr>
              <w:pStyle w:val="Tabletext"/>
            </w:pPr>
            <w:r>
              <w:t>49</w:t>
            </w:r>
          </w:p>
        </w:tc>
      </w:tr>
      <w:tr w:rsidR="00155D28" w:rsidRPr="008A00EB" w14:paraId="6D7168E8" w14:textId="77777777" w:rsidTr="00DB2856">
        <w:tc>
          <w:tcPr>
            <w:tcW w:w="3823" w:type="dxa"/>
          </w:tcPr>
          <w:p w14:paraId="331F9ED3" w14:textId="77777777" w:rsidR="00155D28" w:rsidRPr="008A00EB" w:rsidRDefault="00155D28" w:rsidP="00331D2E">
            <w:pPr>
              <w:pStyle w:val="Tabletext"/>
            </w:pPr>
            <w:r w:rsidRPr="008A00EB">
              <w:t>35-44</w:t>
            </w:r>
          </w:p>
        </w:tc>
        <w:tc>
          <w:tcPr>
            <w:tcW w:w="4115" w:type="dxa"/>
          </w:tcPr>
          <w:p w14:paraId="5F1CC2FE" w14:textId="3EE688BE" w:rsidR="00155D28" w:rsidRPr="008A00EB" w:rsidRDefault="00AF7183" w:rsidP="00331D2E">
            <w:pPr>
              <w:pStyle w:val="Tabletext"/>
            </w:pPr>
            <w:r>
              <w:t>96</w:t>
            </w:r>
          </w:p>
        </w:tc>
      </w:tr>
      <w:tr w:rsidR="00155D28" w:rsidRPr="008A00EB" w14:paraId="429BA4E3" w14:textId="77777777" w:rsidTr="00DB2856">
        <w:tc>
          <w:tcPr>
            <w:tcW w:w="3823" w:type="dxa"/>
          </w:tcPr>
          <w:p w14:paraId="32D275EE" w14:textId="77777777" w:rsidR="00155D28" w:rsidRPr="008A00EB" w:rsidRDefault="00155D28" w:rsidP="00331D2E">
            <w:pPr>
              <w:pStyle w:val="Tabletext"/>
            </w:pPr>
            <w:r w:rsidRPr="008A00EB">
              <w:t>45-54</w:t>
            </w:r>
          </w:p>
        </w:tc>
        <w:tc>
          <w:tcPr>
            <w:tcW w:w="4115" w:type="dxa"/>
          </w:tcPr>
          <w:p w14:paraId="4F0309CC" w14:textId="3C74C4B7" w:rsidR="00155D28" w:rsidRPr="008A00EB" w:rsidRDefault="00AF7183" w:rsidP="00331D2E">
            <w:pPr>
              <w:pStyle w:val="Tabletext"/>
            </w:pPr>
            <w:r>
              <w:t>107</w:t>
            </w:r>
          </w:p>
        </w:tc>
      </w:tr>
      <w:tr w:rsidR="00155D28" w:rsidRPr="008A00EB" w14:paraId="6EC017B3" w14:textId="77777777" w:rsidTr="00DB2856">
        <w:tc>
          <w:tcPr>
            <w:tcW w:w="3823" w:type="dxa"/>
          </w:tcPr>
          <w:p w14:paraId="681160C5" w14:textId="77777777" w:rsidR="00155D28" w:rsidRPr="00BA291D" w:rsidRDefault="00155D28" w:rsidP="00331D2E">
            <w:pPr>
              <w:pStyle w:val="Tabletext"/>
            </w:pPr>
            <w:r w:rsidRPr="00BA291D">
              <w:t>55-64</w:t>
            </w:r>
          </w:p>
        </w:tc>
        <w:tc>
          <w:tcPr>
            <w:tcW w:w="4115" w:type="dxa"/>
          </w:tcPr>
          <w:p w14:paraId="7DBA4A44" w14:textId="5A4FBB2B" w:rsidR="00155D28" w:rsidRPr="008A00EB" w:rsidRDefault="00AF7183" w:rsidP="00331D2E">
            <w:pPr>
              <w:pStyle w:val="Tabletext"/>
            </w:pPr>
            <w:r>
              <w:t>52</w:t>
            </w:r>
          </w:p>
        </w:tc>
      </w:tr>
      <w:tr w:rsidR="00155D28" w:rsidRPr="008A00EB" w14:paraId="454830DF" w14:textId="77777777" w:rsidTr="00DB2856">
        <w:tc>
          <w:tcPr>
            <w:tcW w:w="3823" w:type="dxa"/>
          </w:tcPr>
          <w:p w14:paraId="5A5A17C0" w14:textId="77777777" w:rsidR="00155D28" w:rsidRPr="008A00EB" w:rsidRDefault="00155D28" w:rsidP="00331D2E">
            <w:pPr>
              <w:pStyle w:val="Tabletext"/>
            </w:pPr>
            <w:r w:rsidRPr="008A00EB">
              <w:t>Over 65</w:t>
            </w:r>
          </w:p>
        </w:tc>
        <w:tc>
          <w:tcPr>
            <w:tcW w:w="4115" w:type="dxa"/>
          </w:tcPr>
          <w:p w14:paraId="4D4E05FA" w14:textId="1B1379B6" w:rsidR="00155D28" w:rsidRPr="008A00EB" w:rsidRDefault="00AF7183" w:rsidP="00331D2E">
            <w:pPr>
              <w:pStyle w:val="Tabletext"/>
            </w:pPr>
            <w:r>
              <w:t>25</w:t>
            </w:r>
          </w:p>
        </w:tc>
      </w:tr>
      <w:bookmarkEnd w:id="171"/>
    </w:tbl>
    <w:p w14:paraId="500ADFBE" w14:textId="0B407DAD" w:rsidR="00306DDF" w:rsidRDefault="00306DDF" w:rsidP="00331D2E">
      <w:pPr>
        <w:pStyle w:val="Listparagraph-bulleted"/>
        <w:numPr>
          <w:ilvl w:val="0"/>
          <w:numId w:val="0"/>
        </w:numPr>
      </w:pPr>
    </w:p>
    <w:p w14:paraId="4421FCCF" w14:textId="77777777" w:rsidR="00306DDF" w:rsidRDefault="00306DDF">
      <w:pPr>
        <w:spacing w:after="160" w:line="259" w:lineRule="auto"/>
        <w:ind w:right="0"/>
      </w:pPr>
      <w:r>
        <w:br w:type="page"/>
      </w:r>
    </w:p>
    <w:p w14:paraId="0B8F15B5" w14:textId="4B68D225" w:rsidR="00A81854" w:rsidRDefault="00762793" w:rsidP="00943552">
      <w:pPr>
        <w:pStyle w:val="Heading1"/>
        <w:rPr>
          <w:color w:val="373D41"/>
        </w:rPr>
      </w:pPr>
      <w:bookmarkStart w:id="920" w:name="_Toc117697233"/>
      <w:bookmarkStart w:id="921" w:name="_Toc147757380"/>
      <w:bookmarkStart w:id="922" w:name="_Toc148087009"/>
      <w:r w:rsidRPr="00943552">
        <w:rPr>
          <w:color w:val="373D41"/>
        </w:rPr>
        <w:t xml:space="preserve">Appendix D: </w:t>
      </w:r>
      <w:r w:rsidR="00943552" w:rsidRPr="00943552">
        <w:rPr>
          <w:color w:val="373D41"/>
        </w:rPr>
        <w:t xml:space="preserve">Human rights timeline </w:t>
      </w:r>
      <w:r w:rsidR="007D27F7">
        <w:rPr>
          <w:color w:val="373D41"/>
        </w:rPr>
        <w:t>2022-23</w:t>
      </w:r>
      <w:bookmarkEnd w:id="920"/>
      <w:bookmarkEnd w:id="921"/>
      <w:bookmarkEnd w:id="922"/>
    </w:p>
    <w:p w14:paraId="2E7AB8DE" w14:textId="002777A2" w:rsidR="00943552" w:rsidRDefault="00943552" w:rsidP="00943552">
      <w:r>
        <w:t>This information is represented in the timeline on page</w:t>
      </w:r>
      <w:r w:rsidR="00400B1F">
        <w:t xml:space="preserve">s </w:t>
      </w:r>
      <w:r w:rsidR="000449C8">
        <w:t xml:space="preserve">14 </w:t>
      </w:r>
      <w:r w:rsidR="00A92628">
        <w:t>to 16</w:t>
      </w:r>
      <w:r w:rsidR="00400B1F">
        <w:t xml:space="preserve"> of this report</w:t>
      </w:r>
      <w:r w:rsidR="00A17116">
        <w:t xml:space="preserve"> and is a summary of </w:t>
      </w:r>
      <w:r w:rsidR="00423D61" w:rsidRPr="45117535">
        <w:t>some significant events relevant to the operation of the Act in its third year.</w:t>
      </w:r>
    </w:p>
    <w:p w14:paraId="12DB0921" w14:textId="17A2EB1D" w:rsidR="000C62C0" w:rsidRPr="00E67603" w:rsidRDefault="000C62C0" w:rsidP="005F54A0">
      <w:pPr>
        <w:pStyle w:val="Heading2"/>
        <w:rPr>
          <w:color w:val="373D41"/>
        </w:rPr>
      </w:pPr>
      <w:bookmarkStart w:id="923" w:name="_Toc148087010"/>
      <w:r w:rsidRPr="00E67603">
        <w:rPr>
          <w:color w:val="373D41"/>
        </w:rPr>
        <w:t>July 2022</w:t>
      </w:r>
      <w:bookmarkEnd w:id="923"/>
      <w:r w:rsidRPr="00E67603">
        <w:rPr>
          <w:color w:val="373D41"/>
        </w:rPr>
        <w:t xml:space="preserve"> </w:t>
      </w:r>
    </w:p>
    <w:p w14:paraId="77F9EA59" w14:textId="77777777" w:rsidR="000C62C0" w:rsidRDefault="000C62C0" w:rsidP="000C62C0">
      <w:pPr>
        <w:spacing w:line="240" w:lineRule="auto"/>
        <w:rPr>
          <w:rFonts w:cs="Arial"/>
        </w:rPr>
      </w:pPr>
      <w:r>
        <w:rPr>
          <w:rFonts w:cs="Arial"/>
        </w:rPr>
        <w:t>E</w:t>
      </w:r>
      <w:r w:rsidRPr="007E5DA3">
        <w:rPr>
          <w:rFonts w:cs="Arial"/>
        </w:rPr>
        <w:t>xperiences of women and girls across Queensland's criminal justice system</w:t>
      </w:r>
      <w:r>
        <w:rPr>
          <w:rFonts w:cs="Arial"/>
        </w:rPr>
        <w:t xml:space="preserve"> were examined and reviewed by the </w:t>
      </w:r>
      <w:r w:rsidRPr="00604D89">
        <w:rPr>
          <w:rFonts w:cs="Arial"/>
        </w:rPr>
        <w:t>Women’s Safety and Justice Taskforce</w:t>
      </w:r>
      <w:r>
        <w:rPr>
          <w:rFonts w:cs="Arial"/>
        </w:rPr>
        <w:t xml:space="preserve"> in </w:t>
      </w:r>
      <w:r w:rsidRPr="00193CD9">
        <w:rPr>
          <w:rFonts w:cs="Arial"/>
          <w:i/>
          <w:iCs/>
        </w:rPr>
        <w:t>Hear her voice report 2</w:t>
      </w:r>
      <w:r>
        <w:rPr>
          <w:rFonts w:cs="Arial"/>
        </w:rPr>
        <w:t>.</w:t>
      </w:r>
      <w:r w:rsidRPr="00604D89">
        <w:rPr>
          <w:rFonts w:cs="Arial"/>
        </w:rPr>
        <w:t xml:space="preserve"> </w:t>
      </w:r>
    </w:p>
    <w:p w14:paraId="7C629F6C" w14:textId="288CBEAD" w:rsidR="000C62C0" w:rsidRPr="00E67603" w:rsidRDefault="000C62C0" w:rsidP="005F54A0">
      <w:pPr>
        <w:pStyle w:val="Heading2"/>
        <w:rPr>
          <w:color w:val="373D41"/>
        </w:rPr>
      </w:pPr>
      <w:bookmarkStart w:id="924" w:name="_Toc148087011"/>
      <w:r w:rsidRPr="00E67603">
        <w:rPr>
          <w:color w:val="373D41"/>
        </w:rPr>
        <w:t>September 2022</w:t>
      </w:r>
      <w:bookmarkEnd w:id="924"/>
      <w:r w:rsidRPr="00E67603">
        <w:rPr>
          <w:color w:val="373D41"/>
        </w:rPr>
        <w:t xml:space="preserve"> </w:t>
      </w:r>
    </w:p>
    <w:p w14:paraId="64247D31" w14:textId="0B3A6E18" w:rsidR="000C62C0" w:rsidRPr="00E67603" w:rsidRDefault="000C62C0" w:rsidP="00E67603">
      <w:pPr>
        <w:rPr>
          <w:color w:val="000000" w:themeColor="text1"/>
        </w:rPr>
      </w:pPr>
      <w:r w:rsidRPr="00E67603">
        <w:rPr>
          <w:color w:val="000000" w:themeColor="text1"/>
        </w:rPr>
        <w:t>Legislation was passed to establish an independent inspectorate to promote and uphold the humane treatment and conditions of people detained in prisons, community corrections centres, work camps, youth detention centres and police watch-houses.</w:t>
      </w:r>
      <w:r w:rsidR="005F54A0" w:rsidRPr="00E67603">
        <w:rPr>
          <w:color w:val="000000" w:themeColor="text1"/>
        </w:rPr>
        <w:t xml:space="preserve"> See </w:t>
      </w:r>
      <w:r w:rsidRPr="00E67603">
        <w:rPr>
          <w:i/>
          <w:iCs/>
          <w:color w:val="000000" w:themeColor="text1"/>
        </w:rPr>
        <w:t>Inspector of Detention Services Act 2022</w:t>
      </w:r>
      <w:r w:rsidR="005F54A0" w:rsidRPr="00E67603">
        <w:rPr>
          <w:color w:val="000000" w:themeColor="text1"/>
        </w:rPr>
        <w:t>.</w:t>
      </w:r>
    </w:p>
    <w:p w14:paraId="321122E5" w14:textId="46518BB1" w:rsidR="000C62C0" w:rsidRPr="00E67603" w:rsidRDefault="000C62C0" w:rsidP="005F54A0">
      <w:pPr>
        <w:pStyle w:val="Heading2"/>
        <w:rPr>
          <w:color w:val="373D41"/>
        </w:rPr>
      </w:pPr>
      <w:bookmarkStart w:id="925" w:name="_Toc148087012"/>
      <w:r w:rsidRPr="00E67603">
        <w:rPr>
          <w:color w:val="373D41"/>
        </w:rPr>
        <w:t>October 2022</w:t>
      </w:r>
      <w:bookmarkEnd w:id="925"/>
      <w:r w:rsidRPr="00E67603">
        <w:rPr>
          <w:color w:val="373D41"/>
        </w:rPr>
        <w:t xml:space="preserve"> </w:t>
      </w:r>
    </w:p>
    <w:p w14:paraId="56747106" w14:textId="77777777" w:rsidR="000C62C0" w:rsidRDefault="000C62C0" w:rsidP="000C62C0">
      <w:r>
        <w:t>A</w:t>
      </w:r>
      <w:r w:rsidRPr="007E5DA3">
        <w:t xml:space="preserve"> United Nations </w:t>
      </w:r>
      <w:r>
        <w:t xml:space="preserve">tour that was to have included </w:t>
      </w:r>
      <w:r w:rsidRPr="007E5DA3">
        <w:rPr>
          <w:rFonts w:eastAsiaTheme="majorEastAsia"/>
        </w:rPr>
        <w:t>unannounced inspections of detention facilities</w:t>
      </w:r>
      <w:r>
        <w:t xml:space="preserve"> as part of Australia’s </w:t>
      </w:r>
      <w:r w:rsidRPr="007E5DA3">
        <w:rPr>
          <w:rFonts w:eastAsiaTheme="majorEastAsia"/>
        </w:rPr>
        <w:t>implement</w:t>
      </w:r>
      <w:r>
        <w:rPr>
          <w:rFonts w:eastAsiaTheme="majorEastAsia"/>
        </w:rPr>
        <w:t>ation of</w:t>
      </w:r>
      <w:r w:rsidRPr="007E5DA3">
        <w:rPr>
          <w:rFonts w:eastAsiaTheme="majorEastAsia"/>
        </w:rPr>
        <w:t xml:space="preserve"> the </w:t>
      </w:r>
      <w:r w:rsidRPr="00D94AAD">
        <w:rPr>
          <w:rFonts w:eastAsiaTheme="majorEastAsia"/>
          <w:i/>
          <w:iCs/>
        </w:rPr>
        <w:t>Optional Protocol to the Convention against Torture</w:t>
      </w:r>
      <w:r>
        <w:rPr>
          <w:rFonts w:eastAsiaTheme="majorEastAsia"/>
        </w:rPr>
        <w:t xml:space="preserve"> was</w:t>
      </w:r>
      <w:r w:rsidRPr="007E5DA3">
        <w:t xml:space="preserve"> suspended due to obstructions, particularly the lack of co-operation by the governments of NSW and Queensland.</w:t>
      </w:r>
    </w:p>
    <w:p w14:paraId="23626E9F" w14:textId="5DF55D81" w:rsidR="000C62C0" w:rsidRPr="00E67603" w:rsidRDefault="000C62C0" w:rsidP="005F54A0">
      <w:pPr>
        <w:pStyle w:val="Heading2"/>
        <w:rPr>
          <w:color w:val="373D41"/>
        </w:rPr>
      </w:pPr>
      <w:bookmarkStart w:id="926" w:name="_Toc148087013"/>
      <w:r w:rsidRPr="00E67603">
        <w:rPr>
          <w:color w:val="373D41"/>
        </w:rPr>
        <w:t>November 2022</w:t>
      </w:r>
      <w:bookmarkEnd w:id="926"/>
      <w:r w:rsidRPr="00E67603">
        <w:rPr>
          <w:color w:val="373D41"/>
        </w:rPr>
        <w:t xml:space="preserve"> </w:t>
      </w:r>
    </w:p>
    <w:p w14:paraId="69B53564" w14:textId="62FA319D" w:rsidR="000C62C0" w:rsidRPr="00E67603" w:rsidRDefault="000C62C0" w:rsidP="000C62C0">
      <w:pPr>
        <w:rPr>
          <w:rFonts w:cs="Arial"/>
          <w:color w:val="000000" w:themeColor="text1"/>
        </w:rPr>
      </w:pPr>
      <w:r w:rsidRPr="00E67603">
        <w:rPr>
          <w:color w:val="000000" w:themeColor="text1"/>
        </w:rPr>
        <w:t xml:space="preserve">Temporary legislation (effective from 31 October 2022 to 31 October 2023) provides a step-down approach to managing COVID-19. It limits the power of the Chief Health Officer to make public health directions to three key measures: masks, isolation and quarantine, and vaccinations for workers in high-risk settings, and requires a parliamentary process outlining compatibility with human rights for directions. </w:t>
      </w:r>
      <w:r w:rsidR="005F54A0" w:rsidRPr="00E67603">
        <w:rPr>
          <w:rFonts w:cs="Arial"/>
          <w:color w:val="000000" w:themeColor="text1"/>
        </w:rPr>
        <w:t xml:space="preserve">See </w:t>
      </w:r>
      <w:r w:rsidRPr="00E67603">
        <w:rPr>
          <w:rFonts w:cs="Arial"/>
          <w:i/>
          <w:iCs/>
          <w:color w:val="000000" w:themeColor="text1"/>
        </w:rPr>
        <w:t>Public Health and Other Legislation (COVID-19 Management) Amendment Act 2022</w:t>
      </w:r>
      <w:r w:rsidR="005F54A0" w:rsidRPr="00E67603">
        <w:rPr>
          <w:rFonts w:cs="Arial"/>
          <w:color w:val="000000" w:themeColor="text1"/>
        </w:rPr>
        <w:t>.</w:t>
      </w:r>
    </w:p>
    <w:p w14:paraId="7319C6A5" w14:textId="77777777" w:rsidR="000C62C0" w:rsidRPr="00E67603" w:rsidRDefault="000C62C0" w:rsidP="00E67603">
      <w:pPr>
        <w:rPr>
          <w:rFonts w:cs="Arial"/>
          <w:color w:val="000000" w:themeColor="text1"/>
        </w:rPr>
      </w:pPr>
      <w:r w:rsidRPr="00E67603">
        <w:rPr>
          <w:rFonts w:cs="Arial"/>
          <w:color w:val="000000" w:themeColor="text1"/>
        </w:rPr>
        <w:t xml:space="preserve">The Commission of Inquiry into Queensland Police Service responses to domestic and family violence delivered their report, </w:t>
      </w:r>
      <w:r w:rsidRPr="00E67603">
        <w:rPr>
          <w:rFonts w:cs="Arial"/>
          <w:i/>
          <w:iCs/>
          <w:color w:val="000000" w:themeColor="text1"/>
        </w:rPr>
        <w:t xml:space="preserve">A call for change. </w:t>
      </w:r>
      <w:r w:rsidRPr="00E67603">
        <w:rPr>
          <w:rFonts w:cs="Arial"/>
          <w:color w:val="000000" w:themeColor="text1"/>
        </w:rPr>
        <w:t xml:space="preserve">The Inquiry was set up following recommendations made by the Women’s Safety and Justice Taskforce. </w:t>
      </w:r>
    </w:p>
    <w:p w14:paraId="0C7AD0CB" w14:textId="09CED625" w:rsidR="000C62C0" w:rsidRPr="00E67603" w:rsidRDefault="000C62C0" w:rsidP="005F54A0">
      <w:pPr>
        <w:pStyle w:val="Heading2"/>
        <w:rPr>
          <w:color w:val="373D41"/>
        </w:rPr>
      </w:pPr>
      <w:bookmarkStart w:id="927" w:name="_Toc148087014"/>
      <w:r w:rsidRPr="00E67603">
        <w:rPr>
          <w:color w:val="373D41"/>
        </w:rPr>
        <w:t>December 2022</w:t>
      </w:r>
      <w:bookmarkEnd w:id="927"/>
    </w:p>
    <w:p w14:paraId="5EA8BC42" w14:textId="77777777" w:rsidR="000C62C0" w:rsidRDefault="000C62C0" w:rsidP="00E67603">
      <w:r>
        <w:t>A</w:t>
      </w:r>
      <w:r w:rsidRPr="00F803B2">
        <w:t xml:space="preserve"> significant increase in young people held in youth detention and police watchhouses</w:t>
      </w:r>
      <w:r>
        <w:t xml:space="preserve"> was noted in the </w:t>
      </w:r>
      <w:proofErr w:type="spellStart"/>
      <w:r>
        <w:t>Childrens</w:t>
      </w:r>
      <w:proofErr w:type="spellEnd"/>
      <w:r>
        <w:t xml:space="preserve"> Court</w:t>
      </w:r>
      <w:r w:rsidRPr="00F803B2">
        <w:t xml:space="preserve"> </w:t>
      </w:r>
      <w:r>
        <w:t xml:space="preserve">annual report, </w:t>
      </w:r>
      <w:r w:rsidRPr="00F803B2">
        <w:t xml:space="preserve">with </w:t>
      </w:r>
      <w:r>
        <w:t xml:space="preserve">young people spending </w:t>
      </w:r>
      <w:r w:rsidRPr="00F803B2">
        <w:t xml:space="preserve">an average of 43 nights in unsentenced detention. </w:t>
      </w:r>
    </w:p>
    <w:p w14:paraId="4E36B2FF" w14:textId="7F2D58ED" w:rsidR="000C62C0" w:rsidRPr="00E67603" w:rsidRDefault="000C62C0" w:rsidP="005F54A0">
      <w:pPr>
        <w:pStyle w:val="Heading2"/>
        <w:rPr>
          <w:color w:val="373D41"/>
        </w:rPr>
      </w:pPr>
      <w:bookmarkStart w:id="928" w:name="_Toc148087015"/>
      <w:r w:rsidRPr="00E67603">
        <w:rPr>
          <w:color w:val="373D41"/>
        </w:rPr>
        <w:t>January 2023</w:t>
      </w:r>
      <w:bookmarkEnd w:id="928"/>
      <w:r w:rsidRPr="00E67603">
        <w:rPr>
          <w:color w:val="373D41"/>
        </w:rPr>
        <w:t xml:space="preserve"> </w:t>
      </w:r>
    </w:p>
    <w:p w14:paraId="237DAD97" w14:textId="77777777" w:rsidR="000C62C0" w:rsidRPr="007E5DA3" w:rsidRDefault="000C62C0" w:rsidP="00E67603">
      <w:r>
        <w:t xml:space="preserve">The Queensland Government marked </w:t>
      </w:r>
      <w:proofErr w:type="spellStart"/>
      <w:r>
        <w:t>Dundalli</w:t>
      </w:r>
      <w:proofErr w:type="spellEnd"/>
      <w:r>
        <w:t xml:space="preserve"> Remembrance Day </w:t>
      </w:r>
      <w:r w:rsidRPr="007E5DA3">
        <w:t xml:space="preserve">as a </w:t>
      </w:r>
      <w:r>
        <w:t>‘</w:t>
      </w:r>
      <w:r w:rsidRPr="007E5DA3">
        <w:t>truth-telling story of state significance</w:t>
      </w:r>
      <w:r>
        <w:t xml:space="preserve">’ and committed to other </w:t>
      </w:r>
      <w:r w:rsidRPr="007E5DA3">
        <w:t>truth-telling initiatives across the state to promote understanding and reconciliation.</w:t>
      </w:r>
    </w:p>
    <w:p w14:paraId="382FEED5" w14:textId="441A76E6" w:rsidR="000C62C0" w:rsidRPr="00F246EA" w:rsidRDefault="000C62C0" w:rsidP="00E67603">
      <w:r>
        <w:t xml:space="preserve">Queensland’s </w:t>
      </w:r>
      <w:r w:rsidRPr="00F246EA">
        <w:t xml:space="preserve">inaugural </w:t>
      </w:r>
      <w:r w:rsidRPr="002B3253">
        <w:t>First Nations Justice Officer</w:t>
      </w:r>
      <w:r>
        <w:t xml:space="preserve"> was appointed</w:t>
      </w:r>
      <w:r w:rsidRPr="00F246EA">
        <w:t xml:space="preserve"> </w:t>
      </w:r>
      <w:r>
        <w:t>in</w:t>
      </w:r>
      <w:r w:rsidRPr="00F246EA">
        <w:t xml:space="preserve"> response to </w:t>
      </w:r>
      <w:r>
        <w:t xml:space="preserve">a recommendation by </w:t>
      </w:r>
      <w:r w:rsidRPr="00F246EA">
        <w:t>the Women’s Safety and Justice Taskforce to reduce the representation of First Nations people in the criminal justice system.</w:t>
      </w:r>
      <w:r w:rsidR="00E865C3">
        <w:t xml:space="preserve"> </w:t>
      </w:r>
    </w:p>
    <w:p w14:paraId="568A5A88" w14:textId="6DD5D36E" w:rsidR="000C62C0" w:rsidRPr="00E67603" w:rsidRDefault="000C62C0" w:rsidP="005F54A0">
      <w:pPr>
        <w:pStyle w:val="Heading2"/>
        <w:rPr>
          <w:color w:val="373D41"/>
        </w:rPr>
      </w:pPr>
      <w:bookmarkStart w:id="929" w:name="_Toc148087016"/>
      <w:r w:rsidRPr="00E67603">
        <w:rPr>
          <w:color w:val="373D41"/>
        </w:rPr>
        <w:t>February 2023</w:t>
      </w:r>
      <w:bookmarkEnd w:id="929"/>
      <w:r w:rsidRPr="00E67603">
        <w:rPr>
          <w:color w:val="373D41"/>
        </w:rPr>
        <w:t xml:space="preserve"> </w:t>
      </w:r>
    </w:p>
    <w:p w14:paraId="238D0ABA" w14:textId="04AB4F55" w:rsidR="000C62C0" w:rsidRPr="00915173" w:rsidRDefault="000C62C0" w:rsidP="00E67603">
      <w:pPr>
        <w:rPr>
          <w:b/>
          <w:bCs/>
          <w:color w:val="FF9933"/>
        </w:rPr>
      </w:pPr>
      <w:r>
        <w:t xml:space="preserve">A </w:t>
      </w:r>
      <w:r w:rsidRPr="003A0CC3">
        <w:t xml:space="preserve">Townsville </w:t>
      </w:r>
      <w:proofErr w:type="spellStart"/>
      <w:r>
        <w:t>Childrens</w:t>
      </w:r>
      <w:proofErr w:type="spellEnd"/>
      <w:r>
        <w:t xml:space="preserve"> Court </w:t>
      </w:r>
      <w:r w:rsidRPr="003A0CC3">
        <w:t xml:space="preserve">magistrate ordered release </w:t>
      </w:r>
      <w:r>
        <w:t xml:space="preserve">on bail </w:t>
      </w:r>
      <w:r w:rsidRPr="003A0CC3">
        <w:t>of</w:t>
      </w:r>
      <w:r>
        <w:t xml:space="preserve"> thirteen</w:t>
      </w:r>
      <w:r w:rsidRPr="003A0CC3">
        <w:t xml:space="preserve"> children being held on remand in the police watch house amid growing human rights concerns at the treatment of young people in the</w:t>
      </w:r>
      <w:r>
        <w:t xml:space="preserve"> Qld j</w:t>
      </w:r>
      <w:r w:rsidRPr="003A0CC3">
        <w:t>ustice system</w:t>
      </w:r>
    </w:p>
    <w:p w14:paraId="74E15291" w14:textId="69F0095D" w:rsidR="000C62C0" w:rsidRPr="00C06F69" w:rsidRDefault="00A12E20" w:rsidP="00E67603">
      <w:r>
        <w:t>Separately, t</w:t>
      </w:r>
      <w:r w:rsidR="000C62C0">
        <w:t xml:space="preserve">he </w:t>
      </w:r>
      <w:r w:rsidR="000C62C0" w:rsidRPr="00C06F69">
        <w:t>Q</w:t>
      </w:r>
      <w:r w:rsidR="000C62C0">
        <w:t xml:space="preserve">ueensland </w:t>
      </w:r>
      <w:r w:rsidR="000C62C0" w:rsidRPr="00C06F69">
        <w:t>F</w:t>
      </w:r>
      <w:r w:rsidR="000C62C0">
        <w:t xml:space="preserve">amily and </w:t>
      </w:r>
      <w:r w:rsidR="000C62C0" w:rsidRPr="00C06F69">
        <w:t>C</w:t>
      </w:r>
      <w:r w:rsidR="000C62C0">
        <w:t xml:space="preserve">hild </w:t>
      </w:r>
      <w:r w:rsidR="000C62C0" w:rsidRPr="00C06F69">
        <w:t>C</w:t>
      </w:r>
      <w:r w:rsidR="000C62C0">
        <w:t>ommission</w:t>
      </w:r>
      <w:r w:rsidR="000C62C0" w:rsidRPr="00C06F69">
        <w:t xml:space="preserve"> initiate</w:t>
      </w:r>
      <w:r w:rsidR="000C62C0">
        <w:t>d a</w:t>
      </w:r>
      <w:r w:rsidR="000C62C0" w:rsidRPr="00C06F69">
        <w:t xml:space="preserve"> </w:t>
      </w:r>
      <w:r w:rsidR="000C62C0" w:rsidRPr="0076714F">
        <w:t>systemic review</w:t>
      </w:r>
      <w:r w:rsidR="000C62C0" w:rsidRPr="00C06F69">
        <w:t xml:space="preserve"> of the drivers that cause children to enter and remain in Queensland watchhouses.</w:t>
      </w:r>
    </w:p>
    <w:p w14:paraId="6C5C14B9" w14:textId="0E6BDC28" w:rsidR="000C62C0" w:rsidRPr="00E67603" w:rsidRDefault="000C62C0" w:rsidP="005F54A0">
      <w:pPr>
        <w:pStyle w:val="Heading2"/>
        <w:rPr>
          <w:color w:val="373D41"/>
        </w:rPr>
      </w:pPr>
      <w:bookmarkStart w:id="930" w:name="_Toc148087017"/>
      <w:r w:rsidRPr="00E67603">
        <w:rPr>
          <w:color w:val="373D41"/>
        </w:rPr>
        <w:t>March to May 2023</w:t>
      </w:r>
      <w:bookmarkEnd w:id="930"/>
      <w:r w:rsidRPr="00E67603">
        <w:rPr>
          <w:color w:val="373D41"/>
        </w:rPr>
        <w:t xml:space="preserve"> </w:t>
      </w:r>
    </w:p>
    <w:p w14:paraId="2393FFE2" w14:textId="5A362B76" w:rsidR="000C62C0" w:rsidRDefault="000C62C0" w:rsidP="00E67603">
      <w:pPr>
        <w:rPr>
          <w:b/>
          <w:bCs/>
        </w:rPr>
      </w:pPr>
      <w:r>
        <w:t xml:space="preserve">The </w:t>
      </w:r>
      <w:r w:rsidR="005F54A0">
        <w:t>Commission</w:t>
      </w:r>
      <w:r>
        <w:t xml:space="preserve"> completed a human rights review of policies, procedures, and practices relating to strip searching of women in Queensland prisons as recommended by the Women’s Safety and Justice Taskforce and undertook prison visits and consultation. The report will be published in September 2023.</w:t>
      </w:r>
      <w:r>
        <w:rPr>
          <w:b/>
          <w:bCs/>
        </w:rPr>
        <w:t xml:space="preserve"> </w:t>
      </w:r>
    </w:p>
    <w:p w14:paraId="5C6C8D7E" w14:textId="45340AC4" w:rsidR="000C62C0" w:rsidRPr="00E67603" w:rsidRDefault="000C62C0" w:rsidP="005F54A0">
      <w:pPr>
        <w:pStyle w:val="Heading2"/>
        <w:rPr>
          <w:color w:val="373D41"/>
        </w:rPr>
      </w:pPr>
      <w:bookmarkStart w:id="931" w:name="_Toc148087018"/>
      <w:r w:rsidRPr="00E67603">
        <w:rPr>
          <w:color w:val="373D41"/>
        </w:rPr>
        <w:t>March 2023</w:t>
      </w:r>
      <w:bookmarkEnd w:id="931"/>
      <w:r w:rsidRPr="00E67603">
        <w:rPr>
          <w:color w:val="373D41"/>
        </w:rPr>
        <w:t xml:space="preserve"> </w:t>
      </w:r>
    </w:p>
    <w:p w14:paraId="4B7CF357" w14:textId="77777777" w:rsidR="000C62C0" w:rsidRDefault="000C62C0" w:rsidP="00E67603">
      <w:bookmarkStart w:id="932" w:name="_Hlk144896889"/>
      <w:r>
        <w:t xml:space="preserve">The first four override declarations under section 43 of the HR Act were made in the </w:t>
      </w:r>
      <w:r w:rsidRPr="007E33B6">
        <w:rPr>
          <w:i/>
          <w:iCs/>
        </w:rPr>
        <w:t>Strengthening Community Safety Act 2023</w:t>
      </w:r>
      <w:r>
        <w:t>, which received assent on 22 March 2023. The override declarations apply to:</w:t>
      </w:r>
    </w:p>
    <w:p w14:paraId="13901EE9" w14:textId="77777777" w:rsidR="000C62C0" w:rsidRDefault="000C62C0" w:rsidP="005F54A0">
      <w:pPr>
        <w:pStyle w:val="ListParagraph"/>
        <w:numPr>
          <w:ilvl w:val="0"/>
          <w:numId w:val="44"/>
        </w:numPr>
      </w:pPr>
      <w:r>
        <w:t>a provision that makes it an offence for a young person to breach their bail conditions</w:t>
      </w:r>
    </w:p>
    <w:p w14:paraId="1AFE7D01" w14:textId="77777777" w:rsidR="000C62C0" w:rsidRDefault="000C62C0" w:rsidP="005F54A0">
      <w:pPr>
        <w:pStyle w:val="ListParagraph"/>
        <w:numPr>
          <w:ilvl w:val="0"/>
          <w:numId w:val="44"/>
        </w:numPr>
      </w:pPr>
      <w:r>
        <w:t xml:space="preserve">a </w:t>
      </w:r>
      <w:r w:rsidRPr="00E20407">
        <w:t xml:space="preserve">decision </w:t>
      </w:r>
      <w:r>
        <w:t>of the court to declare a young person a ‘serious repeat offender’</w:t>
      </w:r>
    </w:p>
    <w:p w14:paraId="300E5739" w14:textId="77777777" w:rsidR="000C62C0" w:rsidRPr="00E20407" w:rsidRDefault="000C62C0" w:rsidP="005F54A0">
      <w:pPr>
        <w:pStyle w:val="ListParagraph"/>
        <w:numPr>
          <w:ilvl w:val="0"/>
          <w:numId w:val="44"/>
        </w:numPr>
      </w:pPr>
      <w:r>
        <w:t xml:space="preserve">a </w:t>
      </w:r>
      <w:r w:rsidRPr="00E20407">
        <w:t>decision of the court to revoke a conditional release order for certain offences.</w:t>
      </w:r>
    </w:p>
    <w:p w14:paraId="16F6B8F4" w14:textId="4F3123A1" w:rsidR="000C62C0" w:rsidRPr="00E67603" w:rsidRDefault="000C62C0" w:rsidP="005F54A0">
      <w:pPr>
        <w:pStyle w:val="Heading2"/>
        <w:rPr>
          <w:color w:val="373D41"/>
        </w:rPr>
      </w:pPr>
      <w:bookmarkStart w:id="933" w:name="_Toc148087019"/>
      <w:bookmarkEnd w:id="932"/>
      <w:r w:rsidRPr="00E67603">
        <w:rPr>
          <w:color w:val="373D41"/>
        </w:rPr>
        <w:t>April 2023</w:t>
      </w:r>
      <w:bookmarkEnd w:id="933"/>
      <w:r w:rsidRPr="00E67603">
        <w:rPr>
          <w:color w:val="373D41"/>
        </w:rPr>
        <w:t xml:space="preserve"> </w:t>
      </w:r>
    </w:p>
    <w:p w14:paraId="456ED099" w14:textId="39FFCF93" w:rsidR="000C62C0" w:rsidRPr="00E67603" w:rsidRDefault="000C62C0" w:rsidP="00E67603">
      <w:pPr>
        <w:rPr>
          <w:color w:val="000000" w:themeColor="text1"/>
        </w:rPr>
      </w:pPr>
      <w:r w:rsidRPr="00E67603">
        <w:rPr>
          <w:color w:val="000000" w:themeColor="text1"/>
        </w:rPr>
        <w:t xml:space="preserve">Legislation was passed to authorise police officers to use hand held scanners in Safe Night Precincts, at public transport stations, and on public transport to detect knives being carried in public and reduce knife crime. </w:t>
      </w:r>
      <w:r w:rsidR="005F54A0" w:rsidRPr="00E67603">
        <w:rPr>
          <w:color w:val="000000" w:themeColor="text1"/>
        </w:rPr>
        <w:t xml:space="preserve">See </w:t>
      </w:r>
      <w:r w:rsidRPr="00E67603">
        <w:rPr>
          <w:i/>
          <w:iCs/>
          <w:color w:val="000000" w:themeColor="text1"/>
        </w:rPr>
        <w:t>Police Powers and Responsibilities (Jack’s Law) Amendment Act 2022</w:t>
      </w:r>
      <w:r w:rsidR="005F54A0" w:rsidRPr="00E67603">
        <w:rPr>
          <w:color w:val="000000" w:themeColor="text1"/>
        </w:rPr>
        <w:t>.</w:t>
      </w:r>
    </w:p>
    <w:p w14:paraId="57DB5EA6" w14:textId="40F344BB" w:rsidR="000C62C0" w:rsidRPr="00E67603" w:rsidRDefault="000C62C0" w:rsidP="005F54A0">
      <w:pPr>
        <w:pStyle w:val="Heading2"/>
        <w:rPr>
          <w:color w:val="373D41"/>
        </w:rPr>
      </w:pPr>
      <w:bookmarkStart w:id="934" w:name="_Toc148087020"/>
      <w:r w:rsidRPr="00E67603">
        <w:rPr>
          <w:color w:val="373D41"/>
        </w:rPr>
        <w:t>May 2023</w:t>
      </w:r>
      <w:bookmarkEnd w:id="934"/>
      <w:r w:rsidRPr="00E67603">
        <w:rPr>
          <w:color w:val="373D41"/>
        </w:rPr>
        <w:t xml:space="preserve"> </w:t>
      </w:r>
    </w:p>
    <w:p w14:paraId="23255BB1" w14:textId="161BC514" w:rsidR="000C62C0" w:rsidRDefault="000C62C0" w:rsidP="00E67603">
      <w:r>
        <w:t>The Path to Treaty Bill 2023 received assent and will commence on a date to be fixed by proclamation. The Act will provide for the establishment of a First Nations Treaty Institute and Truth-telling and Healing Inquiry.</w:t>
      </w:r>
      <w:r w:rsidR="005F54A0">
        <w:t xml:space="preserve"> See </w:t>
      </w:r>
      <w:r w:rsidRPr="001657BF">
        <w:rPr>
          <w:i/>
          <w:iCs/>
        </w:rPr>
        <w:t>Path to Treaty Act 2023</w:t>
      </w:r>
      <w:r w:rsidR="005F54A0">
        <w:t>.</w:t>
      </w:r>
    </w:p>
    <w:p w14:paraId="61566319" w14:textId="18984036" w:rsidR="000C62C0" w:rsidRDefault="000C62C0" w:rsidP="00E67603">
      <w:pPr>
        <w:rPr>
          <w:rFonts w:cs="Arial"/>
        </w:rPr>
      </w:pPr>
      <w:r>
        <w:rPr>
          <w:rFonts w:cs="Arial"/>
        </w:rPr>
        <w:t xml:space="preserve">Queensland Parliament’s </w:t>
      </w:r>
      <w:r w:rsidRPr="00D94D60">
        <w:rPr>
          <w:rFonts w:cs="Arial"/>
        </w:rPr>
        <w:t>Legal Affairs and Safety Committee table</w:t>
      </w:r>
      <w:r>
        <w:rPr>
          <w:rFonts w:cs="Arial"/>
        </w:rPr>
        <w:t>d the</w:t>
      </w:r>
      <w:r w:rsidRPr="00D94D60">
        <w:rPr>
          <w:rFonts w:cs="Arial"/>
        </w:rPr>
        <w:t xml:space="preserve"> </w:t>
      </w:r>
      <w:r w:rsidRPr="001572C3">
        <w:rPr>
          <w:rFonts w:cs="Arial"/>
        </w:rPr>
        <w:t>report</w:t>
      </w:r>
      <w:r w:rsidRPr="00D94D60">
        <w:rPr>
          <w:rFonts w:cs="Arial"/>
        </w:rPr>
        <w:t xml:space="preserve"> o</w:t>
      </w:r>
      <w:r>
        <w:rPr>
          <w:rFonts w:cs="Arial"/>
        </w:rPr>
        <w:t>f</w:t>
      </w:r>
      <w:r w:rsidRPr="00D94D60">
        <w:rPr>
          <w:rFonts w:cs="Arial"/>
        </w:rPr>
        <w:t xml:space="preserve"> the inquiry into support provided to victims of crime</w:t>
      </w:r>
      <w:r>
        <w:rPr>
          <w:rFonts w:cs="Arial"/>
        </w:rPr>
        <w:t>, which included recommendations to: re</w:t>
      </w:r>
      <w:r w:rsidRPr="00D94D60">
        <w:rPr>
          <w:rFonts w:cs="Arial"/>
        </w:rPr>
        <w:t>view victims’ rights,</w:t>
      </w:r>
      <w:r>
        <w:rPr>
          <w:rFonts w:cs="Arial"/>
        </w:rPr>
        <w:t xml:space="preserve"> </w:t>
      </w:r>
      <w:r w:rsidRPr="00D94D60">
        <w:rPr>
          <w:rFonts w:cs="Arial"/>
        </w:rPr>
        <w:t>improve coordination of services, increas</w:t>
      </w:r>
      <w:r>
        <w:rPr>
          <w:rFonts w:cs="Arial"/>
        </w:rPr>
        <w:t>e</w:t>
      </w:r>
      <w:r w:rsidRPr="00D94D60">
        <w:rPr>
          <w:rFonts w:cs="Arial"/>
        </w:rPr>
        <w:t xml:space="preserve"> access to information, trauma-informed training,</w:t>
      </w:r>
      <w:r>
        <w:rPr>
          <w:rFonts w:cs="Arial"/>
        </w:rPr>
        <w:t xml:space="preserve"> </w:t>
      </w:r>
      <w:r w:rsidRPr="00D94D60">
        <w:rPr>
          <w:rFonts w:cs="Arial"/>
        </w:rPr>
        <w:t>invest in victim support services</w:t>
      </w:r>
      <w:r>
        <w:rPr>
          <w:rFonts w:cs="Arial"/>
        </w:rPr>
        <w:t>,</w:t>
      </w:r>
      <w:r w:rsidRPr="00D94D60">
        <w:rPr>
          <w:rFonts w:cs="Arial"/>
        </w:rPr>
        <w:t xml:space="preserve"> improv</w:t>
      </w:r>
      <w:r>
        <w:rPr>
          <w:rFonts w:cs="Arial"/>
        </w:rPr>
        <w:t>e</w:t>
      </w:r>
      <w:r w:rsidRPr="00D94D60">
        <w:rPr>
          <w:rFonts w:cs="Arial"/>
        </w:rPr>
        <w:t xml:space="preserve"> access to restorative justice and youth justice</w:t>
      </w:r>
      <w:r>
        <w:rPr>
          <w:rFonts w:cs="Arial"/>
        </w:rPr>
        <w:t xml:space="preserve"> </w:t>
      </w:r>
      <w:r w:rsidRPr="00D94D60">
        <w:rPr>
          <w:rFonts w:cs="Arial"/>
        </w:rPr>
        <w:t>conferencing.</w:t>
      </w:r>
    </w:p>
    <w:p w14:paraId="4A3CAAD7" w14:textId="5E1DF6B1" w:rsidR="000C62C0" w:rsidRPr="00E67603" w:rsidRDefault="000C62C0" w:rsidP="005F54A0">
      <w:pPr>
        <w:pStyle w:val="Heading2"/>
        <w:rPr>
          <w:color w:val="373D41"/>
        </w:rPr>
      </w:pPr>
      <w:bookmarkStart w:id="935" w:name="_Toc148087021"/>
      <w:r w:rsidRPr="00E67603">
        <w:rPr>
          <w:color w:val="373D41"/>
        </w:rPr>
        <w:t>June 2023</w:t>
      </w:r>
      <w:bookmarkEnd w:id="935"/>
      <w:r w:rsidRPr="00E67603">
        <w:rPr>
          <w:color w:val="373D41"/>
        </w:rPr>
        <w:t xml:space="preserve"> </w:t>
      </w:r>
    </w:p>
    <w:p w14:paraId="1472CAF5" w14:textId="77777777" w:rsidR="000C62C0" w:rsidRPr="00E67603" w:rsidRDefault="000C62C0" w:rsidP="00E67603">
      <w:pPr>
        <w:rPr>
          <w:color w:val="000000" w:themeColor="text1"/>
        </w:rPr>
      </w:pPr>
      <w:r w:rsidRPr="00E67603">
        <w:rPr>
          <w:color w:val="000000" w:themeColor="text1"/>
        </w:rPr>
        <w:t>For the first time, the Commission’s biennial Mabo Oration was held outside Brisbane. Megan Davis delivered the ninth Mabo Oration and Professor Henry Reynolds and Gail Mabo were special guest speakers at the event in Townsville hosted by Jeff McMullen.</w:t>
      </w:r>
    </w:p>
    <w:p w14:paraId="2FDC8759" w14:textId="2A35D63E" w:rsidR="000C62C0" w:rsidRPr="00E67603" w:rsidRDefault="000C62C0" w:rsidP="00E67603">
      <w:pPr>
        <w:rPr>
          <w:color w:val="000000" w:themeColor="text1"/>
        </w:rPr>
      </w:pPr>
      <w:r w:rsidRPr="00E67603">
        <w:rPr>
          <w:color w:val="000000" w:themeColor="text1"/>
        </w:rPr>
        <w:t>Legislation was passed to facilitate visits to places of detention by the United Nations Subcommittee on Prevention of Torture and commenced on assent.</w:t>
      </w:r>
      <w:r w:rsidR="005F54A0" w:rsidRPr="00E67603">
        <w:rPr>
          <w:color w:val="000000" w:themeColor="text1"/>
        </w:rPr>
        <w:t xml:space="preserve"> See </w:t>
      </w:r>
      <w:r w:rsidRPr="00E67603">
        <w:rPr>
          <w:i/>
          <w:iCs/>
          <w:color w:val="000000" w:themeColor="text1"/>
        </w:rPr>
        <w:t>Monitoring of Places of Detention (Optional Protocol to the Convention Against Torture) Act 2023</w:t>
      </w:r>
      <w:r w:rsidR="005F54A0" w:rsidRPr="00E67603">
        <w:rPr>
          <w:color w:val="000000" w:themeColor="text1"/>
        </w:rPr>
        <w:t>.</w:t>
      </w:r>
    </w:p>
    <w:p w14:paraId="774D766A" w14:textId="77777777" w:rsidR="000C62C0" w:rsidRPr="00E67603" w:rsidRDefault="000C62C0" w:rsidP="00E67603">
      <w:pPr>
        <w:rPr>
          <w:rFonts w:eastAsia="Calibri"/>
          <w:color w:val="000000" w:themeColor="text1"/>
        </w:rPr>
      </w:pPr>
      <w:r w:rsidRPr="00E67603">
        <w:rPr>
          <w:rFonts w:ascii="Helvetica" w:hAnsi="Helvetica" w:cs="Helvetica"/>
          <w:color w:val="000000" w:themeColor="text1"/>
          <w:shd w:val="clear" w:color="auto" w:fill="FFFFFF"/>
        </w:rPr>
        <w:t xml:space="preserve">The Honourable Alan Wilson KC conducted a review </w:t>
      </w:r>
      <w:r w:rsidRPr="00E67603">
        <w:rPr>
          <w:color w:val="000000" w:themeColor="text1"/>
        </w:rPr>
        <w:t xml:space="preserve">of the Public Interest Disclosure Act, as recommended by the </w:t>
      </w:r>
      <w:proofErr w:type="spellStart"/>
      <w:r w:rsidRPr="00E67603">
        <w:rPr>
          <w:color w:val="000000" w:themeColor="text1"/>
        </w:rPr>
        <w:t>Coaldrake</w:t>
      </w:r>
      <w:proofErr w:type="spellEnd"/>
      <w:r w:rsidRPr="00E67603">
        <w:rPr>
          <w:color w:val="000000" w:themeColor="text1"/>
        </w:rPr>
        <w:t xml:space="preserve"> report,</w:t>
      </w:r>
      <w:r w:rsidRPr="00E67603">
        <w:rPr>
          <w:rFonts w:ascii="Helvetica" w:hAnsi="Helvetica" w:cs="Helvetica"/>
          <w:color w:val="000000" w:themeColor="text1"/>
          <w:shd w:val="clear" w:color="auto" w:fill="FFFFFF"/>
        </w:rPr>
        <w:t> </w:t>
      </w:r>
      <w:r w:rsidRPr="00E67603">
        <w:rPr>
          <w:rFonts w:ascii="Helvetica" w:hAnsi="Helvetica" w:cs="Helvetica"/>
          <w:i/>
          <w:iCs/>
          <w:color w:val="000000" w:themeColor="text1"/>
          <w:shd w:val="clear" w:color="auto" w:fill="FFFFFF"/>
        </w:rPr>
        <w:t>Let the sunshine in: Review of culture and accountability in the Queensland public sector</w:t>
      </w:r>
      <w:r w:rsidRPr="00E67603">
        <w:rPr>
          <w:rFonts w:ascii="Helvetica" w:hAnsi="Helvetica" w:cs="Helvetica"/>
          <w:color w:val="000000" w:themeColor="text1"/>
          <w:shd w:val="clear" w:color="auto" w:fill="FFFFFF"/>
        </w:rPr>
        <w:t>.</w:t>
      </w:r>
      <w:r w:rsidR="005F54A0" w:rsidRPr="00E67603">
        <w:rPr>
          <w:rFonts w:ascii="Helvetica" w:hAnsi="Helvetica" w:cs="Helvetica"/>
          <w:color w:val="000000" w:themeColor="text1"/>
          <w:shd w:val="clear" w:color="auto" w:fill="FFFFFF"/>
        </w:rPr>
        <w:t xml:space="preserve"> </w:t>
      </w:r>
      <w:r w:rsidRPr="00E67603">
        <w:rPr>
          <w:rFonts w:eastAsia="Calibri"/>
          <w:color w:val="000000" w:themeColor="text1"/>
        </w:rPr>
        <w:t>The review recommended a new PID Act with clearer and accessible language, reclaiming the language of ‘</w:t>
      </w:r>
      <w:proofErr w:type="spellStart"/>
      <w:r w:rsidRPr="00E67603">
        <w:rPr>
          <w:rFonts w:eastAsia="Calibri"/>
          <w:color w:val="000000" w:themeColor="text1"/>
        </w:rPr>
        <w:t>whistleblower</w:t>
      </w:r>
      <w:proofErr w:type="spellEnd"/>
      <w:r w:rsidRPr="00E67603">
        <w:rPr>
          <w:rFonts w:eastAsia="Calibri"/>
          <w:color w:val="000000" w:themeColor="text1"/>
        </w:rPr>
        <w:t>’, and with two objects of facilitating the exposure of serious or systemic wrongdoing in the public sector and protecting those who assist that endeavour.</w:t>
      </w:r>
    </w:p>
    <w:p w14:paraId="77D2A39C" w14:textId="02685339" w:rsidR="000C62C0" w:rsidRPr="00E67603" w:rsidRDefault="000C62C0" w:rsidP="00E67603">
      <w:pPr>
        <w:rPr>
          <w:color w:val="000000" w:themeColor="text1"/>
        </w:rPr>
      </w:pPr>
      <w:r w:rsidRPr="00E67603">
        <w:rPr>
          <w:color w:val="000000" w:themeColor="text1"/>
        </w:rPr>
        <w:t>The existing Births, Deaths and Marriages Registration Act (which establishes a system for registering life events) was repealed and replaced with a new Act of the same name, which takes account of changes in society and aims to appropriately accommodate the diversity of Queensland society. (especially in relation to recognition of the trans and gender diverse community and modern and diverse family structures). The Act will commence on a date to be fixed by proclamation</w:t>
      </w:r>
      <w:r w:rsidR="00E67603" w:rsidRPr="00E67603">
        <w:rPr>
          <w:color w:val="000000" w:themeColor="text1"/>
        </w:rPr>
        <w:t>.</w:t>
      </w:r>
      <w:r w:rsidR="005F54A0" w:rsidRPr="00E67603">
        <w:rPr>
          <w:color w:val="000000" w:themeColor="text1"/>
        </w:rPr>
        <w:t xml:space="preserve"> See</w:t>
      </w:r>
      <w:r w:rsidR="00E67603" w:rsidRPr="00E67603">
        <w:rPr>
          <w:color w:val="000000" w:themeColor="text1"/>
        </w:rPr>
        <w:t xml:space="preserve"> </w:t>
      </w:r>
      <w:r w:rsidRPr="00E67603">
        <w:rPr>
          <w:i/>
          <w:iCs/>
          <w:color w:val="000000" w:themeColor="text1"/>
        </w:rPr>
        <w:t>Births, Deaths and Marriages Registration Act 2023</w:t>
      </w:r>
      <w:r w:rsidR="00E67603" w:rsidRPr="00E67603">
        <w:rPr>
          <w:color w:val="000000" w:themeColor="text1"/>
        </w:rPr>
        <w:t>.</w:t>
      </w:r>
    </w:p>
    <w:p w14:paraId="7A1AC036" w14:textId="77777777" w:rsidR="000C62C0" w:rsidRPr="00E67603" w:rsidRDefault="000C62C0" w:rsidP="00E67603">
      <w:pPr>
        <w:rPr>
          <w:color w:val="000000" w:themeColor="text1"/>
        </w:rPr>
      </w:pPr>
      <w:r w:rsidRPr="00E67603">
        <w:rPr>
          <w:color w:val="000000" w:themeColor="text1"/>
        </w:rPr>
        <w:t xml:space="preserve">The Commonwealth Parliament passed legislation proposing an alteration to the </w:t>
      </w:r>
      <w:r w:rsidRPr="00E67603">
        <w:rPr>
          <w:i/>
          <w:iCs/>
          <w:color w:val="000000" w:themeColor="text1"/>
        </w:rPr>
        <w:t>Australian Constitution</w:t>
      </w:r>
      <w:r w:rsidRPr="00E67603">
        <w:rPr>
          <w:color w:val="000000" w:themeColor="text1"/>
        </w:rPr>
        <w:t xml:space="preserve"> to recognise Australia’s First Peoples by establishing an Aboriginal and Torres Strait Islander Voice to make representations to the parliament on matters relating to Aboriginal and Torres Strait Islander peoples. This will trigger a referendum that will be held on 14 October 2023.</w:t>
      </w:r>
    </w:p>
    <w:p w14:paraId="0786CDB0" w14:textId="77777777" w:rsidR="00E72150" w:rsidRDefault="00E72150" w:rsidP="00E67603">
      <w:pPr>
        <w:rPr>
          <w:color w:val="000000" w:themeColor="text1"/>
        </w:rPr>
      </w:pPr>
    </w:p>
    <w:p w14:paraId="483364E4" w14:textId="77777777" w:rsidR="00E72150" w:rsidRPr="00E67603" w:rsidRDefault="00E72150" w:rsidP="00E67603">
      <w:pPr>
        <w:rPr>
          <w:color w:val="000000" w:themeColor="text1"/>
        </w:rPr>
      </w:pPr>
    </w:p>
    <w:p w14:paraId="2A8F2EAB" w14:textId="77777777" w:rsidR="00943552" w:rsidRPr="00A81854" w:rsidRDefault="00943552" w:rsidP="00331D2E">
      <w:pPr>
        <w:pStyle w:val="Listparagraph-bulleted"/>
        <w:numPr>
          <w:ilvl w:val="0"/>
          <w:numId w:val="0"/>
        </w:numPr>
      </w:pPr>
    </w:p>
    <w:sectPr w:rsidR="00943552" w:rsidRPr="00A81854" w:rsidSect="003C5057">
      <w:footerReference w:type="even" r:id="rId40"/>
      <w:footerReference w:type="default" r:id="rId41"/>
      <w:pgSz w:w="11906" w:h="16838"/>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297EDE" w14:textId="77777777" w:rsidR="00901942" w:rsidRDefault="00901942" w:rsidP="007C01C7">
      <w:pPr>
        <w:spacing w:after="0" w:line="240" w:lineRule="auto"/>
      </w:pPr>
      <w:r>
        <w:separator/>
      </w:r>
    </w:p>
  </w:endnote>
  <w:endnote w:type="continuationSeparator" w:id="0">
    <w:p w14:paraId="7CA7E064" w14:textId="77777777" w:rsidR="00901942" w:rsidRDefault="00901942" w:rsidP="007C01C7">
      <w:pPr>
        <w:spacing w:after="0" w:line="240" w:lineRule="auto"/>
      </w:pPr>
      <w:r>
        <w:continuationSeparator/>
      </w:r>
    </w:p>
  </w:endnote>
  <w:endnote w:type="continuationNotice" w:id="1">
    <w:p w14:paraId="0CCB749B" w14:textId="77777777" w:rsidR="00901942" w:rsidRDefault="0090194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ingLiU">
    <w:altName w:val="MingLiU"/>
    <w:panose1 w:val="02010609000101010101"/>
    <w:charset w:val="88"/>
    <w:family w:val="modern"/>
    <w:pitch w:val="fixed"/>
    <w:sig w:usb0="A00002FF" w:usb1="28CFFCFA" w:usb2="00000016" w:usb3="00000000" w:csb0="00100001" w:csb1="00000000"/>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6FF" w:usb1="420024FF" w:usb2="02000000" w:usb3="00000000" w:csb0="0000019F" w:csb1="00000000"/>
  </w:font>
  <w:font w:name="Cordia New">
    <w:panose1 w:val="020B0304020202020204"/>
    <w:charset w:val="DE"/>
    <w:family w:val="swiss"/>
    <w:pitch w:val="variable"/>
    <w:sig w:usb0="81000003" w:usb1="00000000" w:usb2="00000000" w:usb3="00000000" w:csb0="00010001" w:csb1="00000000"/>
  </w:font>
  <w:font w:name="SimSun">
    <w:altName w:val="宋体"/>
    <w:panose1 w:val="02010600030101010101"/>
    <w:charset w:val="86"/>
    <w:family w:val="auto"/>
    <w:pitch w:val="variable"/>
    <w:sig w:usb0="00000203" w:usb1="288F0000" w:usb2="00000016" w:usb3="00000000" w:csb0="00040001" w:csb1="00000000"/>
  </w:font>
  <w:font w:name="Angsana New">
    <w:panose1 w:val="02020603050405020304"/>
    <w:charset w:val="DE"/>
    <w:family w:val="roman"/>
    <w:pitch w:val="variable"/>
    <w:sig w:usb0="81000003" w:usb1="00000000" w:usb2="00000000" w:usb3="00000000" w:csb0="00010001" w:csb1="00000000"/>
  </w:font>
  <w:font w:name="Helvetica">
    <w:panose1 w:val="020B0604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327B55" w14:textId="3E5AB5A1" w:rsidR="00311886" w:rsidRPr="008A3205" w:rsidRDefault="00FD1F90" w:rsidP="003C5057">
    <w:pPr>
      <w:pStyle w:val="Footer"/>
      <w:jc w:val="right"/>
    </w:pPr>
    <w:r>
      <w:t>P</w:t>
    </w:r>
    <w:r w:rsidR="006C203C">
      <w:t xml:space="preserve">rogress and </w:t>
    </w:r>
    <w:r>
      <w:t>pitfalls</w:t>
    </w:r>
    <w:r w:rsidR="00311886">
      <w:t xml:space="preserve">: 2022-23 annual report on the operation of the </w:t>
    </w:r>
    <w:r w:rsidR="00311886" w:rsidRPr="00B47017">
      <w:rPr>
        <w:i/>
        <w:iCs/>
      </w:rPr>
      <w:t xml:space="preserve">Human Rights Act 2019 </w:t>
    </w:r>
    <w:r w:rsidR="00311886">
      <w:tab/>
    </w:r>
    <w:sdt>
      <w:sdtPr>
        <w:rPr>
          <w:color w:val="2B579A"/>
        </w:rPr>
        <w:id w:val="-1070427610"/>
        <w:docPartObj>
          <w:docPartGallery w:val="Page Numbers (Bottom of Page)"/>
          <w:docPartUnique/>
        </w:docPartObj>
      </w:sdtPr>
      <w:sdtEndPr>
        <w:rPr>
          <w:noProof/>
          <w:color w:val="347B9F"/>
        </w:rPr>
      </w:sdtEndPr>
      <w:sdtContent>
        <w:r w:rsidR="00311886" w:rsidRPr="00557D33">
          <w:fldChar w:fldCharType="begin"/>
        </w:r>
        <w:r w:rsidR="00311886" w:rsidRPr="00557D33">
          <w:instrText xml:space="preserve"> PAGE   \* MERGEFORMAT </w:instrText>
        </w:r>
        <w:r w:rsidR="00311886" w:rsidRPr="00557D33">
          <w:fldChar w:fldCharType="separate"/>
        </w:r>
        <w:r w:rsidR="00F878A0" w:rsidRPr="00557D33">
          <w:rPr>
            <w:noProof/>
          </w:rPr>
          <w:t>2</w:t>
        </w:r>
        <w:r w:rsidR="00311886" w:rsidRPr="00557D33">
          <w:rPr>
            <w:noProof/>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BFE526" w14:textId="0B00F94B" w:rsidR="00311886" w:rsidRPr="008A3205" w:rsidRDefault="00311886">
    <w:pPr>
      <w:pStyle w:val="Footer"/>
      <w:jc w:val="right"/>
    </w:pPr>
    <w:r>
      <w:t xml:space="preserve">Queensland Human Rights Commission | </w:t>
    </w:r>
    <w:r w:rsidRPr="003C5057">
      <w:t>www.qhrc.qld.gov.au</w:t>
    </w:r>
    <w:r>
      <w:t xml:space="preserve"> </w:t>
    </w:r>
    <w:r>
      <w:tab/>
    </w:r>
    <w:sdt>
      <w:sdtPr>
        <w:rPr>
          <w:color w:val="2B579A"/>
        </w:rPr>
        <w:id w:val="-1807609413"/>
        <w:docPartObj>
          <w:docPartGallery w:val="Page Numbers (Bottom of Page)"/>
          <w:docPartUnique/>
        </w:docPartObj>
      </w:sdtPr>
      <w:sdtEndPr>
        <w:rPr>
          <w:noProof/>
          <w:color w:val="347B9F"/>
        </w:rPr>
      </w:sdtEndPr>
      <w:sdtContent>
        <w:r w:rsidRPr="001108EE">
          <w:fldChar w:fldCharType="begin"/>
        </w:r>
        <w:r w:rsidRPr="001108EE">
          <w:instrText xml:space="preserve"> PAGE   \* MERGEFORMAT </w:instrText>
        </w:r>
        <w:r w:rsidRPr="001108EE">
          <w:fldChar w:fldCharType="separate"/>
        </w:r>
        <w:r w:rsidR="00F878A0" w:rsidRPr="001108EE">
          <w:rPr>
            <w:noProof/>
          </w:rPr>
          <w:t>1</w:t>
        </w:r>
        <w:r w:rsidRPr="001108EE">
          <w:rPr>
            <w:noProof/>
          </w:rPr>
          <w:fldChar w:fldCharType="end"/>
        </w:r>
      </w:sdtContent>
    </w:sdt>
  </w:p>
  <w:p w14:paraId="10FDC15C" w14:textId="0858F51C" w:rsidR="00311886" w:rsidRPr="007C01C7" w:rsidRDefault="00311886" w:rsidP="007C01C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67D1A5" w14:textId="77777777" w:rsidR="00901942" w:rsidRDefault="00901942" w:rsidP="007C01C7">
      <w:pPr>
        <w:spacing w:after="0" w:line="240" w:lineRule="auto"/>
      </w:pPr>
      <w:r>
        <w:separator/>
      </w:r>
    </w:p>
  </w:footnote>
  <w:footnote w:type="continuationSeparator" w:id="0">
    <w:p w14:paraId="6959C283" w14:textId="77777777" w:rsidR="00901942" w:rsidRDefault="00901942" w:rsidP="007C01C7">
      <w:pPr>
        <w:spacing w:after="0" w:line="240" w:lineRule="auto"/>
      </w:pPr>
      <w:r>
        <w:continuationSeparator/>
      </w:r>
    </w:p>
  </w:footnote>
  <w:footnote w:type="continuationNotice" w:id="1">
    <w:p w14:paraId="02524977" w14:textId="77777777" w:rsidR="00901942" w:rsidRDefault="00901942">
      <w:pPr>
        <w:spacing w:after="0" w:line="240" w:lineRule="auto"/>
      </w:pPr>
    </w:p>
  </w:footnote>
  <w:footnote w:id="2">
    <w:p w14:paraId="7269A0D2" w14:textId="5AC9D947" w:rsidR="00311886" w:rsidRDefault="00311886">
      <w:pPr>
        <w:pStyle w:val="FootnoteText"/>
      </w:pPr>
      <w:r>
        <w:rPr>
          <w:rStyle w:val="FootnoteReference"/>
        </w:rPr>
        <w:footnoteRef/>
      </w:r>
      <w:r>
        <w:t xml:space="preserve"> </w:t>
      </w:r>
      <w:r w:rsidRPr="00862DA4">
        <w:rPr>
          <w:rFonts w:cs="Arial"/>
          <w:lang w:val="en-US"/>
        </w:rPr>
        <w:t>Explanatory Notes, Human Rights Bill 2018</w:t>
      </w:r>
      <w:r>
        <w:rPr>
          <w:rFonts w:cs="Arial"/>
          <w:lang w:val="en-US"/>
        </w:rPr>
        <w:t>,</w:t>
      </w:r>
      <w:r w:rsidRPr="00862DA4">
        <w:rPr>
          <w:rFonts w:cs="Arial"/>
          <w:lang w:val="en-US"/>
        </w:rPr>
        <w:t xml:space="preserve"> 44</w:t>
      </w:r>
      <w:r w:rsidR="00093197">
        <w:rPr>
          <w:rFonts w:cs="Arial"/>
          <w:lang w:val="en-US"/>
        </w:rPr>
        <w:t>.</w:t>
      </w:r>
    </w:p>
  </w:footnote>
  <w:footnote w:id="3">
    <w:p w14:paraId="74819A4F" w14:textId="32F99853" w:rsidR="00C7431C" w:rsidRPr="00C7431C" w:rsidRDefault="00C7431C">
      <w:pPr>
        <w:pStyle w:val="FootnoteText"/>
      </w:pPr>
      <w:r>
        <w:rPr>
          <w:rStyle w:val="FootnoteReference"/>
        </w:rPr>
        <w:footnoteRef/>
      </w:r>
      <w:r>
        <w:t xml:space="preserve"> </w:t>
      </w:r>
      <w:r>
        <w:rPr>
          <w:i/>
          <w:iCs/>
        </w:rPr>
        <w:t>Human Rights Act 2019</w:t>
      </w:r>
      <w:r>
        <w:t xml:space="preserve"> (Qld) ss 95</w:t>
      </w:r>
      <w:r w:rsidR="00200085">
        <w:t>–</w:t>
      </w:r>
      <w:r>
        <w:t>96.</w:t>
      </w:r>
    </w:p>
  </w:footnote>
  <w:footnote w:id="4">
    <w:p w14:paraId="74A4226E" w14:textId="63819033" w:rsidR="00756165" w:rsidRPr="00756165" w:rsidRDefault="00756165">
      <w:pPr>
        <w:pStyle w:val="FootnoteText"/>
      </w:pPr>
      <w:r>
        <w:rPr>
          <w:rStyle w:val="FootnoteReference"/>
        </w:rPr>
        <w:footnoteRef/>
      </w:r>
      <w:r>
        <w:t xml:space="preserve"> Some matters that the Commission intervened in during previous reporting periods continued into this financial year.</w:t>
      </w:r>
    </w:p>
  </w:footnote>
  <w:footnote w:id="5">
    <w:p w14:paraId="15880C31" w14:textId="5E59A420" w:rsidR="006D4B9C" w:rsidRPr="000F598A" w:rsidRDefault="006D4B9C" w:rsidP="006D4B9C">
      <w:pPr>
        <w:pStyle w:val="FootnoteText"/>
      </w:pPr>
      <w:r>
        <w:rPr>
          <w:rStyle w:val="FootnoteReference"/>
        </w:rPr>
        <w:footnoteRef/>
      </w:r>
      <w:r>
        <w:t xml:space="preserve"> </w:t>
      </w:r>
      <w:r w:rsidRPr="00937F28">
        <w:rPr>
          <w:i/>
          <w:iCs/>
        </w:rPr>
        <w:t>Waratah Coal Pty Ltd v Youth Verdict Ltd &amp; Ors</w:t>
      </w:r>
      <w:r w:rsidR="00937F28">
        <w:t xml:space="preserve"> (No 6) [2022] QLC 21.</w:t>
      </w:r>
    </w:p>
  </w:footnote>
  <w:footnote w:id="6">
    <w:p w14:paraId="68A37CCD" w14:textId="51AA1BB3" w:rsidR="00CE2CFE" w:rsidRPr="008A4D47" w:rsidRDefault="00CE2CFE" w:rsidP="00CE2CFE">
      <w:pPr>
        <w:pStyle w:val="FootnoteText"/>
      </w:pPr>
      <w:r>
        <w:rPr>
          <w:rStyle w:val="FootnoteReference"/>
        </w:rPr>
        <w:footnoteRef/>
      </w:r>
      <w:r>
        <w:t xml:space="preserve"> Queensland </w:t>
      </w:r>
      <w:r w:rsidRPr="00F276A5">
        <w:t xml:space="preserve">Government, </w:t>
      </w:r>
      <w:r w:rsidRPr="00F01E79">
        <w:rPr>
          <w:i/>
          <w:iCs/>
        </w:rPr>
        <w:t>Working for Queensland survey</w:t>
      </w:r>
      <w:r w:rsidR="009A7646" w:rsidRPr="00F01E79">
        <w:rPr>
          <w:i/>
          <w:iCs/>
        </w:rPr>
        <w:t xml:space="preserve"> 2022</w:t>
      </w:r>
      <w:r>
        <w:t xml:space="preserve"> </w:t>
      </w:r>
      <w:r w:rsidR="00631F3C">
        <w:t>(</w:t>
      </w:r>
      <w:r>
        <w:t xml:space="preserve">Highlights report – Queensland public sector, </w:t>
      </w:r>
      <w:r w:rsidR="008715C4">
        <w:t>2022)</w:t>
      </w:r>
      <w:r>
        <w:t xml:space="preserve"> 3.</w:t>
      </w:r>
    </w:p>
  </w:footnote>
  <w:footnote w:id="7">
    <w:p w14:paraId="61C0019B" w14:textId="77777777" w:rsidR="00190531" w:rsidRPr="00E40D13" w:rsidRDefault="00190531" w:rsidP="00190531">
      <w:pPr>
        <w:pStyle w:val="FootnoteText"/>
      </w:pPr>
      <w:r>
        <w:rPr>
          <w:rStyle w:val="FootnoteReference"/>
        </w:rPr>
        <w:footnoteRef/>
      </w:r>
      <w:r>
        <w:t xml:space="preserve"> At the time of writing, this Bill has passed into law but not yet commenced.</w:t>
      </w:r>
    </w:p>
  </w:footnote>
  <w:footnote w:id="8">
    <w:p w14:paraId="3DF375EF" w14:textId="52CED548" w:rsidR="000D67FA" w:rsidRPr="000D67FA" w:rsidRDefault="000D67FA">
      <w:pPr>
        <w:pStyle w:val="FootnoteText"/>
      </w:pPr>
      <w:r>
        <w:rPr>
          <w:rStyle w:val="FootnoteReference"/>
        </w:rPr>
        <w:footnoteRef/>
      </w:r>
      <w:r>
        <w:t xml:space="preserve"> </w:t>
      </w:r>
      <w:r w:rsidR="005A5885" w:rsidRPr="005A5885">
        <w:t>A ‘human rights only’ complaint is a complaint about a public entity in relation to an act or decision of the public entity that is not compatible with the person’s human rights, or that proper consideration of a human right relevant to a decision was lacking</w:t>
      </w:r>
      <w:r w:rsidR="00103692">
        <w:t xml:space="preserve">, where the person is not also raising a complaint </w:t>
      </w:r>
      <w:r w:rsidR="00DD2854">
        <w:t>that is covered by</w:t>
      </w:r>
      <w:r w:rsidR="00103692">
        <w:t xml:space="preserve"> the Anti-Discrimination Act</w:t>
      </w:r>
      <w:r w:rsidR="005A5885" w:rsidRPr="005A5885">
        <w:t>.</w:t>
      </w:r>
    </w:p>
  </w:footnote>
  <w:footnote w:id="9">
    <w:p w14:paraId="73025DD0" w14:textId="16C9E603" w:rsidR="00190531" w:rsidRPr="00777AC0" w:rsidRDefault="00190531" w:rsidP="00190531">
      <w:pPr>
        <w:pStyle w:val="FootnoteText"/>
      </w:pPr>
      <w:r>
        <w:rPr>
          <w:rStyle w:val="FootnoteReference"/>
        </w:rPr>
        <w:footnoteRef/>
      </w:r>
      <w:r>
        <w:t xml:space="preserve"> The concept was initially articulated by Lord Steyn </w:t>
      </w:r>
      <w:r w:rsidR="00165045">
        <w:t>of</w:t>
      </w:r>
      <w:r>
        <w:t xml:space="preserve"> the House of Lords in </w:t>
      </w:r>
      <w:r w:rsidRPr="005C654B">
        <w:rPr>
          <w:i/>
          <w:iCs/>
        </w:rPr>
        <w:t>R v H</w:t>
      </w:r>
      <w:r w:rsidRPr="006E1211">
        <w:t xml:space="preserve"> [2004] 2 AC 134, 145</w:t>
      </w:r>
      <w:r w:rsidR="00587FD3">
        <w:t>–</w:t>
      </w:r>
      <w:r w:rsidRPr="006E1211">
        <w:t>46</w:t>
      </w:r>
      <w:r>
        <w:t>.</w:t>
      </w:r>
    </w:p>
  </w:footnote>
  <w:footnote w:id="10">
    <w:p w14:paraId="3CD5F24B" w14:textId="7D7A698F" w:rsidR="00190531" w:rsidRPr="009E41C2" w:rsidRDefault="00190531" w:rsidP="00190531">
      <w:pPr>
        <w:pStyle w:val="FootnoteText"/>
      </w:pPr>
      <w:r>
        <w:rPr>
          <w:rStyle w:val="FootnoteReference"/>
        </w:rPr>
        <w:footnoteRef/>
      </w:r>
      <w:r>
        <w:t xml:space="preserve"> Women’s Safety and Justice Taskforce, </w:t>
      </w:r>
      <w:r>
        <w:rPr>
          <w:i/>
          <w:iCs/>
        </w:rPr>
        <w:t xml:space="preserve">Hear </w:t>
      </w:r>
      <w:r w:rsidR="008D7C5A">
        <w:rPr>
          <w:i/>
          <w:iCs/>
        </w:rPr>
        <w:t>H</w:t>
      </w:r>
      <w:r>
        <w:rPr>
          <w:i/>
          <w:iCs/>
        </w:rPr>
        <w:t xml:space="preserve">er </w:t>
      </w:r>
      <w:r w:rsidR="008D7C5A">
        <w:rPr>
          <w:i/>
          <w:iCs/>
        </w:rPr>
        <w:t>V</w:t>
      </w:r>
      <w:r>
        <w:rPr>
          <w:i/>
          <w:iCs/>
        </w:rPr>
        <w:t>oice – Report two</w:t>
      </w:r>
      <w:r w:rsidR="00110E88">
        <w:rPr>
          <w:i/>
          <w:iCs/>
        </w:rPr>
        <w:t>: Women and girls’ experiences across the criminal justice system</w:t>
      </w:r>
      <w:r w:rsidR="00DB05A7">
        <w:rPr>
          <w:i/>
          <w:iCs/>
        </w:rPr>
        <w:t xml:space="preserve"> </w:t>
      </w:r>
      <w:r w:rsidR="00DB05A7" w:rsidRPr="005B1EB8">
        <w:t>(</w:t>
      </w:r>
      <w:r w:rsidRPr="005B1EB8">
        <w:t>vol. 1</w:t>
      </w:r>
      <w:r>
        <w:t xml:space="preserve">, </w:t>
      </w:r>
      <w:r w:rsidR="00DB05A7">
        <w:t>2022)</w:t>
      </w:r>
      <w:r>
        <w:t xml:space="preserve"> Recommendations 18–20.</w:t>
      </w:r>
    </w:p>
  </w:footnote>
  <w:footnote w:id="11">
    <w:p w14:paraId="76BCF94A" w14:textId="77777777" w:rsidR="00190531" w:rsidRPr="00BB1143" w:rsidRDefault="00190531" w:rsidP="00190531">
      <w:pPr>
        <w:pStyle w:val="FootnoteText"/>
      </w:pPr>
      <w:r>
        <w:rPr>
          <w:rStyle w:val="FootnoteReference"/>
        </w:rPr>
        <w:footnoteRef/>
      </w:r>
      <w:r>
        <w:t xml:space="preserve"> </w:t>
      </w:r>
      <w:r w:rsidRPr="00BB1143">
        <w:t xml:space="preserve">Charter of Victim’s Rights </w:t>
      </w:r>
      <w:r>
        <w:t xml:space="preserve">is </w:t>
      </w:r>
      <w:r w:rsidRPr="00BB1143">
        <w:t xml:space="preserve">contained in schedule 1AA of the </w:t>
      </w:r>
      <w:r w:rsidRPr="00BB1143">
        <w:rPr>
          <w:i/>
          <w:iCs/>
        </w:rPr>
        <w:t>Victims of Crime Assistance Act 2009</w:t>
      </w:r>
      <w:r w:rsidRPr="00BB1143">
        <w:t xml:space="preserve"> (</w:t>
      </w:r>
      <w:r>
        <w:t>Qld</w:t>
      </w:r>
      <w:r w:rsidRPr="00BB1143">
        <w:t>).</w:t>
      </w:r>
    </w:p>
  </w:footnote>
  <w:footnote w:id="12">
    <w:p w14:paraId="3FE311BF" w14:textId="77777777" w:rsidR="00FD1582" w:rsidRDefault="00FD1582" w:rsidP="00FD1582">
      <w:pPr>
        <w:pStyle w:val="FootnoteText"/>
      </w:pPr>
      <w:r>
        <w:rPr>
          <w:rStyle w:val="FootnoteReference"/>
        </w:rPr>
        <w:footnoteRef/>
      </w:r>
      <w:r>
        <w:t xml:space="preserve"> Explanatory Notes, Human Rights Bill 2018 (Qld) 29.</w:t>
      </w:r>
    </w:p>
  </w:footnote>
  <w:footnote w:id="13">
    <w:p w14:paraId="570A5416" w14:textId="405BECE8" w:rsidR="00660978" w:rsidRPr="00FC10D5" w:rsidRDefault="00660978">
      <w:pPr>
        <w:pStyle w:val="FootnoteText"/>
        <w:rPr>
          <w:lang w:val="en-US"/>
        </w:rPr>
      </w:pPr>
      <w:r>
        <w:rPr>
          <w:rStyle w:val="FootnoteReference"/>
        </w:rPr>
        <w:footnoteRef/>
      </w:r>
      <w:r>
        <w:t xml:space="preserve"> </w:t>
      </w:r>
      <w:r w:rsidR="00B21C87">
        <w:rPr>
          <w:lang w:val="en-US"/>
        </w:rPr>
        <w:t>Economics and Gover</w:t>
      </w:r>
      <w:r w:rsidR="00696259">
        <w:rPr>
          <w:lang w:val="en-US"/>
        </w:rPr>
        <w:t>nance Committee</w:t>
      </w:r>
      <w:r w:rsidR="008E53BE">
        <w:rPr>
          <w:lang w:val="en-US"/>
        </w:rPr>
        <w:t>, Queensland Parliament</w:t>
      </w:r>
      <w:r w:rsidR="00720E1F">
        <w:rPr>
          <w:lang w:val="en-US"/>
        </w:rPr>
        <w:t xml:space="preserve">, </w:t>
      </w:r>
      <w:r w:rsidR="00720E1F" w:rsidRPr="00FC10D5">
        <w:rPr>
          <w:i/>
          <w:iCs/>
          <w:lang w:val="en-US"/>
        </w:rPr>
        <w:t>Strengthening Community Safety Bill 2023</w:t>
      </w:r>
      <w:r w:rsidR="00B81564">
        <w:rPr>
          <w:lang w:val="en-US"/>
        </w:rPr>
        <w:t xml:space="preserve"> (Repor</w:t>
      </w:r>
      <w:r w:rsidR="00692D30">
        <w:rPr>
          <w:lang w:val="en-US"/>
        </w:rPr>
        <w:t>t No. 41</w:t>
      </w:r>
      <w:r w:rsidR="00005C59">
        <w:rPr>
          <w:lang w:val="en-US"/>
        </w:rPr>
        <w:t xml:space="preserve">, March 2023) </w:t>
      </w:r>
      <w:r w:rsidR="000B1D1B">
        <w:rPr>
          <w:lang w:val="en-US"/>
        </w:rPr>
        <w:t>6</w:t>
      </w:r>
      <w:r w:rsidR="006D6640">
        <w:rPr>
          <w:lang w:val="en-US"/>
        </w:rPr>
        <w:t>–</w:t>
      </w:r>
      <w:r w:rsidR="00C60F5B">
        <w:rPr>
          <w:lang w:val="en-US"/>
        </w:rPr>
        <w:t>7.</w:t>
      </w:r>
    </w:p>
  </w:footnote>
  <w:footnote w:id="14">
    <w:p w14:paraId="0BE4B4FE" w14:textId="759AB336" w:rsidR="002629E8" w:rsidRDefault="002629E8" w:rsidP="002629E8">
      <w:pPr>
        <w:pStyle w:val="FootnoteText"/>
      </w:pPr>
      <w:r w:rsidRPr="00FA5DE2">
        <w:rPr>
          <w:rStyle w:val="FootnoteReference"/>
        </w:rPr>
        <w:footnoteRef/>
      </w:r>
      <w:r w:rsidRPr="00FA5DE2">
        <w:t xml:space="preserve"> For example, the Revenue Legislation Amendment Bill 2023 was declared urgent, not referred to committee</w:t>
      </w:r>
      <w:r w:rsidR="009B6B2F">
        <w:t>,</w:t>
      </w:r>
      <w:r w:rsidRPr="00FA5DE2">
        <w:t xml:space="preserve"> and debated cognately with related appropriation </w:t>
      </w:r>
      <w:r w:rsidR="000A52C4">
        <w:t>B</w:t>
      </w:r>
      <w:r w:rsidRPr="00FA5DE2">
        <w:t>ills.</w:t>
      </w:r>
      <w:r>
        <w:t xml:space="preserve"> </w:t>
      </w:r>
    </w:p>
  </w:footnote>
  <w:footnote w:id="15">
    <w:p w14:paraId="127E4331" w14:textId="522376C6" w:rsidR="002629E8" w:rsidRDefault="002629E8" w:rsidP="002629E8">
      <w:pPr>
        <w:pStyle w:val="FootnoteText"/>
      </w:pPr>
      <w:r>
        <w:rPr>
          <w:rStyle w:val="FootnoteReference"/>
        </w:rPr>
        <w:footnoteRef/>
      </w:r>
      <w:r>
        <w:t xml:space="preserve"> See</w:t>
      </w:r>
      <w:r w:rsidR="00F03F3A">
        <w:t>:</w:t>
      </w:r>
      <w:r>
        <w:t xml:space="preserve"> </w:t>
      </w:r>
      <w:r w:rsidRPr="00FA5DE2">
        <w:t>Major Sports Facilities Amendment Bill 2022</w:t>
      </w:r>
      <w:r>
        <w:t xml:space="preserve">; </w:t>
      </w:r>
      <w:r w:rsidRPr="00FA5DE2">
        <w:t>Public Health and Other Legislation (COVID-19 Management) Amendment Bill 2022</w:t>
      </w:r>
      <w:r>
        <w:t xml:space="preserve">; </w:t>
      </w:r>
      <w:r w:rsidRPr="00E66942">
        <w:t>Betting Tax and Other Legislation Amendment Bill 2022</w:t>
      </w:r>
      <w:r>
        <w:t xml:space="preserve">; </w:t>
      </w:r>
      <w:r w:rsidRPr="00E66942">
        <w:t>Environmental Protection and Other Legislation Amendment Bill 2022</w:t>
      </w:r>
      <w:r>
        <w:t xml:space="preserve">; </w:t>
      </w:r>
      <w:r w:rsidRPr="00E66942">
        <w:t>Coal Mining Safety and Health and Other Legislation Amendment Bill 2022</w:t>
      </w:r>
      <w:r w:rsidR="00954D07">
        <w:t xml:space="preserve">; </w:t>
      </w:r>
      <w:r w:rsidRPr="00E66942">
        <w:t>Domestic and Family Violence Protection (Combating Coercive Control) and Other Legislation Amendment Bill 2022</w:t>
      </w:r>
      <w:r>
        <w:t>; Integrity and Other Legislation Amendment Bill 2022; Public Sector Bill 2022; Housing Legislation Amendment Bill 2022; Police Service Administration and Other Legislation Amendment Bill (No. 2) 2022;</w:t>
      </w:r>
      <w:r w:rsidR="00C24637">
        <w:t xml:space="preserve"> </w:t>
      </w:r>
      <w:r>
        <w:t>Health and Other Legislation Amendment Bill 2022; Corrective Services (Emerging Technologies and Security) and Other Legislation Amendment Bill 2022; Police Powers and Responsibilities (Jack’s Law) Amendment Bill 2022; Police Powers and Responsibilities and Other Legislation Amendment Bill 2022; Monitoring of Places of Detention (Optional Protocol to the Convention Against Torture) Bill 2022; Local Government Electoral and Other Legislation (Expenditure Caps) Amendment Bill 2022; Births, Deaths and Marriages Registration Bill 2022</w:t>
      </w:r>
      <w:r w:rsidR="005D6E75">
        <w:t xml:space="preserve">; </w:t>
      </w:r>
      <w:r>
        <w:t>Strengthening Community Safety Bill 2023; Police Powers and Responsibilities and Other Legislation Amendment Bill 2023; Path to Treaty Bill 2023; Waste Reduction and Recycling and Other Legislation Amendment Bill 2023; Tobacco and Other Smoking Products Amendment Bill 2023; Residential Tenancies and Rooming Accommodation (Rent Freeze) Amendment Bill 2022; Water Legislation Amendment Bill 2022; Liquid Fuel Supply (Minimum Biobased Petrol Content) Amendment Bill 2022; Child Protection (Offender Reporting and Offender Prohibition Order) and Other Legislation Amendment Bill 2022; Property Law Bill 2023</w:t>
      </w:r>
      <w:r w:rsidR="00E00266">
        <w:t xml:space="preserve">; </w:t>
      </w:r>
      <w:r>
        <w:t>Criminal Code (Serious Vilification and Hate Crimes) and Other Legislation Amendment Bill 2023; Health Practitioner Regulation National Law (Surgeons) Amendment Bill 2023</w:t>
      </w:r>
      <w:r w:rsidR="002B10EB">
        <w:t>.</w:t>
      </w:r>
    </w:p>
  </w:footnote>
  <w:footnote w:id="16">
    <w:p w14:paraId="10E45C83" w14:textId="77777777" w:rsidR="002629E8" w:rsidRDefault="002629E8" w:rsidP="002629E8">
      <w:pPr>
        <w:pStyle w:val="FootnoteText"/>
      </w:pPr>
      <w:r>
        <w:rPr>
          <w:rStyle w:val="FootnoteReference"/>
        </w:rPr>
        <w:footnoteRef/>
      </w:r>
      <w:r>
        <w:t xml:space="preserve"> Animal Care and Protection Amendment Bill 2022; Trading (Allowable Hours) and Other Legislation Amendment Bill 2022; Transport Legislation (Road Safety and Other Matters) Amendment Bill 2022; Casino Control and Other Legislation Amendment Bill 2022; Building Units and Group Titles and Other Legislation Amendment Bill 2022; Industrial Relations and Other Legislation Amendment Bill 2022.</w:t>
      </w:r>
    </w:p>
  </w:footnote>
  <w:footnote w:id="17">
    <w:p w14:paraId="407F480A" w14:textId="6F3822E1" w:rsidR="002629E8" w:rsidRDefault="002629E8" w:rsidP="002629E8">
      <w:pPr>
        <w:pStyle w:val="FootnoteText"/>
      </w:pPr>
      <w:r>
        <w:rPr>
          <w:rStyle w:val="FootnoteReference"/>
        </w:rPr>
        <w:footnoteRef/>
      </w:r>
      <w:r>
        <w:t xml:space="preserve"> Residential Tenancies and Rooming Accommodation (Rent Freeze) Amendment Bill 2022; Water Legislation Amendment Bill 2022; Liquid Fuel Supply (Minimum Biobased Petrol Content) Amendment Bill 2022; Child Protection (Offender Reporting and Offender Prohibition Order) and Other Legislation Amendment Bill 2022</w:t>
      </w:r>
      <w:r w:rsidR="000207DD">
        <w:t xml:space="preserve">; </w:t>
      </w:r>
      <w:r>
        <w:t>Property Law Bill 2023; Criminal Code (Serious Vilification and Hate Crimes) and Other Legislation Amendment Bill 2023; Health Practitioner Regulation National Law (Surgeons) Amendment Bill 2023</w:t>
      </w:r>
      <w:r w:rsidR="00954D07">
        <w:t>.</w:t>
      </w:r>
    </w:p>
  </w:footnote>
  <w:footnote w:id="18">
    <w:p w14:paraId="251299B9" w14:textId="0E90ECF6" w:rsidR="00311886" w:rsidRPr="00A45FEE" w:rsidRDefault="00311886" w:rsidP="00B311A0">
      <w:pPr>
        <w:pStyle w:val="FootnoteText"/>
        <w:rPr>
          <w:lang w:val="en-US"/>
        </w:rPr>
      </w:pPr>
      <w:r w:rsidRPr="00A45FEE">
        <w:rPr>
          <w:rStyle w:val="FootnoteReference"/>
          <w:rFonts w:cs="Arial"/>
        </w:rPr>
        <w:footnoteRef/>
      </w:r>
      <w:r w:rsidRPr="00A45FEE">
        <w:t xml:space="preserve"> </w:t>
      </w:r>
      <w:r w:rsidRPr="00A45FEE">
        <w:rPr>
          <w:lang w:val="en-US"/>
        </w:rPr>
        <w:t>Department of the Premier and Cabinet</w:t>
      </w:r>
      <w:r>
        <w:rPr>
          <w:lang w:val="en-US"/>
        </w:rPr>
        <w:t xml:space="preserve"> (Qld)</w:t>
      </w:r>
      <w:r w:rsidRPr="00A45FEE">
        <w:rPr>
          <w:lang w:val="en-US"/>
        </w:rPr>
        <w:t xml:space="preserve">, ‘3.5 Role of drafter’, </w:t>
      </w:r>
      <w:r w:rsidRPr="00A45FEE">
        <w:rPr>
          <w:i/>
          <w:lang w:val="en-US"/>
        </w:rPr>
        <w:t>Queensland Legislation Handbook</w:t>
      </w:r>
      <w:r w:rsidRPr="00A45FEE">
        <w:rPr>
          <w:lang w:val="en-US"/>
        </w:rPr>
        <w:t xml:space="preserve"> (Web Page, 1</w:t>
      </w:r>
      <w:r>
        <w:rPr>
          <w:lang w:val="en-US"/>
        </w:rPr>
        <w:t>7</w:t>
      </w:r>
      <w:r w:rsidRPr="00A45FEE">
        <w:rPr>
          <w:lang w:val="en-US"/>
        </w:rPr>
        <w:t xml:space="preserve"> J</w:t>
      </w:r>
      <w:r>
        <w:rPr>
          <w:lang w:val="en-US"/>
        </w:rPr>
        <w:t>une</w:t>
      </w:r>
      <w:r w:rsidRPr="00A45FEE">
        <w:rPr>
          <w:lang w:val="en-US"/>
        </w:rPr>
        <w:t xml:space="preserve"> 202</w:t>
      </w:r>
      <w:r>
        <w:rPr>
          <w:lang w:val="en-US"/>
        </w:rPr>
        <w:t>1</w:t>
      </w:r>
      <w:r w:rsidRPr="00A45FEE">
        <w:rPr>
          <w:lang w:val="en-US"/>
        </w:rPr>
        <w:t>)</w:t>
      </w:r>
      <w:r>
        <w:rPr>
          <w:lang w:val="en-US"/>
        </w:rPr>
        <w:t>.</w:t>
      </w:r>
      <w:r w:rsidRPr="00A45FEE">
        <w:rPr>
          <w:lang w:val="en-US"/>
        </w:rPr>
        <w:t xml:space="preserve"> </w:t>
      </w:r>
    </w:p>
  </w:footnote>
  <w:footnote w:id="19">
    <w:p w14:paraId="312446C2" w14:textId="74D10DB1" w:rsidR="00311886" w:rsidRDefault="00311886">
      <w:pPr>
        <w:pStyle w:val="FootnoteText"/>
      </w:pPr>
      <w:r>
        <w:rPr>
          <w:rStyle w:val="FootnoteReference"/>
        </w:rPr>
        <w:footnoteRef/>
      </w:r>
      <w:r>
        <w:t xml:space="preserve"> Explanatory Notes, Human Rights Bill 2018 (</w:t>
      </w:r>
      <w:r w:rsidRPr="0077406C">
        <w:t>Qld) 10.</w:t>
      </w:r>
    </w:p>
  </w:footnote>
  <w:footnote w:id="20">
    <w:p w14:paraId="516C406C" w14:textId="579F0F3E" w:rsidR="00311886" w:rsidRDefault="00311886">
      <w:pPr>
        <w:pStyle w:val="FootnoteText"/>
      </w:pPr>
      <w:r>
        <w:rPr>
          <w:rStyle w:val="FootnoteReference"/>
        </w:rPr>
        <w:footnoteRef/>
      </w:r>
      <w:r>
        <w:t xml:space="preserve"> For more information on how these indicators were developed, see Queensland Human Rights Commission, </w:t>
      </w:r>
      <w:r w:rsidRPr="00C44072">
        <w:rPr>
          <w:i/>
        </w:rPr>
        <w:t>Balancing Life and Liberty</w:t>
      </w:r>
      <w:r w:rsidRPr="00C44072">
        <w:rPr>
          <w:i/>
          <w:iCs/>
        </w:rPr>
        <w:t>:</w:t>
      </w:r>
      <w:r>
        <w:rPr>
          <w:i/>
          <w:iCs/>
        </w:rPr>
        <w:t xml:space="preserve"> </w:t>
      </w:r>
      <w:r w:rsidRPr="00C44072">
        <w:rPr>
          <w:i/>
          <w:iCs/>
        </w:rPr>
        <w:t xml:space="preserve">The second annual report on the operation of </w:t>
      </w:r>
      <w:r w:rsidRPr="00C44072">
        <w:rPr>
          <w:i/>
        </w:rPr>
        <w:t>Quee</w:t>
      </w:r>
      <w:r>
        <w:rPr>
          <w:i/>
        </w:rPr>
        <w:t>n</w:t>
      </w:r>
      <w:r w:rsidRPr="00C44072">
        <w:rPr>
          <w:i/>
        </w:rPr>
        <w:t>sland’s</w:t>
      </w:r>
      <w:r w:rsidRPr="00C44072">
        <w:rPr>
          <w:i/>
          <w:iCs/>
        </w:rPr>
        <w:t xml:space="preserve"> Human Rights Act 2019</w:t>
      </w:r>
      <w:r>
        <w:t xml:space="preserve"> (Report 2020–21) 30</w:t>
      </w:r>
      <w:r w:rsidR="00DE1741">
        <w:t>–</w:t>
      </w:r>
      <w:r>
        <w:t>32.</w:t>
      </w:r>
    </w:p>
  </w:footnote>
  <w:footnote w:id="21">
    <w:p w14:paraId="55A0256C" w14:textId="41643E0F" w:rsidR="00311886" w:rsidRPr="002F6A88" w:rsidRDefault="00311886" w:rsidP="009B3533">
      <w:pPr>
        <w:pStyle w:val="FootnoteText"/>
      </w:pPr>
      <w:r>
        <w:rPr>
          <w:rStyle w:val="FootnoteReference"/>
        </w:rPr>
        <w:footnoteRef/>
      </w:r>
      <w:r>
        <w:t xml:space="preserve"> </w:t>
      </w:r>
      <w:r w:rsidRPr="00B31572">
        <w:rPr>
          <w:i/>
          <w:iCs/>
        </w:rPr>
        <w:t>Human Rights Act 2019</w:t>
      </w:r>
      <w:r w:rsidR="009255A6">
        <w:rPr>
          <w:i/>
        </w:rPr>
        <w:t xml:space="preserve"> </w:t>
      </w:r>
      <w:r w:rsidR="009255A6">
        <w:t>(Qld)</w:t>
      </w:r>
      <w:r w:rsidRPr="00B31572">
        <w:t xml:space="preserve"> s 43.</w:t>
      </w:r>
    </w:p>
  </w:footnote>
  <w:footnote w:id="22">
    <w:p w14:paraId="4738E3CB" w14:textId="486199D0" w:rsidR="003B305A" w:rsidRDefault="003B305A" w:rsidP="00B31572">
      <w:pPr>
        <w:pStyle w:val="FootnoteText"/>
      </w:pPr>
      <w:r>
        <w:rPr>
          <w:rStyle w:val="FootnoteReference"/>
        </w:rPr>
        <w:footnoteRef/>
      </w:r>
      <w:r>
        <w:t xml:space="preserve"> </w:t>
      </w:r>
      <w:r w:rsidRPr="003F1467">
        <w:t>Revenue Legislation Amendment Bill 2022</w:t>
      </w:r>
      <w:r w:rsidR="00005EB7">
        <w:t>.</w:t>
      </w:r>
    </w:p>
  </w:footnote>
  <w:footnote w:id="23">
    <w:p w14:paraId="6C87B83D" w14:textId="0FD8BFD7" w:rsidR="003B305A" w:rsidRPr="0028581B" w:rsidRDefault="003B305A" w:rsidP="003B305A">
      <w:pPr>
        <w:pStyle w:val="FootnoteText"/>
        <w:rPr>
          <w:lang w:val="en-US"/>
        </w:rPr>
      </w:pPr>
      <w:r>
        <w:rPr>
          <w:rStyle w:val="FootnoteReference"/>
        </w:rPr>
        <w:footnoteRef/>
      </w:r>
      <w:r>
        <w:t xml:space="preserve"> </w:t>
      </w:r>
      <w:r w:rsidRPr="0028581B">
        <w:t>Holidays and Other Legislation Amendment Bill 2022</w:t>
      </w:r>
      <w:r w:rsidR="00005EB7">
        <w:t>.</w:t>
      </w:r>
    </w:p>
  </w:footnote>
  <w:footnote w:id="24">
    <w:p w14:paraId="7ABB7F14" w14:textId="56478211" w:rsidR="001743ED" w:rsidRPr="00CD72CA" w:rsidRDefault="001743ED">
      <w:pPr>
        <w:pStyle w:val="FootnoteText"/>
        <w:rPr>
          <w:lang w:val="en-US"/>
        </w:rPr>
      </w:pPr>
      <w:r>
        <w:rPr>
          <w:rStyle w:val="FootnoteReference"/>
        </w:rPr>
        <w:footnoteRef/>
      </w:r>
      <w:r>
        <w:t xml:space="preserve"> </w:t>
      </w:r>
      <w:r>
        <w:rPr>
          <w:lang w:val="en-US"/>
        </w:rPr>
        <w:t xml:space="preserve">Economics and Governance Committee, Queensland Parliament, </w:t>
      </w:r>
      <w:r w:rsidRPr="004C54F5">
        <w:rPr>
          <w:i/>
          <w:iCs/>
          <w:lang w:val="en-US"/>
        </w:rPr>
        <w:t>Strengthening Community Safety Bill 2023</w:t>
      </w:r>
      <w:r>
        <w:rPr>
          <w:lang w:val="en-US"/>
        </w:rPr>
        <w:t xml:space="preserve"> (Report No. 41, March 2023)</w:t>
      </w:r>
      <w:r w:rsidR="00F81916">
        <w:rPr>
          <w:lang w:val="en-US"/>
        </w:rPr>
        <w:t xml:space="preserve"> 7.</w:t>
      </w:r>
    </w:p>
  </w:footnote>
  <w:footnote w:id="25">
    <w:p w14:paraId="31CB8699" w14:textId="1B2E804F" w:rsidR="00F5704B" w:rsidRPr="005869E2" w:rsidRDefault="00F5704B" w:rsidP="00F5704B">
      <w:pPr>
        <w:pStyle w:val="FootnoteText"/>
        <w:rPr>
          <w:lang w:val="en-US"/>
        </w:rPr>
      </w:pPr>
      <w:r>
        <w:rPr>
          <w:rStyle w:val="FootnoteReference"/>
        </w:rPr>
        <w:footnoteRef/>
      </w:r>
      <w:r>
        <w:t xml:space="preserve"> </w:t>
      </w:r>
      <w:r w:rsidRPr="005869E2">
        <w:t>Coal Mining Safety and Health and Other Legislation Amendment Bill 2022</w:t>
      </w:r>
      <w:r w:rsidR="00EC2C3F">
        <w:t>.</w:t>
      </w:r>
    </w:p>
  </w:footnote>
  <w:footnote w:id="26">
    <w:p w14:paraId="67F77053" w14:textId="0C18A0F5" w:rsidR="00F5704B" w:rsidRPr="003B6C52" w:rsidRDefault="00F5704B" w:rsidP="00F5704B">
      <w:pPr>
        <w:pStyle w:val="FootnoteText"/>
        <w:rPr>
          <w:lang w:val="en-US"/>
        </w:rPr>
      </w:pPr>
      <w:r>
        <w:rPr>
          <w:rStyle w:val="FootnoteReference"/>
        </w:rPr>
        <w:footnoteRef/>
      </w:r>
      <w:r>
        <w:t xml:space="preserve"> </w:t>
      </w:r>
      <w:r w:rsidRPr="003B6C52">
        <w:t>Industrial Relations and Other Legislation Amendment Bill 2022</w:t>
      </w:r>
      <w:r w:rsidR="00640B9F">
        <w:t>;</w:t>
      </w:r>
      <w:r>
        <w:t xml:space="preserve"> </w:t>
      </w:r>
      <w:r w:rsidRPr="003629FF">
        <w:t>Land and Other Legislation Amendment Bill 2022</w:t>
      </w:r>
      <w:r>
        <w:t xml:space="preserve">; </w:t>
      </w:r>
      <w:r w:rsidR="00640B9F">
        <w:t xml:space="preserve">and </w:t>
      </w:r>
      <w:r w:rsidRPr="003B6C52">
        <w:t>Environmental Protection and Other Legislation Amendment Bill 2022</w:t>
      </w:r>
      <w:r w:rsidR="00EC2C3F">
        <w:t>.</w:t>
      </w:r>
    </w:p>
  </w:footnote>
  <w:footnote w:id="27">
    <w:p w14:paraId="1A9D0AB4" w14:textId="55C15A58" w:rsidR="00F5704B" w:rsidRPr="003B6C52" w:rsidRDefault="00F5704B" w:rsidP="00F5704B">
      <w:pPr>
        <w:pStyle w:val="FootnoteText"/>
        <w:rPr>
          <w:lang w:val="en-US"/>
        </w:rPr>
      </w:pPr>
      <w:r>
        <w:rPr>
          <w:rStyle w:val="FootnoteReference"/>
        </w:rPr>
        <w:footnoteRef/>
      </w:r>
      <w:r>
        <w:t xml:space="preserve"> </w:t>
      </w:r>
      <w:r w:rsidRPr="003B6C52">
        <w:t>Environmental Protection and Other Legislation Amendment Bill 2022</w:t>
      </w:r>
      <w:r w:rsidR="00EC2C3F">
        <w:t>.</w:t>
      </w:r>
    </w:p>
  </w:footnote>
  <w:footnote w:id="28">
    <w:p w14:paraId="15B05A1C" w14:textId="08407126" w:rsidR="00F5704B" w:rsidRPr="003629FF" w:rsidRDefault="00F5704B" w:rsidP="00F5704B">
      <w:pPr>
        <w:pStyle w:val="FootnoteText"/>
        <w:rPr>
          <w:lang w:val="en-US"/>
        </w:rPr>
      </w:pPr>
      <w:r>
        <w:rPr>
          <w:rStyle w:val="FootnoteReference"/>
        </w:rPr>
        <w:footnoteRef/>
      </w:r>
      <w:r>
        <w:t xml:space="preserve"> </w:t>
      </w:r>
      <w:r w:rsidRPr="003629FF">
        <w:t>Health Practitioner Regulation National Law and Other Legislation Amendment Bill 2022</w:t>
      </w:r>
      <w:r w:rsidR="00EC2C3F">
        <w:t>.</w:t>
      </w:r>
    </w:p>
  </w:footnote>
  <w:footnote w:id="29">
    <w:p w14:paraId="3E81B417" w14:textId="57672458" w:rsidR="00EF5DFB" w:rsidRDefault="00EF5DFB" w:rsidP="00B31572">
      <w:pPr>
        <w:pStyle w:val="FootnoteText"/>
      </w:pPr>
      <w:r>
        <w:rPr>
          <w:rStyle w:val="FootnoteReference"/>
        </w:rPr>
        <w:footnoteRef/>
      </w:r>
      <w:r>
        <w:t xml:space="preserve"> </w:t>
      </w:r>
      <w:r w:rsidR="00E070B9">
        <w:t>This occurred in relation to</w:t>
      </w:r>
      <w:r w:rsidR="009F7F5F">
        <w:t xml:space="preserve"> the</w:t>
      </w:r>
      <w:r w:rsidR="00E070B9">
        <w:t xml:space="preserve">: </w:t>
      </w:r>
      <w:r>
        <w:t>Animal Care and Protection Amendment Bill 2022; Public Health and Other Legislation (COVID-19 Management) Amendment Bill 2022; Domestic and Family Violence Protection (Combating Coercive Control) and Other Legislation Amendment Bill 2022; Corrective Services (Emerging Technologies and Security) and Other Legislation Amendment Bill 2022; Police Powers and Responsibilities (Jack’s Law) Amendment Bill 2022</w:t>
      </w:r>
      <w:r w:rsidR="00B31572">
        <w:t xml:space="preserve">; </w:t>
      </w:r>
      <w:r>
        <w:t>Monitoring of Places of Detention (Optional Protocol to the Convention Against Torture) Bill 2022; Local Government Electoral and Other Legislation (Expenditure Caps) Amendment Bill 2022; Births, Deaths and Marriages Registration Bill 2022; Police Powers and Responsibilities and Other Legislation Amendment Bill 2023; Path to Treaty Bill 2023; Tobacco and Other Smoking Products Amendment Bill 2023.</w:t>
      </w:r>
    </w:p>
  </w:footnote>
  <w:footnote w:id="30">
    <w:p w14:paraId="4C55738C" w14:textId="2F370B13" w:rsidR="00B2186D" w:rsidRPr="00357D42" w:rsidRDefault="00B2186D" w:rsidP="00B2186D">
      <w:pPr>
        <w:pStyle w:val="FootnoteText"/>
        <w:rPr>
          <w:rFonts w:cs="Arial"/>
          <w:lang w:val="en-US"/>
        </w:rPr>
      </w:pPr>
      <w:r>
        <w:rPr>
          <w:rStyle w:val="FootnoteReference"/>
        </w:rPr>
        <w:footnoteRef/>
      </w:r>
      <w:r>
        <w:t xml:space="preserve"> </w:t>
      </w:r>
      <w:r w:rsidRPr="00357D42">
        <w:rPr>
          <w:rFonts w:cs="Arial"/>
        </w:rPr>
        <w:t>Coal Mining Safety and Health and Other Legislation Amendment Bill 2022</w:t>
      </w:r>
      <w:r w:rsidR="00EC2C3F">
        <w:rPr>
          <w:rFonts w:cs="Arial"/>
        </w:rPr>
        <w:t>.</w:t>
      </w:r>
    </w:p>
  </w:footnote>
  <w:footnote w:id="31">
    <w:p w14:paraId="4DEAD392" w14:textId="0BB3BE22" w:rsidR="00B2186D" w:rsidRPr="00AA76DB" w:rsidRDefault="00B2186D" w:rsidP="00AA76DB">
      <w:pPr>
        <w:pStyle w:val="FootnoteText"/>
        <w:rPr>
          <w:rStyle w:val="FootnoteTextChar"/>
        </w:rPr>
      </w:pPr>
      <w:r w:rsidRPr="00357D42">
        <w:rPr>
          <w:rStyle w:val="FootnoteReference"/>
          <w:rFonts w:cs="Arial"/>
        </w:rPr>
        <w:footnoteRef/>
      </w:r>
      <w:r w:rsidRPr="00357D42">
        <w:rPr>
          <w:rFonts w:cs="Arial"/>
        </w:rPr>
        <w:t xml:space="preserve"> </w:t>
      </w:r>
      <w:r w:rsidRPr="00B950D6">
        <w:rPr>
          <w:rStyle w:val="FootnoteTextChar"/>
        </w:rPr>
        <w:t>Racing Integrity Amendment Bill 2022. The member stated: ‘Recommendation 4 was again clarifying the publication of stewards’ reports. We heard from a number of people around the use of stewards’ reports and what they can be used for. There are multiple uses</w:t>
      </w:r>
      <w:r w:rsidRPr="00F21221">
        <w:rPr>
          <w:rFonts w:cs="Arial"/>
          <w:sz w:val="18"/>
        </w:rPr>
        <w:t xml:space="preserve"> </w:t>
      </w:r>
      <w:r w:rsidRPr="00B950D6">
        <w:rPr>
          <w:rStyle w:val="FootnoteTextChar"/>
        </w:rPr>
        <w:t>of those reports, but there is an</w:t>
      </w:r>
      <w:r w:rsidRPr="00F21221">
        <w:rPr>
          <w:rFonts w:cs="Arial"/>
          <w:sz w:val="18"/>
        </w:rPr>
        <w:t xml:space="preserve"> </w:t>
      </w:r>
      <w:r w:rsidRPr="00B950D6">
        <w:rPr>
          <w:rStyle w:val="FootnoteTextChar"/>
        </w:rPr>
        <w:t>impact in terms of the Human Rights Act, so I think a really good balance has been struck in terms of what we publish when it comes to those stewards’ reports and being able to access information and sharing arrangements that have been put in place.’</w:t>
      </w:r>
    </w:p>
  </w:footnote>
  <w:footnote w:id="32">
    <w:p w14:paraId="5C99413F" w14:textId="60CECFAB" w:rsidR="00FB7296" w:rsidRPr="000A36A0" w:rsidRDefault="00FB7296" w:rsidP="00FB7296">
      <w:pPr>
        <w:pStyle w:val="FootnoteText"/>
        <w:rPr>
          <w:highlight w:val="yellow"/>
          <w:lang w:val="en-US"/>
        </w:rPr>
      </w:pPr>
      <w:r>
        <w:rPr>
          <w:rStyle w:val="FootnoteReference"/>
        </w:rPr>
        <w:footnoteRef/>
      </w:r>
      <w:r w:rsidR="0032223A">
        <w:t xml:space="preserve"> Queensland Parliament, </w:t>
      </w:r>
      <w:r w:rsidR="0032223A" w:rsidRPr="00BF6C9D">
        <w:rPr>
          <w:i/>
        </w:rPr>
        <w:t>Parliamentary Debates</w:t>
      </w:r>
      <w:r w:rsidR="0032223A">
        <w:t>, Legislative Assembly</w:t>
      </w:r>
      <w:r w:rsidR="00357372">
        <w:t>, 8 November 2022, 3343 (SJ Stewart</w:t>
      </w:r>
      <w:r w:rsidR="00DE241D">
        <w:t>, Minister for Resources).</w:t>
      </w:r>
    </w:p>
  </w:footnote>
  <w:footnote w:id="33">
    <w:p w14:paraId="69BED655" w14:textId="67D672A4" w:rsidR="00566247" w:rsidRPr="00566247" w:rsidRDefault="00566247">
      <w:pPr>
        <w:pStyle w:val="FootnoteText"/>
      </w:pPr>
      <w:r>
        <w:rPr>
          <w:rStyle w:val="FootnoteReference"/>
        </w:rPr>
        <w:footnoteRef/>
      </w:r>
      <w:r>
        <w:t xml:space="preserve"> </w:t>
      </w:r>
      <w:r>
        <w:rPr>
          <w:i/>
          <w:iCs/>
        </w:rPr>
        <w:t xml:space="preserve">Human Rights Act 2019 </w:t>
      </w:r>
      <w:r>
        <w:t>(Qld) s 20.</w:t>
      </w:r>
    </w:p>
  </w:footnote>
  <w:footnote w:id="34">
    <w:p w14:paraId="7E68E267" w14:textId="7321BEFE" w:rsidR="00FB7296" w:rsidRPr="003D61E3" w:rsidRDefault="00FB7296" w:rsidP="00FB7296">
      <w:pPr>
        <w:pStyle w:val="FootnoteText"/>
        <w:rPr>
          <w:lang w:val="en-US"/>
        </w:rPr>
      </w:pPr>
      <w:r w:rsidRPr="00BF6C9D">
        <w:rPr>
          <w:rStyle w:val="FootnoteReference"/>
        </w:rPr>
        <w:footnoteRef/>
      </w:r>
      <w:r w:rsidRPr="00BF6C9D">
        <w:t xml:space="preserve"> </w:t>
      </w:r>
      <w:r w:rsidR="005C1043">
        <w:t>Queensland</w:t>
      </w:r>
      <w:r w:rsidR="005A5C76">
        <w:t xml:space="preserve">, </w:t>
      </w:r>
      <w:r w:rsidR="005A5C76" w:rsidRPr="00BF6C9D">
        <w:rPr>
          <w:i/>
          <w:iCs/>
        </w:rPr>
        <w:t>Parliamentary Debates</w:t>
      </w:r>
      <w:r w:rsidR="00ED0C9C">
        <w:t>, Legislative Assembly</w:t>
      </w:r>
      <w:r w:rsidR="000622EE">
        <w:t xml:space="preserve">, </w:t>
      </w:r>
      <w:r w:rsidR="00BD0054">
        <w:t>29 November 2022, 3658 (G Grace).</w:t>
      </w:r>
      <w:r w:rsidR="005A5C76">
        <w:t xml:space="preserve"> </w:t>
      </w:r>
    </w:p>
  </w:footnote>
  <w:footnote w:id="35">
    <w:p w14:paraId="18C2856D" w14:textId="6C8C09A2" w:rsidR="00FB7296" w:rsidRPr="00570A3E" w:rsidRDefault="00FB7296" w:rsidP="00FB7296">
      <w:pPr>
        <w:pStyle w:val="FootnoteText"/>
        <w:rPr>
          <w:lang w:val="en-US"/>
        </w:rPr>
      </w:pPr>
      <w:r>
        <w:rPr>
          <w:rStyle w:val="FootnoteReference"/>
        </w:rPr>
        <w:footnoteRef/>
      </w:r>
      <w:r w:rsidR="00CB2CC1">
        <w:t xml:space="preserve"> Queensland</w:t>
      </w:r>
      <w:r w:rsidR="00BB197A">
        <w:t xml:space="preserve">, </w:t>
      </w:r>
      <w:r w:rsidR="00BB197A" w:rsidRPr="00BF6C9D">
        <w:rPr>
          <w:i/>
          <w:iCs/>
        </w:rPr>
        <w:t>Parliamentary Debates</w:t>
      </w:r>
      <w:r w:rsidR="00BB197A">
        <w:t xml:space="preserve">, Legislative Assembly, </w:t>
      </w:r>
      <w:r w:rsidR="00E56CA9">
        <w:t>26 October 2022</w:t>
      </w:r>
      <w:r w:rsidR="00F30D42">
        <w:t xml:space="preserve">, </w:t>
      </w:r>
      <w:r>
        <w:t>3092</w:t>
      </w:r>
      <w:r w:rsidR="00412A6A">
        <w:t xml:space="preserve"> (G Grace).</w:t>
      </w:r>
      <w:r>
        <w:t xml:space="preserve"> </w:t>
      </w:r>
    </w:p>
  </w:footnote>
  <w:footnote w:id="36">
    <w:p w14:paraId="7DCAAC37" w14:textId="3337CD63" w:rsidR="0061398E" w:rsidRPr="0041575B" w:rsidRDefault="0061398E">
      <w:pPr>
        <w:pStyle w:val="FootnoteText"/>
      </w:pPr>
      <w:r>
        <w:rPr>
          <w:rStyle w:val="FootnoteReference"/>
        </w:rPr>
        <w:footnoteRef/>
      </w:r>
      <w:r>
        <w:t xml:space="preserve"> </w:t>
      </w:r>
      <w:r w:rsidR="0041575B">
        <w:rPr>
          <w:i/>
          <w:iCs/>
        </w:rPr>
        <w:t xml:space="preserve">Human Rights Act 2019 </w:t>
      </w:r>
      <w:r w:rsidR="0041575B">
        <w:t>(Qld) s 32.</w:t>
      </w:r>
    </w:p>
  </w:footnote>
  <w:footnote w:id="37">
    <w:p w14:paraId="236E2254" w14:textId="6C44017F" w:rsidR="00B84145" w:rsidRPr="00B84145" w:rsidRDefault="00B84145">
      <w:pPr>
        <w:pStyle w:val="FootnoteText"/>
      </w:pPr>
      <w:r>
        <w:rPr>
          <w:rStyle w:val="FootnoteReference"/>
        </w:rPr>
        <w:footnoteRef/>
      </w:r>
      <w:r>
        <w:t xml:space="preserve"> </w:t>
      </w:r>
      <w:r>
        <w:rPr>
          <w:i/>
          <w:iCs/>
        </w:rPr>
        <w:t xml:space="preserve">Human Rights Act 2019 </w:t>
      </w:r>
      <w:r>
        <w:t xml:space="preserve">(Qld) </w:t>
      </w:r>
      <w:r w:rsidRPr="0047436E">
        <w:rPr>
          <w:rFonts w:eastAsia="Calibri" w:cs="Arial"/>
        </w:rPr>
        <w:t>s 43</w:t>
      </w:r>
      <w:r>
        <w:rPr>
          <w:rFonts w:eastAsia="Calibri" w:cs="Arial"/>
        </w:rPr>
        <w:t>.</w:t>
      </w:r>
    </w:p>
  </w:footnote>
  <w:footnote w:id="38">
    <w:p w14:paraId="3C36C868" w14:textId="7B48424A" w:rsidR="0047436E" w:rsidRPr="001A676A" w:rsidRDefault="0047436E" w:rsidP="0047436E">
      <w:pPr>
        <w:pStyle w:val="FootnoteText"/>
        <w:rPr>
          <w:lang w:val="en-US"/>
        </w:rPr>
      </w:pPr>
      <w:r>
        <w:rPr>
          <w:rStyle w:val="FootnoteReference"/>
        </w:rPr>
        <w:footnoteRef/>
      </w:r>
      <w:r>
        <w:t xml:space="preserve"> These were amendments to introduce a breach of bail offence for children, a new Serious Repeat Offender Declaration Scheme</w:t>
      </w:r>
      <w:r w:rsidR="00EA3C65">
        <w:t>,</w:t>
      </w:r>
      <w:r>
        <w:t xml:space="preserve"> and the requirement for a child convicted of a prescribed indictable offence to serve a period of detention when they breach</w:t>
      </w:r>
      <w:r w:rsidR="00EA3C65">
        <w:t>ed</w:t>
      </w:r>
      <w:r>
        <w:t xml:space="preserve"> certain conditional release orders. </w:t>
      </w:r>
    </w:p>
  </w:footnote>
  <w:footnote w:id="39">
    <w:p w14:paraId="75C083F2" w14:textId="58C62BDF" w:rsidR="00793F24" w:rsidRPr="00793F24" w:rsidRDefault="00793F24">
      <w:pPr>
        <w:pStyle w:val="FootnoteText"/>
      </w:pPr>
      <w:r>
        <w:rPr>
          <w:rStyle w:val="FootnoteReference"/>
        </w:rPr>
        <w:footnoteRef/>
      </w:r>
      <w:r>
        <w:t xml:space="preserve"> </w:t>
      </w:r>
      <w:r>
        <w:rPr>
          <w:i/>
          <w:iCs/>
        </w:rPr>
        <w:t xml:space="preserve">Human Rights Act 2019 </w:t>
      </w:r>
      <w:r>
        <w:t xml:space="preserve">(Qld) </w:t>
      </w:r>
      <w:r w:rsidRPr="0047436E">
        <w:rPr>
          <w:rFonts w:eastAsia="Calibri" w:cs="Arial"/>
        </w:rPr>
        <w:t>s 26</w:t>
      </w:r>
      <w:r>
        <w:rPr>
          <w:rFonts w:eastAsia="Calibri" w:cs="Arial"/>
        </w:rPr>
        <w:t>(2).</w:t>
      </w:r>
    </w:p>
  </w:footnote>
  <w:footnote w:id="40">
    <w:p w14:paraId="4319692C" w14:textId="4B3402C3" w:rsidR="00793F24" w:rsidRPr="00793F24" w:rsidRDefault="00793F24">
      <w:pPr>
        <w:pStyle w:val="FootnoteText"/>
      </w:pPr>
      <w:r>
        <w:rPr>
          <w:rStyle w:val="FootnoteReference"/>
        </w:rPr>
        <w:footnoteRef/>
      </w:r>
      <w:r>
        <w:t xml:space="preserve"> </w:t>
      </w:r>
      <w:r>
        <w:rPr>
          <w:i/>
          <w:iCs/>
        </w:rPr>
        <w:t xml:space="preserve">Human Rights Act 2019 </w:t>
      </w:r>
      <w:r>
        <w:t xml:space="preserve">(Qld) </w:t>
      </w:r>
      <w:r w:rsidRPr="0047436E">
        <w:rPr>
          <w:rFonts w:eastAsia="Calibri" w:cs="Arial"/>
        </w:rPr>
        <w:t>s 29.</w:t>
      </w:r>
    </w:p>
  </w:footnote>
  <w:footnote w:id="41">
    <w:p w14:paraId="15491D45" w14:textId="075329E1" w:rsidR="008E7100" w:rsidRPr="008E7100" w:rsidRDefault="008E7100">
      <w:pPr>
        <w:pStyle w:val="FootnoteText"/>
      </w:pPr>
      <w:r>
        <w:rPr>
          <w:rStyle w:val="FootnoteReference"/>
        </w:rPr>
        <w:footnoteRef/>
      </w:r>
      <w:r>
        <w:t xml:space="preserve"> </w:t>
      </w:r>
      <w:r>
        <w:rPr>
          <w:i/>
          <w:iCs/>
        </w:rPr>
        <w:t xml:space="preserve">Human Rights Act 2019 </w:t>
      </w:r>
      <w:r>
        <w:t>(Qld) s 43(4).</w:t>
      </w:r>
    </w:p>
  </w:footnote>
  <w:footnote w:id="42">
    <w:p w14:paraId="1CB30C3C" w14:textId="77777777" w:rsidR="0047436E" w:rsidRPr="00695C7B" w:rsidRDefault="0047436E" w:rsidP="0047436E">
      <w:pPr>
        <w:pStyle w:val="FootnoteText"/>
        <w:rPr>
          <w:lang w:val="en-US"/>
        </w:rPr>
      </w:pPr>
      <w:r>
        <w:rPr>
          <w:rStyle w:val="FootnoteReference"/>
        </w:rPr>
        <w:footnoteRef/>
      </w:r>
      <w:r>
        <w:t xml:space="preserve"> Economics and Governance Committee</w:t>
      </w:r>
      <w:r w:rsidRPr="00975A83">
        <w:t xml:space="preserve">, </w:t>
      </w:r>
      <w:r>
        <w:t>Queensland Parliament</w:t>
      </w:r>
      <w:r w:rsidRPr="00975A83">
        <w:t xml:space="preserve">, </w:t>
      </w:r>
      <w:r w:rsidRPr="00460496">
        <w:rPr>
          <w:i/>
        </w:rPr>
        <w:t xml:space="preserve">Inquiry into the </w:t>
      </w:r>
      <w:r>
        <w:rPr>
          <w:i/>
        </w:rPr>
        <w:t>Strengthening Community Safety Bill 2023</w:t>
      </w:r>
      <w:r w:rsidRPr="00975A83">
        <w:t xml:space="preserve"> (Final Report, </w:t>
      </w:r>
      <w:r>
        <w:t>March 2023</w:t>
      </w:r>
      <w:r w:rsidRPr="00975A83">
        <w:t>)</w:t>
      </w:r>
      <w:r>
        <w:t xml:space="preserve"> 6.</w:t>
      </w:r>
    </w:p>
  </w:footnote>
  <w:footnote w:id="43">
    <w:p w14:paraId="1BE91418" w14:textId="2C5585F7" w:rsidR="0047436E" w:rsidRPr="00B40BD5" w:rsidRDefault="0047436E" w:rsidP="0047436E">
      <w:pPr>
        <w:pStyle w:val="FootnoteText"/>
        <w:rPr>
          <w:lang w:val="en-US"/>
        </w:rPr>
      </w:pPr>
      <w:r>
        <w:rPr>
          <w:rStyle w:val="FootnoteReference"/>
        </w:rPr>
        <w:footnoteRef/>
      </w:r>
      <w:r>
        <w:t xml:space="preserve"> </w:t>
      </w:r>
      <w:r w:rsidRPr="0043644C">
        <w:t>Joint departmental response</w:t>
      </w:r>
      <w:r>
        <w:t xml:space="preserve"> </w:t>
      </w:r>
      <w:r w:rsidRPr="0043644C">
        <w:t>to submissions</w:t>
      </w:r>
      <w:r>
        <w:t xml:space="preserve"> (Queensland Government)</w:t>
      </w:r>
      <w:r w:rsidRPr="0043644C">
        <w:t>,</w:t>
      </w:r>
      <w:r>
        <w:t xml:space="preserve"> </w:t>
      </w:r>
      <w:r w:rsidR="007D0B8A">
        <w:t>S</w:t>
      </w:r>
      <w:r>
        <w:t xml:space="preserve">ubmission to Economics and Governance Committee, Queensland Parliament, </w:t>
      </w:r>
      <w:r w:rsidRPr="00460496">
        <w:rPr>
          <w:i/>
        </w:rPr>
        <w:t xml:space="preserve">Inquiry into the </w:t>
      </w:r>
      <w:r>
        <w:rPr>
          <w:i/>
        </w:rPr>
        <w:t>Strengthening Community Safety Bill 2023</w:t>
      </w:r>
      <w:r w:rsidRPr="00975A83">
        <w:t xml:space="preserve"> </w:t>
      </w:r>
      <w:r>
        <w:t>(8 March 2023)</w:t>
      </w:r>
      <w:r w:rsidRPr="0043644C">
        <w:t xml:space="preserve"> 72.</w:t>
      </w:r>
    </w:p>
  </w:footnote>
  <w:footnote w:id="44">
    <w:p w14:paraId="700CE5E4" w14:textId="44A2AB19" w:rsidR="00456517" w:rsidRPr="00456517" w:rsidRDefault="00456517">
      <w:pPr>
        <w:pStyle w:val="FootnoteText"/>
      </w:pPr>
      <w:r>
        <w:rPr>
          <w:rStyle w:val="FootnoteReference"/>
        </w:rPr>
        <w:footnoteRef/>
      </w:r>
      <w:r>
        <w:t xml:space="preserve"> </w:t>
      </w:r>
      <w:r>
        <w:rPr>
          <w:i/>
          <w:iCs/>
        </w:rPr>
        <w:t xml:space="preserve">Human Rights Act 2019 </w:t>
      </w:r>
      <w:r>
        <w:t xml:space="preserve">(Qld) s 43(1) states that the </w:t>
      </w:r>
      <w:r>
        <w:rPr>
          <w:i/>
          <w:iCs/>
        </w:rPr>
        <w:t>parliament</w:t>
      </w:r>
      <w:r>
        <w:t xml:space="preserve"> </w:t>
      </w:r>
      <w:r w:rsidR="00FF7171">
        <w:t>may expressly declare an Act</w:t>
      </w:r>
      <w:r w:rsidR="002A6677">
        <w:t xml:space="preserve"> or provision has effect despite being incompatible with rights</w:t>
      </w:r>
      <w:r w:rsidR="00F1407C">
        <w:t xml:space="preserve"> (emphasis added)</w:t>
      </w:r>
      <w:r w:rsidR="002A6677">
        <w:t>.</w:t>
      </w:r>
    </w:p>
  </w:footnote>
  <w:footnote w:id="45">
    <w:p w14:paraId="0658A8A8" w14:textId="648BBE02" w:rsidR="003D72FF" w:rsidRPr="00971358" w:rsidRDefault="003D72FF" w:rsidP="003D72FF">
      <w:pPr>
        <w:pStyle w:val="FootnoteText"/>
        <w:rPr>
          <w:lang w:val="en-US"/>
        </w:rPr>
      </w:pPr>
      <w:r>
        <w:rPr>
          <w:rStyle w:val="FootnoteReference"/>
        </w:rPr>
        <w:footnoteRef/>
      </w:r>
      <w:r>
        <w:t xml:space="preserve"> </w:t>
      </w:r>
      <w:r>
        <w:rPr>
          <w:lang w:val="en-US"/>
        </w:rPr>
        <w:t>See for example</w:t>
      </w:r>
      <w:r w:rsidR="009F3649">
        <w:rPr>
          <w:lang w:val="en-US"/>
        </w:rPr>
        <w:t xml:space="preserve">: Queensland Parliament, </w:t>
      </w:r>
      <w:r w:rsidR="009F3649" w:rsidRPr="000709D8">
        <w:rPr>
          <w:i/>
          <w:lang w:val="en-US"/>
        </w:rPr>
        <w:t>Parliamentary Debates</w:t>
      </w:r>
      <w:r w:rsidR="00A55886">
        <w:rPr>
          <w:lang w:val="en-US"/>
        </w:rPr>
        <w:t>, Legislative Assembly</w:t>
      </w:r>
      <w:r w:rsidR="00782B3B">
        <w:rPr>
          <w:lang w:val="en-US"/>
        </w:rPr>
        <w:t xml:space="preserve">, </w:t>
      </w:r>
      <w:r w:rsidR="003E7ED6">
        <w:rPr>
          <w:lang w:val="en-US"/>
        </w:rPr>
        <w:t>14 March 2023</w:t>
      </w:r>
      <w:r w:rsidR="00D87763">
        <w:rPr>
          <w:lang w:val="en-US"/>
        </w:rPr>
        <w:t xml:space="preserve">, </w:t>
      </w:r>
      <w:r w:rsidR="008D1CEB">
        <w:rPr>
          <w:lang w:val="en-US"/>
        </w:rPr>
        <w:t>363</w:t>
      </w:r>
      <w:r w:rsidR="00F641B0">
        <w:rPr>
          <w:lang w:val="en-US"/>
        </w:rPr>
        <w:t xml:space="preserve"> </w:t>
      </w:r>
      <w:r w:rsidR="00094D3A">
        <w:rPr>
          <w:lang w:val="en-US"/>
        </w:rPr>
        <w:t>(</w:t>
      </w:r>
      <w:r>
        <w:rPr>
          <w:lang w:val="en-US"/>
        </w:rPr>
        <w:t>L Power</w:t>
      </w:r>
      <w:r w:rsidR="00D87763">
        <w:rPr>
          <w:lang w:val="en-US"/>
        </w:rPr>
        <w:t>)</w:t>
      </w:r>
      <w:r w:rsidR="00F641B0">
        <w:rPr>
          <w:lang w:val="en-US"/>
        </w:rPr>
        <w:t>;</w:t>
      </w:r>
      <w:r w:rsidR="00F1407C">
        <w:rPr>
          <w:lang w:val="en-US"/>
        </w:rPr>
        <w:t xml:space="preserve"> </w:t>
      </w:r>
      <w:r w:rsidR="004215AF">
        <w:rPr>
          <w:lang w:val="en-US"/>
        </w:rPr>
        <w:t xml:space="preserve">Queensland </w:t>
      </w:r>
      <w:r w:rsidR="00FD5627">
        <w:rPr>
          <w:lang w:val="en-US"/>
        </w:rPr>
        <w:t>Parliament</w:t>
      </w:r>
      <w:r w:rsidR="00FD5627" w:rsidRPr="000709D8">
        <w:rPr>
          <w:i/>
          <w:lang w:val="en-US"/>
        </w:rPr>
        <w:t>, Parliamentary Debates</w:t>
      </w:r>
      <w:r w:rsidR="00FD5627">
        <w:rPr>
          <w:lang w:val="en-US"/>
        </w:rPr>
        <w:t>, Legislative Assembly, 15 March 2023</w:t>
      </w:r>
      <w:r w:rsidR="00BC2D76">
        <w:rPr>
          <w:lang w:val="en-US"/>
        </w:rPr>
        <w:t>, 478</w:t>
      </w:r>
      <w:r w:rsidR="00566164">
        <w:rPr>
          <w:lang w:val="en-US"/>
        </w:rPr>
        <w:t xml:space="preserve"> </w:t>
      </w:r>
      <w:r w:rsidR="00C138AA">
        <w:rPr>
          <w:lang w:val="en-US"/>
        </w:rPr>
        <w:t>(M</w:t>
      </w:r>
      <w:r>
        <w:rPr>
          <w:lang w:val="en-US"/>
        </w:rPr>
        <w:t xml:space="preserve"> Berkman</w:t>
      </w:r>
      <w:r w:rsidR="00BC2D76">
        <w:rPr>
          <w:lang w:val="en-US"/>
        </w:rPr>
        <w:t>).</w:t>
      </w:r>
      <w:r>
        <w:rPr>
          <w:lang w:val="en-US"/>
        </w:rPr>
        <w:t xml:space="preserve"> </w:t>
      </w:r>
    </w:p>
  </w:footnote>
  <w:footnote w:id="46">
    <w:p w14:paraId="3735166C" w14:textId="0306E764" w:rsidR="00BF1B7D" w:rsidRDefault="00BF1B7D">
      <w:pPr>
        <w:pStyle w:val="FootnoteText"/>
      </w:pPr>
      <w:r w:rsidRPr="006D370E">
        <w:rPr>
          <w:rStyle w:val="FootnoteReference"/>
        </w:rPr>
        <w:footnoteRef/>
      </w:r>
      <w:r w:rsidRPr="006D370E">
        <w:t xml:space="preserve"> </w:t>
      </w:r>
      <w:r w:rsidR="001C1263" w:rsidRPr="000709D8">
        <w:t xml:space="preserve">United Nations Human Rights Office of the High Commissioner, </w:t>
      </w:r>
      <w:r w:rsidR="00193E86" w:rsidRPr="000709D8">
        <w:t>‘UN torture prevention body terminates visit to Australia, confirms missions to South Africa, Kazakhstan, Madagascar, Croatia, Georgia, Guatemala, Palestine, and the Philippines</w:t>
      </w:r>
      <w:r w:rsidR="00E267BC" w:rsidRPr="000709D8">
        <w:t xml:space="preserve">’ </w:t>
      </w:r>
      <w:r w:rsidR="00194D2A" w:rsidRPr="000709D8">
        <w:t>(</w:t>
      </w:r>
      <w:r w:rsidR="001C1263" w:rsidRPr="000709D8">
        <w:t>Press release</w:t>
      </w:r>
      <w:r w:rsidR="00194D2A" w:rsidRPr="000709D8">
        <w:t>, 20 February 2023</w:t>
      </w:r>
      <w:r w:rsidR="006D370E" w:rsidRPr="000709D8">
        <w:t>).</w:t>
      </w:r>
    </w:p>
  </w:footnote>
  <w:footnote w:id="47">
    <w:p w14:paraId="5001E64D" w14:textId="77777777" w:rsidR="00991168" w:rsidRPr="001E5B52" w:rsidRDefault="00991168" w:rsidP="00991168">
      <w:pPr>
        <w:pStyle w:val="FootnoteText"/>
      </w:pPr>
      <w:r>
        <w:rPr>
          <w:rStyle w:val="FootnoteReference"/>
        </w:rPr>
        <w:footnoteRef/>
      </w:r>
      <w:r>
        <w:t xml:space="preserve"> </w:t>
      </w:r>
      <w:r>
        <w:rPr>
          <w:i/>
          <w:iCs/>
        </w:rPr>
        <w:t xml:space="preserve">Human Rights Act 2019 </w:t>
      </w:r>
      <w:r>
        <w:t>(Qld) s 28.</w:t>
      </w:r>
    </w:p>
  </w:footnote>
  <w:footnote w:id="48">
    <w:p w14:paraId="32D003CD" w14:textId="71240D45" w:rsidR="00326F3A" w:rsidRPr="00B464A0" w:rsidRDefault="00326F3A" w:rsidP="00326F3A">
      <w:pPr>
        <w:pStyle w:val="FootnoteText"/>
        <w:rPr>
          <w:lang w:val="en-US"/>
        </w:rPr>
      </w:pPr>
      <w:r>
        <w:rPr>
          <w:rStyle w:val="FootnoteReference"/>
        </w:rPr>
        <w:footnoteRef/>
      </w:r>
      <w:r>
        <w:t xml:space="preserve"> </w:t>
      </w:r>
      <w:r w:rsidR="00BA2503">
        <w:rPr>
          <w:i/>
          <w:iCs/>
        </w:rPr>
        <w:t xml:space="preserve">Human Rights Act 2019 </w:t>
      </w:r>
      <w:r w:rsidR="00BA2503">
        <w:t xml:space="preserve">(Qld) </w:t>
      </w:r>
      <w:r w:rsidR="00BA2503">
        <w:rPr>
          <w:rFonts w:eastAsia="Calibri" w:cs="Arial"/>
        </w:rPr>
        <w:t>s</w:t>
      </w:r>
      <w:r w:rsidR="00BA2503" w:rsidRPr="00326F3A">
        <w:rPr>
          <w:rFonts w:eastAsia="Calibri" w:cs="Arial"/>
        </w:rPr>
        <w:t xml:space="preserve"> 28(2)(d)</w:t>
      </w:r>
      <w:r w:rsidR="00BA2503">
        <w:rPr>
          <w:rFonts w:eastAsia="Calibri" w:cs="Arial"/>
        </w:rPr>
        <w:t>.</w:t>
      </w:r>
      <w:r>
        <w:rPr>
          <w:rFonts w:eastAsia="Calibri" w:cs="Arial"/>
        </w:rPr>
        <w:t xml:space="preserve"> </w:t>
      </w:r>
      <w:r>
        <w:rPr>
          <w:lang w:val="en-US"/>
        </w:rPr>
        <w:t>See discussion of this issue in</w:t>
      </w:r>
      <w:r w:rsidR="00A24800">
        <w:rPr>
          <w:lang w:val="en-US"/>
        </w:rPr>
        <w:t xml:space="preserve"> Queensland Human Rights Commission, </w:t>
      </w:r>
      <w:r>
        <w:rPr>
          <w:i/>
          <w:iCs/>
          <w:lang w:val="en-US"/>
        </w:rPr>
        <w:t xml:space="preserve">Putting people first: </w:t>
      </w:r>
      <w:r w:rsidRPr="00131A6C">
        <w:rPr>
          <w:i/>
          <w:lang w:val="en-US"/>
        </w:rPr>
        <w:t>the first annual report on the operation of Queensland’s Human Rights Act</w:t>
      </w:r>
      <w:r>
        <w:rPr>
          <w:lang w:val="en-US"/>
        </w:rPr>
        <w:t xml:space="preserve"> </w:t>
      </w:r>
      <w:r w:rsidR="00A356F2">
        <w:rPr>
          <w:lang w:val="en-US"/>
        </w:rPr>
        <w:t>(</w:t>
      </w:r>
      <w:r w:rsidR="00BA7DD0">
        <w:rPr>
          <w:lang w:val="en-US"/>
        </w:rPr>
        <w:t xml:space="preserve">Report, </w:t>
      </w:r>
      <w:r>
        <w:rPr>
          <w:lang w:val="en-US"/>
        </w:rPr>
        <w:t>2019-20</w:t>
      </w:r>
      <w:r w:rsidR="00BA7DD0">
        <w:rPr>
          <w:lang w:val="en-US"/>
        </w:rPr>
        <w:t>)</w:t>
      </w:r>
      <w:r>
        <w:rPr>
          <w:lang w:val="en-US"/>
        </w:rPr>
        <w:t xml:space="preserve"> 37-38. </w:t>
      </w:r>
    </w:p>
  </w:footnote>
  <w:footnote w:id="49">
    <w:p w14:paraId="219BE64C" w14:textId="650BE15F" w:rsidR="00D26BDD" w:rsidRPr="00D26BDD" w:rsidRDefault="00D26BDD">
      <w:pPr>
        <w:pStyle w:val="FootnoteText"/>
      </w:pPr>
      <w:r>
        <w:rPr>
          <w:rStyle w:val="FootnoteReference"/>
        </w:rPr>
        <w:footnoteRef/>
      </w:r>
      <w:r>
        <w:t xml:space="preserve"> </w:t>
      </w:r>
      <w:r>
        <w:rPr>
          <w:i/>
          <w:iCs/>
        </w:rPr>
        <w:t xml:space="preserve">Human Rights Act 2019 </w:t>
      </w:r>
      <w:r>
        <w:t xml:space="preserve">(Qld) </w:t>
      </w:r>
      <w:r w:rsidRPr="00E73D25">
        <w:rPr>
          <w:rFonts w:eastAsia="Calibri" w:cs="Arial"/>
        </w:rPr>
        <w:t>s 15(5)</w:t>
      </w:r>
      <w:r>
        <w:rPr>
          <w:rFonts w:eastAsia="Calibri" w:cs="Arial"/>
        </w:rPr>
        <w:t>.</w:t>
      </w:r>
    </w:p>
  </w:footnote>
  <w:footnote w:id="50">
    <w:p w14:paraId="195B182F" w14:textId="29555391" w:rsidR="005E6403" w:rsidRPr="005E6403" w:rsidRDefault="005E6403">
      <w:pPr>
        <w:pStyle w:val="FootnoteText"/>
      </w:pPr>
      <w:r>
        <w:rPr>
          <w:rStyle w:val="FootnoteReference"/>
        </w:rPr>
        <w:footnoteRef/>
      </w:r>
      <w:r>
        <w:t xml:space="preserve"> </w:t>
      </w:r>
      <w:r>
        <w:rPr>
          <w:i/>
          <w:iCs/>
        </w:rPr>
        <w:t xml:space="preserve">Human Rights Act 2019 </w:t>
      </w:r>
      <w:r>
        <w:t>(Qld) s 28.</w:t>
      </w:r>
    </w:p>
  </w:footnote>
  <w:footnote w:id="51">
    <w:p w14:paraId="55500582" w14:textId="654E0ADA" w:rsidR="00E73D25" w:rsidRPr="00D27E4E" w:rsidRDefault="00E73D25" w:rsidP="00E73D25">
      <w:pPr>
        <w:pStyle w:val="FootnoteText"/>
        <w:rPr>
          <w:lang w:val="en-US"/>
        </w:rPr>
      </w:pPr>
      <w:r>
        <w:rPr>
          <w:rStyle w:val="FootnoteReference"/>
        </w:rPr>
        <w:footnoteRef/>
      </w:r>
      <w:r>
        <w:t xml:space="preserve"> </w:t>
      </w:r>
      <w:r>
        <w:rPr>
          <w:lang w:val="en-US"/>
        </w:rPr>
        <w:t>See discussion of this issue in</w:t>
      </w:r>
      <w:r w:rsidR="00A16553">
        <w:rPr>
          <w:lang w:val="en-US"/>
        </w:rPr>
        <w:t xml:space="preserve"> Queensland Human Right</w:t>
      </w:r>
      <w:r w:rsidR="00C57B35">
        <w:rPr>
          <w:lang w:val="en-US"/>
        </w:rPr>
        <w:t>s Commission</w:t>
      </w:r>
      <w:r w:rsidR="000269A4">
        <w:rPr>
          <w:lang w:val="en-US"/>
        </w:rPr>
        <w:t xml:space="preserve">, </w:t>
      </w:r>
      <w:r>
        <w:rPr>
          <w:i/>
          <w:iCs/>
          <w:lang w:val="en-US"/>
        </w:rPr>
        <w:t xml:space="preserve">Shifting </w:t>
      </w:r>
      <w:r w:rsidRPr="00251542">
        <w:rPr>
          <w:i/>
          <w:iCs/>
          <w:lang w:val="en-US"/>
        </w:rPr>
        <w:t xml:space="preserve">the focus: </w:t>
      </w:r>
      <w:r w:rsidR="00994B00">
        <w:rPr>
          <w:i/>
          <w:iCs/>
          <w:lang w:val="en-US"/>
        </w:rPr>
        <w:t xml:space="preserve">The </w:t>
      </w:r>
      <w:r w:rsidR="002E7B94">
        <w:rPr>
          <w:i/>
          <w:iCs/>
          <w:lang w:val="en-US"/>
        </w:rPr>
        <w:t xml:space="preserve">third annual </w:t>
      </w:r>
      <w:r w:rsidR="005C630A">
        <w:rPr>
          <w:i/>
          <w:iCs/>
          <w:lang w:val="en-US"/>
        </w:rPr>
        <w:t>report on the operation of Queensland’s Human Rights Act 2019</w:t>
      </w:r>
      <w:r w:rsidR="00877C8F">
        <w:rPr>
          <w:i/>
          <w:iCs/>
          <w:lang w:val="en-US"/>
        </w:rPr>
        <w:t xml:space="preserve"> </w:t>
      </w:r>
      <w:r w:rsidR="00FF3A89">
        <w:rPr>
          <w:lang w:val="en-US"/>
        </w:rPr>
        <w:t>(</w:t>
      </w:r>
      <w:r w:rsidR="00BB75C3">
        <w:rPr>
          <w:lang w:val="en-US"/>
        </w:rPr>
        <w:t>Report</w:t>
      </w:r>
      <w:r w:rsidR="000D194A">
        <w:rPr>
          <w:lang w:val="en-US"/>
        </w:rPr>
        <w:t xml:space="preserve"> </w:t>
      </w:r>
      <w:r w:rsidRPr="00251542">
        <w:rPr>
          <w:lang w:val="en-US"/>
        </w:rPr>
        <w:t>2021-22</w:t>
      </w:r>
      <w:r w:rsidR="00CA771F">
        <w:rPr>
          <w:lang w:val="en-US"/>
        </w:rPr>
        <w:t>)</w:t>
      </w:r>
      <w:r>
        <w:rPr>
          <w:lang w:val="en-US"/>
        </w:rPr>
        <w:t xml:space="preserve"> 41</w:t>
      </w:r>
      <w:r w:rsidRPr="00251542">
        <w:rPr>
          <w:lang w:val="en-US"/>
        </w:rPr>
        <w:t>.</w:t>
      </w:r>
    </w:p>
  </w:footnote>
  <w:footnote w:id="52">
    <w:p w14:paraId="2E555722" w14:textId="3C293BF3" w:rsidR="00376632" w:rsidRDefault="00376632">
      <w:pPr>
        <w:pStyle w:val="FootnoteText"/>
      </w:pPr>
      <w:r>
        <w:rPr>
          <w:rStyle w:val="FootnoteReference"/>
        </w:rPr>
        <w:footnoteRef/>
      </w:r>
      <w:r>
        <w:t xml:space="preserve"> See for example,</w:t>
      </w:r>
      <w:r w:rsidR="006A583D">
        <w:t xml:space="preserve"> State Development and Regional Industries Committee</w:t>
      </w:r>
      <w:r w:rsidR="003F3850">
        <w:t>, Queensland Parliament</w:t>
      </w:r>
      <w:r w:rsidR="003F3850" w:rsidRPr="00714C87">
        <w:rPr>
          <w:i/>
        </w:rPr>
        <w:t>,</w:t>
      </w:r>
      <w:r w:rsidRPr="00714C87">
        <w:rPr>
          <w:i/>
        </w:rPr>
        <w:t xml:space="preserve"> </w:t>
      </w:r>
      <w:r w:rsidR="00394A59" w:rsidRPr="00714C87">
        <w:rPr>
          <w:i/>
        </w:rPr>
        <w:t xml:space="preserve">Local Government Electoral </w:t>
      </w:r>
      <w:r w:rsidR="007B1459" w:rsidRPr="00714C87">
        <w:rPr>
          <w:i/>
        </w:rPr>
        <w:t>and Other Legislation (</w:t>
      </w:r>
      <w:r w:rsidR="00345F61" w:rsidRPr="00714C87">
        <w:rPr>
          <w:i/>
        </w:rPr>
        <w:t>Expenditure Caps) Amendment Bill 2022</w:t>
      </w:r>
      <w:r w:rsidR="00C85528">
        <w:t xml:space="preserve"> (Report No. 37, February 2023) </w:t>
      </w:r>
      <w:r>
        <w:t>2</w:t>
      </w:r>
      <w:r w:rsidR="00F52AC8">
        <w:t>5</w:t>
      </w:r>
      <w:r w:rsidR="000C6291">
        <w:t>.</w:t>
      </w:r>
      <w:r>
        <w:t xml:space="preserve"> </w:t>
      </w:r>
    </w:p>
  </w:footnote>
  <w:footnote w:id="53">
    <w:p w14:paraId="49A9B2F7" w14:textId="745A02C5" w:rsidR="009F4EA5" w:rsidRPr="00D032B6" w:rsidRDefault="009F4EA5" w:rsidP="009F4EA5">
      <w:pPr>
        <w:pStyle w:val="FootnoteText"/>
        <w:rPr>
          <w:lang w:val="en-US"/>
        </w:rPr>
      </w:pPr>
      <w:r>
        <w:rPr>
          <w:rStyle w:val="FootnoteReference"/>
        </w:rPr>
        <w:footnoteRef/>
      </w:r>
      <w:r>
        <w:t xml:space="preserve"> </w:t>
      </w:r>
      <w:r>
        <w:rPr>
          <w:lang w:val="en-US"/>
        </w:rPr>
        <w:t>See</w:t>
      </w:r>
      <w:r w:rsidR="00064FD0">
        <w:rPr>
          <w:lang w:val="en-US"/>
        </w:rPr>
        <w:t xml:space="preserve"> </w:t>
      </w:r>
      <w:r w:rsidR="00ED6209">
        <w:rPr>
          <w:lang w:val="en-US"/>
        </w:rPr>
        <w:t xml:space="preserve">Community </w:t>
      </w:r>
      <w:r w:rsidR="003F3641">
        <w:rPr>
          <w:lang w:val="en-US"/>
        </w:rPr>
        <w:t>Support and Services Committee, Queensland Parliament</w:t>
      </w:r>
      <w:r w:rsidR="006C5906">
        <w:rPr>
          <w:lang w:val="en-US"/>
        </w:rPr>
        <w:t xml:space="preserve">, </w:t>
      </w:r>
      <w:r w:rsidR="00064FD0" w:rsidRPr="00714C87">
        <w:rPr>
          <w:i/>
          <w:lang w:val="en-US"/>
        </w:rPr>
        <w:t>Path to Treaty Bill 2023</w:t>
      </w:r>
      <w:r w:rsidR="00064FD0">
        <w:rPr>
          <w:lang w:val="en-US"/>
        </w:rPr>
        <w:t xml:space="preserve"> </w:t>
      </w:r>
      <w:r w:rsidR="00FE38EB">
        <w:rPr>
          <w:lang w:val="en-US"/>
        </w:rPr>
        <w:t>(Report No.</w:t>
      </w:r>
      <w:r w:rsidR="00D725CB">
        <w:rPr>
          <w:lang w:val="en-US"/>
        </w:rPr>
        <w:t xml:space="preserve"> 30, April 2023) 42. </w:t>
      </w:r>
    </w:p>
  </w:footnote>
  <w:footnote w:id="54">
    <w:p w14:paraId="0E43991B" w14:textId="77777777" w:rsidR="009F4EA5" w:rsidRPr="003D61E3" w:rsidRDefault="009F4EA5" w:rsidP="009F4EA5">
      <w:pPr>
        <w:pStyle w:val="FootnoteText"/>
        <w:rPr>
          <w:lang w:val="en-US"/>
        </w:rPr>
      </w:pPr>
      <w:r>
        <w:rPr>
          <w:rStyle w:val="FootnoteReference"/>
        </w:rPr>
        <w:footnoteRef/>
      </w:r>
      <w:r>
        <w:t xml:space="preserve"> See </w:t>
      </w:r>
      <w:r w:rsidRPr="003D61E3">
        <w:t>Integrity and Other Legislation Amendment Bill 2022</w:t>
      </w:r>
      <w:r>
        <w:t xml:space="preserve">; </w:t>
      </w:r>
      <w:r w:rsidRPr="0080612A">
        <w:t>Domestic and Family Violence Protection (Combating Coercive Control) and Other Legislation Amendment Bill 2022</w:t>
      </w:r>
      <w:r>
        <w:t xml:space="preserve">; </w:t>
      </w:r>
      <w:r w:rsidRPr="0080612A">
        <w:t>Local Government Electoral and Other Legislation (Expenditure Caps) Amendment Bill 2022</w:t>
      </w:r>
      <w:r>
        <w:t xml:space="preserve">. </w:t>
      </w:r>
    </w:p>
  </w:footnote>
  <w:footnote w:id="55">
    <w:p w14:paraId="3222CF45" w14:textId="298FBC5F" w:rsidR="00633690" w:rsidRPr="0095278D" w:rsidRDefault="00633690">
      <w:pPr>
        <w:pStyle w:val="FootnoteText"/>
        <w:rPr>
          <w:highlight w:val="yellow"/>
        </w:rPr>
      </w:pPr>
      <w:r>
        <w:rPr>
          <w:rStyle w:val="FootnoteReference"/>
        </w:rPr>
        <w:footnoteRef/>
      </w:r>
      <w:r>
        <w:t xml:space="preserve"> </w:t>
      </w:r>
      <w:r w:rsidR="008A5075">
        <w:rPr>
          <w:highlight w:val="yellow"/>
        </w:rPr>
        <w:fldChar w:fldCharType="begin"/>
      </w:r>
      <w:r w:rsidR="008A5075">
        <w:rPr>
          <w:highlight w:val="yellow"/>
        </w:rPr>
        <w:instrText xml:space="preserve"> ADDIN ZOTERO_ITEM CSL_CITATION {"citationID":"GpEfIGFX","properties":{"formattedCitation":"{\\i{}Human Rights Act} {\\i{}2019} (Qld) s 23.","plainCitation":"Human Rights Act 2019 (Qld) s 23.","noteIndex":54},"citationItems":[{"id":262,"uris":["http://zotero.org/groups/5218944/items/BIQH7TEY"],"itemData":{"id":262,"type":"legislation","container-title":"Qld","section":"1","title":"Human Rights Act","URL":"https://www.austlii.edu.au/cgi-bin/viewdoc/au/legis/qld/consol_act/hra2019148/xx1.html?context=1;query=human%20rights%20act%202019;mask_path=","accessed":{"date-parts":[["2023",10,5]]},"issued":{"date-parts":[["2019"]]}},"locator":"s 23","label":"page"}],"schema":"https://github.com/citation-style-language/schema/raw/master/csl-citation.json"} </w:instrText>
      </w:r>
      <w:r w:rsidR="008A5075">
        <w:rPr>
          <w:highlight w:val="yellow"/>
        </w:rPr>
        <w:fldChar w:fldCharType="separate"/>
      </w:r>
      <w:r w:rsidR="008A5075" w:rsidRPr="008A5075">
        <w:rPr>
          <w:rFonts w:cs="Arial"/>
          <w:i/>
          <w:iCs/>
          <w:szCs w:val="24"/>
        </w:rPr>
        <w:t>Human Rights Act</w:t>
      </w:r>
      <w:r w:rsidR="008A5075" w:rsidRPr="008A5075">
        <w:rPr>
          <w:rFonts w:cs="Arial"/>
          <w:szCs w:val="24"/>
        </w:rPr>
        <w:t xml:space="preserve"> </w:t>
      </w:r>
      <w:r w:rsidR="008A5075" w:rsidRPr="008A5075">
        <w:rPr>
          <w:rFonts w:cs="Arial"/>
          <w:i/>
          <w:iCs/>
          <w:szCs w:val="24"/>
        </w:rPr>
        <w:t>2019</w:t>
      </w:r>
      <w:r w:rsidR="008A5075" w:rsidRPr="008A5075">
        <w:rPr>
          <w:rFonts w:cs="Arial"/>
          <w:szCs w:val="24"/>
        </w:rPr>
        <w:t xml:space="preserve"> (Qld) s 23.</w:t>
      </w:r>
      <w:r w:rsidR="008A5075">
        <w:rPr>
          <w:highlight w:val="yellow"/>
        </w:rPr>
        <w:fldChar w:fldCharType="end"/>
      </w:r>
    </w:p>
  </w:footnote>
  <w:footnote w:id="56">
    <w:p w14:paraId="387E70E1" w14:textId="68011817" w:rsidR="00633690" w:rsidRPr="00265D01" w:rsidRDefault="00633690">
      <w:pPr>
        <w:pStyle w:val="FootnoteText"/>
      </w:pPr>
      <w:r w:rsidRPr="00265D01">
        <w:rPr>
          <w:rStyle w:val="FootnoteReference"/>
        </w:rPr>
        <w:footnoteRef/>
      </w:r>
      <w:r w:rsidRPr="00265D01">
        <w:t xml:space="preserve"> </w:t>
      </w:r>
      <w:r w:rsidR="00265D01">
        <w:fldChar w:fldCharType="begin"/>
      </w:r>
      <w:r w:rsidR="00C27040">
        <w:instrText xml:space="preserve"> ADDIN ZOTERO_ITEM CSL_CITATION {"citationID":"Nd6Pmch5","properties":{"formattedCitation":"Ibid s 24.","plainCitation":"Ibid s 24.","noteIndex":55},"citationItems":[{"id":262,"uris":["http://zotero.org/groups/5218944/items/BIQH7TEY"],"itemData":{"id":262,"type":"legislation","container-title":"Qld","section":"1","title":"Human Rights Act","URL":"https://www.austlii.edu.au/cgi-bin/viewdoc/au/legis/qld/consol_act/hra2019148/xx1.html?context=1;query=human%20rights%20act%202019;mask_path=","accessed":{"date-parts":[["2023",10,5]]},"issued":{"date-parts":[["2019"]]}},"locator":"s 24","label":"page"}],"schema":"https://github.com/citation-style-language/schema/raw/master/csl-citation.json"} </w:instrText>
      </w:r>
      <w:r w:rsidR="00265D01">
        <w:fldChar w:fldCharType="separate"/>
      </w:r>
      <w:r w:rsidR="00C3182B" w:rsidRPr="00C3182B">
        <w:rPr>
          <w:rFonts w:cs="Arial"/>
          <w:i/>
          <w:iCs/>
          <w:szCs w:val="24"/>
        </w:rPr>
        <w:t xml:space="preserve"> </w:t>
      </w:r>
      <w:r w:rsidR="00C3182B" w:rsidRPr="008A5075">
        <w:rPr>
          <w:rFonts w:cs="Arial"/>
          <w:i/>
          <w:iCs/>
          <w:szCs w:val="24"/>
        </w:rPr>
        <w:t>Human Rights Act</w:t>
      </w:r>
      <w:r w:rsidR="00C3182B" w:rsidRPr="008A5075">
        <w:rPr>
          <w:rFonts w:cs="Arial"/>
          <w:szCs w:val="24"/>
        </w:rPr>
        <w:t xml:space="preserve"> </w:t>
      </w:r>
      <w:r w:rsidR="00C3182B" w:rsidRPr="008A5075">
        <w:rPr>
          <w:rFonts w:cs="Arial"/>
          <w:i/>
          <w:iCs/>
          <w:szCs w:val="24"/>
        </w:rPr>
        <w:t>2019</w:t>
      </w:r>
      <w:r w:rsidR="00C3182B" w:rsidRPr="008A5075">
        <w:rPr>
          <w:rFonts w:cs="Arial"/>
          <w:szCs w:val="24"/>
        </w:rPr>
        <w:t xml:space="preserve"> (Qld)</w:t>
      </w:r>
      <w:r w:rsidR="00C27040" w:rsidRPr="00C27040">
        <w:rPr>
          <w:rFonts w:cs="Arial"/>
        </w:rPr>
        <w:t xml:space="preserve"> s 24.</w:t>
      </w:r>
      <w:r w:rsidR="00265D01">
        <w:fldChar w:fldCharType="end"/>
      </w:r>
    </w:p>
  </w:footnote>
  <w:footnote w:id="57">
    <w:p w14:paraId="08C36438" w14:textId="0D060F83" w:rsidR="00633690" w:rsidRDefault="00633690">
      <w:pPr>
        <w:pStyle w:val="FootnoteText"/>
      </w:pPr>
      <w:r w:rsidRPr="00265D01">
        <w:rPr>
          <w:rStyle w:val="FootnoteReference"/>
        </w:rPr>
        <w:footnoteRef/>
      </w:r>
      <w:r w:rsidRPr="00265D01">
        <w:t xml:space="preserve"> </w:t>
      </w:r>
      <w:r w:rsidR="009D40BC">
        <w:fldChar w:fldCharType="begin"/>
      </w:r>
      <w:r w:rsidR="009D40BC">
        <w:instrText xml:space="preserve"> ADDIN ZOTERO_ITEM CSL_CITATION {"citationID":"25OWFJJc","properties":{"formattedCitation":"Ibid s 31.","plainCitation":"Ibid s 31.","noteIndex":56},"citationItems":[{"id":262,"uris":["http://zotero.org/groups/5218944/items/BIQH7TEY"],"itemData":{"id":262,"type":"legislation","container-title":"Qld","section":"1","title":"Human Rights Act","URL":"https://www.austlii.edu.au/cgi-bin/viewdoc/au/legis/qld/consol_act/hra2019148/xx1.html?context=1;query=human%20rights%20act%202019;mask_path=","accessed":{"date-parts":[["2023",10,5]]},"issued":{"date-parts":[["2019"]]}},"locator":"s 31","label":"page"}],"schema":"https://github.com/citation-style-language/schema/raw/master/csl-citation.json"} </w:instrText>
      </w:r>
      <w:r w:rsidR="009D40BC">
        <w:fldChar w:fldCharType="separate"/>
      </w:r>
      <w:r w:rsidR="00D35BF2" w:rsidRPr="00D35BF2">
        <w:rPr>
          <w:rFonts w:cs="Arial"/>
          <w:i/>
          <w:iCs/>
          <w:szCs w:val="24"/>
        </w:rPr>
        <w:t xml:space="preserve"> </w:t>
      </w:r>
      <w:r w:rsidR="00D35BF2" w:rsidRPr="008A5075">
        <w:rPr>
          <w:rFonts w:cs="Arial"/>
          <w:i/>
          <w:iCs/>
          <w:szCs w:val="24"/>
        </w:rPr>
        <w:t>Human Rights Act</w:t>
      </w:r>
      <w:r w:rsidR="00D35BF2" w:rsidRPr="008A5075">
        <w:rPr>
          <w:rFonts w:cs="Arial"/>
          <w:szCs w:val="24"/>
        </w:rPr>
        <w:t xml:space="preserve"> </w:t>
      </w:r>
      <w:r w:rsidR="00D35BF2" w:rsidRPr="008A5075">
        <w:rPr>
          <w:rFonts w:cs="Arial"/>
          <w:i/>
          <w:iCs/>
          <w:szCs w:val="24"/>
        </w:rPr>
        <w:t>2019</w:t>
      </w:r>
      <w:r w:rsidR="00D35BF2" w:rsidRPr="008A5075">
        <w:rPr>
          <w:rFonts w:cs="Arial"/>
          <w:szCs w:val="24"/>
        </w:rPr>
        <w:t xml:space="preserve"> (Qld)</w:t>
      </w:r>
      <w:r w:rsidR="009D40BC" w:rsidRPr="009D40BC">
        <w:rPr>
          <w:rFonts w:cs="Arial"/>
        </w:rPr>
        <w:t xml:space="preserve"> s 31.</w:t>
      </w:r>
      <w:r w:rsidR="009D40BC">
        <w:fldChar w:fldCharType="end"/>
      </w:r>
    </w:p>
  </w:footnote>
  <w:footnote w:id="58">
    <w:p w14:paraId="7F6A2B4C" w14:textId="3C8DD04F" w:rsidR="00633690" w:rsidRPr="003B1D24" w:rsidRDefault="00633690">
      <w:pPr>
        <w:pStyle w:val="FootnoteText"/>
      </w:pPr>
      <w:r w:rsidRPr="003B1D24">
        <w:rPr>
          <w:rStyle w:val="FootnoteReference"/>
        </w:rPr>
        <w:footnoteRef/>
      </w:r>
      <w:r w:rsidRPr="003B1D24">
        <w:t xml:space="preserve"> </w:t>
      </w:r>
      <w:r w:rsidR="00D85596" w:rsidRPr="003B1D24">
        <w:rPr>
          <w:color w:val="2B579A"/>
          <w:shd w:val="clear" w:color="auto" w:fill="E6E6E6"/>
        </w:rPr>
        <w:fldChar w:fldCharType="begin"/>
      </w:r>
      <w:r w:rsidR="009D40BC">
        <w:instrText xml:space="preserve"> ADDIN ZOTERO_ITEM CSL_CITATION {"citationID":"6VUxJzQt","properties":{"formattedCitation":"Ibid s 16.","plainCitation":"Ibid s 16.","noteIndex":57},"citationItems":[{"id":262,"uris":["http://zotero.org/groups/5218944/items/BIQH7TEY"],"itemData":{"id":262,"type":"legislation","container-title":"Qld","section":"1","title":"Human Rights Act","URL":"https://www.austlii.edu.au/cgi-bin/viewdoc/au/legis/qld/consol_act/hra2019148/xx1.html?context=1;query=human%20rights%20act%202019;mask_path=","accessed":{"date-parts":[["2023",10,5]]},"issued":{"date-parts":[["2019"]]}},"locator":"s 16","label":"section"}],"schema":"https://github.com/citation-style-language/schema/raw/master/csl-citation.json"} </w:instrText>
      </w:r>
      <w:r w:rsidR="00D85596" w:rsidRPr="003B1D24">
        <w:rPr>
          <w:color w:val="2B579A"/>
          <w:shd w:val="clear" w:color="auto" w:fill="E6E6E6"/>
        </w:rPr>
        <w:fldChar w:fldCharType="separate"/>
      </w:r>
      <w:r w:rsidR="00D35BF2" w:rsidRPr="00D35BF2">
        <w:rPr>
          <w:rFonts w:cs="Arial"/>
          <w:i/>
          <w:iCs/>
          <w:szCs w:val="24"/>
        </w:rPr>
        <w:t xml:space="preserve"> </w:t>
      </w:r>
      <w:r w:rsidR="00D35BF2" w:rsidRPr="008A5075">
        <w:rPr>
          <w:rFonts w:cs="Arial"/>
          <w:i/>
          <w:iCs/>
          <w:szCs w:val="24"/>
        </w:rPr>
        <w:t>Human Rights Act</w:t>
      </w:r>
      <w:r w:rsidR="00D35BF2" w:rsidRPr="008A5075">
        <w:rPr>
          <w:rFonts w:cs="Arial"/>
          <w:szCs w:val="24"/>
        </w:rPr>
        <w:t xml:space="preserve"> </w:t>
      </w:r>
      <w:r w:rsidR="00D35BF2" w:rsidRPr="008A5075">
        <w:rPr>
          <w:rFonts w:cs="Arial"/>
          <w:i/>
          <w:iCs/>
          <w:szCs w:val="24"/>
        </w:rPr>
        <w:t>2019</w:t>
      </w:r>
      <w:r w:rsidR="00D35BF2" w:rsidRPr="008A5075">
        <w:rPr>
          <w:rFonts w:cs="Arial"/>
          <w:szCs w:val="24"/>
        </w:rPr>
        <w:t xml:space="preserve"> (Qld)</w:t>
      </w:r>
      <w:r w:rsidR="009D40BC" w:rsidRPr="009D40BC">
        <w:rPr>
          <w:rFonts w:cs="Arial"/>
        </w:rPr>
        <w:t xml:space="preserve"> s 16.</w:t>
      </w:r>
      <w:r w:rsidR="00D85596" w:rsidRPr="003B1D24">
        <w:rPr>
          <w:color w:val="2B579A"/>
          <w:shd w:val="clear" w:color="auto" w:fill="E6E6E6"/>
        </w:rPr>
        <w:fldChar w:fldCharType="end"/>
      </w:r>
    </w:p>
  </w:footnote>
  <w:footnote w:id="59">
    <w:p w14:paraId="4A7ABD12" w14:textId="277D37A0" w:rsidR="00633690" w:rsidRPr="003B1D24" w:rsidRDefault="00633690">
      <w:pPr>
        <w:pStyle w:val="FootnoteText"/>
      </w:pPr>
      <w:r w:rsidRPr="003B1D24">
        <w:rPr>
          <w:rStyle w:val="FootnoteReference"/>
        </w:rPr>
        <w:footnoteRef/>
      </w:r>
      <w:r w:rsidRPr="003B1D24">
        <w:t xml:space="preserve"> </w:t>
      </w:r>
      <w:r w:rsidR="007B0A83" w:rsidRPr="003B1D24">
        <w:rPr>
          <w:color w:val="2B579A"/>
          <w:shd w:val="clear" w:color="auto" w:fill="E6E6E6"/>
        </w:rPr>
        <w:fldChar w:fldCharType="begin"/>
      </w:r>
      <w:r w:rsidR="008A5075">
        <w:instrText xml:space="preserve"> ADDIN ZOTERO_ITEM CSL_CITATION {"citationID":"binOEb2l","properties":{"formattedCitation":"Ibid s 26.","plainCitation":"Ibid s 26.","noteIndex":58},"citationItems":[{"id":262,"uris":["http://zotero.org/groups/5218944/items/BIQH7TEY"],"itemData":{"id":262,"type":"legislation","container-title":"Qld","section":"1","title":"Human Rights Act","URL":"https://www.austlii.edu.au/cgi-bin/viewdoc/au/legis/qld/consol_act/hra2019148/xx1.html?context=1;query=human%20rights%20act%202019;mask_path=","accessed":{"date-parts":[["2023",10,5]]},"issued":{"date-parts":[["2019"]]}},"locator":"s 26","label":"page"}],"schema":"https://github.com/citation-style-language/schema/raw/master/csl-citation.json"} </w:instrText>
      </w:r>
      <w:r w:rsidR="007B0A83" w:rsidRPr="003B1D24">
        <w:rPr>
          <w:color w:val="2B579A"/>
          <w:shd w:val="clear" w:color="auto" w:fill="E6E6E6"/>
        </w:rPr>
        <w:fldChar w:fldCharType="separate"/>
      </w:r>
      <w:r w:rsidR="00D35BF2" w:rsidRPr="00D35BF2">
        <w:rPr>
          <w:rFonts w:cs="Arial"/>
          <w:i/>
          <w:iCs/>
          <w:szCs w:val="24"/>
        </w:rPr>
        <w:t xml:space="preserve"> </w:t>
      </w:r>
      <w:r w:rsidR="00D35BF2" w:rsidRPr="008A5075">
        <w:rPr>
          <w:rFonts w:cs="Arial"/>
          <w:i/>
          <w:iCs/>
          <w:szCs w:val="24"/>
        </w:rPr>
        <w:t>Human Rights Act</w:t>
      </w:r>
      <w:r w:rsidR="00D35BF2" w:rsidRPr="008A5075">
        <w:rPr>
          <w:rFonts w:cs="Arial"/>
          <w:szCs w:val="24"/>
        </w:rPr>
        <w:t xml:space="preserve"> </w:t>
      </w:r>
      <w:r w:rsidR="00D35BF2" w:rsidRPr="008A5075">
        <w:rPr>
          <w:rFonts w:cs="Arial"/>
          <w:i/>
          <w:iCs/>
          <w:szCs w:val="24"/>
        </w:rPr>
        <w:t>2019</w:t>
      </w:r>
      <w:r w:rsidR="00D35BF2" w:rsidRPr="008A5075">
        <w:rPr>
          <w:rFonts w:cs="Arial"/>
          <w:szCs w:val="24"/>
        </w:rPr>
        <w:t xml:space="preserve"> (Qld)</w:t>
      </w:r>
      <w:r w:rsidR="005F63F7" w:rsidRPr="005F63F7">
        <w:rPr>
          <w:rFonts w:cs="Arial"/>
        </w:rPr>
        <w:t xml:space="preserve"> s 26.</w:t>
      </w:r>
      <w:r w:rsidR="007B0A83" w:rsidRPr="003B1D24">
        <w:rPr>
          <w:color w:val="2B579A"/>
          <w:shd w:val="clear" w:color="auto" w:fill="E6E6E6"/>
        </w:rPr>
        <w:fldChar w:fldCharType="end"/>
      </w:r>
    </w:p>
  </w:footnote>
  <w:footnote w:id="60">
    <w:p w14:paraId="11839F09" w14:textId="09CBAF33" w:rsidR="00633690" w:rsidRPr="003B1D24" w:rsidRDefault="00633690">
      <w:pPr>
        <w:pStyle w:val="FootnoteText"/>
      </w:pPr>
      <w:r w:rsidRPr="003B1D24">
        <w:rPr>
          <w:rStyle w:val="FootnoteReference"/>
        </w:rPr>
        <w:footnoteRef/>
      </w:r>
      <w:r w:rsidRPr="003B1D24">
        <w:t xml:space="preserve"> </w:t>
      </w:r>
      <w:r w:rsidR="008E737A" w:rsidRPr="003B1D24">
        <w:rPr>
          <w:color w:val="2B579A"/>
          <w:shd w:val="clear" w:color="auto" w:fill="E6E6E6"/>
        </w:rPr>
        <w:fldChar w:fldCharType="begin"/>
      </w:r>
      <w:r w:rsidR="008A5075">
        <w:instrText xml:space="preserve"> ADDIN ZOTERO_ITEM CSL_CITATION {"citationID":"R7i8Z9Ga","properties":{"formattedCitation":"Ibid s 25.","plainCitation":"Ibid s 25.","noteIndex":59},"citationItems":[{"id":262,"uris":["http://zotero.org/groups/5218944/items/BIQH7TEY"],"itemData":{"id":262,"type":"legislation","container-title":"Qld","section":"1","title":"Human Rights Act","URL":"https://www.austlii.edu.au/cgi-bin/viewdoc/au/legis/qld/consol_act/hra2019148/xx1.html?context=1;query=human%20rights%20act%202019;mask_path=","accessed":{"date-parts":[["2023",10,5]]},"issued":{"date-parts":[["2019"]]}},"locator":"s 25","label":"section"}],"schema":"https://github.com/citation-style-language/schema/raw/master/csl-citation.json"} </w:instrText>
      </w:r>
      <w:r w:rsidR="008E737A" w:rsidRPr="003B1D24">
        <w:rPr>
          <w:color w:val="2B579A"/>
          <w:shd w:val="clear" w:color="auto" w:fill="E6E6E6"/>
        </w:rPr>
        <w:fldChar w:fldCharType="separate"/>
      </w:r>
      <w:r w:rsidR="00C54B4E" w:rsidRPr="00C54B4E">
        <w:rPr>
          <w:rFonts w:cs="Arial"/>
          <w:i/>
          <w:iCs/>
          <w:szCs w:val="24"/>
        </w:rPr>
        <w:t xml:space="preserve"> </w:t>
      </w:r>
      <w:r w:rsidR="00C54B4E" w:rsidRPr="008A5075">
        <w:rPr>
          <w:rFonts w:cs="Arial"/>
          <w:i/>
          <w:iCs/>
          <w:szCs w:val="24"/>
        </w:rPr>
        <w:t>Human Rights Act</w:t>
      </w:r>
      <w:r w:rsidR="00C54B4E" w:rsidRPr="008A5075">
        <w:rPr>
          <w:rFonts w:cs="Arial"/>
          <w:szCs w:val="24"/>
        </w:rPr>
        <w:t xml:space="preserve"> </w:t>
      </w:r>
      <w:r w:rsidR="00C54B4E" w:rsidRPr="008A5075">
        <w:rPr>
          <w:rFonts w:cs="Arial"/>
          <w:i/>
          <w:iCs/>
          <w:szCs w:val="24"/>
        </w:rPr>
        <w:t>2019</w:t>
      </w:r>
      <w:r w:rsidR="00C54B4E" w:rsidRPr="008A5075">
        <w:rPr>
          <w:rFonts w:cs="Arial"/>
          <w:szCs w:val="24"/>
        </w:rPr>
        <w:t xml:space="preserve"> (Qld)</w:t>
      </w:r>
      <w:r w:rsidR="005A0C27" w:rsidRPr="005A0C27">
        <w:rPr>
          <w:rFonts w:cs="Arial"/>
        </w:rPr>
        <w:t xml:space="preserve"> s 25.</w:t>
      </w:r>
      <w:r w:rsidR="008E737A" w:rsidRPr="003B1D24">
        <w:rPr>
          <w:color w:val="2B579A"/>
          <w:shd w:val="clear" w:color="auto" w:fill="E6E6E6"/>
        </w:rPr>
        <w:fldChar w:fldCharType="end"/>
      </w:r>
    </w:p>
  </w:footnote>
  <w:footnote w:id="61">
    <w:p w14:paraId="59E5E1E3" w14:textId="660CE23C" w:rsidR="00633690" w:rsidRPr="003B1D24" w:rsidRDefault="00633690">
      <w:pPr>
        <w:pStyle w:val="FootnoteText"/>
      </w:pPr>
      <w:r w:rsidRPr="003B1D24">
        <w:rPr>
          <w:rStyle w:val="FootnoteReference"/>
        </w:rPr>
        <w:footnoteRef/>
      </w:r>
      <w:r w:rsidRPr="003B1D24">
        <w:t xml:space="preserve"> </w:t>
      </w:r>
      <w:r w:rsidR="00DA53FC" w:rsidRPr="003B1D24">
        <w:rPr>
          <w:color w:val="2B579A"/>
          <w:shd w:val="clear" w:color="auto" w:fill="E6E6E6"/>
        </w:rPr>
        <w:fldChar w:fldCharType="begin"/>
      </w:r>
      <w:r w:rsidR="008A5075">
        <w:instrText xml:space="preserve"> ADDIN ZOTERO_ITEM CSL_CITATION {"citationID":"p2TA9NUi","properties":{"formattedCitation":"Ibid s 15.","plainCitation":"Ibid s 15.","noteIndex":60},"citationItems":[{"id":262,"uris":["http://zotero.org/groups/5218944/items/BIQH7TEY"],"itemData":{"id":262,"type":"legislation","container-title":"Qld","section":"1","title":"Human Rights Act","URL":"https://www.austlii.edu.au/cgi-bin/viewdoc/au/legis/qld/consol_act/hra2019148/xx1.html?context=1;query=human%20rights%20act%202019;mask_path=","accessed":{"date-parts":[["2023",10,5]]},"issued":{"date-parts":[["2019"]]}},"locator":"s 15","label":"section"}],"schema":"https://github.com/citation-style-language/schema/raw/master/csl-citation.json"} </w:instrText>
      </w:r>
      <w:r w:rsidR="00DA53FC" w:rsidRPr="003B1D24">
        <w:rPr>
          <w:color w:val="2B579A"/>
          <w:shd w:val="clear" w:color="auto" w:fill="E6E6E6"/>
        </w:rPr>
        <w:fldChar w:fldCharType="separate"/>
      </w:r>
      <w:r w:rsidR="00C54B4E" w:rsidRPr="00C54B4E">
        <w:rPr>
          <w:rFonts w:cs="Arial"/>
          <w:i/>
          <w:iCs/>
          <w:szCs w:val="24"/>
        </w:rPr>
        <w:t xml:space="preserve"> </w:t>
      </w:r>
      <w:r w:rsidR="00C54B4E" w:rsidRPr="008A5075">
        <w:rPr>
          <w:rFonts w:cs="Arial"/>
          <w:i/>
          <w:iCs/>
          <w:szCs w:val="24"/>
        </w:rPr>
        <w:t>Human Rights Act</w:t>
      </w:r>
      <w:r w:rsidR="00C54B4E" w:rsidRPr="008A5075">
        <w:rPr>
          <w:rFonts w:cs="Arial"/>
          <w:szCs w:val="24"/>
        </w:rPr>
        <w:t xml:space="preserve"> </w:t>
      </w:r>
      <w:r w:rsidR="00C54B4E" w:rsidRPr="008A5075">
        <w:rPr>
          <w:rFonts w:cs="Arial"/>
          <w:i/>
          <w:iCs/>
          <w:szCs w:val="24"/>
        </w:rPr>
        <w:t>2019</w:t>
      </w:r>
      <w:r w:rsidR="00C54B4E" w:rsidRPr="008A5075">
        <w:rPr>
          <w:rFonts w:cs="Arial"/>
          <w:szCs w:val="24"/>
        </w:rPr>
        <w:t xml:space="preserve"> (Qld)</w:t>
      </w:r>
      <w:r w:rsidR="00126298" w:rsidRPr="00126298">
        <w:rPr>
          <w:rFonts w:cs="Arial"/>
        </w:rPr>
        <w:t>s 15.</w:t>
      </w:r>
      <w:r w:rsidR="00DA53FC" w:rsidRPr="003B1D24">
        <w:rPr>
          <w:color w:val="2B579A"/>
          <w:shd w:val="clear" w:color="auto" w:fill="E6E6E6"/>
        </w:rPr>
        <w:fldChar w:fldCharType="end"/>
      </w:r>
    </w:p>
  </w:footnote>
  <w:footnote w:id="62">
    <w:p w14:paraId="168EC13E" w14:textId="1750062B" w:rsidR="00633690" w:rsidRDefault="00633690">
      <w:pPr>
        <w:pStyle w:val="FootnoteText"/>
      </w:pPr>
      <w:r w:rsidRPr="003B1D24">
        <w:rPr>
          <w:rStyle w:val="FootnoteReference"/>
        </w:rPr>
        <w:footnoteRef/>
      </w:r>
      <w:r w:rsidRPr="003B1D24">
        <w:t xml:space="preserve"> </w:t>
      </w:r>
      <w:r w:rsidR="004D20FC" w:rsidRPr="003B1D24">
        <w:rPr>
          <w:color w:val="2B579A"/>
          <w:shd w:val="clear" w:color="auto" w:fill="E6E6E6"/>
        </w:rPr>
        <w:fldChar w:fldCharType="begin"/>
      </w:r>
      <w:r w:rsidR="008A5075">
        <w:instrText xml:space="preserve"> ADDIN ZOTERO_ITEM CSL_CITATION {"citationID":"ziWE2MNp","properties":{"formattedCitation":"Ibid s 26.","plainCitation":"Ibid s 26.","noteIndex":61},"citationItems":[{"id":262,"uris":["http://zotero.org/groups/5218944/items/BIQH7TEY"],"itemData":{"id":262,"type":"legislation","container-title":"Qld","section":"1","title":"Human Rights Act","URL":"https://www.austlii.edu.au/cgi-bin/viewdoc/au/legis/qld/consol_act/hra2019148/xx1.html?context=1;query=human%20rights%20act%202019;mask_path=","accessed":{"date-parts":[["2023",10,5]]},"issued":{"date-parts":[["2019"]]}},"locator":"s 26","label":"section"}],"schema":"https://github.com/citation-style-language/schema/raw/master/csl-citation.json"} </w:instrText>
      </w:r>
      <w:r w:rsidR="004D20FC" w:rsidRPr="003B1D24">
        <w:rPr>
          <w:color w:val="2B579A"/>
          <w:shd w:val="clear" w:color="auto" w:fill="E6E6E6"/>
        </w:rPr>
        <w:fldChar w:fldCharType="separate"/>
      </w:r>
      <w:r w:rsidR="00C54B4E" w:rsidRPr="00C54B4E">
        <w:rPr>
          <w:rFonts w:cs="Arial"/>
          <w:i/>
          <w:iCs/>
          <w:szCs w:val="24"/>
        </w:rPr>
        <w:t xml:space="preserve"> </w:t>
      </w:r>
      <w:r w:rsidR="00C54B4E" w:rsidRPr="008A5075">
        <w:rPr>
          <w:rFonts w:cs="Arial"/>
          <w:i/>
          <w:iCs/>
          <w:szCs w:val="24"/>
        </w:rPr>
        <w:t>Human Rights Act</w:t>
      </w:r>
      <w:r w:rsidR="00C54B4E" w:rsidRPr="008A5075">
        <w:rPr>
          <w:rFonts w:cs="Arial"/>
          <w:szCs w:val="24"/>
        </w:rPr>
        <w:t xml:space="preserve"> </w:t>
      </w:r>
      <w:r w:rsidR="00C54B4E" w:rsidRPr="008A5075">
        <w:rPr>
          <w:rFonts w:cs="Arial"/>
          <w:i/>
          <w:iCs/>
          <w:szCs w:val="24"/>
        </w:rPr>
        <w:t>2019</w:t>
      </w:r>
      <w:r w:rsidR="00C54B4E" w:rsidRPr="008A5075">
        <w:rPr>
          <w:rFonts w:cs="Arial"/>
          <w:szCs w:val="24"/>
        </w:rPr>
        <w:t xml:space="preserve"> (Qld)</w:t>
      </w:r>
      <w:r w:rsidR="003106EC" w:rsidRPr="003106EC">
        <w:rPr>
          <w:rFonts w:cs="Arial"/>
        </w:rPr>
        <w:t xml:space="preserve"> s 26.</w:t>
      </w:r>
      <w:r w:rsidR="004D20FC" w:rsidRPr="003B1D24">
        <w:rPr>
          <w:color w:val="2B579A"/>
          <w:shd w:val="clear" w:color="auto" w:fill="E6E6E6"/>
        </w:rPr>
        <w:fldChar w:fldCharType="end"/>
      </w:r>
    </w:p>
  </w:footnote>
  <w:footnote w:id="63">
    <w:p w14:paraId="2AC9B8C2" w14:textId="74096873" w:rsidR="00633690" w:rsidRPr="0026305D" w:rsidRDefault="00633690">
      <w:pPr>
        <w:pStyle w:val="FootnoteText"/>
      </w:pPr>
      <w:r w:rsidRPr="0026305D">
        <w:rPr>
          <w:rStyle w:val="FootnoteReference"/>
        </w:rPr>
        <w:footnoteRef/>
      </w:r>
      <w:r w:rsidRPr="0026305D">
        <w:t xml:space="preserve"> </w:t>
      </w:r>
      <w:r w:rsidR="003B1D24" w:rsidRPr="0026305D">
        <w:rPr>
          <w:color w:val="2B579A"/>
          <w:shd w:val="clear" w:color="auto" w:fill="E6E6E6"/>
        </w:rPr>
        <w:fldChar w:fldCharType="begin"/>
      </w:r>
      <w:r w:rsidR="008A5075">
        <w:instrText xml:space="preserve"> ADDIN ZOTERO_ITEM CSL_CITATION {"citationID":"tI85Ap7C","properties":{"formattedCitation":"Ibid s 24.","plainCitation":"Ibid s 24.","noteIndex":62},"citationItems":[{"id":262,"uris":["http://zotero.org/groups/5218944/items/BIQH7TEY"],"itemData":{"id":262,"type":"legislation","container-title":"Qld","section":"1","title":"Human Rights Act","URL":"https://www.austlii.edu.au/cgi-bin/viewdoc/au/legis/qld/consol_act/hra2019148/xx1.html?context=1;query=human%20rights%20act%202019;mask_path=","accessed":{"date-parts":[["2023",10,5]]},"issued":{"date-parts":[["2019"]]}},"locator":"s 24","label":"page"}],"schema":"https://github.com/citation-style-language/schema/raw/master/csl-citation.json"} </w:instrText>
      </w:r>
      <w:r w:rsidR="003B1D24" w:rsidRPr="0026305D">
        <w:rPr>
          <w:color w:val="2B579A"/>
          <w:shd w:val="clear" w:color="auto" w:fill="E6E6E6"/>
        </w:rPr>
        <w:fldChar w:fldCharType="separate"/>
      </w:r>
      <w:r w:rsidR="00C54B4E" w:rsidRPr="00C54B4E">
        <w:rPr>
          <w:rFonts w:cs="Arial"/>
          <w:i/>
          <w:iCs/>
          <w:szCs w:val="24"/>
        </w:rPr>
        <w:t xml:space="preserve"> </w:t>
      </w:r>
      <w:r w:rsidR="00C54B4E" w:rsidRPr="008A5075">
        <w:rPr>
          <w:rFonts w:cs="Arial"/>
          <w:i/>
          <w:iCs/>
          <w:szCs w:val="24"/>
        </w:rPr>
        <w:t>Human Rights Act</w:t>
      </w:r>
      <w:r w:rsidR="00C54B4E" w:rsidRPr="008A5075">
        <w:rPr>
          <w:rFonts w:cs="Arial"/>
          <w:szCs w:val="24"/>
        </w:rPr>
        <w:t xml:space="preserve"> </w:t>
      </w:r>
      <w:r w:rsidR="00C54B4E" w:rsidRPr="008A5075">
        <w:rPr>
          <w:rFonts w:cs="Arial"/>
          <w:i/>
          <w:iCs/>
          <w:szCs w:val="24"/>
        </w:rPr>
        <w:t>2019</w:t>
      </w:r>
      <w:r w:rsidR="00C54B4E" w:rsidRPr="008A5075">
        <w:rPr>
          <w:rFonts w:cs="Arial"/>
          <w:szCs w:val="24"/>
        </w:rPr>
        <w:t xml:space="preserve"> (Qld)</w:t>
      </w:r>
      <w:r w:rsidR="000417ED" w:rsidRPr="0026305D">
        <w:rPr>
          <w:rFonts w:cs="Arial"/>
        </w:rPr>
        <w:t xml:space="preserve"> s 24.</w:t>
      </w:r>
      <w:r w:rsidR="003B1D24" w:rsidRPr="0026305D">
        <w:rPr>
          <w:color w:val="2B579A"/>
          <w:shd w:val="clear" w:color="auto" w:fill="E6E6E6"/>
        </w:rPr>
        <w:fldChar w:fldCharType="end"/>
      </w:r>
    </w:p>
  </w:footnote>
  <w:footnote w:id="64">
    <w:p w14:paraId="4CDB3FB3" w14:textId="27F8F2E6" w:rsidR="00633690" w:rsidRPr="0026305D" w:rsidRDefault="00633690">
      <w:pPr>
        <w:pStyle w:val="FootnoteText"/>
      </w:pPr>
      <w:r w:rsidRPr="0026305D">
        <w:rPr>
          <w:rStyle w:val="FootnoteReference"/>
        </w:rPr>
        <w:footnoteRef/>
      </w:r>
      <w:r w:rsidRPr="0026305D">
        <w:t xml:space="preserve"> </w:t>
      </w:r>
      <w:r w:rsidR="001929A8" w:rsidRPr="0026305D">
        <w:rPr>
          <w:color w:val="2B579A"/>
          <w:shd w:val="clear" w:color="auto" w:fill="E6E6E6"/>
        </w:rPr>
        <w:fldChar w:fldCharType="begin"/>
      </w:r>
      <w:r w:rsidR="008A5075">
        <w:instrText xml:space="preserve"> ADDIN ZOTERO_ITEM CSL_CITATION {"citationID":"bWTDLI58","properties":{"formattedCitation":"Ibid s 26.","plainCitation":"Ibid s 26.","noteIndex":63},"citationItems":[{"id":262,"uris":["http://zotero.org/groups/5218944/items/BIQH7TEY"],"itemData":{"id":262,"type":"legislation","container-title":"Qld","section":"1","title":"Human Rights Act","URL":"https://www.austlii.edu.au/cgi-bin/viewdoc/au/legis/qld/consol_act/hra2019148/xx1.html?context=1;query=human%20rights%20act%202019;mask_path=","accessed":{"date-parts":[["2023",10,5]]},"issued":{"date-parts":[["2019"]]}},"locator":"s 26","label":"page"}],"schema":"https://github.com/citation-style-language/schema/raw/master/csl-citation.json"} </w:instrText>
      </w:r>
      <w:r w:rsidR="001929A8" w:rsidRPr="0026305D">
        <w:rPr>
          <w:color w:val="2B579A"/>
          <w:shd w:val="clear" w:color="auto" w:fill="E6E6E6"/>
        </w:rPr>
        <w:fldChar w:fldCharType="separate"/>
      </w:r>
      <w:r w:rsidR="00C54B4E" w:rsidRPr="00C54B4E">
        <w:rPr>
          <w:rFonts w:cs="Arial"/>
          <w:i/>
          <w:iCs/>
          <w:szCs w:val="24"/>
        </w:rPr>
        <w:t xml:space="preserve"> </w:t>
      </w:r>
      <w:r w:rsidR="00C54B4E" w:rsidRPr="008A5075">
        <w:rPr>
          <w:rFonts w:cs="Arial"/>
          <w:i/>
          <w:iCs/>
          <w:szCs w:val="24"/>
        </w:rPr>
        <w:t>Human Rights Act</w:t>
      </w:r>
      <w:r w:rsidR="00C54B4E" w:rsidRPr="008A5075">
        <w:rPr>
          <w:rFonts w:cs="Arial"/>
          <w:szCs w:val="24"/>
        </w:rPr>
        <w:t xml:space="preserve"> </w:t>
      </w:r>
      <w:r w:rsidR="00C54B4E" w:rsidRPr="008A5075">
        <w:rPr>
          <w:rFonts w:cs="Arial"/>
          <w:i/>
          <w:iCs/>
          <w:szCs w:val="24"/>
        </w:rPr>
        <w:t>2019</w:t>
      </w:r>
      <w:r w:rsidR="00C54B4E" w:rsidRPr="008A5075">
        <w:rPr>
          <w:rFonts w:cs="Arial"/>
          <w:szCs w:val="24"/>
        </w:rPr>
        <w:t xml:space="preserve"> (Qld)</w:t>
      </w:r>
      <w:r w:rsidR="001A7E99" w:rsidRPr="0026305D">
        <w:rPr>
          <w:rFonts w:cs="Arial"/>
        </w:rPr>
        <w:t xml:space="preserve"> s 26.</w:t>
      </w:r>
      <w:r w:rsidR="001929A8" w:rsidRPr="0026305D">
        <w:rPr>
          <w:color w:val="2B579A"/>
          <w:shd w:val="clear" w:color="auto" w:fill="E6E6E6"/>
        </w:rPr>
        <w:fldChar w:fldCharType="end"/>
      </w:r>
    </w:p>
  </w:footnote>
  <w:footnote w:id="65">
    <w:p w14:paraId="75DD7989" w14:textId="148B236B" w:rsidR="00633690" w:rsidRDefault="00633690">
      <w:pPr>
        <w:pStyle w:val="FootnoteText"/>
      </w:pPr>
      <w:r w:rsidRPr="0026305D">
        <w:rPr>
          <w:rStyle w:val="FootnoteReference"/>
        </w:rPr>
        <w:footnoteRef/>
      </w:r>
      <w:r w:rsidRPr="0026305D">
        <w:t xml:space="preserve"> </w:t>
      </w:r>
      <w:r w:rsidR="00EB1882" w:rsidRPr="0026305D">
        <w:rPr>
          <w:color w:val="2B579A"/>
          <w:shd w:val="clear" w:color="auto" w:fill="E6E6E6"/>
        </w:rPr>
        <w:fldChar w:fldCharType="begin"/>
      </w:r>
      <w:r w:rsidR="008A5075">
        <w:instrText xml:space="preserve"> ADDIN ZOTERO_ITEM CSL_CITATION {"citationID":"C6hgSaN1","properties":{"formattedCitation":"Ibid s 15.","plainCitation":"Ibid s 15.","noteIndex":64},"citationItems":[{"id":262,"uris":["http://zotero.org/groups/5218944/items/BIQH7TEY"],"itemData":{"id":262,"type":"legislation","container-title":"Qld","section":"1","title":"Human Rights Act","URL":"https://www.austlii.edu.au/cgi-bin/viewdoc/au/legis/qld/consol_act/hra2019148/xx1.html?context=1;query=human%20rights%20act%202019;mask_path=","accessed":{"date-parts":[["2023",10,5]]},"issued":{"date-parts":[["2019"]]}},"locator":"s 15","label":"page"}],"schema":"https://github.com/citation-style-language/schema/raw/master/csl-citation.json"} </w:instrText>
      </w:r>
      <w:r w:rsidR="00EB1882" w:rsidRPr="0026305D">
        <w:rPr>
          <w:color w:val="2B579A"/>
          <w:shd w:val="clear" w:color="auto" w:fill="E6E6E6"/>
        </w:rPr>
        <w:fldChar w:fldCharType="separate"/>
      </w:r>
      <w:r w:rsidR="009E595A" w:rsidRPr="009E595A">
        <w:rPr>
          <w:rFonts w:cs="Arial"/>
          <w:i/>
          <w:iCs/>
          <w:szCs w:val="24"/>
        </w:rPr>
        <w:t xml:space="preserve"> </w:t>
      </w:r>
      <w:r w:rsidR="009E595A" w:rsidRPr="008A5075">
        <w:rPr>
          <w:rFonts w:cs="Arial"/>
          <w:i/>
          <w:iCs/>
          <w:szCs w:val="24"/>
        </w:rPr>
        <w:t>Human Rights Act</w:t>
      </w:r>
      <w:r w:rsidR="009E595A" w:rsidRPr="008A5075">
        <w:rPr>
          <w:rFonts w:cs="Arial"/>
          <w:szCs w:val="24"/>
        </w:rPr>
        <w:t xml:space="preserve"> </w:t>
      </w:r>
      <w:r w:rsidR="009E595A" w:rsidRPr="008A5075">
        <w:rPr>
          <w:rFonts w:cs="Arial"/>
          <w:i/>
          <w:iCs/>
          <w:szCs w:val="24"/>
        </w:rPr>
        <w:t>2019</w:t>
      </w:r>
      <w:r w:rsidR="009E595A" w:rsidRPr="008A5075">
        <w:rPr>
          <w:rFonts w:cs="Arial"/>
          <w:szCs w:val="24"/>
        </w:rPr>
        <w:t xml:space="preserve"> (Qld)</w:t>
      </w:r>
      <w:r w:rsidR="00EB1882" w:rsidRPr="0026305D">
        <w:rPr>
          <w:rFonts w:cs="Arial"/>
        </w:rPr>
        <w:t xml:space="preserve"> s 15.</w:t>
      </w:r>
      <w:r w:rsidR="00EB1882" w:rsidRPr="0026305D">
        <w:rPr>
          <w:color w:val="2B579A"/>
          <w:shd w:val="clear" w:color="auto" w:fill="E6E6E6"/>
        </w:rPr>
        <w:fldChar w:fldCharType="end"/>
      </w:r>
    </w:p>
  </w:footnote>
  <w:footnote w:id="66">
    <w:p w14:paraId="62EA6FEE" w14:textId="38DA8CC0" w:rsidR="00633690" w:rsidRPr="00185FFE" w:rsidRDefault="00633690">
      <w:pPr>
        <w:pStyle w:val="FootnoteText"/>
      </w:pPr>
      <w:r w:rsidRPr="00185FFE">
        <w:rPr>
          <w:rStyle w:val="FootnoteReference"/>
        </w:rPr>
        <w:footnoteRef/>
      </w:r>
      <w:r w:rsidRPr="00185FFE">
        <w:t xml:space="preserve"> </w:t>
      </w:r>
      <w:r w:rsidR="00EA6781" w:rsidRPr="00185FFE">
        <w:rPr>
          <w:color w:val="2B579A"/>
          <w:shd w:val="clear" w:color="auto" w:fill="E6E6E6"/>
        </w:rPr>
        <w:fldChar w:fldCharType="begin"/>
      </w:r>
      <w:r w:rsidR="008A5075">
        <w:instrText xml:space="preserve"> ADDIN ZOTERO_ITEM CSL_CITATION {"citationID":"JFAaVXuv","properties":{"formattedCitation":"Ibid s 16.","plainCitation":"Ibid s 16.","noteIndex":65},"citationItems":[{"id":262,"uris":["http://zotero.org/groups/5218944/items/BIQH7TEY"],"itemData":{"id":262,"type":"legislation","container-title":"Qld","section":"1","title":"Human Rights Act","URL":"https://www.austlii.edu.au/cgi-bin/viewdoc/au/legis/qld/consol_act/hra2019148/xx1.html?context=1;query=human%20rights%20act%202019;mask_path=","accessed":{"date-parts":[["2023",10,5]]},"issued":{"date-parts":[["2019"]]}},"locator":"s 16","label":"page"}],"schema":"https://github.com/citation-style-language/schema/raw/master/csl-citation.json"} </w:instrText>
      </w:r>
      <w:r w:rsidR="00EA6781" w:rsidRPr="00185FFE">
        <w:rPr>
          <w:color w:val="2B579A"/>
          <w:shd w:val="clear" w:color="auto" w:fill="E6E6E6"/>
        </w:rPr>
        <w:fldChar w:fldCharType="separate"/>
      </w:r>
      <w:r w:rsidR="009E595A" w:rsidRPr="009E595A">
        <w:rPr>
          <w:rFonts w:cs="Arial"/>
          <w:i/>
          <w:iCs/>
          <w:szCs w:val="24"/>
        </w:rPr>
        <w:t xml:space="preserve"> </w:t>
      </w:r>
      <w:r w:rsidR="009E595A" w:rsidRPr="008A5075">
        <w:rPr>
          <w:rFonts w:cs="Arial"/>
          <w:i/>
          <w:iCs/>
          <w:szCs w:val="24"/>
        </w:rPr>
        <w:t>Human Rights Act</w:t>
      </w:r>
      <w:r w:rsidR="009E595A" w:rsidRPr="008A5075">
        <w:rPr>
          <w:rFonts w:cs="Arial"/>
          <w:szCs w:val="24"/>
        </w:rPr>
        <w:t xml:space="preserve"> </w:t>
      </w:r>
      <w:r w:rsidR="009E595A" w:rsidRPr="008A5075">
        <w:rPr>
          <w:rFonts w:cs="Arial"/>
          <w:i/>
          <w:iCs/>
          <w:szCs w:val="24"/>
        </w:rPr>
        <w:t>2019</w:t>
      </w:r>
      <w:r w:rsidR="009E595A" w:rsidRPr="008A5075">
        <w:rPr>
          <w:rFonts w:cs="Arial"/>
          <w:szCs w:val="24"/>
        </w:rPr>
        <w:t xml:space="preserve"> (Qld)</w:t>
      </w:r>
      <w:r w:rsidR="00EA6781" w:rsidRPr="00185FFE">
        <w:rPr>
          <w:rFonts w:cs="Arial"/>
        </w:rPr>
        <w:t xml:space="preserve"> s 16.</w:t>
      </w:r>
      <w:r w:rsidR="00EA6781" w:rsidRPr="00185FFE">
        <w:rPr>
          <w:color w:val="2B579A"/>
          <w:shd w:val="clear" w:color="auto" w:fill="E6E6E6"/>
        </w:rPr>
        <w:fldChar w:fldCharType="end"/>
      </w:r>
    </w:p>
  </w:footnote>
  <w:footnote w:id="67">
    <w:p w14:paraId="34A6D49E" w14:textId="3356632A" w:rsidR="00633690" w:rsidRDefault="00633690">
      <w:pPr>
        <w:pStyle w:val="FootnoteText"/>
      </w:pPr>
      <w:r w:rsidRPr="00185FFE">
        <w:rPr>
          <w:rStyle w:val="FootnoteReference"/>
        </w:rPr>
        <w:footnoteRef/>
      </w:r>
      <w:r w:rsidRPr="00185FFE">
        <w:t xml:space="preserve"> </w:t>
      </w:r>
      <w:r w:rsidR="00F95831" w:rsidRPr="00F47C36">
        <w:rPr>
          <w:color w:val="2B579A"/>
          <w:shd w:val="clear" w:color="auto" w:fill="E6E6E6"/>
        </w:rPr>
        <w:fldChar w:fldCharType="begin"/>
      </w:r>
      <w:r w:rsidR="008A5075">
        <w:instrText xml:space="preserve"> ADDIN ZOTERO_ITEM CSL_CITATION {"citationID":"UqbgdIuh","properties":{"formattedCitation":"Ibid s 37.","plainCitation":"Ibid s 37.","noteIndex":66},"citationItems":[{"id":262,"uris":["http://zotero.org/groups/5218944/items/BIQH7TEY"],"itemData":{"id":262,"type":"legislation","container-title":"Qld","section":"1","title":"Human Rights Act","URL":"https://www.austlii.edu.au/cgi-bin/viewdoc/au/legis/qld/consol_act/hra2019148/xx1.html?context=1;query=human%20rights%20act%202019;mask_path=","accessed":{"date-parts":[["2023",10,5]]},"issued":{"date-parts":[["2019"]]}},"locator":"s 37","label":"page"}],"schema":"https://github.com/citation-style-language/schema/raw/master/csl-citation.json"} </w:instrText>
      </w:r>
      <w:r w:rsidR="00F95831" w:rsidRPr="00F47C36">
        <w:rPr>
          <w:color w:val="2B579A"/>
          <w:shd w:val="clear" w:color="auto" w:fill="E6E6E6"/>
        </w:rPr>
        <w:fldChar w:fldCharType="separate"/>
      </w:r>
      <w:r w:rsidR="009E595A" w:rsidRPr="009E595A">
        <w:rPr>
          <w:rFonts w:cs="Arial"/>
          <w:i/>
          <w:iCs/>
          <w:szCs w:val="24"/>
        </w:rPr>
        <w:t xml:space="preserve"> </w:t>
      </w:r>
      <w:r w:rsidR="009E595A" w:rsidRPr="008A5075">
        <w:rPr>
          <w:rFonts w:cs="Arial"/>
          <w:i/>
          <w:iCs/>
          <w:szCs w:val="24"/>
        </w:rPr>
        <w:t>Human Rights Act</w:t>
      </w:r>
      <w:r w:rsidR="009E595A" w:rsidRPr="008A5075">
        <w:rPr>
          <w:rFonts w:cs="Arial"/>
          <w:szCs w:val="24"/>
        </w:rPr>
        <w:t xml:space="preserve"> </w:t>
      </w:r>
      <w:r w:rsidR="009E595A" w:rsidRPr="008A5075">
        <w:rPr>
          <w:rFonts w:cs="Arial"/>
          <w:i/>
          <w:iCs/>
          <w:szCs w:val="24"/>
        </w:rPr>
        <w:t>2019</w:t>
      </w:r>
      <w:r w:rsidR="009E595A" w:rsidRPr="008A5075">
        <w:rPr>
          <w:rFonts w:cs="Arial"/>
          <w:szCs w:val="24"/>
        </w:rPr>
        <w:t xml:space="preserve"> (Qld)</w:t>
      </w:r>
      <w:r w:rsidR="00F95831" w:rsidRPr="00F47C36">
        <w:rPr>
          <w:rFonts w:cs="Arial"/>
        </w:rPr>
        <w:t xml:space="preserve"> s 37.</w:t>
      </w:r>
      <w:r w:rsidR="00F95831" w:rsidRPr="00F47C36">
        <w:rPr>
          <w:color w:val="2B579A"/>
          <w:shd w:val="clear" w:color="auto" w:fill="E6E6E6"/>
        </w:rPr>
        <w:fldChar w:fldCharType="end"/>
      </w:r>
    </w:p>
  </w:footnote>
  <w:footnote w:id="68">
    <w:p w14:paraId="2BE2F795" w14:textId="14270BB1" w:rsidR="00633690" w:rsidRDefault="00633690">
      <w:pPr>
        <w:pStyle w:val="FootnoteText"/>
      </w:pPr>
      <w:r>
        <w:rPr>
          <w:rStyle w:val="FootnoteReference"/>
        </w:rPr>
        <w:footnoteRef/>
      </w:r>
      <w:r w:rsidRPr="00F47C36">
        <w:t xml:space="preserve"> </w:t>
      </w:r>
      <w:r w:rsidR="005B0462" w:rsidRPr="00F47C36">
        <w:rPr>
          <w:color w:val="2B579A"/>
          <w:shd w:val="clear" w:color="auto" w:fill="E6E6E6"/>
        </w:rPr>
        <w:fldChar w:fldCharType="begin"/>
      </w:r>
      <w:r w:rsidR="008A5075">
        <w:instrText xml:space="preserve"> ADDIN ZOTERO_ITEM CSL_CITATION {"citationID":"AXj1XuOk","properties":{"formattedCitation":"Ibid s 29.","plainCitation":"Ibid s 29.","noteIndex":67},"citationItems":[{"id":262,"uris":["http://zotero.org/groups/5218944/items/BIQH7TEY"],"itemData":{"id":262,"type":"legislation","container-title":"Qld","section":"1","title":"Human Rights Act","URL":"https://www.austlii.edu.au/cgi-bin/viewdoc/au/legis/qld/consol_act/hra2019148/xx1.html?context=1;query=human%20rights%20act%202019;mask_path=","accessed":{"date-parts":[["2023",10,5]]},"issued":{"date-parts":[["2019"]]}},"locator":"s 29","label":"page"}],"schema":"https://github.com/citation-style-language/schema/raw/master/csl-citation.json"} </w:instrText>
      </w:r>
      <w:r w:rsidR="005B0462" w:rsidRPr="00F47C36">
        <w:rPr>
          <w:color w:val="2B579A"/>
          <w:shd w:val="clear" w:color="auto" w:fill="E6E6E6"/>
        </w:rPr>
        <w:fldChar w:fldCharType="separate"/>
      </w:r>
      <w:r w:rsidR="009E595A" w:rsidRPr="009E595A">
        <w:rPr>
          <w:rFonts w:cs="Arial"/>
          <w:i/>
          <w:iCs/>
          <w:szCs w:val="24"/>
        </w:rPr>
        <w:t xml:space="preserve"> </w:t>
      </w:r>
      <w:r w:rsidR="009E595A" w:rsidRPr="008A5075">
        <w:rPr>
          <w:rFonts w:cs="Arial"/>
          <w:i/>
          <w:iCs/>
          <w:szCs w:val="24"/>
        </w:rPr>
        <w:t>Human Rights Act</w:t>
      </w:r>
      <w:r w:rsidR="009E595A" w:rsidRPr="008A5075">
        <w:rPr>
          <w:rFonts w:cs="Arial"/>
          <w:szCs w:val="24"/>
        </w:rPr>
        <w:t xml:space="preserve"> </w:t>
      </w:r>
      <w:r w:rsidR="009E595A" w:rsidRPr="008A5075">
        <w:rPr>
          <w:rFonts w:cs="Arial"/>
          <w:i/>
          <w:iCs/>
          <w:szCs w:val="24"/>
        </w:rPr>
        <w:t>2019</w:t>
      </w:r>
      <w:r w:rsidR="009E595A" w:rsidRPr="008A5075">
        <w:rPr>
          <w:rFonts w:cs="Arial"/>
          <w:szCs w:val="24"/>
        </w:rPr>
        <w:t xml:space="preserve"> (Qld)</w:t>
      </w:r>
      <w:r w:rsidR="005B0462" w:rsidRPr="00F47C36">
        <w:rPr>
          <w:rFonts w:cs="Arial"/>
        </w:rPr>
        <w:t xml:space="preserve"> s 29.</w:t>
      </w:r>
      <w:r w:rsidR="005B0462" w:rsidRPr="00F47C36">
        <w:rPr>
          <w:color w:val="2B579A"/>
          <w:shd w:val="clear" w:color="auto" w:fill="E6E6E6"/>
        </w:rPr>
        <w:fldChar w:fldCharType="end"/>
      </w:r>
    </w:p>
  </w:footnote>
  <w:footnote w:id="69">
    <w:p w14:paraId="5C77FBEC" w14:textId="38F83914" w:rsidR="00633690" w:rsidRDefault="00633690">
      <w:pPr>
        <w:pStyle w:val="FootnoteText"/>
      </w:pPr>
      <w:r>
        <w:rPr>
          <w:rStyle w:val="FootnoteReference"/>
        </w:rPr>
        <w:footnoteRef/>
      </w:r>
      <w:r w:rsidRPr="00F47C36">
        <w:t xml:space="preserve"> </w:t>
      </w:r>
      <w:r w:rsidR="00BC4D7F" w:rsidRPr="00F47C36">
        <w:rPr>
          <w:color w:val="2B579A"/>
          <w:shd w:val="clear" w:color="auto" w:fill="E6E6E6"/>
        </w:rPr>
        <w:fldChar w:fldCharType="begin"/>
      </w:r>
      <w:r w:rsidR="008A5075">
        <w:instrText xml:space="preserve"> ADDIN ZOTERO_ITEM CSL_CITATION {"citationID":"sAnCXzdw","properties":{"formattedCitation":"Ibid s 15.","plainCitation":"Ibid s 15.","noteIndex":68},"citationItems":[{"id":262,"uris":["http://zotero.org/groups/5218944/items/BIQH7TEY"],"itemData":{"id":262,"type":"legislation","container-title":"Qld","section":"1","title":"Human Rights Act","URL":"https://www.austlii.edu.au/cgi-bin/viewdoc/au/legis/qld/consol_act/hra2019148/xx1.html?context=1;query=human%20rights%20act%202019;mask_path=","accessed":{"date-parts":[["2023",10,5]]},"issued":{"date-parts":[["2019"]]}},"locator":"s 15","label":"page"}],"schema":"https://github.com/citation-style-language/schema/raw/master/csl-citation.json"} </w:instrText>
      </w:r>
      <w:r w:rsidR="00BC4D7F" w:rsidRPr="00F47C36">
        <w:rPr>
          <w:color w:val="2B579A"/>
          <w:shd w:val="clear" w:color="auto" w:fill="E6E6E6"/>
        </w:rPr>
        <w:fldChar w:fldCharType="separate"/>
      </w:r>
      <w:r w:rsidR="009E595A" w:rsidRPr="009E595A">
        <w:rPr>
          <w:rFonts w:cs="Arial"/>
          <w:i/>
          <w:iCs/>
          <w:szCs w:val="24"/>
        </w:rPr>
        <w:t xml:space="preserve"> </w:t>
      </w:r>
      <w:r w:rsidR="009E595A" w:rsidRPr="008A5075">
        <w:rPr>
          <w:rFonts w:cs="Arial"/>
          <w:i/>
          <w:iCs/>
          <w:szCs w:val="24"/>
        </w:rPr>
        <w:t>Human Rights Act</w:t>
      </w:r>
      <w:r w:rsidR="009E595A" w:rsidRPr="008A5075">
        <w:rPr>
          <w:rFonts w:cs="Arial"/>
          <w:szCs w:val="24"/>
        </w:rPr>
        <w:t xml:space="preserve"> </w:t>
      </w:r>
      <w:r w:rsidR="009E595A" w:rsidRPr="008A5075">
        <w:rPr>
          <w:rFonts w:cs="Arial"/>
          <w:i/>
          <w:iCs/>
          <w:szCs w:val="24"/>
        </w:rPr>
        <w:t>2019</w:t>
      </w:r>
      <w:r w:rsidR="009E595A" w:rsidRPr="008A5075">
        <w:rPr>
          <w:rFonts w:cs="Arial"/>
          <w:szCs w:val="24"/>
        </w:rPr>
        <w:t xml:space="preserve"> (Qld)</w:t>
      </w:r>
      <w:r w:rsidR="00BC4D7F" w:rsidRPr="00F47C36">
        <w:rPr>
          <w:rFonts w:cs="Arial"/>
        </w:rPr>
        <w:t xml:space="preserve"> s 15.</w:t>
      </w:r>
      <w:r w:rsidR="00BC4D7F" w:rsidRPr="00F47C36">
        <w:rPr>
          <w:color w:val="2B579A"/>
          <w:shd w:val="clear" w:color="auto" w:fill="E6E6E6"/>
        </w:rPr>
        <w:fldChar w:fldCharType="end"/>
      </w:r>
    </w:p>
  </w:footnote>
  <w:footnote w:id="70">
    <w:p w14:paraId="3B4FE3D4" w14:textId="25B27B73" w:rsidR="00633690" w:rsidRDefault="00633690">
      <w:pPr>
        <w:pStyle w:val="FootnoteText"/>
      </w:pPr>
      <w:r>
        <w:rPr>
          <w:rStyle w:val="FootnoteReference"/>
        </w:rPr>
        <w:footnoteRef/>
      </w:r>
      <w:r w:rsidRPr="00F47C36">
        <w:t xml:space="preserve"> </w:t>
      </w:r>
      <w:r w:rsidR="00405BFA" w:rsidRPr="00F47C36">
        <w:rPr>
          <w:color w:val="2B579A"/>
          <w:shd w:val="clear" w:color="auto" w:fill="E6E6E6"/>
        </w:rPr>
        <w:fldChar w:fldCharType="begin"/>
      </w:r>
      <w:r w:rsidR="008A5075">
        <w:instrText xml:space="preserve"> ADDIN ZOTERO_ITEM CSL_CITATION {"citationID":"M0GHt5iu","properties":{"formattedCitation":"Ibid s 26(2).","plainCitation":"Ibid s 26(2).","noteIndex":69},"citationItems":[{"id":262,"uris":["http://zotero.org/groups/5218944/items/BIQH7TEY"],"itemData":{"id":262,"type":"legislation","container-title":"Qld","section":"1","title":"Human Rights Act","URL":"https://www.austlii.edu.au/cgi-bin/viewdoc/au/legis/qld/consol_act/hra2019148/xx1.html?context=1;query=human%20rights%20act%202019;mask_path=","accessed":{"date-parts":[["2023",10,5]]},"issued":{"date-parts":[["2019"]]}},"locator":"s 26(2)","label":"page"}],"schema":"https://github.com/citation-style-language/schema/raw/master/csl-citation.json"} </w:instrText>
      </w:r>
      <w:r w:rsidR="00405BFA" w:rsidRPr="00F47C36">
        <w:rPr>
          <w:color w:val="2B579A"/>
          <w:shd w:val="clear" w:color="auto" w:fill="E6E6E6"/>
        </w:rPr>
        <w:fldChar w:fldCharType="separate"/>
      </w:r>
      <w:r w:rsidR="009E595A" w:rsidRPr="009E595A">
        <w:rPr>
          <w:rFonts w:cs="Arial"/>
          <w:i/>
          <w:iCs/>
          <w:szCs w:val="24"/>
        </w:rPr>
        <w:t xml:space="preserve"> </w:t>
      </w:r>
      <w:r w:rsidR="009E595A" w:rsidRPr="008A5075">
        <w:rPr>
          <w:rFonts w:cs="Arial"/>
          <w:i/>
          <w:iCs/>
          <w:szCs w:val="24"/>
        </w:rPr>
        <w:t>Human Rights Act</w:t>
      </w:r>
      <w:r w:rsidR="009E595A" w:rsidRPr="008A5075">
        <w:rPr>
          <w:rFonts w:cs="Arial"/>
          <w:szCs w:val="24"/>
        </w:rPr>
        <w:t xml:space="preserve"> </w:t>
      </w:r>
      <w:r w:rsidR="009E595A" w:rsidRPr="008A5075">
        <w:rPr>
          <w:rFonts w:cs="Arial"/>
          <w:i/>
          <w:iCs/>
          <w:szCs w:val="24"/>
        </w:rPr>
        <w:t>2019</w:t>
      </w:r>
      <w:r w:rsidR="009E595A" w:rsidRPr="008A5075">
        <w:rPr>
          <w:rFonts w:cs="Arial"/>
          <w:szCs w:val="24"/>
        </w:rPr>
        <w:t xml:space="preserve"> (Qld)</w:t>
      </w:r>
      <w:r w:rsidR="00405BFA" w:rsidRPr="00F47C36">
        <w:rPr>
          <w:rFonts w:cs="Arial"/>
        </w:rPr>
        <w:t xml:space="preserve"> s 26(2).</w:t>
      </w:r>
      <w:r w:rsidR="00405BFA" w:rsidRPr="00F47C36">
        <w:rPr>
          <w:color w:val="2B579A"/>
          <w:shd w:val="clear" w:color="auto" w:fill="E6E6E6"/>
        </w:rPr>
        <w:fldChar w:fldCharType="end"/>
      </w:r>
    </w:p>
  </w:footnote>
  <w:footnote w:id="71">
    <w:p w14:paraId="018E34A8" w14:textId="4B36B3AF" w:rsidR="00633690" w:rsidRDefault="00633690">
      <w:pPr>
        <w:pStyle w:val="FootnoteText"/>
      </w:pPr>
      <w:r>
        <w:rPr>
          <w:rStyle w:val="FootnoteReference"/>
        </w:rPr>
        <w:footnoteRef/>
      </w:r>
      <w:r w:rsidRPr="00F47C36">
        <w:t xml:space="preserve"> </w:t>
      </w:r>
      <w:r w:rsidR="00CA6F0E" w:rsidRPr="00F47C36">
        <w:rPr>
          <w:color w:val="2B579A"/>
          <w:shd w:val="clear" w:color="auto" w:fill="E6E6E6"/>
        </w:rPr>
        <w:fldChar w:fldCharType="begin"/>
      </w:r>
      <w:r w:rsidR="008A5075">
        <w:instrText xml:space="preserve"> ADDIN ZOTERO_ITEM CSL_CITATION {"citationID":"Ym3PIupD","properties":{"formattedCitation":"Ibid s 29(1).","plainCitation":"Ibid s 29(1).","noteIndex":70},"citationItems":[{"id":262,"uris":["http://zotero.org/groups/5218944/items/BIQH7TEY"],"itemData":{"id":262,"type":"legislation","container-title":"Qld","section":"1","title":"Human Rights Act","URL":"https://www.austlii.edu.au/cgi-bin/viewdoc/au/legis/qld/consol_act/hra2019148/xx1.html?context=1;query=human%20rights%20act%202019;mask_path=","accessed":{"date-parts":[["2023",10,5]]},"issued":{"date-parts":[["2019"]]}},"locator":"s 29(1)","label":"page"}],"schema":"https://github.com/citation-style-language/schema/raw/master/csl-citation.json"} </w:instrText>
      </w:r>
      <w:r w:rsidR="00CA6F0E" w:rsidRPr="00F47C36">
        <w:rPr>
          <w:color w:val="2B579A"/>
          <w:shd w:val="clear" w:color="auto" w:fill="E6E6E6"/>
        </w:rPr>
        <w:fldChar w:fldCharType="separate"/>
      </w:r>
      <w:r w:rsidR="009E595A" w:rsidRPr="009E595A">
        <w:rPr>
          <w:rFonts w:cs="Arial"/>
          <w:i/>
          <w:iCs/>
          <w:szCs w:val="24"/>
        </w:rPr>
        <w:t xml:space="preserve"> </w:t>
      </w:r>
      <w:r w:rsidR="009E595A" w:rsidRPr="008A5075">
        <w:rPr>
          <w:rFonts w:cs="Arial"/>
          <w:i/>
          <w:iCs/>
          <w:szCs w:val="24"/>
        </w:rPr>
        <w:t>Human Rights Act</w:t>
      </w:r>
      <w:r w:rsidR="009E595A" w:rsidRPr="008A5075">
        <w:rPr>
          <w:rFonts w:cs="Arial"/>
          <w:szCs w:val="24"/>
        </w:rPr>
        <w:t xml:space="preserve"> </w:t>
      </w:r>
      <w:r w:rsidR="009E595A" w:rsidRPr="008A5075">
        <w:rPr>
          <w:rFonts w:cs="Arial"/>
          <w:i/>
          <w:iCs/>
          <w:szCs w:val="24"/>
        </w:rPr>
        <w:t>2019</w:t>
      </w:r>
      <w:r w:rsidR="009E595A" w:rsidRPr="008A5075">
        <w:rPr>
          <w:rFonts w:cs="Arial"/>
          <w:szCs w:val="24"/>
        </w:rPr>
        <w:t xml:space="preserve"> (Qld)</w:t>
      </w:r>
      <w:r w:rsidR="00CA6F0E" w:rsidRPr="00F47C36">
        <w:rPr>
          <w:rFonts w:cs="Arial"/>
        </w:rPr>
        <w:t xml:space="preserve"> s 29(1).</w:t>
      </w:r>
      <w:r w:rsidR="00CA6F0E" w:rsidRPr="00F47C36">
        <w:rPr>
          <w:color w:val="2B579A"/>
          <w:shd w:val="clear" w:color="auto" w:fill="E6E6E6"/>
        </w:rPr>
        <w:fldChar w:fldCharType="end"/>
      </w:r>
    </w:p>
  </w:footnote>
  <w:footnote w:id="72">
    <w:p w14:paraId="0AE308CB" w14:textId="0C98104D" w:rsidR="00633690" w:rsidRDefault="00633690">
      <w:pPr>
        <w:pStyle w:val="FootnoteText"/>
      </w:pPr>
      <w:r>
        <w:rPr>
          <w:rStyle w:val="FootnoteReference"/>
        </w:rPr>
        <w:footnoteRef/>
      </w:r>
      <w:r w:rsidRPr="00F47C36">
        <w:t xml:space="preserve"> </w:t>
      </w:r>
      <w:r w:rsidR="005F1AB0" w:rsidRPr="00F47C36">
        <w:rPr>
          <w:color w:val="2B579A"/>
          <w:shd w:val="clear" w:color="auto" w:fill="E6E6E6"/>
        </w:rPr>
        <w:fldChar w:fldCharType="begin"/>
      </w:r>
      <w:r w:rsidR="008A5075">
        <w:instrText xml:space="preserve"> ADDIN ZOTERO_ITEM CSL_CITATION {"citationID":"fpnSJe3O","properties":{"formattedCitation":"Ibid s 29(2).","plainCitation":"Ibid s 29(2).","noteIndex":71},"citationItems":[{"id":262,"uris":["http://zotero.org/groups/5218944/items/BIQH7TEY"],"itemData":{"id":262,"type":"legislation","container-title":"Qld","section":"1","title":"Human Rights Act","URL":"https://www.austlii.edu.au/cgi-bin/viewdoc/au/legis/qld/consol_act/hra2019148/xx1.html?context=1;query=human%20rights%20act%202019;mask_path=","accessed":{"date-parts":[["2023",10,5]]},"issued":{"date-parts":[["2019"]]}},"locator":"s 29(2)","label":"page"}],"schema":"https://github.com/citation-style-language/schema/raw/master/csl-citation.json"} </w:instrText>
      </w:r>
      <w:r w:rsidR="005F1AB0" w:rsidRPr="00F47C36">
        <w:rPr>
          <w:color w:val="2B579A"/>
          <w:shd w:val="clear" w:color="auto" w:fill="E6E6E6"/>
        </w:rPr>
        <w:fldChar w:fldCharType="separate"/>
      </w:r>
      <w:r w:rsidR="009E595A" w:rsidRPr="009E595A">
        <w:rPr>
          <w:rFonts w:cs="Arial"/>
          <w:i/>
          <w:iCs/>
          <w:szCs w:val="24"/>
        </w:rPr>
        <w:t xml:space="preserve"> </w:t>
      </w:r>
      <w:r w:rsidR="009E595A" w:rsidRPr="008A5075">
        <w:rPr>
          <w:rFonts w:cs="Arial"/>
          <w:i/>
          <w:iCs/>
          <w:szCs w:val="24"/>
        </w:rPr>
        <w:t>Human Rights Act</w:t>
      </w:r>
      <w:r w:rsidR="009E595A" w:rsidRPr="008A5075">
        <w:rPr>
          <w:rFonts w:cs="Arial"/>
          <w:szCs w:val="24"/>
        </w:rPr>
        <w:t xml:space="preserve"> </w:t>
      </w:r>
      <w:r w:rsidR="009E595A" w:rsidRPr="008A5075">
        <w:rPr>
          <w:rFonts w:cs="Arial"/>
          <w:i/>
          <w:iCs/>
          <w:szCs w:val="24"/>
        </w:rPr>
        <w:t>2019</w:t>
      </w:r>
      <w:r w:rsidR="009E595A" w:rsidRPr="008A5075">
        <w:rPr>
          <w:rFonts w:cs="Arial"/>
          <w:szCs w:val="24"/>
        </w:rPr>
        <w:t xml:space="preserve"> (Qld)</w:t>
      </w:r>
      <w:r w:rsidR="005F1AB0" w:rsidRPr="00F47C36">
        <w:rPr>
          <w:rFonts w:cs="Arial"/>
        </w:rPr>
        <w:t xml:space="preserve"> s 29(2).</w:t>
      </w:r>
      <w:r w:rsidR="005F1AB0" w:rsidRPr="00F47C36">
        <w:rPr>
          <w:color w:val="2B579A"/>
          <w:shd w:val="clear" w:color="auto" w:fill="E6E6E6"/>
        </w:rPr>
        <w:fldChar w:fldCharType="end"/>
      </w:r>
    </w:p>
  </w:footnote>
  <w:footnote w:id="73">
    <w:p w14:paraId="50E4A82A" w14:textId="40B617A4" w:rsidR="00633690" w:rsidRDefault="00633690">
      <w:pPr>
        <w:pStyle w:val="FootnoteText"/>
      </w:pPr>
      <w:r>
        <w:rPr>
          <w:rStyle w:val="FootnoteReference"/>
        </w:rPr>
        <w:footnoteRef/>
      </w:r>
      <w:r>
        <w:t xml:space="preserve"> </w:t>
      </w:r>
      <w:r w:rsidR="0063509B">
        <w:rPr>
          <w:color w:val="2B579A"/>
          <w:shd w:val="clear" w:color="auto" w:fill="E6E6E6"/>
        </w:rPr>
        <w:fldChar w:fldCharType="begin"/>
      </w:r>
      <w:r w:rsidR="008A5075">
        <w:instrText xml:space="preserve"> ADDIN ZOTERO_ITEM CSL_CITATION {"citationID":"qM1VGfRN","properties":{"formattedCitation":"Ibid s 30.","plainCitation":"Ibid s 30.","noteIndex":72},"citationItems":[{"id":262,"uris":["http://zotero.org/groups/5218944/items/BIQH7TEY"],"itemData":{"id":262,"type":"legislation","container-title":"Qld","section":"1","title":"Human Rights Act","URL":"https://www.austlii.edu.au/cgi-bin/viewdoc/au/legis/qld/consol_act/hra2019148/xx1.html?context=1;query=human%20rights%20act%202019;mask_path=","accessed":{"date-parts":[["2023",10,5]]},"issued":{"date-parts":[["2019"]]}},"locator":"s 30","label":"page"}],"schema":"https://github.com/citation-style-language/schema/raw/master/csl-citation.json"} </w:instrText>
      </w:r>
      <w:r w:rsidR="0063509B">
        <w:rPr>
          <w:color w:val="2B579A"/>
          <w:shd w:val="clear" w:color="auto" w:fill="E6E6E6"/>
        </w:rPr>
        <w:fldChar w:fldCharType="separate"/>
      </w:r>
      <w:r w:rsidR="009E595A" w:rsidRPr="009E595A">
        <w:rPr>
          <w:rFonts w:cs="Arial"/>
          <w:i/>
          <w:iCs/>
          <w:szCs w:val="24"/>
        </w:rPr>
        <w:t xml:space="preserve"> </w:t>
      </w:r>
      <w:r w:rsidR="009E595A" w:rsidRPr="008A5075">
        <w:rPr>
          <w:rFonts w:cs="Arial"/>
          <w:i/>
          <w:iCs/>
          <w:szCs w:val="24"/>
        </w:rPr>
        <w:t>Human Rights Act</w:t>
      </w:r>
      <w:r w:rsidR="009E595A" w:rsidRPr="008A5075">
        <w:rPr>
          <w:rFonts w:cs="Arial"/>
          <w:szCs w:val="24"/>
        </w:rPr>
        <w:t xml:space="preserve"> </w:t>
      </w:r>
      <w:r w:rsidR="009E595A" w:rsidRPr="008A5075">
        <w:rPr>
          <w:rFonts w:cs="Arial"/>
          <w:i/>
          <w:iCs/>
          <w:szCs w:val="24"/>
        </w:rPr>
        <w:t>2019</w:t>
      </w:r>
      <w:r w:rsidR="009E595A" w:rsidRPr="008A5075">
        <w:rPr>
          <w:rFonts w:cs="Arial"/>
          <w:szCs w:val="24"/>
        </w:rPr>
        <w:t xml:space="preserve"> (Qld)</w:t>
      </w:r>
      <w:r w:rsidR="0063509B" w:rsidRPr="0063509B">
        <w:rPr>
          <w:rFonts w:cs="Arial"/>
        </w:rPr>
        <w:t xml:space="preserve"> s 30.</w:t>
      </w:r>
      <w:r w:rsidR="0063509B">
        <w:rPr>
          <w:color w:val="2B579A"/>
          <w:shd w:val="clear" w:color="auto" w:fill="E6E6E6"/>
        </w:rPr>
        <w:fldChar w:fldCharType="end"/>
      </w:r>
    </w:p>
  </w:footnote>
  <w:footnote w:id="74">
    <w:p w14:paraId="791480EC" w14:textId="24B5B4DD" w:rsidR="00633690" w:rsidRDefault="00633690">
      <w:pPr>
        <w:pStyle w:val="FootnoteText"/>
      </w:pPr>
      <w:r>
        <w:rPr>
          <w:rStyle w:val="FootnoteReference"/>
        </w:rPr>
        <w:footnoteRef/>
      </w:r>
      <w:r>
        <w:t xml:space="preserve"> </w:t>
      </w:r>
      <w:r w:rsidR="00BB5278">
        <w:rPr>
          <w:color w:val="2B579A"/>
          <w:shd w:val="clear" w:color="auto" w:fill="E6E6E6"/>
        </w:rPr>
        <w:fldChar w:fldCharType="begin"/>
      </w:r>
      <w:r w:rsidR="008A5075">
        <w:instrText xml:space="preserve"> ADDIN ZOTERO_ITEM CSL_CITATION {"citationID":"pJ2GHs2e","properties":{"formattedCitation":"Ibid s 22.","plainCitation":"Ibid s 22.","noteIndex":73},"citationItems":[{"id":262,"uris":["http://zotero.org/groups/5218944/items/BIQH7TEY"],"itemData":{"id":262,"type":"legislation","container-title":"Qld","section":"1","title":"Human Rights Act","URL":"https://www.austlii.edu.au/cgi-bin/viewdoc/au/legis/qld/consol_act/hra2019148/xx1.html?context=1;query=human%20rights%20act%202019;mask_path=","accessed":{"date-parts":[["2023",10,5]]},"issued":{"date-parts":[["2019"]]}},"locator":"s 22","label":"page"}],"schema":"https://github.com/citation-style-language/schema/raw/master/csl-citation.json"} </w:instrText>
      </w:r>
      <w:r w:rsidR="00BB5278">
        <w:rPr>
          <w:color w:val="2B579A"/>
          <w:shd w:val="clear" w:color="auto" w:fill="E6E6E6"/>
        </w:rPr>
        <w:fldChar w:fldCharType="separate"/>
      </w:r>
      <w:r w:rsidR="009E595A" w:rsidRPr="009E595A">
        <w:rPr>
          <w:rFonts w:cs="Arial"/>
          <w:i/>
          <w:iCs/>
          <w:szCs w:val="24"/>
        </w:rPr>
        <w:t xml:space="preserve"> </w:t>
      </w:r>
      <w:r w:rsidR="009E595A" w:rsidRPr="008A5075">
        <w:rPr>
          <w:rFonts w:cs="Arial"/>
          <w:i/>
          <w:iCs/>
          <w:szCs w:val="24"/>
        </w:rPr>
        <w:t>Human Rights Act</w:t>
      </w:r>
      <w:r w:rsidR="009E595A" w:rsidRPr="008A5075">
        <w:rPr>
          <w:rFonts w:cs="Arial"/>
          <w:szCs w:val="24"/>
        </w:rPr>
        <w:t xml:space="preserve"> </w:t>
      </w:r>
      <w:r w:rsidR="009E595A" w:rsidRPr="008A5075">
        <w:rPr>
          <w:rFonts w:cs="Arial"/>
          <w:i/>
          <w:iCs/>
          <w:szCs w:val="24"/>
        </w:rPr>
        <w:t>2019</w:t>
      </w:r>
      <w:r w:rsidR="009E595A" w:rsidRPr="008A5075">
        <w:rPr>
          <w:rFonts w:cs="Arial"/>
          <w:szCs w:val="24"/>
        </w:rPr>
        <w:t xml:space="preserve"> (Qld)</w:t>
      </w:r>
      <w:r w:rsidR="00BB5278" w:rsidRPr="00BB5278">
        <w:rPr>
          <w:rFonts w:cs="Arial"/>
        </w:rPr>
        <w:t xml:space="preserve"> s 22.</w:t>
      </w:r>
      <w:r w:rsidR="00BB5278">
        <w:rPr>
          <w:color w:val="2B579A"/>
          <w:shd w:val="clear" w:color="auto" w:fill="E6E6E6"/>
        </w:rPr>
        <w:fldChar w:fldCharType="end"/>
      </w:r>
    </w:p>
  </w:footnote>
  <w:footnote w:id="75">
    <w:p w14:paraId="4D1962F3" w14:textId="69E8444B" w:rsidR="00633690" w:rsidRPr="0079499D" w:rsidRDefault="00633690">
      <w:pPr>
        <w:pStyle w:val="FootnoteText"/>
      </w:pPr>
      <w:r w:rsidRPr="0079499D">
        <w:rPr>
          <w:rStyle w:val="FootnoteReference"/>
        </w:rPr>
        <w:footnoteRef/>
      </w:r>
      <w:r w:rsidRPr="0079499D">
        <w:t xml:space="preserve"> </w:t>
      </w:r>
      <w:r w:rsidR="0077732A" w:rsidRPr="0079499D">
        <w:rPr>
          <w:color w:val="2B579A"/>
          <w:shd w:val="clear" w:color="auto" w:fill="E6E6E6"/>
        </w:rPr>
        <w:fldChar w:fldCharType="begin"/>
      </w:r>
      <w:r w:rsidR="008A5075">
        <w:instrText xml:space="preserve"> ADDIN ZOTERO_ITEM CSL_CITATION {"citationID":"qcBwHvNz","properties":{"formattedCitation":"Ibid s 26(2).","plainCitation":"Ibid s 26(2).","noteIndex":74},"citationItems":[{"id":262,"uris":["http://zotero.org/groups/5218944/items/BIQH7TEY"],"itemData":{"id":262,"type":"legislation","container-title":"Qld","section":"1","title":"Human Rights Act","URL":"https://www.austlii.edu.au/cgi-bin/viewdoc/au/legis/qld/consol_act/hra2019148/xx1.html?context=1;query=human%20rights%20act%202019;mask_path=","accessed":{"date-parts":[["2023",10,5]]},"issued":{"date-parts":[["2019"]]}},"locator":"s 26(2)","label":"page"}],"schema":"https://github.com/citation-style-language/schema/raw/master/csl-citation.json"} </w:instrText>
      </w:r>
      <w:r w:rsidR="0077732A" w:rsidRPr="0079499D">
        <w:rPr>
          <w:color w:val="2B579A"/>
          <w:shd w:val="clear" w:color="auto" w:fill="E6E6E6"/>
        </w:rPr>
        <w:fldChar w:fldCharType="separate"/>
      </w:r>
      <w:r w:rsidR="009E595A" w:rsidRPr="009E595A">
        <w:rPr>
          <w:rFonts w:cs="Arial"/>
          <w:i/>
          <w:iCs/>
          <w:szCs w:val="24"/>
        </w:rPr>
        <w:t xml:space="preserve"> </w:t>
      </w:r>
      <w:r w:rsidR="009E595A" w:rsidRPr="008A5075">
        <w:rPr>
          <w:rFonts w:cs="Arial"/>
          <w:i/>
          <w:iCs/>
          <w:szCs w:val="24"/>
        </w:rPr>
        <w:t>Human Rights Act</w:t>
      </w:r>
      <w:r w:rsidR="009E595A" w:rsidRPr="008A5075">
        <w:rPr>
          <w:rFonts w:cs="Arial"/>
          <w:szCs w:val="24"/>
        </w:rPr>
        <w:t xml:space="preserve"> </w:t>
      </w:r>
      <w:r w:rsidR="009E595A" w:rsidRPr="008A5075">
        <w:rPr>
          <w:rFonts w:cs="Arial"/>
          <w:i/>
          <w:iCs/>
          <w:szCs w:val="24"/>
        </w:rPr>
        <w:t>2019</w:t>
      </w:r>
      <w:r w:rsidR="009E595A" w:rsidRPr="008A5075">
        <w:rPr>
          <w:rFonts w:cs="Arial"/>
          <w:szCs w:val="24"/>
        </w:rPr>
        <w:t xml:space="preserve"> (Qld)</w:t>
      </w:r>
      <w:r w:rsidR="0077732A" w:rsidRPr="0079499D">
        <w:rPr>
          <w:rFonts w:cs="Arial"/>
        </w:rPr>
        <w:t xml:space="preserve"> s 26(2).</w:t>
      </w:r>
      <w:r w:rsidR="0077732A" w:rsidRPr="0079499D">
        <w:rPr>
          <w:color w:val="2B579A"/>
          <w:shd w:val="clear" w:color="auto" w:fill="E6E6E6"/>
        </w:rPr>
        <w:fldChar w:fldCharType="end"/>
      </w:r>
    </w:p>
  </w:footnote>
  <w:footnote w:id="76">
    <w:p w14:paraId="3355C628" w14:textId="0E90F26D" w:rsidR="00633690" w:rsidRPr="0079499D" w:rsidRDefault="00633690">
      <w:pPr>
        <w:pStyle w:val="FootnoteText"/>
      </w:pPr>
      <w:r w:rsidRPr="0079499D">
        <w:rPr>
          <w:rStyle w:val="FootnoteReference"/>
        </w:rPr>
        <w:footnoteRef/>
      </w:r>
      <w:r w:rsidRPr="0079499D">
        <w:t xml:space="preserve"> </w:t>
      </w:r>
      <w:r w:rsidR="0016372F" w:rsidRPr="0079499D">
        <w:rPr>
          <w:color w:val="2B579A"/>
          <w:shd w:val="clear" w:color="auto" w:fill="E6E6E6"/>
        </w:rPr>
        <w:fldChar w:fldCharType="begin"/>
      </w:r>
      <w:r w:rsidR="008A5075">
        <w:instrText xml:space="preserve"> ADDIN ZOTERO_ITEM CSL_CITATION {"citationID":"H1O0E3uo","properties":{"formattedCitation":"Ibid s 15.","plainCitation":"Ibid s 15.","noteIndex":75},"citationItems":[{"id":262,"uris":["http://zotero.org/groups/5218944/items/BIQH7TEY"],"itemData":{"id":262,"type":"legislation","container-title":"Qld","section":"1","title":"Human Rights Act","URL":"https://www.austlii.edu.au/cgi-bin/viewdoc/au/legis/qld/consol_act/hra2019148/xx1.html?context=1;query=human%20rights%20act%202019;mask_path=","accessed":{"date-parts":[["2023",10,5]]},"issued":{"date-parts":[["2019"]]}},"locator":"s 15","label":"page"}],"schema":"https://github.com/citation-style-language/schema/raw/master/csl-citation.json"} </w:instrText>
      </w:r>
      <w:r w:rsidR="0016372F" w:rsidRPr="0079499D">
        <w:rPr>
          <w:color w:val="2B579A"/>
          <w:shd w:val="clear" w:color="auto" w:fill="E6E6E6"/>
        </w:rPr>
        <w:fldChar w:fldCharType="separate"/>
      </w:r>
      <w:r w:rsidR="009E595A" w:rsidRPr="009E595A">
        <w:rPr>
          <w:rFonts w:cs="Arial"/>
          <w:i/>
          <w:iCs/>
          <w:szCs w:val="24"/>
        </w:rPr>
        <w:t xml:space="preserve"> </w:t>
      </w:r>
      <w:r w:rsidR="009E595A" w:rsidRPr="008A5075">
        <w:rPr>
          <w:rFonts w:cs="Arial"/>
          <w:i/>
          <w:iCs/>
          <w:szCs w:val="24"/>
        </w:rPr>
        <w:t>Human Rights Act</w:t>
      </w:r>
      <w:r w:rsidR="009E595A" w:rsidRPr="008A5075">
        <w:rPr>
          <w:rFonts w:cs="Arial"/>
          <w:szCs w:val="24"/>
        </w:rPr>
        <w:t xml:space="preserve"> </w:t>
      </w:r>
      <w:r w:rsidR="009E595A" w:rsidRPr="008A5075">
        <w:rPr>
          <w:rFonts w:cs="Arial"/>
          <w:i/>
          <w:iCs/>
          <w:szCs w:val="24"/>
        </w:rPr>
        <w:t>2019</w:t>
      </w:r>
      <w:r w:rsidR="009E595A" w:rsidRPr="008A5075">
        <w:rPr>
          <w:rFonts w:cs="Arial"/>
          <w:szCs w:val="24"/>
        </w:rPr>
        <w:t xml:space="preserve"> (Qld)</w:t>
      </w:r>
      <w:r w:rsidR="0016372F" w:rsidRPr="0079499D">
        <w:rPr>
          <w:rFonts w:cs="Arial"/>
        </w:rPr>
        <w:t xml:space="preserve"> s 15.</w:t>
      </w:r>
      <w:r w:rsidR="0016372F" w:rsidRPr="0079499D">
        <w:rPr>
          <w:color w:val="2B579A"/>
          <w:shd w:val="clear" w:color="auto" w:fill="E6E6E6"/>
        </w:rPr>
        <w:fldChar w:fldCharType="end"/>
      </w:r>
    </w:p>
  </w:footnote>
  <w:footnote w:id="77">
    <w:p w14:paraId="300FF021" w14:textId="454467BF" w:rsidR="00633690" w:rsidRPr="0079499D" w:rsidRDefault="00633690">
      <w:pPr>
        <w:pStyle w:val="FootnoteText"/>
      </w:pPr>
      <w:r w:rsidRPr="0079499D">
        <w:rPr>
          <w:rStyle w:val="FootnoteReference"/>
        </w:rPr>
        <w:footnoteRef/>
      </w:r>
      <w:r w:rsidRPr="0079499D">
        <w:t xml:space="preserve">  </w:t>
      </w:r>
      <w:r w:rsidR="0079499D">
        <w:rPr>
          <w:color w:val="2B579A"/>
          <w:shd w:val="clear" w:color="auto" w:fill="E6E6E6"/>
        </w:rPr>
        <w:fldChar w:fldCharType="begin"/>
      </w:r>
      <w:r w:rsidR="008A5075">
        <w:instrText xml:space="preserve"> ADDIN ZOTERO_ITEM CSL_CITATION {"citationID":"1nRPTf5r","properties":{"formattedCitation":"Ibid.","plainCitation":"Ibid.","noteIndex":76},"citationItems":[{"id":262,"uris":["http://zotero.org/groups/5218944/items/BIQH7TEY"],"itemData":{"id":262,"type":"legislation","container-title":"Qld","section":"1","title":"Human Rights Act","URL":"https://www.austlii.edu.au/cgi-bin/viewdoc/au/legis/qld/consol_act/hra2019148/xx1.html?context=1;query=human%20rights%20act%202019;mask_path=","accessed":{"date-parts":[["2023",10,5]]},"issued":{"date-parts":[["2019"]]}},"locator":"s 15","label":"page"}],"schema":"https://github.com/citation-style-language/schema/raw/master/csl-citation.json"} </w:instrText>
      </w:r>
      <w:r w:rsidR="0079499D">
        <w:rPr>
          <w:color w:val="2B579A"/>
          <w:shd w:val="clear" w:color="auto" w:fill="E6E6E6"/>
        </w:rPr>
        <w:fldChar w:fldCharType="separate"/>
      </w:r>
      <w:r w:rsidR="009E595A" w:rsidRPr="008A5075">
        <w:rPr>
          <w:rFonts w:cs="Arial"/>
          <w:i/>
          <w:iCs/>
          <w:szCs w:val="24"/>
        </w:rPr>
        <w:t>Human Rights Act</w:t>
      </w:r>
      <w:r w:rsidR="009E595A" w:rsidRPr="008A5075">
        <w:rPr>
          <w:rFonts w:cs="Arial"/>
          <w:szCs w:val="24"/>
        </w:rPr>
        <w:t xml:space="preserve"> </w:t>
      </w:r>
      <w:r w:rsidR="009E595A" w:rsidRPr="008A5075">
        <w:rPr>
          <w:rFonts w:cs="Arial"/>
          <w:i/>
          <w:iCs/>
          <w:szCs w:val="24"/>
        </w:rPr>
        <w:t>2019</w:t>
      </w:r>
      <w:r w:rsidR="009E595A" w:rsidRPr="008A5075">
        <w:rPr>
          <w:rFonts w:cs="Arial"/>
          <w:szCs w:val="24"/>
        </w:rPr>
        <w:t xml:space="preserve"> (Qld)</w:t>
      </w:r>
      <w:r w:rsidR="009E595A" w:rsidRPr="0079499D">
        <w:rPr>
          <w:rFonts w:cs="Arial"/>
        </w:rPr>
        <w:t xml:space="preserve"> s 15</w:t>
      </w:r>
      <w:r w:rsidR="0079499D">
        <w:rPr>
          <w:color w:val="2B579A"/>
          <w:shd w:val="clear" w:color="auto" w:fill="E6E6E6"/>
        </w:rPr>
        <w:fldChar w:fldCharType="end"/>
      </w:r>
      <w:r w:rsidR="009E595A">
        <w:rPr>
          <w:color w:val="2B579A"/>
          <w:shd w:val="clear" w:color="auto" w:fill="E6E6E6"/>
        </w:rPr>
        <w:t>.</w:t>
      </w:r>
    </w:p>
  </w:footnote>
  <w:footnote w:id="78">
    <w:p w14:paraId="5B3DFF67" w14:textId="6C4CDD7B" w:rsidR="00633690" w:rsidRPr="0079499D" w:rsidRDefault="00633690">
      <w:pPr>
        <w:pStyle w:val="FootnoteText"/>
      </w:pPr>
      <w:r w:rsidRPr="0079499D">
        <w:rPr>
          <w:rStyle w:val="FootnoteReference"/>
        </w:rPr>
        <w:footnoteRef/>
      </w:r>
      <w:r w:rsidRPr="0079499D">
        <w:t xml:space="preserve"> </w:t>
      </w:r>
      <w:r w:rsidR="00500D85">
        <w:rPr>
          <w:color w:val="2B579A"/>
          <w:shd w:val="clear" w:color="auto" w:fill="E6E6E6"/>
        </w:rPr>
        <w:fldChar w:fldCharType="begin"/>
      </w:r>
      <w:r w:rsidR="008A5075">
        <w:instrText xml:space="preserve"> ADDIN ZOTERO_ITEM CSL_CITATION {"citationID":"Bc0EhAwo","properties":{"formattedCitation":"Ibid s 26.","plainCitation":"Ibid s 26.","noteIndex":77},"citationItems":[{"id":262,"uris":["http://zotero.org/groups/5218944/items/BIQH7TEY"],"itemData":{"id":262,"type":"legislation","container-title":"Qld","section":"1","title":"Human Rights Act","URL":"https://www.austlii.edu.au/cgi-bin/viewdoc/au/legis/qld/consol_act/hra2019148/xx1.html?context=1;query=human%20rights%20act%202019;mask_path=","accessed":{"date-parts":[["2023",10,5]]},"issued":{"date-parts":[["2019"]]}},"locator":"s 26","label":"page"}],"schema":"https://github.com/citation-style-language/schema/raw/master/csl-citation.json"} </w:instrText>
      </w:r>
      <w:r w:rsidR="00500D85">
        <w:rPr>
          <w:color w:val="2B579A"/>
          <w:shd w:val="clear" w:color="auto" w:fill="E6E6E6"/>
        </w:rPr>
        <w:fldChar w:fldCharType="separate"/>
      </w:r>
      <w:r w:rsidR="009E595A" w:rsidRPr="009E595A">
        <w:rPr>
          <w:rFonts w:cs="Arial"/>
          <w:i/>
          <w:iCs/>
          <w:szCs w:val="24"/>
        </w:rPr>
        <w:t xml:space="preserve"> </w:t>
      </w:r>
      <w:r w:rsidR="009E595A" w:rsidRPr="008A5075">
        <w:rPr>
          <w:rFonts w:cs="Arial"/>
          <w:i/>
          <w:iCs/>
          <w:szCs w:val="24"/>
        </w:rPr>
        <w:t>Human Rights Act</w:t>
      </w:r>
      <w:r w:rsidR="009E595A" w:rsidRPr="008A5075">
        <w:rPr>
          <w:rFonts w:cs="Arial"/>
          <w:szCs w:val="24"/>
        </w:rPr>
        <w:t xml:space="preserve"> </w:t>
      </w:r>
      <w:r w:rsidR="009E595A" w:rsidRPr="008A5075">
        <w:rPr>
          <w:rFonts w:cs="Arial"/>
          <w:i/>
          <w:iCs/>
          <w:szCs w:val="24"/>
        </w:rPr>
        <w:t>2019</w:t>
      </w:r>
      <w:r w:rsidR="009E595A" w:rsidRPr="008A5075">
        <w:rPr>
          <w:rFonts w:cs="Arial"/>
          <w:szCs w:val="24"/>
        </w:rPr>
        <w:t xml:space="preserve"> (Qld)</w:t>
      </w:r>
      <w:r w:rsidR="00E6483F" w:rsidRPr="00E6483F">
        <w:rPr>
          <w:rFonts w:cs="Arial"/>
        </w:rPr>
        <w:t xml:space="preserve"> s 26.</w:t>
      </w:r>
      <w:r w:rsidR="00500D85">
        <w:rPr>
          <w:color w:val="2B579A"/>
          <w:shd w:val="clear" w:color="auto" w:fill="E6E6E6"/>
        </w:rPr>
        <w:fldChar w:fldCharType="end"/>
      </w:r>
    </w:p>
  </w:footnote>
  <w:footnote w:id="79">
    <w:p w14:paraId="28F136B7" w14:textId="5BD9A261" w:rsidR="00633690" w:rsidRDefault="00633690">
      <w:pPr>
        <w:pStyle w:val="FootnoteText"/>
      </w:pPr>
      <w:r w:rsidRPr="0079499D">
        <w:rPr>
          <w:rStyle w:val="FootnoteReference"/>
        </w:rPr>
        <w:footnoteRef/>
      </w:r>
      <w:r w:rsidRPr="0079499D">
        <w:t xml:space="preserve"> </w:t>
      </w:r>
      <w:r w:rsidR="00C14A85">
        <w:rPr>
          <w:color w:val="2B579A"/>
          <w:shd w:val="clear" w:color="auto" w:fill="E6E6E6"/>
        </w:rPr>
        <w:fldChar w:fldCharType="begin"/>
      </w:r>
      <w:r w:rsidR="008A5075">
        <w:instrText xml:space="preserve"> ADDIN ZOTERO_ITEM CSL_CITATION {"citationID":"XnwJGCUq","properties":{"formattedCitation":"Ibid s 31.","plainCitation":"Ibid s 31.","noteIndex":78},"citationItems":[{"id":262,"uris":["http://zotero.org/groups/5218944/items/BIQH7TEY"],"itemData":{"id":262,"type":"legislation","container-title":"Qld","section":"1","title":"Human Rights Act","URL":"https://www.austlii.edu.au/cgi-bin/viewdoc/au/legis/qld/consol_act/hra2019148/xx1.html?context=1;query=human%20rights%20act%202019;mask_path=","accessed":{"date-parts":[["2023",10,5]]},"issued":{"date-parts":[["2019"]]}},"locator":"s 31","label":"page"}],"schema":"https://github.com/citation-style-language/schema/raw/master/csl-citation.json"} </w:instrText>
      </w:r>
      <w:r w:rsidR="00C14A85">
        <w:rPr>
          <w:color w:val="2B579A"/>
          <w:shd w:val="clear" w:color="auto" w:fill="E6E6E6"/>
        </w:rPr>
        <w:fldChar w:fldCharType="separate"/>
      </w:r>
      <w:r w:rsidR="009E595A" w:rsidRPr="009E595A">
        <w:rPr>
          <w:rFonts w:cs="Arial"/>
          <w:i/>
          <w:iCs/>
          <w:szCs w:val="24"/>
        </w:rPr>
        <w:t xml:space="preserve"> </w:t>
      </w:r>
      <w:r w:rsidR="009E595A" w:rsidRPr="008A5075">
        <w:rPr>
          <w:rFonts w:cs="Arial"/>
          <w:i/>
          <w:iCs/>
          <w:szCs w:val="24"/>
        </w:rPr>
        <w:t>Human Rights Act</w:t>
      </w:r>
      <w:r w:rsidR="009E595A" w:rsidRPr="008A5075">
        <w:rPr>
          <w:rFonts w:cs="Arial"/>
          <w:szCs w:val="24"/>
        </w:rPr>
        <w:t xml:space="preserve"> </w:t>
      </w:r>
      <w:r w:rsidR="009E595A" w:rsidRPr="008A5075">
        <w:rPr>
          <w:rFonts w:cs="Arial"/>
          <w:i/>
          <w:iCs/>
          <w:szCs w:val="24"/>
        </w:rPr>
        <w:t>2019</w:t>
      </w:r>
      <w:r w:rsidR="009E595A" w:rsidRPr="008A5075">
        <w:rPr>
          <w:rFonts w:cs="Arial"/>
          <w:szCs w:val="24"/>
        </w:rPr>
        <w:t xml:space="preserve"> (Qld)</w:t>
      </w:r>
      <w:r w:rsidR="00C14A85" w:rsidRPr="00C14A85">
        <w:rPr>
          <w:rFonts w:cs="Arial"/>
        </w:rPr>
        <w:t xml:space="preserve"> s 31.</w:t>
      </w:r>
      <w:r w:rsidR="00C14A85">
        <w:rPr>
          <w:color w:val="2B579A"/>
          <w:shd w:val="clear" w:color="auto" w:fill="E6E6E6"/>
        </w:rPr>
        <w:fldChar w:fldCharType="end"/>
      </w:r>
    </w:p>
  </w:footnote>
  <w:footnote w:id="80">
    <w:p w14:paraId="15A308D2" w14:textId="47375641" w:rsidR="00633690" w:rsidRPr="00EC636C" w:rsidRDefault="00633690">
      <w:pPr>
        <w:pStyle w:val="FootnoteText"/>
      </w:pPr>
      <w:r w:rsidRPr="00EC636C">
        <w:rPr>
          <w:rStyle w:val="FootnoteReference"/>
        </w:rPr>
        <w:footnoteRef/>
      </w:r>
      <w:r w:rsidRPr="00EC636C">
        <w:t xml:space="preserve"> </w:t>
      </w:r>
      <w:r w:rsidR="00041DC3" w:rsidRPr="00EC636C">
        <w:rPr>
          <w:color w:val="2B579A"/>
          <w:shd w:val="clear" w:color="auto" w:fill="E6E6E6"/>
        </w:rPr>
        <w:fldChar w:fldCharType="begin"/>
      </w:r>
      <w:r w:rsidR="008A5075">
        <w:instrText xml:space="preserve"> ADDIN ZOTERO_ITEM CSL_CITATION {"citationID":"ZrwztrPO","properties":{"formattedCitation":"Ibid s 15.","plainCitation":"Ibid s 15.","noteIndex":79},"citationItems":[{"id":262,"uris":["http://zotero.org/groups/5218944/items/BIQH7TEY"],"itemData":{"id":262,"type":"legislation","container-title":"Qld","section":"1","title":"Human Rights Act","URL":"https://www.austlii.edu.au/cgi-bin/viewdoc/au/legis/qld/consol_act/hra2019148/xx1.html?context=1;query=human%20rights%20act%202019;mask_path=","accessed":{"date-parts":[["2023",10,5]]},"issued":{"date-parts":[["2019"]]}},"locator":"s 15","label":"page"}],"schema":"https://github.com/citation-style-language/schema/raw/master/csl-citation.json"} </w:instrText>
      </w:r>
      <w:r w:rsidR="00041DC3" w:rsidRPr="00EC636C">
        <w:rPr>
          <w:color w:val="2B579A"/>
          <w:shd w:val="clear" w:color="auto" w:fill="E6E6E6"/>
        </w:rPr>
        <w:fldChar w:fldCharType="separate"/>
      </w:r>
      <w:r w:rsidR="009E595A" w:rsidRPr="009E595A">
        <w:rPr>
          <w:rFonts w:cs="Arial"/>
          <w:i/>
          <w:iCs/>
          <w:szCs w:val="24"/>
        </w:rPr>
        <w:t xml:space="preserve"> </w:t>
      </w:r>
      <w:r w:rsidR="009E595A" w:rsidRPr="008A5075">
        <w:rPr>
          <w:rFonts w:cs="Arial"/>
          <w:i/>
          <w:iCs/>
          <w:szCs w:val="24"/>
        </w:rPr>
        <w:t>Human Rights Act</w:t>
      </w:r>
      <w:r w:rsidR="009E595A" w:rsidRPr="008A5075">
        <w:rPr>
          <w:rFonts w:cs="Arial"/>
          <w:szCs w:val="24"/>
        </w:rPr>
        <w:t xml:space="preserve"> </w:t>
      </w:r>
      <w:r w:rsidR="009E595A" w:rsidRPr="008A5075">
        <w:rPr>
          <w:rFonts w:cs="Arial"/>
          <w:i/>
          <w:iCs/>
          <w:szCs w:val="24"/>
        </w:rPr>
        <w:t>2019</w:t>
      </w:r>
      <w:r w:rsidR="009E595A" w:rsidRPr="008A5075">
        <w:rPr>
          <w:rFonts w:cs="Arial"/>
          <w:szCs w:val="24"/>
        </w:rPr>
        <w:t xml:space="preserve"> (Qld)</w:t>
      </w:r>
      <w:r w:rsidR="00041DC3" w:rsidRPr="00EC636C">
        <w:rPr>
          <w:rFonts w:cs="Arial"/>
        </w:rPr>
        <w:t xml:space="preserve"> s 15.</w:t>
      </w:r>
      <w:r w:rsidR="00041DC3" w:rsidRPr="00EC636C">
        <w:rPr>
          <w:color w:val="2B579A"/>
          <w:shd w:val="clear" w:color="auto" w:fill="E6E6E6"/>
        </w:rPr>
        <w:fldChar w:fldCharType="end"/>
      </w:r>
    </w:p>
  </w:footnote>
  <w:footnote w:id="81">
    <w:p w14:paraId="24437AFD" w14:textId="30F4CE7C" w:rsidR="00633690" w:rsidRPr="00EC636C" w:rsidRDefault="00633690">
      <w:pPr>
        <w:pStyle w:val="FootnoteText"/>
      </w:pPr>
      <w:r w:rsidRPr="00EC636C">
        <w:rPr>
          <w:rStyle w:val="FootnoteReference"/>
        </w:rPr>
        <w:footnoteRef/>
      </w:r>
      <w:r w:rsidRPr="00EC636C">
        <w:t xml:space="preserve"> </w:t>
      </w:r>
      <w:r w:rsidR="006D2D0D" w:rsidRPr="00EC636C">
        <w:rPr>
          <w:color w:val="2B579A"/>
          <w:shd w:val="clear" w:color="auto" w:fill="E6E6E6"/>
        </w:rPr>
        <w:fldChar w:fldCharType="begin"/>
      </w:r>
      <w:r w:rsidR="008A5075">
        <w:instrText xml:space="preserve"> ADDIN ZOTERO_ITEM CSL_CITATION {"citationID":"7JdJQYHO","properties":{"formattedCitation":"Ibid s 25.","plainCitation":"Ibid s 25.","noteIndex":80},"citationItems":[{"id":262,"uris":["http://zotero.org/groups/5218944/items/BIQH7TEY"],"itemData":{"id":262,"type":"legislation","container-title":"Qld","section":"1","title":"Human Rights Act","URL":"https://www.austlii.edu.au/cgi-bin/viewdoc/au/legis/qld/consol_act/hra2019148/xx1.html?context=1;query=human%20rights%20act%202019;mask_path=","accessed":{"date-parts":[["2023",10,5]]},"issued":{"date-parts":[["2019"]]}},"locator":"s 25","label":"page"}],"schema":"https://github.com/citation-style-language/schema/raw/master/csl-citation.json"} </w:instrText>
      </w:r>
      <w:r w:rsidR="006D2D0D" w:rsidRPr="00EC636C">
        <w:rPr>
          <w:color w:val="2B579A"/>
          <w:shd w:val="clear" w:color="auto" w:fill="E6E6E6"/>
        </w:rPr>
        <w:fldChar w:fldCharType="separate"/>
      </w:r>
      <w:r w:rsidR="009E595A" w:rsidRPr="009E595A">
        <w:rPr>
          <w:rFonts w:cs="Arial"/>
          <w:i/>
          <w:iCs/>
          <w:szCs w:val="24"/>
        </w:rPr>
        <w:t xml:space="preserve"> </w:t>
      </w:r>
      <w:r w:rsidR="009E595A" w:rsidRPr="008A5075">
        <w:rPr>
          <w:rFonts w:cs="Arial"/>
          <w:i/>
          <w:iCs/>
          <w:szCs w:val="24"/>
        </w:rPr>
        <w:t>Human Rights Act</w:t>
      </w:r>
      <w:r w:rsidR="009E595A" w:rsidRPr="008A5075">
        <w:rPr>
          <w:rFonts w:cs="Arial"/>
          <w:szCs w:val="24"/>
        </w:rPr>
        <w:t xml:space="preserve"> </w:t>
      </w:r>
      <w:r w:rsidR="009E595A" w:rsidRPr="008A5075">
        <w:rPr>
          <w:rFonts w:cs="Arial"/>
          <w:i/>
          <w:iCs/>
          <w:szCs w:val="24"/>
        </w:rPr>
        <w:t>2019</w:t>
      </w:r>
      <w:r w:rsidR="009E595A" w:rsidRPr="008A5075">
        <w:rPr>
          <w:rFonts w:cs="Arial"/>
          <w:szCs w:val="24"/>
        </w:rPr>
        <w:t xml:space="preserve"> (Qld)</w:t>
      </w:r>
      <w:r w:rsidR="006D2D0D" w:rsidRPr="00EC636C">
        <w:rPr>
          <w:rFonts w:cs="Arial"/>
        </w:rPr>
        <w:t xml:space="preserve"> s 25.</w:t>
      </w:r>
      <w:r w:rsidR="006D2D0D" w:rsidRPr="00EC636C">
        <w:rPr>
          <w:color w:val="2B579A"/>
          <w:shd w:val="clear" w:color="auto" w:fill="E6E6E6"/>
        </w:rPr>
        <w:fldChar w:fldCharType="end"/>
      </w:r>
    </w:p>
  </w:footnote>
  <w:footnote w:id="82">
    <w:p w14:paraId="54BBD5D0" w14:textId="3AA240D7" w:rsidR="00633690" w:rsidRPr="00EC636C" w:rsidRDefault="00633690">
      <w:pPr>
        <w:pStyle w:val="FootnoteText"/>
      </w:pPr>
      <w:r w:rsidRPr="00EC636C">
        <w:rPr>
          <w:rStyle w:val="FootnoteReference"/>
        </w:rPr>
        <w:footnoteRef/>
      </w:r>
      <w:r w:rsidRPr="00EC636C">
        <w:t xml:space="preserve"> </w:t>
      </w:r>
      <w:r w:rsidR="00394DCF" w:rsidRPr="00EC636C">
        <w:rPr>
          <w:color w:val="2B579A"/>
          <w:shd w:val="clear" w:color="auto" w:fill="E6E6E6"/>
        </w:rPr>
        <w:fldChar w:fldCharType="begin"/>
      </w:r>
      <w:r w:rsidR="008A5075">
        <w:instrText xml:space="preserve"> ADDIN ZOTERO_ITEM CSL_CITATION {"citationID":"Lgqb8e25","properties":{"formattedCitation":"Ibid s 37.","plainCitation":"Ibid s 37.","noteIndex":81},"citationItems":[{"id":262,"uris":["http://zotero.org/groups/5218944/items/BIQH7TEY"],"itemData":{"id":262,"type":"legislation","container-title":"Qld","section":"1","title":"Human Rights Act","URL":"https://www.austlii.edu.au/cgi-bin/viewdoc/au/legis/qld/consol_act/hra2019148/xx1.html?context=1;query=human%20rights%20act%202019;mask_path=","accessed":{"date-parts":[["2023",10,5]]},"issued":{"date-parts":[["2019"]]}},"locator":"s 37","label":"page"}],"schema":"https://github.com/citation-style-language/schema/raw/master/csl-citation.json"} </w:instrText>
      </w:r>
      <w:r w:rsidR="00394DCF" w:rsidRPr="00EC636C">
        <w:rPr>
          <w:color w:val="2B579A"/>
          <w:shd w:val="clear" w:color="auto" w:fill="E6E6E6"/>
        </w:rPr>
        <w:fldChar w:fldCharType="separate"/>
      </w:r>
      <w:r w:rsidR="009E595A" w:rsidRPr="009E595A">
        <w:rPr>
          <w:rFonts w:cs="Arial"/>
          <w:i/>
          <w:iCs/>
          <w:szCs w:val="24"/>
        </w:rPr>
        <w:t xml:space="preserve"> </w:t>
      </w:r>
      <w:r w:rsidR="009E595A" w:rsidRPr="008A5075">
        <w:rPr>
          <w:rFonts w:cs="Arial"/>
          <w:i/>
          <w:iCs/>
          <w:szCs w:val="24"/>
        </w:rPr>
        <w:t>Human Rights Act</w:t>
      </w:r>
      <w:r w:rsidR="009E595A" w:rsidRPr="008A5075">
        <w:rPr>
          <w:rFonts w:cs="Arial"/>
          <w:szCs w:val="24"/>
        </w:rPr>
        <w:t xml:space="preserve"> </w:t>
      </w:r>
      <w:r w:rsidR="009E595A" w:rsidRPr="008A5075">
        <w:rPr>
          <w:rFonts w:cs="Arial"/>
          <w:i/>
          <w:iCs/>
          <w:szCs w:val="24"/>
        </w:rPr>
        <w:t>2019</w:t>
      </w:r>
      <w:r w:rsidR="009E595A" w:rsidRPr="008A5075">
        <w:rPr>
          <w:rFonts w:cs="Arial"/>
          <w:szCs w:val="24"/>
        </w:rPr>
        <w:t xml:space="preserve"> (Qld)</w:t>
      </w:r>
      <w:r w:rsidR="00394DCF" w:rsidRPr="00EC636C">
        <w:rPr>
          <w:rFonts w:cs="Arial"/>
        </w:rPr>
        <w:t xml:space="preserve"> s 37.</w:t>
      </w:r>
      <w:r w:rsidR="00394DCF" w:rsidRPr="00EC636C">
        <w:rPr>
          <w:color w:val="2B579A"/>
          <w:shd w:val="clear" w:color="auto" w:fill="E6E6E6"/>
        </w:rPr>
        <w:fldChar w:fldCharType="end"/>
      </w:r>
    </w:p>
  </w:footnote>
  <w:footnote w:id="83">
    <w:p w14:paraId="68CB3A84" w14:textId="7D9E511E" w:rsidR="00633690" w:rsidRPr="00EC636C" w:rsidRDefault="00633690">
      <w:pPr>
        <w:pStyle w:val="FootnoteText"/>
      </w:pPr>
      <w:r w:rsidRPr="00EC636C">
        <w:rPr>
          <w:rStyle w:val="FootnoteReference"/>
        </w:rPr>
        <w:footnoteRef/>
      </w:r>
      <w:r w:rsidRPr="00EC636C">
        <w:t xml:space="preserve"> </w:t>
      </w:r>
      <w:r w:rsidR="00B262F9" w:rsidRPr="00EC636C">
        <w:rPr>
          <w:color w:val="2B579A"/>
          <w:shd w:val="clear" w:color="auto" w:fill="E6E6E6"/>
        </w:rPr>
        <w:fldChar w:fldCharType="begin"/>
      </w:r>
      <w:r w:rsidR="008A5075">
        <w:instrText xml:space="preserve"> ADDIN ZOTERO_ITEM CSL_CITATION {"citationID":"3mZtA14M","properties":{"formattedCitation":"Ibid s 29.","plainCitation":"Ibid s 29.","noteIndex":82},"citationItems":[{"id":262,"uris":["http://zotero.org/groups/5218944/items/BIQH7TEY"],"itemData":{"id":262,"type":"legislation","container-title":"Qld","section":"1","title":"Human Rights Act","URL":"https://www.austlii.edu.au/cgi-bin/viewdoc/au/legis/qld/consol_act/hra2019148/xx1.html?context=1;query=human%20rights%20act%202019;mask_path=","accessed":{"date-parts":[["2023",10,5]]},"issued":{"date-parts":[["2019"]]}},"locator":"s 29","label":"page"}],"schema":"https://github.com/citation-style-language/schema/raw/master/csl-citation.json"} </w:instrText>
      </w:r>
      <w:r w:rsidR="00B262F9" w:rsidRPr="00EC636C">
        <w:rPr>
          <w:color w:val="2B579A"/>
          <w:shd w:val="clear" w:color="auto" w:fill="E6E6E6"/>
        </w:rPr>
        <w:fldChar w:fldCharType="separate"/>
      </w:r>
      <w:r w:rsidR="009E595A" w:rsidRPr="009E595A">
        <w:rPr>
          <w:rFonts w:cs="Arial"/>
          <w:i/>
          <w:iCs/>
          <w:szCs w:val="24"/>
        </w:rPr>
        <w:t xml:space="preserve"> </w:t>
      </w:r>
      <w:r w:rsidR="009E595A" w:rsidRPr="008A5075">
        <w:rPr>
          <w:rFonts w:cs="Arial"/>
          <w:i/>
          <w:iCs/>
          <w:szCs w:val="24"/>
        </w:rPr>
        <w:t>Human Rights Act</w:t>
      </w:r>
      <w:r w:rsidR="009E595A" w:rsidRPr="008A5075">
        <w:rPr>
          <w:rFonts w:cs="Arial"/>
          <w:szCs w:val="24"/>
        </w:rPr>
        <w:t xml:space="preserve"> </w:t>
      </w:r>
      <w:r w:rsidR="009E595A" w:rsidRPr="008A5075">
        <w:rPr>
          <w:rFonts w:cs="Arial"/>
          <w:i/>
          <w:iCs/>
          <w:szCs w:val="24"/>
        </w:rPr>
        <w:t>2019</w:t>
      </w:r>
      <w:r w:rsidR="009E595A" w:rsidRPr="008A5075">
        <w:rPr>
          <w:rFonts w:cs="Arial"/>
          <w:szCs w:val="24"/>
        </w:rPr>
        <w:t xml:space="preserve"> (Qld)</w:t>
      </w:r>
      <w:r w:rsidR="00B262F9" w:rsidRPr="00EC636C">
        <w:rPr>
          <w:rFonts w:cs="Arial"/>
        </w:rPr>
        <w:t xml:space="preserve"> s 29.</w:t>
      </w:r>
      <w:r w:rsidR="00B262F9" w:rsidRPr="00EC636C">
        <w:rPr>
          <w:color w:val="2B579A"/>
          <w:shd w:val="clear" w:color="auto" w:fill="E6E6E6"/>
        </w:rPr>
        <w:fldChar w:fldCharType="end"/>
      </w:r>
    </w:p>
  </w:footnote>
  <w:footnote w:id="84">
    <w:p w14:paraId="59D5E650" w14:textId="3D9AE402" w:rsidR="00633690" w:rsidRPr="00EC636C" w:rsidRDefault="00633690">
      <w:pPr>
        <w:pStyle w:val="FootnoteText"/>
      </w:pPr>
      <w:r w:rsidRPr="00EC636C">
        <w:rPr>
          <w:rStyle w:val="FootnoteReference"/>
        </w:rPr>
        <w:footnoteRef/>
      </w:r>
      <w:r w:rsidRPr="00EC636C">
        <w:t xml:space="preserve"> </w:t>
      </w:r>
      <w:r w:rsidR="00D5389D" w:rsidRPr="00EC636C">
        <w:rPr>
          <w:color w:val="2B579A"/>
          <w:shd w:val="clear" w:color="auto" w:fill="E6E6E6"/>
        </w:rPr>
        <w:fldChar w:fldCharType="begin"/>
      </w:r>
      <w:r w:rsidR="008A5075">
        <w:instrText xml:space="preserve"> ADDIN ZOTERO_ITEM CSL_CITATION {"citationID":"qjemqta6","properties":{"formattedCitation":"Ibid s 15.","plainCitation":"Ibid s 15.","noteIndex":83},"citationItems":[{"id":262,"uris":["http://zotero.org/groups/5218944/items/BIQH7TEY"],"itemData":{"id":262,"type":"legislation","container-title":"Qld","section":"1","title":"Human Rights Act","URL":"https://www.austlii.edu.au/cgi-bin/viewdoc/au/legis/qld/consol_act/hra2019148/xx1.html?context=1;query=human%20rights%20act%202019;mask_path=","accessed":{"date-parts":[["2023",10,5]]},"issued":{"date-parts":[["2019"]]}},"locator":"s 15","label":"page"}],"schema":"https://github.com/citation-style-language/schema/raw/master/csl-citation.json"} </w:instrText>
      </w:r>
      <w:r w:rsidR="00D5389D" w:rsidRPr="00EC636C">
        <w:rPr>
          <w:color w:val="2B579A"/>
          <w:shd w:val="clear" w:color="auto" w:fill="E6E6E6"/>
        </w:rPr>
        <w:fldChar w:fldCharType="separate"/>
      </w:r>
      <w:r w:rsidR="009E595A" w:rsidRPr="009E595A">
        <w:rPr>
          <w:rFonts w:cs="Arial"/>
          <w:i/>
          <w:iCs/>
          <w:szCs w:val="24"/>
        </w:rPr>
        <w:t xml:space="preserve"> </w:t>
      </w:r>
      <w:r w:rsidR="009E595A" w:rsidRPr="008A5075">
        <w:rPr>
          <w:rFonts w:cs="Arial"/>
          <w:i/>
          <w:iCs/>
          <w:szCs w:val="24"/>
        </w:rPr>
        <w:t>Human Rights Act</w:t>
      </w:r>
      <w:r w:rsidR="009E595A" w:rsidRPr="008A5075">
        <w:rPr>
          <w:rFonts w:cs="Arial"/>
          <w:szCs w:val="24"/>
        </w:rPr>
        <w:t xml:space="preserve"> </w:t>
      </w:r>
      <w:r w:rsidR="009E595A" w:rsidRPr="008A5075">
        <w:rPr>
          <w:rFonts w:cs="Arial"/>
          <w:i/>
          <w:iCs/>
          <w:szCs w:val="24"/>
        </w:rPr>
        <w:t>2019</w:t>
      </w:r>
      <w:r w:rsidR="009E595A" w:rsidRPr="008A5075">
        <w:rPr>
          <w:rFonts w:cs="Arial"/>
          <w:szCs w:val="24"/>
        </w:rPr>
        <w:t xml:space="preserve"> (Qld)</w:t>
      </w:r>
      <w:r w:rsidR="00D5389D" w:rsidRPr="00EC636C">
        <w:rPr>
          <w:rFonts w:cs="Arial"/>
        </w:rPr>
        <w:t xml:space="preserve"> s 15.</w:t>
      </w:r>
      <w:r w:rsidR="00D5389D" w:rsidRPr="00EC636C">
        <w:rPr>
          <w:color w:val="2B579A"/>
          <w:shd w:val="clear" w:color="auto" w:fill="E6E6E6"/>
        </w:rPr>
        <w:fldChar w:fldCharType="end"/>
      </w:r>
    </w:p>
  </w:footnote>
  <w:footnote w:id="85">
    <w:p w14:paraId="5BFF3808" w14:textId="7A2A0128" w:rsidR="00633690" w:rsidRDefault="00633690">
      <w:pPr>
        <w:pStyle w:val="FootnoteText"/>
      </w:pPr>
      <w:r w:rsidRPr="00EC636C">
        <w:rPr>
          <w:rStyle w:val="FootnoteReference"/>
        </w:rPr>
        <w:footnoteRef/>
      </w:r>
      <w:r w:rsidRPr="00EC636C">
        <w:t xml:space="preserve"> </w:t>
      </w:r>
      <w:r w:rsidR="00B470A0" w:rsidRPr="00EC636C">
        <w:rPr>
          <w:color w:val="2B579A"/>
          <w:shd w:val="clear" w:color="auto" w:fill="E6E6E6"/>
        </w:rPr>
        <w:fldChar w:fldCharType="begin"/>
      </w:r>
      <w:r w:rsidR="008A5075">
        <w:instrText xml:space="preserve"> ADDIN ZOTERO_ITEM CSL_CITATION {"citationID":"N66bW8E4","properties":{"formattedCitation":"Ibid s 17(1)(c).","plainCitation":"Ibid s 17(1)(c).","noteIndex":84},"citationItems":[{"id":262,"uris":["http://zotero.org/groups/5218944/items/BIQH7TEY"],"itemData":{"id":262,"type":"legislation","container-title":"Qld","section":"1","title":"Human Rights Act","URL":"https://www.austlii.edu.au/cgi-bin/viewdoc/au/legis/qld/consol_act/hra2019148/xx1.html?context=1;query=human%20rights%20act%202019;mask_path=","accessed":{"date-parts":[["2023",10,5]]},"issued":{"date-parts":[["2019"]]}},"locator":"s 17(1)(c)","label":"page"}],"schema":"https://github.com/citation-style-language/schema/raw/master/csl-citation.json"} </w:instrText>
      </w:r>
      <w:r w:rsidR="00B470A0" w:rsidRPr="00EC636C">
        <w:rPr>
          <w:color w:val="2B579A"/>
          <w:shd w:val="clear" w:color="auto" w:fill="E6E6E6"/>
        </w:rPr>
        <w:fldChar w:fldCharType="separate"/>
      </w:r>
      <w:r w:rsidR="009E595A" w:rsidRPr="009E595A">
        <w:rPr>
          <w:rFonts w:cs="Arial"/>
          <w:i/>
          <w:iCs/>
          <w:szCs w:val="24"/>
        </w:rPr>
        <w:t xml:space="preserve"> </w:t>
      </w:r>
      <w:r w:rsidR="009E595A" w:rsidRPr="008A5075">
        <w:rPr>
          <w:rFonts w:cs="Arial"/>
          <w:i/>
          <w:iCs/>
          <w:szCs w:val="24"/>
        </w:rPr>
        <w:t>Human Rights Act</w:t>
      </w:r>
      <w:r w:rsidR="009E595A" w:rsidRPr="008A5075">
        <w:rPr>
          <w:rFonts w:cs="Arial"/>
          <w:szCs w:val="24"/>
        </w:rPr>
        <w:t xml:space="preserve"> </w:t>
      </w:r>
      <w:r w:rsidR="009E595A" w:rsidRPr="008A5075">
        <w:rPr>
          <w:rFonts w:cs="Arial"/>
          <w:i/>
          <w:iCs/>
          <w:szCs w:val="24"/>
        </w:rPr>
        <w:t>2019</w:t>
      </w:r>
      <w:r w:rsidR="009E595A" w:rsidRPr="008A5075">
        <w:rPr>
          <w:rFonts w:cs="Arial"/>
          <w:szCs w:val="24"/>
        </w:rPr>
        <w:t xml:space="preserve"> (Qld)</w:t>
      </w:r>
      <w:r w:rsidR="00B470A0" w:rsidRPr="00EC636C">
        <w:rPr>
          <w:rFonts w:cs="Arial"/>
        </w:rPr>
        <w:t xml:space="preserve"> s 17(1)(c).</w:t>
      </w:r>
      <w:r w:rsidR="00B470A0" w:rsidRPr="00EC636C">
        <w:rPr>
          <w:color w:val="2B579A"/>
          <w:shd w:val="clear" w:color="auto" w:fill="E6E6E6"/>
        </w:rPr>
        <w:fldChar w:fldCharType="end"/>
      </w:r>
    </w:p>
  </w:footnote>
  <w:footnote w:id="86">
    <w:p w14:paraId="0AF621F8" w14:textId="3E5059B6" w:rsidR="00AB28DE" w:rsidRPr="00AB28DE" w:rsidRDefault="00AB28DE">
      <w:pPr>
        <w:pStyle w:val="FootnoteText"/>
        <w:rPr>
          <w:lang w:val="en-US"/>
        </w:rPr>
      </w:pPr>
      <w:r>
        <w:rPr>
          <w:rStyle w:val="FootnoteReference"/>
        </w:rPr>
        <w:footnoteRef/>
      </w:r>
      <w:r>
        <w:t xml:space="preserve"> </w:t>
      </w:r>
      <w:r w:rsidRPr="00D7375F">
        <w:rPr>
          <w:rFonts w:eastAsia="Calibri" w:cs="Arial"/>
          <w:i/>
        </w:rPr>
        <w:t>Wood v The King &amp; Anor</w:t>
      </w:r>
      <w:r w:rsidRPr="00073D68">
        <w:rPr>
          <w:rFonts w:eastAsia="Calibri" w:cs="Arial"/>
        </w:rPr>
        <w:t xml:space="preserve"> </w:t>
      </w:r>
      <w:r w:rsidR="00670EA5">
        <w:rPr>
          <w:rFonts w:eastAsia="Calibri" w:cs="Arial"/>
        </w:rPr>
        <w:t xml:space="preserve">(2022) 12 QR 101, </w:t>
      </w:r>
      <w:r w:rsidRPr="00073D68">
        <w:rPr>
          <w:rFonts w:eastAsia="Calibri" w:cs="Arial"/>
        </w:rPr>
        <w:t>[2022] QSC 216</w:t>
      </w:r>
      <w:r w:rsidR="00117662">
        <w:rPr>
          <w:rFonts w:eastAsia="Calibri" w:cs="Arial"/>
        </w:rPr>
        <w:t>.</w:t>
      </w:r>
    </w:p>
  </w:footnote>
  <w:footnote w:id="87">
    <w:p w14:paraId="4816BD25" w14:textId="320CE04B" w:rsidR="00AB28DE" w:rsidRPr="00AB28DE" w:rsidRDefault="00AB28DE">
      <w:pPr>
        <w:pStyle w:val="FootnoteText"/>
        <w:rPr>
          <w:lang w:val="en-US"/>
        </w:rPr>
      </w:pPr>
      <w:r>
        <w:rPr>
          <w:rStyle w:val="FootnoteReference"/>
        </w:rPr>
        <w:footnoteRef/>
      </w:r>
      <w:r>
        <w:t xml:space="preserve"> </w:t>
      </w:r>
      <w:r w:rsidR="005C531F" w:rsidRPr="00A35C9C">
        <w:rPr>
          <w:i/>
          <w:iCs/>
          <w:lang w:val="en"/>
        </w:rPr>
        <w:t>Waratah Coal Pty Ltd v Youth Verdict Ltd &amp; Ors</w:t>
      </w:r>
      <w:r w:rsidR="005C531F" w:rsidRPr="006849A2">
        <w:rPr>
          <w:lang w:val="en"/>
        </w:rPr>
        <w:t xml:space="preserve"> (No 6) [2022] QLC 21</w:t>
      </w:r>
      <w:r w:rsidR="005C531F">
        <w:rPr>
          <w:lang w:val="en"/>
        </w:rPr>
        <w:t xml:space="preserve">; </w:t>
      </w:r>
      <w:r w:rsidR="005C531F" w:rsidRPr="00A35C9C">
        <w:rPr>
          <w:i/>
          <w:iCs/>
          <w:lang w:val="en"/>
        </w:rPr>
        <w:t>Inquest into the deaths of Yvette Michelle Wilma Booth, Adele Estelle Sandy, Shakaya George</w:t>
      </w:r>
      <w:r w:rsidR="005C531F" w:rsidRPr="006849A2">
        <w:rPr>
          <w:lang w:val="en"/>
        </w:rPr>
        <w:t xml:space="preserve"> (Findings of inquest, Coroners Court of Queensland, 30 June 2023)</w:t>
      </w:r>
      <w:r w:rsidR="0014162A">
        <w:rPr>
          <w:lang w:val="en"/>
        </w:rPr>
        <w:t>.</w:t>
      </w:r>
    </w:p>
  </w:footnote>
  <w:footnote w:id="88">
    <w:p w14:paraId="41F6B2DC" w14:textId="51ABF2C5" w:rsidR="00AB28DE" w:rsidRPr="00AB28DE" w:rsidRDefault="00AB28DE">
      <w:pPr>
        <w:pStyle w:val="FootnoteText"/>
        <w:rPr>
          <w:lang w:val="en-US"/>
        </w:rPr>
      </w:pPr>
      <w:r>
        <w:rPr>
          <w:rStyle w:val="FootnoteReference"/>
        </w:rPr>
        <w:footnoteRef/>
      </w:r>
      <w:r>
        <w:t xml:space="preserve"> </w:t>
      </w:r>
      <w:r w:rsidR="005C531F" w:rsidRPr="005F2A4B">
        <w:rPr>
          <w:i/>
          <w:iCs/>
          <w:lang w:val="en"/>
        </w:rPr>
        <w:t>In the matter of ICO</w:t>
      </w:r>
      <w:r w:rsidR="005C531F" w:rsidRPr="005F2A4B">
        <w:rPr>
          <w:lang w:val="en"/>
        </w:rPr>
        <w:t xml:space="preserve"> [2023] QMHC 1</w:t>
      </w:r>
      <w:r w:rsidR="001A0FF8">
        <w:rPr>
          <w:lang w:val="en"/>
        </w:rPr>
        <w:t>.</w:t>
      </w:r>
      <w:r w:rsidR="005C531F" w:rsidRPr="005F2A4B">
        <w:rPr>
          <w:lang w:val="en"/>
        </w:rPr>
        <w:t xml:space="preserve"> </w:t>
      </w:r>
    </w:p>
  </w:footnote>
  <w:footnote w:id="89">
    <w:p w14:paraId="3C9FB292" w14:textId="0760DAB4" w:rsidR="005D1D3E" w:rsidRPr="005D1D3E" w:rsidRDefault="005D1D3E">
      <w:pPr>
        <w:pStyle w:val="FootnoteText"/>
        <w:rPr>
          <w:lang w:val="en-GB"/>
        </w:rPr>
      </w:pPr>
      <w:r w:rsidRPr="006860BE">
        <w:rPr>
          <w:rStyle w:val="FootnoteReference"/>
        </w:rPr>
        <w:footnoteRef/>
      </w:r>
      <w:r w:rsidRPr="006860BE">
        <w:t xml:space="preserve"> </w:t>
      </w:r>
      <w:r w:rsidR="006860BE" w:rsidRPr="006860BE">
        <w:t>T</w:t>
      </w:r>
      <w:r w:rsidR="006860BE">
        <w:t xml:space="preserve">he </w:t>
      </w:r>
      <w:r w:rsidR="00B52E07">
        <w:t xml:space="preserve">definition of ‘discrimination’ under the </w:t>
      </w:r>
      <w:r w:rsidR="00951BC6">
        <w:t>Human Rights Act</w:t>
      </w:r>
      <w:r w:rsidR="006860BE">
        <w:t xml:space="preserve"> in the Dictionary (sch 1)</w:t>
      </w:r>
      <w:r w:rsidR="00951BC6">
        <w:t xml:space="preserve"> ‘includes’ </w:t>
      </w:r>
      <w:r w:rsidR="006860BE">
        <w:t>(so</w:t>
      </w:r>
      <w:r w:rsidR="00951BC6">
        <w:t xml:space="preserve"> is not limited to</w:t>
      </w:r>
      <w:r w:rsidR="006860BE">
        <w:t>)</w:t>
      </w:r>
      <w:r w:rsidR="00951BC6">
        <w:t xml:space="preserve"> the attributes protected by the </w:t>
      </w:r>
      <w:r w:rsidR="00951BC6">
        <w:rPr>
          <w:i/>
          <w:iCs/>
        </w:rPr>
        <w:t>Anti-Discrimination Act 1991</w:t>
      </w:r>
      <w:r w:rsidR="00951BC6">
        <w:t xml:space="preserve"> (Qld).</w:t>
      </w:r>
    </w:p>
  </w:footnote>
  <w:footnote w:id="90">
    <w:p w14:paraId="7F779235" w14:textId="48E221D1" w:rsidR="000C1D09" w:rsidRPr="000C1D09" w:rsidDel="005E4550" w:rsidRDefault="000C1D09">
      <w:pPr>
        <w:pStyle w:val="FootnoteText"/>
        <w:rPr>
          <w:lang w:val="en-GB"/>
        </w:rPr>
      </w:pPr>
      <w:r w:rsidDel="005E4550">
        <w:rPr>
          <w:rStyle w:val="FootnoteReference"/>
        </w:rPr>
        <w:footnoteRef/>
      </w:r>
      <w:r w:rsidDel="005E4550">
        <w:t xml:space="preserve"> </w:t>
      </w:r>
      <w:r w:rsidR="00E13E25" w:rsidDel="005E4550">
        <w:rPr>
          <w:lang w:val="en-GB"/>
        </w:rPr>
        <w:t>Queensland Council of Social Service</w:t>
      </w:r>
      <w:r w:rsidDel="005E4550">
        <w:rPr>
          <w:lang w:val="en-GB"/>
        </w:rPr>
        <w:t xml:space="preserve">, </w:t>
      </w:r>
      <w:r w:rsidRPr="002916B2" w:rsidDel="005E4550">
        <w:rPr>
          <w:i/>
          <w:lang w:val="en-GB"/>
        </w:rPr>
        <w:t>Annual report</w:t>
      </w:r>
      <w:r w:rsidR="00F76881" w:rsidRPr="002916B2" w:rsidDel="005E4550">
        <w:rPr>
          <w:i/>
          <w:lang w:val="en-GB"/>
        </w:rPr>
        <w:t xml:space="preserve"> – Being in </w:t>
      </w:r>
      <w:r w:rsidR="00F76881" w:rsidRPr="002916B2">
        <w:rPr>
          <w:i/>
          <w:iCs/>
          <w:lang w:val="en-GB"/>
        </w:rPr>
        <w:t>service</w:t>
      </w:r>
      <w:r w:rsidR="00F76881" w:rsidDel="005E4550">
        <w:rPr>
          <w:lang w:val="en-GB"/>
        </w:rPr>
        <w:t xml:space="preserve"> (2022-23).</w:t>
      </w:r>
      <w:r w:rsidDel="005E4550">
        <w:rPr>
          <w:lang w:val="en-GB"/>
        </w:rPr>
        <w:t xml:space="preserve"> </w:t>
      </w:r>
    </w:p>
  </w:footnote>
  <w:footnote w:id="91">
    <w:p w14:paraId="45DD932B" w14:textId="739F9E73" w:rsidR="00633690" w:rsidRDefault="00633690">
      <w:pPr>
        <w:pStyle w:val="FootnoteText"/>
      </w:pPr>
      <w:r>
        <w:rPr>
          <w:rStyle w:val="FootnoteReference"/>
        </w:rPr>
        <w:footnoteRef/>
      </w:r>
      <w:r>
        <w:t xml:space="preserve"> </w:t>
      </w:r>
      <w:r w:rsidR="00B745BB">
        <w:rPr>
          <w:i/>
          <w:iCs/>
        </w:rPr>
        <w:t xml:space="preserve">Human Rights Act 2019 </w:t>
      </w:r>
      <w:r w:rsidR="00B745BB">
        <w:t>(Qld) s 65.</w:t>
      </w:r>
    </w:p>
  </w:footnote>
  <w:footnote w:id="92">
    <w:p w14:paraId="2475210D" w14:textId="24E43B56" w:rsidR="00A73D2C" w:rsidRDefault="00A73D2C" w:rsidP="00A73D2C">
      <w:pPr>
        <w:pStyle w:val="FootnoteText"/>
      </w:pPr>
      <w:r>
        <w:rPr>
          <w:rStyle w:val="FootnoteReference"/>
        </w:rPr>
        <w:footnoteRef/>
      </w:r>
      <w:r>
        <w:t xml:space="preserve"> </w:t>
      </w:r>
      <w:r>
        <w:rPr>
          <w:i/>
          <w:iCs/>
        </w:rPr>
        <w:t>Human Rights Act 2019</w:t>
      </w:r>
      <w:r>
        <w:t xml:space="preserve"> (Qld) s 91(j).</w:t>
      </w:r>
    </w:p>
  </w:footnote>
  <w:footnote w:id="93">
    <w:p w14:paraId="65290ADA" w14:textId="456E3DC5" w:rsidR="00A3583F" w:rsidRDefault="00A3583F">
      <w:pPr>
        <w:pStyle w:val="FootnoteText"/>
      </w:pPr>
      <w:r>
        <w:rPr>
          <w:rStyle w:val="FootnoteReference"/>
        </w:rPr>
        <w:footnoteRef/>
      </w:r>
      <w:r>
        <w:t xml:space="preserve"> </w:t>
      </w:r>
      <w:r>
        <w:rPr>
          <w:i/>
          <w:iCs/>
        </w:rPr>
        <w:t>Human Rights Act 2019</w:t>
      </w:r>
      <w:r>
        <w:t xml:space="preserve"> (Qld) s 97.</w:t>
      </w:r>
    </w:p>
  </w:footnote>
  <w:footnote w:id="94">
    <w:p w14:paraId="7AEF3B1F" w14:textId="6E18588A" w:rsidR="00311886" w:rsidRDefault="00311886" w:rsidP="006B7022">
      <w:pPr>
        <w:pStyle w:val="FootnoteText"/>
      </w:pPr>
      <w:r w:rsidRPr="394BCFB9">
        <w:rPr>
          <w:rStyle w:val="FootnoteReference"/>
        </w:rPr>
        <w:footnoteRef/>
      </w:r>
      <w:r>
        <w:t xml:space="preserve"> Department of Education</w:t>
      </w:r>
      <w:r w:rsidR="00B331B2">
        <w:t xml:space="preserve"> (Qld)</w:t>
      </w:r>
      <w:r>
        <w:t xml:space="preserve">, </w:t>
      </w:r>
      <w:r w:rsidRPr="00C63914">
        <w:rPr>
          <w:i/>
        </w:rPr>
        <w:t>Annual Report 202</w:t>
      </w:r>
      <w:r>
        <w:rPr>
          <w:i/>
        </w:rPr>
        <w:t>2</w:t>
      </w:r>
      <w:r w:rsidR="00633690" w:rsidRPr="005B30C4">
        <w:rPr>
          <w:i/>
        </w:rPr>
        <w:t>-2023</w:t>
      </w:r>
      <w:r w:rsidR="00633690" w:rsidRPr="005B30C4">
        <w:t xml:space="preserve">, </w:t>
      </w:r>
      <w:r w:rsidR="000760F6">
        <w:t>59</w:t>
      </w:r>
      <w:r>
        <w:t>.</w:t>
      </w:r>
    </w:p>
  </w:footnote>
  <w:footnote w:id="95">
    <w:p w14:paraId="46BC02E5" w14:textId="467C0763" w:rsidR="00311886" w:rsidRDefault="00311886" w:rsidP="006B7022">
      <w:pPr>
        <w:pStyle w:val="FootnoteText"/>
      </w:pPr>
      <w:r w:rsidRPr="6301ADE9">
        <w:rPr>
          <w:rStyle w:val="FootnoteReference"/>
        </w:rPr>
        <w:footnoteRef/>
      </w:r>
      <w:r>
        <w:t xml:space="preserve"> Department of Housing</w:t>
      </w:r>
      <w:r w:rsidR="00C26CC2">
        <w:t xml:space="preserve"> (Qld)</w:t>
      </w:r>
      <w:r w:rsidRPr="00C63914">
        <w:t xml:space="preserve">, </w:t>
      </w:r>
      <w:r w:rsidRPr="00C63914">
        <w:rPr>
          <w:i/>
        </w:rPr>
        <w:t>Annual Report</w:t>
      </w:r>
      <w:r>
        <w:rPr>
          <w:i/>
        </w:rPr>
        <w:t xml:space="preserve"> </w:t>
      </w:r>
      <w:r w:rsidRPr="004F4B17">
        <w:rPr>
          <w:i/>
        </w:rPr>
        <w:t>202</w:t>
      </w:r>
      <w:r>
        <w:rPr>
          <w:i/>
        </w:rPr>
        <w:t>2</w:t>
      </w:r>
      <w:r w:rsidR="00633690" w:rsidRPr="005B30C4">
        <w:rPr>
          <w:i/>
        </w:rPr>
        <w:t>-2023</w:t>
      </w:r>
      <w:r w:rsidR="00633690" w:rsidRPr="005B30C4">
        <w:t xml:space="preserve">, </w:t>
      </w:r>
      <w:r w:rsidR="00472927">
        <w:t>23</w:t>
      </w:r>
      <w:r>
        <w:t>.</w:t>
      </w:r>
    </w:p>
  </w:footnote>
  <w:footnote w:id="96">
    <w:p w14:paraId="35C7D958" w14:textId="3FFB05CD" w:rsidR="00311886" w:rsidRDefault="00311886" w:rsidP="006B7022">
      <w:pPr>
        <w:pStyle w:val="FootnoteText"/>
      </w:pPr>
      <w:r w:rsidRPr="494896AF">
        <w:rPr>
          <w:rStyle w:val="FootnoteReference"/>
        </w:rPr>
        <w:footnoteRef/>
      </w:r>
      <w:r>
        <w:t xml:space="preserve"> Queensland Police Service, </w:t>
      </w:r>
      <w:r w:rsidRPr="00A76E13">
        <w:rPr>
          <w:i/>
        </w:rPr>
        <w:t xml:space="preserve">Annual Report </w:t>
      </w:r>
      <w:r>
        <w:rPr>
          <w:i/>
        </w:rPr>
        <w:t>2022-23</w:t>
      </w:r>
      <w:r w:rsidRPr="00A76E13">
        <w:t>,</w:t>
      </w:r>
      <w:r>
        <w:t xml:space="preserve"> </w:t>
      </w:r>
      <w:r w:rsidR="00DA74B6">
        <w:t xml:space="preserve">12. </w:t>
      </w:r>
    </w:p>
  </w:footnote>
  <w:footnote w:id="97">
    <w:p w14:paraId="4EE9C9C1" w14:textId="7884BA04" w:rsidR="00311886" w:rsidRPr="00481D9E" w:rsidRDefault="00311886" w:rsidP="006B7022">
      <w:pPr>
        <w:pStyle w:val="FootnoteText"/>
      </w:pPr>
      <w:r w:rsidRPr="00481D9E">
        <w:rPr>
          <w:rStyle w:val="FootnoteReference"/>
        </w:rPr>
        <w:footnoteRef/>
      </w:r>
      <w:r w:rsidRPr="00481D9E">
        <w:t xml:space="preserve"> </w:t>
      </w:r>
      <w:r w:rsidR="00503702" w:rsidRPr="00481D9E">
        <w:t>Department of Child Safety, Seniors and Disability Services</w:t>
      </w:r>
      <w:r w:rsidR="00C26CC2">
        <w:t xml:space="preserve"> (Qld)</w:t>
      </w:r>
      <w:r w:rsidR="00503702" w:rsidRPr="00481D9E">
        <w:t xml:space="preserve">, </w:t>
      </w:r>
      <w:r w:rsidR="00503702" w:rsidRPr="00481D9E">
        <w:rPr>
          <w:i/>
        </w:rPr>
        <w:t>Annual report 2022</w:t>
      </w:r>
      <w:r w:rsidR="006D5733" w:rsidRPr="00481D9E">
        <w:t>–</w:t>
      </w:r>
      <w:r w:rsidR="00503702" w:rsidRPr="00481D9E">
        <w:rPr>
          <w:i/>
        </w:rPr>
        <w:t>23</w:t>
      </w:r>
      <w:r w:rsidR="006349EB" w:rsidRPr="00481D9E">
        <w:rPr>
          <w:i/>
        </w:rPr>
        <w:t xml:space="preserve">, </w:t>
      </w:r>
      <w:r w:rsidR="006349EB" w:rsidRPr="00481D9E">
        <w:t>47–48.</w:t>
      </w:r>
    </w:p>
  </w:footnote>
  <w:footnote w:id="98">
    <w:p w14:paraId="79EDC135" w14:textId="27CAC064" w:rsidR="00311886" w:rsidRPr="00481D9E" w:rsidRDefault="00311886" w:rsidP="006B7022">
      <w:pPr>
        <w:pStyle w:val="FootnoteText"/>
        <w:rPr>
          <w:b/>
        </w:rPr>
      </w:pPr>
      <w:r w:rsidRPr="00481D9E">
        <w:rPr>
          <w:rStyle w:val="FootnoteReference"/>
        </w:rPr>
        <w:footnoteRef/>
      </w:r>
      <w:r w:rsidRPr="00481D9E">
        <w:t xml:space="preserve"> Queensland Corrective Services, </w:t>
      </w:r>
      <w:r w:rsidRPr="00481D9E">
        <w:rPr>
          <w:i/>
        </w:rPr>
        <w:t xml:space="preserve">Annual </w:t>
      </w:r>
      <w:r w:rsidR="00F47457" w:rsidRPr="00481D9E">
        <w:rPr>
          <w:i/>
        </w:rPr>
        <w:t>Client Complaints</w:t>
      </w:r>
      <w:r w:rsidRPr="00481D9E">
        <w:rPr>
          <w:i/>
        </w:rPr>
        <w:t xml:space="preserve"> 2022</w:t>
      </w:r>
      <w:r w:rsidR="006D5733" w:rsidRPr="00481D9E">
        <w:t>–</w:t>
      </w:r>
      <w:r w:rsidRPr="00481D9E">
        <w:rPr>
          <w:i/>
        </w:rPr>
        <w:t>23</w:t>
      </w:r>
      <w:r w:rsidRPr="00481D9E">
        <w:t xml:space="preserve">, </w:t>
      </w:r>
      <w:r w:rsidR="00F47457" w:rsidRPr="00481D9E">
        <w:t>6–11.</w:t>
      </w:r>
    </w:p>
  </w:footnote>
  <w:footnote w:id="99">
    <w:p w14:paraId="311A1520" w14:textId="28437BA5" w:rsidR="00311886" w:rsidRPr="00481D9E" w:rsidRDefault="00311886" w:rsidP="006B7022">
      <w:pPr>
        <w:pStyle w:val="FootnoteText"/>
      </w:pPr>
      <w:r w:rsidRPr="00481D9E">
        <w:rPr>
          <w:rStyle w:val="FootnoteReference"/>
        </w:rPr>
        <w:footnoteRef/>
      </w:r>
      <w:r w:rsidRPr="00481D9E">
        <w:t xml:space="preserve"> Department of </w:t>
      </w:r>
      <w:r w:rsidR="001D687B" w:rsidRPr="00481D9E">
        <w:t>Treaty,</w:t>
      </w:r>
      <w:r w:rsidRPr="00481D9E">
        <w:t xml:space="preserve"> Aboriginal and Torres Strait Islander Partnerships, </w:t>
      </w:r>
      <w:r w:rsidR="004C127C" w:rsidRPr="00481D9E">
        <w:t>Communities, and the Arts</w:t>
      </w:r>
      <w:r w:rsidR="006D5733">
        <w:t xml:space="preserve"> (Qld)</w:t>
      </w:r>
      <w:r w:rsidR="004C127C" w:rsidRPr="00481D9E">
        <w:t xml:space="preserve">, </w:t>
      </w:r>
      <w:r w:rsidRPr="00481D9E">
        <w:rPr>
          <w:i/>
        </w:rPr>
        <w:t xml:space="preserve">Annual Report </w:t>
      </w:r>
      <w:r w:rsidR="004C127C" w:rsidRPr="00481D9E">
        <w:rPr>
          <w:i/>
        </w:rPr>
        <w:t>2022</w:t>
      </w:r>
      <w:r w:rsidR="006D5733" w:rsidRPr="00481D9E">
        <w:t>–</w:t>
      </w:r>
      <w:r w:rsidR="004C127C" w:rsidRPr="00481D9E">
        <w:rPr>
          <w:i/>
        </w:rPr>
        <w:t>23</w:t>
      </w:r>
      <w:r w:rsidR="004C127C" w:rsidRPr="00481D9E">
        <w:t xml:space="preserve">, </w:t>
      </w:r>
      <w:r w:rsidR="00051AC7" w:rsidRPr="00481D9E">
        <w:t>46</w:t>
      </w:r>
      <w:r w:rsidRPr="00481D9E">
        <w:t>.</w:t>
      </w:r>
    </w:p>
  </w:footnote>
  <w:footnote w:id="100">
    <w:p w14:paraId="50A944AA" w14:textId="3FEB2F13" w:rsidR="00311886" w:rsidRPr="004172D9" w:rsidRDefault="00311886" w:rsidP="006B7022">
      <w:pPr>
        <w:pStyle w:val="FootnoteText"/>
        <w:rPr>
          <w:highlight w:val="yellow"/>
        </w:rPr>
      </w:pPr>
      <w:r w:rsidRPr="00481D9E">
        <w:rPr>
          <w:rStyle w:val="FootnoteReference"/>
        </w:rPr>
        <w:footnoteRef/>
      </w:r>
      <w:r w:rsidRPr="00481D9E">
        <w:t xml:space="preserve"> Department of Health</w:t>
      </w:r>
      <w:r w:rsidR="006D5733">
        <w:t xml:space="preserve"> (Qld)</w:t>
      </w:r>
      <w:r w:rsidRPr="00481D9E">
        <w:t xml:space="preserve">, </w:t>
      </w:r>
      <w:r w:rsidRPr="00481D9E">
        <w:rPr>
          <w:i/>
        </w:rPr>
        <w:t>Annual Report 2022</w:t>
      </w:r>
      <w:r w:rsidR="006D5733" w:rsidRPr="00481D9E">
        <w:t>–</w:t>
      </w:r>
      <w:r w:rsidRPr="00481D9E">
        <w:rPr>
          <w:i/>
        </w:rPr>
        <w:t>23</w:t>
      </w:r>
      <w:r w:rsidRPr="00481D9E">
        <w:t>, 1</w:t>
      </w:r>
      <w:r w:rsidR="0062488C" w:rsidRPr="00481D9E">
        <w:t>35</w:t>
      </w:r>
      <w:r w:rsidRPr="00481D9E">
        <w:t>.</w:t>
      </w:r>
    </w:p>
  </w:footnote>
  <w:footnote w:id="101">
    <w:p w14:paraId="548BB90E" w14:textId="644047A1" w:rsidR="00673254" w:rsidRPr="00673254" w:rsidRDefault="00673254">
      <w:pPr>
        <w:pStyle w:val="FootnoteText"/>
      </w:pPr>
      <w:r>
        <w:rPr>
          <w:rStyle w:val="FootnoteReference"/>
        </w:rPr>
        <w:footnoteRef/>
      </w:r>
      <w:r>
        <w:t xml:space="preserve"> Department of Youth Justice, Employmen</w:t>
      </w:r>
      <w:r w:rsidR="001F5CF2">
        <w:t>t</w:t>
      </w:r>
      <w:r>
        <w:t>, Small Business and Training</w:t>
      </w:r>
      <w:r w:rsidR="006D5733">
        <w:t xml:space="preserve"> (Qld)</w:t>
      </w:r>
      <w:r>
        <w:t xml:space="preserve">, </w:t>
      </w:r>
      <w:r>
        <w:rPr>
          <w:i/>
          <w:iCs/>
        </w:rPr>
        <w:t>Annual Report 2022</w:t>
      </w:r>
      <w:r w:rsidR="006D5733" w:rsidRPr="00481D9E">
        <w:t>–</w:t>
      </w:r>
      <w:r>
        <w:rPr>
          <w:i/>
          <w:iCs/>
        </w:rPr>
        <w:t>23</w:t>
      </w:r>
      <w:r>
        <w:t xml:space="preserve">, </w:t>
      </w:r>
      <w:r w:rsidR="008E3F72">
        <w:t>45</w:t>
      </w:r>
      <w:r w:rsidR="006D5733" w:rsidRPr="00481D9E">
        <w:t>–</w:t>
      </w:r>
      <w:r w:rsidR="001F5CF2">
        <w:t>46</w:t>
      </w:r>
      <w:r w:rsidR="008E3F72">
        <w:t>.</w:t>
      </w:r>
    </w:p>
  </w:footnote>
  <w:footnote w:id="102">
    <w:p w14:paraId="55A29D6A" w14:textId="72FEBC5F" w:rsidR="00703E19" w:rsidRDefault="00703E19">
      <w:pPr>
        <w:pStyle w:val="FootnoteText"/>
      </w:pPr>
      <w:r>
        <w:rPr>
          <w:rStyle w:val="FootnoteReference"/>
        </w:rPr>
        <w:footnoteRef/>
      </w:r>
      <w:r>
        <w:t xml:space="preserve"> </w:t>
      </w:r>
      <w:r w:rsidR="001337E2" w:rsidRPr="004A1B53">
        <w:rPr>
          <w:rFonts w:cs="Arial"/>
          <w:i/>
          <w:lang w:val="en-US"/>
        </w:rPr>
        <w:t>Human Rights Act 2019</w:t>
      </w:r>
      <w:r w:rsidR="001337E2" w:rsidRPr="0031364A">
        <w:rPr>
          <w:rFonts w:cs="Arial"/>
          <w:lang w:val="en-US"/>
        </w:rPr>
        <w:t xml:space="preserve"> </w:t>
      </w:r>
      <w:r w:rsidR="001337E2">
        <w:rPr>
          <w:rFonts w:cs="Arial"/>
          <w:lang w:val="en-US"/>
        </w:rPr>
        <w:t xml:space="preserve">(Qld) </w:t>
      </w:r>
      <w:r w:rsidR="001337E2">
        <w:t>s</w:t>
      </w:r>
      <w:r w:rsidR="001337E2" w:rsidRPr="008A00EB">
        <w:t xml:space="preserve"> 75</w:t>
      </w:r>
      <w:r w:rsidR="001337E2">
        <w:t>.</w:t>
      </w:r>
    </w:p>
  </w:footnote>
  <w:footnote w:id="103">
    <w:p w14:paraId="39CC56EF" w14:textId="600A5B9B" w:rsidR="00311886" w:rsidRPr="004A1B53" w:rsidRDefault="00311886" w:rsidP="00FD3276">
      <w:pPr>
        <w:pStyle w:val="FootnoteText"/>
        <w:rPr>
          <w:i/>
          <w:lang w:val="en-US"/>
        </w:rPr>
      </w:pPr>
      <w:r>
        <w:rPr>
          <w:rStyle w:val="FootnoteReference"/>
        </w:rPr>
        <w:footnoteRef/>
      </w:r>
      <w:r>
        <w:t xml:space="preserve"> </w:t>
      </w:r>
      <w:r w:rsidRPr="004A1B53">
        <w:rPr>
          <w:rFonts w:cs="Arial"/>
          <w:i/>
          <w:lang w:val="en-US"/>
        </w:rPr>
        <w:t>Human Rights Act 2019</w:t>
      </w:r>
      <w:r w:rsidRPr="0031364A">
        <w:rPr>
          <w:rFonts w:cs="Arial"/>
          <w:lang w:val="en-US"/>
        </w:rPr>
        <w:t xml:space="preserve"> </w:t>
      </w:r>
      <w:r w:rsidR="001337E2">
        <w:rPr>
          <w:rFonts w:cs="Arial"/>
          <w:lang w:val="en-US"/>
        </w:rPr>
        <w:t xml:space="preserve">(Qld) </w:t>
      </w:r>
      <w:r w:rsidRPr="0031364A">
        <w:rPr>
          <w:rFonts w:cs="Arial"/>
          <w:lang w:val="en-US"/>
        </w:rPr>
        <w:t>s 64</w:t>
      </w:r>
      <w:r>
        <w:rPr>
          <w:rFonts w:cs="Arial"/>
          <w:iCs/>
          <w:lang w:val="en-US"/>
        </w:rPr>
        <w:t>(3)</w:t>
      </w:r>
      <w:r w:rsidRPr="0031364A">
        <w:rPr>
          <w:rFonts w:cs="Arial"/>
          <w:lang w:val="en-US"/>
        </w:rPr>
        <w:t>.</w:t>
      </w:r>
    </w:p>
  </w:footnote>
  <w:footnote w:id="104">
    <w:p w14:paraId="42CAA3DE" w14:textId="51712102" w:rsidR="00311886" w:rsidRPr="00022343" w:rsidRDefault="00311886">
      <w:pPr>
        <w:pStyle w:val="FootnoteText"/>
        <w:rPr>
          <w:iCs/>
          <w:lang w:val="en-US"/>
        </w:rPr>
      </w:pPr>
      <w:r>
        <w:rPr>
          <w:rStyle w:val="FootnoteReference"/>
        </w:rPr>
        <w:footnoteRef/>
      </w:r>
      <w:r>
        <w:t xml:space="preserve"> </w:t>
      </w:r>
      <w:r w:rsidRPr="008A00EB">
        <w:rPr>
          <w:rFonts w:cs="Arial"/>
          <w:i/>
          <w:lang w:val="en-US"/>
        </w:rPr>
        <w:t>Human Rights Act 2019</w:t>
      </w:r>
      <w:r>
        <w:rPr>
          <w:rFonts w:cs="Arial"/>
          <w:i/>
          <w:lang w:val="en-US"/>
        </w:rPr>
        <w:t xml:space="preserve"> </w:t>
      </w:r>
      <w:r w:rsidR="00C32598">
        <w:rPr>
          <w:rFonts w:cs="Arial"/>
          <w:iCs/>
          <w:lang w:val="en-US"/>
        </w:rPr>
        <w:t xml:space="preserve">(Qld) </w:t>
      </w:r>
      <w:r>
        <w:rPr>
          <w:rFonts w:cs="Arial"/>
          <w:iCs/>
          <w:lang w:val="en-US"/>
        </w:rPr>
        <w:t>s 67.</w:t>
      </w:r>
    </w:p>
  </w:footnote>
  <w:footnote w:id="105">
    <w:p w14:paraId="6C2AB94B" w14:textId="1D919F1F" w:rsidR="00311886" w:rsidRPr="008A00EB" w:rsidRDefault="00311886" w:rsidP="009D2E52">
      <w:pPr>
        <w:pStyle w:val="FootnoteText"/>
        <w:rPr>
          <w:rFonts w:cs="Arial"/>
          <w:lang w:val="en-US"/>
        </w:rPr>
      </w:pPr>
      <w:r w:rsidRPr="008A00EB">
        <w:rPr>
          <w:rStyle w:val="FootnoteReference"/>
          <w:rFonts w:cs="Arial"/>
        </w:rPr>
        <w:footnoteRef/>
      </w:r>
      <w:r w:rsidRPr="008A00EB">
        <w:rPr>
          <w:rFonts w:cs="Arial"/>
        </w:rPr>
        <w:t xml:space="preserve"> </w:t>
      </w:r>
      <w:r w:rsidRPr="008A00EB">
        <w:rPr>
          <w:rFonts w:cs="Arial"/>
          <w:lang w:val="en-US"/>
        </w:rPr>
        <w:t xml:space="preserve">QCAT hears complaints </w:t>
      </w:r>
      <w:r w:rsidR="00063024">
        <w:rPr>
          <w:rFonts w:cs="Arial"/>
          <w:lang w:val="en-US"/>
        </w:rPr>
        <w:t xml:space="preserve">not </w:t>
      </w:r>
      <w:r w:rsidR="00340463">
        <w:rPr>
          <w:rFonts w:cs="Arial"/>
          <w:lang w:val="en-US"/>
        </w:rPr>
        <w:t xml:space="preserve">related to </w:t>
      </w:r>
      <w:r w:rsidR="00063024">
        <w:rPr>
          <w:rFonts w:cs="Arial"/>
          <w:lang w:val="en-US"/>
        </w:rPr>
        <w:t>work</w:t>
      </w:r>
      <w:r w:rsidR="0090539C">
        <w:rPr>
          <w:rFonts w:cs="Arial"/>
          <w:lang w:val="en-US"/>
        </w:rPr>
        <w:t xml:space="preserve"> that are</w:t>
      </w:r>
      <w:r w:rsidR="00063024" w:rsidRPr="008A00EB">
        <w:rPr>
          <w:rFonts w:cs="Arial"/>
          <w:lang w:val="en-US"/>
        </w:rPr>
        <w:t xml:space="preserve"> </w:t>
      </w:r>
      <w:r w:rsidRPr="008A00EB">
        <w:rPr>
          <w:rFonts w:cs="Arial"/>
          <w:lang w:val="en-US"/>
        </w:rPr>
        <w:t xml:space="preserve">made under the </w:t>
      </w:r>
      <w:r w:rsidRPr="008A00EB">
        <w:rPr>
          <w:rFonts w:cs="Arial"/>
          <w:i/>
          <w:lang w:val="en-US"/>
        </w:rPr>
        <w:t>Anti-Discrimination Act 1991</w:t>
      </w:r>
      <w:r w:rsidRPr="008A00EB">
        <w:rPr>
          <w:rFonts w:cs="Arial"/>
          <w:lang w:val="en-US"/>
        </w:rPr>
        <w:t xml:space="preserve"> (Qld) but not resolved at the Commission.</w:t>
      </w:r>
    </w:p>
  </w:footnote>
  <w:footnote w:id="106">
    <w:p w14:paraId="3E135E38" w14:textId="62976148" w:rsidR="00311886" w:rsidRPr="004C7823" w:rsidRDefault="00311886" w:rsidP="009D2E52">
      <w:pPr>
        <w:pStyle w:val="FootnoteText"/>
        <w:rPr>
          <w:lang w:val="en-US"/>
        </w:rPr>
      </w:pPr>
      <w:r w:rsidRPr="008A00EB">
        <w:rPr>
          <w:rStyle w:val="FootnoteReference"/>
          <w:rFonts w:cs="Arial"/>
        </w:rPr>
        <w:footnoteRef/>
      </w:r>
      <w:r w:rsidRPr="008A00EB">
        <w:rPr>
          <w:rFonts w:cs="Arial"/>
        </w:rPr>
        <w:t xml:space="preserve"> </w:t>
      </w:r>
      <w:r w:rsidRPr="008A00EB">
        <w:rPr>
          <w:rFonts w:cs="Arial"/>
          <w:lang w:val="en-US"/>
        </w:rPr>
        <w:t xml:space="preserve">QIRC hears complaints </w:t>
      </w:r>
      <w:r w:rsidR="0090539C">
        <w:rPr>
          <w:rFonts w:cs="Arial"/>
          <w:lang w:val="en-US"/>
        </w:rPr>
        <w:t>related to work that are</w:t>
      </w:r>
      <w:r w:rsidR="0090539C" w:rsidRPr="008A00EB">
        <w:rPr>
          <w:rFonts w:cs="Arial"/>
          <w:lang w:val="en-US"/>
        </w:rPr>
        <w:t xml:space="preserve"> </w:t>
      </w:r>
      <w:r w:rsidRPr="008A00EB">
        <w:rPr>
          <w:rFonts w:cs="Arial"/>
          <w:lang w:val="en-US"/>
        </w:rPr>
        <w:t xml:space="preserve">made under the </w:t>
      </w:r>
      <w:r w:rsidRPr="008A00EB">
        <w:rPr>
          <w:rFonts w:cs="Arial"/>
          <w:i/>
          <w:lang w:val="en-US"/>
        </w:rPr>
        <w:t>Anti-Discrimination Act 1991</w:t>
      </w:r>
      <w:r w:rsidRPr="008A00EB">
        <w:rPr>
          <w:rFonts w:cs="Arial"/>
          <w:lang w:val="en-US"/>
        </w:rPr>
        <w:t xml:space="preserve"> (Qld) but not resolved at the Commission.</w:t>
      </w:r>
    </w:p>
  </w:footnote>
  <w:footnote w:id="107">
    <w:p w14:paraId="7968DCA5" w14:textId="3DBF7342" w:rsidR="00311886" w:rsidRPr="00B132DB" w:rsidRDefault="00311886">
      <w:pPr>
        <w:rPr>
          <w:sz w:val="16"/>
          <w:szCs w:val="16"/>
        </w:rPr>
      </w:pPr>
      <w:r w:rsidRPr="00B132DB">
        <w:rPr>
          <w:rStyle w:val="FootnoteReference"/>
          <w:sz w:val="16"/>
          <w:szCs w:val="16"/>
        </w:rPr>
        <w:footnoteRef/>
      </w:r>
      <w:r w:rsidRPr="00B132DB">
        <w:rPr>
          <w:sz w:val="16"/>
          <w:szCs w:val="16"/>
        </w:rPr>
        <w:t xml:space="preserve"> </w:t>
      </w:r>
      <w:r w:rsidRPr="00B132DB">
        <w:rPr>
          <w:i/>
          <w:sz w:val="16"/>
          <w:szCs w:val="16"/>
        </w:rPr>
        <w:t xml:space="preserve">Human Rights Act 2019 </w:t>
      </w:r>
      <w:r w:rsidRPr="00B132DB">
        <w:rPr>
          <w:sz w:val="16"/>
          <w:szCs w:val="16"/>
        </w:rPr>
        <w:t>(Qld) s 65.</w:t>
      </w:r>
    </w:p>
  </w:footnote>
  <w:footnote w:id="108">
    <w:p w14:paraId="3A8B9988" w14:textId="09B3CA2B" w:rsidR="001121FC" w:rsidRPr="001121FC" w:rsidRDefault="001121FC">
      <w:pPr>
        <w:pStyle w:val="FootnoteText"/>
      </w:pPr>
      <w:r>
        <w:rPr>
          <w:rStyle w:val="FootnoteReference"/>
        </w:rPr>
        <w:footnoteRef/>
      </w:r>
      <w:r>
        <w:t xml:space="preserve"> </w:t>
      </w:r>
      <w:r w:rsidR="00525E51">
        <w:rPr>
          <w:i/>
          <w:iCs/>
        </w:rPr>
        <w:t xml:space="preserve">Human Rights Act 2019 </w:t>
      </w:r>
      <w:r w:rsidR="00525E51">
        <w:t>(Qld) s 89.</w:t>
      </w:r>
    </w:p>
  </w:footnote>
  <w:footnote w:id="109">
    <w:p w14:paraId="4C0BE039" w14:textId="77777777" w:rsidR="0066354E" w:rsidRPr="00D10102" w:rsidRDefault="0066354E" w:rsidP="0066354E">
      <w:pPr>
        <w:pStyle w:val="FootnoteText"/>
      </w:pPr>
      <w:r>
        <w:rPr>
          <w:rStyle w:val="FootnoteReference"/>
        </w:rPr>
        <w:footnoteRef/>
      </w:r>
      <w:r>
        <w:t xml:space="preserve"> </w:t>
      </w:r>
      <w:r>
        <w:rPr>
          <w:i/>
          <w:iCs/>
        </w:rPr>
        <w:t xml:space="preserve">Human Rights Act 2019 </w:t>
      </w:r>
      <w:r>
        <w:t>(Qld) s 17(1)(c).</w:t>
      </w:r>
    </w:p>
  </w:footnote>
  <w:footnote w:id="110">
    <w:p w14:paraId="696E3DE4" w14:textId="647BF107" w:rsidR="00311886" w:rsidRPr="003812D8" w:rsidRDefault="00311886" w:rsidP="0000042C">
      <w:pPr>
        <w:pStyle w:val="FootnoteText"/>
        <w:rPr>
          <w:lang w:val="en-US"/>
        </w:rPr>
      </w:pPr>
      <w:r>
        <w:rPr>
          <w:rStyle w:val="FootnoteReference"/>
        </w:rPr>
        <w:footnoteRef/>
      </w:r>
      <w:r>
        <w:t xml:space="preserve"> </w:t>
      </w:r>
      <w:r w:rsidRPr="00426586">
        <w:t xml:space="preserve">Note that the names of rights </w:t>
      </w:r>
      <w:r w:rsidR="00864439">
        <w:t xml:space="preserve">protected by the </w:t>
      </w:r>
      <w:r w:rsidR="00102D4C">
        <w:t>Act</w:t>
      </w:r>
      <w:r w:rsidR="00864439" w:rsidRPr="00426586">
        <w:t xml:space="preserve"> </w:t>
      </w:r>
      <w:r w:rsidRPr="00426586">
        <w:t xml:space="preserve">are abbreviated. For a full list of rights see </w:t>
      </w:r>
      <w:r w:rsidR="00102D4C">
        <w:t xml:space="preserve">the </w:t>
      </w:r>
      <w:r w:rsidRPr="00426586">
        <w:t xml:space="preserve">section of this report entitled </w:t>
      </w:r>
      <w:r w:rsidRPr="00426586">
        <w:rPr>
          <w:i/>
        </w:rPr>
        <w:t>Introduction to the Human Rights Act - Protected Rights</w:t>
      </w:r>
      <w:r w:rsidRPr="00426586">
        <w:t>.</w:t>
      </w:r>
    </w:p>
  </w:footnote>
  <w:footnote w:id="111">
    <w:p w14:paraId="7FC7995B" w14:textId="77777777" w:rsidR="001E658D" w:rsidRDefault="001E658D" w:rsidP="001E658D">
      <w:pPr>
        <w:pStyle w:val="FootnoteText"/>
      </w:pPr>
      <w:r>
        <w:rPr>
          <w:rStyle w:val="FootnoteReference"/>
        </w:rPr>
        <w:footnoteRef/>
      </w:r>
      <w:r>
        <w:t xml:space="preserve"> </w:t>
      </w:r>
      <w:r w:rsidRPr="00832567">
        <w:rPr>
          <w:i/>
          <w:iCs/>
        </w:rPr>
        <w:t xml:space="preserve">Human Rights Act 2019 </w:t>
      </w:r>
      <w:r w:rsidRPr="00832567">
        <w:t>(Qld) s</w:t>
      </w:r>
      <w:r>
        <w:t xml:space="preserve"> 70 and </w:t>
      </w:r>
      <w:r w:rsidRPr="001F3472">
        <w:rPr>
          <w:i/>
        </w:rPr>
        <w:t>Anti-Discrimination Act 1991</w:t>
      </w:r>
      <w:r>
        <w:t xml:space="preserve"> (Qld) s </w:t>
      </w:r>
      <w:r w:rsidRPr="00832567">
        <w:t>138.</w:t>
      </w:r>
    </w:p>
  </w:footnote>
  <w:footnote w:id="112">
    <w:p w14:paraId="0E05289B" w14:textId="52AF01C4" w:rsidR="00311886" w:rsidRPr="0033159E" w:rsidRDefault="00311886" w:rsidP="00767970">
      <w:pPr>
        <w:pStyle w:val="FootnoteText"/>
        <w:rPr>
          <w:rFonts w:eastAsia="Arial"/>
          <w:sz w:val="19"/>
          <w:szCs w:val="19"/>
          <w:highlight w:val="yellow"/>
        </w:rPr>
      </w:pPr>
      <w:r w:rsidRPr="0033159E">
        <w:rPr>
          <w:rStyle w:val="FootnoteReference"/>
          <w:rFonts w:cs="Arial"/>
        </w:rPr>
        <w:footnoteRef/>
      </w:r>
      <w:r w:rsidRPr="0033159E">
        <w:t xml:space="preserve"> Legal Affairs and Community Safety </w:t>
      </w:r>
      <w:r>
        <w:t>Committee</w:t>
      </w:r>
      <w:r w:rsidRPr="0033159E">
        <w:t xml:space="preserve">, Queensland </w:t>
      </w:r>
      <w:r>
        <w:t>Parliament</w:t>
      </w:r>
      <w:r w:rsidRPr="0033159E">
        <w:rPr>
          <w:i/>
        </w:rPr>
        <w:t>, Human Rights Bill 2018</w:t>
      </w:r>
      <w:r w:rsidRPr="0033159E">
        <w:t xml:space="preserve"> (</w:t>
      </w:r>
      <w:r w:rsidRPr="00C945E9">
        <w:t>Report No</w:t>
      </w:r>
      <w:r w:rsidR="007A6DBE">
        <w:t>.</w:t>
      </w:r>
      <w:r w:rsidRPr="00C945E9">
        <w:t xml:space="preserve"> 26, </w:t>
      </w:r>
      <w:r>
        <w:t xml:space="preserve">February </w:t>
      </w:r>
      <w:r w:rsidRPr="0033159E">
        <w:t>2019)</w:t>
      </w:r>
      <w:r>
        <w:t xml:space="preserve"> 13.</w:t>
      </w:r>
    </w:p>
  </w:footnote>
  <w:footnote w:id="113">
    <w:p w14:paraId="380038BA" w14:textId="76979549" w:rsidR="00C22DAC" w:rsidRDefault="00C22DAC">
      <w:pPr>
        <w:pStyle w:val="FootnoteText"/>
      </w:pPr>
      <w:r>
        <w:rPr>
          <w:rStyle w:val="FootnoteReference"/>
        </w:rPr>
        <w:footnoteRef/>
      </w:r>
      <w:r>
        <w:t xml:space="preserve"> </w:t>
      </w:r>
      <w:r w:rsidR="004E5D37">
        <w:t>The complaint did not fall under the Anti-Discrimination Act</w:t>
      </w:r>
      <w:r w:rsidR="00666D8E">
        <w:t xml:space="preserve"> because the complainant </w:t>
      </w:r>
      <w:r w:rsidR="004F4FB1">
        <w:t xml:space="preserve">did not perceive the stalking behaviour to have occurred because of </w:t>
      </w:r>
      <w:r w:rsidR="004E5D37">
        <w:t>her attributes, and the behaviour was not sexual in nature for the purpose of ‘sexual harassment’</w:t>
      </w:r>
      <w:r w:rsidR="004F4FB1">
        <w:t xml:space="preserve">. </w:t>
      </w:r>
    </w:p>
  </w:footnote>
  <w:footnote w:id="114">
    <w:p w14:paraId="73694655" w14:textId="01DA8CA3" w:rsidR="00D75486" w:rsidRPr="006F700D" w:rsidRDefault="00D75486" w:rsidP="00D75486">
      <w:pPr>
        <w:pStyle w:val="FootnoteText"/>
        <w:rPr>
          <w:lang w:val="en-US"/>
        </w:rPr>
      </w:pPr>
      <w:r>
        <w:rPr>
          <w:rStyle w:val="FootnoteReference"/>
        </w:rPr>
        <w:footnoteRef/>
      </w:r>
      <w:r>
        <w:t xml:space="preserve"> </w:t>
      </w:r>
      <w:r w:rsidRPr="006F700D">
        <w:rPr>
          <w:i/>
          <w:iCs/>
          <w:lang w:val="en-US"/>
        </w:rPr>
        <w:t>Human Rights Act 2019</w:t>
      </w:r>
      <w:r>
        <w:rPr>
          <w:lang w:val="en-US"/>
        </w:rPr>
        <w:t xml:space="preserve"> s 88(1)</w:t>
      </w:r>
      <w:r w:rsidR="002D3F66">
        <w:rPr>
          <w:lang w:val="en-US"/>
        </w:rPr>
        <w:t>–</w:t>
      </w:r>
      <w:r>
        <w:rPr>
          <w:lang w:val="en-US"/>
        </w:rPr>
        <w:t>(3).</w:t>
      </w:r>
    </w:p>
  </w:footnote>
  <w:footnote w:id="115">
    <w:p w14:paraId="28BC2E9B" w14:textId="77777777" w:rsidR="00D75486" w:rsidRPr="00184E99" w:rsidRDefault="00D75486" w:rsidP="00D75486">
      <w:pPr>
        <w:pStyle w:val="FootnoteText"/>
        <w:rPr>
          <w:lang w:val="en-US"/>
        </w:rPr>
      </w:pPr>
      <w:r>
        <w:rPr>
          <w:rStyle w:val="FootnoteReference"/>
        </w:rPr>
        <w:footnoteRef/>
      </w:r>
      <w:r>
        <w:t xml:space="preserve"> </w:t>
      </w:r>
      <w:r w:rsidRPr="00C604BB">
        <w:rPr>
          <w:i/>
          <w:iCs/>
          <w:lang w:val="en-US"/>
        </w:rPr>
        <w:t>Human Rights Act 2019</w:t>
      </w:r>
      <w:r>
        <w:rPr>
          <w:lang w:val="en-US"/>
        </w:rPr>
        <w:t xml:space="preserve"> s 88(4). </w:t>
      </w:r>
    </w:p>
  </w:footnote>
  <w:footnote w:id="116">
    <w:p w14:paraId="737AB8A2" w14:textId="3851FCB1" w:rsidR="00F22830" w:rsidRDefault="00F22830" w:rsidP="00F22830">
      <w:pPr>
        <w:pStyle w:val="FootnoteText"/>
      </w:pPr>
      <w:r w:rsidRPr="2C3DB73A">
        <w:rPr>
          <w:rStyle w:val="FootnoteReference"/>
        </w:rPr>
        <w:footnoteRef/>
      </w:r>
      <w:r>
        <w:t xml:space="preserve"> Queensland Ombudsman, </w:t>
      </w:r>
      <w:r w:rsidRPr="00767970">
        <w:rPr>
          <w:i/>
        </w:rPr>
        <w:t xml:space="preserve">Annual Report </w:t>
      </w:r>
      <w:r>
        <w:rPr>
          <w:i/>
        </w:rPr>
        <w:t>2022</w:t>
      </w:r>
      <w:r w:rsidR="002D3F66">
        <w:rPr>
          <w:i/>
        </w:rPr>
        <w:t>–</w:t>
      </w:r>
      <w:r>
        <w:rPr>
          <w:i/>
        </w:rPr>
        <w:t>23</w:t>
      </w:r>
      <w:r>
        <w:t>, 7.</w:t>
      </w:r>
    </w:p>
  </w:footnote>
  <w:footnote w:id="117">
    <w:p w14:paraId="460A19F5" w14:textId="3C57E3FA" w:rsidR="00F22830" w:rsidRDefault="00F22830" w:rsidP="00F22830">
      <w:pPr>
        <w:pStyle w:val="FootnoteText"/>
      </w:pPr>
      <w:r>
        <w:rPr>
          <w:rStyle w:val="FootnoteReference"/>
        </w:rPr>
        <w:footnoteRef/>
      </w:r>
      <w:r>
        <w:t xml:space="preserve"> Office of the Health Ombudsman, </w:t>
      </w:r>
      <w:r w:rsidRPr="00767970">
        <w:rPr>
          <w:i/>
          <w:iCs/>
        </w:rPr>
        <w:t>Annual Report</w:t>
      </w:r>
      <w:r>
        <w:rPr>
          <w:i/>
          <w:iCs/>
        </w:rPr>
        <w:t xml:space="preserve"> </w:t>
      </w:r>
      <w:r>
        <w:rPr>
          <w:i/>
        </w:rPr>
        <w:t>2022</w:t>
      </w:r>
      <w:r w:rsidR="00AA0B60">
        <w:rPr>
          <w:i/>
        </w:rPr>
        <w:t>–</w:t>
      </w:r>
      <w:r>
        <w:rPr>
          <w:i/>
        </w:rPr>
        <w:t>23</w:t>
      </w:r>
      <w:r>
        <w:t>, 49.</w:t>
      </w:r>
    </w:p>
  </w:footnote>
  <w:footnote w:id="118">
    <w:p w14:paraId="0C92B6A1" w14:textId="12D1B7DA" w:rsidR="00F22830" w:rsidRDefault="00F22830" w:rsidP="00F22830">
      <w:pPr>
        <w:pStyle w:val="FootnoteText"/>
      </w:pPr>
      <w:r w:rsidRPr="2C3DB73A">
        <w:rPr>
          <w:rStyle w:val="FootnoteReference"/>
        </w:rPr>
        <w:footnoteRef/>
      </w:r>
      <w:r>
        <w:t xml:space="preserve"> Office of the Health Ombudsman, </w:t>
      </w:r>
      <w:r w:rsidRPr="00767970">
        <w:rPr>
          <w:i/>
          <w:iCs/>
        </w:rPr>
        <w:t>Annual Report</w:t>
      </w:r>
      <w:r>
        <w:rPr>
          <w:i/>
          <w:iCs/>
        </w:rPr>
        <w:t xml:space="preserve"> </w:t>
      </w:r>
      <w:r>
        <w:rPr>
          <w:i/>
        </w:rPr>
        <w:t>2022</w:t>
      </w:r>
      <w:r w:rsidR="00AA0B60">
        <w:rPr>
          <w:i/>
        </w:rPr>
        <w:t>–</w:t>
      </w:r>
      <w:r>
        <w:rPr>
          <w:i/>
        </w:rPr>
        <w:t>23</w:t>
      </w:r>
      <w:r>
        <w:t>, 49.</w:t>
      </w:r>
    </w:p>
  </w:footnote>
  <w:footnote w:id="119">
    <w:p w14:paraId="24383A04" w14:textId="2AD7521D" w:rsidR="00311886" w:rsidRPr="0038396F" w:rsidRDefault="00311886">
      <w:pPr>
        <w:pStyle w:val="FootnoteText"/>
        <w:rPr>
          <w:lang w:val="en-US"/>
        </w:rPr>
      </w:pPr>
      <w:r>
        <w:rPr>
          <w:rStyle w:val="FootnoteReference"/>
        </w:rPr>
        <w:footnoteRef/>
      </w:r>
      <w:r>
        <w:t xml:space="preserve"> </w:t>
      </w:r>
      <w:r>
        <w:rPr>
          <w:i/>
        </w:rPr>
        <w:t xml:space="preserve">Human Rights Act 2019 </w:t>
      </w:r>
      <w:r>
        <w:t>s 61(d)–(f).</w:t>
      </w:r>
    </w:p>
  </w:footnote>
  <w:footnote w:id="120">
    <w:p w14:paraId="1AB8BD63" w14:textId="7D086777" w:rsidR="00311886" w:rsidRPr="0050020C" w:rsidRDefault="00311886" w:rsidP="006F377C">
      <w:pPr>
        <w:pStyle w:val="FootnoteText"/>
      </w:pPr>
      <w:r>
        <w:rPr>
          <w:rStyle w:val="FootnoteReference"/>
        </w:rPr>
        <w:footnoteRef/>
      </w:r>
      <w:r>
        <w:t xml:space="preserve"> </w:t>
      </w:r>
      <w:r>
        <w:rPr>
          <w:i/>
        </w:rPr>
        <w:t xml:space="preserve">Human Rights Act 2019 </w:t>
      </w:r>
      <w:r>
        <w:t>s 3.</w:t>
      </w:r>
    </w:p>
  </w:footnote>
  <w:footnote w:id="121">
    <w:p w14:paraId="3B910D3A" w14:textId="52F2A1E2" w:rsidR="002A6AF7" w:rsidRDefault="002A6AF7">
      <w:pPr>
        <w:pStyle w:val="FootnoteText"/>
      </w:pPr>
      <w:r>
        <w:rPr>
          <w:rStyle w:val="FootnoteReference"/>
        </w:rPr>
        <w:footnoteRef/>
      </w:r>
      <w:r>
        <w:t xml:space="preserve"> </w:t>
      </w:r>
      <w:r w:rsidR="00927EEE" w:rsidRPr="00C42A90">
        <w:t xml:space="preserve">Sarah Joseph, Susan Harris Rimmer and Chris Lane, ‘What </w:t>
      </w:r>
      <w:r w:rsidR="000A0CB3" w:rsidRPr="00C42A90">
        <w:t>D</w:t>
      </w:r>
      <w:r w:rsidR="00927EEE" w:rsidRPr="00C42A90">
        <w:t xml:space="preserve">id Queenslanders </w:t>
      </w:r>
      <w:r w:rsidR="000A0CB3" w:rsidRPr="00C42A90">
        <w:t>T</w:t>
      </w:r>
      <w:r w:rsidR="00927EEE" w:rsidRPr="00C42A90">
        <w:t xml:space="preserve">hink of </w:t>
      </w:r>
      <w:r w:rsidR="000A0CB3" w:rsidRPr="00C42A90">
        <w:t>H</w:t>
      </w:r>
      <w:r w:rsidR="00927EEE" w:rsidRPr="00C42A90">
        <w:t xml:space="preserve">uman </w:t>
      </w:r>
      <w:r w:rsidR="000A0CB3" w:rsidRPr="00C42A90">
        <w:t>R</w:t>
      </w:r>
      <w:r w:rsidR="00927EEE" w:rsidRPr="00C42A90">
        <w:t xml:space="preserve">ights in 2021? An </w:t>
      </w:r>
      <w:r w:rsidR="000A0CB3" w:rsidRPr="00C42A90">
        <w:t>A</w:t>
      </w:r>
      <w:r w:rsidR="00927EEE" w:rsidRPr="00C42A90">
        <w:t xml:space="preserve">ttitudinal </w:t>
      </w:r>
      <w:r w:rsidR="000A0CB3" w:rsidRPr="00C42A90">
        <w:t>S</w:t>
      </w:r>
      <w:r w:rsidR="00927EEE" w:rsidRPr="00C42A90">
        <w:t>urvey’</w:t>
      </w:r>
      <w:r w:rsidR="00817CB3" w:rsidRPr="00C42A90">
        <w:t xml:space="preserve"> (2022)</w:t>
      </w:r>
      <w:r w:rsidR="009C7D36">
        <w:t xml:space="preserve"> </w:t>
      </w:r>
      <w:r w:rsidR="008441A9">
        <w:t xml:space="preserve">41(3) </w:t>
      </w:r>
      <w:r w:rsidR="008441A9" w:rsidRPr="00C42A90">
        <w:rPr>
          <w:i/>
          <w:iCs/>
        </w:rPr>
        <w:t>The University of Queensland Law Journal</w:t>
      </w:r>
      <w:r w:rsidR="008441A9">
        <w:t xml:space="preserve"> </w:t>
      </w:r>
      <w:r w:rsidR="002F3E79">
        <w:t xml:space="preserve">363. </w:t>
      </w:r>
    </w:p>
  </w:footnote>
</w:footnotes>
</file>

<file path=word/intelligence2.xml><?xml version="1.0" encoding="utf-8"?>
<int2:intelligence xmlns:int2="http://schemas.microsoft.com/office/intelligence/2020/intelligence" xmlns:oel="http://schemas.microsoft.com/office/2019/extlst">
  <int2:observations>
    <int2:textHash int2:hashCode="SfyUYy/1ADxQx+" int2:id="3lbqXUYQ">
      <int2:state int2:value="Rejected" int2:type="LegacyProofing"/>
    </int2:textHash>
    <int2:textHash int2:hashCode="Dl/wog3gULLKCe" int2:id="YydWEY7D">
      <int2:state int2:value="Rejected" int2:type="LegacyProofing"/>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2D144E"/>
    <w:multiLevelType w:val="hybridMultilevel"/>
    <w:tmpl w:val="34A045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390586F"/>
    <w:multiLevelType w:val="hybridMultilevel"/>
    <w:tmpl w:val="6C56B3B2"/>
    <w:lvl w:ilvl="0" w:tplc="FAFC544C">
      <w:start w:val="91"/>
      <w:numFmt w:val="bullet"/>
      <w:pStyle w:val="Listparagraph-bulleted"/>
      <w:lvlText w:val=""/>
      <w:lvlJc w:val="left"/>
      <w:pPr>
        <w:ind w:left="720" w:hanging="360"/>
      </w:pPr>
      <w:rPr>
        <w:rFonts w:ascii="Symbol" w:eastAsiaTheme="minorHAnsi" w:hAnsi="Symbol" w:cstheme="minorBid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3D24B40"/>
    <w:multiLevelType w:val="hybridMultilevel"/>
    <w:tmpl w:val="4A0656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73BEC3E"/>
    <w:multiLevelType w:val="hybridMultilevel"/>
    <w:tmpl w:val="E7261FE4"/>
    <w:lvl w:ilvl="0" w:tplc="DAC8A770">
      <w:start w:val="1"/>
      <w:numFmt w:val="bullet"/>
      <w:lvlText w:val=""/>
      <w:lvlJc w:val="left"/>
      <w:pPr>
        <w:ind w:left="720" w:hanging="360"/>
      </w:pPr>
      <w:rPr>
        <w:rFonts w:ascii="Symbol" w:hAnsi="Symbol" w:hint="default"/>
      </w:rPr>
    </w:lvl>
    <w:lvl w:ilvl="1" w:tplc="E7E61FCC">
      <w:start w:val="1"/>
      <w:numFmt w:val="bullet"/>
      <w:lvlText w:val=""/>
      <w:lvlJc w:val="left"/>
      <w:pPr>
        <w:ind w:left="1440" w:hanging="360"/>
      </w:pPr>
      <w:rPr>
        <w:rFonts w:ascii="Symbol" w:hAnsi="Symbol" w:hint="default"/>
      </w:rPr>
    </w:lvl>
    <w:lvl w:ilvl="2" w:tplc="2AAA2C76">
      <w:start w:val="1"/>
      <w:numFmt w:val="bullet"/>
      <w:lvlText w:val=""/>
      <w:lvlJc w:val="left"/>
      <w:pPr>
        <w:ind w:left="2160" w:hanging="360"/>
      </w:pPr>
      <w:rPr>
        <w:rFonts w:ascii="Wingdings" w:hAnsi="Wingdings" w:hint="default"/>
      </w:rPr>
    </w:lvl>
    <w:lvl w:ilvl="3" w:tplc="0286418C">
      <w:start w:val="1"/>
      <w:numFmt w:val="bullet"/>
      <w:lvlText w:val=""/>
      <w:lvlJc w:val="left"/>
      <w:pPr>
        <w:ind w:left="2880" w:hanging="360"/>
      </w:pPr>
      <w:rPr>
        <w:rFonts w:ascii="Symbol" w:hAnsi="Symbol" w:hint="default"/>
      </w:rPr>
    </w:lvl>
    <w:lvl w:ilvl="4" w:tplc="0EDC7C82">
      <w:start w:val="1"/>
      <w:numFmt w:val="bullet"/>
      <w:lvlText w:val="o"/>
      <w:lvlJc w:val="left"/>
      <w:pPr>
        <w:ind w:left="3600" w:hanging="360"/>
      </w:pPr>
      <w:rPr>
        <w:rFonts w:ascii="Courier New" w:hAnsi="Courier New" w:hint="default"/>
      </w:rPr>
    </w:lvl>
    <w:lvl w:ilvl="5" w:tplc="0D6C358A">
      <w:start w:val="1"/>
      <w:numFmt w:val="bullet"/>
      <w:lvlText w:val=""/>
      <w:lvlJc w:val="left"/>
      <w:pPr>
        <w:ind w:left="4320" w:hanging="360"/>
      </w:pPr>
      <w:rPr>
        <w:rFonts w:ascii="Wingdings" w:hAnsi="Wingdings" w:hint="default"/>
      </w:rPr>
    </w:lvl>
    <w:lvl w:ilvl="6" w:tplc="4B8EF00E">
      <w:start w:val="1"/>
      <w:numFmt w:val="bullet"/>
      <w:lvlText w:val=""/>
      <w:lvlJc w:val="left"/>
      <w:pPr>
        <w:ind w:left="5040" w:hanging="360"/>
      </w:pPr>
      <w:rPr>
        <w:rFonts w:ascii="Symbol" w:hAnsi="Symbol" w:hint="default"/>
      </w:rPr>
    </w:lvl>
    <w:lvl w:ilvl="7" w:tplc="01A09788">
      <w:start w:val="1"/>
      <w:numFmt w:val="bullet"/>
      <w:lvlText w:val="o"/>
      <w:lvlJc w:val="left"/>
      <w:pPr>
        <w:ind w:left="5760" w:hanging="360"/>
      </w:pPr>
      <w:rPr>
        <w:rFonts w:ascii="Courier New" w:hAnsi="Courier New" w:hint="default"/>
      </w:rPr>
    </w:lvl>
    <w:lvl w:ilvl="8" w:tplc="CBC27BF8">
      <w:start w:val="1"/>
      <w:numFmt w:val="bullet"/>
      <w:lvlText w:val=""/>
      <w:lvlJc w:val="left"/>
      <w:pPr>
        <w:ind w:left="6480" w:hanging="360"/>
      </w:pPr>
      <w:rPr>
        <w:rFonts w:ascii="Wingdings" w:hAnsi="Wingdings" w:hint="default"/>
      </w:rPr>
    </w:lvl>
  </w:abstractNum>
  <w:abstractNum w:abstractNumId="4" w15:restartNumberingAfterBreak="0">
    <w:nsid w:val="079EA769"/>
    <w:multiLevelType w:val="hybridMultilevel"/>
    <w:tmpl w:val="FFFFFFFF"/>
    <w:lvl w:ilvl="0" w:tplc="38CEBB4E">
      <w:start w:val="1"/>
      <w:numFmt w:val="bullet"/>
      <w:lvlText w:val=""/>
      <w:lvlJc w:val="left"/>
      <w:pPr>
        <w:ind w:left="360" w:hanging="360"/>
      </w:pPr>
      <w:rPr>
        <w:rFonts w:ascii="Symbol" w:hAnsi="Symbol" w:hint="default"/>
      </w:rPr>
    </w:lvl>
    <w:lvl w:ilvl="1" w:tplc="51407364">
      <w:start w:val="1"/>
      <w:numFmt w:val="bullet"/>
      <w:lvlText w:val="o"/>
      <w:lvlJc w:val="left"/>
      <w:pPr>
        <w:ind w:left="1440" w:hanging="360"/>
      </w:pPr>
      <w:rPr>
        <w:rFonts w:ascii="Courier New" w:hAnsi="Courier New" w:hint="default"/>
      </w:rPr>
    </w:lvl>
    <w:lvl w:ilvl="2" w:tplc="59C689C8">
      <w:start w:val="1"/>
      <w:numFmt w:val="bullet"/>
      <w:lvlText w:val=""/>
      <w:lvlJc w:val="left"/>
      <w:pPr>
        <w:ind w:left="2160" w:hanging="360"/>
      </w:pPr>
      <w:rPr>
        <w:rFonts w:ascii="Wingdings" w:hAnsi="Wingdings" w:hint="default"/>
      </w:rPr>
    </w:lvl>
    <w:lvl w:ilvl="3" w:tplc="428C759A">
      <w:start w:val="1"/>
      <w:numFmt w:val="bullet"/>
      <w:lvlText w:val=""/>
      <w:lvlJc w:val="left"/>
      <w:pPr>
        <w:ind w:left="2880" w:hanging="360"/>
      </w:pPr>
      <w:rPr>
        <w:rFonts w:ascii="Symbol" w:hAnsi="Symbol" w:hint="default"/>
      </w:rPr>
    </w:lvl>
    <w:lvl w:ilvl="4" w:tplc="2C8C70DE">
      <w:start w:val="1"/>
      <w:numFmt w:val="bullet"/>
      <w:lvlText w:val="o"/>
      <w:lvlJc w:val="left"/>
      <w:pPr>
        <w:ind w:left="3600" w:hanging="360"/>
      </w:pPr>
      <w:rPr>
        <w:rFonts w:ascii="Courier New" w:hAnsi="Courier New" w:hint="default"/>
      </w:rPr>
    </w:lvl>
    <w:lvl w:ilvl="5" w:tplc="9732EB16">
      <w:start w:val="1"/>
      <w:numFmt w:val="bullet"/>
      <w:lvlText w:val=""/>
      <w:lvlJc w:val="left"/>
      <w:pPr>
        <w:ind w:left="4320" w:hanging="360"/>
      </w:pPr>
      <w:rPr>
        <w:rFonts w:ascii="Wingdings" w:hAnsi="Wingdings" w:hint="default"/>
      </w:rPr>
    </w:lvl>
    <w:lvl w:ilvl="6" w:tplc="54A6C1F2">
      <w:start w:val="1"/>
      <w:numFmt w:val="bullet"/>
      <w:lvlText w:val=""/>
      <w:lvlJc w:val="left"/>
      <w:pPr>
        <w:ind w:left="5040" w:hanging="360"/>
      </w:pPr>
      <w:rPr>
        <w:rFonts w:ascii="Symbol" w:hAnsi="Symbol" w:hint="default"/>
      </w:rPr>
    </w:lvl>
    <w:lvl w:ilvl="7" w:tplc="D29C67C8">
      <w:start w:val="1"/>
      <w:numFmt w:val="bullet"/>
      <w:lvlText w:val="o"/>
      <w:lvlJc w:val="left"/>
      <w:pPr>
        <w:ind w:left="5760" w:hanging="360"/>
      </w:pPr>
      <w:rPr>
        <w:rFonts w:ascii="Courier New" w:hAnsi="Courier New" w:hint="default"/>
      </w:rPr>
    </w:lvl>
    <w:lvl w:ilvl="8" w:tplc="EAF4312A">
      <w:start w:val="1"/>
      <w:numFmt w:val="bullet"/>
      <w:lvlText w:val=""/>
      <w:lvlJc w:val="left"/>
      <w:pPr>
        <w:ind w:left="6480" w:hanging="360"/>
      </w:pPr>
      <w:rPr>
        <w:rFonts w:ascii="Wingdings" w:hAnsi="Wingdings" w:hint="default"/>
      </w:rPr>
    </w:lvl>
  </w:abstractNum>
  <w:abstractNum w:abstractNumId="5" w15:restartNumberingAfterBreak="0">
    <w:nsid w:val="0E5E1948"/>
    <w:multiLevelType w:val="hybridMultilevel"/>
    <w:tmpl w:val="D4A0BDD6"/>
    <w:lvl w:ilvl="0" w:tplc="4CAAAB0A">
      <w:start w:val="1"/>
      <w:numFmt w:val="bullet"/>
      <w:lvlText w:val=""/>
      <w:lvlJc w:val="left"/>
      <w:pPr>
        <w:ind w:left="720" w:hanging="360"/>
      </w:pPr>
      <w:rPr>
        <w:rFonts w:ascii="Symbol" w:hAnsi="Symbol" w:hint="default"/>
      </w:rPr>
    </w:lvl>
    <w:lvl w:ilvl="1" w:tplc="3C34FBBA">
      <w:start w:val="1"/>
      <w:numFmt w:val="bullet"/>
      <w:lvlText w:val=""/>
      <w:lvlJc w:val="left"/>
      <w:pPr>
        <w:ind w:left="1440" w:hanging="360"/>
      </w:pPr>
      <w:rPr>
        <w:rFonts w:ascii="Symbol" w:hAnsi="Symbol" w:hint="default"/>
      </w:rPr>
    </w:lvl>
    <w:lvl w:ilvl="2" w:tplc="C958E5C2">
      <w:start w:val="1"/>
      <w:numFmt w:val="bullet"/>
      <w:lvlText w:val=""/>
      <w:lvlJc w:val="left"/>
      <w:pPr>
        <w:ind w:left="2160" w:hanging="360"/>
      </w:pPr>
      <w:rPr>
        <w:rFonts w:ascii="Wingdings" w:hAnsi="Wingdings" w:hint="default"/>
      </w:rPr>
    </w:lvl>
    <w:lvl w:ilvl="3" w:tplc="C658BC0E">
      <w:start w:val="1"/>
      <w:numFmt w:val="bullet"/>
      <w:lvlText w:val=""/>
      <w:lvlJc w:val="left"/>
      <w:pPr>
        <w:ind w:left="2880" w:hanging="360"/>
      </w:pPr>
      <w:rPr>
        <w:rFonts w:ascii="Symbol" w:hAnsi="Symbol" w:hint="default"/>
      </w:rPr>
    </w:lvl>
    <w:lvl w:ilvl="4" w:tplc="D632D50C">
      <w:start w:val="1"/>
      <w:numFmt w:val="bullet"/>
      <w:lvlText w:val="o"/>
      <w:lvlJc w:val="left"/>
      <w:pPr>
        <w:ind w:left="3600" w:hanging="360"/>
      </w:pPr>
      <w:rPr>
        <w:rFonts w:ascii="Courier New" w:hAnsi="Courier New" w:hint="default"/>
      </w:rPr>
    </w:lvl>
    <w:lvl w:ilvl="5" w:tplc="DC2293BA">
      <w:start w:val="1"/>
      <w:numFmt w:val="bullet"/>
      <w:lvlText w:val=""/>
      <w:lvlJc w:val="left"/>
      <w:pPr>
        <w:ind w:left="4320" w:hanging="360"/>
      </w:pPr>
      <w:rPr>
        <w:rFonts w:ascii="Wingdings" w:hAnsi="Wingdings" w:hint="default"/>
      </w:rPr>
    </w:lvl>
    <w:lvl w:ilvl="6" w:tplc="D36C8624">
      <w:start w:val="1"/>
      <w:numFmt w:val="bullet"/>
      <w:lvlText w:val=""/>
      <w:lvlJc w:val="left"/>
      <w:pPr>
        <w:ind w:left="5040" w:hanging="360"/>
      </w:pPr>
      <w:rPr>
        <w:rFonts w:ascii="Symbol" w:hAnsi="Symbol" w:hint="default"/>
      </w:rPr>
    </w:lvl>
    <w:lvl w:ilvl="7" w:tplc="B62C28EC">
      <w:start w:val="1"/>
      <w:numFmt w:val="bullet"/>
      <w:lvlText w:val="o"/>
      <w:lvlJc w:val="left"/>
      <w:pPr>
        <w:ind w:left="5760" w:hanging="360"/>
      </w:pPr>
      <w:rPr>
        <w:rFonts w:ascii="Courier New" w:hAnsi="Courier New" w:hint="default"/>
      </w:rPr>
    </w:lvl>
    <w:lvl w:ilvl="8" w:tplc="4C721326">
      <w:start w:val="1"/>
      <w:numFmt w:val="bullet"/>
      <w:lvlText w:val=""/>
      <w:lvlJc w:val="left"/>
      <w:pPr>
        <w:ind w:left="6480" w:hanging="360"/>
      </w:pPr>
      <w:rPr>
        <w:rFonts w:ascii="Wingdings" w:hAnsi="Wingdings" w:hint="default"/>
      </w:rPr>
    </w:lvl>
  </w:abstractNum>
  <w:abstractNum w:abstractNumId="6" w15:restartNumberingAfterBreak="0">
    <w:nsid w:val="0EDE06FB"/>
    <w:multiLevelType w:val="hybridMultilevel"/>
    <w:tmpl w:val="FC6C46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F364CDC"/>
    <w:multiLevelType w:val="hybridMultilevel"/>
    <w:tmpl w:val="D514F7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F4873FA"/>
    <w:multiLevelType w:val="hybridMultilevel"/>
    <w:tmpl w:val="119AA5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15D618C"/>
    <w:multiLevelType w:val="hybridMultilevel"/>
    <w:tmpl w:val="2B6AF5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3090376"/>
    <w:multiLevelType w:val="hybridMultilevel"/>
    <w:tmpl w:val="0714E4FA"/>
    <w:lvl w:ilvl="0" w:tplc="00DE8BAC">
      <w:start w:val="1"/>
      <w:numFmt w:val="bullet"/>
      <w:lvlText w:val=""/>
      <w:lvlJc w:val="left"/>
      <w:pPr>
        <w:tabs>
          <w:tab w:val="num" w:pos="720"/>
        </w:tabs>
        <w:ind w:left="720" w:hanging="360"/>
      </w:pPr>
      <w:rPr>
        <w:rFonts w:ascii="Symbol" w:hAnsi="Symbol" w:hint="default"/>
      </w:rPr>
    </w:lvl>
    <w:lvl w:ilvl="1" w:tplc="B3C629B4" w:tentative="1">
      <w:start w:val="1"/>
      <w:numFmt w:val="bullet"/>
      <w:lvlText w:val=""/>
      <w:lvlJc w:val="left"/>
      <w:pPr>
        <w:tabs>
          <w:tab w:val="num" w:pos="1440"/>
        </w:tabs>
        <w:ind w:left="1440" w:hanging="360"/>
      </w:pPr>
      <w:rPr>
        <w:rFonts w:ascii="Symbol" w:hAnsi="Symbol" w:hint="default"/>
      </w:rPr>
    </w:lvl>
    <w:lvl w:ilvl="2" w:tplc="38823A4E" w:tentative="1">
      <w:start w:val="1"/>
      <w:numFmt w:val="bullet"/>
      <w:lvlText w:val=""/>
      <w:lvlJc w:val="left"/>
      <w:pPr>
        <w:tabs>
          <w:tab w:val="num" w:pos="2160"/>
        </w:tabs>
        <w:ind w:left="2160" w:hanging="360"/>
      </w:pPr>
      <w:rPr>
        <w:rFonts w:ascii="Symbol" w:hAnsi="Symbol" w:hint="default"/>
      </w:rPr>
    </w:lvl>
    <w:lvl w:ilvl="3" w:tplc="18DC3244" w:tentative="1">
      <w:start w:val="1"/>
      <w:numFmt w:val="bullet"/>
      <w:lvlText w:val=""/>
      <w:lvlJc w:val="left"/>
      <w:pPr>
        <w:tabs>
          <w:tab w:val="num" w:pos="2880"/>
        </w:tabs>
        <w:ind w:left="2880" w:hanging="360"/>
      </w:pPr>
      <w:rPr>
        <w:rFonts w:ascii="Symbol" w:hAnsi="Symbol" w:hint="default"/>
      </w:rPr>
    </w:lvl>
    <w:lvl w:ilvl="4" w:tplc="B87A982C" w:tentative="1">
      <w:start w:val="1"/>
      <w:numFmt w:val="bullet"/>
      <w:lvlText w:val=""/>
      <w:lvlJc w:val="left"/>
      <w:pPr>
        <w:tabs>
          <w:tab w:val="num" w:pos="3600"/>
        </w:tabs>
        <w:ind w:left="3600" w:hanging="360"/>
      </w:pPr>
      <w:rPr>
        <w:rFonts w:ascii="Symbol" w:hAnsi="Symbol" w:hint="default"/>
      </w:rPr>
    </w:lvl>
    <w:lvl w:ilvl="5" w:tplc="41E20AA8" w:tentative="1">
      <w:start w:val="1"/>
      <w:numFmt w:val="bullet"/>
      <w:lvlText w:val=""/>
      <w:lvlJc w:val="left"/>
      <w:pPr>
        <w:tabs>
          <w:tab w:val="num" w:pos="4320"/>
        </w:tabs>
        <w:ind w:left="4320" w:hanging="360"/>
      </w:pPr>
      <w:rPr>
        <w:rFonts w:ascii="Symbol" w:hAnsi="Symbol" w:hint="default"/>
      </w:rPr>
    </w:lvl>
    <w:lvl w:ilvl="6" w:tplc="44FC0642" w:tentative="1">
      <w:start w:val="1"/>
      <w:numFmt w:val="bullet"/>
      <w:lvlText w:val=""/>
      <w:lvlJc w:val="left"/>
      <w:pPr>
        <w:tabs>
          <w:tab w:val="num" w:pos="5040"/>
        </w:tabs>
        <w:ind w:left="5040" w:hanging="360"/>
      </w:pPr>
      <w:rPr>
        <w:rFonts w:ascii="Symbol" w:hAnsi="Symbol" w:hint="default"/>
      </w:rPr>
    </w:lvl>
    <w:lvl w:ilvl="7" w:tplc="8632C9F2" w:tentative="1">
      <w:start w:val="1"/>
      <w:numFmt w:val="bullet"/>
      <w:lvlText w:val=""/>
      <w:lvlJc w:val="left"/>
      <w:pPr>
        <w:tabs>
          <w:tab w:val="num" w:pos="5760"/>
        </w:tabs>
        <w:ind w:left="5760" w:hanging="360"/>
      </w:pPr>
      <w:rPr>
        <w:rFonts w:ascii="Symbol" w:hAnsi="Symbol" w:hint="default"/>
      </w:rPr>
    </w:lvl>
    <w:lvl w:ilvl="8" w:tplc="E9C60CB0" w:tentative="1">
      <w:start w:val="1"/>
      <w:numFmt w:val="bullet"/>
      <w:lvlText w:val=""/>
      <w:lvlJc w:val="left"/>
      <w:pPr>
        <w:tabs>
          <w:tab w:val="num" w:pos="6480"/>
        </w:tabs>
        <w:ind w:left="6480" w:hanging="360"/>
      </w:pPr>
      <w:rPr>
        <w:rFonts w:ascii="Symbol" w:hAnsi="Symbol" w:hint="default"/>
      </w:rPr>
    </w:lvl>
  </w:abstractNum>
  <w:abstractNum w:abstractNumId="11" w15:restartNumberingAfterBreak="0">
    <w:nsid w:val="153C54A4"/>
    <w:multiLevelType w:val="hybridMultilevel"/>
    <w:tmpl w:val="B5F400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64F0D48"/>
    <w:multiLevelType w:val="hybridMultilevel"/>
    <w:tmpl w:val="9EB4C90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8B9217A"/>
    <w:multiLevelType w:val="hybridMultilevel"/>
    <w:tmpl w:val="E2E0706C"/>
    <w:lvl w:ilvl="0" w:tplc="FFFFFFFF">
      <w:start w:val="1"/>
      <w:numFmt w:val="bullet"/>
      <w:pStyle w:val="ListParagraph"/>
      <w:lvlText w:val="•"/>
      <w:lvlJc w:val="left"/>
      <w:pPr>
        <w:ind w:left="1287" w:hanging="360"/>
      </w:pPr>
      <w:rPr>
        <w:rFonts w:ascii="Arial" w:hAnsi="Arial" w:hint="default"/>
      </w:rPr>
    </w:lvl>
    <w:lvl w:ilvl="1" w:tplc="0C090003">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4" w15:restartNumberingAfterBreak="0">
    <w:nsid w:val="1BAD65CA"/>
    <w:multiLevelType w:val="multilevel"/>
    <w:tmpl w:val="F82402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D767838"/>
    <w:multiLevelType w:val="hybridMultilevel"/>
    <w:tmpl w:val="A468CE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F2F0D6F"/>
    <w:multiLevelType w:val="hybridMultilevel"/>
    <w:tmpl w:val="F75ABA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52F2434"/>
    <w:multiLevelType w:val="hybridMultilevel"/>
    <w:tmpl w:val="45FEAE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B4247C6"/>
    <w:multiLevelType w:val="hybridMultilevel"/>
    <w:tmpl w:val="80A6F1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B587BB4"/>
    <w:multiLevelType w:val="hybridMultilevel"/>
    <w:tmpl w:val="D56C44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FC3006D"/>
    <w:multiLevelType w:val="hybridMultilevel"/>
    <w:tmpl w:val="F7C4E5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AF802A0"/>
    <w:multiLevelType w:val="hybridMultilevel"/>
    <w:tmpl w:val="AB320E56"/>
    <w:lvl w:ilvl="0" w:tplc="0C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3C407870"/>
    <w:multiLevelType w:val="hybridMultilevel"/>
    <w:tmpl w:val="7A1E7690"/>
    <w:lvl w:ilvl="0" w:tplc="12606754">
      <w:start w:val="1"/>
      <w:numFmt w:val="bullet"/>
      <w:lvlText w:val=""/>
      <w:lvlJc w:val="left"/>
      <w:pPr>
        <w:ind w:left="720" w:hanging="360"/>
      </w:pPr>
      <w:rPr>
        <w:rFonts w:ascii="Symbol" w:hAnsi="Symbol" w:hint="default"/>
      </w:rPr>
    </w:lvl>
    <w:lvl w:ilvl="1" w:tplc="A3127312">
      <w:start w:val="1"/>
      <w:numFmt w:val="bullet"/>
      <w:lvlText w:val=""/>
      <w:lvlJc w:val="left"/>
      <w:pPr>
        <w:ind w:left="1440" w:hanging="360"/>
      </w:pPr>
      <w:rPr>
        <w:rFonts w:ascii="Symbol" w:hAnsi="Symbol" w:hint="default"/>
      </w:rPr>
    </w:lvl>
    <w:lvl w:ilvl="2" w:tplc="07989066">
      <w:start w:val="1"/>
      <w:numFmt w:val="bullet"/>
      <w:lvlText w:val=""/>
      <w:lvlJc w:val="left"/>
      <w:pPr>
        <w:ind w:left="2160" w:hanging="360"/>
      </w:pPr>
      <w:rPr>
        <w:rFonts w:ascii="Wingdings" w:hAnsi="Wingdings" w:hint="default"/>
      </w:rPr>
    </w:lvl>
    <w:lvl w:ilvl="3" w:tplc="03009190">
      <w:start w:val="1"/>
      <w:numFmt w:val="bullet"/>
      <w:lvlText w:val=""/>
      <w:lvlJc w:val="left"/>
      <w:pPr>
        <w:ind w:left="2880" w:hanging="360"/>
      </w:pPr>
      <w:rPr>
        <w:rFonts w:ascii="Symbol" w:hAnsi="Symbol" w:hint="default"/>
      </w:rPr>
    </w:lvl>
    <w:lvl w:ilvl="4" w:tplc="A6CED7E8">
      <w:start w:val="1"/>
      <w:numFmt w:val="bullet"/>
      <w:lvlText w:val="o"/>
      <w:lvlJc w:val="left"/>
      <w:pPr>
        <w:ind w:left="3600" w:hanging="360"/>
      </w:pPr>
      <w:rPr>
        <w:rFonts w:ascii="Courier New" w:hAnsi="Courier New" w:hint="default"/>
      </w:rPr>
    </w:lvl>
    <w:lvl w:ilvl="5" w:tplc="6CBE14FE">
      <w:start w:val="1"/>
      <w:numFmt w:val="bullet"/>
      <w:lvlText w:val=""/>
      <w:lvlJc w:val="left"/>
      <w:pPr>
        <w:ind w:left="4320" w:hanging="360"/>
      </w:pPr>
      <w:rPr>
        <w:rFonts w:ascii="Wingdings" w:hAnsi="Wingdings" w:hint="default"/>
      </w:rPr>
    </w:lvl>
    <w:lvl w:ilvl="6" w:tplc="C160F0C8">
      <w:start w:val="1"/>
      <w:numFmt w:val="bullet"/>
      <w:lvlText w:val=""/>
      <w:lvlJc w:val="left"/>
      <w:pPr>
        <w:ind w:left="5040" w:hanging="360"/>
      </w:pPr>
      <w:rPr>
        <w:rFonts w:ascii="Symbol" w:hAnsi="Symbol" w:hint="default"/>
      </w:rPr>
    </w:lvl>
    <w:lvl w:ilvl="7" w:tplc="F11EB558">
      <w:start w:val="1"/>
      <w:numFmt w:val="bullet"/>
      <w:lvlText w:val="o"/>
      <w:lvlJc w:val="left"/>
      <w:pPr>
        <w:ind w:left="5760" w:hanging="360"/>
      </w:pPr>
      <w:rPr>
        <w:rFonts w:ascii="Courier New" w:hAnsi="Courier New" w:hint="default"/>
      </w:rPr>
    </w:lvl>
    <w:lvl w:ilvl="8" w:tplc="A192CEA2">
      <w:start w:val="1"/>
      <w:numFmt w:val="bullet"/>
      <w:lvlText w:val=""/>
      <w:lvlJc w:val="left"/>
      <w:pPr>
        <w:ind w:left="6480" w:hanging="360"/>
      </w:pPr>
      <w:rPr>
        <w:rFonts w:ascii="Wingdings" w:hAnsi="Wingdings" w:hint="default"/>
      </w:rPr>
    </w:lvl>
  </w:abstractNum>
  <w:abstractNum w:abstractNumId="23" w15:restartNumberingAfterBreak="0">
    <w:nsid w:val="41D71BD6"/>
    <w:multiLevelType w:val="hybridMultilevel"/>
    <w:tmpl w:val="30EE63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1E076CE"/>
    <w:multiLevelType w:val="hybridMultilevel"/>
    <w:tmpl w:val="C0C862A2"/>
    <w:lvl w:ilvl="0" w:tplc="FFFFFFFF">
      <w:start w:val="3"/>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2C67B38"/>
    <w:multiLevelType w:val="hybridMultilevel"/>
    <w:tmpl w:val="BC1649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4E4322D"/>
    <w:multiLevelType w:val="hybridMultilevel"/>
    <w:tmpl w:val="4404DEEE"/>
    <w:lvl w:ilvl="0" w:tplc="74EAB8D4">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7" w15:restartNumberingAfterBreak="0">
    <w:nsid w:val="4F8913AA"/>
    <w:multiLevelType w:val="hybridMultilevel"/>
    <w:tmpl w:val="44D2827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4FE94ED6"/>
    <w:multiLevelType w:val="hybridMultilevel"/>
    <w:tmpl w:val="1ABCEF1A"/>
    <w:lvl w:ilvl="0" w:tplc="74EAB8D4">
      <w:start w:val="1"/>
      <w:numFmt w:val="bullet"/>
      <w:lvlText w:val=""/>
      <w:lvlJc w:val="left"/>
      <w:pPr>
        <w:ind w:left="720" w:hanging="360"/>
      </w:pPr>
      <w:rPr>
        <w:rFonts w:ascii="Symbol" w:hAnsi="Symbol" w:hint="default"/>
      </w:rPr>
    </w:lvl>
    <w:lvl w:ilvl="1" w:tplc="43FEB9EE">
      <w:start w:val="1"/>
      <w:numFmt w:val="bullet"/>
      <w:lvlText w:val="o"/>
      <w:lvlJc w:val="left"/>
      <w:pPr>
        <w:ind w:left="1440" w:hanging="360"/>
      </w:pPr>
      <w:rPr>
        <w:rFonts w:ascii="Courier New" w:hAnsi="Courier New" w:hint="default"/>
      </w:rPr>
    </w:lvl>
    <w:lvl w:ilvl="2" w:tplc="5BC4DF6C">
      <w:start w:val="1"/>
      <w:numFmt w:val="bullet"/>
      <w:lvlText w:val=""/>
      <w:lvlJc w:val="left"/>
      <w:pPr>
        <w:ind w:left="2160" w:hanging="360"/>
      </w:pPr>
      <w:rPr>
        <w:rFonts w:ascii="Wingdings" w:hAnsi="Wingdings" w:hint="default"/>
      </w:rPr>
    </w:lvl>
    <w:lvl w:ilvl="3" w:tplc="D0F86EF6">
      <w:start w:val="1"/>
      <w:numFmt w:val="bullet"/>
      <w:lvlText w:val=""/>
      <w:lvlJc w:val="left"/>
      <w:pPr>
        <w:ind w:left="2880" w:hanging="360"/>
      </w:pPr>
      <w:rPr>
        <w:rFonts w:ascii="Symbol" w:hAnsi="Symbol" w:hint="default"/>
      </w:rPr>
    </w:lvl>
    <w:lvl w:ilvl="4" w:tplc="60449FD0">
      <w:start w:val="1"/>
      <w:numFmt w:val="bullet"/>
      <w:lvlText w:val="o"/>
      <w:lvlJc w:val="left"/>
      <w:pPr>
        <w:ind w:left="3600" w:hanging="360"/>
      </w:pPr>
      <w:rPr>
        <w:rFonts w:ascii="Courier New" w:hAnsi="Courier New" w:hint="default"/>
      </w:rPr>
    </w:lvl>
    <w:lvl w:ilvl="5" w:tplc="6BD2D9E8">
      <w:start w:val="1"/>
      <w:numFmt w:val="bullet"/>
      <w:lvlText w:val=""/>
      <w:lvlJc w:val="left"/>
      <w:pPr>
        <w:ind w:left="4320" w:hanging="360"/>
      </w:pPr>
      <w:rPr>
        <w:rFonts w:ascii="Wingdings" w:hAnsi="Wingdings" w:hint="default"/>
      </w:rPr>
    </w:lvl>
    <w:lvl w:ilvl="6" w:tplc="3AE01696">
      <w:start w:val="1"/>
      <w:numFmt w:val="bullet"/>
      <w:lvlText w:val=""/>
      <w:lvlJc w:val="left"/>
      <w:pPr>
        <w:ind w:left="5040" w:hanging="360"/>
      </w:pPr>
      <w:rPr>
        <w:rFonts w:ascii="Symbol" w:hAnsi="Symbol" w:hint="default"/>
      </w:rPr>
    </w:lvl>
    <w:lvl w:ilvl="7" w:tplc="F32EEE8C">
      <w:start w:val="1"/>
      <w:numFmt w:val="bullet"/>
      <w:lvlText w:val="o"/>
      <w:lvlJc w:val="left"/>
      <w:pPr>
        <w:ind w:left="5760" w:hanging="360"/>
      </w:pPr>
      <w:rPr>
        <w:rFonts w:ascii="Courier New" w:hAnsi="Courier New" w:hint="default"/>
      </w:rPr>
    </w:lvl>
    <w:lvl w:ilvl="8" w:tplc="F8326252">
      <w:start w:val="1"/>
      <w:numFmt w:val="bullet"/>
      <w:lvlText w:val=""/>
      <w:lvlJc w:val="left"/>
      <w:pPr>
        <w:ind w:left="6480" w:hanging="360"/>
      </w:pPr>
      <w:rPr>
        <w:rFonts w:ascii="Wingdings" w:hAnsi="Wingdings" w:hint="default"/>
      </w:rPr>
    </w:lvl>
  </w:abstractNum>
  <w:abstractNum w:abstractNumId="29" w15:restartNumberingAfterBreak="0">
    <w:nsid w:val="50C42857"/>
    <w:multiLevelType w:val="hybridMultilevel"/>
    <w:tmpl w:val="FFFFFFFF"/>
    <w:lvl w:ilvl="0" w:tplc="2CDC3B4C">
      <w:start w:val="1"/>
      <w:numFmt w:val="bullet"/>
      <w:lvlText w:val=""/>
      <w:lvlJc w:val="left"/>
      <w:pPr>
        <w:ind w:left="720" w:hanging="360"/>
      </w:pPr>
      <w:rPr>
        <w:rFonts w:ascii="Symbol" w:hAnsi="Symbol" w:hint="default"/>
      </w:rPr>
    </w:lvl>
    <w:lvl w:ilvl="1" w:tplc="4ED24FF4">
      <w:start w:val="1"/>
      <w:numFmt w:val="bullet"/>
      <w:lvlText w:val="o"/>
      <w:lvlJc w:val="left"/>
      <w:pPr>
        <w:ind w:left="1440" w:hanging="360"/>
      </w:pPr>
      <w:rPr>
        <w:rFonts w:ascii="Courier New" w:hAnsi="Courier New" w:hint="default"/>
      </w:rPr>
    </w:lvl>
    <w:lvl w:ilvl="2" w:tplc="CCAA559E">
      <w:start w:val="1"/>
      <w:numFmt w:val="bullet"/>
      <w:lvlText w:val=""/>
      <w:lvlJc w:val="left"/>
      <w:pPr>
        <w:ind w:left="2160" w:hanging="360"/>
      </w:pPr>
      <w:rPr>
        <w:rFonts w:ascii="Wingdings" w:hAnsi="Wingdings" w:hint="default"/>
      </w:rPr>
    </w:lvl>
    <w:lvl w:ilvl="3" w:tplc="01D80EEA">
      <w:start w:val="1"/>
      <w:numFmt w:val="bullet"/>
      <w:lvlText w:val=""/>
      <w:lvlJc w:val="left"/>
      <w:pPr>
        <w:ind w:left="2880" w:hanging="360"/>
      </w:pPr>
      <w:rPr>
        <w:rFonts w:ascii="Symbol" w:hAnsi="Symbol" w:hint="default"/>
      </w:rPr>
    </w:lvl>
    <w:lvl w:ilvl="4" w:tplc="6B7E363A">
      <w:start w:val="1"/>
      <w:numFmt w:val="bullet"/>
      <w:lvlText w:val="o"/>
      <w:lvlJc w:val="left"/>
      <w:pPr>
        <w:ind w:left="3600" w:hanging="360"/>
      </w:pPr>
      <w:rPr>
        <w:rFonts w:ascii="Courier New" w:hAnsi="Courier New" w:hint="default"/>
      </w:rPr>
    </w:lvl>
    <w:lvl w:ilvl="5" w:tplc="DF5416A8">
      <w:start w:val="1"/>
      <w:numFmt w:val="bullet"/>
      <w:lvlText w:val=""/>
      <w:lvlJc w:val="left"/>
      <w:pPr>
        <w:ind w:left="4320" w:hanging="360"/>
      </w:pPr>
      <w:rPr>
        <w:rFonts w:ascii="Wingdings" w:hAnsi="Wingdings" w:hint="default"/>
      </w:rPr>
    </w:lvl>
    <w:lvl w:ilvl="6" w:tplc="A676AC08">
      <w:start w:val="1"/>
      <w:numFmt w:val="bullet"/>
      <w:lvlText w:val=""/>
      <w:lvlJc w:val="left"/>
      <w:pPr>
        <w:ind w:left="5040" w:hanging="360"/>
      </w:pPr>
      <w:rPr>
        <w:rFonts w:ascii="Symbol" w:hAnsi="Symbol" w:hint="default"/>
      </w:rPr>
    </w:lvl>
    <w:lvl w:ilvl="7" w:tplc="2A964AC0">
      <w:start w:val="1"/>
      <w:numFmt w:val="bullet"/>
      <w:lvlText w:val="o"/>
      <w:lvlJc w:val="left"/>
      <w:pPr>
        <w:ind w:left="5760" w:hanging="360"/>
      </w:pPr>
      <w:rPr>
        <w:rFonts w:ascii="Courier New" w:hAnsi="Courier New" w:hint="default"/>
      </w:rPr>
    </w:lvl>
    <w:lvl w:ilvl="8" w:tplc="37422F94">
      <w:start w:val="1"/>
      <w:numFmt w:val="bullet"/>
      <w:lvlText w:val=""/>
      <w:lvlJc w:val="left"/>
      <w:pPr>
        <w:ind w:left="6480" w:hanging="360"/>
      </w:pPr>
      <w:rPr>
        <w:rFonts w:ascii="Wingdings" w:hAnsi="Wingdings" w:hint="default"/>
      </w:rPr>
    </w:lvl>
  </w:abstractNum>
  <w:abstractNum w:abstractNumId="30" w15:restartNumberingAfterBreak="0">
    <w:nsid w:val="52BC30BB"/>
    <w:multiLevelType w:val="hybridMultilevel"/>
    <w:tmpl w:val="675226D4"/>
    <w:lvl w:ilvl="0" w:tplc="50984DEE">
      <w:start w:val="1"/>
      <w:numFmt w:val="bullet"/>
      <w:lvlText w:val=""/>
      <w:lvlJc w:val="left"/>
      <w:pPr>
        <w:ind w:left="720" w:hanging="360"/>
      </w:pPr>
      <w:rPr>
        <w:rFonts w:ascii="Wingdings" w:hAnsi="Wingdings" w:hint="default"/>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66A6B18"/>
    <w:multiLevelType w:val="hybridMultilevel"/>
    <w:tmpl w:val="A920E4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6AD6E7A"/>
    <w:multiLevelType w:val="hybridMultilevel"/>
    <w:tmpl w:val="23EEA5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7842E14"/>
    <w:multiLevelType w:val="hybridMultilevel"/>
    <w:tmpl w:val="D68091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5A497040"/>
    <w:multiLevelType w:val="hybridMultilevel"/>
    <w:tmpl w:val="1BC4B7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5E07F2C9"/>
    <w:multiLevelType w:val="hybridMultilevel"/>
    <w:tmpl w:val="FFFFFFFF"/>
    <w:lvl w:ilvl="0" w:tplc="19F664D8">
      <w:start w:val="1"/>
      <w:numFmt w:val="bullet"/>
      <w:lvlText w:val=""/>
      <w:lvlJc w:val="left"/>
      <w:pPr>
        <w:ind w:left="720" w:hanging="360"/>
      </w:pPr>
      <w:rPr>
        <w:rFonts w:ascii="Symbol" w:hAnsi="Symbol" w:hint="default"/>
      </w:rPr>
    </w:lvl>
    <w:lvl w:ilvl="1" w:tplc="4FB67FD4">
      <w:start w:val="1"/>
      <w:numFmt w:val="bullet"/>
      <w:lvlText w:val="o"/>
      <w:lvlJc w:val="left"/>
      <w:pPr>
        <w:ind w:left="1440" w:hanging="360"/>
      </w:pPr>
      <w:rPr>
        <w:rFonts w:ascii="Courier New" w:hAnsi="Courier New" w:hint="default"/>
      </w:rPr>
    </w:lvl>
    <w:lvl w:ilvl="2" w:tplc="714CED70">
      <w:start w:val="1"/>
      <w:numFmt w:val="bullet"/>
      <w:lvlText w:val=""/>
      <w:lvlJc w:val="left"/>
      <w:pPr>
        <w:ind w:left="2160" w:hanging="360"/>
      </w:pPr>
      <w:rPr>
        <w:rFonts w:ascii="Wingdings" w:hAnsi="Wingdings" w:hint="default"/>
      </w:rPr>
    </w:lvl>
    <w:lvl w:ilvl="3" w:tplc="628E7738">
      <w:start w:val="1"/>
      <w:numFmt w:val="bullet"/>
      <w:lvlText w:val=""/>
      <w:lvlJc w:val="left"/>
      <w:pPr>
        <w:ind w:left="2880" w:hanging="360"/>
      </w:pPr>
      <w:rPr>
        <w:rFonts w:ascii="Symbol" w:hAnsi="Symbol" w:hint="default"/>
      </w:rPr>
    </w:lvl>
    <w:lvl w:ilvl="4" w:tplc="270A1E9C">
      <w:start w:val="1"/>
      <w:numFmt w:val="bullet"/>
      <w:lvlText w:val="o"/>
      <w:lvlJc w:val="left"/>
      <w:pPr>
        <w:ind w:left="3600" w:hanging="360"/>
      </w:pPr>
      <w:rPr>
        <w:rFonts w:ascii="Courier New" w:hAnsi="Courier New" w:hint="default"/>
      </w:rPr>
    </w:lvl>
    <w:lvl w:ilvl="5" w:tplc="CD62B830">
      <w:start w:val="1"/>
      <w:numFmt w:val="bullet"/>
      <w:lvlText w:val=""/>
      <w:lvlJc w:val="left"/>
      <w:pPr>
        <w:ind w:left="4320" w:hanging="360"/>
      </w:pPr>
      <w:rPr>
        <w:rFonts w:ascii="Wingdings" w:hAnsi="Wingdings" w:hint="default"/>
      </w:rPr>
    </w:lvl>
    <w:lvl w:ilvl="6" w:tplc="BE8213DE">
      <w:start w:val="1"/>
      <w:numFmt w:val="bullet"/>
      <w:lvlText w:val=""/>
      <w:lvlJc w:val="left"/>
      <w:pPr>
        <w:ind w:left="5040" w:hanging="360"/>
      </w:pPr>
      <w:rPr>
        <w:rFonts w:ascii="Symbol" w:hAnsi="Symbol" w:hint="default"/>
      </w:rPr>
    </w:lvl>
    <w:lvl w:ilvl="7" w:tplc="773E2C00">
      <w:start w:val="1"/>
      <w:numFmt w:val="bullet"/>
      <w:lvlText w:val="o"/>
      <w:lvlJc w:val="left"/>
      <w:pPr>
        <w:ind w:left="5760" w:hanging="360"/>
      </w:pPr>
      <w:rPr>
        <w:rFonts w:ascii="Courier New" w:hAnsi="Courier New" w:hint="default"/>
      </w:rPr>
    </w:lvl>
    <w:lvl w:ilvl="8" w:tplc="4508C472">
      <w:start w:val="1"/>
      <w:numFmt w:val="bullet"/>
      <w:lvlText w:val=""/>
      <w:lvlJc w:val="left"/>
      <w:pPr>
        <w:ind w:left="6480" w:hanging="360"/>
      </w:pPr>
      <w:rPr>
        <w:rFonts w:ascii="Wingdings" w:hAnsi="Wingdings" w:hint="default"/>
      </w:rPr>
    </w:lvl>
  </w:abstractNum>
  <w:abstractNum w:abstractNumId="36" w15:restartNumberingAfterBreak="0">
    <w:nsid w:val="621510AB"/>
    <w:multiLevelType w:val="hybridMultilevel"/>
    <w:tmpl w:val="25AA2D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2203355"/>
    <w:multiLevelType w:val="hybridMultilevel"/>
    <w:tmpl w:val="0358B4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69A6586C"/>
    <w:multiLevelType w:val="hybridMultilevel"/>
    <w:tmpl w:val="E8C0B648"/>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6F421007"/>
    <w:multiLevelType w:val="hybridMultilevel"/>
    <w:tmpl w:val="1EAE4FAC"/>
    <w:lvl w:ilvl="0" w:tplc="0C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71004F72"/>
    <w:multiLevelType w:val="hybridMultilevel"/>
    <w:tmpl w:val="7166FA36"/>
    <w:lvl w:ilvl="0" w:tplc="CAA23B2A">
      <w:start w:val="1"/>
      <w:numFmt w:val="decimal"/>
      <w:pStyle w:val="count"/>
      <w:lvlText w:val="%1."/>
      <w:lvlJc w:val="left"/>
      <w:pPr>
        <w:ind w:left="360" w:hanging="360"/>
      </w:pPr>
      <w:rPr>
        <w:rFonts w:cs="Times New Roman"/>
        <w:b w:val="0"/>
        <w:bCs/>
        <w:sz w:val="22"/>
        <w:szCs w:val="22"/>
      </w:rPr>
    </w:lvl>
    <w:lvl w:ilvl="1" w:tplc="0C090019">
      <w:start w:val="1"/>
      <w:numFmt w:val="lowerLetter"/>
      <w:lvlText w:val="%2."/>
      <w:lvlJc w:val="left"/>
      <w:pPr>
        <w:ind w:left="-971" w:hanging="360"/>
      </w:pPr>
      <w:rPr>
        <w:rFonts w:cs="Times New Roman"/>
      </w:rPr>
    </w:lvl>
    <w:lvl w:ilvl="2" w:tplc="0C09001B">
      <w:start w:val="1"/>
      <w:numFmt w:val="lowerRoman"/>
      <w:lvlText w:val="%3."/>
      <w:lvlJc w:val="right"/>
      <w:pPr>
        <w:ind w:left="-251" w:hanging="180"/>
      </w:pPr>
      <w:rPr>
        <w:rFonts w:cs="Times New Roman"/>
      </w:rPr>
    </w:lvl>
    <w:lvl w:ilvl="3" w:tplc="0C09000F">
      <w:start w:val="1"/>
      <w:numFmt w:val="decimal"/>
      <w:lvlText w:val="%4."/>
      <w:lvlJc w:val="left"/>
      <w:pPr>
        <w:ind w:left="469" w:hanging="360"/>
      </w:pPr>
      <w:rPr>
        <w:rFonts w:cs="Times New Roman"/>
      </w:rPr>
    </w:lvl>
    <w:lvl w:ilvl="4" w:tplc="0C090019">
      <w:start w:val="1"/>
      <w:numFmt w:val="lowerLetter"/>
      <w:lvlText w:val="%5."/>
      <w:lvlJc w:val="left"/>
      <w:pPr>
        <w:ind w:left="1189" w:hanging="360"/>
      </w:pPr>
      <w:rPr>
        <w:rFonts w:cs="Times New Roman"/>
      </w:rPr>
    </w:lvl>
    <w:lvl w:ilvl="5" w:tplc="0C09001B">
      <w:start w:val="1"/>
      <w:numFmt w:val="lowerRoman"/>
      <w:lvlText w:val="%6."/>
      <w:lvlJc w:val="right"/>
      <w:pPr>
        <w:ind w:left="1909" w:hanging="180"/>
      </w:pPr>
      <w:rPr>
        <w:rFonts w:cs="Times New Roman"/>
      </w:rPr>
    </w:lvl>
    <w:lvl w:ilvl="6" w:tplc="0C09000F">
      <w:start w:val="1"/>
      <w:numFmt w:val="decimal"/>
      <w:lvlText w:val="%7."/>
      <w:lvlJc w:val="left"/>
      <w:pPr>
        <w:ind w:left="2629" w:hanging="360"/>
      </w:pPr>
      <w:rPr>
        <w:rFonts w:cs="Times New Roman"/>
      </w:rPr>
    </w:lvl>
    <w:lvl w:ilvl="7" w:tplc="0C090019">
      <w:start w:val="1"/>
      <w:numFmt w:val="lowerLetter"/>
      <w:lvlText w:val="%8."/>
      <w:lvlJc w:val="left"/>
      <w:pPr>
        <w:ind w:left="3349" w:hanging="360"/>
      </w:pPr>
      <w:rPr>
        <w:rFonts w:cs="Times New Roman"/>
      </w:rPr>
    </w:lvl>
    <w:lvl w:ilvl="8" w:tplc="0C09001B">
      <w:start w:val="1"/>
      <w:numFmt w:val="lowerRoman"/>
      <w:lvlText w:val="%9."/>
      <w:lvlJc w:val="right"/>
      <w:pPr>
        <w:ind w:left="4069" w:hanging="180"/>
      </w:pPr>
      <w:rPr>
        <w:rFonts w:cs="Times New Roman"/>
      </w:rPr>
    </w:lvl>
  </w:abstractNum>
  <w:abstractNum w:abstractNumId="41" w15:restartNumberingAfterBreak="0">
    <w:nsid w:val="75587EF1"/>
    <w:multiLevelType w:val="hybridMultilevel"/>
    <w:tmpl w:val="78C47AAC"/>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42" w15:restartNumberingAfterBreak="0">
    <w:nsid w:val="7B554E74"/>
    <w:multiLevelType w:val="hybridMultilevel"/>
    <w:tmpl w:val="48C2884E"/>
    <w:lvl w:ilvl="0" w:tplc="A918A506">
      <w:start w:val="1"/>
      <w:numFmt w:val="decimal"/>
      <w:pStyle w:val="Listparagraph-123"/>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7CA5585F"/>
    <w:multiLevelType w:val="hybridMultilevel"/>
    <w:tmpl w:val="9FF03D26"/>
    <w:lvl w:ilvl="0" w:tplc="5852D136">
      <w:start w:val="1"/>
      <w:numFmt w:val="bullet"/>
      <w:lvlText w:val=""/>
      <w:lvlJc w:val="left"/>
      <w:pPr>
        <w:ind w:left="720" w:hanging="360"/>
      </w:pPr>
      <w:rPr>
        <w:rFonts w:ascii="Symbol" w:hAnsi="Symbol" w:hint="default"/>
      </w:rPr>
    </w:lvl>
    <w:lvl w:ilvl="1" w:tplc="A686EFB6">
      <w:start w:val="1"/>
      <w:numFmt w:val="bullet"/>
      <w:lvlText w:val=""/>
      <w:lvlJc w:val="left"/>
      <w:pPr>
        <w:ind w:left="1440" w:hanging="360"/>
      </w:pPr>
      <w:rPr>
        <w:rFonts w:ascii="Symbol" w:hAnsi="Symbol" w:hint="default"/>
      </w:rPr>
    </w:lvl>
    <w:lvl w:ilvl="2" w:tplc="C40C7680">
      <w:start w:val="1"/>
      <w:numFmt w:val="bullet"/>
      <w:lvlText w:val=""/>
      <w:lvlJc w:val="left"/>
      <w:pPr>
        <w:ind w:left="2160" w:hanging="360"/>
      </w:pPr>
      <w:rPr>
        <w:rFonts w:ascii="Wingdings" w:hAnsi="Wingdings" w:hint="default"/>
      </w:rPr>
    </w:lvl>
    <w:lvl w:ilvl="3" w:tplc="A38EFD6C">
      <w:start w:val="1"/>
      <w:numFmt w:val="bullet"/>
      <w:lvlText w:val=""/>
      <w:lvlJc w:val="left"/>
      <w:pPr>
        <w:ind w:left="2880" w:hanging="360"/>
      </w:pPr>
      <w:rPr>
        <w:rFonts w:ascii="Symbol" w:hAnsi="Symbol" w:hint="default"/>
      </w:rPr>
    </w:lvl>
    <w:lvl w:ilvl="4" w:tplc="C162633C">
      <w:start w:val="1"/>
      <w:numFmt w:val="bullet"/>
      <w:lvlText w:val="o"/>
      <w:lvlJc w:val="left"/>
      <w:pPr>
        <w:ind w:left="3600" w:hanging="360"/>
      </w:pPr>
      <w:rPr>
        <w:rFonts w:ascii="Courier New" w:hAnsi="Courier New" w:hint="default"/>
      </w:rPr>
    </w:lvl>
    <w:lvl w:ilvl="5" w:tplc="8F5655A0">
      <w:start w:val="1"/>
      <w:numFmt w:val="bullet"/>
      <w:lvlText w:val=""/>
      <w:lvlJc w:val="left"/>
      <w:pPr>
        <w:ind w:left="4320" w:hanging="360"/>
      </w:pPr>
      <w:rPr>
        <w:rFonts w:ascii="Wingdings" w:hAnsi="Wingdings" w:hint="default"/>
      </w:rPr>
    </w:lvl>
    <w:lvl w:ilvl="6" w:tplc="6CCADB4E">
      <w:start w:val="1"/>
      <w:numFmt w:val="bullet"/>
      <w:lvlText w:val=""/>
      <w:lvlJc w:val="left"/>
      <w:pPr>
        <w:ind w:left="5040" w:hanging="360"/>
      </w:pPr>
      <w:rPr>
        <w:rFonts w:ascii="Symbol" w:hAnsi="Symbol" w:hint="default"/>
      </w:rPr>
    </w:lvl>
    <w:lvl w:ilvl="7" w:tplc="E9CCF7CE">
      <w:start w:val="1"/>
      <w:numFmt w:val="bullet"/>
      <w:lvlText w:val="o"/>
      <w:lvlJc w:val="left"/>
      <w:pPr>
        <w:ind w:left="5760" w:hanging="360"/>
      </w:pPr>
      <w:rPr>
        <w:rFonts w:ascii="Courier New" w:hAnsi="Courier New" w:hint="default"/>
      </w:rPr>
    </w:lvl>
    <w:lvl w:ilvl="8" w:tplc="4E3E05CC">
      <w:start w:val="1"/>
      <w:numFmt w:val="bullet"/>
      <w:lvlText w:val=""/>
      <w:lvlJc w:val="left"/>
      <w:pPr>
        <w:ind w:left="6480" w:hanging="360"/>
      </w:pPr>
      <w:rPr>
        <w:rFonts w:ascii="Wingdings" w:hAnsi="Wingdings" w:hint="default"/>
      </w:rPr>
    </w:lvl>
  </w:abstractNum>
  <w:abstractNum w:abstractNumId="44" w15:restartNumberingAfterBreak="0">
    <w:nsid w:val="7EBE02D9"/>
    <w:multiLevelType w:val="hybridMultilevel"/>
    <w:tmpl w:val="923CA416"/>
    <w:lvl w:ilvl="0" w:tplc="E4146086">
      <w:start w:val="2"/>
      <w:numFmt w:val="bullet"/>
      <w:lvlText w:val=""/>
      <w:lvlJc w:val="left"/>
      <w:pPr>
        <w:ind w:left="720" w:hanging="360"/>
      </w:pPr>
      <w:rPr>
        <w:rFonts w:ascii="Symbol" w:eastAsia="Calibri" w:hAnsi="Symbo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621496492">
    <w:abstractNumId w:val="42"/>
  </w:num>
  <w:num w:numId="2" w16cid:durableId="2047483194">
    <w:abstractNumId w:val="13"/>
  </w:num>
  <w:num w:numId="3" w16cid:durableId="2109040051">
    <w:abstractNumId w:val="1"/>
  </w:num>
  <w:num w:numId="4" w16cid:durableId="1523275022">
    <w:abstractNumId w:val="24"/>
  </w:num>
  <w:num w:numId="5" w16cid:durableId="1352759805">
    <w:abstractNumId w:val="18"/>
  </w:num>
  <w:num w:numId="6" w16cid:durableId="1098410920">
    <w:abstractNumId w:val="31"/>
  </w:num>
  <w:num w:numId="7" w16cid:durableId="1313873924">
    <w:abstractNumId w:val="20"/>
  </w:num>
  <w:num w:numId="8" w16cid:durableId="1625117079">
    <w:abstractNumId w:val="12"/>
  </w:num>
  <w:num w:numId="9" w16cid:durableId="1109547584">
    <w:abstractNumId w:val="33"/>
  </w:num>
  <w:num w:numId="10" w16cid:durableId="495650643">
    <w:abstractNumId w:val="36"/>
  </w:num>
  <w:num w:numId="11" w16cid:durableId="589777519">
    <w:abstractNumId w:val="35"/>
  </w:num>
  <w:num w:numId="12" w16cid:durableId="1404136902">
    <w:abstractNumId w:val="7"/>
  </w:num>
  <w:num w:numId="13" w16cid:durableId="298658352">
    <w:abstractNumId w:val="29"/>
  </w:num>
  <w:num w:numId="14" w16cid:durableId="737947704">
    <w:abstractNumId w:val="3"/>
  </w:num>
  <w:num w:numId="15" w16cid:durableId="23680489">
    <w:abstractNumId w:val="22"/>
  </w:num>
  <w:num w:numId="16" w16cid:durableId="13459922">
    <w:abstractNumId w:val="5"/>
  </w:num>
  <w:num w:numId="17" w16cid:durableId="1870801460">
    <w:abstractNumId w:val="28"/>
  </w:num>
  <w:num w:numId="18" w16cid:durableId="1165585254">
    <w:abstractNumId w:val="4"/>
  </w:num>
  <w:num w:numId="19" w16cid:durableId="2101362946">
    <w:abstractNumId w:val="43"/>
  </w:num>
  <w:num w:numId="20" w16cid:durableId="708456568">
    <w:abstractNumId w:val="39"/>
  </w:num>
  <w:num w:numId="21" w16cid:durableId="401366698">
    <w:abstractNumId w:val="6"/>
  </w:num>
  <w:num w:numId="22" w16cid:durableId="1820686672">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030449873">
    <w:abstractNumId w:val="13"/>
  </w:num>
  <w:num w:numId="24" w16cid:durableId="428740803">
    <w:abstractNumId w:val="26"/>
  </w:num>
  <w:num w:numId="25" w16cid:durableId="1090587772">
    <w:abstractNumId w:val="40"/>
  </w:num>
  <w:num w:numId="26" w16cid:durableId="731929770">
    <w:abstractNumId w:val="17"/>
  </w:num>
  <w:num w:numId="27" w16cid:durableId="758791919">
    <w:abstractNumId w:val="25"/>
  </w:num>
  <w:num w:numId="28" w16cid:durableId="267394439">
    <w:abstractNumId w:val="38"/>
  </w:num>
  <w:num w:numId="29" w16cid:durableId="2004047368">
    <w:abstractNumId w:val="11"/>
  </w:num>
  <w:num w:numId="30" w16cid:durableId="221674464">
    <w:abstractNumId w:val="44"/>
  </w:num>
  <w:num w:numId="31" w16cid:durableId="256986996">
    <w:abstractNumId w:val="27"/>
  </w:num>
  <w:num w:numId="32" w16cid:durableId="924417289">
    <w:abstractNumId w:val="23"/>
  </w:num>
  <w:num w:numId="33" w16cid:durableId="2064911693">
    <w:abstractNumId w:val="8"/>
  </w:num>
  <w:num w:numId="34" w16cid:durableId="1837572522">
    <w:abstractNumId w:val="34"/>
  </w:num>
  <w:num w:numId="35" w16cid:durableId="350382484">
    <w:abstractNumId w:val="21"/>
  </w:num>
  <w:num w:numId="36" w16cid:durableId="970284400">
    <w:abstractNumId w:val="37"/>
  </w:num>
  <w:num w:numId="37" w16cid:durableId="107894430">
    <w:abstractNumId w:val="9"/>
  </w:num>
  <w:num w:numId="38" w16cid:durableId="2050523045">
    <w:abstractNumId w:val="15"/>
  </w:num>
  <w:num w:numId="39" w16cid:durableId="481970723">
    <w:abstractNumId w:val="19"/>
  </w:num>
  <w:num w:numId="40" w16cid:durableId="1241135528">
    <w:abstractNumId w:val="0"/>
  </w:num>
  <w:num w:numId="41" w16cid:durableId="433015699">
    <w:abstractNumId w:val="41"/>
  </w:num>
  <w:num w:numId="42" w16cid:durableId="1064448182">
    <w:abstractNumId w:val="30"/>
  </w:num>
  <w:num w:numId="43" w16cid:durableId="1735204152">
    <w:abstractNumId w:val="10"/>
  </w:num>
  <w:num w:numId="44" w16cid:durableId="1790973199">
    <w:abstractNumId w:val="16"/>
  </w:num>
  <w:num w:numId="45" w16cid:durableId="1274828519">
    <w:abstractNumId w:val="14"/>
  </w:num>
  <w:num w:numId="46" w16cid:durableId="1249004240">
    <w:abstractNumId w:val="32"/>
  </w:num>
  <w:num w:numId="47" w16cid:durableId="654844863">
    <w:abstractNumId w:val="2"/>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stylePaneSortMethod w:val="000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3B61"/>
    <w:rsid w:val="00000046"/>
    <w:rsid w:val="000001A4"/>
    <w:rsid w:val="00000263"/>
    <w:rsid w:val="0000042C"/>
    <w:rsid w:val="0000079E"/>
    <w:rsid w:val="00000A1E"/>
    <w:rsid w:val="00000BFC"/>
    <w:rsid w:val="000010C7"/>
    <w:rsid w:val="00001168"/>
    <w:rsid w:val="000011FC"/>
    <w:rsid w:val="000013C7"/>
    <w:rsid w:val="00001689"/>
    <w:rsid w:val="000016C0"/>
    <w:rsid w:val="00001AB1"/>
    <w:rsid w:val="00001B4D"/>
    <w:rsid w:val="00001CD0"/>
    <w:rsid w:val="00002039"/>
    <w:rsid w:val="00002092"/>
    <w:rsid w:val="000020D0"/>
    <w:rsid w:val="0000229A"/>
    <w:rsid w:val="00002458"/>
    <w:rsid w:val="000027CA"/>
    <w:rsid w:val="000028A1"/>
    <w:rsid w:val="00002D43"/>
    <w:rsid w:val="00002DD5"/>
    <w:rsid w:val="00002FEC"/>
    <w:rsid w:val="00003016"/>
    <w:rsid w:val="00003334"/>
    <w:rsid w:val="00003397"/>
    <w:rsid w:val="000036BE"/>
    <w:rsid w:val="000037BF"/>
    <w:rsid w:val="000039B4"/>
    <w:rsid w:val="00003A1A"/>
    <w:rsid w:val="00003A77"/>
    <w:rsid w:val="00003B4F"/>
    <w:rsid w:val="000047CF"/>
    <w:rsid w:val="000048DD"/>
    <w:rsid w:val="000049BE"/>
    <w:rsid w:val="000049DF"/>
    <w:rsid w:val="00004A46"/>
    <w:rsid w:val="000050B0"/>
    <w:rsid w:val="000051D0"/>
    <w:rsid w:val="0000537B"/>
    <w:rsid w:val="0000548C"/>
    <w:rsid w:val="00005ADC"/>
    <w:rsid w:val="00005B25"/>
    <w:rsid w:val="00005B37"/>
    <w:rsid w:val="00005C59"/>
    <w:rsid w:val="00005D09"/>
    <w:rsid w:val="00005DB6"/>
    <w:rsid w:val="00005E23"/>
    <w:rsid w:val="00005EAC"/>
    <w:rsid w:val="00005EAE"/>
    <w:rsid w:val="00005EB7"/>
    <w:rsid w:val="00005F2B"/>
    <w:rsid w:val="00006044"/>
    <w:rsid w:val="000064FF"/>
    <w:rsid w:val="000066A6"/>
    <w:rsid w:val="000066C4"/>
    <w:rsid w:val="000066D1"/>
    <w:rsid w:val="00006765"/>
    <w:rsid w:val="0000686E"/>
    <w:rsid w:val="0000689C"/>
    <w:rsid w:val="00006A46"/>
    <w:rsid w:val="00006BD2"/>
    <w:rsid w:val="00006F49"/>
    <w:rsid w:val="000070D9"/>
    <w:rsid w:val="000073C3"/>
    <w:rsid w:val="00007736"/>
    <w:rsid w:val="000077B3"/>
    <w:rsid w:val="000077D7"/>
    <w:rsid w:val="000077E3"/>
    <w:rsid w:val="0000796B"/>
    <w:rsid w:val="00007A52"/>
    <w:rsid w:val="00010600"/>
    <w:rsid w:val="00010633"/>
    <w:rsid w:val="00010B21"/>
    <w:rsid w:val="00010D14"/>
    <w:rsid w:val="00010DC0"/>
    <w:rsid w:val="00010EC8"/>
    <w:rsid w:val="000112FB"/>
    <w:rsid w:val="000113BD"/>
    <w:rsid w:val="00011462"/>
    <w:rsid w:val="00011468"/>
    <w:rsid w:val="000114D9"/>
    <w:rsid w:val="00011A8B"/>
    <w:rsid w:val="00011B6B"/>
    <w:rsid w:val="00011E8A"/>
    <w:rsid w:val="00011F03"/>
    <w:rsid w:val="00011F06"/>
    <w:rsid w:val="00011FBE"/>
    <w:rsid w:val="00012171"/>
    <w:rsid w:val="00012242"/>
    <w:rsid w:val="00012258"/>
    <w:rsid w:val="00012632"/>
    <w:rsid w:val="0001280D"/>
    <w:rsid w:val="00012892"/>
    <w:rsid w:val="00012952"/>
    <w:rsid w:val="00012A6E"/>
    <w:rsid w:val="00012C50"/>
    <w:rsid w:val="00013234"/>
    <w:rsid w:val="00013355"/>
    <w:rsid w:val="00013510"/>
    <w:rsid w:val="000136FB"/>
    <w:rsid w:val="0001374F"/>
    <w:rsid w:val="000137C1"/>
    <w:rsid w:val="0001389D"/>
    <w:rsid w:val="00013BD7"/>
    <w:rsid w:val="00013DCC"/>
    <w:rsid w:val="00013F70"/>
    <w:rsid w:val="000143A6"/>
    <w:rsid w:val="000143D8"/>
    <w:rsid w:val="00014583"/>
    <w:rsid w:val="000149EE"/>
    <w:rsid w:val="00014A16"/>
    <w:rsid w:val="00014A5F"/>
    <w:rsid w:val="00014D1F"/>
    <w:rsid w:val="000151C3"/>
    <w:rsid w:val="000157F2"/>
    <w:rsid w:val="0001581A"/>
    <w:rsid w:val="0001603B"/>
    <w:rsid w:val="0001640A"/>
    <w:rsid w:val="00016439"/>
    <w:rsid w:val="00016478"/>
    <w:rsid w:val="000164F6"/>
    <w:rsid w:val="0001661F"/>
    <w:rsid w:val="00016A8D"/>
    <w:rsid w:val="00016B51"/>
    <w:rsid w:val="00016B53"/>
    <w:rsid w:val="00016B9D"/>
    <w:rsid w:val="00017153"/>
    <w:rsid w:val="0001741C"/>
    <w:rsid w:val="000174D2"/>
    <w:rsid w:val="00017559"/>
    <w:rsid w:val="000175F7"/>
    <w:rsid w:val="0001766E"/>
    <w:rsid w:val="000176E0"/>
    <w:rsid w:val="000179B3"/>
    <w:rsid w:val="00017B75"/>
    <w:rsid w:val="00017B83"/>
    <w:rsid w:val="00017D1F"/>
    <w:rsid w:val="00017DBA"/>
    <w:rsid w:val="00017DD3"/>
    <w:rsid w:val="00017E53"/>
    <w:rsid w:val="00017E5A"/>
    <w:rsid w:val="00017FD2"/>
    <w:rsid w:val="000201FF"/>
    <w:rsid w:val="0002026A"/>
    <w:rsid w:val="0002026F"/>
    <w:rsid w:val="00020289"/>
    <w:rsid w:val="00020314"/>
    <w:rsid w:val="000204EF"/>
    <w:rsid w:val="00020547"/>
    <w:rsid w:val="000207DD"/>
    <w:rsid w:val="00020809"/>
    <w:rsid w:val="00020819"/>
    <w:rsid w:val="000208BD"/>
    <w:rsid w:val="000213C7"/>
    <w:rsid w:val="000213F5"/>
    <w:rsid w:val="0002165B"/>
    <w:rsid w:val="00021AE4"/>
    <w:rsid w:val="00022343"/>
    <w:rsid w:val="0002245E"/>
    <w:rsid w:val="0002260E"/>
    <w:rsid w:val="0002274C"/>
    <w:rsid w:val="000227BB"/>
    <w:rsid w:val="00022856"/>
    <w:rsid w:val="000229B8"/>
    <w:rsid w:val="00022A4E"/>
    <w:rsid w:val="00022A95"/>
    <w:rsid w:val="00022CF8"/>
    <w:rsid w:val="00023096"/>
    <w:rsid w:val="000231F8"/>
    <w:rsid w:val="0002324E"/>
    <w:rsid w:val="00023266"/>
    <w:rsid w:val="0002326C"/>
    <w:rsid w:val="0002328E"/>
    <w:rsid w:val="0002361E"/>
    <w:rsid w:val="00023846"/>
    <w:rsid w:val="000238CF"/>
    <w:rsid w:val="00023AB5"/>
    <w:rsid w:val="00023B0E"/>
    <w:rsid w:val="00023B8B"/>
    <w:rsid w:val="00023F41"/>
    <w:rsid w:val="00023F83"/>
    <w:rsid w:val="0002429D"/>
    <w:rsid w:val="000244A5"/>
    <w:rsid w:val="0002488E"/>
    <w:rsid w:val="00024CA4"/>
    <w:rsid w:val="00024CD7"/>
    <w:rsid w:val="00024D70"/>
    <w:rsid w:val="00024D72"/>
    <w:rsid w:val="000250C0"/>
    <w:rsid w:val="000253FD"/>
    <w:rsid w:val="0002541C"/>
    <w:rsid w:val="000258C2"/>
    <w:rsid w:val="0002591F"/>
    <w:rsid w:val="00025A02"/>
    <w:rsid w:val="00025C14"/>
    <w:rsid w:val="00025CD1"/>
    <w:rsid w:val="00025DB6"/>
    <w:rsid w:val="00025E5E"/>
    <w:rsid w:val="000261A6"/>
    <w:rsid w:val="00026264"/>
    <w:rsid w:val="00026362"/>
    <w:rsid w:val="000263AB"/>
    <w:rsid w:val="000263B4"/>
    <w:rsid w:val="0002650E"/>
    <w:rsid w:val="000266D3"/>
    <w:rsid w:val="000266D9"/>
    <w:rsid w:val="000269A4"/>
    <w:rsid w:val="00026C1C"/>
    <w:rsid w:val="00026C77"/>
    <w:rsid w:val="00026CBE"/>
    <w:rsid w:val="00026D2E"/>
    <w:rsid w:val="00026E18"/>
    <w:rsid w:val="00026E65"/>
    <w:rsid w:val="00026EF9"/>
    <w:rsid w:val="00027233"/>
    <w:rsid w:val="0002742B"/>
    <w:rsid w:val="000274B4"/>
    <w:rsid w:val="0002756F"/>
    <w:rsid w:val="000276E6"/>
    <w:rsid w:val="0002787C"/>
    <w:rsid w:val="00027BA9"/>
    <w:rsid w:val="00027D47"/>
    <w:rsid w:val="00027EEC"/>
    <w:rsid w:val="00027FA1"/>
    <w:rsid w:val="00030129"/>
    <w:rsid w:val="000301D1"/>
    <w:rsid w:val="00030317"/>
    <w:rsid w:val="000303C9"/>
    <w:rsid w:val="00030504"/>
    <w:rsid w:val="0003056F"/>
    <w:rsid w:val="000305E2"/>
    <w:rsid w:val="00030621"/>
    <w:rsid w:val="0003089F"/>
    <w:rsid w:val="00030988"/>
    <w:rsid w:val="00030A91"/>
    <w:rsid w:val="00030AF3"/>
    <w:rsid w:val="00030B16"/>
    <w:rsid w:val="00030CB4"/>
    <w:rsid w:val="00030D8A"/>
    <w:rsid w:val="00030F25"/>
    <w:rsid w:val="00030FFA"/>
    <w:rsid w:val="000310D9"/>
    <w:rsid w:val="000315E4"/>
    <w:rsid w:val="000317CE"/>
    <w:rsid w:val="0003180B"/>
    <w:rsid w:val="00031873"/>
    <w:rsid w:val="00031A96"/>
    <w:rsid w:val="00031E70"/>
    <w:rsid w:val="0003217F"/>
    <w:rsid w:val="0003238F"/>
    <w:rsid w:val="00032587"/>
    <w:rsid w:val="000325CD"/>
    <w:rsid w:val="00032863"/>
    <w:rsid w:val="00032A03"/>
    <w:rsid w:val="00032A3E"/>
    <w:rsid w:val="00032AC6"/>
    <w:rsid w:val="00032CE3"/>
    <w:rsid w:val="00032DD7"/>
    <w:rsid w:val="00032EFC"/>
    <w:rsid w:val="00032F03"/>
    <w:rsid w:val="00032FCE"/>
    <w:rsid w:val="0003328A"/>
    <w:rsid w:val="000332AD"/>
    <w:rsid w:val="0003344E"/>
    <w:rsid w:val="0003346F"/>
    <w:rsid w:val="000334D5"/>
    <w:rsid w:val="0003351E"/>
    <w:rsid w:val="000339CC"/>
    <w:rsid w:val="00033A5F"/>
    <w:rsid w:val="00033A6D"/>
    <w:rsid w:val="00033B27"/>
    <w:rsid w:val="00033C1D"/>
    <w:rsid w:val="00033ED1"/>
    <w:rsid w:val="00034117"/>
    <w:rsid w:val="00034496"/>
    <w:rsid w:val="000348B8"/>
    <w:rsid w:val="000348E4"/>
    <w:rsid w:val="00034CBA"/>
    <w:rsid w:val="00034DDD"/>
    <w:rsid w:val="00035161"/>
    <w:rsid w:val="0003519A"/>
    <w:rsid w:val="000352A4"/>
    <w:rsid w:val="000352E7"/>
    <w:rsid w:val="000354E8"/>
    <w:rsid w:val="00035517"/>
    <w:rsid w:val="0003551C"/>
    <w:rsid w:val="000356B8"/>
    <w:rsid w:val="00035777"/>
    <w:rsid w:val="00035858"/>
    <w:rsid w:val="00035934"/>
    <w:rsid w:val="00035C8D"/>
    <w:rsid w:val="00035CF2"/>
    <w:rsid w:val="00035DD9"/>
    <w:rsid w:val="00035E43"/>
    <w:rsid w:val="00035E8E"/>
    <w:rsid w:val="00036064"/>
    <w:rsid w:val="00036204"/>
    <w:rsid w:val="000363D2"/>
    <w:rsid w:val="0003653A"/>
    <w:rsid w:val="00036617"/>
    <w:rsid w:val="000368B3"/>
    <w:rsid w:val="00036A8A"/>
    <w:rsid w:val="00036C7B"/>
    <w:rsid w:val="00036EF1"/>
    <w:rsid w:val="00037221"/>
    <w:rsid w:val="00037562"/>
    <w:rsid w:val="00037711"/>
    <w:rsid w:val="0003779E"/>
    <w:rsid w:val="00037A18"/>
    <w:rsid w:val="00037ADD"/>
    <w:rsid w:val="00037BBC"/>
    <w:rsid w:val="0004043C"/>
    <w:rsid w:val="00040701"/>
    <w:rsid w:val="00040841"/>
    <w:rsid w:val="000408D6"/>
    <w:rsid w:val="00040E2E"/>
    <w:rsid w:val="00040EBF"/>
    <w:rsid w:val="00041040"/>
    <w:rsid w:val="00041115"/>
    <w:rsid w:val="00041131"/>
    <w:rsid w:val="00041140"/>
    <w:rsid w:val="00041355"/>
    <w:rsid w:val="00041484"/>
    <w:rsid w:val="0004158C"/>
    <w:rsid w:val="000417ED"/>
    <w:rsid w:val="000418B1"/>
    <w:rsid w:val="0004192E"/>
    <w:rsid w:val="00041A42"/>
    <w:rsid w:val="00041AC2"/>
    <w:rsid w:val="00041B4B"/>
    <w:rsid w:val="00041DC3"/>
    <w:rsid w:val="00041DF8"/>
    <w:rsid w:val="00041FE3"/>
    <w:rsid w:val="00042337"/>
    <w:rsid w:val="000423A3"/>
    <w:rsid w:val="0004258C"/>
    <w:rsid w:val="000428FF"/>
    <w:rsid w:val="00042A32"/>
    <w:rsid w:val="00042AF3"/>
    <w:rsid w:val="00042B64"/>
    <w:rsid w:val="00042C0F"/>
    <w:rsid w:val="00042EBA"/>
    <w:rsid w:val="00042FF7"/>
    <w:rsid w:val="000430EB"/>
    <w:rsid w:val="00043356"/>
    <w:rsid w:val="00043499"/>
    <w:rsid w:val="00043535"/>
    <w:rsid w:val="0004354F"/>
    <w:rsid w:val="0004363A"/>
    <w:rsid w:val="00043721"/>
    <w:rsid w:val="00043753"/>
    <w:rsid w:val="00043A2D"/>
    <w:rsid w:val="00043A49"/>
    <w:rsid w:val="00043BFB"/>
    <w:rsid w:val="00043D26"/>
    <w:rsid w:val="00043E72"/>
    <w:rsid w:val="00043ED3"/>
    <w:rsid w:val="00043F2A"/>
    <w:rsid w:val="0004429A"/>
    <w:rsid w:val="000449C8"/>
    <w:rsid w:val="00044B50"/>
    <w:rsid w:val="00044D1B"/>
    <w:rsid w:val="00045067"/>
    <w:rsid w:val="0004548A"/>
    <w:rsid w:val="000454A7"/>
    <w:rsid w:val="000455F3"/>
    <w:rsid w:val="000456CE"/>
    <w:rsid w:val="000459F2"/>
    <w:rsid w:val="00045F8D"/>
    <w:rsid w:val="000460E6"/>
    <w:rsid w:val="000465A6"/>
    <w:rsid w:val="00046843"/>
    <w:rsid w:val="00046A4A"/>
    <w:rsid w:val="00046B62"/>
    <w:rsid w:val="00046B6A"/>
    <w:rsid w:val="00046CF6"/>
    <w:rsid w:val="00046DF5"/>
    <w:rsid w:val="00047082"/>
    <w:rsid w:val="0004719D"/>
    <w:rsid w:val="0004752D"/>
    <w:rsid w:val="00047714"/>
    <w:rsid w:val="000479A3"/>
    <w:rsid w:val="00047A83"/>
    <w:rsid w:val="00047AF2"/>
    <w:rsid w:val="00047BF2"/>
    <w:rsid w:val="00047C00"/>
    <w:rsid w:val="00047EFA"/>
    <w:rsid w:val="000500A6"/>
    <w:rsid w:val="00050120"/>
    <w:rsid w:val="0005022C"/>
    <w:rsid w:val="0005027D"/>
    <w:rsid w:val="000502B2"/>
    <w:rsid w:val="000504EC"/>
    <w:rsid w:val="00050987"/>
    <w:rsid w:val="000509C2"/>
    <w:rsid w:val="00050BBD"/>
    <w:rsid w:val="00050BD8"/>
    <w:rsid w:val="00050E24"/>
    <w:rsid w:val="00051483"/>
    <w:rsid w:val="00051749"/>
    <w:rsid w:val="00051792"/>
    <w:rsid w:val="000517A1"/>
    <w:rsid w:val="000518A4"/>
    <w:rsid w:val="00051AC7"/>
    <w:rsid w:val="00051B05"/>
    <w:rsid w:val="00051D6D"/>
    <w:rsid w:val="0005202C"/>
    <w:rsid w:val="000522B0"/>
    <w:rsid w:val="000524C6"/>
    <w:rsid w:val="0005258D"/>
    <w:rsid w:val="000526D0"/>
    <w:rsid w:val="000526EA"/>
    <w:rsid w:val="0005293C"/>
    <w:rsid w:val="00052A7E"/>
    <w:rsid w:val="00052ED0"/>
    <w:rsid w:val="00052F75"/>
    <w:rsid w:val="0005304B"/>
    <w:rsid w:val="00053059"/>
    <w:rsid w:val="0005309A"/>
    <w:rsid w:val="00053307"/>
    <w:rsid w:val="0005335F"/>
    <w:rsid w:val="00053707"/>
    <w:rsid w:val="00053C24"/>
    <w:rsid w:val="00053C97"/>
    <w:rsid w:val="00053F9C"/>
    <w:rsid w:val="000541BE"/>
    <w:rsid w:val="0005435D"/>
    <w:rsid w:val="000543B7"/>
    <w:rsid w:val="00054A05"/>
    <w:rsid w:val="00054AE0"/>
    <w:rsid w:val="00054B18"/>
    <w:rsid w:val="00054C70"/>
    <w:rsid w:val="000553B8"/>
    <w:rsid w:val="000554D8"/>
    <w:rsid w:val="000556BF"/>
    <w:rsid w:val="00055723"/>
    <w:rsid w:val="000558DC"/>
    <w:rsid w:val="0005595A"/>
    <w:rsid w:val="00055B6C"/>
    <w:rsid w:val="00055C4F"/>
    <w:rsid w:val="00055F08"/>
    <w:rsid w:val="00056147"/>
    <w:rsid w:val="00056528"/>
    <w:rsid w:val="00056876"/>
    <w:rsid w:val="00056D74"/>
    <w:rsid w:val="00056FBE"/>
    <w:rsid w:val="000570DF"/>
    <w:rsid w:val="0005738B"/>
    <w:rsid w:val="000573BF"/>
    <w:rsid w:val="0005745C"/>
    <w:rsid w:val="000575BF"/>
    <w:rsid w:val="00057627"/>
    <w:rsid w:val="000578DC"/>
    <w:rsid w:val="00057D0F"/>
    <w:rsid w:val="00057E8C"/>
    <w:rsid w:val="00057F68"/>
    <w:rsid w:val="000600AA"/>
    <w:rsid w:val="00060162"/>
    <w:rsid w:val="0006019B"/>
    <w:rsid w:val="00060254"/>
    <w:rsid w:val="000603BA"/>
    <w:rsid w:val="00060581"/>
    <w:rsid w:val="0006070C"/>
    <w:rsid w:val="00060783"/>
    <w:rsid w:val="00060803"/>
    <w:rsid w:val="00060988"/>
    <w:rsid w:val="000609B1"/>
    <w:rsid w:val="00060A78"/>
    <w:rsid w:val="00060BDA"/>
    <w:rsid w:val="00060D52"/>
    <w:rsid w:val="00060EF3"/>
    <w:rsid w:val="000610E6"/>
    <w:rsid w:val="000610FD"/>
    <w:rsid w:val="00061324"/>
    <w:rsid w:val="00061631"/>
    <w:rsid w:val="00061894"/>
    <w:rsid w:val="0006198A"/>
    <w:rsid w:val="000619D3"/>
    <w:rsid w:val="00061AF0"/>
    <w:rsid w:val="00061B12"/>
    <w:rsid w:val="00061CB0"/>
    <w:rsid w:val="00061E24"/>
    <w:rsid w:val="00061F55"/>
    <w:rsid w:val="0006223E"/>
    <w:rsid w:val="000622EE"/>
    <w:rsid w:val="000623C0"/>
    <w:rsid w:val="0006243B"/>
    <w:rsid w:val="000625A7"/>
    <w:rsid w:val="0006288F"/>
    <w:rsid w:val="00062965"/>
    <w:rsid w:val="00062F79"/>
    <w:rsid w:val="00063003"/>
    <w:rsid w:val="00063024"/>
    <w:rsid w:val="00063142"/>
    <w:rsid w:val="00063247"/>
    <w:rsid w:val="00063384"/>
    <w:rsid w:val="000635FC"/>
    <w:rsid w:val="0006360B"/>
    <w:rsid w:val="00063655"/>
    <w:rsid w:val="0006374E"/>
    <w:rsid w:val="000637BA"/>
    <w:rsid w:val="000637DD"/>
    <w:rsid w:val="0006385F"/>
    <w:rsid w:val="0006390D"/>
    <w:rsid w:val="00063950"/>
    <w:rsid w:val="000639FA"/>
    <w:rsid w:val="00063E49"/>
    <w:rsid w:val="00063F14"/>
    <w:rsid w:val="00063F9D"/>
    <w:rsid w:val="00064264"/>
    <w:rsid w:val="000642A7"/>
    <w:rsid w:val="000642CA"/>
    <w:rsid w:val="000642FB"/>
    <w:rsid w:val="000645C4"/>
    <w:rsid w:val="00064612"/>
    <w:rsid w:val="000646BD"/>
    <w:rsid w:val="00064DB4"/>
    <w:rsid w:val="00064FD0"/>
    <w:rsid w:val="00065245"/>
    <w:rsid w:val="000655E0"/>
    <w:rsid w:val="00065798"/>
    <w:rsid w:val="00065964"/>
    <w:rsid w:val="00065B21"/>
    <w:rsid w:val="00065B5B"/>
    <w:rsid w:val="00065EC4"/>
    <w:rsid w:val="000661A1"/>
    <w:rsid w:val="000662EA"/>
    <w:rsid w:val="000663C3"/>
    <w:rsid w:val="0006654B"/>
    <w:rsid w:val="00066561"/>
    <w:rsid w:val="0006656D"/>
    <w:rsid w:val="000666F0"/>
    <w:rsid w:val="000668A3"/>
    <w:rsid w:val="00066A43"/>
    <w:rsid w:val="00066B57"/>
    <w:rsid w:val="00066BA8"/>
    <w:rsid w:val="00066CB6"/>
    <w:rsid w:val="0006709A"/>
    <w:rsid w:val="0006710E"/>
    <w:rsid w:val="000672FD"/>
    <w:rsid w:val="00067703"/>
    <w:rsid w:val="0006772A"/>
    <w:rsid w:val="0006799B"/>
    <w:rsid w:val="00067B64"/>
    <w:rsid w:val="00067E84"/>
    <w:rsid w:val="000700CC"/>
    <w:rsid w:val="0007020D"/>
    <w:rsid w:val="0007032A"/>
    <w:rsid w:val="000705ED"/>
    <w:rsid w:val="00070813"/>
    <w:rsid w:val="000709D8"/>
    <w:rsid w:val="00070B01"/>
    <w:rsid w:val="00070C00"/>
    <w:rsid w:val="00070C8A"/>
    <w:rsid w:val="00070CF7"/>
    <w:rsid w:val="00070D86"/>
    <w:rsid w:val="00070F3D"/>
    <w:rsid w:val="00070F42"/>
    <w:rsid w:val="00071165"/>
    <w:rsid w:val="000711F9"/>
    <w:rsid w:val="00071213"/>
    <w:rsid w:val="000712C0"/>
    <w:rsid w:val="0007151D"/>
    <w:rsid w:val="0007174D"/>
    <w:rsid w:val="00071C78"/>
    <w:rsid w:val="00072327"/>
    <w:rsid w:val="00072591"/>
    <w:rsid w:val="0007292F"/>
    <w:rsid w:val="00072B84"/>
    <w:rsid w:val="00072BB7"/>
    <w:rsid w:val="00072F0C"/>
    <w:rsid w:val="00072F7D"/>
    <w:rsid w:val="00073186"/>
    <w:rsid w:val="00073524"/>
    <w:rsid w:val="0007353D"/>
    <w:rsid w:val="0007380E"/>
    <w:rsid w:val="0007386B"/>
    <w:rsid w:val="00073980"/>
    <w:rsid w:val="00073A22"/>
    <w:rsid w:val="00073D68"/>
    <w:rsid w:val="00073D9A"/>
    <w:rsid w:val="00073E1E"/>
    <w:rsid w:val="00074070"/>
    <w:rsid w:val="000741AD"/>
    <w:rsid w:val="00074205"/>
    <w:rsid w:val="0007428D"/>
    <w:rsid w:val="0007440E"/>
    <w:rsid w:val="00074433"/>
    <w:rsid w:val="000748C1"/>
    <w:rsid w:val="000748CA"/>
    <w:rsid w:val="00074E3F"/>
    <w:rsid w:val="00074E49"/>
    <w:rsid w:val="000750DE"/>
    <w:rsid w:val="000751BC"/>
    <w:rsid w:val="000751F8"/>
    <w:rsid w:val="000752D2"/>
    <w:rsid w:val="00075645"/>
    <w:rsid w:val="00075883"/>
    <w:rsid w:val="0007596B"/>
    <w:rsid w:val="00075A3C"/>
    <w:rsid w:val="00075C53"/>
    <w:rsid w:val="00075C86"/>
    <w:rsid w:val="00075EFA"/>
    <w:rsid w:val="00076013"/>
    <w:rsid w:val="000760F6"/>
    <w:rsid w:val="000761E7"/>
    <w:rsid w:val="00076329"/>
    <w:rsid w:val="000763AB"/>
    <w:rsid w:val="00076633"/>
    <w:rsid w:val="0007665B"/>
    <w:rsid w:val="000767BD"/>
    <w:rsid w:val="00076B10"/>
    <w:rsid w:val="00076EBD"/>
    <w:rsid w:val="00076F71"/>
    <w:rsid w:val="000770F9"/>
    <w:rsid w:val="0007734E"/>
    <w:rsid w:val="00077811"/>
    <w:rsid w:val="0007785D"/>
    <w:rsid w:val="00077A64"/>
    <w:rsid w:val="00077B2A"/>
    <w:rsid w:val="00077DC3"/>
    <w:rsid w:val="00077DF6"/>
    <w:rsid w:val="00077EDC"/>
    <w:rsid w:val="000801AF"/>
    <w:rsid w:val="000804B2"/>
    <w:rsid w:val="000807F4"/>
    <w:rsid w:val="0008080F"/>
    <w:rsid w:val="00080A0C"/>
    <w:rsid w:val="00080A37"/>
    <w:rsid w:val="00080FC3"/>
    <w:rsid w:val="00081269"/>
    <w:rsid w:val="000813D3"/>
    <w:rsid w:val="00081558"/>
    <w:rsid w:val="00081814"/>
    <w:rsid w:val="0008189E"/>
    <w:rsid w:val="000818A1"/>
    <w:rsid w:val="00081A8A"/>
    <w:rsid w:val="00081B18"/>
    <w:rsid w:val="00081BFA"/>
    <w:rsid w:val="00081C25"/>
    <w:rsid w:val="00081C50"/>
    <w:rsid w:val="00081D15"/>
    <w:rsid w:val="0008202B"/>
    <w:rsid w:val="00082094"/>
    <w:rsid w:val="000820F3"/>
    <w:rsid w:val="000822C1"/>
    <w:rsid w:val="00082477"/>
    <w:rsid w:val="00082874"/>
    <w:rsid w:val="0008295C"/>
    <w:rsid w:val="000829E3"/>
    <w:rsid w:val="00082EA3"/>
    <w:rsid w:val="00082EAE"/>
    <w:rsid w:val="00082F06"/>
    <w:rsid w:val="00083120"/>
    <w:rsid w:val="000832EB"/>
    <w:rsid w:val="00083401"/>
    <w:rsid w:val="0008373E"/>
    <w:rsid w:val="000838EC"/>
    <w:rsid w:val="000839AC"/>
    <w:rsid w:val="00083A45"/>
    <w:rsid w:val="00083BB1"/>
    <w:rsid w:val="00083CEB"/>
    <w:rsid w:val="00083E3F"/>
    <w:rsid w:val="000840CE"/>
    <w:rsid w:val="00084112"/>
    <w:rsid w:val="0008458F"/>
    <w:rsid w:val="000847AA"/>
    <w:rsid w:val="00084A51"/>
    <w:rsid w:val="00084A64"/>
    <w:rsid w:val="00084B5F"/>
    <w:rsid w:val="00084BAD"/>
    <w:rsid w:val="00084C97"/>
    <w:rsid w:val="00084E19"/>
    <w:rsid w:val="00084ED9"/>
    <w:rsid w:val="000850CC"/>
    <w:rsid w:val="00085180"/>
    <w:rsid w:val="000851AE"/>
    <w:rsid w:val="00085468"/>
    <w:rsid w:val="0008553D"/>
    <w:rsid w:val="00085B2A"/>
    <w:rsid w:val="00085CEA"/>
    <w:rsid w:val="00085FFB"/>
    <w:rsid w:val="00086231"/>
    <w:rsid w:val="00086426"/>
    <w:rsid w:val="00086508"/>
    <w:rsid w:val="00086552"/>
    <w:rsid w:val="00086801"/>
    <w:rsid w:val="000869FF"/>
    <w:rsid w:val="00086C01"/>
    <w:rsid w:val="00086C25"/>
    <w:rsid w:val="00086F38"/>
    <w:rsid w:val="00086F87"/>
    <w:rsid w:val="00086FD7"/>
    <w:rsid w:val="000871C3"/>
    <w:rsid w:val="000872AA"/>
    <w:rsid w:val="0008799A"/>
    <w:rsid w:val="00087DBF"/>
    <w:rsid w:val="00087E51"/>
    <w:rsid w:val="00087EAF"/>
    <w:rsid w:val="000900FA"/>
    <w:rsid w:val="0009026D"/>
    <w:rsid w:val="0009037D"/>
    <w:rsid w:val="00090BD2"/>
    <w:rsid w:val="00090CCD"/>
    <w:rsid w:val="00090E60"/>
    <w:rsid w:val="00090F6E"/>
    <w:rsid w:val="00091032"/>
    <w:rsid w:val="00091397"/>
    <w:rsid w:val="000913D5"/>
    <w:rsid w:val="000915FD"/>
    <w:rsid w:val="0009167D"/>
    <w:rsid w:val="000917F5"/>
    <w:rsid w:val="00091B6E"/>
    <w:rsid w:val="00091BE4"/>
    <w:rsid w:val="00091C42"/>
    <w:rsid w:val="00091D5D"/>
    <w:rsid w:val="00092381"/>
    <w:rsid w:val="000923AC"/>
    <w:rsid w:val="0009252E"/>
    <w:rsid w:val="0009253B"/>
    <w:rsid w:val="0009263B"/>
    <w:rsid w:val="0009273F"/>
    <w:rsid w:val="000928B1"/>
    <w:rsid w:val="0009298D"/>
    <w:rsid w:val="00092C2C"/>
    <w:rsid w:val="00092DF1"/>
    <w:rsid w:val="00093197"/>
    <w:rsid w:val="000931BD"/>
    <w:rsid w:val="000934E0"/>
    <w:rsid w:val="0009369A"/>
    <w:rsid w:val="000936EE"/>
    <w:rsid w:val="0009381B"/>
    <w:rsid w:val="0009385D"/>
    <w:rsid w:val="00093998"/>
    <w:rsid w:val="00093A54"/>
    <w:rsid w:val="00093B34"/>
    <w:rsid w:val="00093C6D"/>
    <w:rsid w:val="00093CD4"/>
    <w:rsid w:val="00093E9A"/>
    <w:rsid w:val="000945DF"/>
    <w:rsid w:val="0009461F"/>
    <w:rsid w:val="000946EF"/>
    <w:rsid w:val="000946FE"/>
    <w:rsid w:val="000947D6"/>
    <w:rsid w:val="00094AC5"/>
    <w:rsid w:val="00094AF9"/>
    <w:rsid w:val="00094B89"/>
    <w:rsid w:val="00094C92"/>
    <w:rsid w:val="00094C9D"/>
    <w:rsid w:val="00094D15"/>
    <w:rsid w:val="00094D3A"/>
    <w:rsid w:val="0009512B"/>
    <w:rsid w:val="00095437"/>
    <w:rsid w:val="0009583B"/>
    <w:rsid w:val="00095892"/>
    <w:rsid w:val="00095B9B"/>
    <w:rsid w:val="00095D21"/>
    <w:rsid w:val="00095D64"/>
    <w:rsid w:val="00095DFB"/>
    <w:rsid w:val="00095F23"/>
    <w:rsid w:val="00095F63"/>
    <w:rsid w:val="00095FD4"/>
    <w:rsid w:val="00096016"/>
    <w:rsid w:val="0009601F"/>
    <w:rsid w:val="0009630E"/>
    <w:rsid w:val="000966DF"/>
    <w:rsid w:val="00096BDB"/>
    <w:rsid w:val="00096E47"/>
    <w:rsid w:val="00096E68"/>
    <w:rsid w:val="00096F5D"/>
    <w:rsid w:val="00096F93"/>
    <w:rsid w:val="0009713D"/>
    <w:rsid w:val="000976B4"/>
    <w:rsid w:val="0009770E"/>
    <w:rsid w:val="0009778A"/>
    <w:rsid w:val="000977C6"/>
    <w:rsid w:val="000978F4"/>
    <w:rsid w:val="00097A21"/>
    <w:rsid w:val="00097D9E"/>
    <w:rsid w:val="00097ECF"/>
    <w:rsid w:val="00097F3B"/>
    <w:rsid w:val="00097F65"/>
    <w:rsid w:val="000A01CE"/>
    <w:rsid w:val="000A049A"/>
    <w:rsid w:val="000A04CD"/>
    <w:rsid w:val="000A0660"/>
    <w:rsid w:val="000A06AD"/>
    <w:rsid w:val="000A0A28"/>
    <w:rsid w:val="000A0AE7"/>
    <w:rsid w:val="000A0CB3"/>
    <w:rsid w:val="000A0F96"/>
    <w:rsid w:val="000A102D"/>
    <w:rsid w:val="000A1046"/>
    <w:rsid w:val="000A11CD"/>
    <w:rsid w:val="000A158A"/>
    <w:rsid w:val="000A17DE"/>
    <w:rsid w:val="000A1A13"/>
    <w:rsid w:val="000A1C42"/>
    <w:rsid w:val="000A1C5A"/>
    <w:rsid w:val="000A1D0E"/>
    <w:rsid w:val="000A1DA1"/>
    <w:rsid w:val="000A1E00"/>
    <w:rsid w:val="000A1EC0"/>
    <w:rsid w:val="000A22B1"/>
    <w:rsid w:val="000A24AA"/>
    <w:rsid w:val="000A286F"/>
    <w:rsid w:val="000A2B02"/>
    <w:rsid w:val="000A2C36"/>
    <w:rsid w:val="000A2D93"/>
    <w:rsid w:val="000A2DFC"/>
    <w:rsid w:val="000A2E51"/>
    <w:rsid w:val="000A2E5B"/>
    <w:rsid w:val="000A3025"/>
    <w:rsid w:val="000A36A0"/>
    <w:rsid w:val="000A3860"/>
    <w:rsid w:val="000A3B29"/>
    <w:rsid w:val="000A3C32"/>
    <w:rsid w:val="000A425B"/>
    <w:rsid w:val="000A4D02"/>
    <w:rsid w:val="000A505E"/>
    <w:rsid w:val="000A5255"/>
    <w:rsid w:val="000A52C4"/>
    <w:rsid w:val="000A535E"/>
    <w:rsid w:val="000A5421"/>
    <w:rsid w:val="000A594D"/>
    <w:rsid w:val="000A5BA1"/>
    <w:rsid w:val="000A5E87"/>
    <w:rsid w:val="000A60BC"/>
    <w:rsid w:val="000A60DB"/>
    <w:rsid w:val="000A61C1"/>
    <w:rsid w:val="000A61CD"/>
    <w:rsid w:val="000A6914"/>
    <w:rsid w:val="000A6BFF"/>
    <w:rsid w:val="000A6E0E"/>
    <w:rsid w:val="000A6ED4"/>
    <w:rsid w:val="000A6F50"/>
    <w:rsid w:val="000A6F64"/>
    <w:rsid w:val="000A6F6F"/>
    <w:rsid w:val="000A7084"/>
    <w:rsid w:val="000A72DF"/>
    <w:rsid w:val="000A790D"/>
    <w:rsid w:val="000A7969"/>
    <w:rsid w:val="000A7D5E"/>
    <w:rsid w:val="000A7E1F"/>
    <w:rsid w:val="000A7FF4"/>
    <w:rsid w:val="000B028D"/>
    <w:rsid w:val="000B030A"/>
    <w:rsid w:val="000B04F5"/>
    <w:rsid w:val="000B06EE"/>
    <w:rsid w:val="000B074B"/>
    <w:rsid w:val="000B0AFB"/>
    <w:rsid w:val="000B0C01"/>
    <w:rsid w:val="000B0DE2"/>
    <w:rsid w:val="000B0F1C"/>
    <w:rsid w:val="000B133C"/>
    <w:rsid w:val="000B16D0"/>
    <w:rsid w:val="000B1C28"/>
    <w:rsid w:val="000B1C5E"/>
    <w:rsid w:val="000B1C5F"/>
    <w:rsid w:val="000B1D1B"/>
    <w:rsid w:val="000B2168"/>
    <w:rsid w:val="000B2447"/>
    <w:rsid w:val="000B24A7"/>
    <w:rsid w:val="000B2504"/>
    <w:rsid w:val="000B25A9"/>
    <w:rsid w:val="000B261C"/>
    <w:rsid w:val="000B266D"/>
    <w:rsid w:val="000B27D9"/>
    <w:rsid w:val="000B291E"/>
    <w:rsid w:val="000B2BA0"/>
    <w:rsid w:val="000B33FA"/>
    <w:rsid w:val="000B3710"/>
    <w:rsid w:val="000B3720"/>
    <w:rsid w:val="000B37FE"/>
    <w:rsid w:val="000B3818"/>
    <w:rsid w:val="000B38A5"/>
    <w:rsid w:val="000B3A66"/>
    <w:rsid w:val="000B3C96"/>
    <w:rsid w:val="000B3F93"/>
    <w:rsid w:val="000B424C"/>
    <w:rsid w:val="000B4268"/>
    <w:rsid w:val="000B4288"/>
    <w:rsid w:val="000B4348"/>
    <w:rsid w:val="000B44A7"/>
    <w:rsid w:val="000B4605"/>
    <w:rsid w:val="000B4625"/>
    <w:rsid w:val="000B47C7"/>
    <w:rsid w:val="000B49D0"/>
    <w:rsid w:val="000B4D09"/>
    <w:rsid w:val="000B4D0C"/>
    <w:rsid w:val="000B4EA7"/>
    <w:rsid w:val="000B53FC"/>
    <w:rsid w:val="000B5591"/>
    <w:rsid w:val="000B56D6"/>
    <w:rsid w:val="000B5823"/>
    <w:rsid w:val="000B5BD9"/>
    <w:rsid w:val="000B5DAF"/>
    <w:rsid w:val="000B5E0C"/>
    <w:rsid w:val="000B5E2A"/>
    <w:rsid w:val="000B61D7"/>
    <w:rsid w:val="000B6282"/>
    <w:rsid w:val="000B692B"/>
    <w:rsid w:val="000B6AFE"/>
    <w:rsid w:val="000B6C5D"/>
    <w:rsid w:val="000B6D02"/>
    <w:rsid w:val="000B6E45"/>
    <w:rsid w:val="000B6F4B"/>
    <w:rsid w:val="000B6FAA"/>
    <w:rsid w:val="000B714F"/>
    <w:rsid w:val="000B7168"/>
    <w:rsid w:val="000B718E"/>
    <w:rsid w:val="000B75B7"/>
    <w:rsid w:val="000B75D1"/>
    <w:rsid w:val="000B781F"/>
    <w:rsid w:val="000B78A2"/>
    <w:rsid w:val="000B7D4E"/>
    <w:rsid w:val="000B7F1F"/>
    <w:rsid w:val="000C0461"/>
    <w:rsid w:val="000C0710"/>
    <w:rsid w:val="000C07C4"/>
    <w:rsid w:val="000C0874"/>
    <w:rsid w:val="000C0A7B"/>
    <w:rsid w:val="000C0EBF"/>
    <w:rsid w:val="000C0EE3"/>
    <w:rsid w:val="000C0F48"/>
    <w:rsid w:val="000C11D9"/>
    <w:rsid w:val="000C1237"/>
    <w:rsid w:val="000C153A"/>
    <w:rsid w:val="000C15A3"/>
    <w:rsid w:val="000C172C"/>
    <w:rsid w:val="000C1CB9"/>
    <w:rsid w:val="000C1D03"/>
    <w:rsid w:val="000C1D09"/>
    <w:rsid w:val="000C1D7E"/>
    <w:rsid w:val="000C1DCE"/>
    <w:rsid w:val="000C1DF1"/>
    <w:rsid w:val="000C1F3D"/>
    <w:rsid w:val="000C2120"/>
    <w:rsid w:val="000C258A"/>
    <w:rsid w:val="000C2598"/>
    <w:rsid w:val="000C28DE"/>
    <w:rsid w:val="000C294D"/>
    <w:rsid w:val="000C2BE1"/>
    <w:rsid w:val="000C2D26"/>
    <w:rsid w:val="000C3066"/>
    <w:rsid w:val="000C30EF"/>
    <w:rsid w:val="000C37D4"/>
    <w:rsid w:val="000C382B"/>
    <w:rsid w:val="000C385C"/>
    <w:rsid w:val="000C398F"/>
    <w:rsid w:val="000C3D3F"/>
    <w:rsid w:val="000C3E56"/>
    <w:rsid w:val="000C4158"/>
    <w:rsid w:val="000C419F"/>
    <w:rsid w:val="000C44C9"/>
    <w:rsid w:val="000C4658"/>
    <w:rsid w:val="000C46C6"/>
    <w:rsid w:val="000C46E9"/>
    <w:rsid w:val="000C4A54"/>
    <w:rsid w:val="000C4D00"/>
    <w:rsid w:val="000C4DB3"/>
    <w:rsid w:val="000C4FB8"/>
    <w:rsid w:val="000C501F"/>
    <w:rsid w:val="000C5396"/>
    <w:rsid w:val="000C5A58"/>
    <w:rsid w:val="000C5B46"/>
    <w:rsid w:val="000C5D9A"/>
    <w:rsid w:val="000C5FDC"/>
    <w:rsid w:val="000C603B"/>
    <w:rsid w:val="000C623E"/>
    <w:rsid w:val="000C624A"/>
    <w:rsid w:val="000C6291"/>
    <w:rsid w:val="000C62C0"/>
    <w:rsid w:val="000C632D"/>
    <w:rsid w:val="000C63E2"/>
    <w:rsid w:val="000C644E"/>
    <w:rsid w:val="000C6575"/>
    <w:rsid w:val="000C6872"/>
    <w:rsid w:val="000C697E"/>
    <w:rsid w:val="000C6A5A"/>
    <w:rsid w:val="000C7106"/>
    <w:rsid w:val="000C710D"/>
    <w:rsid w:val="000C711B"/>
    <w:rsid w:val="000C7129"/>
    <w:rsid w:val="000C7210"/>
    <w:rsid w:val="000C7227"/>
    <w:rsid w:val="000C7233"/>
    <w:rsid w:val="000C72A7"/>
    <w:rsid w:val="000C73F3"/>
    <w:rsid w:val="000C74CC"/>
    <w:rsid w:val="000C77D3"/>
    <w:rsid w:val="000C7BF7"/>
    <w:rsid w:val="000C7D44"/>
    <w:rsid w:val="000D0164"/>
    <w:rsid w:val="000D0207"/>
    <w:rsid w:val="000D03D9"/>
    <w:rsid w:val="000D0642"/>
    <w:rsid w:val="000D0820"/>
    <w:rsid w:val="000D08B0"/>
    <w:rsid w:val="000D0971"/>
    <w:rsid w:val="000D0CA6"/>
    <w:rsid w:val="000D10B0"/>
    <w:rsid w:val="000D10FE"/>
    <w:rsid w:val="000D116D"/>
    <w:rsid w:val="000D1180"/>
    <w:rsid w:val="000D128B"/>
    <w:rsid w:val="000D1641"/>
    <w:rsid w:val="000D168F"/>
    <w:rsid w:val="000D1915"/>
    <w:rsid w:val="000D194A"/>
    <w:rsid w:val="000D1965"/>
    <w:rsid w:val="000D1A3D"/>
    <w:rsid w:val="000D1B93"/>
    <w:rsid w:val="000D1D8B"/>
    <w:rsid w:val="000D1E41"/>
    <w:rsid w:val="000D20FB"/>
    <w:rsid w:val="000D21CC"/>
    <w:rsid w:val="000D2225"/>
    <w:rsid w:val="000D227D"/>
    <w:rsid w:val="000D22F4"/>
    <w:rsid w:val="000D23A7"/>
    <w:rsid w:val="000D24EC"/>
    <w:rsid w:val="000D259D"/>
    <w:rsid w:val="000D2640"/>
    <w:rsid w:val="000D28C3"/>
    <w:rsid w:val="000D29A7"/>
    <w:rsid w:val="000D2AF3"/>
    <w:rsid w:val="000D2B3B"/>
    <w:rsid w:val="000D2BFD"/>
    <w:rsid w:val="000D2CF3"/>
    <w:rsid w:val="000D2DA2"/>
    <w:rsid w:val="000D2DC5"/>
    <w:rsid w:val="000D2FB5"/>
    <w:rsid w:val="000D30C5"/>
    <w:rsid w:val="000D3610"/>
    <w:rsid w:val="000D36CA"/>
    <w:rsid w:val="000D3790"/>
    <w:rsid w:val="000D37E4"/>
    <w:rsid w:val="000D3856"/>
    <w:rsid w:val="000D3ACC"/>
    <w:rsid w:val="000D3AE8"/>
    <w:rsid w:val="000D3D00"/>
    <w:rsid w:val="000D40A1"/>
    <w:rsid w:val="000D40B1"/>
    <w:rsid w:val="000D422D"/>
    <w:rsid w:val="000D443B"/>
    <w:rsid w:val="000D4484"/>
    <w:rsid w:val="000D4728"/>
    <w:rsid w:val="000D4942"/>
    <w:rsid w:val="000D4971"/>
    <w:rsid w:val="000D4D69"/>
    <w:rsid w:val="000D4F20"/>
    <w:rsid w:val="000D50E9"/>
    <w:rsid w:val="000D518D"/>
    <w:rsid w:val="000D51A3"/>
    <w:rsid w:val="000D5256"/>
    <w:rsid w:val="000D5414"/>
    <w:rsid w:val="000D55C7"/>
    <w:rsid w:val="000D5704"/>
    <w:rsid w:val="000D571D"/>
    <w:rsid w:val="000D57AA"/>
    <w:rsid w:val="000D5968"/>
    <w:rsid w:val="000D59AB"/>
    <w:rsid w:val="000D5BAF"/>
    <w:rsid w:val="000D5C7D"/>
    <w:rsid w:val="000D5D56"/>
    <w:rsid w:val="000D5E6E"/>
    <w:rsid w:val="000D5F11"/>
    <w:rsid w:val="000D602B"/>
    <w:rsid w:val="000D6161"/>
    <w:rsid w:val="000D67C1"/>
    <w:rsid w:val="000D67FA"/>
    <w:rsid w:val="000D693A"/>
    <w:rsid w:val="000D6990"/>
    <w:rsid w:val="000D6B42"/>
    <w:rsid w:val="000D6C44"/>
    <w:rsid w:val="000D6D14"/>
    <w:rsid w:val="000D6FEE"/>
    <w:rsid w:val="000D7854"/>
    <w:rsid w:val="000D79D2"/>
    <w:rsid w:val="000D79E5"/>
    <w:rsid w:val="000D7CB2"/>
    <w:rsid w:val="000D7D41"/>
    <w:rsid w:val="000D7FC1"/>
    <w:rsid w:val="000E0117"/>
    <w:rsid w:val="000E04B2"/>
    <w:rsid w:val="000E0659"/>
    <w:rsid w:val="000E0883"/>
    <w:rsid w:val="000E0999"/>
    <w:rsid w:val="000E0B7E"/>
    <w:rsid w:val="000E0DF4"/>
    <w:rsid w:val="000E1017"/>
    <w:rsid w:val="000E10C0"/>
    <w:rsid w:val="000E10FF"/>
    <w:rsid w:val="000E11C2"/>
    <w:rsid w:val="000E153A"/>
    <w:rsid w:val="000E1576"/>
    <w:rsid w:val="000E16CC"/>
    <w:rsid w:val="000E1A93"/>
    <w:rsid w:val="000E1BA8"/>
    <w:rsid w:val="000E21B6"/>
    <w:rsid w:val="000E2318"/>
    <w:rsid w:val="000E2404"/>
    <w:rsid w:val="000E266F"/>
    <w:rsid w:val="000E2895"/>
    <w:rsid w:val="000E28C5"/>
    <w:rsid w:val="000E2A4F"/>
    <w:rsid w:val="000E2C32"/>
    <w:rsid w:val="000E2D50"/>
    <w:rsid w:val="000E2EF4"/>
    <w:rsid w:val="000E334F"/>
    <w:rsid w:val="000E35C4"/>
    <w:rsid w:val="000E38BC"/>
    <w:rsid w:val="000E3B14"/>
    <w:rsid w:val="000E3E8B"/>
    <w:rsid w:val="000E3F53"/>
    <w:rsid w:val="000E4024"/>
    <w:rsid w:val="000E4151"/>
    <w:rsid w:val="000E41E9"/>
    <w:rsid w:val="000E42D8"/>
    <w:rsid w:val="000E44F5"/>
    <w:rsid w:val="000E456C"/>
    <w:rsid w:val="000E463A"/>
    <w:rsid w:val="000E4A27"/>
    <w:rsid w:val="000E4AFE"/>
    <w:rsid w:val="000E4CB6"/>
    <w:rsid w:val="000E4DE4"/>
    <w:rsid w:val="000E4F6F"/>
    <w:rsid w:val="000E50BD"/>
    <w:rsid w:val="000E516A"/>
    <w:rsid w:val="000E52A6"/>
    <w:rsid w:val="000E55CB"/>
    <w:rsid w:val="000E56BD"/>
    <w:rsid w:val="000E58C1"/>
    <w:rsid w:val="000E58C5"/>
    <w:rsid w:val="000E5A82"/>
    <w:rsid w:val="000E5D31"/>
    <w:rsid w:val="000E5FFB"/>
    <w:rsid w:val="000E64FA"/>
    <w:rsid w:val="000E67A8"/>
    <w:rsid w:val="000E6890"/>
    <w:rsid w:val="000E6E32"/>
    <w:rsid w:val="000E70F1"/>
    <w:rsid w:val="000E7281"/>
    <w:rsid w:val="000E7301"/>
    <w:rsid w:val="000E736C"/>
    <w:rsid w:val="000E74FA"/>
    <w:rsid w:val="000E77E3"/>
    <w:rsid w:val="000E7B47"/>
    <w:rsid w:val="000E7C13"/>
    <w:rsid w:val="000E7D60"/>
    <w:rsid w:val="000E7F06"/>
    <w:rsid w:val="000F0177"/>
    <w:rsid w:val="000F046A"/>
    <w:rsid w:val="000F048A"/>
    <w:rsid w:val="000F08CE"/>
    <w:rsid w:val="000F0ACA"/>
    <w:rsid w:val="000F0B50"/>
    <w:rsid w:val="000F0D30"/>
    <w:rsid w:val="000F0EE0"/>
    <w:rsid w:val="000F0F60"/>
    <w:rsid w:val="000F100B"/>
    <w:rsid w:val="000F1026"/>
    <w:rsid w:val="000F107C"/>
    <w:rsid w:val="000F113A"/>
    <w:rsid w:val="000F126E"/>
    <w:rsid w:val="000F1352"/>
    <w:rsid w:val="000F139B"/>
    <w:rsid w:val="000F1433"/>
    <w:rsid w:val="000F15E7"/>
    <w:rsid w:val="000F1B58"/>
    <w:rsid w:val="000F1BF7"/>
    <w:rsid w:val="000F1EA9"/>
    <w:rsid w:val="000F2060"/>
    <w:rsid w:val="000F21F7"/>
    <w:rsid w:val="000F2408"/>
    <w:rsid w:val="000F29D1"/>
    <w:rsid w:val="000F2D33"/>
    <w:rsid w:val="000F2F51"/>
    <w:rsid w:val="000F2FFF"/>
    <w:rsid w:val="000F3036"/>
    <w:rsid w:val="000F3114"/>
    <w:rsid w:val="000F3477"/>
    <w:rsid w:val="000F3569"/>
    <w:rsid w:val="000F36C8"/>
    <w:rsid w:val="000F378C"/>
    <w:rsid w:val="000F37CE"/>
    <w:rsid w:val="000F38B6"/>
    <w:rsid w:val="000F38D9"/>
    <w:rsid w:val="000F3943"/>
    <w:rsid w:val="000F3B49"/>
    <w:rsid w:val="000F3BAF"/>
    <w:rsid w:val="000F3BFE"/>
    <w:rsid w:val="000F3E96"/>
    <w:rsid w:val="000F416B"/>
    <w:rsid w:val="000F477F"/>
    <w:rsid w:val="000F4873"/>
    <w:rsid w:val="000F48AD"/>
    <w:rsid w:val="000F4A63"/>
    <w:rsid w:val="000F4A6D"/>
    <w:rsid w:val="000F4AD0"/>
    <w:rsid w:val="000F4F61"/>
    <w:rsid w:val="000F4F83"/>
    <w:rsid w:val="000F4FC4"/>
    <w:rsid w:val="000F521C"/>
    <w:rsid w:val="000F52D3"/>
    <w:rsid w:val="000F5383"/>
    <w:rsid w:val="000F5522"/>
    <w:rsid w:val="000F5613"/>
    <w:rsid w:val="000F5893"/>
    <w:rsid w:val="000F598A"/>
    <w:rsid w:val="000F5D20"/>
    <w:rsid w:val="000F6011"/>
    <w:rsid w:val="000F629A"/>
    <w:rsid w:val="000F65A1"/>
    <w:rsid w:val="000F65C9"/>
    <w:rsid w:val="000F693A"/>
    <w:rsid w:val="000F6D18"/>
    <w:rsid w:val="000F6EEE"/>
    <w:rsid w:val="000F6FB5"/>
    <w:rsid w:val="000F7003"/>
    <w:rsid w:val="000F70B0"/>
    <w:rsid w:val="000F77FD"/>
    <w:rsid w:val="000F7806"/>
    <w:rsid w:val="000F7A0E"/>
    <w:rsid w:val="000F7B09"/>
    <w:rsid w:val="000F7B0E"/>
    <w:rsid w:val="000F7DC4"/>
    <w:rsid w:val="001000E7"/>
    <w:rsid w:val="00100233"/>
    <w:rsid w:val="00100539"/>
    <w:rsid w:val="0010092B"/>
    <w:rsid w:val="00100A6C"/>
    <w:rsid w:val="00100ED9"/>
    <w:rsid w:val="00100F8E"/>
    <w:rsid w:val="00101240"/>
    <w:rsid w:val="00101857"/>
    <w:rsid w:val="00101CA7"/>
    <w:rsid w:val="00101DBA"/>
    <w:rsid w:val="00101FAC"/>
    <w:rsid w:val="0010205E"/>
    <w:rsid w:val="001021AE"/>
    <w:rsid w:val="0010227B"/>
    <w:rsid w:val="001024E4"/>
    <w:rsid w:val="00102777"/>
    <w:rsid w:val="001029D5"/>
    <w:rsid w:val="00102B15"/>
    <w:rsid w:val="00102BBB"/>
    <w:rsid w:val="00102CDB"/>
    <w:rsid w:val="00102D4C"/>
    <w:rsid w:val="00102E2B"/>
    <w:rsid w:val="0010309E"/>
    <w:rsid w:val="0010310E"/>
    <w:rsid w:val="001031B4"/>
    <w:rsid w:val="0010348F"/>
    <w:rsid w:val="00103613"/>
    <w:rsid w:val="00103692"/>
    <w:rsid w:val="00103887"/>
    <w:rsid w:val="00103CF3"/>
    <w:rsid w:val="00103FF3"/>
    <w:rsid w:val="00104707"/>
    <w:rsid w:val="00104BD8"/>
    <w:rsid w:val="00104D72"/>
    <w:rsid w:val="001051CE"/>
    <w:rsid w:val="00105A23"/>
    <w:rsid w:val="00105CE5"/>
    <w:rsid w:val="00105EA7"/>
    <w:rsid w:val="00105F3B"/>
    <w:rsid w:val="00106113"/>
    <w:rsid w:val="001061E4"/>
    <w:rsid w:val="00106261"/>
    <w:rsid w:val="0010633D"/>
    <w:rsid w:val="00106461"/>
    <w:rsid w:val="00106523"/>
    <w:rsid w:val="00106549"/>
    <w:rsid w:val="001065DC"/>
    <w:rsid w:val="00106697"/>
    <w:rsid w:val="0010676B"/>
    <w:rsid w:val="0010676E"/>
    <w:rsid w:val="00106F94"/>
    <w:rsid w:val="00107596"/>
    <w:rsid w:val="001075E1"/>
    <w:rsid w:val="0010768E"/>
    <w:rsid w:val="00107999"/>
    <w:rsid w:val="00107AE1"/>
    <w:rsid w:val="00107B9D"/>
    <w:rsid w:val="00107DCD"/>
    <w:rsid w:val="00107EF3"/>
    <w:rsid w:val="00107FED"/>
    <w:rsid w:val="001103A5"/>
    <w:rsid w:val="00110480"/>
    <w:rsid w:val="00110646"/>
    <w:rsid w:val="001108EE"/>
    <w:rsid w:val="0011091F"/>
    <w:rsid w:val="00110A07"/>
    <w:rsid w:val="00110E88"/>
    <w:rsid w:val="00110F1D"/>
    <w:rsid w:val="001113D8"/>
    <w:rsid w:val="001117C8"/>
    <w:rsid w:val="0011193F"/>
    <w:rsid w:val="00111FA6"/>
    <w:rsid w:val="001121FC"/>
    <w:rsid w:val="001124E5"/>
    <w:rsid w:val="001126A4"/>
    <w:rsid w:val="00112A13"/>
    <w:rsid w:val="00112C73"/>
    <w:rsid w:val="00112E76"/>
    <w:rsid w:val="00112EEE"/>
    <w:rsid w:val="001133E2"/>
    <w:rsid w:val="00113760"/>
    <w:rsid w:val="00113890"/>
    <w:rsid w:val="00113B28"/>
    <w:rsid w:val="00113D1C"/>
    <w:rsid w:val="00113E74"/>
    <w:rsid w:val="00113E80"/>
    <w:rsid w:val="001141A4"/>
    <w:rsid w:val="00114222"/>
    <w:rsid w:val="00114274"/>
    <w:rsid w:val="0011451B"/>
    <w:rsid w:val="00114577"/>
    <w:rsid w:val="001145B6"/>
    <w:rsid w:val="00114635"/>
    <w:rsid w:val="001149F8"/>
    <w:rsid w:val="00114A88"/>
    <w:rsid w:val="00114B98"/>
    <w:rsid w:val="00114C09"/>
    <w:rsid w:val="00114C19"/>
    <w:rsid w:val="00115116"/>
    <w:rsid w:val="00115186"/>
    <w:rsid w:val="001153B7"/>
    <w:rsid w:val="0011563B"/>
    <w:rsid w:val="001156BE"/>
    <w:rsid w:val="00115775"/>
    <w:rsid w:val="00115880"/>
    <w:rsid w:val="00115886"/>
    <w:rsid w:val="00115B1A"/>
    <w:rsid w:val="00115CD3"/>
    <w:rsid w:val="00115ED9"/>
    <w:rsid w:val="001160F8"/>
    <w:rsid w:val="00116401"/>
    <w:rsid w:val="0011666C"/>
    <w:rsid w:val="00116904"/>
    <w:rsid w:val="00116AF8"/>
    <w:rsid w:val="00116C54"/>
    <w:rsid w:val="00116D97"/>
    <w:rsid w:val="00116E46"/>
    <w:rsid w:val="00116E57"/>
    <w:rsid w:val="00116EF8"/>
    <w:rsid w:val="0011710C"/>
    <w:rsid w:val="00117502"/>
    <w:rsid w:val="0011763A"/>
    <w:rsid w:val="00117662"/>
    <w:rsid w:val="00117889"/>
    <w:rsid w:val="00117975"/>
    <w:rsid w:val="0012003C"/>
    <w:rsid w:val="00120129"/>
    <w:rsid w:val="00120236"/>
    <w:rsid w:val="00120250"/>
    <w:rsid w:val="0012025C"/>
    <w:rsid w:val="00120287"/>
    <w:rsid w:val="00120434"/>
    <w:rsid w:val="00120866"/>
    <w:rsid w:val="001208E8"/>
    <w:rsid w:val="00120986"/>
    <w:rsid w:val="00120F4A"/>
    <w:rsid w:val="00120F4B"/>
    <w:rsid w:val="00120FB0"/>
    <w:rsid w:val="00120FDB"/>
    <w:rsid w:val="001210F5"/>
    <w:rsid w:val="0012117E"/>
    <w:rsid w:val="001211DF"/>
    <w:rsid w:val="001213D6"/>
    <w:rsid w:val="00121626"/>
    <w:rsid w:val="001217D4"/>
    <w:rsid w:val="00121885"/>
    <w:rsid w:val="001219D8"/>
    <w:rsid w:val="00121A26"/>
    <w:rsid w:val="00121A4C"/>
    <w:rsid w:val="00121B15"/>
    <w:rsid w:val="00121B1E"/>
    <w:rsid w:val="00121B75"/>
    <w:rsid w:val="00121D29"/>
    <w:rsid w:val="00121E31"/>
    <w:rsid w:val="0012200F"/>
    <w:rsid w:val="00122047"/>
    <w:rsid w:val="0012209F"/>
    <w:rsid w:val="001221EA"/>
    <w:rsid w:val="00122241"/>
    <w:rsid w:val="0012235C"/>
    <w:rsid w:val="001223C0"/>
    <w:rsid w:val="00122712"/>
    <w:rsid w:val="001229C3"/>
    <w:rsid w:val="00122BBE"/>
    <w:rsid w:val="00122C6F"/>
    <w:rsid w:val="00122C70"/>
    <w:rsid w:val="00122D5B"/>
    <w:rsid w:val="00122E19"/>
    <w:rsid w:val="0012312D"/>
    <w:rsid w:val="0012324F"/>
    <w:rsid w:val="00123254"/>
    <w:rsid w:val="001233DF"/>
    <w:rsid w:val="00123569"/>
    <w:rsid w:val="0012381D"/>
    <w:rsid w:val="00123B07"/>
    <w:rsid w:val="00123C55"/>
    <w:rsid w:val="00123D0F"/>
    <w:rsid w:val="00123E5D"/>
    <w:rsid w:val="00123ECA"/>
    <w:rsid w:val="00123F09"/>
    <w:rsid w:val="0012435D"/>
    <w:rsid w:val="00124454"/>
    <w:rsid w:val="0012452D"/>
    <w:rsid w:val="0012477E"/>
    <w:rsid w:val="0012487B"/>
    <w:rsid w:val="001248D1"/>
    <w:rsid w:val="001248EE"/>
    <w:rsid w:val="001249D8"/>
    <w:rsid w:val="00124A8E"/>
    <w:rsid w:val="00124ABE"/>
    <w:rsid w:val="00124F28"/>
    <w:rsid w:val="00124FF5"/>
    <w:rsid w:val="00125069"/>
    <w:rsid w:val="001250B7"/>
    <w:rsid w:val="001250D9"/>
    <w:rsid w:val="0012565A"/>
    <w:rsid w:val="0012587B"/>
    <w:rsid w:val="00125923"/>
    <w:rsid w:val="00125E9E"/>
    <w:rsid w:val="00126298"/>
    <w:rsid w:val="00126398"/>
    <w:rsid w:val="001263BA"/>
    <w:rsid w:val="00126512"/>
    <w:rsid w:val="0012655F"/>
    <w:rsid w:val="0012668F"/>
    <w:rsid w:val="001266CD"/>
    <w:rsid w:val="001267DF"/>
    <w:rsid w:val="00126A92"/>
    <w:rsid w:val="00126DCF"/>
    <w:rsid w:val="00126E3B"/>
    <w:rsid w:val="00126FD7"/>
    <w:rsid w:val="00127104"/>
    <w:rsid w:val="001272DC"/>
    <w:rsid w:val="00127339"/>
    <w:rsid w:val="001279AC"/>
    <w:rsid w:val="00127A60"/>
    <w:rsid w:val="00127A7A"/>
    <w:rsid w:val="00127BEB"/>
    <w:rsid w:val="00127C63"/>
    <w:rsid w:val="00127EDB"/>
    <w:rsid w:val="00127F0D"/>
    <w:rsid w:val="00130023"/>
    <w:rsid w:val="0013003F"/>
    <w:rsid w:val="0013049B"/>
    <w:rsid w:val="00130A43"/>
    <w:rsid w:val="00130C46"/>
    <w:rsid w:val="00130CC5"/>
    <w:rsid w:val="00131115"/>
    <w:rsid w:val="00131215"/>
    <w:rsid w:val="00131521"/>
    <w:rsid w:val="00131530"/>
    <w:rsid w:val="0013157E"/>
    <w:rsid w:val="00131A6C"/>
    <w:rsid w:val="00131ABE"/>
    <w:rsid w:val="00131BD8"/>
    <w:rsid w:val="00131C59"/>
    <w:rsid w:val="00131D6F"/>
    <w:rsid w:val="00131DAA"/>
    <w:rsid w:val="00131E56"/>
    <w:rsid w:val="00131E66"/>
    <w:rsid w:val="00131F3A"/>
    <w:rsid w:val="00131F98"/>
    <w:rsid w:val="001322E8"/>
    <w:rsid w:val="0013237A"/>
    <w:rsid w:val="00132383"/>
    <w:rsid w:val="001324E8"/>
    <w:rsid w:val="00132542"/>
    <w:rsid w:val="00132820"/>
    <w:rsid w:val="0013294B"/>
    <w:rsid w:val="00132956"/>
    <w:rsid w:val="00132A67"/>
    <w:rsid w:val="00132BDF"/>
    <w:rsid w:val="00132F16"/>
    <w:rsid w:val="00132F4F"/>
    <w:rsid w:val="00133014"/>
    <w:rsid w:val="00133124"/>
    <w:rsid w:val="001334E6"/>
    <w:rsid w:val="0013375A"/>
    <w:rsid w:val="001337BA"/>
    <w:rsid w:val="001337E2"/>
    <w:rsid w:val="001337FE"/>
    <w:rsid w:val="00133897"/>
    <w:rsid w:val="00133938"/>
    <w:rsid w:val="00133B26"/>
    <w:rsid w:val="00133D79"/>
    <w:rsid w:val="00133F68"/>
    <w:rsid w:val="00133FB8"/>
    <w:rsid w:val="0013407F"/>
    <w:rsid w:val="00134366"/>
    <w:rsid w:val="001349DC"/>
    <w:rsid w:val="00134A99"/>
    <w:rsid w:val="00134E50"/>
    <w:rsid w:val="001350B5"/>
    <w:rsid w:val="001350D8"/>
    <w:rsid w:val="0013570B"/>
    <w:rsid w:val="00135A2D"/>
    <w:rsid w:val="00135C66"/>
    <w:rsid w:val="00135E47"/>
    <w:rsid w:val="00136054"/>
    <w:rsid w:val="001360E4"/>
    <w:rsid w:val="001361D5"/>
    <w:rsid w:val="00136824"/>
    <w:rsid w:val="00136958"/>
    <w:rsid w:val="0013695D"/>
    <w:rsid w:val="00136963"/>
    <w:rsid w:val="00136996"/>
    <w:rsid w:val="00136B56"/>
    <w:rsid w:val="00136DFF"/>
    <w:rsid w:val="00136E40"/>
    <w:rsid w:val="00136F12"/>
    <w:rsid w:val="00136F89"/>
    <w:rsid w:val="00137024"/>
    <w:rsid w:val="00137417"/>
    <w:rsid w:val="00137591"/>
    <w:rsid w:val="0013763C"/>
    <w:rsid w:val="001376BB"/>
    <w:rsid w:val="00137747"/>
    <w:rsid w:val="00137869"/>
    <w:rsid w:val="00137949"/>
    <w:rsid w:val="00137C6C"/>
    <w:rsid w:val="00137D04"/>
    <w:rsid w:val="00137EB5"/>
    <w:rsid w:val="00137EB7"/>
    <w:rsid w:val="00137F14"/>
    <w:rsid w:val="00140493"/>
    <w:rsid w:val="001405A6"/>
    <w:rsid w:val="00140695"/>
    <w:rsid w:val="00140744"/>
    <w:rsid w:val="00140BC8"/>
    <w:rsid w:val="00140BF4"/>
    <w:rsid w:val="00140CB9"/>
    <w:rsid w:val="00140D51"/>
    <w:rsid w:val="00140FAE"/>
    <w:rsid w:val="00140FE2"/>
    <w:rsid w:val="00141046"/>
    <w:rsid w:val="001412D0"/>
    <w:rsid w:val="001415E0"/>
    <w:rsid w:val="0014162A"/>
    <w:rsid w:val="00141714"/>
    <w:rsid w:val="0014198A"/>
    <w:rsid w:val="00141B52"/>
    <w:rsid w:val="00141CFF"/>
    <w:rsid w:val="00141DCF"/>
    <w:rsid w:val="0014220F"/>
    <w:rsid w:val="0014236D"/>
    <w:rsid w:val="0014250B"/>
    <w:rsid w:val="001427C3"/>
    <w:rsid w:val="001429B7"/>
    <w:rsid w:val="00142D18"/>
    <w:rsid w:val="00142E04"/>
    <w:rsid w:val="00142FE2"/>
    <w:rsid w:val="00143148"/>
    <w:rsid w:val="00143423"/>
    <w:rsid w:val="00143554"/>
    <w:rsid w:val="00143B47"/>
    <w:rsid w:val="00143E22"/>
    <w:rsid w:val="00143EEC"/>
    <w:rsid w:val="00143FF5"/>
    <w:rsid w:val="0014410F"/>
    <w:rsid w:val="00144551"/>
    <w:rsid w:val="00144735"/>
    <w:rsid w:val="00144897"/>
    <w:rsid w:val="00144A33"/>
    <w:rsid w:val="00144B84"/>
    <w:rsid w:val="00144BA0"/>
    <w:rsid w:val="00144C62"/>
    <w:rsid w:val="00144CF7"/>
    <w:rsid w:val="00144D51"/>
    <w:rsid w:val="00144DB5"/>
    <w:rsid w:val="001456CE"/>
    <w:rsid w:val="001459C3"/>
    <w:rsid w:val="001459C4"/>
    <w:rsid w:val="00145A99"/>
    <w:rsid w:val="00145AD9"/>
    <w:rsid w:val="00145B7D"/>
    <w:rsid w:val="00145CED"/>
    <w:rsid w:val="00145CF7"/>
    <w:rsid w:val="00146135"/>
    <w:rsid w:val="0014614E"/>
    <w:rsid w:val="001461CC"/>
    <w:rsid w:val="0014637A"/>
    <w:rsid w:val="00146E05"/>
    <w:rsid w:val="00146F47"/>
    <w:rsid w:val="001471C5"/>
    <w:rsid w:val="00147490"/>
    <w:rsid w:val="00147AAC"/>
    <w:rsid w:val="00147DBE"/>
    <w:rsid w:val="00147E63"/>
    <w:rsid w:val="00147F45"/>
    <w:rsid w:val="00147F89"/>
    <w:rsid w:val="0015005A"/>
    <w:rsid w:val="0015026A"/>
    <w:rsid w:val="001506D1"/>
    <w:rsid w:val="0015080D"/>
    <w:rsid w:val="00150981"/>
    <w:rsid w:val="001509F3"/>
    <w:rsid w:val="00150B29"/>
    <w:rsid w:val="00150FCB"/>
    <w:rsid w:val="001513BC"/>
    <w:rsid w:val="0015172D"/>
    <w:rsid w:val="00151981"/>
    <w:rsid w:val="00151A98"/>
    <w:rsid w:val="00151AC1"/>
    <w:rsid w:val="00151C1A"/>
    <w:rsid w:val="00151F70"/>
    <w:rsid w:val="00152072"/>
    <w:rsid w:val="00152171"/>
    <w:rsid w:val="0015234B"/>
    <w:rsid w:val="001523DA"/>
    <w:rsid w:val="00152629"/>
    <w:rsid w:val="001527CA"/>
    <w:rsid w:val="001527CE"/>
    <w:rsid w:val="00152B2C"/>
    <w:rsid w:val="00152C75"/>
    <w:rsid w:val="00152CA4"/>
    <w:rsid w:val="0015302F"/>
    <w:rsid w:val="0015355C"/>
    <w:rsid w:val="0015375E"/>
    <w:rsid w:val="001539B1"/>
    <w:rsid w:val="00153AE7"/>
    <w:rsid w:val="00153C5F"/>
    <w:rsid w:val="00153EE2"/>
    <w:rsid w:val="00154024"/>
    <w:rsid w:val="00154033"/>
    <w:rsid w:val="001540FF"/>
    <w:rsid w:val="0015460B"/>
    <w:rsid w:val="00154897"/>
    <w:rsid w:val="0015499D"/>
    <w:rsid w:val="00154BCC"/>
    <w:rsid w:val="00154E9C"/>
    <w:rsid w:val="0015537C"/>
    <w:rsid w:val="001555A9"/>
    <w:rsid w:val="00155A94"/>
    <w:rsid w:val="00155BC2"/>
    <w:rsid w:val="00155C0D"/>
    <w:rsid w:val="00155D28"/>
    <w:rsid w:val="0015676A"/>
    <w:rsid w:val="00156AAC"/>
    <w:rsid w:val="00157416"/>
    <w:rsid w:val="00157447"/>
    <w:rsid w:val="001578AC"/>
    <w:rsid w:val="001578C3"/>
    <w:rsid w:val="001578FD"/>
    <w:rsid w:val="00157A35"/>
    <w:rsid w:val="00160229"/>
    <w:rsid w:val="00160332"/>
    <w:rsid w:val="00160617"/>
    <w:rsid w:val="001606FF"/>
    <w:rsid w:val="00160836"/>
    <w:rsid w:val="00160844"/>
    <w:rsid w:val="00160CD1"/>
    <w:rsid w:val="00160DA7"/>
    <w:rsid w:val="00160E57"/>
    <w:rsid w:val="00160EE9"/>
    <w:rsid w:val="00160FB6"/>
    <w:rsid w:val="001610BB"/>
    <w:rsid w:val="001611F2"/>
    <w:rsid w:val="00161458"/>
    <w:rsid w:val="001614BC"/>
    <w:rsid w:val="001618AB"/>
    <w:rsid w:val="0016190F"/>
    <w:rsid w:val="0016192D"/>
    <w:rsid w:val="00161C39"/>
    <w:rsid w:val="00161EE4"/>
    <w:rsid w:val="00162202"/>
    <w:rsid w:val="00162455"/>
    <w:rsid w:val="00162645"/>
    <w:rsid w:val="001627B4"/>
    <w:rsid w:val="00162897"/>
    <w:rsid w:val="00162991"/>
    <w:rsid w:val="00162A7E"/>
    <w:rsid w:val="00162BB9"/>
    <w:rsid w:val="00162D39"/>
    <w:rsid w:val="00162D81"/>
    <w:rsid w:val="0016358E"/>
    <w:rsid w:val="0016372F"/>
    <w:rsid w:val="0016381B"/>
    <w:rsid w:val="00163A89"/>
    <w:rsid w:val="00163A95"/>
    <w:rsid w:val="00163B14"/>
    <w:rsid w:val="00163B27"/>
    <w:rsid w:val="00164079"/>
    <w:rsid w:val="00164562"/>
    <w:rsid w:val="00164762"/>
    <w:rsid w:val="001649ED"/>
    <w:rsid w:val="00164AC5"/>
    <w:rsid w:val="00164CBF"/>
    <w:rsid w:val="00164CEE"/>
    <w:rsid w:val="00164ECB"/>
    <w:rsid w:val="00165045"/>
    <w:rsid w:val="001650F0"/>
    <w:rsid w:val="00165161"/>
    <w:rsid w:val="001658A5"/>
    <w:rsid w:val="001659B2"/>
    <w:rsid w:val="00165A50"/>
    <w:rsid w:val="00165A64"/>
    <w:rsid w:val="00165B8B"/>
    <w:rsid w:val="00166041"/>
    <w:rsid w:val="00166076"/>
    <w:rsid w:val="00166080"/>
    <w:rsid w:val="001661DC"/>
    <w:rsid w:val="001668D6"/>
    <w:rsid w:val="001668E5"/>
    <w:rsid w:val="0016695D"/>
    <w:rsid w:val="00166A26"/>
    <w:rsid w:val="00166AE7"/>
    <w:rsid w:val="00166C43"/>
    <w:rsid w:val="00166E37"/>
    <w:rsid w:val="00167053"/>
    <w:rsid w:val="00167143"/>
    <w:rsid w:val="00167161"/>
    <w:rsid w:val="00167202"/>
    <w:rsid w:val="00167331"/>
    <w:rsid w:val="001673A5"/>
    <w:rsid w:val="0016741B"/>
    <w:rsid w:val="0016747A"/>
    <w:rsid w:val="00167657"/>
    <w:rsid w:val="001676F2"/>
    <w:rsid w:val="00167870"/>
    <w:rsid w:val="0016795F"/>
    <w:rsid w:val="00167A2A"/>
    <w:rsid w:val="00167A2E"/>
    <w:rsid w:val="00167C06"/>
    <w:rsid w:val="00167E6D"/>
    <w:rsid w:val="00168810"/>
    <w:rsid w:val="001701C6"/>
    <w:rsid w:val="001704F5"/>
    <w:rsid w:val="001705B1"/>
    <w:rsid w:val="00170692"/>
    <w:rsid w:val="001706B2"/>
    <w:rsid w:val="00170854"/>
    <w:rsid w:val="00170C10"/>
    <w:rsid w:val="00170ED7"/>
    <w:rsid w:val="00170EE7"/>
    <w:rsid w:val="00170F41"/>
    <w:rsid w:val="00170F4E"/>
    <w:rsid w:val="00171003"/>
    <w:rsid w:val="001710A9"/>
    <w:rsid w:val="00171372"/>
    <w:rsid w:val="00171536"/>
    <w:rsid w:val="0017166D"/>
    <w:rsid w:val="0017181F"/>
    <w:rsid w:val="00171846"/>
    <w:rsid w:val="00171B39"/>
    <w:rsid w:val="00171CB3"/>
    <w:rsid w:val="00171EF3"/>
    <w:rsid w:val="00171F2C"/>
    <w:rsid w:val="00172055"/>
    <w:rsid w:val="0017216A"/>
    <w:rsid w:val="001726DE"/>
    <w:rsid w:val="0017281C"/>
    <w:rsid w:val="001729DE"/>
    <w:rsid w:val="00172AC4"/>
    <w:rsid w:val="00172BD9"/>
    <w:rsid w:val="00173466"/>
    <w:rsid w:val="00173573"/>
    <w:rsid w:val="00173588"/>
    <w:rsid w:val="001735A0"/>
    <w:rsid w:val="001736D7"/>
    <w:rsid w:val="0017370C"/>
    <w:rsid w:val="00173B61"/>
    <w:rsid w:val="00173C30"/>
    <w:rsid w:val="00173F26"/>
    <w:rsid w:val="00173F76"/>
    <w:rsid w:val="0017401C"/>
    <w:rsid w:val="00174049"/>
    <w:rsid w:val="00174283"/>
    <w:rsid w:val="001743ED"/>
    <w:rsid w:val="0017443D"/>
    <w:rsid w:val="001744B0"/>
    <w:rsid w:val="001744D9"/>
    <w:rsid w:val="00174962"/>
    <w:rsid w:val="00174D7D"/>
    <w:rsid w:val="00174E47"/>
    <w:rsid w:val="00175191"/>
    <w:rsid w:val="001752AF"/>
    <w:rsid w:val="001752E3"/>
    <w:rsid w:val="00175606"/>
    <w:rsid w:val="0017573B"/>
    <w:rsid w:val="0017583A"/>
    <w:rsid w:val="001759F1"/>
    <w:rsid w:val="00175AF6"/>
    <w:rsid w:val="00175B1E"/>
    <w:rsid w:val="00175E22"/>
    <w:rsid w:val="001762B3"/>
    <w:rsid w:val="00176D7F"/>
    <w:rsid w:val="001770C9"/>
    <w:rsid w:val="00177113"/>
    <w:rsid w:val="00177134"/>
    <w:rsid w:val="001773AF"/>
    <w:rsid w:val="0017751E"/>
    <w:rsid w:val="001775E3"/>
    <w:rsid w:val="001776F7"/>
    <w:rsid w:val="00177872"/>
    <w:rsid w:val="00177A01"/>
    <w:rsid w:val="00177C1E"/>
    <w:rsid w:val="00177D04"/>
    <w:rsid w:val="00177E2E"/>
    <w:rsid w:val="0017BD65"/>
    <w:rsid w:val="001800AB"/>
    <w:rsid w:val="00180308"/>
    <w:rsid w:val="0018038B"/>
    <w:rsid w:val="001804F6"/>
    <w:rsid w:val="0018055C"/>
    <w:rsid w:val="001809DE"/>
    <w:rsid w:val="00180D6E"/>
    <w:rsid w:val="00180F6F"/>
    <w:rsid w:val="00181045"/>
    <w:rsid w:val="001810E6"/>
    <w:rsid w:val="001814E1"/>
    <w:rsid w:val="001815FA"/>
    <w:rsid w:val="001817B3"/>
    <w:rsid w:val="0018185D"/>
    <w:rsid w:val="00181B9E"/>
    <w:rsid w:val="00181BCA"/>
    <w:rsid w:val="00181C0D"/>
    <w:rsid w:val="00181D05"/>
    <w:rsid w:val="00181F0F"/>
    <w:rsid w:val="001820F7"/>
    <w:rsid w:val="001821C6"/>
    <w:rsid w:val="0018241A"/>
    <w:rsid w:val="00182604"/>
    <w:rsid w:val="0018263D"/>
    <w:rsid w:val="001827DB"/>
    <w:rsid w:val="00182837"/>
    <w:rsid w:val="00182B19"/>
    <w:rsid w:val="00182C14"/>
    <w:rsid w:val="00182E19"/>
    <w:rsid w:val="00182EBD"/>
    <w:rsid w:val="001832DE"/>
    <w:rsid w:val="00183346"/>
    <w:rsid w:val="00183810"/>
    <w:rsid w:val="00183846"/>
    <w:rsid w:val="00183B5A"/>
    <w:rsid w:val="00183B83"/>
    <w:rsid w:val="00183B8D"/>
    <w:rsid w:val="00184011"/>
    <w:rsid w:val="0018411A"/>
    <w:rsid w:val="00184227"/>
    <w:rsid w:val="001842EF"/>
    <w:rsid w:val="001844D8"/>
    <w:rsid w:val="0018466F"/>
    <w:rsid w:val="00184988"/>
    <w:rsid w:val="00184C45"/>
    <w:rsid w:val="00184DE9"/>
    <w:rsid w:val="00184E67"/>
    <w:rsid w:val="00184E99"/>
    <w:rsid w:val="00184EF7"/>
    <w:rsid w:val="00184F09"/>
    <w:rsid w:val="00185106"/>
    <w:rsid w:val="00185165"/>
    <w:rsid w:val="001851CE"/>
    <w:rsid w:val="001852AC"/>
    <w:rsid w:val="001852B6"/>
    <w:rsid w:val="001853FE"/>
    <w:rsid w:val="001855B8"/>
    <w:rsid w:val="0018562F"/>
    <w:rsid w:val="0018595B"/>
    <w:rsid w:val="00185D4C"/>
    <w:rsid w:val="00185DCD"/>
    <w:rsid w:val="00185F55"/>
    <w:rsid w:val="00185FEC"/>
    <w:rsid w:val="00185FFE"/>
    <w:rsid w:val="00186138"/>
    <w:rsid w:val="00186717"/>
    <w:rsid w:val="001868FA"/>
    <w:rsid w:val="00186B3F"/>
    <w:rsid w:val="00186C62"/>
    <w:rsid w:val="00186CB4"/>
    <w:rsid w:val="00186D0A"/>
    <w:rsid w:val="00187042"/>
    <w:rsid w:val="0018746A"/>
    <w:rsid w:val="00187A26"/>
    <w:rsid w:val="00187C65"/>
    <w:rsid w:val="00187DA2"/>
    <w:rsid w:val="00187E2E"/>
    <w:rsid w:val="00187E66"/>
    <w:rsid w:val="00190381"/>
    <w:rsid w:val="00190531"/>
    <w:rsid w:val="00190724"/>
    <w:rsid w:val="001909E3"/>
    <w:rsid w:val="00190AD2"/>
    <w:rsid w:val="00190B15"/>
    <w:rsid w:val="001910E4"/>
    <w:rsid w:val="0019117B"/>
    <w:rsid w:val="0019120A"/>
    <w:rsid w:val="00191369"/>
    <w:rsid w:val="001914AF"/>
    <w:rsid w:val="0019156E"/>
    <w:rsid w:val="00191797"/>
    <w:rsid w:val="00191886"/>
    <w:rsid w:val="00191DE0"/>
    <w:rsid w:val="00192026"/>
    <w:rsid w:val="001921CA"/>
    <w:rsid w:val="001923F1"/>
    <w:rsid w:val="001927F8"/>
    <w:rsid w:val="001928A7"/>
    <w:rsid w:val="001929A8"/>
    <w:rsid w:val="00192CCA"/>
    <w:rsid w:val="001932E4"/>
    <w:rsid w:val="00193308"/>
    <w:rsid w:val="00193717"/>
    <w:rsid w:val="00193748"/>
    <w:rsid w:val="0019374E"/>
    <w:rsid w:val="0019392B"/>
    <w:rsid w:val="00193980"/>
    <w:rsid w:val="00193E86"/>
    <w:rsid w:val="00193EA9"/>
    <w:rsid w:val="00193EAB"/>
    <w:rsid w:val="00194058"/>
    <w:rsid w:val="00194078"/>
    <w:rsid w:val="00194541"/>
    <w:rsid w:val="0019480E"/>
    <w:rsid w:val="00194855"/>
    <w:rsid w:val="00194860"/>
    <w:rsid w:val="00194D2A"/>
    <w:rsid w:val="00194DCC"/>
    <w:rsid w:val="001950A0"/>
    <w:rsid w:val="00195204"/>
    <w:rsid w:val="001955FC"/>
    <w:rsid w:val="00195600"/>
    <w:rsid w:val="001956ED"/>
    <w:rsid w:val="001958B7"/>
    <w:rsid w:val="00196066"/>
    <w:rsid w:val="00196292"/>
    <w:rsid w:val="001962C9"/>
    <w:rsid w:val="001963AF"/>
    <w:rsid w:val="001966AC"/>
    <w:rsid w:val="0019678A"/>
    <w:rsid w:val="001967FF"/>
    <w:rsid w:val="00196ABA"/>
    <w:rsid w:val="00196D8F"/>
    <w:rsid w:val="00196FA8"/>
    <w:rsid w:val="00197170"/>
    <w:rsid w:val="00197259"/>
    <w:rsid w:val="00197334"/>
    <w:rsid w:val="001973CB"/>
    <w:rsid w:val="00197638"/>
    <w:rsid w:val="00197650"/>
    <w:rsid w:val="0019768D"/>
    <w:rsid w:val="0019790A"/>
    <w:rsid w:val="00197F2B"/>
    <w:rsid w:val="001A01E6"/>
    <w:rsid w:val="001A0C12"/>
    <w:rsid w:val="001A0C4E"/>
    <w:rsid w:val="001A0C6F"/>
    <w:rsid w:val="001A0D1C"/>
    <w:rsid w:val="001A0DE7"/>
    <w:rsid w:val="001A0F80"/>
    <w:rsid w:val="001A0FF8"/>
    <w:rsid w:val="001A12F7"/>
    <w:rsid w:val="001A1519"/>
    <w:rsid w:val="001A1654"/>
    <w:rsid w:val="001A1AFB"/>
    <w:rsid w:val="001A22CF"/>
    <w:rsid w:val="001A2834"/>
    <w:rsid w:val="001A2A8A"/>
    <w:rsid w:val="001A2C50"/>
    <w:rsid w:val="001A2C72"/>
    <w:rsid w:val="001A2EB0"/>
    <w:rsid w:val="001A305E"/>
    <w:rsid w:val="001A3070"/>
    <w:rsid w:val="001A30A8"/>
    <w:rsid w:val="001A3308"/>
    <w:rsid w:val="001A352B"/>
    <w:rsid w:val="001A3A10"/>
    <w:rsid w:val="001A3A30"/>
    <w:rsid w:val="001A3DB1"/>
    <w:rsid w:val="001A4324"/>
    <w:rsid w:val="001A441F"/>
    <w:rsid w:val="001A454C"/>
    <w:rsid w:val="001A45F7"/>
    <w:rsid w:val="001A46B5"/>
    <w:rsid w:val="001A47B7"/>
    <w:rsid w:val="001A47D6"/>
    <w:rsid w:val="001A49AF"/>
    <w:rsid w:val="001A4B1C"/>
    <w:rsid w:val="001A4B8A"/>
    <w:rsid w:val="001A4CCF"/>
    <w:rsid w:val="001A4F17"/>
    <w:rsid w:val="001A4F6C"/>
    <w:rsid w:val="001A4FE3"/>
    <w:rsid w:val="001A54DF"/>
    <w:rsid w:val="001A5601"/>
    <w:rsid w:val="001A5748"/>
    <w:rsid w:val="001A59A6"/>
    <w:rsid w:val="001A5AE5"/>
    <w:rsid w:val="001A5B0F"/>
    <w:rsid w:val="001A5CBB"/>
    <w:rsid w:val="001A5D09"/>
    <w:rsid w:val="001A5D79"/>
    <w:rsid w:val="001A5DE5"/>
    <w:rsid w:val="001A5E0B"/>
    <w:rsid w:val="001A61AC"/>
    <w:rsid w:val="001A631F"/>
    <w:rsid w:val="001A6453"/>
    <w:rsid w:val="001A65CF"/>
    <w:rsid w:val="001A6BC5"/>
    <w:rsid w:val="001A6DE3"/>
    <w:rsid w:val="001A6F33"/>
    <w:rsid w:val="001A70A9"/>
    <w:rsid w:val="001A70F7"/>
    <w:rsid w:val="001A7112"/>
    <w:rsid w:val="001A7285"/>
    <w:rsid w:val="001A72A8"/>
    <w:rsid w:val="001A75BD"/>
    <w:rsid w:val="001A7668"/>
    <w:rsid w:val="001A7CBC"/>
    <w:rsid w:val="001A7E99"/>
    <w:rsid w:val="001B0904"/>
    <w:rsid w:val="001B0946"/>
    <w:rsid w:val="001B094E"/>
    <w:rsid w:val="001B0B5C"/>
    <w:rsid w:val="001B0B96"/>
    <w:rsid w:val="001B0CAB"/>
    <w:rsid w:val="001B0DAB"/>
    <w:rsid w:val="001B0FA3"/>
    <w:rsid w:val="001B1598"/>
    <w:rsid w:val="001B163E"/>
    <w:rsid w:val="001B17FE"/>
    <w:rsid w:val="001B1A7B"/>
    <w:rsid w:val="001B1E79"/>
    <w:rsid w:val="001B1ECD"/>
    <w:rsid w:val="001B1FA1"/>
    <w:rsid w:val="001B2148"/>
    <w:rsid w:val="001B218C"/>
    <w:rsid w:val="001B2197"/>
    <w:rsid w:val="001B23A6"/>
    <w:rsid w:val="001B26A2"/>
    <w:rsid w:val="001B27C8"/>
    <w:rsid w:val="001B27E7"/>
    <w:rsid w:val="001B2A8D"/>
    <w:rsid w:val="001B2D85"/>
    <w:rsid w:val="001B2F5F"/>
    <w:rsid w:val="001B2FBA"/>
    <w:rsid w:val="001B3465"/>
    <w:rsid w:val="001B35BA"/>
    <w:rsid w:val="001B370B"/>
    <w:rsid w:val="001B3875"/>
    <w:rsid w:val="001B38CA"/>
    <w:rsid w:val="001B3A38"/>
    <w:rsid w:val="001B3A65"/>
    <w:rsid w:val="001B403B"/>
    <w:rsid w:val="001B4415"/>
    <w:rsid w:val="001B4423"/>
    <w:rsid w:val="001B494F"/>
    <w:rsid w:val="001B4BE6"/>
    <w:rsid w:val="001B4DEB"/>
    <w:rsid w:val="001B4FB3"/>
    <w:rsid w:val="001B4FBC"/>
    <w:rsid w:val="001B4FF6"/>
    <w:rsid w:val="001B534F"/>
    <w:rsid w:val="001B53E6"/>
    <w:rsid w:val="001B5428"/>
    <w:rsid w:val="001B5554"/>
    <w:rsid w:val="001B59B2"/>
    <w:rsid w:val="001B59DE"/>
    <w:rsid w:val="001B5DDD"/>
    <w:rsid w:val="001B5E8A"/>
    <w:rsid w:val="001B633B"/>
    <w:rsid w:val="001B6597"/>
    <w:rsid w:val="001B6809"/>
    <w:rsid w:val="001B6A46"/>
    <w:rsid w:val="001B6A8F"/>
    <w:rsid w:val="001B6D46"/>
    <w:rsid w:val="001B6E95"/>
    <w:rsid w:val="001B71C0"/>
    <w:rsid w:val="001B7214"/>
    <w:rsid w:val="001B794D"/>
    <w:rsid w:val="001B7A5B"/>
    <w:rsid w:val="001B7B81"/>
    <w:rsid w:val="001B7C9A"/>
    <w:rsid w:val="001B7EFA"/>
    <w:rsid w:val="001C0058"/>
    <w:rsid w:val="001C023C"/>
    <w:rsid w:val="001C0519"/>
    <w:rsid w:val="001C073C"/>
    <w:rsid w:val="001C08DC"/>
    <w:rsid w:val="001C0AFD"/>
    <w:rsid w:val="001C0F44"/>
    <w:rsid w:val="001C0FD1"/>
    <w:rsid w:val="001C108B"/>
    <w:rsid w:val="001C1206"/>
    <w:rsid w:val="001C1263"/>
    <w:rsid w:val="001C14E6"/>
    <w:rsid w:val="001C17F7"/>
    <w:rsid w:val="001C1914"/>
    <w:rsid w:val="001C1A39"/>
    <w:rsid w:val="001C1C4A"/>
    <w:rsid w:val="001C1D42"/>
    <w:rsid w:val="001C1FD4"/>
    <w:rsid w:val="001C1FFD"/>
    <w:rsid w:val="001C2012"/>
    <w:rsid w:val="001C20FB"/>
    <w:rsid w:val="001C2110"/>
    <w:rsid w:val="001C2199"/>
    <w:rsid w:val="001C24A0"/>
    <w:rsid w:val="001C2519"/>
    <w:rsid w:val="001C27DA"/>
    <w:rsid w:val="001C2902"/>
    <w:rsid w:val="001C2B16"/>
    <w:rsid w:val="001C2C5E"/>
    <w:rsid w:val="001C332F"/>
    <w:rsid w:val="001C350B"/>
    <w:rsid w:val="001C3518"/>
    <w:rsid w:val="001C36D3"/>
    <w:rsid w:val="001C399E"/>
    <w:rsid w:val="001C3BDB"/>
    <w:rsid w:val="001C3CE2"/>
    <w:rsid w:val="001C3DF7"/>
    <w:rsid w:val="001C3FE6"/>
    <w:rsid w:val="001C4403"/>
    <w:rsid w:val="001C4491"/>
    <w:rsid w:val="001C470C"/>
    <w:rsid w:val="001C4A3E"/>
    <w:rsid w:val="001C4A41"/>
    <w:rsid w:val="001C4A57"/>
    <w:rsid w:val="001C4AB2"/>
    <w:rsid w:val="001C4AB6"/>
    <w:rsid w:val="001C4C83"/>
    <w:rsid w:val="001C4DEF"/>
    <w:rsid w:val="001C4F0D"/>
    <w:rsid w:val="001C5023"/>
    <w:rsid w:val="001C5025"/>
    <w:rsid w:val="001C5737"/>
    <w:rsid w:val="001C5872"/>
    <w:rsid w:val="001C59E1"/>
    <w:rsid w:val="001C5A9E"/>
    <w:rsid w:val="001C5C3D"/>
    <w:rsid w:val="001C5D7C"/>
    <w:rsid w:val="001C5DF4"/>
    <w:rsid w:val="001C60A7"/>
    <w:rsid w:val="001C615E"/>
    <w:rsid w:val="001C6184"/>
    <w:rsid w:val="001C6199"/>
    <w:rsid w:val="001C61EB"/>
    <w:rsid w:val="001C6554"/>
    <w:rsid w:val="001C6754"/>
    <w:rsid w:val="001C67F5"/>
    <w:rsid w:val="001C6894"/>
    <w:rsid w:val="001C69D4"/>
    <w:rsid w:val="001C6B08"/>
    <w:rsid w:val="001C6C8A"/>
    <w:rsid w:val="001C6FD0"/>
    <w:rsid w:val="001C7278"/>
    <w:rsid w:val="001C7418"/>
    <w:rsid w:val="001C7434"/>
    <w:rsid w:val="001C7497"/>
    <w:rsid w:val="001C75E9"/>
    <w:rsid w:val="001C7BDD"/>
    <w:rsid w:val="001D00D0"/>
    <w:rsid w:val="001D01D0"/>
    <w:rsid w:val="001D0405"/>
    <w:rsid w:val="001D05FD"/>
    <w:rsid w:val="001D06CC"/>
    <w:rsid w:val="001D0A05"/>
    <w:rsid w:val="001D0C3A"/>
    <w:rsid w:val="001D0CCA"/>
    <w:rsid w:val="001D0CCE"/>
    <w:rsid w:val="001D0F0F"/>
    <w:rsid w:val="001D0F4F"/>
    <w:rsid w:val="001D10BA"/>
    <w:rsid w:val="001D1199"/>
    <w:rsid w:val="001D139E"/>
    <w:rsid w:val="001D1520"/>
    <w:rsid w:val="001D1538"/>
    <w:rsid w:val="001D16B1"/>
    <w:rsid w:val="001D18BE"/>
    <w:rsid w:val="001D1B2E"/>
    <w:rsid w:val="001D1D73"/>
    <w:rsid w:val="001D1E2D"/>
    <w:rsid w:val="001D20A6"/>
    <w:rsid w:val="001D20B8"/>
    <w:rsid w:val="001D212A"/>
    <w:rsid w:val="001D231F"/>
    <w:rsid w:val="001D25CC"/>
    <w:rsid w:val="001D2890"/>
    <w:rsid w:val="001D2C72"/>
    <w:rsid w:val="001D2F03"/>
    <w:rsid w:val="001D2F3D"/>
    <w:rsid w:val="001D302C"/>
    <w:rsid w:val="001D3102"/>
    <w:rsid w:val="001D332F"/>
    <w:rsid w:val="001D3566"/>
    <w:rsid w:val="001D389E"/>
    <w:rsid w:val="001D3B63"/>
    <w:rsid w:val="001D3C18"/>
    <w:rsid w:val="001D3F4A"/>
    <w:rsid w:val="001D3F62"/>
    <w:rsid w:val="001D3F70"/>
    <w:rsid w:val="001D405A"/>
    <w:rsid w:val="001D417E"/>
    <w:rsid w:val="001D41C4"/>
    <w:rsid w:val="001D41F1"/>
    <w:rsid w:val="001D423A"/>
    <w:rsid w:val="001D4388"/>
    <w:rsid w:val="001D46A4"/>
    <w:rsid w:val="001D49A9"/>
    <w:rsid w:val="001D4A2E"/>
    <w:rsid w:val="001D4A69"/>
    <w:rsid w:val="001D4D4B"/>
    <w:rsid w:val="001D4D9F"/>
    <w:rsid w:val="001D4F12"/>
    <w:rsid w:val="001D5155"/>
    <w:rsid w:val="001D5267"/>
    <w:rsid w:val="001D5577"/>
    <w:rsid w:val="001D57F2"/>
    <w:rsid w:val="001D5806"/>
    <w:rsid w:val="001D5B7C"/>
    <w:rsid w:val="001D5D7F"/>
    <w:rsid w:val="001D5EB2"/>
    <w:rsid w:val="001D6375"/>
    <w:rsid w:val="001D6463"/>
    <w:rsid w:val="001D6567"/>
    <w:rsid w:val="001D65A4"/>
    <w:rsid w:val="001D67B5"/>
    <w:rsid w:val="001D687B"/>
    <w:rsid w:val="001D6928"/>
    <w:rsid w:val="001D6BEF"/>
    <w:rsid w:val="001D6BFD"/>
    <w:rsid w:val="001D6C59"/>
    <w:rsid w:val="001D6D6C"/>
    <w:rsid w:val="001D73FE"/>
    <w:rsid w:val="001D74B5"/>
    <w:rsid w:val="001D766F"/>
    <w:rsid w:val="001D76BA"/>
    <w:rsid w:val="001D775A"/>
    <w:rsid w:val="001D77F5"/>
    <w:rsid w:val="001D7BC9"/>
    <w:rsid w:val="001D7C43"/>
    <w:rsid w:val="001D7CA7"/>
    <w:rsid w:val="001D7D02"/>
    <w:rsid w:val="001E0172"/>
    <w:rsid w:val="001E048B"/>
    <w:rsid w:val="001E0571"/>
    <w:rsid w:val="001E0687"/>
    <w:rsid w:val="001E0913"/>
    <w:rsid w:val="001E0A78"/>
    <w:rsid w:val="001E0E62"/>
    <w:rsid w:val="001E1093"/>
    <w:rsid w:val="001E118B"/>
    <w:rsid w:val="001E123B"/>
    <w:rsid w:val="001E1305"/>
    <w:rsid w:val="001E14CA"/>
    <w:rsid w:val="001E15A7"/>
    <w:rsid w:val="001E19DE"/>
    <w:rsid w:val="001E2419"/>
    <w:rsid w:val="001E246F"/>
    <w:rsid w:val="001E2737"/>
    <w:rsid w:val="001E2AF0"/>
    <w:rsid w:val="001E2F5B"/>
    <w:rsid w:val="001E30F4"/>
    <w:rsid w:val="001E3236"/>
    <w:rsid w:val="001E3285"/>
    <w:rsid w:val="001E333F"/>
    <w:rsid w:val="001E33BE"/>
    <w:rsid w:val="001E35D8"/>
    <w:rsid w:val="001E3EA1"/>
    <w:rsid w:val="001E453D"/>
    <w:rsid w:val="001E4573"/>
    <w:rsid w:val="001E4D3F"/>
    <w:rsid w:val="001E4E4B"/>
    <w:rsid w:val="001E503D"/>
    <w:rsid w:val="001E50F4"/>
    <w:rsid w:val="001E50F7"/>
    <w:rsid w:val="001E51E8"/>
    <w:rsid w:val="001E51FD"/>
    <w:rsid w:val="001E5B52"/>
    <w:rsid w:val="001E5C1E"/>
    <w:rsid w:val="001E5D4E"/>
    <w:rsid w:val="001E5E17"/>
    <w:rsid w:val="001E61CC"/>
    <w:rsid w:val="001E6330"/>
    <w:rsid w:val="001E6367"/>
    <w:rsid w:val="001E638F"/>
    <w:rsid w:val="001E6518"/>
    <w:rsid w:val="001E658D"/>
    <w:rsid w:val="001E6CD7"/>
    <w:rsid w:val="001E701B"/>
    <w:rsid w:val="001E71A4"/>
    <w:rsid w:val="001E73C3"/>
    <w:rsid w:val="001E75DD"/>
    <w:rsid w:val="001E765D"/>
    <w:rsid w:val="001E77BE"/>
    <w:rsid w:val="001E7811"/>
    <w:rsid w:val="001E7A28"/>
    <w:rsid w:val="001E7A80"/>
    <w:rsid w:val="001E7C23"/>
    <w:rsid w:val="001E7F84"/>
    <w:rsid w:val="001F04A9"/>
    <w:rsid w:val="001F0AB3"/>
    <w:rsid w:val="001F0C03"/>
    <w:rsid w:val="001F0D52"/>
    <w:rsid w:val="001F0EA1"/>
    <w:rsid w:val="001F12D1"/>
    <w:rsid w:val="001F1536"/>
    <w:rsid w:val="001F166E"/>
    <w:rsid w:val="001F16BB"/>
    <w:rsid w:val="001F189E"/>
    <w:rsid w:val="001F1952"/>
    <w:rsid w:val="001F1A80"/>
    <w:rsid w:val="001F1C1A"/>
    <w:rsid w:val="001F1C51"/>
    <w:rsid w:val="001F1D91"/>
    <w:rsid w:val="001F1F50"/>
    <w:rsid w:val="001F2093"/>
    <w:rsid w:val="001F20C8"/>
    <w:rsid w:val="001F2601"/>
    <w:rsid w:val="001F269E"/>
    <w:rsid w:val="001F2AF1"/>
    <w:rsid w:val="001F2BE0"/>
    <w:rsid w:val="001F2E2D"/>
    <w:rsid w:val="001F2EEC"/>
    <w:rsid w:val="001F2EFF"/>
    <w:rsid w:val="001F31EE"/>
    <w:rsid w:val="001F3442"/>
    <w:rsid w:val="001F3472"/>
    <w:rsid w:val="001F35AD"/>
    <w:rsid w:val="001F3B59"/>
    <w:rsid w:val="001F3BC4"/>
    <w:rsid w:val="001F3DB0"/>
    <w:rsid w:val="001F3E77"/>
    <w:rsid w:val="001F3FF3"/>
    <w:rsid w:val="001F40BF"/>
    <w:rsid w:val="001F422E"/>
    <w:rsid w:val="001F47FD"/>
    <w:rsid w:val="001F4A30"/>
    <w:rsid w:val="001F4CCE"/>
    <w:rsid w:val="001F4D94"/>
    <w:rsid w:val="001F4DDA"/>
    <w:rsid w:val="001F53F1"/>
    <w:rsid w:val="001F54E3"/>
    <w:rsid w:val="001F5538"/>
    <w:rsid w:val="001F5645"/>
    <w:rsid w:val="001F56A1"/>
    <w:rsid w:val="001F595C"/>
    <w:rsid w:val="001F5BCA"/>
    <w:rsid w:val="001F5C66"/>
    <w:rsid w:val="001F5CF2"/>
    <w:rsid w:val="001F5D04"/>
    <w:rsid w:val="001F5D2D"/>
    <w:rsid w:val="001F5E10"/>
    <w:rsid w:val="001F5E6D"/>
    <w:rsid w:val="001F5FE7"/>
    <w:rsid w:val="001F6339"/>
    <w:rsid w:val="001F64EF"/>
    <w:rsid w:val="001F64F1"/>
    <w:rsid w:val="001F65C2"/>
    <w:rsid w:val="001F679B"/>
    <w:rsid w:val="001F67CF"/>
    <w:rsid w:val="001F67D8"/>
    <w:rsid w:val="001F7465"/>
    <w:rsid w:val="001F771E"/>
    <w:rsid w:val="001F7CFF"/>
    <w:rsid w:val="00200085"/>
    <w:rsid w:val="002000C2"/>
    <w:rsid w:val="00200379"/>
    <w:rsid w:val="00200514"/>
    <w:rsid w:val="00200773"/>
    <w:rsid w:val="002007BC"/>
    <w:rsid w:val="0020098D"/>
    <w:rsid w:val="00200AC7"/>
    <w:rsid w:val="00200BFF"/>
    <w:rsid w:val="00200F34"/>
    <w:rsid w:val="00200FDD"/>
    <w:rsid w:val="00201000"/>
    <w:rsid w:val="002010CF"/>
    <w:rsid w:val="002011C2"/>
    <w:rsid w:val="002015D0"/>
    <w:rsid w:val="00201A94"/>
    <w:rsid w:val="00201DAC"/>
    <w:rsid w:val="00201DE1"/>
    <w:rsid w:val="00201E8A"/>
    <w:rsid w:val="00202074"/>
    <w:rsid w:val="002020A8"/>
    <w:rsid w:val="002022B7"/>
    <w:rsid w:val="002027E7"/>
    <w:rsid w:val="0020280C"/>
    <w:rsid w:val="00202AE1"/>
    <w:rsid w:val="00202C27"/>
    <w:rsid w:val="00202CBE"/>
    <w:rsid w:val="00202E0A"/>
    <w:rsid w:val="00203267"/>
    <w:rsid w:val="002032BB"/>
    <w:rsid w:val="00203947"/>
    <w:rsid w:val="00203AD7"/>
    <w:rsid w:val="00203B2A"/>
    <w:rsid w:val="00203E57"/>
    <w:rsid w:val="00203E8E"/>
    <w:rsid w:val="00203F6B"/>
    <w:rsid w:val="00204085"/>
    <w:rsid w:val="0020472B"/>
    <w:rsid w:val="0020484F"/>
    <w:rsid w:val="00204915"/>
    <w:rsid w:val="002049CD"/>
    <w:rsid w:val="002049E7"/>
    <w:rsid w:val="00204BA2"/>
    <w:rsid w:val="00204C1B"/>
    <w:rsid w:val="00204EB7"/>
    <w:rsid w:val="00204F68"/>
    <w:rsid w:val="00205057"/>
    <w:rsid w:val="0020527C"/>
    <w:rsid w:val="002054EA"/>
    <w:rsid w:val="0020550C"/>
    <w:rsid w:val="0020551D"/>
    <w:rsid w:val="002058B2"/>
    <w:rsid w:val="00205924"/>
    <w:rsid w:val="00205A14"/>
    <w:rsid w:val="00205C77"/>
    <w:rsid w:val="00205D05"/>
    <w:rsid w:val="0020600D"/>
    <w:rsid w:val="00206154"/>
    <w:rsid w:val="0020626E"/>
    <w:rsid w:val="00206277"/>
    <w:rsid w:val="0020694D"/>
    <w:rsid w:val="0020695D"/>
    <w:rsid w:val="00206BAD"/>
    <w:rsid w:val="00206E7F"/>
    <w:rsid w:val="00207034"/>
    <w:rsid w:val="0020728C"/>
    <w:rsid w:val="002072C8"/>
    <w:rsid w:val="00207350"/>
    <w:rsid w:val="0020737C"/>
    <w:rsid w:val="00207762"/>
    <w:rsid w:val="00207825"/>
    <w:rsid w:val="002079F5"/>
    <w:rsid w:val="00207CD2"/>
    <w:rsid w:val="00207ECB"/>
    <w:rsid w:val="00208825"/>
    <w:rsid w:val="00210256"/>
    <w:rsid w:val="002102E6"/>
    <w:rsid w:val="00210303"/>
    <w:rsid w:val="00210392"/>
    <w:rsid w:val="002104DC"/>
    <w:rsid w:val="002106B8"/>
    <w:rsid w:val="002109FB"/>
    <w:rsid w:val="00210C86"/>
    <w:rsid w:val="00211398"/>
    <w:rsid w:val="00211661"/>
    <w:rsid w:val="00211A20"/>
    <w:rsid w:val="00211B9A"/>
    <w:rsid w:val="00211BA5"/>
    <w:rsid w:val="00211BE0"/>
    <w:rsid w:val="00211C37"/>
    <w:rsid w:val="00211C54"/>
    <w:rsid w:val="00211D0F"/>
    <w:rsid w:val="00211EA6"/>
    <w:rsid w:val="00211F39"/>
    <w:rsid w:val="00211FE8"/>
    <w:rsid w:val="002120CE"/>
    <w:rsid w:val="002120DA"/>
    <w:rsid w:val="002121BD"/>
    <w:rsid w:val="00212231"/>
    <w:rsid w:val="002123B1"/>
    <w:rsid w:val="00212405"/>
    <w:rsid w:val="002126CD"/>
    <w:rsid w:val="002127E2"/>
    <w:rsid w:val="00212943"/>
    <w:rsid w:val="00212F9C"/>
    <w:rsid w:val="00213330"/>
    <w:rsid w:val="002133E9"/>
    <w:rsid w:val="002135DC"/>
    <w:rsid w:val="00213702"/>
    <w:rsid w:val="0021392C"/>
    <w:rsid w:val="002139B6"/>
    <w:rsid w:val="00213A16"/>
    <w:rsid w:val="00213B1E"/>
    <w:rsid w:val="00213BFC"/>
    <w:rsid w:val="00213F0B"/>
    <w:rsid w:val="00213FAD"/>
    <w:rsid w:val="00213FBB"/>
    <w:rsid w:val="00214008"/>
    <w:rsid w:val="002145AA"/>
    <w:rsid w:val="002146F2"/>
    <w:rsid w:val="002148B9"/>
    <w:rsid w:val="00214A04"/>
    <w:rsid w:val="00214AE6"/>
    <w:rsid w:val="00214B3A"/>
    <w:rsid w:val="00214C78"/>
    <w:rsid w:val="00214D32"/>
    <w:rsid w:val="002151D7"/>
    <w:rsid w:val="002153BA"/>
    <w:rsid w:val="0021543A"/>
    <w:rsid w:val="00215574"/>
    <w:rsid w:val="0021572B"/>
    <w:rsid w:val="00215816"/>
    <w:rsid w:val="00215842"/>
    <w:rsid w:val="00215938"/>
    <w:rsid w:val="0021599C"/>
    <w:rsid w:val="00215CD7"/>
    <w:rsid w:val="00215D9E"/>
    <w:rsid w:val="00216080"/>
    <w:rsid w:val="002161D6"/>
    <w:rsid w:val="0021621C"/>
    <w:rsid w:val="002165D5"/>
    <w:rsid w:val="002165EC"/>
    <w:rsid w:val="0021666E"/>
    <w:rsid w:val="00216686"/>
    <w:rsid w:val="002167FE"/>
    <w:rsid w:val="00216E2D"/>
    <w:rsid w:val="0021711E"/>
    <w:rsid w:val="00217473"/>
    <w:rsid w:val="00217603"/>
    <w:rsid w:val="00217749"/>
    <w:rsid w:val="002178BD"/>
    <w:rsid w:val="00217A3D"/>
    <w:rsid w:val="00217CAC"/>
    <w:rsid w:val="00217DB8"/>
    <w:rsid w:val="00217E0E"/>
    <w:rsid w:val="00217E38"/>
    <w:rsid w:val="002200EB"/>
    <w:rsid w:val="002202BA"/>
    <w:rsid w:val="0022084F"/>
    <w:rsid w:val="0022085B"/>
    <w:rsid w:val="00220894"/>
    <w:rsid w:val="00220987"/>
    <w:rsid w:val="0022098D"/>
    <w:rsid w:val="00220C09"/>
    <w:rsid w:val="00220C46"/>
    <w:rsid w:val="00220C4C"/>
    <w:rsid w:val="00220F35"/>
    <w:rsid w:val="00221051"/>
    <w:rsid w:val="00221384"/>
    <w:rsid w:val="00221439"/>
    <w:rsid w:val="00221875"/>
    <w:rsid w:val="00221A63"/>
    <w:rsid w:val="00221B48"/>
    <w:rsid w:val="00222252"/>
    <w:rsid w:val="002223BC"/>
    <w:rsid w:val="002223FD"/>
    <w:rsid w:val="002226A5"/>
    <w:rsid w:val="00222758"/>
    <w:rsid w:val="00222ACC"/>
    <w:rsid w:val="00223081"/>
    <w:rsid w:val="0022314B"/>
    <w:rsid w:val="00223268"/>
    <w:rsid w:val="002236B1"/>
    <w:rsid w:val="002237D7"/>
    <w:rsid w:val="002238F4"/>
    <w:rsid w:val="00223AB9"/>
    <w:rsid w:val="00223B2C"/>
    <w:rsid w:val="00223CA9"/>
    <w:rsid w:val="00223FC7"/>
    <w:rsid w:val="00224248"/>
    <w:rsid w:val="00224460"/>
    <w:rsid w:val="002244C1"/>
    <w:rsid w:val="00224654"/>
    <w:rsid w:val="00224995"/>
    <w:rsid w:val="00224B5F"/>
    <w:rsid w:val="00224C1F"/>
    <w:rsid w:val="00224CB7"/>
    <w:rsid w:val="00224DB0"/>
    <w:rsid w:val="00224F49"/>
    <w:rsid w:val="002250EC"/>
    <w:rsid w:val="00225142"/>
    <w:rsid w:val="00225174"/>
    <w:rsid w:val="0022520C"/>
    <w:rsid w:val="00225259"/>
    <w:rsid w:val="00225389"/>
    <w:rsid w:val="00225662"/>
    <w:rsid w:val="00225691"/>
    <w:rsid w:val="002256D5"/>
    <w:rsid w:val="00225A99"/>
    <w:rsid w:val="00225D3D"/>
    <w:rsid w:val="002260E4"/>
    <w:rsid w:val="002261E4"/>
    <w:rsid w:val="00226541"/>
    <w:rsid w:val="002267FE"/>
    <w:rsid w:val="002268F9"/>
    <w:rsid w:val="002268FF"/>
    <w:rsid w:val="0022690B"/>
    <w:rsid w:val="00226958"/>
    <w:rsid w:val="00226C5C"/>
    <w:rsid w:val="00226E9A"/>
    <w:rsid w:val="00227046"/>
    <w:rsid w:val="00227222"/>
    <w:rsid w:val="0022729F"/>
    <w:rsid w:val="002272BD"/>
    <w:rsid w:val="002274F7"/>
    <w:rsid w:val="00227565"/>
    <w:rsid w:val="002276E9"/>
    <w:rsid w:val="00227766"/>
    <w:rsid w:val="002277BC"/>
    <w:rsid w:val="002279FD"/>
    <w:rsid w:val="00227CC8"/>
    <w:rsid w:val="00227D8D"/>
    <w:rsid w:val="00227E73"/>
    <w:rsid w:val="00227F60"/>
    <w:rsid w:val="002300C2"/>
    <w:rsid w:val="00230368"/>
    <w:rsid w:val="00230474"/>
    <w:rsid w:val="002305D1"/>
    <w:rsid w:val="00230621"/>
    <w:rsid w:val="00230647"/>
    <w:rsid w:val="00230796"/>
    <w:rsid w:val="00230A32"/>
    <w:rsid w:val="00230BDC"/>
    <w:rsid w:val="0023121C"/>
    <w:rsid w:val="00231234"/>
    <w:rsid w:val="00231423"/>
    <w:rsid w:val="0023154D"/>
    <w:rsid w:val="002316B5"/>
    <w:rsid w:val="002317BA"/>
    <w:rsid w:val="00231936"/>
    <w:rsid w:val="00231A64"/>
    <w:rsid w:val="00231B7C"/>
    <w:rsid w:val="00231D1D"/>
    <w:rsid w:val="00231F53"/>
    <w:rsid w:val="0023212B"/>
    <w:rsid w:val="00232393"/>
    <w:rsid w:val="0023248A"/>
    <w:rsid w:val="00232525"/>
    <w:rsid w:val="0023269E"/>
    <w:rsid w:val="002328D7"/>
    <w:rsid w:val="002329A1"/>
    <w:rsid w:val="00232ADA"/>
    <w:rsid w:val="00232BC7"/>
    <w:rsid w:val="00232BCE"/>
    <w:rsid w:val="002330CB"/>
    <w:rsid w:val="002330EF"/>
    <w:rsid w:val="0023325D"/>
    <w:rsid w:val="00233731"/>
    <w:rsid w:val="002338B8"/>
    <w:rsid w:val="00233CF5"/>
    <w:rsid w:val="00233D8F"/>
    <w:rsid w:val="00233F57"/>
    <w:rsid w:val="00234011"/>
    <w:rsid w:val="002340EB"/>
    <w:rsid w:val="0023426A"/>
    <w:rsid w:val="002342B1"/>
    <w:rsid w:val="0023461E"/>
    <w:rsid w:val="002349C1"/>
    <w:rsid w:val="00234DF8"/>
    <w:rsid w:val="00234F7B"/>
    <w:rsid w:val="002350CC"/>
    <w:rsid w:val="00235358"/>
    <w:rsid w:val="0023542B"/>
    <w:rsid w:val="002354E8"/>
    <w:rsid w:val="002355A9"/>
    <w:rsid w:val="002356CA"/>
    <w:rsid w:val="002358D5"/>
    <w:rsid w:val="00235B6B"/>
    <w:rsid w:val="00235C29"/>
    <w:rsid w:val="00235C32"/>
    <w:rsid w:val="00235CB8"/>
    <w:rsid w:val="00235E62"/>
    <w:rsid w:val="00236053"/>
    <w:rsid w:val="00236124"/>
    <w:rsid w:val="00236229"/>
    <w:rsid w:val="002364A7"/>
    <w:rsid w:val="00236AB1"/>
    <w:rsid w:val="00236D20"/>
    <w:rsid w:val="00236D57"/>
    <w:rsid w:val="00236E87"/>
    <w:rsid w:val="00237016"/>
    <w:rsid w:val="00237158"/>
    <w:rsid w:val="002372B3"/>
    <w:rsid w:val="00237483"/>
    <w:rsid w:val="002374A6"/>
    <w:rsid w:val="0023754C"/>
    <w:rsid w:val="00237682"/>
    <w:rsid w:val="002377F6"/>
    <w:rsid w:val="0023788D"/>
    <w:rsid w:val="00237AA0"/>
    <w:rsid w:val="00237EDC"/>
    <w:rsid w:val="00237FAE"/>
    <w:rsid w:val="00237FDE"/>
    <w:rsid w:val="0024006F"/>
    <w:rsid w:val="00240465"/>
    <w:rsid w:val="00240623"/>
    <w:rsid w:val="002407EC"/>
    <w:rsid w:val="00240A43"/>
    <w:rsid w:val="00240A8D"/>
    <w:rsid w:val="00240AEA"/>
    <w:rsid w:val="00240AEC"/>
    <w:rsid w:val="00240C35"/>
    <w:rsid w:val="00240DB3"/>
    <w:rsid w:val="0024120C"/>
    <w:rsid w:val="00241231"/>
    <w:rsid w:val="00241394"/>
    <w:rsid w:val="002413CA"/>
    <w:rsid w:val="002414EA"/>
    <w:rsid w:val="0024152C"/>
    <w:rsid w:val="0024172E"/>
    <w:rsid w:val="002417D1"/>
    <w:rsid w:val="00241C7B"/>
    <w:rsid w:val="00241F73"/>
    <w:rsid w:val="002421B6"/>
    <w:rsid w:val="0024238D"/>
    <w:rsid w:val="002424CC"/>
    <w:rsid w:val="002424D0"/>
    <w:rsid w:val="00242564"/>
    <w:rsid w:val="0024260F"/>
    <w:rsid w:val="00242741"/>
    <w:rsid w:val="002427F3"/>
    <w:rsid w:val="00242845"/>
    <w:rsid w:val="00242C8E"/>
    <w:rsid w:val="00242D20"/>
    <w:rsid w:val="00242D2D"/>
    <w:rsid w:val="00242D97"/>
    <w:rsid w:val="00242EB1"/>
    <w:rsid w:val="00243179"/>
    <w:rsid w:val="002434CB"/>
    <w:rsid w:val="00243687"/>
    <w:rsid w:val="0024368C"/>
    <w:rsid w:val="00243700"/>
    <w:rsid w:val="00243840"/>
    <w:rsid w:val="00243A05"/>
    <w:rsid w:val="00243A08"/>
    <w:rsid w:val="00243A09"/>
    <w:rsid w:val="00243B49"/>
    <w:rsid w:val="00243BC7"/>
    <w:rsid w:val="00243D3E"/>
    <w:rsid w:val="00243D50"/>
    <w:rsid w:val="00243EEC"/>
    <w:rsid w:val="002443FD"/>
    <w:rsid w:val="00244B5D"/>
    <w:rsid w:val="00244C7D"/>
    <w:rsid w:val="00244D11"/>
    <w:rsid w:val="00244D18"/>
    <w:rsid w:val="00244DD6"/>
    <w:rsid w:val="00244E1A"/>
    <w:rsid w:val="00244FDA"/>
    <w:rsid w:val="00245254"/>
    <w:rsid w:val="0024536F"/>
    <w:rsid w:val="0024555F"/>
    <w:rsid w:val="002456E3"/>
    <w:rsid w:val="00245D5B"/>
    <w:rsid w:val="00245D6C"/>
    <w:rsid w:val="00245E1A"/>
    <w:rsid w:val="00245E30"/>
    <w:rsid w:val="00246492"/>
    <w:rsid w:val="00246529"/>
    <w:rsid w:val="00246749"/>
    <w:rsid w:val="0024684F"/>
    <w:rsid w:val="002469CF"/>
    <w:rsid w:val="00246A55"/>
    <w:rsid w:val="00246C66"/>
    <w:rsid w:val="00246C7D"/>
    <w:rsid w:val="00246CBC"/>
    <w:rsid w:val="00246CCD"/>
    <w:rsid w:val="00246E32"/>
    <w:rsid w:val="00246E66"/>
    <w:rsid w:val="0024713D"/>
    <w:rsid w:val="00247574"/>
    <w:rsid w:val="00247581"/>
    <w:rsid w:val="002475A3"/>
    <w:rsid w:val="0024769D"/>
    <w:rsid w:val="00247785"/>
    <w:rsid w:val="002478D8"/>
    <w:rsid w:val="00247ADF"/>
    <w:rsid w:val="00247B22"/>
    <w:rsid w:val="00247E51"/>
    <w:rsid w:val="00250033"/>
    <w:rsid w:val="002501B4"/>
    <w:rsid w:val="00250B72"/>
    <w:rsid w:val="002510B3"/>
    <w:rsid w:val="0025117C"/>
    <w:rsid w:val="00251194"/>
    <w:rsid w:val="002512A7"/>
    <w:rsid w:val="00251395"/>
    <w:rsid w:val="0025169C"/>
    <w:rsid w:val="00251A4A"/>
    <w:rsid w:val="00251AAE"/>
    <w:rsid w:val="00251B4F"/>
    <w:rsid w:val="00251C0C"/>
    <w:rsid w:val="00251C0F"/>
    <w:rsid w:val="00251DD5"/>
    <w:rsid w:val="00251E4E"/>
    <w:rsid w:val="002524C8"/>
    <w:rsid w:val="002525FD"/>
    <w:rsid w:val="00252B45"/>
    <w:rsid w:val="00252BF1"/>
    <w:rsid w:val="00252D8E"/>
    <w:rsid w:val="00252D9E"/>
    <w:rsid w:val="00252E00"/>
    <w:rsid w:val="00253180"/>
    <w:rsid w:val="002531F2"/>
    <w:rsid w:val="002533E4"/>
    <w:rsid w:val="002534CE"/>
    <w:rsid w:val="0025357E"/>
    <w:rsid w:val="002536C1"/>
    <w:rsid w:val="00253781"/>
    <w:rsid w:val="0025387E"/>
    <w:rsid w:val="002538A7"/>
    <w:rsid w:val="00253B44"/>
    <w:rsid w:val="00253C42"/>
    <w:rsid w:val="00253CC2"/>
    <w:rsid w:val="00253D59"/>
    <w:rsid w:val="00253EC2"/>
    <w:rsid w:val="00253FCE"/>
    <w:rsid w:val="00254246"/>
    <w:rsid w:val="00254251"/>
    <w:rsid w:val="00254A86"/>
    <w:rsid w:val="00254C45"/>
    <w:rsid w:val="00254CA5"/>
    <w:rsid w:val="00254FF3"/>
    <w:rsid w:val="002550F4"/>
    <w:rsid w:val="00255220"/>
    <w:rsid w:val="0025566D"/>
    <w:rsid w:val="00255C62"/>
    <w:rsid w:val="00255D13"/>
    <w:rsid w:val="00255E5B"/>
    <w:rsid w:val="00255F09"/>
    <w:rsid w:val="00255FDD"/>
    <w:rsid w:val="00256048"/>
    <w:rsid w:val="0025618D"/>
    <w:rsid w:val="0025633B"/>
    <w:rsid w:val="0025642E"/>
    <w:rsid w:val="00256434"/>
    <w:rsid w:val="00256598"/>
    <w:rsid w:val="00256A04"/>
    <w:rsid w:val="00256BB8"/>
    <w:rsid w:val="00256C94"/>
    <w:rsid w:val="00256D18"/>
    <w:rsid w:val="00256E6B"/>
    <w:rsid w:val="00257324"/>
    <w:rsid w:val="0025762D"/>
    <w:rsid w:val="0025794F"/>
    <w:rsid w:val="00257A67"/>
    <w:rsid w:val="00257ABD"/>
    <w:rsid w:val="00257CE1"/>
    <w:rsid w:val="00257E2D"/>
    <w:rsid w:val="0025F447"/>
    <w:rsid w:val="00260096"/>
    <w:rsid w:val="0026012A"/>
    <w:rsid w:val="002602D8"/>
    <w:rsid w:val="0026037F"/>
    <w:rsid w:val="002606D4"/>
    <w:rsid w:val="00260799"/>
    <w:rsid w:val="002607B8"/>
    <w:rsid w:val="002607DA"/>
    <w:rsid w:val="002609E8"/>
    <w:rsid w:val="00260A92"/>
    <w:rsid w:val="00260B0E"/>
    <w:rsid w:val="00260BEF"/>
    <w:rsid w:val="00260CC3"/>
    <w:rsid w:val="00260D4B"/>
    <w:rsid w:val="00260E9F"/>
    <w:rsid w:val="00260EEF"/>
    <w:rsid w:val="00261072"/>
    <w:rsid w:val="00261186"/>
    <w:rsid w:val="002611A6"/>
    <w:rsid w:val="00261218"/>
    <w:rsid w:val="002613B7"/>
    <w:rsid w:val="00261528"/>
    <w:rsid w:val="002615FD"/>
    <w:rsid w:val="00261727"/>
    <w:rsid w:val="002617D3"/>
    <w:rsid w:val="002617DD"/>
    <w:rsid w:val="0026197E"/>
    <w:rsid w:val="00261A4A"/>
    <w:rsid w:val="00261C69"/>
    <w:rsid w:val="00261F61"/>
    <w:rsid w:val="00262334"/>
    <w:rsid w:val="002626CA"/>
    <w:rsid w:val="002629E8"/>
    <w:rsid w:val="00262D0D"/>
    <w:rsid w:val="00262E8D"/>
    <w:rsid w:val="0026305D"/>
    <w:rsid w:val="002630FC"/>
    <w:rsid w:val="002634AD"/>
    <w:rsid w:val="0026359F"/>
    <w:rsid w:val="00263677"/>
    <w:rsid w:val="0026375B"/>
    <w:rsid w:val="0026387F"/>
    <w:rsid w:val="002639FE"/>
    <w:rsid w:val="00263B62"/>
    <w:rsid w:val="00263BA9"/>
    <w:rsid w:val="00263C90"/>
    <w:rsid w:val="00264397"/>
    <w:rsid w:val="002643D7"/>
    <w:rsid w:val="00264454"/>
    <w:rsid w:val="00264620"/>
    <w:rsid w:val="00264CFF"/>
    <w:rsid w:val="00264E2C"/>
    <w:rsid w:val="00265102"/>
    <w:rsid w:val="0026527C"/>
    <w:rsid w:val="0026551B"/>
    <w:rsid w:val="00265594"/>
    <w:rsid w:val="002655B3"/>
    <w:rsid w:val="00265634"/>
    <w:rsid w:val="0026563E"/>
    <w:rsid w:val="00265713"/>
    <w:rsid w:val="00265932"/>
    <w:rsid w:val="002659B4"/>
    <w:rsid w:val="00265A0C"/>
    <w:rsid w:val="00265B0F"/>
    <w:rsid w:val="00265BE8"/>
    <w:rsid w:val="00265CBE"/>
    <w:rsid w:val="00265D01"/>
    <w:rsid w:val="00265D60"/>
    <w:rsid w:val="00265EBB"/>
    <w:rsid w:val="00266065"/>
    <w:rsid w:val="00266066"/>
    <w:rsid w:val="002662EB"/>
    <w:rsid w:val="00266487"/>
    <w:rsid w:val="00266727"/>
    <w:rsid w:val="002667D0"/>
    <w:rsid w:val="00266878"/>
    <w:rsid w:val="00266934"/>
    <w:rsid w:val="00266A2F"/>
    <w:rsid w:val="00266C6A"/>
    <w:rsid w:val="00266D60"/>
    <w:rsid w:val="0026702A"/>
    <w:rsid w:val="002671CC"/>
    <w:rsid w:val="00267312"/>
    <w:rsid w:val="00267C7F"/>
    <w:rsid w:val="00267D3B"/>
    <w:rsid w:val="00267D72"/>
    <w:rsid w:val="00267F0A"/>
    <w:rsid w:val="00267F30"/>
    <w:rsid w:val="00270241"/>
    <w:rsid w:val="002702CA"/>
    <w:rsid w:val="00270334"/>
    <w:rsid w:val="002703BD"/>
    <w:rsid w:val="002703FA"/>
    <w:rsid w:val="0027044C"/>
    <w:rsid w:val="00270547"/>
    <w:rsid w:val="0027073D"/>
    <w:rsid w:val="002707D0"/>
    <w:rsid w:val="00270826"/>
    <w:rsid w:val="00270886"/>
    <w:rsid w:val="002708A7"/>
    <w:rsid w:val="002709BF"/>
    <w:rsid w:val="00270E35"/>
    <w:rsid w:val="0027103D"/>
    <w:rsid w:val="00271183"/>
    <w:rsid w:val="002711AF"/>
    <w:rsid w:val="0027134A"/>
    <w:rsid w:val="00271434"/>
    <w:rsid w:val="002716DB"/>
    <w:rsid w:val="00271743"/>
    <w:rsid w:val="002717E1"/>
    <w:rsid w:val="00271841"/>
    <w:rsid w:val="0027188E"/>
    <w:rsid w:val="00271945"/>
    <w:rsid w:val="00271D18"/>
    <w:rsid w:val="0027208E"/>
    <w:rsid w:val="00272487"/>
    <w:rsid w:val="002727DF"/>
    <w:rsid w:val="00272866"/>
    <w:rsid w:val="002728DA"/>
    <w:rsid w:val="002728E0"/>
    <w:rsid w:val="00272CA3"/>
    <w:rsid w:val="00272D99"/>
    <w:rsid w:val="00272F9D"/>
    <w:rsid w:val="00272FBB"/>
    <w:rsid w:val="002732FD"/>
    <w:rsid w:val="0027346A"/>
    <w:rsid w:val="00273C4A"/>
    <w:rsid w:val="00273C6E"/>
    <w:rsid w:val="00273D0A"/>
    <w:rsid w:val="00273D54"/>
    <w:rsid w:val="00273FEB"/>
    <w:rsid w:val="00274020"/>
    <w:rsid w:val="002743F8"/>
    <w:rsid w:val="0027448D"/>
    <w:rsid w:val="00274626"/>
    <w:rsid w:val="0027468A"/>
    <w:rsid w:val="00274CD7"/>
    <w:rsid w:val="00274D99"/>
    <w:rsid w:val="00274DBA"/>
    <w:rsid w:val="00275454"/>
    <w:rsid w:val="002754B9"/>
    <w:rsid w:val="00275625"/>
    <w:rsid w:val="00275B60"/>
    <w:rsid w:val="00275BBD"/>
    <w:rsid w:val="00275CD8"/>
    <w:rsid w:val="00275FC6"/>
    <w:rsid w:val="002762B4"/>
    <w:rsid w:val="002764B6"/>
    <w:rsid w:val="002765AE"/>
    <w:rsid w:val="00276BE1"/>
    <w:rsid w:val="00276C7A"/>
    <w:rsid w:val="00276FCC"/>
    <w:rsid w:val="00277090"/>
    <w:rsid w:val="002772D1"/>
    <w:rsid w:val="00277411"/>
    <w:rsid w:val="00277506"/>
    <w:rsid w:val="00277765"/>
    <w:rsid w:val="002777C6"/>
    <w:rsid w:val="002778F6"/>
    <w:rsid w:val="00277BEE"/>
    <w:rsid w:val="00277D43"/>
    <w:rsid w:val="00277DC3"/>
    <w:rsid w:val="00277E20"/>
    <w:rsid w:val="00280009"/>
    <w:rsid w:val="0028001E"/>
    <w:rsid w:val="002801E5"/>
    <w:rsid w:val="002804BE"/>
    <w:rsid w:val="00280700"/>
    <w:rsid w:val="00280951"/>
    <w:rsid w:val="00280AA2"/>
    <w:rsid w:val="00280B26"/>
    <w:rsid w:val="00280B4C"/>
    <w:rsid w:val="00280BA4"/>
    <w:rsid w:val="00280C7F"/>
    <w:rsid w:val="00280C8A"/>
    <w:rsid w:val="00280D75"/>
    <w:rsid w:val="00280F59"/>
    <w:rsid w:val="00280FD7"/>
    <w:rsid w:val="00281231"/>
    <w:rsid w:val="002812B3"/>
    <w:rsid w:val="002814CB"/>
    <w:rsid w:val="00281592"/>
    <w:rsid w:val="002815BF"/>
    <w:rsid w:val="0028160A"/>
    <w:rsid w:val="00281657"/>
    <w:rsid w:val="002816CD"/>
    <w:rsid w:val="0028170C"/>
    <w:rsid w:val="00281772"/>
    <w:rsid w:val="0028188B"/>
    <w:rsid w:val="0028191F"/>
    <w:rsid w:val="00281B7D"/>
    <w:rsid w:val="00281BB4"/>
    <w:rsid w:val="00281CA6"/>
    <w:rsid w:val="00281DB5"/>
    <w:rsid w:val="00281F85"/>
    <w:rsid w:val="00281FDB"/>
    <w:rsid w:val="0028207B"/>
    <w:rsid w:val="002822A6"/>
    <w:rsid w:val="00282587"/>
    <w:rsid w:val="002825B1"/>
    <w:rsid w:val="002825F1"/>
    <w:rsid w:val="00282E00"/>
    <w:rsid w:val="0028302F"/>
    <w:rsid w:val="0028310B"/>
    <w:rsid w:val="002832DF"/>
    <w:rsid w:val="00283596"/>
    <w:rsid w:val="002835AB"/>
    <w:rsid w:val="002836A3"/>
    <w:rsid w:val="00283899"/>
    <w:rsid w:val="00283A80"/>
    <w:rsid w:val="00283D9E"/>
    <w:rsid w:val="00283DF2"/>
    <w:rsid w:val="00283FF2"/>
    <w:rsid w:val="00284348"/>
    <w:rsid w:val="0028473B"/>
    <w:rsid w:val="00284A9C"/>
    <w:rsid w:val="00284CA4"/>
    <w:rsid w:val="00284D58"/>
    <w:rsid w:val="00284DCE"/>
    <w:rsid w:val="00284F21"/>
    <w:rsid w:val="002851AC"/>
    <w:rsid w:val="00285246"/>
    <w:rsid w:val="00285280"/>
    <w:rsid w:val="002858E4"/>
    <w:rsid w:val="002859D5"/>
    <w:rsid w:val="00285ABA"/>
    <w:rsid w:val="00285B87"/>
    <w:rsid w:val="00285BC1"/>
    <w:rsid w:val="00285FE5"/>
    <w:rsid w:val="0028629C"/>
    <w:rsid w:val="00286300"/>
    <w:rsid w:val="00286367"/>
    <w:rsid w:val="0028636A"/>
    <w:rsid w:val="00286388"/>
    <w:rsid w:val="00286745"/>
    <w:rsid w:val="002868FA"/>
    <w:rsid w:val="00286C02"/>
    <w:rsid w:val="002870AE"/>
    <w:rsid w:val="00287137"/>
    <w:rsid w:val="0028718E"/>
    <w:rsid w:val="0028719D"/>
    <w:rsid w:val="002872B7"/>
    <w:rsid w:val="002873AA"/>
    <w:rsid w:val="002873EC"/>
    <w:rsid w:val="00287437"/>
    <w:rsid w:val="00287623"/>
    <w:rsid w:val="00287635"/>
    <w:rsid w:val="002877F8"/>
    <w:rsid w:val="00287964"/>
    <w:rsid w:val="00287C05"/>
    <w:rsid w:val="00287D26"/>
    <w:rsid w:val="00287DB0"/>
    <w:rsid w:val="00287FB5"/>
    <w:rsid w:val="002903F3"/>
    <w:rsid w:val="00290CF4"/>
    <w:rsid w:val="00290DCE"/>
    <w:rsid w:val="00290E1E"/>
    <w:rsid w:val="0029109C"/>
    <w:rsid w:val="0029123A"/>
    <w:rsid w:val="00291345"/>
    <w:rsid w:val="0029151D"/>
    <w:rsid w:val="002916B2"/>
    <w:rsid w:val="002918FC"/>
    <w:rsid w:val="0029192B"/>
    <w:rsid w:val="00291B6F"/>
    <w:rsid w:val="00291C0B"/>
    <w:rsid w:val="00292056"/>
    <w:rsid w:val="00292075"/>
    <w:rsid w:val="00292076"/>
    <w:rsid w:val="00292288"/>
    <w:rsid w:val="002923B1"/>
    <w:rsid w:val="002923E6"/>
    <w:rsid w:val="00292432"/>
    <w:rsid w:val="0029247E"/>
    <w:rsid w:val="002924BD"/>
    <w:rsid w:val="00292508"/>
    <w:rsid w:val="00292602"/>
    <w:rsid w:val="0029265A"/>
    <w:rsid w:val="00292819"/>
    <w:rsid w:val="002928F4"/>
    <w:rsid w:val="00292942"/>
    <w:rsid w:val="00292D5A"/>
    <w:rsid w:val="00292D73"/>
    <w:rsid w:val="00293073"/>
    <w:rsid w:val="002930F2"/>
    <w:rsid w:val="002931DF"/>
    <w:rsid w:val="00293414"/>
    <w:rsid w:val="0029345C"/>
    <w:rsid w:val="00293A00"/>
    <w:rsid w:val="00293C06"/>
    <w:rsid w:val="00293E39"/>
    <w:rsid w:val="00293EB9"/>
    <w:rsid w:val="00293F4F"/>
    <w:rsid w:val="00294141"/>
    <w:rsid w:val="00294243"/>
    <w:rsid w:val="002942AC"/>
    <w:rsid w:val="0029440B"/>
    <w:rsid w:val="0029468F"/>
    <w:rsid w:val="00294781"/>
    <w:rsid w:val="002948B0"/>
    <w:rsid w:val="002949F4"/>
    <w:rsid w:val="00294B29"/>
    <w:rsid w:val="00294B87"/>
    <w:rsid w:val="00294C8C"/>
    <w:rsid w:val="00294F95"/>
    <w:rsid w:val="002950B9"/>
    <w:rsid w:val="00295488"/>
    <w:rsid w:val="0029561C"/>
    <w:rsid w:val="00295869"/>
    <w:rsid w:val="002958E1"/>
    <w:rsid w:val="002959E2"/>
    <w:rsid w:val="0029648A"/>
    <w:rsid w:val="00296667"/>
    <w:rsid w:val="002968F6"/>
    <w:rsid w:val="00296AFF"/>
    <w:rsid w:val="00296E4F"/>
    <w:rsid w:val="00297142"/>
    <w:rsid w:val="0029714B"/>
    <w:rsid w:val="00297196"/>
    <w:rsid w:val="002971C0"/>
    <w:rsid w:val="002972DE"/>
    <w:rsid w:val="002974F8"/>
    <w:rsid w:val="00297501"/>
    <w:rsid w:val="00297726"/>
    <w:rsid w:val="00297741"/>
    <w:rsid w:val="00297840"/>
    <w:rsid w:val="00297A3A"/>
    <w:rsid w:val="00297F69"/>
    <w:rsid w:val="002A011B"/>
    <w:rsid w:val="002A026A"/>
    <w:rsid w:val="002A087C"/>
    <w:rsid w:val="002A0952"/>
    <w:rsid w:val="002A0A26"/>
    <w:rsid w:val="002A0C7D"/>
    <w:rsid w:val="002A132D"/>
    <w:rsid w:val="002A14A5"/>
    <w:rsid w:val="002A1920"/>
    <w:rsid w:val="002A199D"/>
    <w:rsid w:val="002A1CC3"/>
    <w:rsid w:val="002A1EC6"/>
    <w:rsid w:val="002A1F07"/>
    <w:rsid w:val="002A2260"/>
    <w:rsid w:val="002A22E4"/>
    <w:rsid w:val="002A2486"/>
    <w:rsid w:val="002A2545"/>
    <w:rsid w:val="002A2700"/>
    <w:rsid w:val="002A27C3"/>
    <w:rsid w:val="002A2D4F"/>
    <w:rsid w:val="002A2FFB"/>
    <w:rsid w:val="002A309C"/>
    <w:rsid w:val="002A3116"/>
    <w:rsid w:val="002A31D0"/>
    <w:rsid w:val="002A3220"/>
    <w:rsid w:val="002A34A8"/>
    <w:rsid w:val="002A35AD"/>
    <w:rsid w:val="002A35B6"/>
    <w:rsid w:val="002A371A"/>
    <w:rsid w:val="002A38AF"/>
    <w:rsid w:val="002A39AD"/>
    <w:rsid w:val="002A4049"/>
    <w:rsid w:val="002A40AE"/>
    <w:rsid w:val="002A417D"/>
    <w:rsid w:val="002A4239"/>
    <w:rsid w:val="002A47EF"/>
    <w:rsid w:val="002A49EF"/>
    <w:rsid w:val="002A4DC3"/>
    <w:rsid w:val="002A4DC9"/>
    <w:rsid w:val="002A5063"/>
    <w:rsid w:val="002A539B"/>
    <w:rsid w:val="002A54C6"/>
    <w:rsid w:val="002A553B"/>
    <w:rsid w:val="002A569F"/>
    <w:rsid w:val="002A5743"/>
    <w:rsid w:val="002A5B02"/>
    <w:rsid w:val="002A5B3A"/>
    <w:rsid w:val="002A5C2B"/>
    <w:rsid w:val="002A5FAC"/>
    <w:rsid w:val="002A6198"/>
    <w:rsid w:val="002A61E4"/>
    <w:rsid w:val="002A63A0"/>
    <w:rsid w:val="002A6677"/>
    <w:rsid w:val="002A68C1"/>
    <w:rsid w:val="002A69D3"/>
    <w:rsid w:val="002A6AF7"/>
    <w:rsid w:val="002A7155"/>
    <w:rsid w:val="002A7392"/>
    <w:rsid w:val="002A7489"/>
    <w:rsid w:val="002A7A0C"/>
    <w:rsid w:val="002A7D76"/>
    <w:rsid w:val="002A7E3A"/>
    <w:rsid w:val="002B0040"/>
    <w:rsid w:val="002B0353"/>
    <w:rsid w:val="002B0446"/>
    <w:rsid w:val="002B060C"/>
    <w:rsid w:val="002B0751"/>
    <w:rsid w:val="002B077D"/>
    <w:rsid w:val="002B07ED"/>
    <w:rsid w:val="002B085C"/>
    <w:rsid w:val="002B0DAB"/>
    <w:rsid w:val="002B10EB"/>
    <w:rsid w:val="002B14B4"/>
    <w:rsid w:val="002B17D6"/>
    <w:rsid w:val="002B184F"/>
    <w:rsid w:val="002B18B9"/>
    <w:rsid w:val="002B1E2D"/>
    <w:rsid w:val="002B1F5D"/>
    <w:rsid w:val="002B23A7"/>
    <w:rsid w:val="002B24E6"/>
    <w:rsid w:val="002B2568"/>
    <w:rsid w:val="002B25F6"/>
    <w:rsid w:val="002B2720"/>
    <w:rsid w:val="002B272A"/>
    <w:rsid w:val="002B278D"/>
    <w:rsid w:val="002B27B5"/>
    <w:rsid w:val="002B28DD"/>
    <w:rsid w:val="002B2994"/>
    <w:rsid w:val="002B2A0A"/>
    <w:rsid w:val="002B2CDB"/>
    <w:rsid w:val="002B3020"/>
    <w:rsid w:val="002B30A9"/>
    <w:rsid w:val="002B34D8"/>
    <w:rsid w:val="002B35B6"/>
    <w:rsid w:val="002B3DA7"/>
    <w:rsid w:val="002B3E4A"/>
    <w:rsid w:val="002B4384"/>
    <w:rsid w:val="002B4687"/>
    <w:rsid w:val="002B47BF"/>
    <w:rsid w:val="002B47D7"/>
    <w:rsid w:val="002B484A"/>
    <w:rsid w:val="002B485B"/>
    <w:rsid w:val="002B4A67"/>
    <w:rsid w:val="002B4C4C"/>
    <w:rsid w:val="002B4CD9"/>
    <w:rsid w:val="002B4D4D"/>
    <w:rsid w:val="002B4D76"/>
    <w:rsid w:val="002B4F41"/>
    <w:rsid w:val="002B50D2"/>
    <w:rsid w:val="002B52A8"/>
    <w:rsid w:val="002B5356"/>
    <w:rsid w:val="002B575D"/>
    <w:rsid w:val="002B58A0"/>
    <w:rsid w:val="002B5BD8"/>
    <w:rsid w:val="002B5D9A"/>
    <w:rsid w:val="002B6013"/>
    <w:rsid w:val="002B601E"/>
    <w:rsid w:val="002B607C"/>
    <w:rsid w:val="002B640B"/>
    <w:rsid w:val="002B643F"/>
    <w:rsid w:val="002B64BB"/>
    <w:rsid w:val="002B663F"/>
    <w:rsid w:val="002B66AD"/>
    <w:rsid w:val="002B67CA"/>
    <w:rsid w:val="002B6907"/>
    <w:rsid w:val="002B6DA7"/>
    <w:rsid w:val="002B6F2C"/>
    <w:rsid w:val="002B6FE6"/>
    <w:rsid w:val="002B71C6"/>
    <w:rsid w:val="002B7364"/>
    <w:rsid w:val="002B7521"/>
    <w:rsid w:val="002B75BC"/>
    <w:rsid w:val="002B75D5"/>
    <w:rsid w:val="002B7610"/>
    <w:rsid w:val="002B76B9"/>
    <w:rsid w:val="002B7731"/>
    <w:rsid w:val="002B784F"/>
    <w:rsid w:val="002B788E"/>
    <w:rsid w:val="002B7EA6"/>
    <w:rsid w:val="002C0740"/>
    <w:rsid w:val="002C084F"/>
    <w:rsid w:val="002C08FE"/>
    <w:rsid w:val="002C0988"/>
    <w:rsid w:val="002C0D48"/>
    <w:rsid w:val="002C0EFC"/>
    <w:rsid w:val="002C0F9C"/>
    <w:rsid w:val="002C10A3"/>
    <w:rsid w:val="002C10E9"/>
    <w:rsid w:val="002C15CA"/>
    <w:rsid w:val="002C172A"/>
    <w:rsid w:val="002C1CB9"/>
    <w:rsid w:val="002C1D9B"/>
    <w:rsid w:val="002C1E0B"/>
    <w:rsid w:val="002C1E71"/>
    <w:rsid w:val="002C200E"/>
    <w:rsid w:val="002C20CC"/>
    <w:rsid w:val="002C23F1"/>
    <w:rsid w:val="002C2462"/>
    <w:rsid w:val="002C267B"/>
    <w:rsid w:val="002C26E7"/>
    <w:rsid w:val="002C276E"/>
    <w:rsid w:val="002C27A6"/>
    <w:rsid w:val="002C2AEC"/>
    <w:rsid w:val="002C2DCE"/>
    <w:rsid w:val="002C2F8E"/>
    <w:rsid w:val="002C2FA9"/>
    <w:rsid w:val="002C3034"/>
    <w:rsid w:val="002C3129"/>
    <w:rsid w:val="002C32B1"/>
    <w:rsid w:val="002C33A5"/>
    <w:rsid w:val="002C343B"/>
    <w:rsid w:val="002C3447"/>
    <w:rsid w:val="002C34B6"/>
    <w:rsid w:val="002C361B"/>
    <w:rsid w:val="002C385D"/>
    <w:rsid w:val="002C3889"/>
    <w:rsid w:val="002C394D"/>
    <w:rsid w:val="002C3975"/>
    <w:rsid w:val="002C3A94"/>
    <w:rsid w:val="002C3AC2"/>
    <w:rsid w:val="002C3F81"/>
    <w:rsid w:val="002C4005"/>
    <w:rsid w:val="002C42CD"/>
    <w:rsid w:val="002C4AD2"/>
    <w:rsid w:val="002C4B54"/>
    <w:rsid w:val="002C4B65"/>
    <w:rsid w:val="002C4B6C"/>
    <w:rsid w:val="002C5225"/>
    <w:rsid w:val="002C574D"/>
    <w:rsid w:val="002C5973"/>
    <w:rsid w:val="002C5B52"/>
    <w:rsid w:val="002C5B95"/>
    <w:rsid w:val="002C5BDE"/>
    <w:rsid w:val="002C5BF3"/>
    <w:rsid w:val="002C5C8E"/>
    <w:rsid w:val="002C5DD7"/>
    <w:rsid w:val="002C5DDA"/>
    <w:rsid w:val="002C616C"/>
    <w:rsid w:val="002C61C8"/>
    <w:rsid w:val="002C627B"/>
    <w:rsid w:val="002C6418"/>
    <w:rsid w:val="002C6520"/>
    <w:rsid w:val="002C65A2"/>
    <w:rsid w:val="002C666B"/>
    <w:rsid w:val="002C66DD"/>
    <w:rsid w:val="002C68FA"/>
    <w:rsid w:val="002C69F8"/>
    <w:rsid w:val="002C6B3C"/>
    <w:rsid w:val="002C6B58"/>
    <w:rsid w:val="002C6CAE"/>
    <w:rsid w:val="002C6EF4"/>
    <w:rsid w:val="002C6F7B"/>
    <w:rsid w:val="002C6FA8"/>
    <w:rsid w:val="002C7274"/>
    <w:rsid w:val="002C7464"/>
    <w:rsid w:val="002C74C8"/>
    <w:rsid w:val="002C7618"/>
    <w:rsid w:val="002C76E0"/>
    <w:rsid w:val="002C76F9"/>
    <w:rsid w:val="002C78EE"/>
    <w:rsid w:val="002C7A96"/>
    <w:rsid w:val="002C7C38"/>
    <w:rsid w:val="002C7C7A"/>
    <w:rsid w:val="002C8B3D"/>
    <w:rsid w:val="002C8C50"/>
    <w:rsid w:val="002CA698"/>
    <w:rsid w:val="002D003B"/>
    <w:rsid w:val="002D02B6"/>
    <w:rsid w:val="002D0799"/>
    <w:rsid w:val="002D093A"/>
    <w:rsid w:val="002D0A6B"/>
    <w:rsid w:val="002D112A"/>
    <w:rsid w:val="002D121B"/>
    <w:rsid w:val="002D12A1"/>
    <w:rsid w:val="002D138E"/>
    <w:rsid w:val="002D140E"/>
    <w:rsid w:val="002D1490"/>
    <w:rsid w:val="002D1821"/>
    <w:rsid w:val="002D1971"/>
    <w:rsid w:val="002D1A26"/>
    <w:rsid w:val="002D1AEC"/>
    <w:rsid w:val="002D1B09"/>
    <w:rsid w:val="002D1E7C"/>
    <w:rsid w:val="002D1ED2"/>
    <w:rsid w:val="002D1F38"/>
    <w:rsid w:val="002D20DA"/>
    <w:rsid w:val="002D21F6"/>
    <w:rsid w:val="002D23A3"/>
    <w:rsid w:val="002D24ED"/>
    <w:rsid w:val="002D28B9"/>
    <w:rsid w:val="002D2A21"/>
    <w:rsid w:val="002D2A32"/>
    <w:rsid w:val="002D2A60"/>
    <w:rsid w:val="002D2AE7"/>
    <w:rsid w:val="002D2B4D"/>
    <w:rsid w:val="002D2EEE"/>
    <w:rsid w:val="002D316B"/>
    <w:rsid w:val="002D32CB"/>
    <w:rsid w:val="002D3587"/>
    <w:rsid w:val="002D3CF1"/>
    <w:rsid w:val="002D3D7B"/>
    <w:rsid w:val="002D3EBF"/>
    <w:rsid w:val="002D3F66"/>
    <w:rsid w:val="002D4058"/>
    <w:rsid w:val="002D4181"/>
    <w:rsid w:val="002D460F"/>
    <w:rsid w:val="002D4787"/>
    <w:rsid w:val="002D48BE"/>
    <w:rsid w:val="002D4B98"/>
    <w:rsid w:val="002D4CB3"/>
    <w:rsid w:val="002D4CFC"/>
    <w:rsid w:val="002D4E66"/>
    <w:rsid w:val="002D4EA4"/>
    <w:rsid w:val="002D50A7"/>
    <w:rsid w:val="002D5196"/>
    <w:rsid w:val="002D521E"/>
    <w:rsid w:val="002D54C7"/>
    <w:rsid w:val="002D54D9"/>
    <w:rsid w:val="002D5654"/>
    <w:rsid w:val="002D5831"/>
    <w:rsid w:val="002D58D8"/>
    <w:rsid w:val="002D593C"/>
    <w:rsid w:val="002D598C"/>
    <w:rsid w:val="002D5B65"/>
    <w:rsid w:val="002D5D0A"/>
    <w:rsid w:val="002D5E78"/>
    <w:rsid w:val="002D641D"/>
    <w:rsid w:val="002D6454"/>
    <w:rsid w:val="002D64E4"/>
    <w:rsid w:val="002D6819"/>
    <w:rsid w:val="002D6A1D"/>
    <w:rsid w:val="002D6AD3"/>
    <w:rsid w:val="002D6D2D"/>
    <w:rsid w:val="002D702B"/>
    <w:rsid w:val="002D7243"/>
    <w:rsid w:val="002D758D"/>
    <w:rsid w:val="002D7CE0"/>
    <w:rsid w:val="002D7D7F"/>
    <w:rsid w:val="002D7E1D"/>
    <w:rsid w:val="002E00CC"/>
    <w:rsid w:val="002E0114"/>
    <w:rsid w:val="002E01CA"/>
    <w:rsid w:val="002E020B"/>
    <w:rsid w:val="002E0353"/>
    <w:rsid w:val="002E039F"/>
    <w:rsid w:val="002E03E8"/>
    <w:rsid w:val="002E05BB"/>
    <w:rsid w:val="002E063E"/>
    <w:rsid w:val="002E0864"/>
    <w:rsid w:val="002E0A25"/>
    <w:rsid w:val="002E0BA0"/>
    <w:rsid w:val="002E0C34"/>
    <w:rsid w:val="002E0CDD"/>
    <w:rsid w:val="002E1154"/>
    <w:rsid w:val="002E13F2"/>
    <w:rsid w:val="002E168C"/>
    <w:rsid w:val="002E1872"/>
    <w:rsid w:val="002E1A10"/>
    <w:rsid w:val="002E1B7F"/>
    <w:rsid w:val="002E1B84"/>
    <w:rsid w:val="002E1BB4"/>
    <w:rsid w:val="002E1C87"/>
    <w:rsid w:val="002E1CFF"/>
    <w:rsid w:val="002E1D02"/>
    <w:rsid w:val="002E1D61"/>
    <w:rsid w:val="002E227A"/>
    <w:rsid w:val="002E240B"/>
    <w:rsid w:val="002E25BF"/>
    <w:rsid w:val="002E2625"/>
    <w:rsid w:val="002E2678"/>
    <w:rsid w:val="002E27D7"/>
    <w:rsid w:val="002E2C49"/>
    <w:rsid w:val="002E2C8C"/>
    <w:rsid w:val="002E2CE2"/>
    <w:rsid w:val="002E2D92"/>
    <w:rsid w:val="002E2DAC"/>
    <w:rsid w:val="002E2F19"/>
    <w:rsid w:val="002E2FD0"/>
    <w:rsid w:val="002E3008"/>
    <w:rsid w:val="002E33BE"/>
    <w:rsid w:val="002E33E4"/>
    <w:rsid w:val="002E3424"/>
    <w:rsid w:val="002E3527"/>
    <w:rsid w:val="002E354F"/>
    <w:rsid w:val="002E37A1"/>
    <w:rsid w:val="002E37D8"/>
    <w:rsid w:val="002E3875"/>
    <w:rsid w:val="002E3B1A"/>
    <w:rsid w:val="002E3CED"/>
    <w:rsid w:val="002E3F0D"/>
    <w:rsid w:val="002E4162"/>
    <w:rsid w:val="002E423B"/>
    <w:rsid w:val="002E4296"/>
    <w:rsid w:val="002E42E1"/>
    <w:rsid w:val="002E437D"/>
    <w:rsid w:val="002E4513"/>
    <w:rsid w:val="002E47E7"/>
    <w:rsid w:val="002E4C1A"/>
    <w:rsid w:val="002E4C2F"/>
    <w:rsid w:val="002E4E1C"/>
    <w:rsid w:val="002E4EA3"/>
    <w:rsid w:val="002E4ED4"/>
    <w:rsid w:val="002E52DE"/>
    <w:rsid w:val="002E5346"/>
    <w:rsid w:val="002E543F"/>
    <w:rsid w:val="002E54A5"/>
    <w:rsid w:val="002E5630"/>
    <w:rsid w:val="002E567B"/>
    <w:rsid w:val="002E56CB"/>
    <w:rsid w:val="002E57F1"/>
    <w:rsid w:val="002E589B"/>
    <w:rsid w:val="002E5B05"/>
    <w:rsid w:val="002E5E33"/>
    <w:rsid w:val="002E62F8"/>
    <w:rsid w:val="002E63ED"/>
    <w:rsid w:val="002E63F0"/>
    <w:rsid w:val="002E6E80"/>
    <w:rsid w:val="002E6EA7"/>
    <w:rsid w:val="002E6FCD"/>
    <w:rsid w:val="002E7029"/>
    <w:rsid w:val="002E708A"/>
    <w:rsid w:val="002E742B"/>
    <w:rsid w:val="002E758F"/>
    <w:rsid w:val="002E75C8"/>
    <w:rsid w:val="002E7614"/>
    <w:rsid w:val="002E7713"/>
    <w:rsid w:val="002E79B7"/>
    <w:rsid w:val="002E7B94"/>
    <w:rsid w:val="002E7F07"/>
    <w:rsid w:val="002E7F90"/>
    <w:rsid w:val="002F01A2"/>
    <w:rsid w:val="002F01F5"/>
    <w:rsid w:val="002F02EB"/>
    <w:rsid w:val="002F033B"/>
    <w:rsid w:val="002F0709"/>
    <w:rsid w:val="002F081B"/>
    <w:rsid w:val="002F096C"/>
    <w:rsid w:val="002F0AFA"/>
    <w:rsid w:val="002F0B1D"/>
    <w:rsid w:val="002F0BDA"/>
    <w:rsid w:val="002F0D75"/>
    <w:rsid w:val="002F0ED3"/>
    <w:rsid w:val="002F0EE4"/>
    <w:rsid w:val="002F0F05"/>
    <w:rsid w:val="002F10DA"/>
    <w:rsid w:val="002F1146"/>
    <w:rsid w:val="002F11CC"/>
    <w:rsid w:val="002F11F7"/>
    <w:rsid w:val="002F123D"/>
    <w:rsid w:val="002F1528"/>
    <w:rsid w:val="002F1A9F"/>
    <w:rsid w:val="002F1B51"/>
    <w:rsid w:val="002F1D60"/>
    <w:rsid w:val="002F1DAC"/>
    <w:rsid w:val="002F1DB2"/>
    <w:rsid w:val="002F1FC4"/>
    <w:rsid w:val="002F211C"/>
    <w:rsid w:val="002F2158"/>
    <w:rsid w:val="002F27AB"/>
    <w:rsid w:val="002F29E5"/>
    <w:rsid w:val="002F3058"/>
    <w:rsid w:val="002F30E2"/>
    <w:rsid w:val="002F3A72"/>
    <w:rsid w:val="002F3B08"/>
    <w:rsid w:val="002F3B29"/>
    <w:rsid w:val="002F3B3D"/>
    <w:rsid w:val="002F3BE2"/>
    <w:rsid w:val="002F3E79"/>
    <w:rsid w:val="002F3EF3"/>
    <w:rsid w:val="002F41CB"/>
    <w:rsid w:val="002F4351"/>
    <w:rsid w:val="002F4519"/>
    <w:rsid w:val="002F45EE"/>
    <w:rsid w:val="002F4714"/>
    <w:rsid w:val="002F4776"/>
    <w:rsid w:val="002F4B8C"/>
    <w:rsid w:val="002F4BE5"/>
    <w:rsid w:val="002F4CF7"/>
    <w:rsid w:val="002F51C4"/>
    <w:rsid w:val="002F51DB"/>
    <w:rsid w:val="002F5291"/>
    <w:rsid w:val="002F52EB"/>
    <w:rsid w:val="002F54CF"/>
    <w:rsid w:val="002F572A"/>
    <w:rsid w:val="002F59CD"/>
    <w:rsid w:val="002F5C0E"/>
    <w:rsid w:val="002F61F7"/>
    <w:rsid w:val="002F6206"/>
    <w:rsid w:val="002F650E"/>
    <w:rsid w:val="002F66D2"/>
    <w:rsid w:val="002F67E0"/>
    <w:rsid w:val="002F6939"/>
    <w:rsid w:val="002F6CA0"/>
    <w:rsid w:val="002F6E55"/>
    <w:rsid w:val="002F6F91"/>
    <w:rsid w:val="002F6FB3"/>
    <w:rsid w:val="002F728C"/>
    <w:rsid w:val="002F72AD"/>
    <w:rsid w:val="002F7336"/>
    <w:rsid w:val="002F7546"/>
    <w:rsid w:val="002F7616"/>
    <w:rsid w:val="002F7768"/>
    <w:rsid w:val="002F77A7"/>
    <w:rsid w:val="002F7B84"/>
    <w:rsid w:val="002F7BC4"/>
    <w:rsid w:val="002F7CAC"/>
    <w:rsid w:val="002F7CC0"/>
    <w:rsid w:val="002F7D4B"/>
    <w:rsid w:val="002F7E80"/>
    <w:rsid w:val="00300025"/>
    <w:rsid w:val="0030005A"/>
    <w:rsid w:val="00300258"/>
    <w:rsid w:val="003003EC"/>
    <w:rsid w:val="003004ED"/>
    <w:rsid w:val="003006A4"/>
    <w:rsid w:val="00300A60"/>
    <w:rsid w:val="00300A8C"/>
    <w:rsid w:val="00300C42"/>
    <w:rsid w:val="00301168"/>
    <w:rsid w:val="003016A2"/>
    <w:rsid w:val="0030182D"/>
    <w:rsid w:val="00301968"/>
    <w:rsid w:val="00301987"/>
    <w:rsid w:val="00301BC9"/>
    <w:rsid w:val="00301F6B"/>
    <w:rsid w:val="00302017"/>
    <w:rsid w:val="00302073"/>
    <w:rsid w:val="0030245C"/>
    <w:rsid w:val="00302600"/>
    <w:rsid w:val="003029B7"/>
    <w:rsid w:val="003029E6"/>
    <w:rsid w:val="00302AF9"/>
    <w:rsid w:val="00302BEC"/>
    <w:rsid w:val="00302C6F"/>
    <w:rsid w:val="00302D7D"/>
    <w:rsid w:val="00302E2C"/>
    <w:rsid w:val="00302F80"/>
    <w:rsid w:val="0030334B"/>
    <w:rsid w:val="00303470"/>
    <w:rsid w:val="00303474"/>
    <w:rsid w:val="003034DE"/>
    <w:rsid w:val="0030361D"/>
    <w:rsid w:val="00303950"/>
    <w:rsid w:val="00303DDD"/>
    <w:rsid w:val="00303E6A"/>
    <w:rsid w:val="00303EB9"/>
    <w:rsid w:val="00304385"/>
    <w:rsid w:val="003044BE"/>
    <w:rsid w:val="00304998"/>
    <w:rsid w:val="00304B70"/>
    <w:rsid w:val="00304F2E"/>
    <w:rsid w:val="0030519A"/>
    <w:rsid w:val="003052C9"/>
    <w:rsid w:val="003057C0"/>
    <w:rsid w:val="003058A2"/>
    <w:rsid w:val="00305925"/>
    <w:rsid w:val="00305D5C"/>
    <w:rsid w:val="00306381"/>
    <w:rsid w:val="003065FC"/>
    <w:rsid w:val="0030662E"/>
    <w:rsid w:val="0030668E"/>
    <w:rsid w:val="00306696"/>
    <w:rsid w:val="00306952"/>
    <w:rsid w:val="00306A0B"/>
    <w:rsid w:val="00306B3E"/>
    <w:rsid w:val="00306C06"/>
    <w:rsid w:val="00306C3B"/>
    <w:rsid w:val="00306D13"/>
    <w:rsid w:val="00306DD6"/>
    <w:rsid w:val="00306DDF"/>
    <w:rsid w:val="00306E06"/>
    <w:rsid w:val="003071AC"/>
    <w:rsid w:val="00307398"/>
    <w:rsid w:val="003074A3"/>
    <w:rsid w:val="00307790"/>
    <w:rsid w:val="00307791"/>
    <w:rsid w:val="00307BDC"/>
    <w:rsid w:val="00307D2C"/>
    <w:rsid w:val="0031019E"/>
    <w:rsid w:val="003101AD"/>
    <w:rsid w:val="00310481"/>
    <w:rsid w:val="003104F7"/>
    <w:rsid w:val="003106EC"/>
    <w:rsid w:val="00310784"/>
    <w:rsid w:val="0031097A"/>
    <w:rsid w:val="00310B55"/>
    <w:rsid w:val="00310C77"/>
    <w:rsid w:val="00310E63"/>
    <w:rsid w:val="00310EC2"/>
    <w:rsid w:val="003113C3"/>
    <w:rsid w:val="00311487"/>
    <w:rsid w:val="0031165D"/>
    <w:rsid w:val="00311886"/>
    <w:rsid w:val="0031199B"/>
    <w:rsid w:val="00311A62"/>
    <w:rsid w:val="00311BC9"/>
    <w:rsid w:val="00311D5C"/>
    <w:rsid w:val="003120A1"/>
    <w:rsid w:val="00312241"/>
    <w:rsid w:val="003122AD"/>
    <w:rsid w:val="00312399"/>
    <w:rsid w:val="00312437"/>
    <w:rsid w:val="00312462"/>
    <w:rsid w:val="003125CE"/>
    <w:rsid w:val="003129DB"/>
    <w:rsid w:val="00312D77"/>
    <w:rsid w:val="00313298"/>
    <w:rsid w:val="003133C7"/>
    <w:rsid w:val="00313536"/>
    <w:rsid w:val="0031353B"/>
    <w:rsid w:val="00313551"/>
    <w:rsid w:val="00313566"/>
    <w:rsid w:val="0031365B"/>
    <w:rsid w:val="00313937"/>
    <w:rsid w:val="00313D80"/>
    <w:rsid w:val="00313EC2"/>
    <w:rsid w:val="00313F50"/>
    <w:rsid w:val="00313FD3"/>
    <w:rsid w:val="0031404B"/>
    <w:rsid w:val="00314184"/>
    <w:rsid w:val="003143AA"/>
    <w:rsid w:val="00314665"/>
    <w:rsid w:val="00314AED"/>
    <w:rsid w:val="00315065"/>
    <w:rsid w:val="0031519D"/>
    <w:rsid w:val="003151AF"/>
    <w:rsid w:val="003152FC"/>
    <w:rsid w:val="003153C9"/>
    <w:rsid w:val="003153D5"/>
    <w:rsid w:val="003156A2"/>
    <w:rsid w:val="00315B25"/>
    <w:rsid w:val="00315B74"/>
    <w:rsid w:val="00315F56"/>
    <w:rsid w:val="00316133"/>
    <w:rsid w:val="003161E2"/>
    <w:rsid w:val="003164B0"/>
    <w:rsid w:val="003164ED"/>
    <w:rsid w:val="00316619"/>
    <w:rsid w:val="0031662F"/>
    <w:rsid w:val="0031666C"/>
    <w:rsid w:val="00316840"/>
    <w:rsid w:val="00316887"/>
    <w:rsid w:val="003169E2"/>
    <w:rsid w:val="00316AE4"/>
    <w:rsid w:val="00316BD8"/>
    <w:rsid w:val="00316D0C"/>
    <w:rsid w:val="00316EC4"/>
    <w:rsid w:val="00316ED4"/>
    <w:rsid w:val="0031732F"/>
    <w:rsid w:val="0031758B"/>
    <w:rsid w:val="003176BF"/>
    <w:rsid w:val="00317709"/>
    <w:rsid w:val="00317963"/>
    <w:rsid w:val="003179E3"/>
    <w:rsid w:val="00317A54"/>
    <w:rsid w:val="00317ADC"/>
    <w:rsid w:val="00317BA9"/>
    <w:rsid w:val="00317C75"/>
    <w:rsid w:val="00317D05"/>
    <w:rsid w:val="00317DA0"/>
    <w:rsid w:val="00317FC2"/>
    <w:rsid w:val="00317FE2"/>
    <w:rsid w:val="00320257"/>
    <w:rsid w:val="0032027E"/>
    <w:rsid w:val="003206BA"/>
    <w:rsid w:val="00320869"/>
    <w:rsid w:val="00320A29"/>
    <w:rsid w:val="00320AEF"/>
    <w:rsid w:val="00320C00"/>
    <w:rsid w:val="00320D33"/>
    <w:rsid w:val="00321186"/>
    <w:rsid w:val="00321431"/>
    <w:rsid w:val="00321680"/>
    <w:rsid w:val="003219B7"/>
    <w:rsid w:val="00321A56"/>
    <w:rsid w:val="00321AC2"/>
    <w:rsid w:val="00321C9B"/>
    <w:rsid w:val="00321D1B"/>
    <w:rsid w:val="00321D58"/>
    <w:rsid w:val="00321D97"/>
    <w:rsid w:val="00321EC8"/>
    <w:rsid w:val="00321F5A"/>
    <w:rsid w:val="00322111"/>
    <w:rsid w:val="0032223A"/>
    <w:rsid w:val="00322413"/>
    <w:rsid w:val="0032242B"/>
    <w:rsid w:val="0032242F"/>
    <w:rsid w:val="003225F9"/>
    <w:rsid w:val="0032270E"/>
    <w:rsid w:val="003227FE"/>
    <w:rsid w:val="00322A3C"/>
    <w:rsid w:val="00322BE7"/>
    <w:rsid w:val="00322C42"/>
    <w:rsid w:val="00322D09"/>
    <w:rsid w:val="00322D59"/>
    <w:rsid w:val="00322E52"/>
    <w:rsid w:val="00322E58"/>
    <w:rsid w:val="00322EC0"/>
    <w:rsid w:val="00322EFE"/>
    <w:rsid w:val="003231E5"/>
    <w:rsid w:val="00323320"/>
    <w:rsid w:val="003234D6"/>
    <w:rsid w:val="0032356F"/>
    <w:rsid w:val="00323809"/>
    <w:rsid w:val="00323873"/>
    <w:rsid w:val="00323A5B"/>
    <w:rsid w:val="00323A93"/>
    <w:rsid w:val="00323C7E"/>
    <w:rsid w:val="00324158"/>
    <w:rsid w:val="00324C5A"/>
    <w:rsid w:val="00324D57"/>
    <w:rsid w:val="00324D8E"/>
    <w:rsid w:val="00324EED"/>
    <w:rsid w:val="00324FFA"/>
    <w:rsid w:val="0032530D"/>
    <w:rsid w:val="0032531F"/>
    <w:rsid w:val="00325719"/>
    <w:rsid w:val="0032585F"/>
    <w:rsid w:val="00325AC1"/>
    <w:rsid w:val="00325BE8"/>
    <w:rsid w:val="00325C13"/>
    <w:rsid w:val="003260D1"/>
    <w:rsid w:val="0032644D"/>
    <w:rsid w:val="00326506"/>
    <w:rsid w:val="00326701"/>
    <w:rsid w:val="00326895"/>
    <w:rsid w:val="003268B8"/>
    <w:rsid w:val="00326B4A"/>
    <w:rsid w:val="00326B76"/>
    <w:rsid w:val="00326C61"/>
    <w:rsid w:val="00326F3A"/>
    <w:rsid w:val="0032707D"/>
    <w:rsid w:val="00327177"/>
    <w:rsid w:val="003272D2"/>
    <w:rsid w:val="00327437"/>
    <w:rsid w:val="003276EC"/>
    <w:rsid w:val="00327832"/>
    <w:rsid w:val="00327981"/>
    <w:rsid w:val="0032799C"/>
    <w:rsid w:val="00327A76"/>
    <w:rsid w:val="00327AAF"/>
    <w:rsid w:val="00327DAD"/>
    <w:rsid w:val="00330116"/>
    <w:rsid w:val="003301D7"/>
    <w:rsid w:val="00330336"/>
    <w:rsid w:val="00330495"/>
    <w:rsid w:val="0033054D"/>
    <w:rsid w:val="00330555"/>
    <w:rsid w:val="00330713"/>
    <w:rsid w:val="003307CC"/>
    <w:rsid w:val="003308BE"/>
    <w:rsid w:val="00330AF5"/>
    <w:rsid w:val="00330B4A"/>
    <w:rsid w:val="00330BB6"/>
    <w:rsid w:val="00330D22"/>
    <w:rsid w:val="00330F06"/>
    <w:rsid w:val="00330F16"/>
    <w:rsid w:val="003310B5"/>
    <w:rsid w:val="003311D5"/>
    <w:rsid w:val="003312FA"/>
    <w:rsid w:val="00331666"/>
    <w:rsid w:val="0033169C"/>
    <w:rsid w:val="003317A5"/>
    <w:rsid w:val="00331937"/>
    <w:rsid w:val="003319D4"/>
    <w:rsid w:val="00331AB0"/>
    <w:rsid w:val="00331D00"/>
    <w:rsid w:val="00331D2E"/>
    <w:rsid w:val="00331E11"/>
    <w:rsid w:val="00331F90"/>
    <w:rsid w:val="00332124"/>
    <w:rsid w:val="00332133"/>
    <w:rsid w:val="003321E5"/>
    <w:rsid w:val="003321F2"/>
    <w:rsid w:val="0033222F"/>
    <w:rsid w:val="00332364"/>
    <w:rsid w:val="003323DC"/>
    <w:rsid w:val="0033253E"/>
    <w:rsid w:val="0033264A"/>
    <w:rsid w:val="00332BFB"/>
    <w:rsid w:val="00332EAB"/>
    <w:rsid w:val="00332F7C"/>
    <w:rsid w:val="00333188"/>
    <w:rsid w:val="00333199"/>
    <w:rsid w:val="003333C2"/>
    <w:rsid w:val="00333573"/>
    <w:rsid w:val="00333652"/>
    <w:rsid w:val="003339B5"/>
    <w:rsid w:val="00333A06"/>
    <w:rsid w:val="00333CA6"/>
    <w:rsid w:val="00333D01"/>
    <w:rsid w:val="00333E01"/>
    <w:rsid w:val="00333EE8"/>
    <w:rsid w:val="00333F9A"/>
    <w:rsid w:val="003345D0"/>
    <w:rsid w:val="00334888"/>
    <w:rsid w:val="00334A8A"/>
    <w:rsid w:val="00334B71"/>
    <w:rsid w:val="0033529E"/>
    <w:rsid w:val="003352A9"/>
    <w:rsid w:val="00335573"/>
    <w:rsid w:val="0033567B"/>
    <w:rsid w:val="003356D2"/>
    <w:rsid w:val="0033589B"/>
    <w:rsid w:val="00335A9D"/>
    <w:rsid w:val="00335B96"/>
    <w:rsid w:val="00335C3F"/>
    <w:rsid w:val="00335E96"/>
    <w:rsid w:val="00335F50"/>
    <w:rsid w:val="003362B9"/>
    <w:rsid w:val="00336382"/>
    <w:rsid w:val="003366D8"/>
    <w:rsid w:val="00336C0D"/>
    <w:rsid w:val="00336CCF"/>
    <w:rsid w:val="00337147"/>
    <w:rsid w:val="003372CB"/>
    <w:rsid w:val="00337366"/>
    <w:rsid w:val="0033793C"/>
    <w:rsid w:val="00337A3E"/>
    <w:rsid w:val="00337CB1"/>
    <w:rsid w:val="00337DEA"/>
    <w:rsid w:val="00337E54"/>
    <w:rsid w:val="00337EF6"/>
    <w:rsid w:val="00340059"/>
    <w:rsid w:val="00340247"/>
    <w:rsid w:val="003403A9"/>
    <w:rsid w:val="00340463"/>
    <w:rsid w:val="00340619"/>
    <w:rsid w:val="003408BF"/>
    <w:rsid w:val="003408C5"/>
    <w:rsid w:val="003408FA"/>
    <w:rsid w:val="00340A68"/>
    <w:rsid w:val="00340A84"/>
    <w:rsid w:val="00340AF0"/>
    <w:rsid w:val="00340BB5"/>
    <w:rsid w:val="00340C4D"/>
    <w:rsid w:val="00340CD7"/>
    <w:rsid w:val="00340DE2"/>
    <w:rsid w:val="00340F85"/>
    <w:rsid w:val="00341094"/>
    <w:rsid w:val="003410F3"/>
    <w:rsid w:val="00341118"/>
    <w:rsid w:val="003411C6"/>
    <w:rsid w:val="003413F8"/>
    <w:rsid w:val="00341523"/>
    <w:rsid w:val="00341538"/>
    <w:rsid w:val="003415D9"/>
    <w:rsid w:val="003416E5"/>
    <w:rsid w:val="00341B9D"/>
    <w:rsid w:val="00341C2C"/>
    <w:rsid w:val="00341E20"/>
    <w:rsid w:val="00341FAA"/>
    <w:rsid w:val="00341FEE"/>
    <w:rsid w:val="0034200B"/>
    <w:rsid w:val="00342097"/>
    <w:rsid w:val="0034216A"/>
    <w:rsid w:val="00342420"/>
    <w:rsid w:val="00342470"/>
    <w:rsid w:val="003425D4"/>
    <w:rsid w:val="0034261F"/>
    <w:rsid w:val="00342666"/>
    <w:rsid w:val="003427EF"/>
    <w:rsid w:val="003429C5"/>
    <w:rsid w:val="00342A55"/>
    <w:rsid w:val="00342E72"/>
    <w:rsid w:val="00342FCA"/>
    <w:rsid w:val="00343587"/>
    <w:rsid w:val="003438EA"/>
    <w:rsid w:val="00343AF6"/>
    <w:rsid w:val="00343DAE"/>
    <w:rsid w:val="00343EC3"/>
    <w:rsid w:val="00343F0A"/>
    <w:rsid w:val="0034435E"/>
    <w:rsid w:val="003443F0"/>
    <w:rsid w:val="00344413"/>
    <w:rsid w:val="00344480"/>
    <w:rsid w:val="0034456F"/>
    <w:rsid w:val="00344717"/>
    <w:rsid w:val="00344A13"/>
    <w:rsid w:val="00344A8F"/>
    <w:rsid w:val="00344B7F"/>
    <w:rsid w:val="00344BD4"/>
    <w:rsid w:val="00344C8B"/>
    <w:rsid w:val="00344CD5"/>
    <w:rsid w:val="00344D78"/>
    <w:rsid w:val="00344E02"/>
    <w:rsid w:val="0034520B"/>
    <w:rsid w:val="00345292"/>
    <w:rsid w:val="00345298"/>
    <w:rsid w:val="00345468"/>
    <w:rsid w:val="00345663"/>
    <w:rsid w:val="00345BE3"/>
    <w:rsid w:val="00345D7C"/>
    <w:rsid w:val="00345E12"/>
    <w:rsid w:val="00345EE4"/>
    <w:rsid w:val="00345F61"/>
    <w:rsid w:val="003463A6"/>
    <w:rsid w:val="0034645E"/>
    <w:rsid w:val="003464AE"/>
    <w:rsid w:val="0034683E"/>
    <w:rsid w:val="0034687C"/>
    <w:rsid w:val="00346CA7"/>
    <w:rsid w:val="00346F93"/>
    <w:rsid w:val="00346FBE"/>
    <w:rsid w:val="00347021"/>
    <w:rsid w:val="00347122"/>
    <w:rsid w:val="003473A4"/>
    <w:rsid w:val="003474F4"/>
    <w:rsid w:val="0034764D"/>
    <w:rsid w:val="00347887"/>
    <w:rsid w:val="00347A7D"/>
    <w:rsid w:val="00347B30"/>
    <w:rsid w:val="00347B51"/>
    <w:rsid w:val="00347CA4"/>
    <w:rsid w:val="00347CA6"/>
    <w:rsid w:val="00347E6E"/>
    <w:rsid w:val="00347EC5"/>
    <w:rsid w:val="00347F28"/>
    <w:rsid w:val="00350177"/>
    <w:rsid w:val="003502BD"/>
    <w:rsid w:val="00350616"/>
    <w:rsid w:val="00350632"/>
    <w:rsid w:val="0035064C"/>
    <w:rsid w:val="00350756"/>
    <w:rsid w:val="003507B1"/>
    <w:rsid w:val="00350AEA"/>
    <w:rsid w:val="00350C47"/>
    <w:rsid w:val="00350D1D"/>
    <w:rsid w:val="00350E2B"/>
    <w:rsid w:val="00350F97"/>
    <w:rsid w:val="00351629"/>
    <w:rsid w:val="0035184A"/>
    <w:rsid w:val="0035210F"/>
    <w:rsid w:val="0035212E"/>
    <w:rsid w:val="0035270C"/>
    <w:rsid w:val="00352715"/>
    <w:rsid w:val="003527AF"/>
    <w:rsid w:val="003527BD"/>
    <w:rsid w:val="003528F5"/>
    <w:rsid w:val="00352924"/>
    <w:rsid w:val="00352BDA"/>
    <w:rsid w:val="00352D4F"/>
    <w:rsid w:val="00352F72"/>
    <w:rsid w:val="00353112"/>
    <w:rsid w:val="00353146"/>
    <w:rsid w:val="0035334F"/>
    <w:rsid w:val="00353387"/>
    <w:rsid w:val="00353C8B"/>
    <w:rsid w:val="00353D7A"/>
    <w:rsid w:val="00353EBB"/>
    <w:rsid w:val="00353F02"/>
    <w:rsid w:val="00354123"/>
    <w:rsid w:val="00354218"/>
    <w:rsid w:val="0035470A"/>
    <w:rsid w:val="003549FD"/>
    <w:rsid w:val="00354A56"/>
    <w:rsid w:val="00354D1A"/>
    <w:rsid w:val="00354E16"/>
    <w:rsid w:val="00354F4F"/>
    <w:rsid w:val="00354F6C"/>
    <w:rsid w:val="0035561B"/>
    <w:rsid w:val="00355653"/>
    <w:rsid w:val="00355671"/>
    <w:rsid w:val="00355785"/>
    <w:rsid w:val="00355905"/>
    <w:rsid w:val="00355CC2"/>
    <w:rsid w:val="00355CEC"/>
    <w:rsid w:val="00355D24"/>
    <w:rsid w:val="00355D8E"/>
    <w:rsid w:val="00355F7B"/>
    <w:rsid w:val="0035613D"/>
    <w:rsid w:val="00356424"/>
    <w:rsid w:val="003564F7"/>
    <w:rsid w:val="003566A8"/>
    <w:rsid w:val="00356794"/>
    <w:rsid w:val="0035682D"/>
    <w:rsid w:val="0035692B"/>
    <w:rsid w:val="0035693C"/>
    <w:rsid w:val="00357142"/>
    <w:rsid w:val="00357372"/>
    <w:rsid w:val="003573B4"/>
    <w:rsid w:val="003573E7"/>
    <w:rsid w:val="003573FD"/>
    <w:rsid w:val="003575B2"/>
    <w:rsid w:val="0035763C"/>
    <w:rsid w:val="00357758"/>
    <w:rsid w:val="00357B0D"/>
    <w:rsid w:val="00357C10"/>
    <w:rsid w:val="00357C1B"/>
    <w:rsid w:val="00357C7A"/>
    <w:rsid w:val="00357D32"/>
    <w:rsid w:val="00357DC5"/>
    <w:rsid w:val="00357E15"/>
    <w:rsid w:val="00357FB5"/>
    <w:rsid w:val="003601E1"/>
    <w:rsid w:val="0036032D"/>
    <w:rsid w:val="003604E1"/>
    <w:rsid w:val="00360519"/>
    <w:rsid w:val="00360596"/>
    <w:rsid w:val="003606C8"/>
    <w:rsid w:val="003606F8"/>
    <w:rsid w:val="00360861"/>
    <w:rsid w:val="003608A6"/>
    <w:rsid w:val="00360D23"/>
    <w:rsid w:val="00360E30"/>
    <w:rsid w:val="003610F3"/>
    <w:rsid w:val="003614B8"/>
    <w:rsid w:val="00361585"/>
    <w:rsid w:val="0036170A"/>
    <w:rsid w:val="003618ED"/>
    <w:rsid w:val="00361C6C"/>
    <w:rsid w:val="00361DDC"/>
    <w:rsid w:val="003621E6"/>
    <w:rsid w:val="00362272"/>
    <w:rsid w:val="003623C5"/>
    <w:rsid w:val="00362BB1"/>
    <w:rsid w:val="00362C1B"/>
    <w:rsid w:val="00362D27"/>
    <w:rsid w:val="00362E0B"/>
    <w:rsid w:val="00362FAE"/>
    <w:rsid w:val="003633FF"/>
    <w:rsid w:val="00363602"/>
    <w:rsid w:val="00363853"/>
    <w:rsid w:val="0036435F"/>
    <w:rsid w:val="003647A2"/>
    <w:rsid w:val="0036483C"/>
    <w:rsid w:val="00364CD6"/>
    <w:rsid w:val="00364E10"/>
    <w:rsid w:val="00365038"/>
    <w:rsid w:val="003651C1"/>
    <w:rsid w:val="00365B58"/>
    <w:rsid w:val="00365D8B"/>
    <w:rsid w:val="00365E81"/>
    <w:rsid w:val="00365F56"/>
    <w:rsid w:val="003663CA"/>
    <w:rsid w:val="00366C1E"/>
    <w:rsid w:val="0036725E"/>
    <w:rsid w:val="00367397"/>
    <w:rsid w:val="003673C9"/>
    <w:rsid w:val="003674A5"/>
    <w:rsid w:val="00367574"/>
    <w:rsid w:val="003675E0"/>
    <w:rsid w:val="0036763B"/>
    <w:rsid w:val="00367836"/>
    <w:rsid w:val="00367A41"/>
    <w:rsid w:val="00367B0B"/>
    <w:rsid w:val="00367B28"/>
    <w:rsid w:val="00367B5E"/>
    <w:rsid w:val="00367D59"/>
    <w:rsid w:val="00367D72"/>
    <w:rsid w:val="00367DB1"/>
    <w:rsid w:val="00367F9C"/>
    <w:rsid w:val="00370136"/>
    <w:rsid w:val="003702FC"/>
    <w:rsid w:val="00370509"/>
    <w:rsid w:val="00370556"/>
    <w:rsid w:val="0037059D"/>
    <w:rsid w:val="0037067F"/>
    <w:rsid w:val="00370861"/>
    <w:rsid w:val="003708DD"/>
    <w:rsid w:val="00370DCC"/>
    <w:rsid w:val="00370F68"/>
    <w:rsid w:val="0037117B"/>
    <w:rsid w:val="00371316"/>
    <w:rsid w:val="0037133E"/>
    <w:rsid w:val="003713EA"/>
    <w:rsid w:val="00371685"/>
    <w:rsid w:val="003716F3"/>
    <w:rsid w:val="00371C7D"/>
    <w:rsid w:val="00371DE1"/>
    <w:rsid w:val="00371E55"/>
    <w:rsid w:val="003720A1"/>
    <w:rsid w:val="00372156"/>
    <w:rsid w:val="00372386"/>
    <w:rsid w:val="003723A7"/>
    <w:rsid w:val="0037257D"/>
    <w:rsid w:val="003727F3"/>
    <w:rsid w:val="00372D8B"/>
    <w:rsid w:val="003731E7"/>
    <w:rsid w:val="0037385D"/>
    <w:rsid w:val="003739DF"/>
    <w:rsid w:val="00373A2A"/>
    <w:rsid w:val="00373A5B"/>
    <w:rsid w:val="00373A61"/>
    <w:rsid w:val="00373E17"/>
    <w:rsid w:val="00374144"/>
    <w:rsid w:val="00374400"/>
    <w:rsid w:val="00374489"/>
    <w:rsid w:val="003747CD"/>
    <w:rsid w:val="0037496B"/>
    <w:rsid w:val="003749CD"/>
    <w:rsid w:val="00374E69"/>
    <w:rsid w:val="00374E71"/>
    <w:rsid w:val="00374F6B"/>
    <w:rsid w:val="00374FCE"/>
    <w:rsid w:val="0037534E"/>
    <w:rsid w:val="00375728"/>
    <w:rsid w:val="00375834"/>
    <w:rsid w:val="00375881"/>
    <w:rsid w:val="00375C97"/>
    <w:rsid w:val="00375E08"/>
    <w:rsid w:val="003763FF"/>
    <w:rsid w:val="0037658B"/>
    <w:rsid w:val="00376632"/>
    <w:rsid w:val="003766B8"/>
    <w:rsid w:val="00376876"/>
    <w:rsid w:val="0037688C"/>
    <w:rsid w:val="00376890"/>
    <w:rsid w:val="00376A8C"/>
    <w:rsid w:val="00376CAB"/>
    <w:rsid w:val="00377382"/>
    <w:rsid w:val="00377398"/>
    <w:rsid w:val="003773EA"/>
    <w:rsid w:val="0037758B"/>
    <w:rsid w:val="003778CE"/>
    <w:rsid w:val="00377A26"/>
    <w:rsid w:val="00377AE5"/>
    <w:rsid w:val="00377BCB"/>
    <w:rsid w:val="0038007A"/>
    <w:rsid w:val="003801A7"/>
    <w:rsid w:val="0038052D"/>
    <w:rsid w:val="00380532"/>
    <w:rsid w:val="00380673"/>
    <w:rsid w:val="0038072D"/>
    <w:rsid w:val="00380ABD"/>
    <w:rsid w:val="00380AFA"/>
    <w:rsid w:val="00380BF3"/>
    <w:rsid w:val="00380E54"/>
    <w:rsid w:val="00380FF4"/>
    <w:rsid w:val="00381143"/>
    <w:rsid w:val="00381487"/>
    <w:rsid w:val="0038157B"/>
    <w:rsid w:val="0038167E"/>
    <w:rsid w:val="0038168A"/>
    <w:rsid w:val="003817F8"/>
    <w:rsid w:val="003818A0"/>
    <w:rsid w:val="003819B5"/>
    <w:rsid w:val="00381CC0"/>
    <w:rsid w:val="00381D53"/>
    <w:rsid w:val="00381E38"/>
    <w:rsid w:val="003820FD"/>
    <w:rsid w:val="00382287"/>
    <w:rsid w:val="003823C2"/>
    <w:rsid w:val="00382672"/>
    <w:rsid w:val="00382755"/>
    <w:rsid w:val="00382843"/>
    <w:rsid w:val="003828EA"/>
    <w:rsid w:val="00382C45"/>
    <w:rsid w:val="00382CED"/>
    <w:rsid w:val="00382E14"/>
    <w:rsid w:val="00382FB5"/>
    <w:rsid w:val="00382FDA"/>
    <w:rsid w:val="00382FDD"/>
    <w:rsid w:val="00383039"/>
    <w:rsid w:val="0038329C"/>
    <w:rsid w:val="003832F6"/>
    <w:rsid w:val="003833CE"/>
    <w:rsid w:val="0038340B"/>
    <w:rsid w:val="0038350C"/>
    <w:rsid w:val="0038365A"/>
    <w:rsid w:val="003836EB"/>
    <w:rsid w:val="00383781"/>
    <w:rsid w:val="0038396F"/>
    <w:rsid w:val="00383972"/>
    <w:rsid w:val="00383CCA"/>
    <w:rsid w:val="00383D54"/>
    <w:rsid w:val="00383E40"/>
    <w:rsid w:val="00383E71"/>
    <w:rsid w:val="00383FFB"/>
    <w:rsid w:val="00384078"/>
    <w:rsid w:val="0038467B"/>
    <w:rsid w:val="003846F1"/>
    <w:rsid w:val="0038470D"/>
    <w:rsid w:val="00384799"/>
    <w:rsid w:val="00384A7B"/>
    <w:rsid w:val="00384B46"/>
    <w:rsid w:val="00384E54"/>
    <w:rsid w:val="00384EAA"/>
    <w:rsid w:val="00385002"/>
    <w:rsid w:val="0038520C"/>
    <w:rsid w:val="00385294"/>
    <w:rsid w:val="003854D5"/>
    <w:rsid w:val="00385BB5"/>
    <w:rsid w:val="00385BD7"/>
    <w:rsid w:val="003861AA"/>
    <w:rsid w:val="00386509"/>
    <w:rsid w:val="00386601"/>
    <w:rsid w:val="0038663D"/>
    <w:rsid w:val="003866B3"/>
    <w:rsid w:val="00386790"/>
    <w:rsid w:val="00386AD5"/>
    <w:rsid w:val="00386AE2"/>
    <w:rsid w:val="003878B8"/>
    <w:rsid w:val="00387917"/>
    <w:rsid w:val="00387AAB"/>
    <w:rsid w:val="00387ACC"/>
    <w:rsid w:val="00390293"/>
    <w:rsid w:val="003903A3"/>
    <w:rsid w:val="0039048F"/>
    <w:rsid w:val="00390511"/>
    <w:rsid w:val="0039054F"/>
    <w:rsid w:val="003907C4"/>
    <w:rsid w:val="00390881"/>
    <w:rsid w:val="0039094B"/>
    <w:rsid w:val="00390981"/>
    <w:rsid w:val="00390AB8"/>
    <w:rsid w:val="00390AF4"/>
    <w:rsid w:val="00390BC6"/>
    <w:rsid w:val="00390C1F"/>
    <w:rsid w:val="00390DD4"/>
    <w:rsid w:val="003912C1"/>
    <w:rsid w:val="00391361"/>
    <w:rsid w:val="0039146F"/>
    <w:rsid w:val="00391509"/>
    <w:rsid w:val="00391659"/>
    <w:rsid w:val="00391676"/>
    <w:rsid w:val="003916BE"/>
    <w:rsid w:val="003916D9"/>
    <w:rsid w:val="003916E6"/>
    <w:rsid w:val="00391748"/>
    <w:rsid w:val="00391992"/>
    <w:rsid w:val="00391A20"/>
    <w:rsid w:val="00391AA6"/>
    <w:rsid w:val="00391AE5"/>
    <w:rsid w:val="00391B1D"/>
    <w:rsid w:val="00391B92"/>
    <w:rsid w:val="00391BA6"/>
    <w:rsid w:val="00391CDF"/>
    <w:rsid w:val="00391F5C"/>
    <w:rsid w:val="00392174"/>
    <w:rsid w:val="00392425"/>
    <w:rsid w:val="00392478"/>
    <w:rsid w:val="0039276E"/>
    <w:rsid w:val="00392817"/>
    <w:rsid w:val="00392A72"/>
    <w:rsid w:val="00392B5F"/>
    <w:rsid w:val="00392B9F"/>
    <w:rsid w:val="00392E2A"/>
    <w:rsid w:val="003933E0"/>
    <w:rsid w:val="0039341D"/>
    <w:rsid w:val="00393469"/>
    <w:rsid w:val="0039358C"/>
    <w:rsid w:val="003935AF"/>
    <w:rsid w:val="003937C4"/>
    <w:rsid w:val="00393D6A"/>
    <w:rsid w:val="00393E69"/>
    <w:rsid w:val="00394061"/>
    <w:rsid w:val="003940CE"/>
    <w:rsid w:val="00394482"/>
    <w:rsid w:val="00394493"/>
    <w:rsid w:val="00394635"/>
    <w:rsid w:val="0039466D"/>
    <w:rsid w:val="00394A59"/>
    <w:rsid w:val="00394C20"/>
    <w:rsid w:val="00394CD9"/>
    <w:rsid w:val="00394DCF"/>
    <w:rsid w:val="00394F64"/>
    <w:rsid w:val="00394FFA"/>
    <w:rsid w:val="0039510A"/>
    <w:rsid w:val="003952A6"/>
    <w:rsid w:val="0039531B"/>
    <w:rsid w:val="003953E9"/>
    <w:rsid w:val="0039549C"/>
    <w:rsid w:val="00395650"/>
    <w:rsid w:val="00395743"/>
    <w:rsid w:val="00395751"/>
    <w:rsid w:val="00395775"/>
    <w:rsid w:val="0039579E"/>
    <w:rsid w:val="003957CD"/>
    <w:rsid w:val="00395979"/>
    <w:rsid w:val="0039597E"/>
    <w:rsid w:val="00395A00"/>
    <w:rsid w:val="00395ACE"/>
    <w:rsid w:val="00395B8A"/>
    <w:rsid w:val="00395BD7"/>
    <w:rsid w:val="00395C37"/>
    <w:rsid w:val="003960AE"/>
    <w:rsid w:val="003960D2"/>
    <w:rsid w:val="0039627B"/>
    <w:rsid w:val="0039645F"/>
    <w:rsid w:val="00396579"/>
    <w:rsid w:val="0039674E"/>
    <w:rsid w:val="0039684E"/>
    <w:rsid w:val="00396982"/>
    <w:rsid w:val="00396A4A"/>
    <w:rsid w:val="00396A5C"/>
    <w:rsid w:val="00396C5B"/>
    <w:rsid w:val="00396F92"/>
    <w:rsid w:val="003974B4"/>
    <w:rsid w:val="0039751E"/>
    <w:rsid w:val="00397657"/>
    <w:rsid w:val="00397695"/>
    <w:rsid w:val="003976A2"/>
    <w:rsid w:val="003979CA"/>
    <w:rsid w:val="00397A6B"/>
    <w:rsid w:val="00397A9C"/>
    <w:rsid w:val="00397D80"/>
    <w:rsid w:val="00397D9F"/>
    <w:rsid w:val="003A089B"/>
    <w:rsid w:val="003A0909"/>
    <w:rsid w:val="003A0C7A"/>
    <w:rsid w:val="003A0DEC"/>
    <w:rsid w:val="003A0FF7"/>
    <w:rsid w:val="003A103E"/>
    <w:rsid w:val="003A1136"/>
    <w:rsid w:val="003A1405"/>
    <w:rsid w:val="003A1570"/>
    <w:rsid w:val="003A15C5"/>
    <w:rsid w:val="003A176B"/>
    <w:rsid w:val="003A1775"/>
    <w:rsid w:val="003A17C3"/>
    <w:rsid w:val="003A190D"/>
    <w:rsid w:val="003A1A92"/>
    <w:rsid w:val="003A1E36"/>
    <w:rsid w:val="003A2078"/>
    <w:rsid w:val="003A2231"/>
    <w:rsid w:val="003A22BA"/>
    <w:rsid w:val="003A2451"/>
    <w:rsid w:val="003A2514"/>
    <w:rsid w:val="003A2787"/>
    <w:rsid w:val="003A2865"/>
    <w:rsid w:val="003A2A0D"/>
    <w:rsid w:val="003A2A36"/>
    <w:rsid w:val="003A2A47"/>
    <w:rsid w:val="003A2CD8"/>
    <w:rsid w:val="003A2D33"/>
    <w:rsid w:val="003A2D9F"/>
    <w:rsid w:val="003A321D"/>
    <w:rsid w:val="003A36A7"/>
    <w:rsid w:val="003A36EC"/>
    <w:rsid w:val="003A386B"/>
    <w:rsid w:val="003A39F6"/>
    <w:rsid w:val="003A3B77"/>
    <w:rsid w:val="003A3BC3"/>
    <w:rsid w:val="003A3E82"/>
    <w:rsid w:val="003A3F3B"/>
    <w:rsid w:val="003A4024"/>
    <w:rsid w:val="003A4339"/>
    <w:rsid w:val="003A436C"/>
    <w:rsid w:val="003A4393"/>
    <w:rsid w:val="003A4400"/>
    <w:rsid w:val="003A4BC4"/>
    <w:rsid w:val="003A4D4B"/>
    <w:rsid w:val="003A4E99"/>
    <w:rsid w:val="003A52D5"/>
    <w:rsid w:val="003A5478"/>
    <w:rsid w:val="003A558C"/>
    <w:rsid w:val="003A5628"/>
    <w:rsid w:val="003A570C"/>
    <w:rsid w:val="003A57A8"/>
    <w:rsid w:val="003A58F2"/>
    <w:rsid w:val="003A5F6E"/>
    <w:rsid w:val="003A6404"/>
    <w:rsid w:val="003A6546"/>
    <w:rsid w:val="003A65FE"/>
    <w:rsid w:val="003A66E5"/>
    <w:rsid w:val="003A69FA"/>
    <w:rsid w:val="003A6A12"/>
    <w:rsid w:val="003A6AAC"/>
    <w:rsid w:val="003A6C2D"/>
    <w:rsid w:val="003A6D52"/>
    <w:rsid w:val="003A7006"/>
    <w:rsid w:val="003A70E7"/>
    <w:rsid w:val="003A741B"/>
    <w:rsid w:val="003A75AD"/>
    <w:rsid w:val="003A7839"/>
    <w:rsid w:val="003A79AD"/>
    <w:rsid w:val="003A7BBE"/>
    <w:rsid w:val="003A7F31"/>
    <w:rsid w:val="003B039D"/>
    <w:rsid w:val="003B044E"/>
    <w:rsid w:val="003B06DC"/>
    <w:rsid w:val="003B074F"/>
    <w:rsid w:val="003B076A"/>
    <w:rsid w:val="003B0956"/>
    <w:rsid w:val="003B098C"/>
    <w:rsid w:val="003B09F0"/>
    <w:rsid w:val="003B0B24"/>
    <w:rsid w:val="003B0B29"/>
    <w:rsid w:val="003B0B4D"/>
    <w:rsid w:val="003B0D94"/>
    <w:rsid w:val="003B123E"/>
    <w:rsid w:val="003B14C5"/>
    <w:rsid w:val="003B1598"/>
    <w:rsid w:val="003B15FC"/>
    <w:rsid w:val="003B161E"/>
    <w:rsid w:val="003B1900"/>
    <w:rsid w:val="003B1D24"/>
    <w:rsid w:val="003B1EC6"/>
    <w:rsid w:val="003B212C"/>
    <w:rsid w:val="003B223F"/>
    <w:rsid w:val="003B23E1"/>
    <w:rsid w:val="003B256C"/>
    <w:rsid w:val="003B25F8"/>
    <w:rsid w:val="003B2675"/>
    <w:rsid w:val="003B2684"/>
    <w:rsid w:val="003B2777"/>
    <w:rsid w:val="003B2861"/>
    <w:rsid w:val="003B2AD5"/>
    <w:rsid w:val="003B2B6F"/>
    <w:rsid w:val="003B305A"/>
    <w:rsid w:val="003B33C0"/>
    <w:rsid w:val="003B3802"/>
    <w:rsid w:val="003B38EB"/>
    <w:rsid w:val="003B3B37"/>
    <w:rsid w:val="003B3B8E"/>
    <w:rsid w:val="003B3C3A"/>
    <w:rsid w:val="003B3D52"/>
    <w:rsid w:val="003B3D5D"/>
    <w:rsid w:val="003B3F1B"/>
    <w:rsid w:val="003B3FF2"/>
    <w:rsid w:val="003B41EE"/>
    <w:rsid w:val="003B44FF"/>
    <w:rsid w:val="003B45E2"/>
    <w:rsid w:val="003B49F4"/>
    <w:rsid w:val="003B4B04"/>
    <w:rsid w:val="003B4C3A"/>
    <w:rsid w:val="003B4CBB"/>
    <w:rsid w:val="003B5095"/>
    <w:rsid w:val="003B52D8"/>
    <w:rsid w:val="003B57CA"/>
    <w:rsid w:val="003B5805"/>
    <w:rsid w:val="003B5C7D"/>
    <w:rsid w:val="003B5E8C"/>
    <w:rsid w:val="003B5F24"/>
    <w:rsid w:val="003B614F"/>
    <w:rsid w:val="003B618D"/>
    <w:rsid w:val="003B6253"/>
    <w:rsid w:val="003B648A"/>
    <w:rsid w:val="003B6679"/>
    <w:rsid w:val="003B6855"/>
    <w:rsid w:val="003B689B"/>
    <w:rsid w:val="003B697A"/>
    <w:rsid w:val="003B69FB"/>
    <w:rsid w:val="003B6B2B"/>
    <w:rsid w:val="003B6CE4"/>
    <w:rsid w:val="003B6CED"/>
    <w:rsid w:val="003B6FD5"/>
    <w:rsid w:val="003B7170"/>
    <w:rsid w:val="003B731F"/>
    <w:rsid w:val="003B7529"/>
    <w:rsid w:val="003B7586"/>
    <w:rsid w:val="003B77F7"/>
    <w:rsid w:val="003B79E9"/>
    <w:rsid w:val="003B7B92"/>
    <w:rsid w:val="003B7BC1"/>
    <w:rsid w:val="003C0117"/>
    <w:rsid w:val="003C0123"/>
    <w:rsid w:val="003C016C"/>
    <w:rsid w:val="003C01A2"/>
    <w:rsid w:val="003C03EA"/>
    <w:rsid w:val="003C0563"/>
    <w:rsid w:val="003C0849"/>
    <w:rsid w:val="003C0C32"/>
    <w:rsid w:val="003C0E77"/>
    <w:rsid w:val="003C1413"/>
    <w:rsid w:val="003C1438"/>
    <w:rsid w:val="003C1465"/>
    <w:rsid w:val="003C15C1"/>
    <w:rsid w:val="003C1736"/>
    <w:rsid w:val="003C1750"/>
    <w:rsid w:val="003C1860"/>
    <w:rsid w:val="003C1870"/>
    <w:rsid w:val="003C188D"/>
    <w:rsid w:val="003C1AA5"/>
    <w:rsid w:val="003C1E30"/>
    <w:rsid w:val="003C2058"/>
    <w:rsid w:val="003C232A"/>
    <w:rsid w:val="003C2346"/>
    <w:rsid w:val="003C2484"/>
    <w:rsid w:val="003C24D5"/>
    <w:rsid w:val="003C26F3"/>
    <w:rsid w:val="003C274A"/>
    <w:rsid w:val="003C2792"/>
    <w:rsid w:val="003C2D37"/>
    <w:rsid w:val="003C2D75"/>
    <w:rsid w:val="003C2EAB"/>
    <w:rsid w:val="003C31A4"/>
    <w:rsid w:val="003C32A1"/>
    <w:rsid w:val="003C333B"/>
    <w:rsid w:val="003C33E8"/>
    <w:rsid w:val="003C34B2"/>
    <w:rsid w:val="003C34EB"/>
    <w:rsid w:val="003C3704"/>
    <w:rsid w:val="003C3747"/>
    <w:rsid w:val="003C386C"/>
    <w:rsid w:val="003C3D0B"/>
    <w:rsid w:val="003C3E0A"/>
    <w:rsid w:val="003C3FF1"/>
    <w:rsid w:val="003C4348"/>
    <w:rsid w:val="003C45B4"/>
    <w:rsid w:val="003C4766"/>
    <w:rsid w:val="003C478C"/>
    <w:rsid w:val="003C484C"/>
    <w:rsid w:val="003C48A4"/>
    <w:rsid w:val="003C49C2"/>
    <w:rsid w:val="003C4A3C"/>
    <w:rsid w:val="003C4A6D"/>
    <w:rsid w:val="003C4A79"/>
    <w:rsid w:val="003C4A8C"/>
    <w:rsid w:val="003C4D41"/>
    <w:rsid w:val="003C4EBE"/>
    <w:rsid w:val="003C5057"/>
    <w:rsid w:val="003C5607"/>
    <w:rsid w:val="003C564D"/>
    <w:rsid w:val="003C5788"/>
    <w:rsid w:val="003C58B8"/>
    <w:rsid w:val="003C5B60"/>
    <w:rsid w:val="003C5B75"/>
    <w:rsid w:val="003C5C57"/>
    <w:rsid w:val="003C5DEA"/>
    <w:rsid w:val="003C5E9E"/>
    <w:rsid w:val="003C5F2D"/>
    <w:rsid w:val="003C5FBA"/>
    <w:rsid w:val="003C60C7"/>
    <w:rsid w:val="003C623D"/>
    <w:rsid w:val="003C638A"/>
    <w:rsid w:val="003C6446"/>
    <w:rsid w:val="003C6730"/>
    <w:rsid w:val="003C673E"/>
    <w:rsid w:val="003C6AD1"/>
    <w:rsid w:val="003C6B3C"/>
    <w:rsid w:val="003C6B85"/>
    <w:rsid w:val="003C6B8D"/>
    <w:rsid w:val="003C6C5F"/>
    <w:rsid w:val="003C6DA7"/>
    <w:rsid w:val="003C70EA"/>
    <w:rsid w:val="003C7442"/>
    <w:rsid w:val="003C74FB"/>
    <w:rsid w:val="003C7718"/>
    <w:rsid w:val="003C7A35"/>
    <w:rsid w:val="003C7AF4"/>
    <w:rsid w:val="003C7C29"/>
    <w:rsid w:val="003C7D4F"/>
    <w:rsid w:val="003C7D6C"/>
    <w:rsid w:val="003C7DC6"/>
    <w:rsid w:val="003C7FA6"/>
    <w:rsid w:val="003D01AE"/>
    <w:rsid w:val="003D02B3"/>
    <w:rsid w:val="003D03E2"/>
    <w:rsid w:val="003D0B09"/>
    <w:rsid w:val="003D0CA7"/>
    <w:rsid w:val="003D0E79"/>
    <w:rsid w:val="003D0F66"/>
    <w:rsid w:val="003D105D"/>
    <w:rsid w:val="003D114D"/>
    <w:rsid w:val="003D118D"/>
    <w:rsid w:val="003D11E0"/>
    <w:rsid w:val="003D1277"/>
    <w:rsid w:val="003D12DA"/>
    <w:rsid w:val="003D151F"/>
    <w:rsid w:val="003D18E8"/>
    <w:rsid w:val="003D1971"/>
    <w:rsid w:val="003D19B5"/>
    <w:rsid w:val="003D1B57"/>
    <w:rsid w:val="003D1C00"/>
    <w:rsid w:val="003D1C18"/>
    <w:rsid w:val="003D1CD9"/>
    <w:rsid w:val="003D1CEF"/>
    <w:rsid w:val="003D1D74"/>
    <w:rsid w:val="003D2063"/>
    <w:rsid w:val="003D2581"/>
    <w:rsid w:val="003D28BB"/>
    <w:rsid w:val="003D2B15"/>
    <w:rsid w:val="003D2B1D"/>
    <w:rsid w:val="003D2B48"/>
    <w:rsid w:val="003D2F9C"/>
    <w:rsid w:val="003D3016"/>
    <w:rsid w:val="003D3286"/>
    <w:rsid w:val="003D331F"/>
    <w:rsid w:val="003D334F"/>
    <w:rsid w:val="003D3619"/>
    <w:rsid w:val="003D3795"/>
    <w:rsid w:val="003D37C8"/>
    <w:rsid w:val="003D3B42"/>
    <w:rsid w:val="003D3B46"/>
    <w:rsid w:val="003D3BAC"/>
    <w:rsid w:val="003D3BBC"/>
    <w:rsid w:val="003D3BDA"/>
    <w:rsid w:val="003D3C33"/>
    <w:rsid w:val="003D3C5B"/>
    <w:rsid w:val="003D3EF6"/>
    <w:rsid w:val="003D3F46"/>
    <w:rsid w:val="003D422A"/>
    <w:rsid w:val="003D4460"/>
    <w:rsid w:val="003D45EA"/>
    <w:rsid w:val="003D47E9"/>
    <w:rsid w:val="003D48D5"/>
    <w:rsid w:val="003D4C41"/>
    <w:rsid w:val="003D4E75"/>
    <w:rsid w:val="003D4E9F"/>
    <w:rsid w:val="003D4EBE"/>
    <w:rsid w:val="003D5469"/>
    <w:rsid w:val="003D5540"/>
    <w:rsid w:val="003D5761"/>
    <w:rsid w:val="003D5B6F"/>
    <w:rsid w:val="003D5BBC"/>
    <w:rsid w:val="003D5DC4"/>
    <w:rsid w:val="003D5F73"/>
    <w:rsid w:val="003D604C"/>
    <w:rsid w:val="003D6075"/>
    <w:rsid w:val="003D6104"/>
    <w:rsid w:val="003D612B"/>
    <w:rsid w:val="003D6278"/>
    <w:rsid w:val="003D6619"/>
    <w:rsid w:val="003D6BCF"/>
    <w:rsid w:val="003D6C16"/>
    <w:rsid w:val="003D7188"/>
    <w:rsid w:val="003D721A"/>
    <w:rsid w:val="003D72FF"/>
    <w:rsid w:val="003D7306"/>
    <w:rsid w:val="003D7373"/>
    <w:rsid w:val="003D740D"/>
    <w:rsid w:val="003D75CA"/>
    <w:rsid w:val="003D7743"/>
    <w:rsid w:val="003D778B"/>
    <w:rsid w:val="003D77BF"/>
    <w:rsid w:val="003D7A2C"/>
    <w:rsid w:val="003D7A5A"/>
    <w:rsid w:val="003D7B1D"/>
    <w:rsid w:val="003D7C07"/>
    <w:rsid w:val="003E0083"/>
    <w:rsid w:val="003E02F7"/>
    <w:rsid w:val="003E043D"/>
    <w:rsid w:val="003E0787"/>
    <w:rsid w:val="003E0870"/>
    <w:rsid w:val="003E0A6E"/>
    <w:rsid w:val="003E0AB7"/>
    <w:rsid w:val="003E0B4A"/>
    <w:rsid w:val="003E0C6E"/>
    <w:rsid w:val="003E0D38"/>
    <w:rsid w:val="003E1037"/>
    <w:rsid w:val="003E1137"/>
    <w:rsid w:val="003E1161"/>
    <w:rsid w:val="003E11BA"/>
    <w:rsid w:val="003E13B5"/>
    <w:rsid w:val="003E1820"/>
    <w:rsid w:val="003E19F7"/>
    <w:rsid w:val="003E1BE4"/>
    <w:rsid w:val="003E1C67"/>
    <w:rsid w:val="003E1C9A"/>
    <w:rsid w:val="003E1D31"/>
    <w:rsid w:val="003E1E40"/>
    <w:rsid w:val="003E2095"/>
    <w:rsid w:val="003E227C"/>
    <w:rsid w:val="003E2495"/>
    <w:rsid w:val="003E253D"/>
    <w:rsid w:val="003E27C4"/>
    <w:rsid w:val="003E2AE2"/>
    <w:rsid w:val="003E2B6E"/>
    <w:rsid w:val="003E2DD6"/>
    <w:rsid w:val="003E30D1"/>
    <w:rsid w:val="003E3105"/>
    <w:rsid w:val="003E35A8"/>
    <w:rsid w:val="003E37D9"/>
    <w:rsid w:val="003E3890"/>
    <w:rsid w:val="003E39A8"/>
    <w:rsid w:val="003E39AB"/>
    <w:rsid w:val="003E3A10"/>
    <w:rsid w:val="003E3D78"/>
    <w:rsid w:val="003E3E51"/>
    <w:rsid w:val="003E3ED6"/>
    <w:rsid w:val="003E3F10"/>
    <w:rsid w:val="003E3F82"/>
    <w:rsid w:val="003E401F"/>
    <w:rsid w:val="003E41A8"/>
    <w:rsid w:val="003E41F9"/>
    <w:rsid w:val="003E4634"/>
    <w:rsid w:val="003E485A"/>
    <w:rsid w:val="003E4872"/>
    <w:rsid w:val="003E49C9"/>
    <w:rsid w:val="003E4B5F"/>
    <w:rsid w:val="003E4D4E"/>
    <w:rsid w:val="003E4D5A"/>
    <w:rsid w:val="003E4ED2"/>
    <w:rsid w:val="003E4F1A"/>
    <w:rsid w:val="003E4F41"/>
    <w:rsid w:val="003E4FEA"/>
    <w:rsid w:val="003E5279"/>
    <w:rsid w:val="003E5290"/>
    <w:rsid w:val="003E551E"/>
    <w:rsid w:val="003E55CA"/>
    <w:rsid w:val="003E5756"/>
    <w:rsid w:val="003E5809"/>
    <w:rsid w:val="003E5A01"/>
    <w:rsid w:val="003E5A5A"/>
    <w:rsid w:val="003E5E7E"/>
    <w:rsid w:val="003E5F89"/>
    <w:rsid w:val="003E62A9"/>
    <w:rsid w:val="003E638A"/>
    <w:rsid w:val="003E6743"/>
    <w:rsid w:val="003E6803"/>
    <w:rsid w:val="003E695C"/>
    <w:rsid w:val="003E6A1E"/>
    <w:rsid w:val="003E6A31"/>
    <w:rsid w:val="003E6ADC"/>
    <w:rsid w:val="003E6B4F"/>
    <w:rsid w:val="003E6EA1"/>
    <w:rsid w:val="003E7098"/>
    <w:rsid w:val="003E712B"/>
    <w:rsid w:val="003E73A7"/>
    <w:rsid w:val="003E755B"/>
    <w:rsid w:val="003E758F"/>
    <w:rsid w:val="003E76E7"/>
    <w:rsid w:val="003E7872"/>
    <w:rsid w:val="003E7A89"/>
    <w:rsid w:val="003E7E42"/>
    <w:rsid w:val="003E7E86"/>
    <w:rsid w:val="003E7ED6"/>
    <w:rsid w:val="003E7ED9"/>
    <w:rsid w:val="003E7EF8"/>
    <w:rsid w:val="003E7FF2"/>
    <w:rsid w:val="003F0100"/>
    <w:rsid w:val="003F012E"/>
    <w:rsid w:val="003F02AD"/>
    <w:rsid w:val="003F038C"/>
    <w:rsid w:val="003F0399"/>
    <w:rsid w:val="003F07D9"/>
    <w:rsid w:val="003F0889"/>
    <w:rsid w:val="003F0925"/>
    <w:rsid w:val="003F0C4D"/>
    <w:rsid w:val="003F0D9F"/>
    <w:rsid w:val="003F0E53"/>
    <w:rsid w:val="003F1394"/>
    <w:rsid w:val="003F1612"/>
    <w:rsid w:val="003F18BC"/>
    <w:rsid w:val="003F199B"/>
    <w:rsid w:val="003F1ACF"/>
    <w:rsid w:val="003F1C05"/>
    <w:rsid w:val="003F1D0A"/>
    <w:rsid w:val="003F2128"/>
    <w:rsid w:val="003F2465"/>
    <w:rsid w:val="003F261C"/>
    <w:rsid w:val="003F283F"/>
    <w:rsid w:val="003F2A73"/>
    <w:rsid w:val="003F2A96"/>
    <w:rsid w:val="003F2BA2"/>
    <w:rsid w:val="003F2C6C"/>
    <w:rsid w:val="003F3601"/>
    <w:rsid w:val="003F3641"/>
    <w:rsid w:val="003F36AF"/>
    <w:rsid w:val="003F3850"/>
    <w:rsid w:val="003F4216"/>
    <w:rsid w:val="003F4564"/>
    <w:rsid w:val="003F4613"/>
    <w:rsid w:val="003F461F"/>
    <w:rsid w:val="003F47AF"/>
    <w:rsid w:val="003F48E9"/>
    <w:rsid w:val="003F4F53"/>
    <w:rsid w:val="003F5448"/>
    <w:rsid w:val="003F545D"/>
    <w:rsid w:val="003F5475"/>
    <w:rsid w:val="003F5505"/>
    <w:rsid w:val="003F55AC"/>
    <w:rsid w:val="003F58BF"/>
    <w:rsid w:val="003F5950"/>
    <w:rsid w:val="003F5E41"/>
    <w:rsid w:val="003F6093"/>
    <w:rsid w:val="003F60CB"/>
    <w:rsid w:val="003F625D"/>
    <w:rsid w:val="003F65E7"/>
    <w:rsid w:val="003F667D"/>
    <w:rsid w:val="003F6A43"/>
    <w:rsid w:val="003F6C12"/>
    <w:rsid w:val="003F6C9A"/>
    <w:rsid w:val="003F6CF9"/>
    <w:rsid w:val="003F6DA2"/>
    <w:rsid w:val="003F6FE9"/>
    <w:rsid w:val="003F7009"/>
    <w:rsid w:val="003F7080"/>
    <w:rsid w:val="003F708A"/>
    <w:rsid w:val="003F7119"/>
    <w:rsid w:val="003F71F7"/>
    <w:rsid w:val="003F7418"/>
    <w:rsid w:val="003F74C2"/>
    <w:rsid w:val="003F74EE"/>
    <w:rsid w:val="003F786D"/>
    <w:rsid w:val="003F78A0"/>
    <w:rsid w:val="003F7BB5"/>
    <w:rsid w:val="003F7BD2"/>
    <w:rsid w:val="003F7C39"/>
    <w:rsid w:val="003F7ECE"/>
    <w:rsid w:val="003F7EEC"/>
    <w:rsid w:val="003F7FA1"/>
    <w:rsid w:val="00400042"/>
    <w:rsid w:val="004002C2"/>
    <w:rsid w:val="00400427"/>
    <w:rsid w:val="004004B9"/>
    <w:rsid w:val="00400582"/>
    <w:rsid w:val="004005B4"/>
    <w:rsid w:val="0040086F"/>
    <w:rsid w:val="00400912"/>
    <w:rsid w:val="004009B1"/>
    <w:rsid w:val="004009EA"/>
    <w:rsid w:val="00400B1F"/>
    <w:rsid w:val="00400DC7"/>
    <w:rsid w:val="00401144"/>
    <w:rsid w:val="004014D9"/>
    <w:rsid w:val="004015DE"/>
    <w:rsid w:val="0040169A"/>
    <w:rsid w:val="00401817"/>
    <w:rsid w:val="00401B55"/>
    <w:rsid w:val="00401F26"/>
    <w:rsid w:val="00401F4D"/>
    <w:rsid w:val="00401FF4"/>
    <w:rsid w:val="00402003"/>
    <w:rsid w:val="004023A6"/>
    <w:rsid w:val="00402457"/>
    <w:rsid w:val="00402609"/>
    <w:rsid w:val="004026A4"/>
    <w:rsid w:val="0040295C"/>
    <w:rsid w:val="00402AB2"/>
    <w:rsid w:val="00402ABA"/>
    <w:rsid w:val="00402C59"/>
    <w:rsid w:val="00402D8A"/>
    <w:rsid w:val="00402EA0"/>
    <w:rsid w:val="00402EFF"/>
    <w:rsid w:val="0040311D"/>
    <w:rsid w:val="004031CA"/>
    <w:rsid w:val="004033B7"/>
    <w:rsid w:val="0040342B"/>
    <w:rsid w:val="00403432"/>
    <w:rsid w:val="00403495"/>
    <w:rsid w:val="00403DDF"/>
    <w:rsid w:val="00404153"/>
    <w:rsid w:val="00404186"/>
    <w:rsid w:val="004042BF"/>
    <w:rsid w:val="00404369"/>
    <w:rsid w:val="004043AA"/>
    <w:rsid w:val="00404437"/>
    <w:rsid w:val="0040452D"/>
    <w:rsid w:val="0040475A"/>
    <w:rsid w:val="004049B6"/>
    <w:rsid w:val="004049FD"/>
    <w:rsid w:val="00404BC0"/>
    <w:rsid w:val="00404C87"/>
    <w:rsid w:val="00404EBA"/>
    <w:rsid w:val="00404F08"/>
    <w:rsid w:val="00404FB4"/>
    <w:rsid w:val="00405061"/>
    <w:rsid w:val="004051BB"/>
    <w:rsid w:val="004051E5"/>
    <w:rsid w:val="004055D4"/>
    <w:rsid w:val="00405712"/>
    <w:rsid w:val="00405969"/>
    <w:rsid w:val="00405977"/>
    <w:rsid w:val="00405BFA"/>
    <w:rsid w:val="00405CA1"/>
    <w:rsid w:val="00405D7E"/>
    <w:rsid w:val="00406051"/>
    <w:rsid w:val="00406267"/>
    <w:rsid w:val="00406A0E"/>
    <w:rsid w:val="00406BDA"/>
    <w:rsid w:val="00406C35"/>
    <w:rsid w:val="00406D11"/>
    <w:rsid w:val="00406DE0"/>
    <w:rsid w:val="00406E2B"/>
    <w:rsid w:val="00406F7C"/>
    <w:rsid w:val="004073CA"/>
    <w:rsid w:val="0040742A"/>
    <w:rsid w:val="004075AC"/>
    <w:rsid w:val="004075B5"/>
    <w:rsid w:val="004076FC"/>
    <w:rsid w:val="004077B7"/>
    <w:rsid w:val="004079DB"/>
    <w:rsid w:val="00407B6A"/>
    <w:rsid w:val="00407BF3"/>
    <w:rsid w:val="00407BFB"/>
    <w:rsid w:val="00407C78"/>
    <w:rsid w:val="00407E28"/>
    <w:rsid w:val="00407EAA"/>
    <w:rsid w:val="0040F8ED"/>
    <w:rsid w:val="004100E0"/>
    <w:rsid w:val="004105E3"/>
    <w:rsid w:val="00410C3C"/>
    <w:rsid w:val="004110CD"/>
    <w:rsid w:val="004114ED"/>
    <w:rsid w:val="004117A6"/>
    <w:rsid w:val="00411987"/>
    <w:rsid w:val="00411AA3"/>
    <w:rsid w:val="00411B07"/>
    <w:rsid w:val="00411B9D"/>
    <w:rsid w:val="00411C20"/>
    <w:rsid w:val="00411C5C"/>
    <w:rsid w:val="00411D30"/>
    <w:rsid w:val="00411E7D"/>
    <w:rsid w:val="00411EE3"/>
    <w:rsid w:val="0041232A"/>
    <w:rsid w:val="00412349"/>
    <w:rsid w:val="004127E9"/>
    <w:rsid w:val="00412A6A"/>
    <w:rsid w:val="00412FE9"/>
    <w:rsid w:val="004130DB"/>
    <w:rsid w:val="0041327B"/>
    <w:rsid w:val="00413287"/>
    <w:rsid w:val="004135D5"/>
    <w:rsid w:val="004136A5"/>
    <w:rsid w:val="0041394E"/>
    <w:rsid w:val="00413EFD"/>
    <w:rsid w:val="004140D1"/>
    <w:rsid w:val="0041415A"/>
    <w:rsid w:val="0041427E"/>
    <w:rsid w:val="004145C2"/>
    <w:rsid w:val="004146D1"/>
    <w:rsid w:val="00414711"/>
    <w:rsid w:val="00414AF2"/>
    <w:rsid w:val="00414C8A"/>
    <w:rsid w:val="00414CF6"/>
    <w:rsid w:val="00414E8B"/>
    <w:rsid w:val="00414F68"/>
    <w:rsid w:val="004150FE"/>
    <w:rsid w:val="00415158"/>
    <w:rsid w:val="004152D9"/>
    <w:rsid w:val="00415316"/>
    <w:rsid w:val="00415547"/>
    <w:rsid w:val="004156D9"/>
    <w:rsid w:val="004156E2"/>
    <w:rsid w:val="0041575B"/>
    <w:rsid w:val="0041586E"/>
    <w:rsid w:val="00415A57"/>
    <w:rsid w:val="00415D1E"/>
    <w:rsid w:val="00415D36"/>
    <w:rsid w:val="00415DC9"/>
    <w:rsid w:val="00415E3F"/>
    <w:rsid w:val="00415E68"/>
    <w:rsid w:val="0041601A"/>
    <w:rsid w:val="004160D6"/>
    <w:rsid w:val="004161BC"/>
    <w:rsid w:val="004161D3"/>
    <w:rsid w:val="004162FF"/>
    <w:rsid w:val="0041651C"/>
    <w:rsid w:val="004169D3"/>
    <w:rsid w:val="00416A78"/>
    <w:rsid w:val="00416B6A"/>
    <w:rsid w:val="00416BA4"/>
    <w:rsid w:val="00416CC6"/>
    <w:rsid w:val="00416E30"/>
    <w:rsid w:val="00416FD4"/>
    <w:rsid w:val="00417004"/>
    <w:rsid w:val="0041711E"/>
    <w:rsid w:val="004171B8"/>
    <w:rsid w:val="004172A5"/>
    <w:rsid w:val="004172D9"/>
    <w:rsid w:val="004173DB"/>
    <w:rsid w:val="00417AD7"/>
    <w:rsid w:val="00417B27"/>
    <w:rsid w:val="00417C16"/>
    <w:rsid w:val="00417F45"/>
    <w:rsid w:val="00417F8B"/>
    <w:rsid w:val="00420237"/>
    <w:rsid w:val="004202EA"/>
    <w:rsid w:val="00420354"/>
    <w:rsid w:val="00420360"/>
    <w:rsid w:val="00420C04"/>
    <w:rsid w:val="00420D33"/>
    <w:rsid w:val="00420E50"/>
    <w:rsid w:val="00420FCE"/>
    <w:rsid w:val="00421352"/>
    <w:rsid w:val="004213F7"/>
    <w:rsid w:val="004215AF"/>
    <w:rsid w:val="0042181D"/>
    <w:rsid w:val="00421BF7"/>
    <w:rsid w:val="00421D1F"/>
    <w:rsid w:val="00421E8F"/>
    <w:rsid w:val="00421E9E"/>
    <w:rsid w:val="004221D4"/>
    <w:rsid w:val="0042220B"/>
    <w:rsid w:val="004222CE"/>
    <w:rsid w:val="0042243A"/>
    <w:rsid w:val="004224CF"/>
    <w:rsid w:val="004224E1"/>
    <w:rsid w:val="00422780"/>
    <w:rsid w:val="0042288F"/>
    <w:rsid w:val="00422A6F"/>
    <w:rsid w:val="00422FAC"/>
    <w:rsid w:val="00423203"/>
    <w:rsid w:val="00423337"/>
    <w:rsid w:val="00423419"/>
    <w:rsid w:val="00423439"/>
    <w:rsid w:val="0042344E"/>
    <w:rsid w:val="004235D4"/>
    <w:rsid w:val="00423638"/>
    <w:rsid w:val="004236DD"/>
    <w:rsid w:val="00423728"/>
    <w:rsid w:val="004237F9"/>
    <w:rsid w:val="00423832"/>
    <w:rsid w:val="00423D51"/>
    <w:rsid w:val="00423D61"/>
    <w:rsid w:val="00423F9C"/>
    <w:rsid w:val="0042407C"/>
    <w:rsid w:val="004241FC"/>
    <w:rsid w:val="0042433B"/>
    <w:rsid w:val="00424363"/>
    <w:rsid w:val="00424491"/>
    <w:rsid w:val="004244BE"/>
    <w:rsid w:val="00424542"/>
    <w:rsid w:val="00424556"/>
    <w:rsid w:val="00424585"/>
    <w:rsid w:val="00424802"/>
    <w:rsid w:val="00424885"/>
    <w:rsid w:val="004249E2"/>
    <w:rsid w:val="004249FC"/>
    <w:rsid w:val="00424B23"/>
    <w:rsid w:val="00424BE2"/>
    <w:rsid w:val="00424D72"/>
    <w:rsid w:val="00424E7B"/>
    <w:rsid w:val="00424F33"/>
    <w:rsid w:val="00424F7A"/>
    <w:rsid w:val="0042531E"/>
    <w:rsid w:val="004253C4"/>
    <w:rsid w:val="0042546D"/>
    <w:rsid w:val="00425544"/>
    <w:rsid w:val="00425847"/>
    <w:rsid w:val="00425A3F"/>
    <w:rsid w:val="00425B37"/>
    <w:rsid w:val="00425C90"/>
    <w:rsid w:val="00425F21"/>
    <w:rsid w:val="00425FAF"/>
    <w:rsid w:val="00426247"/>
    <w:rsid w:val="00426359"/>
    <w:rsid w:val="00426836"/>
    <w:rsid w:val="0042696B"/>
    <w:rsid w:val="00426CA9"/>
    <w:rsid w:val="00426CD6"/>
    <w:rsid w:val="00426DC0"/>
    <w:rsid w:val="00426E3D"/>
    <w:rsid w:val="00426F7A"/>
    <w:rsid w:val="004270D8"/>
    <w:rsid w:val="0042716E"/>
    <w:rsid w:val="00427713"/>
    <w:rsid w:val="0042797E"/>
    <w:rsid w:val="004279C4"/>
    <w:rsid w:val="00427A11"/>
    <w:rsid w:val="00427ACD"/>
    <w:rsid w:val="00427C8B"/>
    <w:rsid w:val="00427DC9"/>
    <w:rsid w:val="00430233"/>
    <w:rsid w:val="00430301"/>
    <w:rsid w:val="004308A4"/>
    <w:rsid w:val="0043097E"/>
    <w:rsid w:val="004309DF"/>
    <w:rsid w:val="00430A7B"/>
    <w:rsid w:val="00430FCB"/>
    <w:rsid w:val="0043150E"/>
    <w:rsid w:val="00431626"/>
    <w:rsid w:val="0043164A"/>
    <w:rsid w:val="004316F8"/>
    <w:rsid w:val="0043171F"/>
    <w:rsid w:val="00431AC1"/>
    <w:rsid w:val="00431C07"/>
    <w:rsid w:val="00431C9D"/>
    <w:rsid w:val="00431E95"/>
    <w:rsid w:val="00432012"/>
    <w:rsid w:val="00432067"/>
    <w:rsid w:val="00432324"/>
    <w:rsid w:val="0043248B"/>
    <w:rsid w:val="00432726"/>
    <w:rsid w:val="004327F1"/>
    <w:rsid w:val="0043282D"/>
    <w:rsid w:val="0043289B"/>
    <w:rsid w:val="004328A6"/>
    <w:rsid w:val="00432A32"/>
    <w:rsid w:val="00432C38"/>
    <w:rsid w:val="00432D77"/>
    <w:rsid w:val="00432E93"/>
    <w:rsid w:val="00432F56"/>
    <w:rsid w:val="00432F57"/>
    <w:rsid w:val="004330A3"/>
    <w:rsid w:val="004335F6"/>
    <w:rsid w:val="004336E2"/>
    <w:rsid w:val="00433AB3"/>
    <w:rsid w:val="00433EA4"/>
    <w:rsid w:val="00433EB4"/>
    <w:rsid w:val="004342D8"/>
    <w:rsid w:val="00434338"/>
    <w:rsid w:val="00434396"/>
    <w:rsid w:val="0043480D"/>
    <w:rsid w:val="004348E5"/>
    <w:rsid w:val="00434B5B"/>
    <w:rsid w:val="00434D55"/>
    <w:rsid w:val="00434D70"/>
    <w:rsid w:val="004350BD"/>
    <w:rsid w:val="0043510B"/>
    <w:rsid w:val="004351A0"/>
    <w:rsid w:val="00435347"/>
    <w:rsid w:val="00435869"/>
    <w:rsid w:val="00435D5C"/>
    <w:rsid w:val="00435FF3"/>
    <w:rsid w:val="0043611A"/>
    <w:rsid w:val="00436415"/>
    <w:rsid w:val="004366AA"/>
    <w:rsid w:val="00436732"/>
    <w:rsid w:val="00436823"/>
    <w:rsid w:val="004368B0"/>
    <w:rsid w:val="00436BDA"/>
    <w:rsid w:val="00436C65"/>
    <w:rsid w:val="00436FE3"/>
    <w:rsid w:val="00437009"/>
    <w:rsid w:val="0043745F"/>
    <w:rsid w:val="004374E0"/>
    <w:rsid w:val="004375AE"/>
    <w:rsid w:val="0043772E"/>
    <w:rsid w:val="004379DE"/>
    <w:rsid w:val="00437BCA"/>
    <w:rsid w:val="00437C89"/>
    <w:rsid w:val="00437ED1"/>
    <w:rsid w:val="00440178"/>
    <w:rsid w:val="00440230"/>
    <w:rsid w:val="0044043B"/>
    <w:rsid w:val="004404D0"/>
    <w:rsid w:val="004405CB"/>
    <w:rsid w:val="004406E0"/>
    <w:rsid w:val="004407E6"/>
    <w:rsid w:val="004408F8"/>
    <w:rsid w:val="0044097B"/>
    <w:rsid w:val="00440CC2"/>
    <w:rsid w:val="00440D9B"/>
    <w:rsid w:val="00440DE9"/>
    <w:rsid w:val="00440E96"/>
    <w:rsid w:val="00440FCB"/>
    <w:rsid w:val="00440FDC"/>
    <w:rsid w:val="0044109D"/>
    <w:rsid w:val="004410F4"/>
    <w:rsid w:val="00441641"/>
    <w:rsid w:val="0044173C"/>
    <w:rsid w:val="00441791"/>
    <w:rsid w:val="00441B31"/>
    <w:rsid w:val="00441B55"/>
    <w:rsid w:val="00441FF3"/>
    <w:rsid w:val="004422A8"/>
    <w:rsid w:val="004422B4"/>
    <w:rsid w:val="00442355"/>
    <w:rsid w:val="004423D0"/>
    <w:rsid w:val="00442852"/>
    <w:rsid w:val="004428F7"/>
    <w:rsid w:val="00442951"/>
    <w:rsid w:val="00442D58"/>
    <w:rsid w:val="004431ED"/>
    <w:rsid w:val="00443353"/>
    <w:rsid w:val="004433D8"/>
    <w:rsid w:val="00443468"/>
    <w:rsid w:val="0044352C"/>
    <w:rsid w:val="00443AA8"/>
    <w:rsid w:val="00443B60"/>
    <w:rsid w:val="00443EE0"/>
    <w:rsid w:val="004440E5"/>
    <w:rsid w:val="0044419E"/>
    <w:rsid w:val="00444276"/>
    <w:rsid w:val="004445E8"/>
    <w:rsid w:val="00444718"/>
    <w:rsid w:val="00444971"/>
    <w:rsid w:val="00444A3E"/>
    <w:rsid w:val="00444C3C"/>
    <w:rsid w:val="00444CE6"/>
    <w:rsid w:val="00444EC7"/>
    <w:rsid w:val="004452B6"/>
    <w:rsid w:val="00445409"/>
    <w:rsid w:val="004454E9"/>
    <w:rsid w:val="00445C15"/>
    <w:rsid w:val="00445F22"/>
    <w:rsid w:val="00446064"/>
    <w:rsid w:val="00446078"/>
    <w:rsid w:val="00446138"/>
    <w:rsid w:val="00446445"/>
    <w:rsid w:val="00446675"/>
    <w:rsid w:val="00446679"/>
    <w:rsid w:val="004468F3"/>
    <w:rsid w:val="00446A5B"/>
    <w:rsid w:val="00446C53"/>
    <w:rsid w:val="00446DF1"/>
    <w:rsid w:val="00447146"/>
    <w:rsid w:val="004471C5"/>
    <w:rsid w:val="00447266"/>
    <w:rsid w:val="004472F7"/>
    <w:rsid w:val="004473AF"/>
    <w:rsid w:val="004478C8"/>
    <w:rsid w:val="00447A30"/>
    <w:rsid w:val="0045013F"/>
    <w:rsid w:val="00450266"/>
    <w:rsid w:val="0045028E"/>
    <w:rsid w:val="0045047B"/>
    <w:rsid w:val="0045051B"/>
    <w:rsid w:val="00450566"/>
    <w:rsid w:val="00450768"/>
    <w:rsid w:val="004507E8"/>
    <w:rsid w:val="004508EE"/>
    <w:rsid w:val="00450B20"/>
    <w:rsid w:val="00450C95"/>
    <w:rsid w:val="00450CB6"/>
    <w:rsid w:val="00450CBC"/>
    <w:rsid w:val="00450D86"/>
    <w:rsid w:val="004511A1"/>
    <w:rsid w:val="00451369"/>
    <w:rsid w:val="004514BE"/>
    <w:rsid w:val="0045156F"/>
    <w:rsid w:val="0045174B"/>
    <w:rsid w:val="0045193C"/>
    <w:rsid w:val="00451B01"/>
    <w:rsid w:val="00451B15"/>
    <w:rsid w:val="00451BC9"/>
    <w:rsid w:val="00451F90"/>
    <w:rsid w:val="00452286"/>
    <w:rsid w:val="004525E8"/>
    <w:rsid w:val="004527AA"/>
    <w:rsid w:val="004527B2"/>
    <w:rsid w:val="00452AA6"/>
    <w:rsid w:val="00452BD7"/>
    <w:rsid w:val="00452D2A"/>
    <w:rsid w:val="00452D37"/>
    <w:rsid w:val="00452D95"/>
    <w:rsid w:val="00452F7C"/>
    <w:rsid w:val="00453006"/>
    <w:rsid w:val="00453022"/>
    <w:rsid w:val="0045302D"/>
    <w:rsid w:val="004530C3"/>
    <w:rsid w:val="004531C2"/>
    <w:rsid w:val="00453544"/>
    <w:rsid w:val="004535B5"/>
    <w:rsid w:val="0045374F"/>
    <w:rsid w:val="00453A3B"/>
    <w:rsid w:val="00453B0F"/>
    <w:rsid w:val="00453B38"/>
    <w:rsid w:val="00453D60"/>
    <w:rsid w:val="00453F41"/>
    <w:rsid w:val="00453FFB"/>
    <w:rsid w:val="004541BB"/>
    <w:rsid w:val="0045427D"/>
    <w:rsid w:val="004545EE"/>
    <w:rsid w:val="00454760"/>
    <w:rsid w:val="0045481B"/>
    <w:rsid w:val="00454BE9"/>
    <w:rsid w:val="00454CD0"/>
    <w:rsid w:val="00454FC0"/>
    <w:rsid w:val="0045501E"/>
    <w:rsid w:val="004550AB"/>
    <w:rsid w:val="0045523A"/>
    <w:rsid w:val="004553A3"/>
    <w:rsid w:val="00455987"/>
    <w:rsid w:val="004559F9"/>
    <w:rsid w:val="00455B2E"/>
    <w:rsid w:val="00455BA4"/>
    <w:rsid w:val="00455BA9"/>
    <w:rsid w:val="00455DA0"/>
    <w:rsid w:val="00455E00"/>
    <w:rsid w:val="00455E22"/>
    <w:rsid w:val="00455E73"/>
    <w:rsid w:val="0045622B"/>
    <w:rsid w:val="004562C1"/>
    <w:rsid w:val="004562C6"/>
    <w:rsid w:val="00456363"/>
    <w:rsid w:val="00456399"/>
    <w:rsid w:val="004563C4"/>
    <w:rsid w:val="00456401"/>
    <w:rsid w:val="00456517"/>
    <w:rsid w:val="00456636"/>
    <w:rsid w:val="0045674C"/>
    <w:rsid w:val="00456845"/>
    <w:rsid w:val="00456A33"/>
    <w:rsid w:val="00456A98"/>
    <w:rsid w:val="00456ECD"/>
    <w:rsid w:val="00456EED"/>
    <w:rsid w:val="004571A4"/>
    <w:rsid w:val="004574EB"/>
    <w:rsid w:val="004577BB"/>
    <w:rsid w:val="00457876"/>
    <w:rsid w:val="00457936"/>
    <w:rsid w:val="004579A9"/>
    <w:rsid w:val="00457E40"/>
    <w:rsid w:val="00457FA5"/>
    <w:rsid w:val="00460175"/>
    <w:rsid w:val="004604C4"/>
    <w:rsid w:val="00460531"/>
    <w:rsid w:val="00460752"/>
    <w:rsid w:val="0046098F"/>
    <w:rsid w:val="004609C8"/>
    <w:rsid w:val="00460A39"/>
    <w:rsid w:val="00460A49"/>
    <w:rsid w:val="00460B01"/>
    <w:rsid w:val="00460B46"/>
    <w:rsid w:val="00460BA7"/>
    <w:rsid w:val="00460ED9"/>
    <w:rsid w:val="00460EFA"/>
    <w:rsid w:val="00460F54"/>
    <w:rsid w:val="00460F6C"/>
    <w:rsid w:val="0046112E"/>
    <w:rsid w:val="004611FA"/>
    <w:rsid w:val="00461273"/>
    <w:rsid w:val="004614F7"/>
    <w:rsid w:val="00461924"/>
    <w:rsid w:val="0046198A"/>
    <w:rsid w:val="00461C72"/>
    <w:rsid w:val="00462065"/>
    <w:rsid w:val="00462258"/>
    <w:rsid w:val="004622ED"/>
    <w:rsid w:val="004624C9"/>
    <w:rsid w:val="00462530"/>
    <w:rsid w:val="0046292C"/>
    <w:rsid w:val="00462937"/>
    <w:rsid w:val="00462AE2"/>
    <w:rsid w:val="00462C09"/>
    <w:rsid w:val="00462D7A"/>
    <w:rsid w:val="00462FF4"/>
    <w:rsid w:val="004630BD"/>
    <w:rsid w:val="004632ED"/>
    <w:rsid w:val="00463361"/>
    <w:rsid w:val="004637C6"/>
    <w:rsid w:val="004638E1"/>
    <w:rsid w:val="00463947"/>
    <w:rsid w:val="00463AA2"/>
    <w:rsid w:val="00463BA0"/>
    <w:rsid w:val="00463CC1"/>
    <w:rsid w:val="00463D8C"/>
    <w:rsid w:val="00463DD4"/>
    <w:rsid w:val="00463DEB"/>
    <w:rsid w:val="00463E2E"/>
    <w:rsid w:val="00463FAF"/>
    <w:rsid w:val="0046426C"/>
    <w:rsid w:val="0046448E"/>
    <w:rsid w:val="00464598"/>
    <w:rsid w:val="004645C7"/>
    <w:rsid w:val="004649BE"/>
    <w:rsid w:val="00464AC2"/>
    <w:rsid w:val="00464D71"/>
    <w:rsid w:val="00464E11"/>
    <w:rsid w:val="00464E15"/>
    <w:rsid w:val="00464EA3"/>
    <w:rsid w:val="00465142"/>
    <w:rsid w:val="004651D2"/>
    <w:rsid w:val="004651EB"/>
    <w:rsid w:val="0046521A"/>
    <w:rsid w:val="004652B1"/>
    <w:rsid w:val="004652BF"/>
    <w:rsid w:val="004653FB"/>
    <w:rsid w:val="00465524"/>
    <w:rsid w:val="00465681"/>
    <w:rsid w:val="00465686"/>
    <w:rsid w:val="00465944"/>
    <w:rsid w:val="00465959"/>
    <w:rsid w:val="00465DD2"/>
    <w:rsid w:val="00466104"/>
    <w:rsid w:val="004662F8"/>
    <w:rsid w:val="0046634B"/>
    <w:rsid w:val="004663C0"/>
    <w:rsid w:val="00466441"/>
    <w:rsid w:val="00466779"/>
    <w:rsid w:val="004667AB"/>
    <w:rsid w:val="004667B0"/>
    <w:rsid w:val="004669D8"/>
    <w:rsid w:val="00466A36"/>
    <w:rsid w:val="00466B1B"/>
    <w:rsid w:val="00466D14"/>
    <w:rsid w:val="00466DEA"/>
    <w:rsid w:val="00466E2E"/>
    <w:rsid w:val="00466E4D"/>
    <w:rsid w:val="00466E6C"/>
    <w:rsid w:val="0046726D"/>
    <w:rsid w:val="004676BA"/>
    <w:rsid w:val="004677CE"/>
    <w:rsid w:val="00467B64"/>
    <w:rsid w:val="00467B80"/>
    <w:rsid w:val="00467CBC"/>
    <w:rsid w:val="00467D13"/>
    <w:rsid w:val="00467D22"/>
    <w:rsid w:val="00467EE6"/>
    <w:rsid w:val="00467F26"/>
    <w:rsid w:val="004700BF"/>
    <w:rsid w:val="004700CD"/>
    <w:rsid w:val="004701DD"/>
    <w:rsid w:val="004702D4"/>
    <w:rsid w:val="004709B8"/>
    <w:rsid w:val="00470C5A"/>
    <w:rsid w:val="00470CD1"/>
    <w:rsid w:val="00470DEC"/>
    <w:rsid w:val="00470E1E"/>
    <w:rsid w:val="0047104D"/>
    <w:rsid w:val="00471988"/>
    <w:rsid w:val="00471B51"/>
    <w:rsid w:val="00471BB4"/>
    <w:rsid w:val="00471D21"/>
    <w:rsid w:val="00471EC3"/>
    <w:rsid w:val="00471EF9"/>
    <w:rsid w:val="00471F8A"/>
    <w:rsid w:val="0047209B"/>
    <w:rsid w:val="004722B4"/>
    <w:rsid w:val="004723A3"/>
    <w:rsid w:val="004728EB"/>
    <w:rsid w:val="00472927"/>
    <w:rsid w:val="00472BD0"/>
    <w:rsid w:val="00472D0B"/>
    <w:rsid w:val="00472F34"/>
    <w:rsid w:val="004730AC"/>
    <w:rsid w:val="0047311B"/>
    <w:rsid w:val="00473179"/>
    <w:rsid w:val="00473405"/>
    <w:rsid w:val="0047353C"/>
    <w:rsid w:val="004735FB"/>
    <w:rsid w:val="0047360F"/>
    <w:rsid w:val="0047377B"/>
    <w:rsid w:val="0047386D"/>
    <w:rsid w:val="00473945"/>
    <w:rsid w:val="004739CF"/>
    <w:rsid w:val="00473A62"/>
    <w:rsid w:val="00473B64"/>
    <w:rsid w:val="00473C3D"/>
    <w:rsid w:val="00473D54"/>
    <w:rsid w:val="00473E59"/>
    <w:rsid w:val="0047430D"/>
    <w:rsid w:val="0047436E"/>
    <w:rsid w:val="0047441A"/>
    <w:rsid w:val="00474651"/>
    <w:rsid w:val="0047470A"/>
    <w:rsid w:val="004747C0"/>
    <w:rsid w:val="00474911"/>
    <w:rsid w:val="00474C5E"/>
    <w:rsid w:val="00474C81"/>
    <w:rsid w:val="00474DFC"/>
    <w:rsid w:val="00475410"/>
    <w:rsid w:val="00475434"/>
    <w:rsid w:val="0047554D"/>
    <w:rsid w:val="00475951"/>
    <w:rsid w:val="00475964"/>
    <w:rsid w:val="0047596B"/>
    <w:rsid w:val="00475EA5"/>
    <w:rsid w:val="00475F97"/>
    <w:rsid w:val="00476005"/>
    <w:rsid w:val="00476013"/>
    <w:rsid w:val="00476167"/>
    <w:rsid w:val="00476200"/>
    <w:rsid w:val="0047651A"/>
    <w:rsid w:val="004766DD"/>
    <w:rsid w:val="004767C8"/>
    <w:rsid w:val="004769B7"/>
    <w:rsid w:val="004769D5"/>
    <w:rsid w:val="00476E0F"/>
    <w:rsid w:val="00477008"/>
    <w:rsid w:val="004771A3"/>
    <w:rsid w:val="00477401"/>
    <w:rsid w:val="00477479"/>
    <w:rsid w:val="00477B1A"/>
    <w:rsid w:val="00477CAC"/>
    <w:rsid w:val="00477ED3"/>
    <w:rsid w:val="00480157"/>
    <w:rsid w:val="004804B4"/>
    <w:rsid w:val="004809C3"/>
    <w:rsid w:val="00480D8B"/>
    <w:rsid w:val="00480DA5"/>
    <w:rsid w:val="00480F8B"/>
    <w:rsid w:val="004810BD"/>
    <w:rsid w:val="004813A8"/>
    <w:rsid w:val="00481420"/>
    <w:rsid w:val="004815FC"/>
    <w:rsid w:val="00481654"/>
    <w:rsid w:val="00481881"/>
    <w:rsid w:val="004818B8"/>
    <w:rsid w:val="00481A9F"/>
    <w:rsid w:val="00481BD8"/>
    <w:rsid w:val="00481D65"/>
    <w:rsid w:val="00481D9E"/>
    <w:rsid w:val="00481EC6"/>
    <w:rsid w:val="004820AF"/>
    <w:rsid w:val="00482287"/>
    <w:rsid w:val="0048250E"/>
    <w:rsid w:val="004828B7"/>
    <w:rsid w:val="004828C4"/>
    <w:rsid w:val="00482B66"/>
    <w:rsid w:val="00482B7B"/>
    <w:rsid w:val="00482E43"/>
    <w:rsid w:val="00482F1E"/>
    <w:rsid w:val="004830CB"/>
    <w:rsid w:val="00483630"/>
    <w:rsid w:val="004836BD"/>
    <w:rsid w:val="00483702"/>
    <w:rsid w:val="00483859"/>
    <w:rsid w:val="00483C11"/>
    <w:rsid w:val="00483CB1"/>
    <w:rsid w:val="00483D7F"/>
    <w:rsid w:val="00483F93"/>
    <w:rsid w:val="0048410D"/>
    <w:rsid w:val="004841B8"/>
    <w:rsid w:val="004842FF"/>
    <w:rsid w:val="00484400"/>
    <w:rsid w:val="00484435"/>
    <w:rsid w:val="004844D5"/>
    <w:rsid w:val="00484596"/>
    <w:rsid w:val="004845F3"/>
    <w:rsid w:val="0048463C"/>
    <w:rsid w:val="004846A4"/>
    <w:rsid w:val="00484A07"/>
    <w:rsid w:val="00484AA4"/>
    <w:rsid w:val="00484D35"/>
    <w:rsid w:val="00484FBC"/>
    <w:rsid w:val="00485182"/>
    <w:rsid w:val="004851C7"/>
    <w:rsid w:val="00485256"/>
    <w:rsid w:val="00485411"/>
    <w:rsid w:val="004854F6"/>
    <w:rsid w:val="0048571B"/>
    <w:rsid w:val="004857ED"/>
    <w:rsid w:val="004858B4"/>
    <w:rsid w:val="00485AE0"/>
    <w:rsid w:val="00485BA5"/>
    <w:rsid w:val="00485BB1"/>
    <w:rsid w:val="00485C3C"/>
    <w:rsid w:val="004862FA"/>
    <w:rsid w:val="004864C6"/>
    <w:rsid w:val="00486806"/>
    <w:rsid w:val="00486863"/>
    <w:rsid w:val="00486880"/>
    <w:rsid w:val="004868C3"/>
    <w:rsid w:val="00486A8B"/>
    <w:rsid w:val="00486BD2"/>
    <w:rsid w:val="00486BFF"/>
    <w:rsid w:val="00486CDE"/>
    <w:rsid w:val="00486DA0"/>
    <w:rsid w:val="00486F6C"/>
    <w:rsid w:val="004870D6"/>
    <w:rsid w:val="004879EC"/>
    <w:rsid w:val="00487A28"/>
    <w:rsid w:val="00487AB3"/>
    <w:rsid w:val="00487BFE"/>
    <w:rsid w:val="00487CD4"/>
    <w:rsid w:val="00487DA0"/>
    <w:rsid w:val="00487E53"/>
    <w:rsid w:val="00487ECD"/>
    <w:rsid w:val="00487FD2"/>
    <w:rsid w:val="00490136"/>
    <w:rsid w:val="004901F6"/>
    <w:rsid w:val="004902AD"/>
    <w:rsid w:val="0049030C"/>
    <w:rsid w:val="00490549"/>
    <w:rsid w:val="00490659"/>
    <w:rsid w:val="004909A2"/>
    <w:rsid w:val="00490A48"/>
    <w:rsid w:val="00490B16"/>
    <w:rsid w:val="00490BBF"/>
    <w:rsid w:val="00490CB9"/>
    <w:rsid w:val="004911B8"/>
    <w:rsid w:val="004912E5"/>
    <w:rsid w:val="00491327"/>
    <w:rsid w:val="004915D3"/>
    <w:rsid w:val="0049168A"/>
    <w:rsid w:val="004917C2"/>
    <w:rsid w:val="00491BF1"/>
    <w:rsid w:val="00491CA4"/>
    <w:rsid w:val="00491E66"/>
    <w:rsid w:val="00491E93"/>
    <w:rsid w:val="00491FFA"/>
    <w:rsid w:val="00492014"/>
    <w:rsid w:val="004921D6"/>
    <w:rsid w:val="004923EA"/>
    <w:rsid w:val="00492476"/>
    <w:rsid w:val="00492521"/>
    <w:rsid w:val="00492567"/>
    <w:rsid w:val="00492649"/>
    <w:rsid w:val="004926F6"/>
    <w:rsid w:val="0049271E"/>
    <w:rsid w:val="00492BBD"/>
    <w:rsid w:val="00492C0D"/>
    <w:rsid w:val="00492D1E"/>
    <w:rsid w:val="00492F08"/>
    <w:rsid w:val="00492F4F"/>
    <w:rsid w:val="00492F76"/>
    <w:rsid w:val="00492FF7"/>
    <w:rsid w:val="00493023"/>
    <w:rsid w:val="0049329D"/>
    <w:rsid w:val="00493301"/>
    <w:rsid w:val="00493404"/>
    <w:rsid w:val="004934CA"/>
    <w:rsid w:val="004935F7"/>
    <w:rsid w:val="004936D5"/>
    <w:rsid w:val="00493791"/>
    <w:rsid w:val="004937D8"/>
    <w:rsid w:val="00493A2F"/>
    <w:rsid w:val="00493D85"/>
    <w:rsid w:val="00493EBA"/>
    <w:rsid w:val="00493F73"/>
    <w:rsid w:val="00494159"/>
    <w:rsid w:val="004941AB"/>
    <w:rsid w:val="00494344"/>
    <w:rsid w:val="0049446B"/>
    <w:rsid w:val="00494474"/>
    <w:rsid w:val="00494664"/>
    <w:rsid w:val="004946DD"/>
    <w:rsid w:val="00494774"/>
    <w:rsid w:val="00494BF4"/>
    <w:rsid w:val="00494E21"/>
    <w:rsid w:val="00494E46"/>
    <w:rsid w:val="00494F20"/>
    <w:rsid w:val="00495495"/>
    <w:rsid w:val="00495738"/>
    <w:rsid w:val="0049579C"/>
    <w:rsid w:val="0049584E"/>
    <w:rsid w:val="004958EB"/>
    <w:rsid w:val="00495BB8"/>
    <w:rsid w:val="00495D4C"/>
    <w:rsid w:val="00496406"/>
    <w:rsid w:val="0049641C"/>
    <w:rsid w:val="004964F7"/>
    <w:rsid w:val="00496641"/>
    <w:rsid w:val="0049683B"/>
    <w:rsid w:val="004968A4"/>
    <w:rsid w:val="00496920"/>
    <w:rsid w:val="00496962"/>
    <w:rsid w:val="0049697C"/>
    <w:rsid w:val="00496C17"/>
    <w:rsid w:val="00496CBE"/>
    <w:rsid w:val="00496F2C"/>
    <w:rsid w:val="00496F95"/>
    <w:rsid w:val="00497071"/>
    <w:rsid w:val="004970AC"/>
    <w:rsid w:val="0049734A"/>
    <w:rsid w:val="00497A3F"/>
    <w:rsid w:val="00497AD3"/>
    <w:rsid w:val="00497AE0"/>
    <w:rsid w:val="00497BE7"/>
    <w:rsid w:val="00497C0D"/>
    <w:rsid w:val="00497C52"/>
    <w:rsid w:val="00497E8F"/>
    <w:rsid w:val="00497F1F"/>
    <w:rsid w:val="004A005B"/>
    <w:rsid w:val="004A0067"/>
    <w:rsid w:val="004A01A8"/>
    <w:rsid w:val="004A020D"/>
    <w:rsid w:val="004A0285"/>
    <w:rsid w:val="004A0415"/>
    <w:rsid w:val="004A0433"/>
    <w:rsid w:val="004A052E"/>
    <w:rsid w:val="004A0A16"/>
    <w:rsid w:val="004A0D6B"/>
    <w:rsid w:val="004A0FD9"/>
    <w:rsid w:val="004A106F"/>
    <w:rsid w:val="004A11B4"/>
    <w:rsid w:val="004A11C7"/>
    <w:rsid w:val="004A1265"/>
    <w:rsid w:val="004A14FC"/>
    <w:rsid w:val="004A14FE"/>
    <w:rsid w:val="004A18C8"/>
    <w:rsid w:val="004A197A"/>
    <w:rsid w:val="004A1DC3"/>
    <w:rsid w:val="004A1EEB"/>
    <w:rsid w:val="004A1F39"/>
    <w:rsid w:val="004A2095"/>
    <w:rsid w:val="004A20CC"/>
    <w:rsid w:val="004A221F"/>
    <w:rsid w:val="004A22A8"/>
    <w:rsid w:val="004A2437"/>
    <w:rsid w:val="004A2683"/>
    <w:rsid w:val="004A268B"/>
    <w:rsid w:val="004A2720"/>
    <w:rsid w:val="004A28F0"/>
    <w:rsid w:val="004A2AEE"/>
    <w:rsid w:val="004A2C24"/>
    <w:rsid w:val="004A2C40"/>
    <w:rsid w:val="004A2CC4"/>
    <w:rsid w:val="004A2F44"/>
    <w:rsid w:val="004A2FE7"/>
    <w:rsid w:val="004A32AE"/>
    <w:rsid w:val="004A3720"/>
    <w:rsid w:val="004A3819"/>
    <w:rsid w:val="004A3BF6"/>
    <w:rsid w:val="004A3DAA"/>
    <w:rsid w:val="004A3E37"/>
    <w:rsid w:val="004A3E52"/>
    <w:rsid w:val="004A4129"/>
    <w:rsid w:val="004A49D7"/>
    <w:rsid w:val="004A4C36"/>
    <w:rsid w:val="004A4DEE"/>
    <w:rsid w:val="004A5040"/>
    <w:rsid w:val="004A5128"/>
    <w:rsid w:val="004A524E"/>
    <w:rsid w:val="004A52A5"/>
    <w:rsid w:val="004A52AD"/>
    <w:rsid w:val="004A5701"/>
    <w:rsid w:val="004A584B"/>
    <w:rsid w:val="004A5917"/>
    <w:rsid w:val="004A59B9"/>
    <w:rsid w:val="004A59F7"/>
    <w:rsid w:val="004A5AF0"/>
    <w:rsid w:val="004A5BFC"/>
    <w:rsid w:val="004A5D79"/>
    <w:rsid w:val="004A5E96"/>
    <w:rsid w:val="004A5EE2"/>
    <w:rsid w:val="004A6067"/>
    <w:rsid w:val="004A6087"/>
    <w:rsid w:val="004A6146"/>
    <w:rsid w:val="004A634E"/>
    <w:rsid w:val="004A63F6"/>
    <w:rsid w:val="004A6543"/>
    <w:rsid w:val="004A65D4"/>
    <w:rsid w:val="004A67CA"/>
    <w:rsid w:val="004A6856"/>
    <w:rsid w:val="004A6998"/>
    <w:rsid w:val="004A6AFB"/>
    <w:rsid w:val="004A6B05"/>
    <w:rsid w:val="004A7173"/>
    <w:rsid w:val="004A745C"/>
    <w:rsid w:val="004A75A3"/>
    <w:rsid w:val="004A7ABB"/>
    <w:rsid w:val="004A7C9B"/>
    <w:rsid w:val="004A7D0D"/>
    <w:rsid w:val="004A7D75"/>
    <w:rsid w:val="004A7F8F"/>
    <w:rsid w:val="004A7FD9"/>
    <w:rsid w:val="004B00F8"/>
    <w:rsid w:val="004B01D2"/>
    <w:rsid w:val="004B071E"/>
    <w:rsid w:val="004B07BB"/>
    <w:rsid w:val="004B0814"/>
    <w:rsid w:val="004B0999"/>
    <w:rsid w:val="004B0AFA"/>
    <w:rsid w:val="004B0B60"/>
    <w:rsid w:val="004B0DE2"/>
    <w:rsid w:val="004B0EA3"/>
    <w:rsid w:val="004B0F75"/>
    <w:rsid w:val="004B10E5"/>
    <w:rsid w:val="004B1366"/>
    <w:rsid w:val="004B15A7"/>
    <w:rsid w:val="004B1796"/>
    <w:rsid w:val="004B17A2"/>
    <w:rsid w:val="004B184B"/>
    <w:rsid w:val="004B1A53"/>
    <w:rsid w:val="004B1C36"/>
    <w:rsid w:val="004B1EE8"/>
    <w:rsid w:val="004B2A32"/>
    <w:rsid w:val="004B2AA0"/>
    <w:rsid w:val="004B2BD2"/>
    <w:rsid w:val="004B2C2D"/>
    <w:rsid w:val="004B2D3B"/>
    <w:rsid w:val="004B2EB7"/>
    <w:rsid w:val="004B2F9B"/>
    <w:rsid w:val="004B2FE2"/>
    <w:rsid w:val="004B3090"/>
    <w:rsid w:val="004B3197"/>
    <w:rsid w:val="004B3303"/>
    <w:rsid w:val="004B330F"/>
    <w:rsid w:val="004B34ED"/>
    <w:rsid w:val="004B3674"/>
    <w:rsid w:val="004B37F8"/>
    <w:rsid w:val="004B38C4"/>
    <w:rsid w:val="004B3A3A"/>
    <w:rsid w:val="004B3B49"/>
    <w:rsid w:val="004B3DE5"/>
    <w:rsid w:val="004B40DB"/>
    <w:rsid w:val="004B4279"/>
    <w:rsid w:val="004B4425"/>
    <w:rsid w:val="004B44A7"/>
    <w:rsid w:val="004B47C7"/>
    <w:rsid w:val="004B4A24"/>
    <w:rsid w:val="004B4C3A"/>
    <w:rsid w:val="004B4DEA"/>
    <w:rsid w:val="004B4F6A"/>
    <w:rsid w:val="004B4FC1"/>
    <w:rsid w:val="004B531B"/>
    <w:rsid w:val="004B5418"/>
    <w:rsid w:val="004B5888"/>
    <w:rsid w:val="004B59B3"/>
    <w:rsid w:val="004B5AA4"/>
    <w:rsid w:val="004B5B77"/>
    <w:rsid w:val="004B5DF0"/>
    <w:rsid w:val="004B61B4"/>
    <w:rsid w:val="004B6375"/>
    <w:rsid w:val="004B64DF"/>
    <w:rsid w:val="004B6535"/>
    <w:rsid w:val="004B674A"/>
    <w:rsid w:val="004B6E4F"/>
    <w:rsid w:val="004B6F79"/>
    <w:rsid w:val="004B6FB3"/>
    <w:rsid w:val="004B70C1"/>
    <w:rsid w:val="004B71DA"/>
    <w:rsid w:val="004B74F5"/>
    <w:rsid w:val="004B75DC"/>
    <w:rsid w:val="004B75E9"/>
    <w:rsid w:val="004B7692"/>
    <w:rsid w:val="004B7885"/>
    <w:rsid w:val="004B78A9"/>
    <w:rsid w:val="004B7C1A"/>
    <w:rsid w:val="004B7D30"/>
    <w:rsid w:val="004B7E03"/>
    <w:rsid w:val="004B7EED"/>
    <w:rsid w:val="004C0134"/>
    <w:rsid w:val="004C02E7"/>
    <w:rsid w:val="004C04B6"/>
    <w:rsid w:val="004C0536"/>
    <w:rsid w:val="004C05E3"/>
    <w:rsid w:val="004C067B"/>
    <w:rsid w:val="004C0BC1"/>
    <w:rsid w:val="004C0CCC"/>
    <w:rsid w:val="004C0D50"/>
    <w:rsid w:val="004C0E0D"/>
    <w:rsid w:val="004C11A2"/>
    <w:rsid w:val="004C1250"/>
    <w:rsid w:val="004C127C"/>
    <w:rsid w:val="004C12AF"/>
    <w:rsid w:val="004C1367"/>
    <w:rsid w:val="004C16AC"/>
    <w:rsid w:val="004C16B4"/>
    <w:rsid w:val="004C1863"/>
    <w:rsid w:val="004C194F"/>
    <w:rsid w:val="004C1B0D"/>
    <w:rsid w:val="004C1FD6"/>
    <w:rsid w:val="004C1FE5"/>
    <w:rsid w:val="004C2649"/>
    <w:rsid w:val="004C2690"/>
    <w:rsid w:val="004C26E3"/>
    <w:rsid w:val="004C2737"/>
    <w:rsid w:val="004C2AFC"/>
    <w:rsid w:val="004C2F1B"/>
    <w:rsid w:val="004C33E7"/>
    <w:rsid w:val="004C3610"/>
    <w:rsid w:val="004C374F"/>
    <w:rsid w:val="004C38F3"/>
    <w:rsid w:val="004C3C99"/>
    <w:rsid w:val="004C3DF0"/>
    <w:rsid w:val="004C3DF9"/>
    <w:rsid w:val="004C3F5A"/>
    <w:rsid w:val="004C41E5"/>
    <w:rsid w:val="004C4279"/>
    <w:rsid w:val="004C428C"/>
    <w:rsid w:val="004C4332"/>
    <w:rsid w:val="004C4514"/>
    <w:rsid w:val="004C4664"/>
    <w:rsid w:val="004C4816"/>
    <w:rsid w:val="004C4845"/>
    <w:rsid w:val="004C492C"/>
    <w:rsid w:val="004C4B7F"/>
    <w:rsid w:val="004C4B8C"/>
    <w:rsid w:val="004C4BB4"/>
    <w:rsid w:val="004C4F3C"/>
    <w:rsid w:val="004C5148"/>
    <w:rsid w:val="004C516F"/>
    <w:rsid w:val="004C517D"/>
    <w:rsid w:val="004C55B5"/>
    <w:rsid w:val="004C5701"/>
    <w:rsid w:val="004C5804"/>
    <w:rsid w:val="004C5920"/>
    <w:rsid w:val="004C5C2B"/>
    <w:rsid w:val="004C5FF0"/>
    <w:rsid w:val="004C60C2"/>
    <w:rsid w:val="004C63A6"/>
    <w:rsid w:val="004C63B5"/>
    <w:rsid w:val="004C6A6B"/>
    <w:rsid w:val="004C6C4D"/>
    <w:rsid w:val="004C6DCD"/>
    <w:rsid w:val="004C6DE0"/>
    <w:rsid w:val="004C7028"/>
    <w:rsid w:val="004C73AE"/>
    <w:rsid w:val="004C73BD"/>
    <w:rsid w:val="004C7545"/>
    <w:rsid w:val="004C759C"/>
    <w:rsid w:val="004C7E97"/>
    <w:rsid w:val="004D0069"/>
    <w:rsid w:val="004D006F"/>
    <w:rsid w:val="004D009A"/>
    <w:rsid w:val="004D00C0"/>
    <w:rsid w:val="004D0421"/>
    <w:rsid w:val="004D043F"/>
    <w:rsid w:val="004D0A2E"/>
    <w:rsid w:val="004D0B35"/>
    <w:rsid w:val="004D0B5D"/>
    <w:rsid w:val="004D0C6A"/>
    <w:rsid w:val="004D0DAA"/>
    <w:rsid w:val="004D0E5E"/>
    <w:rsid w:val="004D1128"/>
    <w:rsid w:val="004D1751"/>
    <w:rsid w:val="004D1A3D"/>
    <w:rsid w:val="004D1AD5"/>
    <w:rsid w:val="004D1C2A"/>
    <w:rsid w:val="004D1EFD"/>
    <w:rsid w:val="004D20FC"/>
    <w:rsid w:val="004D296A"/>
    <w:rsid w:val="004D29F6"/>
    <w:rsid w:val="004D2CB5"/>
    <w:rsid w:val="004D2CF1"/>
    <w:rsid w:val="004D2E74"/>
    <w:rsid w:val="004D2FE2"/>
    <w:rsid w:val="004D308F"/>
    <w:rsid w:val="004D3176"/>
    <w:rsid w:val="004D33B1"/>
    <w:rsid w:val="004D33DC"/>
    <w:rsid w:val="004D35D1"/>
    <w:rsid w:val="004D36D5"/>
    <w:rsid w:val="004D38B1"/>
    <w:rsid w:val="004D395E"/>
    <w:rsid w:val="004D3A5B"/>
    <w:rsid w:val="004D3AB9"/>
    <w:rsid w:val="004D3B71"/>
    <w:rsid w:val="004D3C94"/>
    <w:rsid w:val="004D3DCB"/>
    <w:rsid w:val="004D4054"/>
    <w:rsid w:val="004D4397"/>
    <w:rsid w:val="004D4597"/>
    <w:rsid w:val="004D45A2"/>
    <w:rsid w:val="004D45F2"/>
    <w:rsid w:val="004D4734"/>
    <w:rsid w:val="004D47F9"/>
    <w:rsid w:val="004D4893"/>
    <w:rsid w:val="004D489A"/>
    <w:rsid w:val="004D4C98"/>
    <w:rsid w:val="004D4EA7"/>
    <w:rsid w:val="004D4F7F"/>
    <w:rsid w:val="004D5280"/>
    <w:rsid w:val="004D55F3"/>
    <w:rsid w:val="004D58A9"/>
    <w:rsid w:val="004D58C1"/>
    <w:rsid w:val="004D59ED"/>
    <w:rsid w:val="004D5C7D"/>
    <w:rsid w:val="004D5CEC"/>
    <w:rsid w:val="004D5D02"/>
    <w:rsid w:val="004D5DA1"/>
    <w:rsid w:val="004D5F03"/>
    <w:rsid w:val="004D5F97"/>
    <w:rsid w:val="004D60D6"/>
    <w:rsid w:val="004D63A5"/>
    <w:rsid w:val="004D6649"/>
    <w:rsid w:val="004D6823"/>
    <w:rsid w:val="004D683D"/>
    <w:rsid w:val="004D6916"/>
    <w:rsid w:val="004D69EE"/>
    <w:rsid w:val="004D6B3C"/>
    <w:rsid w:val="004D6DCC"/>
    <w:rsid w:val="004D6F80"/>
    <w:rsid w:val="004D6F83"/>
    <w:rsid w:val="004D7053"/>
    <w:rsid w:val="004D7B1C"/>
    <w:rsid w:val="004D7B53"/>
    <w:rsid w:val="004D7CE9"/>
    <w:rsid w:val="004D7EAD"/>
    <w:rsid w:val="004D7EFF"/>
    <w:rsid w:val="004D7F00"/>
    <w:rsid w:val="004D7F2C"/>
    <w:rsid w:val="004E0112"/>
    <w:rsid w:val="004E01F8"/>
    <w:rsid w:val="004E034D"/>
    <w:rsid w:val="004E0713"/>
    <w:rsid w:val="004E07A0"/>
    <w:rsid w:val="004E07F9"/>
    <w:rsid w:val="004E0813"/>
    <w:rsid w:val="004E0871"/>
    <w:rsid w:val="004E087A"/>
    <w:rsid w:val="004E08FD"/>
    <w:rsid w:val="004E0A5C"/>
    <w:rsid w:val="004E0AC8"/>
    <w:rsid w:val="004E0F0B"/>
    <w:rsid w:val="004E0F13"/>
    <w:rsid w:val="004E0F73"/>
    <w:rsid w:val="004E12BE"/>
    <w:rsid w:val="004E1620"/>
    <w:rsid w:val="004E1789"/>
    <w:rsid w:val="004E182F"/>
    <w:rsid w:val="004E1AB7"/>
    <w:rsid w:val="004E1C54"/>
    <w:rsid w:val="004E1DA0"/>
    <w:rsid w:val="004E1E02"/>
    <w:rsid w:val="004E2215"/>
    <w:rsid w:val="004E2279"/>
    <w:rsid w:val="004E25C5"/>
    <w:rsid w:val="004E26C1"/>
    <w:rsid w:val="004E286B"/>
    <w:rsid w:val="004E289B"/>
    <w:rsid w:val="004E2B56"/>
    <w:rsid w:val="004E2BE7"/>
    <w:rsid w:val="004E2D79"/>
    <w:rsid w:val="004E2F3A"/>
    <w:rsid w:val="004E2FDE"/>
    <w:rsid w:val="004E3390"/>
    <w:rsid w:val="004E33F8"/>
    <w:rsid w:val="004E3694"/>
    <w:rsid w:val="004E37BC"/>
    <w:rsid w:val="004E3857"/>
    <w:rsid w:val="004E38A8"/>
    <w:rsid w:val="004E3A4F"/>
    <w:rsid w:val="004E3DD3"/>
    <w:rsid w:val="004E3EFD"/>
    <w:rsid w:val="004E3FD9"/>
    <w:rsid w:val="004E4443"/>
    <w:rsid w:val="004E484D"/>
    <w:rsid w:val="004E48DB"/>
    <w:rsid w:val="004E4B4B"/>
    <w:rsid w:val="004E4C08"/>
    <w:rsid w:val="004E4DB0"/>
    <w:rsid w:val="004E4E60"/>
    <w:rsid w:val="004E4E9F"/>
    <w:rsid w:val="004E4F64"/>
    <w:rsid w:val="004E4F6C"/>
    <w:rsid w:val="004E518C"/>
    <w:rsid w:val="004E5197"/>
    <w:rsid w:val="004E53E4"/>
    <w:rsid w:val="004E569F"/>
    <w:rsid w:val="004E57BA"/>
    <w:rsid w:val="004E5B1C"/>
    <w:rsid w:val="004E5BD6"/>
    <w:rsid w:val="004E5D0B"/>
    <w:rsid w:val="004E5D37"/>
    <w:rsid w:val="004E5DBA"/>
    <w:rsid w:val="004E6013"/>
    <w:rsid w:val="004E6151"/>
    <w:rsid w:val="004E62F9"/>
    <w:rsid w:val="004E6305"/>
    <w:rsid w:val="004E6306"/>
    <w:rsid w:val="004E63F8"/>
    <w:rsid w:val="004E63FB"/>
    <w:rsid w:val="004E644F"/>
    <w:rsid w:val="004E64E6"/>
    <w:rsid w:val="004E671F"/>
    <w:rsid w:val="004E6D27"/>
    <w:rsid w:val="004E6F1B"/>
    <w:rsid w:val="004E6F9D"/>
    <w:rsid w:val="004E710D"/>
    <w:rsid w:val="004E7308"/>
    <w:rsid w:val="004E74CF"/>
    <w:rsid w:val="004E7631"/>
    <w:rsid w:val="004E7E39"/>
    <w:rsid w:val="004E7EE8"/>
    <w:rsid w:val="004E7FDA"/>
    <w:rsid w:val="004F047C"/>
    <w:rsid w:val="004F0727"/>
    <w:rsid w:val="004F0836"/>
    <w:rsid w:val="004F093D"/>
    <w:rsid w:val="004F09D8"/>
    <w:rsid w:val="004F0E1A"/>
    <w:rsid w:val="004F0FC4"/>
    <w:rsid w:val="004F0FCB"/>
    <w:rsid w:val="004F109F"/>
    <w:rsid w:val="004F14D9"/>
    <w:rsid w:val="004F1740"/>
    <w:rsid w:val="004F18DD"/>
    <w:rsid w:val="004F1998"/>
    <w:rsid w:val="004F1AED"/>
    <w:rsid w:val="004F1C7F"/>
    <w:rsid w:val="004F1EA2"/>
    <w:rsid w:val="004F1EB6"/>
    <w:rsid w:val="004F1F60"/>
    <w:rsid w:val="004F1FCA"/>
    <w:rsid w:val="004F208C"/>
    <w:rsid w:val="004F215C"/>
    <w:rsid w:val="004F2251"/>
    <w:rsid w:val="004F233F"/>
    <w:rsid w:val="004F249A"/>
    <w:rsid w:val="004F265D"/>
    <w:rsid w:val="004F295E"/>
    <w:rsid w:val="004F2ED0"/>
    <w:rsid w:val="004F3245"/>
    <w:rsid w:val="004F32CD"/>
    <w:rsid w:val="004F353E"/>
    <w:rsid w:val="004F3986"/>
    <w:rsid w:val="004F3AEB"/>
    <w:rsid w:val="004F3AF6"/>
    <w:rsid w:val="004F3BBC"/>
    <w:rsid w:val="004F3C0F"/>
    <w:rsid w:val="004F3CFE"/>
    <w:rsid w:val="004F3D74"/>
    <w:rsid w:val="004F40D4"/>
    <w:rsid w:val="004F4392"/>
    <w:rsid w:val="004F45C0"/>
    <w:rsid w:val="004F471A"/>
    <w:rsid w:val="004F498D"/>
    <w:rsid w:val="004F4B99"/>
    <w:rsid w:val="004F4C7D"/>
    <w:rsid w:val="004F4DFC"/>
    <w:rsid w:val="004F4E74"/>
    <w:rsid w:val="004F4EF7"/>
    <w:rsid w:val="004F4FB1"/>
    <w:rsid w:val="004F51C8"/>
    <w:rsid w:val="004F5329"/>
    <w:rsid w:val="004F535F"/>
    <w:rsid w:val="004F5432"/>
    <w:rsid w:val="004F54D0"/>
    <w:rsid w:val="004F55C1"/>
    <w:rsid w:val="004F56DD"/>
    <w:rsid w:val="004F577B"/>
    <w:rsid w:val="004F583A"/>
    <w:rsid w:val="004F598A"/>
    <w:rsid w:val="004F5A90"/>
    <w:rsid w:val="004F5B86"/>
    <w:rsid w:val="004F5C1D"/>
    <w:rsid w:val="004F5CE5"/>
    <w:rsid w:val="004F5E5C"/>
    <w:rsid w:val="004F5E82"/>
    <w:rsid w:val="004F6077"/>
    <w:rsid w:val="004F6222"/>
    <w:rsid w:val="004F62B5"/>
    <w:rsid w:val="004F646A"/>
    <w:rsid w:val="004F651B"/>
    <w:rsid w:val="004F661F"/>
    <w:rsid w:val="004F688A"/>
    <w:rsid w:val="004F6A0F"/>
    <w:rsid w:val="004F6B48"/>
    <w:rsid w:val="004F6E4D"/>
    <w:rsid w:val="004F71CC"/>
    <w:rsid w:val="004F723B"/>
    <w:rsid w:val="004F7341"/>
    <w:rsid w:val="004F7535"/>
    <w:rsid w:val="004F755D"/>
    <w:rsid w:val="004F75FA"/>
    <w:rsid w:val="004F7741"/>
    <w:rsid w:val="004F788F"/>
    <w:rsid w:val="004F78AB"/>
    <w:rsid w:val="004F7DD5"/>
    <w:rsid w:val="004F7FB6"/>
    <w:rsid w:val="004F8DE3"/>
    <w:rsid w:val="00500256"/>
    <w:rsid w:val="00500487"/>
    <w:rsid w:val="005005D5"/>
    <w:rsid w:val="005006CE"/>
    <w:rsid w:val="005007F1"/>
    <w:rsid w:val="005009A3"/>
    <w:rsid w:val="00500A88"/>
    <w:rsid w:val="00500C27"/>
    <w:rsid w:val="00500C29"/>
    <w:rsid w:val="00500D85"/>
    <w:rsid w:val="00500F88"/>
    <w:rsid w:val="00500FC3"/>
    <w:rsid w:val="005014E9"/>
    <w:rsid w:val="00501530"/>
    <w:rsid w:val="0050160F"/>
    <w:rsid w:val="00501692"/>
    <w:rsid w:val="0050199F"/>
    <w:rsid w:val="005019C3"/>
    <w:rsid w:val="00502003"/>
    <w:rsid w:val="0050244E"/>
    <w:rsid w:val="00502714"/>
    <w:rsid w:val="0050287A"/>
    <w:rsid w:val="005028F6"/>
    <w:rsid w:val="005029A9"/>
    <w:rsid w:val="00502BB4"/>
    <w:rsid w:val="00502C0F"/>
    <w:rsid w:val="00502D0B"/>
    <w:rsid w:val="00502E05"/>
    <w:rsid w:val="00502E0E"/>
    <w:rsid w:val="00503702"/>
    <w:rsid w:val="00503E34"/>
    <w:rsid w:val="00503E61"/>
    <w:rsid w:val="00503EFB"/>
    <w:rsid w:val="00503F0B"/>
    <w:rsid w:val="005041B3"/>
    <w:rsid w:val="005042BF"/>
    <w:rsid w:val="005043C6"/>
    <w:rsid w:val="0050457A"/>
    <w:rsid w:val="00504603"/>
    <w:rsid w:val="005049C5"/>
    <w:rsid w:val="00504B61"/>
    <w:rsid w:val="00504CF3"/>
    <w:rsid w:val="00504F9F"/>
    <w:rsid w:val="00505025"/>
    <w:rsid w:val="005051FF"/>
    <w:rsid w:val="00505356"/>
    <w:rsid w:val="00505473"/>
    <w:rsid w:val="005058EF"/>
    <w:rsid w:val="005059E0"/>
    <w:rsid w:val="00505A49"/>
    <w:rsid w:val="00505C7C"/>
    <w:rsid w:val="00505DFD"/>
    <w:rsid w:val="005061D8"/>
    <w:rsid w:val="005065AE"/>
    <w:rsid w:val="00506691"/>
    <w:rsid w:val="005066EB"/>
    <w:rsid w:val="0050684B"/>
    <w:rsid w:val="00506970"/>
    <w:rsid w:val="00506AD4"/>
    <w:rsid w:val="00506C40"/>
    <w:rsid w:val="00506E5F"/>
    <w:rsid w:val="00506EDA"/>
    <w:rsid w:val="00506F1E"/>
    <w:rsid w:val="00506FE1"/>
    <w:rsid w:val="00506FEE"/>
    <w:rsid w:val="005071BC"/>
    <w:rsid w:val="005072AF"/>
    <w:rsid w:val="005073BD"/>
    <w:rsid w:val="005073FC"/>
    <w:rsid w:val="005074F1"/>
    <w:rsid w:val="005078EF"/>
    <w:rsid w:val="00507993"/>
    <w:rsid w:val="00507BBE"/>
    <w:rsid w:val="00507C56"/>
    <w:rsid w:val="0050B592"/>
    <w:rsid w:val="005100A1"/>
    <w:rsid w:val="005100C3"/>
    <w:rsid w:val="005102FD"/>
    <w:rsid w:val="005106F1"/>
    <w:rsid w:val="0051082D"/>
    <w:rsid w:val="00510AF1"/>
    <w:rsid w:val="00510BD4"/>
    <w:rsid w:val="00510F9D"/>
    <w:rsid w:val="00511124"/>
    <w:rsid w:val="00511261"/>
    <w:rsid w:val="00511290"/>
    <w:rsid w:val="00511340"/>
    <w:rsid w:val="0051151B"/>
    <w:rsid w:val="005115CB"/>
    <w:rsid w:val="0051164C"/>
    <w:rsid w:val="0051194E"/>
    <w:rsid w:val="00511B78"/>
    <w:rsid w:val="00511C3F"/>
    <w:rsid w:val="00511D67"/>
    <w:rsid w:val="00511FB9"/>
    <w:rsid w:val="00511FFB"/>
    <w:rsid w:val="00512129"/>
    <w:rsid w:val="00512188"/>
    <w:rsid w:val="0051236C"/>
    <w:rsid w:val="00512532"/>
    <w:rsid w:val="0051270F"/>
    <w:rsid w:val="00512905"/>
    <w:rsid w:val="00512922"/>
    <w:rsid w:val="005129B0"/>
    <w:rsid w:val="00512B6D"/>
    <w:rsid w:val="00512B9D"/>
    <w:rsid w:val="00512D3D"/>
    <w:rsid w:val="00512D69"/>
    <w:rsid w:val="00512DA9"/>
    <w:rsid w:val="0051308A"/>
    <w:rsid w:val="005130E3"/>
    <w:rsid w:val="005131C9"/>
    <w:rsid w:val="0051331B"/>
    <w:rsid w:val="005133AB"/>
    <w:rsid w:val="005133F9"/>
    <w:rsid w:val="005135B7"/>
    <w:rsid w:val="00513A47"/>
    <w:rsid w:val="00513FF2"/>
    <w:rsid w:val="00514C3E"/>
    <w:rsid w:val="00514C58"/>
    <w:rsid w:val="00514D0C"/>
    <w:rsid w:val="00514E62"/>
    <w:rsid w:val="0051525A"/>
    <w:rsid w:val="005157AE"/>
    <w:rsid w:val="00515C18"/>
    <w:rsid w:val="00515D2A"/>
    <w:rsid w:val="00516015"/>
    <w:rsid w:val="0051604F"/>
    <w:rsid w:val="00516092"/>
    <w:rsid w:val="005160C3"/>
    <w:rsid w:val="0051616E"/>
    <w:rsid w:val="005161C5"/>
    <w:rsid w:val="005162BA"/>
    <w:rsid w:val="005162E3"/>
    <w:rsid w:val="005163AF"/>
    <w:rsid w:val="005163D1"/>
    <w:rsid w:val="0051641A"/>
    <w:rsid w:val="0051646F"/>
    <w:rsid w:val="005164D5"/>
    <w:rsid w:val="0051663E"/>
    <w:rsid w:val="00516AD9"/>
    <w:rsid w:val="00516EE5"/>
    <w:rsid w:val="00516F4A"/>
    <w:rsid w:val="005170F9"/>
    <w:rsid w:val="00517178"/>
    <w:rsid w:val="00517515"/>
    <w:rsid w:val="00517556"/>
    <w:rsid w:val="00517587"/>
    <w:rsid w:val="005177E0"/>
    <w:rsid w:val="00517860"/>
    <w:rsid w:val="00517A8E"/>
    <w:rsid w:val="00517B7B"/>
    <w:rsid w:val="00517BBC"/>
    <w:rsid w:val="00517C7E"/>
    <w:rsid w:val="00517D6D"/>
    <w:rsid w:val="0052092D"/>
    <w:rsid w:val="00520964"/>
    <w:rsid w:val="00520A09"/>
    <w:rsid w:val="00520B16"/>
    <w:rsid w:val="00520BD7"/>
    <w:rsid w:val="00520F44"/>
    <w:rsid w:val="005212A2"/>
    <w:rsid w:val="005214CF"/>
    <w:rsid w:val="005215CD"/>
    <w:rsid w:val="00521781"/>
    <w:rsid w:val="0052197E"/>
    <w:rsid w:val="00521986"/>
    <w:rsid w:val="00521998"/>
    <w:rsid w:val="00521BA3"/>
    <w:rsid w:val="00521D16"/>
    <w:rsid w:val="0052215C"/>
    <w:rsid w:val="00522217"/>
    <w:rsid w:val="0052235F"/>
    <w:rsid w:val="0052243B"/>
    <w:rsid w:val="005227A4"/>
    <w:rsid w:val="005227C1"/>
    <w:rsid w:val="00522A0F"/>
    <w:rsid w:val="00522CFA"/>
    <w:rsid w:val="00522E4F"/>
    <w:rsid w:val="00523108"/>
    <w:rsid w:val="00523479"/>
    <w:rsid w:val="00523686"/>
    <w:rsid w:val="005236F5"/>
    <w:rsid w:val="00523730"/>
    <w:rsid w:val="005237E7"/>
    <w:rsid w:val="00523848"/>
    <w:rsid w:val="00523A5A"/>
    <w:rsid w:val="00524079"/>
    <w:rsid w:val="0052464F"/>
    <w:rsid w:val="005248CE"/>
    <w:rsid w:val="00524A94"/>
    <w:rsid w:val="00524AE9"/>
    <w:rsid w:val="00524B0D"/>
    <w:rsid w:val="00525473"/>
    <w:rsid w:val="00525B01"/>
    <w:rsid w:val="00525E51"/>
    <w:rsid w:val="00525E82"/>
    <w:rsid w:val="00525F2E"/>
    <w:rsid w:val="00526215"/>
    <w:rsid w:val="00526463"/>
    <w:rsid w:val="00526564"/>
    <w:rsid w:val="00526597"/>
    <w:rsid w:val="005265B5"/>
    <w:rsid w:val="0052694F"/>
    <w:rsid w:val="00526A8E"/>
    <w:rsid w:val="00526C3A"/>
    <w:rsid w:val="00526F06"/>
    <w:rsid w:val="00526F2D"/>
    <w:rsid w:val="00526FA8"/>
    <w:rsid w:val="005272DF"/>
    <w:rsid w:val="00527430"/>
    <w:rsid w:val="00527504"/>
    <w:rsid w:val="0052753C"/>
    <w:rsid w:val="005275E2"/>
    <w:rsid w:val="0052770D"/>
    <w:rsid w:val="0052773A"/>
    <w:rsid w:val="00527893"/>
    <w:rsid w:val="00527BFE"/>
    <w:rsid w:val="00527C70"/>
    <w:rsid w:val="00527E04"/>
    <w:rsid w:val="00527E3F"/>
    <w:rsid w:val="00527EB0"/>
    <w:rsid w:val="0053000B"/>
    <w:rsid w:val="005301D0"/>
    <w:rsid w:val="005304A2"/>
    <w:rsid w:val="005304CD"/>
    <w:rsid w:val="005305BB"/>
    <w:rsid w:val="00530828"/>
    <w:rsid w:val="00530EB2"/>
    <w:rsid w:val="00530F1D"/>
    <w:rsid w:val="00530FC4"/>
    <w:rsid w:val="00530FC9"/>
    <w:rsid w:val="005311A8"/>
    <w:rsid w:val="0053136D"/>
    <w:rsid w:val="005313DB"/>
    <w:rsid w:val="005313E1"/>
    <w:rsid w:val="00531655"/>
    <w:rsid w:val="00531784"/>
    <w:rsid w:val="0053178A"/>
    <w:rsid w:val="005317D1"/>
    <w:rsid w:val="00531835"/>
    <w:rsid w:val="00531C2C"/>
    <w:rsid w:val="00531D4D"/>
    <w:rsid w:val="00531D6E"/>
    <w:rsid w:val="00531F58"/>
    <w:rsid w:val="0053237F"/>
    <w:rsid w:val="00532415"/>
    <w:rsid w:val="00532423"/>
    <w:rsid w:val="00532640"/>
    <w:rsid w:val="00532A03"/>
    <w:rsid w:val="00532CB1"/>
    <w:rsid w:val="00533001"/>
    <w:rsid w:val="0053301C"/>
    <w:rsid w:val="00533084"/>
    <w:rsid w:val="005330EF"/>
    <w:rsid w:val="00533833"/>
    <w:rsid w:val="0053398B"/>
    <w:rsid w:val="00533A1B"/>
    <w:rsid w:val="00533A97"/>
    <w:rsid w:val="00533F60"/>
    <w:rsid w:val="00534049"/>
    <w:rsid w:val="005340B6"/>
    <w:rsid w:val="0053442F"/>
    <w:rsid w:val="00534492"/>
    <w:rsid w:val="0053452D"/>
    <w:rsid w:val="00534846"/>
    <w:rsid w:val="00534918"/>
    <w:rsid w:val="00534B6C"/>
    <w:rsid w:val="00534CEA"/>
    <w:rsid w:val="00534F2F"/>
    <w:rsid w:val="005350D5"/>
    <w:rsid w:val="00535278"/>
    <w:rsid w:val="00535528"/>
    <w:rsid w:val="00535586"/>
    <w:rsid w:val="005355A4"/>
    <w:rsid w:val="00535706"/>
    <w:rsid w:val="00535CAB"/>
    <w:rsid w:val="00535DD5"/>
    <w:rsid w:val="00535F23"/>
    <w:rsid w:val="00536084"/>
    <w:rsid w:val="005362AE"/>
    <w:rsid w:val="005363E6"/>
    <w:rsid w:val="0053645B"/>
    <w:rsid w:val="00536483"/>
    <w:rsid w:val="005364CF"/>
    <w:rsid w:val="005366D1"/>
    <w:rsid w:val="00536A3B"/>
    <w:rsid w:val="00536B53"/>
    <w:rsid w:val="00536B83"/>
    <w:rsid w:val="00536D3A"/>
    <w:rsid w:val="00536E5B"/>
    <w:rsid w:val="00536E86"/>
    <w:rsid w:val="005370BA"/>
    <w:rsid w:val="00537187"/>
    <w:rsid w:val="0053728E"/>
    <w:rsid w:val="00537381"/>
    <w:rsid w:val="00537397"/>
    <w:rsid w:val="00537633"/>
    <w:rsid w:val="005376B3"/>
    <w:rsid w:val="00537839"/>
    <w:rsid w:val="00537868"/>
    <w:rsid w:val="00537B4C"/>
    <w:rsid w:val="00537C19"/>
    <w:rsid w:val="00537F93"/>
    <w:rsid w:val="00540000"/>
    <w:rsid w:val="00540072"/>
    <w:rsid w:val="005401CF"/>
    <w:rsid w:val="00540446"/>
    <w:rsid w:val="00540476"/>
    <w:rsid w:val="00540497"/>
    <w:rsid w:val="005404D3"/>
    <w:rsid w:val="00540846"/>
    <w:rsid w:val="0054084A"/>
    <w:rsid w:val="005408E9"/>
    <w:rsid w:val="0054094F"/>
    <w:rsid w:val="0054095A"/>
    <w:rsid w:val="00540A06"/>
    <w:rsid w:val="00540A0C"/>
    <w:rsid w:val="00540ADC"/>
    <w:rsid w:val="00540B75"/>
    <w:rsid w:val="00540CC3"/>
    <w:rsid w:val="00540D31"/>
    <w:rsid w:val="00541049"/>
    <w:rsid w:val="00541079"/>
    <w:rsid w:val="0054108F"/>
    <w:rsid w:val="005410B1"/>
    <w:rsid w:val="00541335"/>
    <w:rsid w:val="00541638"/>
    <w:rsid w:val="005419C7"/>
    <w:rsid w:val="00541A9A"/>
    <w:rsid w:val="00541E6C"/>
    <w:rsid w:val="005420AA"/>
    <w:rsid w:val="005420C9"/>
    <w:rsid w:val="005421B8"/>
    <w:rsid w:val="005421BB"/>
    <w:rsid w:val="00542204"/>
    <w:rsid w:val="005422A2"/>
    <w:rsid w:val="0054237B"/>
    <w:rsid w:val="0054242B"/>
    <w:rsid w:val="00542715"/>
    <w:rsid w:val="005429DB"/>
    <w:rsid w:val="00542C2D"/>
    <w:rsid w:val="00542C59"/>
    <w:rsid w:val="00543118"/>
    <w:rsid w:val="00543119"/>
    <w:rsid w:val="00543121"/>
    <w:rsid w:val="005433D1"/>
    <w:rsid w:val="0054349D"/>
    <w:rsid w:val="005434EA"/>
    <w:rsid w:val="005434EF"/>
    <w:rsid w:val="005438DB"/>
    <w:rsid w:val="00543BFE"/>
    <w:rsid w:val="00543D66"/>
    <w:rsid w:val="00543DDE"/>
    <w:rsid w:val="00543E7A"/>
    <w:rsid w:val="005441AF"/>
    <w:rsid w:val="00544410"/>
    <w:rsid w:val="0054452D"/>
    <w:rsid w:val="00544530"/>
    <w:rsid w:val="00544597"/>
    <w:rsid w:val="00544636"/>
    <w:rsid w:val="00544656"/>
    <w:rsid w:val="00544703"/>
    <w:rsid w:val="005447DC"/>
    <w:rsid w:val="00544A1F"/>
    <w:rsid w:val="00544A78"/>
    <w:rsid w:val="00544B67"/>
    <w:rsid w:val="00544C90"/>
    <w:rsid w:val="00544E4A"/>
    <w:rsid w:val="00544F55"/>
    <w:rsid w:val="005457F4"/>
    <w:rsid w:val="00545A36"/>
    <w:rsid w:val="00545B7C"/>
    <w:rsid w:val="00545C4D"/>
    <w:rsid w:val="00545E29"/>
    <w:rsid w:val="00545E47"/>
    <w:rsid w:val="00545E5D"/>
    <w:rsid w:val="00545FB9"/>
    <w:rsid w:val="005461CE"/>
    <w:rsid w:val="005461D1"/>
    <w:rsid w:val="0054654A"/>
    <w:rsid w:val="005468ED"/>
    <w:rsid w:val="00546D45"/>
    <w:rsid w:val="00546DF8"/>
    <w:rsid w:val="00546E83"/>
    <w:rsid w:val="00546EAF"/>
    <w:rsid w:val="00546F13"/>
    <w:rsid w:val="00547039"/>
    <w:rsid w:val="0054703E"/>
    <w:rsid w:val="005470ED"/>
    <w:rsid w:val="005473F2"/>
    <w:rsid w:val="0054745B"/>
    <w:rsid w:val="00547671"/>
    <w:rsid w:val="00547761"/>
    <w:rsid w:val="0054793F"/>
    <w:rsid w:val="00547983"/>
    <w:rsid w:val="00547B4E"/>
    <w:rsid w:val="00547C1D"/>
    <w:rsid w:val="00547FB9"/>
    <w:rsid w:val="005502A5"/>
    <w:rsid w:val="005506BD"/>
    <w:rsid w:val="00550B0A"/>
    <w:rsid w:val="00550ECA"/>
    <w:rsid w:val="00551182"/>
    <w:rsid w:val="00551206"/>
    <w:rsid w:val="0055154C"/>
    <w:rsid w:val="00551574"/>
    <w:rsid w:val="005515AB"/>
    <w:rsid w:val="00551657"/>
    <w:rsid w:val="005516D7"/>
    <w:rsid w:val="005518F8"/>
    <w:rsid w:val="0055192B"/>
    <w:rsid w:val="005519B9"/>
    <w:rsid w:val="00551AD9"/>
    <w:rsid w:val="00551B22"/>
    <w:rsid w:val="00551C7F"/>
    <w:rsid w:val="00551CC1"/>
    <w:rsid w:val="00551DD2"/>
    <w:rsid w:val="00551FD7"/>
    <w:rsid w:val="00551FF9"/>
    <w:rsid w:val="0055209C"/>
    <w:rsid w:val="00552102"/>
    <w:rsid w:val="005521A9"/>
    <w:rsid w:val="005525D8"/>
    <w:rsid w:val="005526C9"/>
    <w:rsid w:val="005526E4"/>
    <w:rsid w:val="005527C1"/>
    <w:rsid w:val="00552892"/>
    <w:rsid w:val="005528A4"/>
    <w:rsid w:val="00552F94"/>
    <w:rsid w:val="005531A0"/>
    <w:rsid w:val="005532CC"/>
    <w:rsid w:val="0055372E"/>
    <w:rsid w:val="005537A9"/>
    <w:rsid w:val="005538F4"/>
    <w:rsid w:val="00553B47"/>
    <w:rsid w:val="00553D7B"/>
    <w:rsid w:val="00553D87"/>
    <w:rsid w:val="00553DE6"/>
    <w:rsid w:val="00553E46"/>
    <w:rsid w:val="00554710"/>
    <w:rsid w:val="00554B25"/>
    <w:rsid w:val="00554D69"/>
    <w:rsid w:val="0055512E"/>
    <w:rsid w:val="0055513E"/>
    <w:rsid w:val="00555188"/>
    <w:rsid w:val="005551D3"/>
    <w:rsid w:val="00555271"/>
    <w:rsid w:val="00555745"/>
    <w:rsid w:val="00555828"/>
    <w:rsid w:val="00555A7F"/>
    <w:rsid w:val="00555B57"/>
    <w:rsid w:val="00555B6D"/>
    <w:rsid w:val="00555C3F"/>
    <w:rsid w:val="00555D1A"/>
    <w:rsid w:val="00555D42"/>
    <w:rsid w:val="00555D7F"/>
    <w:rsid w:val="00555D89"/>
    <w:rsid w:val="00555DE7"/>
    <w:rsid w:val="00555EA3"/>
    <w:rsid w:val="0055601A"/>
    <w:rsid w:val="00556154"/>
    <w:rsid w:val="005561EA"/>
    <w:rsid w:val="00556295"/>
    <w:rsid w:val="0055634F"/>
    <w:rsid w:val="00556400"/>
    <w:rsid w:val="0055640B"/>
    <w:rsid w:val="005564A2"/>
    <w:rsid w:val="005564C9"/>
    <w:rsid w:val="00556618"/>
    <w:rsid w:val="005566A1"/>
    <w:rsid w:val="00556715"/>
    <w:rsid w:val="00556899"/>
    <w:rsid w:val="005568CA"/>
    <w:rsid w:val="005568E3"/>
    <w:rsid w:val="00556A19"/>
    <w:rsid w:val="00556AB3"/>
    <w:rsid w:val="00556CFE"/>
    <w:rsid w:val="00556E67"/>
    <w:rsid w:val="00556EBE"/>
    <w:rsid w:val="00557317"/>
    <w:rsid w:val="005574ED"/>
    <w:rsid w:val="00557529"/>
    <w:rsid w:val="00557561"/>
    <w:rsid w:val="005575D8"/>
    <w:rsid w:val="0055779A"/>
    <w:rsid w:val="00557C88"/>
    <w:rsid w:val="00557C90"/>
    <w:rsid w:val="00557D33"/>
    <w:rsid w:val="00557E9C"/>
    <w:rsid w:val="00557F17"/>
    <w:rsid w:val="0055A616"/>
    <w:rsid w:val="00560029"/>
    <w:rsid w:val="00560143"/>
    <w:rsid w:val="00560EB6"/>
    <w:rsid w:val="00560EE5"/>
    <w:rsid w:val="00560EFC"/>
    <w:rsid w:val="00561172"/>
    <w:rsid w:val="00561204"/>
    <w:rsid w:val="005612F2"/>
    <w:rsid w:val="00561352"/>
    <w:rsid w:val="005615A1"/>
    <w:rsid w:val="00561695"/>
    <w:rsid w:val="005616EF"/>
    <w:rsid w:val="0056173E"/>
    <w:rsid w:val="0056175E"/>
    <w:rsid w:val="0056189D"/>
    <w:rsid w:val="005619C4"/>
    <w:rsid w:val="00561AA4"/>
    <w:rsid w:val="00561B2B"/>
    <w:rsid w:val="00561BF5"/>
    <w:rsid w:val="005620C4"/>
    <w:rsid w:val="00562281"/>
    <w:rsid w:val="00562445"/>
    <w:rsid w:val="00562479"/>
    <w:rsid w:val="00562866"/>
    <w:rsid w:val="00562A5B"/>
    <w:rsid w:val="00562AB3"/>
    <w:rsid w:val="00562BEF"/>
    <w:rsid w:val="00562E57"/>
    <w:rsid w:val="005632A5"/>
    <w:rsid w:val="005633FA"/>
    <w:rsid w:val="0056353B"/>
    <w:rsid w:val="0056392A"/>
    <w:rsid w:val="005639A7"/>
    <w:rsid w:val="005639B3"/>
    <w:rsid w:val="00563B22"/>
    <w:rsid w:val="00564120"/>
    <w:rsid w:val="00564A0D"/>
    <w:rsid w:val="00564E71"/>
    <w:rsid w:val="00565077"/>
    <w:rsid w:val="0056535A"/>
    <w:rsid w:val="00565467"/>
    <w:rsid w:val="005654DC"/>
    <w:rsid w:val="0056552F"/>
    <w:rsid w:val="00565573"/>
    <w:rsid w:val="0056566E"/>
    <w:rsid w:val="00565804"/>
    <w:rsid w:val="00565814"/>
    <w:rsid w:val="005658F1"/>
    <w:rsid w:val="00565985"/>
    <w:rsid w:val="00565BCE"/>
    <w:rsid w:val="00565EAD"/>
    <w:rsid w:val="00565F61"/>
    <w:rsid w:val="00566080"/>
    <w:rsid w:val="00566164"/>
    <w:rsid w:val="005661E7"/>
    <w:rsid w:val="00566211"/>
    <w:rsid w:val="00566247"/>
    <w:rsid w:val="00566308"/>
    <w:rsid w:val="005666A1"/>
    <w:rsid w:val="00566826"/>
    <w:rsid w:val="00566AA8"/>
    <w:rsid w:val="00566FDD"/>
    <w:rsid w:val="00567019"/>
    <w:rsid w:val="005670C9"/>
    <w:rsid w:val="00567655"/>
    <w:rsid w:val="00567754"/>
    <w:rsid w:val="00567971"/>
    <w:rsid w:val="00567A5A"/>
    <w:rsid w:val="00567CA6"/>
    <w:rsid w:val="00567E14"/>
    <w:rsid w:val="00567E24"/>
    <w:rsid w:val="00567FB5"/>
    <w:rsid w:val="0056D888"/>
    <w:rsid w:val="0057017E"/>
    <w:rsid w:val="005702A8"/>
    <w:rsid w:val="0057071E"/>
    <w:rsid w:val="0057072C"/>
    <w:rsid w:val="00570AB6"/>
    <w:rsid w:val="00570F43"/>
    <w:rsid w:val="00570FF5"/>
    <w:rsid w:val="0057128F"/>
    <w:rsid w:val="0057136F"/>
    <w:rsid w:val="0057186A"/>
    <w:rsid w:val="00571BB7"/>
    <w:rsid w:val="00571E0C"/>
    <w:rsid w:val="00571E4C"/>
    <w:rsid w:val="00571FA6"/>
    <w:rsid w:val="00572001"/>
    <w:rsid w:val="0057211F"/>
    <w:rsid w:val="00572472"/>
    <w:rsid w:val="005727DC"/>
    <w:rsid w:val="00572826"/>
    <w:rsid w:val="00572C26"/>
    <w:rsid w:val="00572D9A"/>
    <w:rsid w:val="00572EBC"/>
    <w:rsid w:val="00572F02"/>
    <w:rsid w:val="00573009"/>
    <w:rsid w:val="0057303E"/>
    <w:rsid w:val="005730B5"/>
    <w:rsid w:val="00573274"/>
    <w:rsid w:val="005732AF"/>
    <w:rsid w:val="005732F0"/>
    <w:rsid w:val="00573461"/>
    <w:rsid w:val="00573626"/>
    <w:rsid w:val="00573812"/>
    <w:rsid w:val="00573D54"/>
    <w:rsid w:val="00573D9F"/>
    <w:rsid w:val="00573E79"/>
    <w:rsid w:val="00573E9C"/>
    <w:rsid w:val="00573EC1"/>
    <w:rsid w:val="00573FD4"/>
    <w:rsid w:val="00574180"/>
    <w:rsid w:val="005741DD"/>
    <w:rsid w:val="00574523"/>
    <w:rsid w:val="0057455A"/>
    <w:rsid w:val="00574A7C"/>
    <w:rsid w:val="00574BE0"/>
    <w:rsid w:val="00574CA9"/>
    <w:rsid w:val="00574CD9"/>
    <w:rsid w:val="00574E5E"/>
    <w:rsid w:val="00574FE5"/>
    <w:rsid w:val="0057511E"/>
    <w:rsid w:val="0057524B"/>
    <w:rsid w:val="00575253"/>
    <w:rsid w:val="005757E7"/>
    <w:rsid w:val="00575828"/>
    <w:rsid w:val="005759FD"/>
    <w:rsid w:val="00575A1A"/>
    <w:rsid w:val="00575F9D"/>
    <w:rsid w:val="00576048"/>
    <w:rsid w:val="00576117"/>
    <w:rsid w:val="0057611C"/>
    <w:rsid w:val="0057623E"/>
    <w:rsid w:val="0057636F"/>
    <w:rsid w:val="0057649A"/>
    <w:rsid w:val="005764BA"/>
    <w:rsid w:val="005765AC"/>
    <w:rsid w:val="005765C6"/>
    <w:rsid w:val="005765CF"/>
    <w:rsid w:val="005766A7"/>
    <w:rsid w:val="005766FE"/>
    <w:rsid w:val="005768F4"/>
    <w:rsid w:val="00576940"/>
    <w:rsid w:val="005769BB"/>
    <w:rsid w:val="00576FD9"/>
    <w:rsid w:val="00577433"/>
    <w:rsid w:val="005775D7"/>
    <w:rsid w:val="00577762"/>
    <w:rsid w:val="00577992"/>
    <w:rsid w:val="00577AE4"/>
    <w:rsid w:val="00577BF3"/>
    <w:rsid w:val="00577C7B"/>
    <w:rsid w:val="00577F1B"/>
    <w:rsid w:val="00577F2A"/>
    <w:rsid w:val="00577F3C"/>
    <w:rsid w:val="00577FA7"/>
    <w:rsid w:val="005802D9"/>
    <w:rsid w:val="005802F8"/>
    <w:rsid w:val="0058035F"/>
    <w:rsid w:val="0058046F"/>
    <w:rsid w:val="00580667"/>
    <w:rsid w:val="0058072B"/>
    <w:rsid w:val="0058086C"/>
    <w:rsid w:val="005809E0"/>
    <w:rsid w:val="00580D20"/>
    <w:rsid w:val="0058100A"/>
    <w:rsid w:val="00581096"/>
    <w:rsid w:val="005813F7"/>
    <w:rsid w:val="00581480"/>
    <w:rsid w:val="00581574"/>
    <w:rsid w:val="005817D5"/>
    <w:rsid w:val="005818CA"/>
    <w:rsid w:val="005819E3"/>
    <w:rsid w:val="00581A01"/>
    <w:rsid w:val="00581B65"/>
    <w:rsid w:val="00581D13"/>
    <w:rsid w:val="00581F02"/>
    <w:rsid w:val="0058207A"/>
    <w:rsid w:val="005821FA"/>
    <w:rsid w:val="005822E2"/>
    <w:rsid w:val="0058252D"/>
    <w:rsid w:val="00582559"/>
    <w:rsid w:val="00582581"/>
    <w:rsid w:val="00582619"/>
    <w:rsid w:val="0058276E"/>
    <w:rsid w:val="005827C4"/>
    <w:rsid w:val="005828E7"/>
    <w:rsid w:val="005829BB"/>
    <w:rsid w:val="00582CB6"/>
    <w:rsid w:val="00582CC6"/>
    <w:rsid w:val="00582D16"/>
    <w:rsid w:val="00582FA7"/>
    <w:rsid w:val="00583318"/>
    <w:rsid w:val="005833CB"/>
    <w:rsid w:val="005833F2"/>
    <w:rsid w:val="005833FC"/>
    <w:rsid w:val="005835B1"/>
    <w:rsid w:val="0058365A"/>
    <w:rsid w:val="00583B91"/>
    <w:rsid w:val="00583BDD"/>
    <w:rsid w:val="00583F6C"/>
    <w:rsid w:val="005840C7"/>
    <w:rsid w:val="0058445C"/>
    <w:rsid w:val="005846C1"/>
    <w:rsid w:val="005848EA"/>
    <w:rsid w:val="00584BA4"/>
    <w:rsid w:val="00584D39"/>
    <w:rsid w:val="00584E41"/>
    <w:rsid w:val="00584EC3"/>
    <w:rsid w:val="00584FF0"/>
    <w:rsid w:val="0058500E"/>
    <w:rsid w:val="00585110"/>
    <w:rsid w:val="00585278"/>
    <w:rsid w:val="005853C0"/>
    <w:rsid w:val="00585625"/>
    <w:rsid w:val="005858E7"/>
    <w:rsid w:val="00585A7D"/>
    <w:rsid w:val="00585C1C"/>
    <w:rsid w:val="00585C1D"/>
    <w:rsid w:val="00585C2F"/>
    <w:rsid w:val="00585D1E"/>
    <w:rsid w:val="00585E9D"/>
    <w:rsid w:val="00586574"/>
    <w:rsid w:val="0058676E"/>
    <w:rsid w:val="00586931"/>
    <w:rsid w:val="00586A35"/>
    <w:rsid w:val="00586A49"/>
    <w:rsid w:val="00586B6A"/>
    <w:rsid w:val="005870EB"/>
    <w:rsid w:val="00587195"/>
    <w:rsid w:val="0058725B"/>
    <w:rsid w:val="00587522"/>
    <w:rsid w:val="005875EA"/>
    <w:rsid w:val="005879C1"/>
    <w:rsid w:val="005879E1"/>
    <w:rsid w:val="00587AF0"/>
    <w:rsid w:val="00587B4F"/>
    <w:rsid w:val="00587D4B"/>
    <w:rsid w:val="00587DB7"/>
    <w:rsid w:val="00587FD3"/>
    <w:rsid w:val="00587FF0"/>
    <w:rsid w:val="00590098"/>
    <w:rsid w:val="005901A2"/>
    <w:rsid w:val="005904B3"/>
    <w:rsid w:val="00590578"/>
    <w:rsid w:val="005907CE"/>
    <w:rsid w:val="00590EFC"/>
    <w:rsid w:val="00590FA7"/>
    <w:rsid w:val="005910EE"/>
    <w:rsid w:val="00591109"/>
    <w:rsid w:val="00591120"/>
    <w:rsid w:val="00591367"/>
    <w:rsid w:val="0059137B"/>
    <w:rsid w:val="005913F3"/>
    <w:rsid w:val="00591417"/>
    <w:rsid w:val="00591592"/>
    <w:rsid w:val="00591864"/>
    <w:rsid w:val="00591BF8"/>
    <w:rsid w:val="00591CCF"/>
    <w:rsid w:val="00591D56"/>
    <w:rsid w:val="005922E2"/>
    <w:rsid w:val="005923CB"/>
    <w:rsid w:val="00592518"/>
    <w:rsid w:val="00592644"/>
    <w:rsid w:val="0059273B"/>
    <w:rsid w:val="00592BF7"/>
    <w:rsid w:val="0059300C"/>
    <w:rsid w:val="0059302C"/>
    <w:rsid w:val="0059304B"/>
    <w:rsid w:val="0059304F"/>
    <w:rsid w:val="005932E5"/>
    <w:rsid w:val="00593312"/>
    <w:rsid w:val="005936D9"/>
    <w:rsid w:val="00593AF1"/>
    <w:rsid w:val="00593BA4"/>
    <w:rsid w:val="00593F51"/>
    <w:rsid w:val="00593F63"/>
    <w:rsid w:val="005940FC"/>
    <w:rsid w:val="00594268"/>
    <w:rsid w:val="00594270"/>
    <w:rsid w:val="00594309"/>
    <w:rsid w:val="00594374"/>
    <w:rsid w:val="0059440D"/>
    <w:rsid w:val="00594530"/>
    <w:rsid w:val="005949FE"/>
    <w:rsid w:val="00594BC7"/>
    <w:rsid w:val="00594F23"/>
    <w:rsid w:val="00594FE2"/>
    <w:rsid w:val="00595057"/>
    <w:rsid w:val="005950D5"/>
    <w:rsid w:val="005950F1"/>
    <w:rsid w:val="005952B0"/>
    <w:rsid w:val="0059534A"/>
    <w:rsid w:val="00595812"/>
    <w:rsid w:val="00595866"/>
    <w:rsid w:val="00595A2F"/>
    <w:rsid w:val="00595C32"/>
    <w:rsid w:val="0059607B"/>
    <w:rsid w:val="00596155"/>
    <w:rsid w:val="00596472"/>
    <w:rsid w:val="00596585"/>
    <w:rsid w:val="0059685C"/>
    <w:rsid w:val="005968DA"/>
    <w:rsid w:val="00596ADF"/>
    <w:rsid w:val="00596B12"/>
    <w:rsid w:val="00596CB6"/>
    <w:rsid w:val="00596D3E"/>
    <w:rsid w:val="00596FF4"/>
    <w:rsid w:val="00597008"/>
    <w:rsid w:val="00597149"/>
    <w:rsid w:val="005971F0"/>
    <w:rsid w:val="00597460"/>
    <w:rsid w:val="0059783B"/>
    <w:rsid w:val="00597862"/>
    <w:rsid w:val="005979CF"/>
    <w:rsid w:val="00597BC4"/>
    <w:rsid w:val="00597C28"/>
    <w:rsid w:val="00597C7A"/>
    <w:rsid w:val="00597DD3"/>
    <w:rsid w:val="005A02F4"/>
    <w:rsid w:val="005A0339"/>
    <w:rsid w:val="005A036D"/>
    <w:rsid w:val="005A03F6"/>
    <w:rsid w:val="005A040F"/>
    <w:rsid w:val="005A0648"/>
    <w:rsid w:val="005A0695"/>
    <w:rsid w:val="005A087A"/>
    <w:rsid w:val="005A0AC6"/>
    <w:rsid w:val="005A0B74"/>
    <w:rsid w:val="005A0C27"/>
    <w:rsid w:val="005A0E6F"/>
    <w:rsid w:val="005A10FA"/>
    <w:rsid w:val="005A11E7"/>
    <w:rsid w:val="005A1415"/>
    <w:rsid w:val="005A1445"/>
    <w:rsid w:val="005A14CA"/>
    <w:rsid w:val="005A1529"/>
    <w:rsid w:val="005A1542"/>
    <w:rsid w:val="005A1595"/>
    <w:rsid w:val="005A1670"/>
    <w:rsid w:val="005A1678"/>
    <w:rsid w:val="005A171E"/>
    <w:rsid w:val="005A1B16"/>
    <w:rsid w:val="005A1C4B"/>
    <w:rsid w:val="005A1D91"/>
    <w:rsid w:val="005A1E43"/>
    <w:rsid w:val="005A1F2B"/>
    <w:rsid w:val="005A2210"/>
    <w:rsid w:val="005A254B"/>
    <w:rsid w:val="005A26C6"/>
    <w:rsid w:val="005A2785"/>
    <w:rsid w:val="005A2CB6"/>
    <w:rsid w:val="005A2F72"/>
    <w:rsid w:val="005A305C"/>
    <w:rsid w:val="005A3162"/>
    <w:rsid w:val="005A32B8"/>
    <w:rsid w:val="005A350B"/>
    <w:rsid w:val="005A3DCC"/>
    <w:rsid w:val="005A3E9A"/>
    <w:rsid w:val="005A4004"/>
    <w:rsid w:val="005A41AD"/>
    <w:rsid w:val="005A4243"/>
    <w:rsid w:val="005A42CF"/>
    <w:rsid w:val="005A4375"/>
    <w:rsid w:val="005A43FA"/>
    <w:rsid w:val="005A444C"/>
    <w:rsid w:val="005A485E"/>
    <w:rsid w:val="005A4D47"/>
    <w:rsid w:val="005A4DB8"/>
    <w:rsid w:val="005A4EAC"/>
    <w:rsid w:val="005A52AB"/>
    <w:rsid w:val="005A52C4"/>
    <w:rsid w:val="005A5673"/>
    <w:rsid w:val="005A587E"/>
    <w:rsid w:val="005A5885"/>
    <w:rsid w:val="005A5982"/>
    <w:rsid w:val="005A5BCB"/>
    <w:rsid w:val="005A5C04"/>
    <w:rsid w:val="005A5C76"/>
    <w:rsid w:val="005A5D73"/>
    <w:rsid w:val="005A5DCF"/>
    <w:rsid w:val="005A5F90"/>
    <w:rsid w:val="005A6105"/>
    <w:rsid w:val="005A63F6"/>
    <w:rsid w:val="005A68A9"/>
    <w:rsid w:val="005A68AC"/>
    <w:rsid w:val="005A6B0D"/>
    <w:rsid w:val="005A6C8A"/>
    <w:rsid w:val="005A6D35"/>
    <w:rsid w:val="005A6D4B"/>
    <w:rsid w:val="005A6F61"/>
    <w:rsid w:val="005A7386"/>
    <w:rsid w:val="005A756B"/>
    <w:rsid w:val="005A7E1D"/>
    <w:rsid w:val="005A7FD6"/>
    <w:rsid w:val="005B00C3"/>
    <w:rsid w:val="005B0462"/>
    <w:rsid w:val="005B05EA"/>
    <w:rsid w:val="005B08B1"/>
    <w:rsid w:val="005B0A2E"/>
    <w:rsid w:val="005B0B38"/>
    <w:rsid w:val="005B0B5F"/>
    <w:rsid w:val="005B0BE5"/>
    <w:rsid w:val="005B0CF6"/>
    <w:rsid w:val="005B0D00"/>
    <w:rsid w:val="005B0F25"/>
    <w:rsid w:val="005B0FEE"/>
    <w:rsid w:val="005B1081"/>
    <w:rsid w:val="005B1140"/>
    <w:rsid w:val="005B1461"/>
    <w:rsid w:val="005B1C38"/>
    <w:rsid w:val="005B1EB8"/>
    <w:rsid w:val="005B229A"/>
    <w:rsid w:val="005B22FC"/>
    <w:rsid w:val="005B2416"/>
    <w:rsid w:val="005B281F"/>
    <w:rsid w:val="005B29F9"/>
    <w:rsid w:val="005B2A22"/>
    <w:rsid w:val="005B2A3E"/>
    <w:rsid w:val="005B2D25"/>
    <w:rsid w:val="005B304E"/>
    <w:rsid w:val="005B30C4"/>
    <w:rsid w:val="005B3331"/>
    <w:rsid w:val="005B344D"/>
    <w:rsid w:val="005B34EE"/>
    <w:rsid w:val="005B35A3"/>
    <w:rsid w:val="005B35FE"/>
    <w:rsid w:val="005B365B"/>
    <w:rsid w:val="005B3A15"/>
    <w:rsid w:val="005B3B62"/>
    <w:rsid w:val="005B3CDE"/>
    <w:rsid w:val="005B3FEF"/>
    <w:rsid w:val="005B411D"/>
    <w:rsid w:val="005B4164"/>
    <w:rsid w:val="005B41CC"/>
    <w:rsid w:val="005B449C"/>
    <w:rsid w:val="005B4836"/>
    <w:rsid w:val="005B49C5"/>
    <w:rsid w:val="005B4D0B"/>
    <w:rsid w:val="005B4DC1"/>
    <w:rsid w:val="005B4E2F"/>
    <w:rsid w:val="005B5045"/>
    <w:rsid w:val="005B536A"/>
    <w:rsid w:val="005B546E"/>
    <w:rsid w:val="005B5B36"/>
    <w:rsid w:val="005B5E2C"/>
    <w:rsid w:val="005B5FB6"/>
    <w:rsid w:val="005B6097"/>
    <w:rsid w:val="005B6134"/>
    <w:rsid w:val="005B63FC"/>
    <w:rsid w:val="005B6401"/>
    <w:rsid w:val="005B6647"/>
    <w:rsid w:val="005B6669"/>
    <w:rsid w:val="005B6671"/>
    <w:rsid w:val="005B6940"/>
    <w:rsid w:val="005B6FDC"/>
    <w:rsid w:val="005B70C2"/>
    <w:rsid w:val="005B7440"/>
    <w:rsid w:val="005B75A4"/>
    <w:rsid w:val="005B75BB"/>
    <w:rsid w:val="005B7BED"/>
    <w:rsid w:val="005B7D41"/>
    <w:rsid w:val="005B7E02"/>
    <w:rsid w:val="005BBC8D"/>
    <w:rsid w:val="005C0035"/>
    <w:rsid w:val="005C0081"/>
    <w:rsid w:val="005C0261"/>
    <w:rsid w:val="005C04D3"/>
    <w:rsid w:val="005C055C"/>
    <w:rsid w:val="005C0763"/>
    <w:rsid w:val="005C0985"/>
    <w:rsid w:val="005C0F4F"/>
    <w:rsid w:val="005C1011"/>
    <w:rsid w:val="005C1043"/>
    <w:rsid w:val="005C1276"/>
    <w:rsid w:val="005C12F6"/>
    <w:rsid w:val="005C17DE"/>
    <w:rsid w:val="005C1947"/>
    <w:rsid w:val="005C1988"/>
    <w:rsid w:val="005C19ED"/>
    <w:rsid w:val="005C1C65"/>
    <w:rsid w:val="005C1E2B"/>
    <w:rsid w:val="005C1F23"/>
    <w:rsid w:val="005C2296"/>
    <w:rsid w:val="005C24E6"/>
    <w:rsid w:val="005C2517"/>
    <w:rsid w:val="005C25A7"/>
    <w:rsid w:val="005C25F6"/>
    <w:rsid w:val="005C2998"/>
    <w:rsid w:val="005C2A62"/>
    <w:rsid w:val="005C384D"/>
    <w:rsid w:val="005C3866"/>
    <w:rsid w:val="005C387A"/>
    <w:rsid w:val="005C3B29"/>
    <w:rsid w:val="005C42FA"/>
    <w:rsid w:val="005C43B9"/>
    <w:rsid w:val="005C440D"/>
    <w:rsid w:val="005C446D"/>
    <w:rsid w:val="005C45A3"/>
    <w:rsid w:val="005C4700"/>
    <w:rsid w:val="005C478D"/>
    <w:rsid w:val="005C4876"/>
    <w:rsid w:val="005C48CF"/>
    <w:rsid w:val="005C4A96"/>
    <w:rsid w:val="005C4AE8"/>
    <w:rsid w:val="005C4D9C"/>
    <w:rsid w:val="005C4DDD"/>
    <w:rsid w:val="005C50F4"/>
    <w:rsid w:val="005C531F"/>
    <w:rsid w:val="005C550A"/>
    <w:rsid w:val="005C553C"/>
    <w:rsid w:val="005C5559"/>
    <w:rsid w:val="005C5587"/>
    <w:rsid w:val="005C57E1"/>
    <w:rsid w:val="005C5AB4"/>
    <w:rsid w:val="005C5C00"/>
    <w:rsid w:val="005C5D4D"/>
    <w:rsid w:val="005C5F81"/>
    <w:rsid w:val="005C626F"/>
    <w:rsid w:val="005C630A"/>
    <w:rsid w:val="005C6536"/>
    <w:rsid w:val="005C654B"/>
    <w:rsid w:val="005C6A10"/>
    <w:rsid w:val="005C6BDD"/>
    <w:rsid w:val="005C6D87"/>
    <w:rsid w:val="005C6E49"/>
    <w:rsid w:val="005C6F8D"/>
    <w:rsid w:val="005C6FE7"/>
    <w:rsid w:val="005C7052"/>
    <w:rsid w:val="005C70E5"/>
    <w:rsid w:val="005C7115"/>
    <w:rsid w:val="005C722A"/>
    <w:rsid w:val="005C75BE"/>
    <w:rsid w:val="005C7644"/>
    <w:rsid w:val="005C7785"/>
    <w:rsid w:val="005C77B2"/>
    <w:rsid w:val="005C7AC8"/>
    <w:rsid w:val="005C7C1C"/>
    <w:rsid w:val="005C7E7C"/>
    <w:rsid w:val="005D0190"/>
    <w:rsid w:val="005D0236"/>
    <w:rsid w:val="005D025D"/>
    <w:rsid w:val="005D029A"/>
    <w:rsid w:val="005D033E"/>
    <w:rsid w:val="005D08BF"/>
    <w:rsid w:val="005D095C"/>
    <w:rsid w:val="005D0E0D"/>
    <w:rsid w:val="005D0E90"/>
    <w:rsid w:val="005D0F38"/>
    <w:rsid w:val="005D0FCB"/>
    <w:rsid w:val="005D1206"/>
    <w:rsid w:val="005D1216"/>
    <w:rsid w:val="005D1572"/>
    <w:rsid w:val="005D1778"/>
    <w:rsid w:val="005D1B1B"/>
    <w:rsid w:val="005D1B56"/>
    <w:rsid w:val="005D1D3E"/>
    <w:rsid w:val="005D1FEB"/>
    <w:rsid w:val="005D211A"/>
    <w:rsid w:val="005D23E8"/>
    <w:rsid w:val="005D24BD"/>
    <w:rsid w:val="005D278B"/>
    <w:rsid w:val="005D2854"/>
    <w:rsid w:val="005D2936"/>
    <w:rsid w:val="005D2992"/>
    <w:rsid w:val="005D2A2D"/>
    <w:rsid w:val="005D2A35"/>
    <w:rsid w:val="005D2A7C"/>
    <w:rsid w:val="005D2AF7"/>
    <w:rsid w:val="005D2D77"/>
    <w:rsid w:val="005D2E43"/>
    <w:rsid w:val="005D3154"/>
    <w:rsid w:val="005D319B"/>
    <w:rsid w:val="005D34BE"/>
    <w:rsid w:val="005D358E"/>
    <w:rsid w:val="005D3AFB"/>
    <w:rsid w:val="005D3C0D"/>
    <w:rsid w:val="005D3E4D"/>
    <w:rsid w:val="005D40E8"/>
    <w:rsid w:val="005D4282"/>
    <w:rsid w:val="005D478D"/>
    <w:rsid w:val="005D48E0"/>
    <w:rsid w:val="005D4918"/>
    <w:rsid w:val="005D491C"/>
    <w:rsid w:val="005D4B75"/>
    <w:rsid w:val="005D4C04"/>
    <w:rsid w:val="005D4C57"/>
    <w:rsid w:val="005D52C3"/>
    <w:rsid w:val="005D52E9"/>
    <w:rsid w:val="005D5310"/>
    <w:rsid w:val="005D5334"/>
    <w:rsid w:val="005D5384"/>
    <w:rsid w:val="005D54E6"/>
    <w:rsid w:val="005D5576"/>
    <w:rsid w:val="005D573C"/>
    <w:rsid w:val="005D5780"/>
    <w:rsid w:val="005D589C"/>
    <w:rsid w:val="005D59D2"/>
    <w:rsid w:val="005D5BA6"/>
    <w:rsid w:val="005D5C79"/>
    <w:rsid w:val="005D5F7D"/>
    <w:rsid w:val="005D5F8B"/>
    <w:rsid w:val="005D5FF1"/>
    <w:rsid w:val="005D60F5"/>
    <w:rsid w:val="005D61BB"/>
    <w:rsid w:val="005D6242"/>
    <w:rsid w:val="005D6529"/>
    <w:rsid w:val="005D6971"/>
    <w:rsid w:val="005D69FA"/>
    <w:rsid w:val="005D6B65"/>
    <w:rsid w:val="005D6B71"/>
    <w:rsid w:val="005D6CC2"/>
    <w:rsid w:val="005D6D31"/>
    <w:rsid w:val="005D6E75"/>
    <w:rsid w:val="005D71B8"/>
    <w:rsid w:val="005D73C5"/>
    <w:rsid w:val="005D76CA"/>
    <w:rsid w:val="005D7A87"/>
    <w:rsid w:val="005D7BF2"/>
    <w:rsid w:val="005E00AC"/>
    <w:rsid w:val="005E010C"/>
    <w:rsid w:val="005E0370"/>
    <w:rsid w:val="005E0381"/>
    <w:rsid w:val="005E03FD"/>
    <w:rsid w:val="005E047A"/>
    <w:rsid w:val="005E077F"/>
    <w:rsid w:val="005E0826"/>
    <w:rsid w:val="005E0915"/>
    <w:rsid w:val="005E0C09"/>
    <w:rsid w:val="005E0C92"/>
    <w:rsid w:val="005E0F36"/>
    <w:rsid w:val="005E101F"/>
    <w:rsid w:val="005E13E5"/>
    <w:rsid w:val="005E13EA"/>
    <w:rsid w:val="005E1636"/>
    <w:rsid w:val="005E1921"/>
    <w:rsid w:val="005E1C47"/>
    <w:rsid w:val="005E1F76"/>
    <w:rsid w:val="005E20A8"/>
    <w:rsid w:val="005E2210"/>
    <w:rsid w:val="005E22D2"/>
    <w:rsid w:val="005E2334"/>
    <w:rsid w:val="005E2481"/>
    <w:rsid w:val="005E26A3"/>
    <w:rsid w:val="005E2793"/>
    <w:rsid w:val="005E28B0"/>
    <w:rsid w:val="005E2E56"/>
    <w:rsid w:val="005E2F5C"/>
    <w:rsid w:val="005E3205"/>
    <w:rsid w:val="005E3542"/>
    <w:rsid w:val="005E3558"/>
    <w:rsid w:val="005E357A"/>
    <w:rsid w:val="005E415A"/>
    <w:rsid w:val="005E41B1"/>
    <w:rsid w:val="005E41FE"/>
    <w:rsid w:val="005E4550"/>
    <w:rsid w:val="005E4619"/>
    <w:rsid w:val="005E47AD"/>
    <w:rsid w:val="005E4A34"/>
    <w:rsid w:val="005E4B87"/>
    <w:rsid w:val="005E4DAB"/>
    <w:rsid w:val="005E5043"/>
    <w:rsid w:val="005E5086"/>
    <w:rsid w:val="005E5482"/>
    <w:rsid w:val="005E58B1"/>
    <w:rsid w:val="005E58D1"/>
    <w:rsid w:val="005E608F"/>
    <w:rsid w:val="005E63D4"/>
    <w:rsid w:val="005E6403"/>
    <w:rsid w:val="005E64E6"/>
    <w:rsid w:val="005E6576"/>
    <w:rsid w:val="005E6A89"/>
    <w:rsid w:val="005E6DF3"/>
    <w:rsid w:val="005E7144"/>
    <w:rsid w:val="005E71B5"/>
    <w:rsid w:val="005E73C6"/>
    <w:rsid w:val="005E7616"/>
    <w:rsid w:val="005E7713"/>
    <w:rsid w:val="005E7A4D"/>
    <w:rsid w:val="005E7BAB"/>
    <w:rsid w:val="005E7BF0"/>
    <w:rsid w:val="005E7C95"/>
    <w:rsid w:val="005F00E7"/>
    <w:rsid w:val="005F011E"/>
    <w:rsid w:val="005F01FC"/>
    <w:rsid w:val="005F03A2"/>
    <w:rsid w:val="005F0433"/>
    <w:rsid w:val="005F0688"/>
    <w:rsid w:val="005F0BD8"/>
    <w:rsid w:val="005F0C8A"/>
    <w:rsid w:val="005F0CB1"/>
    <w:rsid w:val="005F0D8D"/>
    <w:rsid w:val="005F11C4"/>
    <w:rsid w:val="005F11ED"/>
    <w:rsid w:val="005F1230"/>
    <w:rsid w:val="005F1406"/>
    <w:rsid w:val="005F1460"/>
    <w:rsid w:val="005F1713"/>
    <w:rsid w:val="005F1882"/>
    <w:rsid w:val="005F1A60"/>
    <w:rsid w:val="005F1AB0"/>
    <w:rsid w:val="005F1B96"/>
    <w:rsid w:val="005F1EEE"/>
    <w:rsid w:val="005F1F21"/>
    <w:rsid w:val="005F1FE9"/>
    <w:rsid w:val="005F2090"/>
    <w:rsid w:val="005F2197"/>
    <w:rsid w:val="005F2455"/>
    <w:rsid w:val="005F26A2"/>
    <w:rsid w:val="005F2770"/>
    <w:rsid w:val="005F286A"/>
    <w:rsid w:val="005F2A26"/>
    <w:rsid w:val="005F2A28"/>
    <w:rsid w:val="005F2A4B"/>
    <w:rsid w:val="005F2B15"/>
    <w:rsid w:val="005F2CD0"/>
    <w:rsid w:val="005F2ED2"/>
    <w:rsid w:val="005F2F52"/>
    <w:rsid w:val="005F2F73"/>
    <w:rsid w:val="005F31F2"/>
    <w:rsid w:val="005F3548"/>
    <w:rsid w:val="005F35E8"/>
    <w:rsid w:val="005F36CA"/>
    <w:rsid w:val="005F380D"/>
    <w:rsid w:val="005F38FC"/>
    <w:rsid w:val="005F401C"/>
    <w:rsid w:val="005F4093"/>
    <w:rsid w:val="005F4229"/>
    <w:rsid w:val="005F43D4"/>
    <w:rsid w:val="005F4495"/>
    <w:rsid w:val="005F45CD"/>
    <w:rsid w:val="005F4603"/>
    <w:rsid w:val="005F461F"/>
    <w:rsid w:val="005F46A3"/>
    <w:rsid w:val="005F4B80"/>
    <w:rsid w:val="005F4B94"/>
    <w:rsid w:val="005F501F"/>
    <w:rsid w:val="005F5128"/>
    <w:rsid w:val="005F52AE"/>
    <w:rsid w:val="005F5448"/>
    <w:rsid w:val="005F54A0"/>
    <w:rsid w:val="005F552A"/>
    <w:rsid w:val="005F5556"/>
    <w:rsid w:val="005F55A7"/>
    <w:rsid w:val="005F581F"/>
    <w:rsid w:val="005F58FD"/>
    <w:rsid w:val="005F5905"/>
    <w:rsid w:val="005F5CAC"/>
    <w:rsid w:val="005F5CD0"/>
    <w:rsid w:val="005F5D3D"/>
    <w:rsid w:val="005F61C5"/>
    <w:rsid w:val="005F639A"/>
    <w:rsid w:val="005F63E8"/>
    <w:rsid w:val="005F63F7"/>
    <w:rsid w:val="005F643A"/>
    <w:rsid w:val="005F64B3"/>
    <w:rsid w:val="005F658F"/>
    <w:rsid w:val="005F65B3"/>
    <w:rsid w:val="005F665C"/>
    <w:rsid w:val="005F6730"/>
    <w:rsid w:val="005F6795"/>
    <w:rsid w:val="005F6849"/>
    <w:rsid w:val="005F6A2C"/>
    <w:rsid w:val="005F6B80"/>
    <w:rsid w:val="005F6E84"/>
    <w:rsid w:val="005F6F32"/>
    <w:rsid w:val="005F6FB6"/>
    <w:rsid w:val="005F71A6"/>
    <w:rsid w:val="005F7212"/>
    <w:rsid w:val="005F751B"/>
    <w:rsid w:val="005F77CC"/>
    <w:rsid w:val="005F7B32"/>
    <w:rsid w:val="005F7C4B"/>
    <w:rsid w:val="005F7D47"/>
    <w:rsid w:val="006001A7"/>
    <w:rsid w:val="006001AE"/>
    <w:rsid w:val="006005BF"/>
    <w:rsid w:val="00600778"/>
    <w:rsid w:val="006007B9"/>
    <w:rsid w:val="00600A17"/>
    <w:rsid w:val="00600B2F"/>
    <w:rsid w:val="0060112F"/>
    <w:rsid w:val="00601145"/>
    <w:rsid w:val="00601428"/>
    <w:rsid w:val="006014C0"/>
    <w:rsid w:val="00601677"/>
    <w:rsid w:val="006016F2"/>
    <w:rsid w:val="00601880"/>
    <w:rsid w:val="00601A22"/>
    <w:rsid w:val="00601A8D"/>
    <w:rsid w:val="00601BD1"/>
    <w:rsid w:val="00601BEF"/>
    <w:rsid w:val="00601C08"/>
    <w:rsid w:val="00601D1F"/>
    <w:rsid w:val="00601E8B"/>
    <w:rsid w:val="00601EE9"/>
    <w:rsid w:val="00602281"/>
    <w:rsid w:val="006027EF"/>
    <w:rsid w:val="006027FD"/>
    <w:rsid w:val="0060294C"/>
    <w:rsid w:val="00602A25"/>
    <w:rsid w:val="00602B3C"/>
    <w:rsid w:val="00602C30"/>
    <w:rsid w:val="00602D18"/>
    <w:rsid w:val="00602E18"/>
    <w:rsid w:val="0060300A"/>
    <w:rsid w:val="0060315E"/>
    <w:rsid w:val="0060335D"/>
    <w:rsid w:val="0060349F"/>
    <w:rsid w:val="006037B0"/>
    <w:rsid w:val="006037BB"/>
    <w:rsid w:val="006038B4"/>
    <w:rsid w:val="0060398A"/>
    <w:rsid w:val="00603DE5"/>
    <w:rsid w:val="00603DF7"/>
    <w:rsid w:val="00603E15"/>
    <w:rsid w:val="00603F7E"/>
    <w:rsid w:val="006040B3"/>
    <w:rsid w:val="0060424E"/>
    <w:rsid w:val="00604456"/>
    <w:rsid w:val="00604E84"/>
    <w:rsid w:val="00604EF2"/>
    <w:rsid w:val="00605025"/>
    <w:rsid w:val="00605287"/>
    <w:rsid w:val="0060530B"/>
    <w:rsid w:val="006053B1"/>
    <w:rsid w:val="006056F3"/>
    <w:rsid w:val="006057A9"/>
    <w:rsid w:val="006057C6"/>
    <w:rsid w:val="006057D0"/>
    <w:rsid w:val="00605908"/>
    <w:rsid w:val="00605AC9"/>
    <w:rsid w:val="00605DD0"/>
    <w:rsid w:val="00605EB1"/>
    <w:rsid w:val="00605EB8"/>
    <w:rsid w:val="00606051"/>
    <w:rsid w:val="00606365"/>
    <w:rsid w:val="00606813"/>
    <w:rsid w:val="006068CD"/>
    <w:rsid w:val="0060692C"/>
    <w:rsid w:val="006069C0"/>
    <w:rsid w:val="006069D5"/>
    <w:rsid w:val="00606B37"/>
    <w:rsid w:val="00606BDF"/>
    <w:rsid w:val="00606D75"/>
    <w:rsid w:val="00606E1C"/>
    <w:rsid w:val="00606F54"/>
    <w:rsid w:val="0060716B"/>
    <w:rsid w:val="00607241"/>
    <w:rsid w:val="00607283"/>
    <w:rsid w:val="0060764E"/>
    <w:rsid w:val="006076C4"/>
    <w:rsid w:val="0060777E"/>
    <w:rsid w:val="0060783B"/>
    <w:rsid w:val="00607983"/>
    <w:rsid w:val="00607DD2"/>
    <w:rsid w:val="00607F31"/>
    <w:rsid w:val="006100EE"/>
    <w:rsid w:val="0061010A"/>
    <w:rsid w:val="00610172"/>
    <w:rsid w:val="0061035E"/>
    <w:rsid w:val="0061042C"/>
    <w:rsid w:val="006106F0"/>
    <w:rsid w:val="0061082C"/>
    <w:rsid w:val="00610A9A"/>
    <w:rsid w:val="00610B4F"/>
    <w:rsid w:val="00610D24"/>
    <w:rsid w:val="006110AA"/>
    <w:rsid w:val="0061118B"/>
    <w:rsid w:val="0061148E"/>
    <w:rsid w:val="006117B9"/>
    <w:rsid w:val="0061188F"/>
    <w:rsid w:val="006119D9"/>
    <w:rsid w:val="00611A1E"/>
    <w:rsid w:val="00611CC3"/>
    <w:rsid w:val="00611D99"/>
    <w:rsid w:val="006120E6"/>
    <w:rsid w:val="0061230D"/>
    <w:rsid w:val="006124A1"/>
    <w:rsid w:val="0061253F"/>
    <w:rsid w:val="00612812"/>
    <w:rsid w:val="00612A6D"/>
    <w:rsid w:val="00612A89"/>
    <w:rsid w:val="00612CC9"/>
    <w:rsid w:val="00612D03"/>
    <w:rsid w:val="00612EF1"/>
    <w:rsid w:val="0061309F"/>
    <w:rsid w:val="006131F7"/>
    <w:rsid w:val="00613256"/>
    <w:rsid w:val="0061365B"/>
    <w:rsid w:val="006136C5"/>
    <w:rsid w:val="00613733"/>
    <w:rsid w:val="006138A2"/>
    <w:rsid w:val="00613955"/>
    <w:rsid w:val="0061398B"/>
    <w:rsid w:val="0061398E"/>
    <w:rsid w:val="00613B2F"/>
    <w:rsid w:val="00613C96"/>
    <w:rsid w:val="00613CA6"/>
    <w:rsid w:val="0061400C"/>
    <w:rsid w:val="00614168"/>
    <w:rsid w:val="006142A7"/>
    <w:rsid w:val="00614495"/>
    <w:rsid w:val="00614B58"/>
    <w:rsid w:val="00614C16"/>
    <w:rsid w:val="00614CC2"/>
    <w:rsid w:val="00614D82"/>
    <w:rsid w:val="00615069"/>
    <w:rsid w:val="0061542B"/>
    <w:rsid w:val="0061553B"/>
    <w:rsid w:val="00615695"/>
    <w:rsid w:val="00615867"/>
    <w:rsid w:val="00615CDB"/>
    <w:rsid w:val="00615E45"/>
    <w:rsid w:val="00615F0A"/>
    <w:rsid w:val="00615F31"/>
    <w:rsid w:val="00615F3F"/>
    <w:rsid w:val="00615F58"/>
    <w:rsid w:val="0061629D"/>
    <w:rsid w:val="006163F2"/>
    <w:rsid w:val="006165B1"/>
    <w:rsid w:val="00616703"/>
    <w:rsid w:val="006167E8"/>
    <w:rsid w:val="00616900"/>
    <w:rsid w:val="00616C46"/>
    <w:rsid w:val="00616F32"/>
    <w:rsid w:val="00617112"/>
    <w:rsid w:val="00617245"/>
    <w:rsid w:val="00617529"/>
    <w:rsid w:val="00617559"/>
    <w:rsid w:val="006177A5"/>
    <w:rsid w:val="006177E2"/>
    <w:rsid w:val="00617978"/>
    <w:rsid w:val="00617A4A"/>
    <w:rsid w:val="00617B34"/>
    <w:rsid w:val="00617CE3"/>
    <w:rsid w:val="00617D23"/>
    <w:rsid w:val="00617D88"/>
    <w:rsid w:val="0062002E"/>
    <w:rsid w:val="00620076"/>
    <w:rsid w:val="0062007D"/>
    <w:rsid w:val="006200D9"/>
    <w:rsid w:val="00620140"/>
    <w:rsid w:val="00620205"/>
    <w:rsid w:val="006203AA"/>
    <w:rsid w:val="006203CA"/>
    <w:rsid w:val="00620474"/>
    <w:rsid w:val="00620674"/>
    <w:rsid w:val="00620687"/>
    <w:rsid w:val="006206B8"/>
    <w:rsid w:val="00620777"/>
    <w:rsid w:val="00620792"/>
    <w:rsid w:val="00620957"/>
    <w:rsid w:val="00620A5A"/>
    <w:rsid w:val="00620BE8"/>
    <w:rsid w:val="00620E59"/>
    <w:rsid w:val="00621244"/>
    <w:rsid w:val="0062127A"/>
    <w:rsid w:val="006213E7"/>
    <w:rsid w:val="00621453"/>
    <w:rsid w:val="00621806"/>
    <w:rsid w:val="006218CE"/>
    <w:rsid w:val="006218DB"/>
    <w:rsid w:val="00621A84"/>
    <w:rsid w:val="00621D8C"/>
    <w:rsid w:val="00621E94"/>
    <w:rsid w:val="006220B6"/>
    <w:rsid w:val="006220E1"/>
    <w:rsid w:val="00622197"/>
    <w:rsid w:val="0062253E"/>
    <w:rsid w:val="006226EA"/>
    <w:rsid w:val="00622781"/>
    <w:rsid w:val="00622800"/>
    <w:rsid w:val="006228F4"/>
    <w:rsid w:val="00622C01"/>
    <w:rsid w:val="00622C03"/>
    <w:rsid w:val="00622C91"/>
    <w:rsid w:val="00622CD2"/>
    <w:rsid w:val="00622D36"/>
    <w:rsid w:val="00623067"/>
    <w:rsid w:val="006231E6"/>
    <w:rsid w:val="006232A0"/>
    <w:rsid w:val="00623518"/>
    <w:rsid w:val="0062357D"/>
    <w:rsid w:val="0062375E"/>
    <w:rsid w:val="00623908"/>
    <w:rsid w:val="00623A28"/>
    <w:rsid w:val="00623D28"/>
    <w:rsid w:val="00623D69"/>
    <w:rsid w:val="00623DBA"/>
    <w:rsid w:val="00623DFD"/>
    <w:rsid w:val="0062453B"/>
    <w:rsid w:val="00624556"/>
    <w:rsid w:val="00624635"/>
    <w:rsid w:val="00624680"/>
    <w:rsid w:val="0062473F"/>
    <w:rsid w:val="0062477D"/>
    <w:rsid w:val="006247A1"/>
    <w:rsid w:val="0062488C"/>
    <w:rsid w:val="00624B24"/>
    <w:rsid w:val="00624F07"/>
    <w:rsid w:val="00625277"/>
    <w:rsid w:val="00625697"/>
    <w:rsid w:val="006257CC"/>
    <w:rsid w:val="006259AB"/>
    <w:rsid w:val="00625A21"/>
    <w:rsid w:val="00625ADE"/>
    <w:rsid w:val="00625C00"/>
    <w:rsid w:val="006262A8"/>
    <w:rsid w:val="00626463"/>
    <w:rsid w:val="006265CB"/>
    <w:rsid w:val="006265DE"/>
    <w:rsid w:val="00626B32"/>
    <w:rsid w:val="00626BB7"/>
    <w:rsid w:val="00626DEC"/>
    <w:rsid w:val="00626F3B"/>
    <w:rsid w:val="00626FC9"/>
    <w:rsid w:val="006272E2"/>
    <w:rsid w:val="0062739B"/>
    <w:rsid w:val="00627427"/>
    <w:rsid w:val="00627571"/>
    <w:rsid w:val="00627A6D"/>
    <w:rsid w:val="00627DBC"/>
    <w:rsid w:val="00627F33"/>
    <w:rsid w:val="00627F3B"/>
    <w:rsid w:val="0063008A"/>
    <w:rsid w:val="006300CF"/>
    <w:rsid w:val="00630101"/>
    <w:rsid w:val="006302C5"/>
    <w:rsid w:val="0063034B"/>
    <w:rsid w:val="0063035A"/>
    <w:rsid w:val="0063036E"/>
    <w:rsid w:val="00630624"/>
    <w:rsid w:val="00630B17"/>
    <w:rsid w:val="00630BC6"/>
    <w:rsid w:val="00630C66"/>
    <w:rsid w:val="00630CB9"/>
    <w:rsid w:val="00630D7B"/>
    <w:rsid w:val="00630D90"/>
    <w:rsid w:val="00630F2E"/>
    <w:rsid w:val="00630FF4"/>
    <w:rsid w:val="00631001"/>
    <w:rsid w:val="00631020"/>
    <w:rsid w:val="00631030"/>
    <w:rsid w:val="0063115F"/>
    <w:rsid w:val="00631657"/>
    <w:rsid w:val="006318C3"/>
    <w:rsid w:val="00631AFB"/>
    <w:rsid w:val="00631C3C"/>
    <w:rsid w:val="00631D23"/>
    <w:rsid w:val="00631F3C"/>
    <w:rsid w:val="00632094"/>
    <w:rsid w:val="006321E5"/>
    <w:rsid w:val="0063239F"/>
    <w:rsid w:val="006326DC"/>
    <w:rsid w:val="00632861"/>
    <w:rsid w:val="0063295B"/>
    <w:rsid w:val="00632A02"/>
    <w:rsid w:val="00632E9A"/>
    <w:rsid w:val="0063342B"/>
    <w:rsid w:val="00633678"/>
    <w:rsid w:val="00633690"/>
    <w:rsid w:val="00633851"/>
    <w:rsid w:val="00633887"/>
    <w:rsid w:val="00633909"/>
    <w:rsid w:val="006339BC"/>
    <w:rsid w:val="00633A01"/>
    <w:rsid w:val="00633CE5"/>
    <w:rsid w:val="00633F43"/>
    <w:rsid w:val="00634277"/>
    <w:rsid w:val="006346A8"/>
    <w:rsid w:val="006349DA"/>
    <w:rsid w:val="006349EB"/>
    <w:rsid w:val="00634A80"/>
    <w:rsid w:val="00634AD4"/>
    <w:rsid w:val="00634B0B"/>
    <w:rsid w:val="00634B30"/>
    <w:rsid w:val="00634BFA"/>
    <w:rsid w:val="00634D86"/>
    <w:rsid w:val="00634F1E"/>
    <w:rsid w:val="00635017"/>
    <w:rsid w:val="0063509B"/>
    <w:rsid w:val="006350F6"/>
    <w:rsid w:val="0063523C"/>
    <w:rsid w:val="00635444"/>
    <w:rsid w:val="006354E8"/>
    <w:rsid w:val="00635536"/>
    <w:rsid w:val="00635957"/>
    <w:rsid w:val="00635B1C"/>
    <w:rsid w:val="00635B57"/>
    <w:rsid w:val="00635C72"/>
    <w:rsid w:val="00635C8D"/>
    <w:rsid w:val="00635FC9"/>
    <w:rsid w:val="006362A0"/>
    <w:rsid w:val="0063647C"/>
    <w:rsid w:val="0063671A"/>
    <w:rsid w:val="006367E8"/>
    <w:rsid w:val="00636B01"/>
    <w:rsid w:val="00636C2B"/>
    <w:rsid w:val="00636EA0"/>
    <w:rsid w:val="00636EAE"/>
    <w:rsid w:val="00636F9C"/>
    <w:rsid w:val="006370C5"/>
    <w:rsid w:val="00637367"/>
    <w:rsid w:val="006374B5"/>
    <w:rsid w:val="00637567"/>
    <w:rsid w:val="006375CB"/>
    <w:rsid w:val="006377B5"/>
    <w:rsid w:val="00637910"/>
    <w:rsid w:val="00637AA5"/>
    <w:rsid w:val="00637FCA"/>
    <w:rsid w:val="006401B5"/>
    <w:rsid w:val="006402B4"/>
    <w:rsid w:val="00640398"/>
    <w:rsid w:val="006403E1"/>
    <w:rsid w:val="006404E0"/>
    <w:rsid w:val="006407A4"/>
    <w:rsid w:val="006408E5"/>
    <w:rsid w:val="006409EB"/>
    <w:rsid w:val="00640A21"/>
    <w:rsid w:val="00640A89"/>
    <w:rsid w:val="00640B9F"/>
    <w:rsid w:val="00640E48"/>
    <w:rsid w:val="00640EC7"/>
    <w:rsid w:val="00640F07"/>
    <w:rsid w:val="00640F8B"/>
    <w:rsid w:val="006410C1"/>
    <w:rsid w:val="0064114D"/>
    <w:rsid w:val="006413CE"/>
    <w:rsid w:val="006415F7"/>
    <w:rsid w:val="00641B8D"/>
    <w:rsid w:val="00641F5E"/>
    <w:rsid w:val="006420C2"/>
    <w:rsid w:val="0064231C"/>
    <w:rsid w:val="006423F9"/>
    <w:rsid w:val="00642931"/>
    <w:rsid w:val="006429B4"/>
    <w:rsid w:val="00642CC0"/>
    <w:rsid w:val="00642E02"/>
    <w:rsid w:val="00642E20"/>
    <w:rsid w:val="00642E62"/>
    <w:rsid w:val="00643222"/>
    <w:rsid w:val="006432DB"/>
    <w:rsid w:val="00643402"/>
    <w:rsid w:val="006435B3"/>
    <w:rsid w:val="006435C4"/>
    <w:rsid w:val="0064375A"/>
    <w:rsid w:val="0064386C"/>
    <w:rsid w:val="006439E9"/>
    <w:rsid w:val="00643DBD"/>
    <w:rsid w:val="00643EA4"/>
    <w:rsid w:val="0064415E"/>
    <w:rsid w:val="006443E1"/>
    <w:rsid w:val="00644475"/>
    <w:rsid w:val="006446F8"/>
    <w:rsid w:val="00644737"/>
    <w:rsid w:val="00644805"/>
    <w:rsid w:val="00644B26"/>
    <w:rsid w:val="00644D77"/>
    <w:rsid w:val="00644E3E"/>
    <w:rsid w:val="00644EA5"/>
    <w:rsid w:val="00644F56"/>
    <w:rsid w:val="00645057"/>
    <w:rsid w:val="006452F1"/>
    <w:rsid w:val="006455C2"/>
    <w:rsid w:val="00645774"/>
    <w:rsid w:val="00645793"/>
    <w:rsid w:val="006457BE"/>
    <w:rsid w:val="006457EA"/>
    <w:rsid w:val="006459B0"/>
    <w:rsid w:val="00645B9D"/>
    <w:rsid w:val="00645F19"/>
    <w:rsid w:val="006462CA"/>
    <w:rsid w:val="0064631A"/>
    <w:rsid w:val="006464B8"/>
    <w:rsid w:val="00646595"/>
    <w:rsid w:val="00646781"/>
    <w:rsid w:val="0064697E"/>
    <w:rsid w:val="00646ABB"/>
    <w:rsid w:val="00646B2B"/>
    <w:rsid w:val="00646B76"/>
    <w:rsid w:val="00646C89"/>
    <w:rsid w:val="00646E4E"/>
    <w:rsid w:val="00646EB8"/>
    <w:rsid w:val="0064759A"/>
    <w:rsid w:val="00647645"/>
    <w:rsid w:val="006476CD"/>
    <w:rsid w:val="00647940"/>
    <w:rsid w:val="00647A3E"/>
    <w:rsid w:val="00647B94"/>
    <w:rsid w:val="00647BA9"/>
    <w:rsid w:val="00650033"/>
    <w:rsid w:val="006502F4"/>
    <w:rsid w:val="006507EA"/>
    <w:rsid w:val="0065080C"/>
    <w:rsid w:val="006509F8"/>
    <w:rsid w:val="00651016"/>
    <w:rsid w:val="0065122C"/>
    <w:rsid w:val="00651299"/>
    <w:rsid w:val="00651393"/>
    <w:rsid w:val="006513C4"/>
    <w:rsid w:val="006516E0"/>
    <w:rsid w:val="00651C71"/>
    <w:rsid w:val="00651CAD"/>
    <w:rsid w:val="00651E33"/>
    <w:rsid w:val="006520AF"/>
    <w:rsid w:val="00652111"/>
    <w:rsid w:val="006521CB"/>
    <w:rsid w:val="00652275"/>
    <w:rsid w:val="00652445"/>
    <w:rsid w:val="0065252D"/>
    <w:rsid w:val="00652587"/>
    <w:rsid w:val="00652A93"/>
    <w:rsid w:val="00652AC0"/>
    <w:rsid w:val="00652AD5"/>
    <w:rsid w:val="00652B27"/>
    <w:rsid w:val="00652BC8"/>
    <w:rsid w:val="00652F24"/>
    <w:rsid w:val="00652FA9"/>
    <w:rsid w:val="00653049"/>
    <w:rsid w:val="00653197"/>
    <w:rsid w:val="006531C0"/>
    <w:rsid w:val="00653265"/>
    <w:rsid w:val="00653543"/>
    <w:rsid w:val="00653545"/>
    <w:rsid w:val="0065363D"/>
    <w:rsid w:val="006538B8"/>
    <w:rsid w:val="00653925"/>
    <w:rsid w:val="00653D58"/>
    <w:rsid w:val="00653E17"/>
    <w:rsid w:val="00653F70"/>
    <w:rsid w:val="00653FF4"/>
    <w:rsid w:val="0065401F"/>
    <w:rsid w:val="006541E8"/>
    <w:rsid w:val="006544B3"/>
    <w:rsid w:val="00654599"/>
    <w:rsid w:val="006545FB"/>
    <w:rsid w:val="00654696"/>
    <w:rsid w:val="00654717"/>
    <w:rsid w:val="00654FCB"/>
    <w:rsid w:val="00655027"/>
    <w:rsid w:val="00655137"/>
    <w:rsid w:val="00655227"/>
    <w:rsid w:val="006552DC"/>
    <w:rsid w:val="00655520"/>
    <w:rsid w:val="0065552E"/>
    <w:rsid w:val="00655531"/>
    <w:rsid w:val="00655783"/>
    <w:rsid w:val="00655988"/>
    <w:rsid w:val="00655CE3"/>
    <w:rsid w:val="00655F71"/>
    <w:rsid w:val="0065602A"/>
    <w:rsid w:val="006561B3"/>
    <w:rsid w:val="00656227"/>
    <w:rsid w:val="00656306"/>
    <w:rsid w:val="006565AC"/>
    <w:rsid w:val="00656AB9"/>
    <w:rsid w:val="00656B23"/>
    <w:rsid w:val="00656B4B"/>
    <w:rsid w:val="0065702F"/>
    <w:rsid w:val="00657111"/>
    <w:rsid w:val="00657415"/>
    <w:rsid w:val="00657454"/>
    <w:rsid w:val="0065756F"/>
    <w:rsid w:val="006575DF"/>
    <w:rsid w:val="006576CB"/>
    <w:rsid w:val="00657767"/>
    <w:rsid w:val="00657845"/>
    <w:rsid w:val="006578DD"/>
    <w:rsid w:val="00657AA0"/>
    <w:rsid w:val="00657CD4"/>
    <w:rsid w:val="00657FD9"/>
    <w:rsid w:val="00660085"/>
    <w:rsid w:val="0066017C"/>
    <w:rsid w:val="00660288"/>
    <w:rsid w:val="006602DC"/>
    <w:rsid w:val="00660601"/>
    <w:rsid w:val="0066060E"/>
    <w:rsid w:val="00660978"/>
    <w:rsid w:val="00660996"/>
    <w:rsid w:val="00660AAB"/>
    <w:rsid w:val="00660B19"/>
    <w:rsid w:val="00660EB5"/>
    <w:rsid w:val="00660ECD"/>
    <w:rsid w:val="00660F99"/>
    <w:rsid w:val="0066112D"/>
    <w:rsid w:val="00661182"/>
    <w:rsid w:val="0066118C"/>
    <w:rsid w:val="0066131E"/>
    <w:rsid w:val="00661336"/>
    <w:rsid w:val="006614B8"/>
    <w:rsid w:val="00661593"/>
    <w:rsid w:val="00661670"/>
    <w:rsid w:val="00661D51"/>
    <w:rsid w:val="00661E11"/>
    <w:rsid w:val="00661E76"/>
    <w:rsid w:val="006622FE"/>
    <w:rsid w:val="006623E0"/>
    <w:rsid w:val="00662490"/>
    <w:rsid w:val="00662541"/>
    <w:rsid w:val="006627C5"/>
    <w:rsid w:val="00662889"/>
    <w:rsid w:val="006629EC"/>
    <w:rsid w:val="00662A90"/>
    <w:rsid w:val="00662B50"/>
    <w:rsid w:val="00662CBB"/>
    <w:rsid w:val="00662D19"/>
    <w:rsid w:val="00662DEE"/>
    <w:rsid w:val="00662E5E"/>
    <w:rsid w:val="00662E75"/>
    <w:rsid w:val="00663420"/>
    <w:rsid w:val="00663473"/>
    <w:rsid w:val="006634BA"/>
    <w:rsid w:val="0066354E"/>
    <w:rsid w:val="00663579"/>
    <w:rsid w:val="0066357A"/>
    <w:rsid w:val="00663694"/>
    <w:rsid w:val="006638F6"/>
    <w:rsid w:val="00663C64"/>
    <w:rsid w:val="006645EA"/>
    <w:rsid w:val="0066474C"/>
    <w:rsid w:val="00664762"/>
    <w:rsid w:val="00664B8E"/>
    <w:rsid w:val="00664CBB"/>
    <w:rsid w:val="006650E5"/>
    <w:rsid w:val="0066518F"/>
    <w:rsid w:val="006651CC"/>
    <w:rsid w:val="006652B4"/>
    <w:rsid w:val="006655FE"/>
    <w:rsid w:val="0066560B"/>
    <w:rsid w:val="00665791"/>
    <w:rsid w:val="00665974"/>
    <w:rsid w:val="00665BA9"/>
    <w:rsid w:val="00665FBA"/>
    <w:rsid w:val="00666806"/>
    <w:rsid w:val="00666864"/>
    <w:rsid w:val="006668B9"/>
    <w:rsid w:val="006669B7"/>
    <w:rsid w:val="00666AC8"/>
    <w:rsid w:val="00666AFC"/>
    <w:rsid w:val="00666D8E"/>
    <w:rsid w:val="00666E56"/>
    <w:rsid w:val="00666FDF"/>
    <w:rsid w:val="0066718A"/>
    <w:rsid w:val="00667239"/>
    <w:rsid w:val="0066743A"/>
    <w:rsid w:val="006674BD"/>
    <w:rsid w:val="00667703"/>
    <w:rsid w:val="0066773F"/>
    <w:rsid w:val="006677B7"/>
    <w:rsid w:val="00667804"/>
    <w:rsid w:val="00667A80"/>
    <w:rsid w:val="00667D8B"/>
    <w:rsid w:val="006700FE"/>
    <w:rsid w:val="00670115"/>
    <w:rsid w:val="00670269"/>
    <w:rsid w:val="0067042E"/>
    <w:rsid w:val="00670472"/>
    <w:rsid w:val="00670537"/>
    <w:rsid w:val="00670633"/>
    <w:rsid w:val="00670793"/>
    <w:rsid w:val="006707BF"/>
    <w:rsid w:val="00670934"/>
    <w:rsid w:val="00670BAB"/>
    <w:rsid w:val="00670EA5"/>
    <w:rsid w:val="00670F4F"/>
    <w:rsid w:val="00670FF9"/>
    <w:rsid w:val="006712BF"/>
    <w:rsid w:val="00671593"/>
    <w:rsid w:val="0067175B"/>
    <w:rsid w:val="00671818"/>
    <w:rsid w:val="00671A75"/>
    <w:rsid w:val="00671A95"/>
    <w:rsid w:val="00671DB9"/>
    <w:rsid w:val="00671E3A"/>
    <w:rsid w:val="006721FD"/>
    <w:rsid w:val="0067232D"/>
    <w:rsid w:val="00672565"/>
    <w:rsid w:val="00672571"/>
    <w:rsid w:val="006725CC"/>
    <w:rsid w:val="0067279D"/>
    <w:rsid w:val="006729F6"/>
    <w:rsid w:val="00672A0C"/>
    <w:rsid w:val="00672AB7"/>
    <w:rsid w:val="00672C46"/>
    <w:rsid w:val="00672D4F"/>
    <w:rsid w:val="00672ECB"/>
    <w:rsid w:val="00672EF9"/>
    <w:rsid w:val="00673254"/>
    <w:rsid w:val="006732F4"/>
    <w:rsid w:val="00673307"/>
    <w:rsid w:val="00673380"/>
    <w:rsid w:val="006734B7"/>
    <w:rsid w:val="00673629"/>
    <w:rsid w:val="006737C6"/>
    <w:rsid w:val="006738ED"/>
    <w:rsid w:val="006739CE"/>
    <w:rsid w:val="00673A72"/>
    <w:rsid w:val="00673EC5"/>
    <w:rsid w:val="00673EE5"/>
    <w:rsid w:val="00674039"/>
    <w:rsid w:val="00674044"/>
    <w:rsid w:val="00674153"/>
    <w:rsid w:val="006741B6"/>
    <w:rsid w:val="00674367"/>
    <w:rsid w:val="006744D2"/>
    <w:rsid w:val="006744DB"/>
    <w:rsid w:val="00674505"/>
    <w:rsid w:val="00674795"/>
    <w:rsid w:val="00674975"/>
    <w:rsid w:val="006749B6"/>
    <w:rsid w:val="00674A24"/>
    <w:rsid w:val="00674CD7"/>
    <w:rsid w:val="00674D0F"/>
    <w:rsid w:val="00674D41"/>
    <w:rsid w:val="00674E37"/>
    <w:rsid w:val="00674EB2"/>
    <w:rsid w:val="00675005"/>
    <w:rsid w:val="0067521D"/>
    <w:rsid w:val="006752A2"/>
    <w:rsid w:val="00675332"/>
    <w:rsid w:val="006754D2"/>
    <w:rsid w:val="0067555F"/>
    <w:rsid w:val="0067575F"/>
    <w:rsid w:val="00675943"/>
    <w:rsid w:val="006759A8"/>
    <w:rsid w:val="00675B23"/>
    <w:rsid w:val="00675CF6"/>
    <w:rsid w:val="00675D3C"/>
    <w:rsid w:val="00675D44"/>
    <w:rsid w:val="00675DC6"/>
    <w:rsid w:val="0067600D"/>
    <w:rsid w:val="0067617B"/>
    <w:rsid w:val="006761A6"/>
    <w:rsid w:val="006762E3"/>
    <w:rsid w:val="00676484"/>
    <w:rsid w:val="00676653"/>
    <w:rsid w:val="006767BE"/>
    <w:rsid w:val="00676B1C"/>
    <w:rsid w:val="00676C14"/>
    <w:rsid w:val="00676D4C"/>
    <w:rsid w:val="00676DE8"/>
    <w:rsid w:val="00676E03"/>
    <w:rsid w:val="00676FB6"/>
    <w:rsid w:val="00677151"/>
    <w:rsid w:val="0067745F"/>
    <w:rsid w:val="00677795"/>
    <w:rsid w:val="00677997"/>
    <w:rsid w:val="0068014E"/>
    <w:rsid w:val="00680797"/>
    <w:rsid w:val="0068082C"/>
    <w:rsid w:val="00680B27"/>
    <w:rsid w:val="00680C8C"/>
    <w:rsid w:val="00680CB9"/>
    <w:rsid w:val="00680EAE"/>
    <w:rsid w:val="00680F1B"/>
    <w:rsid w:val="00681138"/>
    <w:rsid w:val="00681507"/>
    <w:rsid w:val="0068151E"/>
    <w:rsid w:val="006815E0"/>
    <w:rsid w:val="00681DD2"/>
    <w:rsid w:val="00681F88"/>
    <w:rsid w:val="006820CF"/>
    <w:rsid w:val="0068214D"/>
    <w:rsid w:val="00682224"/>
    <w:rsid w:val="0068225C"/>
    <w:rsid w:val="00682332"/>
    <w:rsid w:val="0068239A"/>
    <w:rsid w:val="006823A1"/>
    <w:rsid w:val="006823E3"/>
    <w:rsid w:val="00682693"/>
    <w:rsid w:val="00682982"/>
    <w:rsid w:val="00682ACB"/>
    <w:rsid w:val="00682D21"/>
    <w:rsid w:val="00682E1F"/>
    <w:rsid w:val="00682EDF"/>
    <w:rsid w:val="0068332E"/>
    <w:rsid w:val="006836F9"/>
    <w:rsid w:val="00683A56"/>
    <w:rsid w:val="00683CC8"/>
    <w:rsid w:val="00683DCD"/>
    <w:rsid w:val="00683DEE"/>
    <w:rsid w:val="00683E6A"/>
    <w:rsid w:val="00684130"/>
    <w:rsid w:val="00684183"/>
    <w:rsid w:val="0068455A"/>
    <w:rsid w:val="0068455B"/>
    <w:rsid w:val="006846AF"/>
    <w:rsid w:val="00684865"/>
    <w:rsid w:val="006848DD"/>
    <w:rsid w:val="00684BBF"/>
    <w:rsid w:val="00684F35"/>
    <w:rsid w:val="006856E9"/>
    <w:rsid w:val="006857A1"/>
    <w:rsid w:val="006857AD"/>
    <w:rsid w:val="006858E2"/>
    <w:rsid w:val="00685A58"/>
    <w:rsid w:val="00685B7E"/>
    <w:rsid w:val="00685BA6"/>
    <w:rsid w:val="00685D5B"/>
    <w:rsid w:val="00685F54"/>
    <w:rsid w:val="006860BE"/>
    <w:rsid w:val="0068674E"/>
    <w:rsid w:val="00686DA1"/>
    <w:rsid w:val="00686DD5"/>
    <w:rsid w:val="00686E6C"/>
    <w:rsid w:val="00686E91"/>
    <w:rsid w:val="006877C1"/>
    <w:rsid w:val="0068788E"/>
    <w:rsid w:val="00687985"/>
    <w:rsid w:val="00687A55"/>
    <w:rsid w:val="00687AFD"/>
    <w:rsid w:val="00687C18"/>
    <w:rsid w:val="00687C2F"/>
    <w:rsid w:val="00687C55"/>
    <w:rsid w:val="00687ED6"/>
    <w:rsid w:val="00690087"/>
    <w:rsid w:val="00690112"/>
    <w:rsid w:val="0069014E"/>
    <w:rsid w:val="00690182"/>
    <w:rsid w:val="0069033C"/>
    <w:rsid w:val="00690348"/>
    <w:rsid w:val="006904BD"/>
    <w:rsid w:val="00690996"/>
    <w:rsid w:val="00690ED8"/>
    <w:rsid w:val="006910AA"/>
    <w:rsid w:val="0069110E"/>
    <w:rsid w:val="006911E9"/>
    <w:rsid w:val="006913A0"/>
    <w:rsid w:val="0069151C"/>
    <w:rsid w:val="0069161A"/>
    <w:rsid w:val="00691B0A"/>
    <w:rsid w:val="00691B40"/>
    <w:rsid w:val="00691B70"/>
    <w:rsid w:val="00691CF0"/>
    <w:rsid w:val="00691D39"/>
    <w:rsid w:val="00691E31"/>
    <w:rsid w:val="00692026"/>
    <w:rsid w:val="00692077"/>
    <w:rsid w:val="00692499"/>
    <w:rsid w:val="00692505"/>
    <w:rsid w:val="00692599"/>
    <w:rsid w:val="00692603"/>
    <w:rsid w:val="0069275B"/>
    <w:rsid w:val="00692795"/>
    <w:rsid w:val="00692838"/>
    <w:rsid w:val="00692879"/>
    <w:rsid w:val="0069292F"/>
    <w:rsid w:val="00692C29"/>
    <w:rsid w:val="00692D30"/>
    <w:rsid w:val="00693029"/>
    <w:rsid w:val="006936F5"/>
    <w:rsid w:val="00693797"/>
    <w:rsid w:val="006937F5"/>
    <w:rsid w:val="00693843"/>
    <w:rsid w:val="00693859"/>
    <w:rsid w:val="0069399D"/>
    <w:rsid w:val="00693CA9"/>
    <w:rsid w:val="00693DFC"/>
    <w:rsid w:val="00693F03"/>
    <w:rsid w:val="006941D7"/>
    <w:rsid w:val="00694215"/>
    <w:rsid w:val="0069437F"/>
    <w:rsid w:val="0069442C"/>
    <w:rsid w:val="0069477F"/>
    <w:rsid w:val="0069481A"/>
    <w:rsid w:val="00694914"/>
    <w:rsid w:val="00694922"/>
    <w:rsid w:val="0069500F"/>
    <w:rsid w:val="00695123"/>
    <w:rsid w:val="00695537"/>
    <w:rsid w:val="0069586D"/>
    <w:rsid w:val="00695B21"/>
    <w:rsid w:val="00695C77"/>
    <w:rsid w:val="0069619C"/>
    <w:rsid w:val="006961A8"/>
    <w:rsid w:val="00696259"/>
    <w:rsid w:val="006964E5"/>
    <w:rsid w:val="0069665C"/>
    <w:rsid w:val="00696BCB"/>
    <w:rsid w:val="00696D45"/>
    <w:rsid w:val="00696D61"/>
    <w:rsid w:val="00696D6E"/>
    <w:rsid w:val="00696FD3"/>
    <w:rsid w:val="0069706A"/>
    <w:rsid w:val="00697343"/>
    <w:rsid w:val="00697886"/>
    <w:rsid w:val="00697A12"/>
    <w:rsid w:val="00697B47"/>
    <w:rsid w:val="00697D14"/>
    <w:rsid w:val="00697E9E"/>
    <w:rsid w:val="00697F90"/>
    <w:rsid w:val="00697FAE"/>
    <w:rsid w:val="006A0206"/>
    <w:rsid w:val="006A02A3"/>
    <w:rsid w:val="006A032C"/>
    <w:rsid w:val="006A08A1"/>
    <w:rsid w:val="006A0911"/>
    <w:rsid w:val="006A0973"/>
    <w:rsid w:val="006A09C9"/>
    <w:rsid w:val="006A0BD5"/>
    <w:rsid w:val="006A0F31"/>
    <w:rsid w:val="006A117A"/>
    <w:rsid w:val="006A13A2"/>
    <w:rsid w:val="006A1401"/>
    <w:rsid w:val="006A1A4B"/>
    <w:rsid w:val="006A1BE8"/>
    <w:rsid w:val="006A1C36"/>
    <w:rsid w:val="006A1C9C"/>
    <w:rsid w:val="006A243C"/>
    <w:rsid w:val="006A24FA"/>
    <w:rsid w:val="006A2692"/>
    <w:rsid w:val="006A2808"/>
    <w:rsid w:val="006A2878"/>
    <w:rsid w:val="006A2B11"/>
    <w:rsid w:val="006A2D9B"/>
    <w:rsid w:val="006A33CE"/>
    <w:rsid w:val="006A34CA"/>
    <w:rsid w:val="006A35E2"/>
    <w:rsid w:val="006A38BB"/>
    <w:rsid w:val="006A39DC"/>
    <w:rsid w:val="006A39F5"/>
    <w:rsid w:val="006A3E53"/>
    <w:rsid w:val="006A3F16"/>
    <w:rsid w:val="006A3FD7"/>
    <w:rsid w:val="006A413D"/>
    <w:rsid w:val="006A42B6"/>
    <w:rsid w:val="006A4494"/>
    <w:rsid w:val="006A44C9"/>
    <w:rsid w:val="006A460D"/>
    <w:rsid w:val="006A4B74"/>
    <w:rsid w:val="006A4BC7"/>
    <w:rsid w:val="006A4D56"/>
    <w:rsid w:val="006A525F"/>
    <w:rsid w:val="006A52CA"/>
    <w:rsid w:val="006A52CB"/>
    <w:rsid w:val="006A5586"/>
    <w:rsid w:val="006A5601"/>
    <w:rsid w:val="006A5604"/>
    <w:rsid w:val="006A575C"/>
    <w:rsid w:val="006A583D"/>
    <w:rsid w:val="006A5A26"/>
    <w:rsid w:val="006A5BC5"/>
    <w:rsid w:val="006A60B5"/>
    <w:rsid w:val="006A612B"/>
    <w:rsid w:val="006A61EA"/>
    <w:rsid w:val="006A6345"/>
    <w:rsid w:val="006A6464"/>
    <w:rsid w:val="006A66BF"/>
    <w:rsid w:val="006A67F7"/>
    <w:rsid w:val="006A6945"/>
    <w:rsid w:val="006A69AC"/>
    <w:rsid w:val="006A6A66"/>
    <w:rsid w:val="006A6A7F"/>
    <w:rsid w:val="006A6FF9"/>
    <w:rsid w:val="006A71AD"/>
    <w:rsid w:val="006A7358"/>
    <w:rsid w:val="006A752F"/>
    <w:rsid w:val="006A7B0B"/>
    <w:rsid w:val="006A7BA1"/>
    <w:rsid w:val="006A7D8F"/>
    <w:rsid w:val="006A7EE9"/>
    <w:rsid w:val="006B0020"/>
    <w:rsid w:val="006B0181"/>
    <w:rsid w:val="006B02B0"/>
    <w:rsid w:val="006B02B1"/>
    <w:rsid w:val="006B037E"/>
    <w:rsid w:val="006B0876"/>
    <w:rsid w:val="006B0965"/>
    <w:rsid w:val="006B09A3"/>
    <w:rsid w:val="006B0ACD"/>
    <w:rsid w:val="006B0D7E"/>
    <w:rsid w:val="006B0E7D"/>
    <w:rsid w:val="006B0EAA"/>
    <w:rsid w:val="006B1186"/>
    <w:rsid w:val="006B14B6"/>
    <w:rsid w:val="006B18F6"/>
    <w:rsid w:val="006B1CA9"/>
    <w:rsid w:val="006B1F50"/>
    <w:rsid w:val="006B208B"/>
    <w:rsid w:val="006B21CA"/>
    <w:rsid w:val="006B21DC"/>
    <w:rsid w:val="006B21E4"/>
    <w:rsid w:val="006B22C6"/>
    <w:rsid w:val="006B2563"/>
    <w:rsid w:val="006B261D"/>
    <w:rsid w:val="006B2CF7"/>
    <w:rsid w:val="006B2D1E"/>
    <w:rsid w:val="006B2D93"/>
    <w:rsid w:val="006B2DA3"/>
    <w:rsid w:val="006B2E48"/>
    <w:rsid w:val="006B2EE1"/>
    <w:rsid w:val="006B335A"/>
    <w:rsid w:val="006B3367"/>
    <w:rsid w:val="006B389B"/>
    <w:rsid w:val="006B39E0"/>
    <w:rsid w:val="006B3A2B"/>
    <w:rsid w:val="006B3E79"/>
    <w:rsid w:val="006B3F83"/>
    <w:rsid w:val="006B41D7"/>
    <w:rsid w:val="006B41E7"/>
    <w:rsid w:val="006B4311"/>
    <w:rsid w:val="006B452F"/>
    <w:rsid w:val="006B46BE"/>
    <w:rsid w:val="006B4A8F"/>
    <w:rsid w:val="006B4B8E"/>
    <w:rsid w:val="006B4BFA"/>
    <w:rsid w:val="006B4C52"/>
    <w:rsid w:val="006B4C79"/>
    <w:rsid w:val="006B4C81"/>
    <w:rsid w:val="006B5024"/>
    <w:rsid w:val="006B504B"/>
    <w:rsid w:val="006B5331"/>
    <w:rsid w:val="006B53EC"/>
    <w:rsid w:val="006B5639"/>
    <w:rsid w:val="006B5884"/>
    <w:rsid w:val="006B589A"/>
    <w:rsid w:val="006B5A01"/>
    <w:rsid w:val="006B5AE5"/>
    <w:rsid w:val="006B5B32"/>
    <w:rsid w:val="006B5B8E"/>
    <w:rsid w:val="006B5F2F"/>
    <w:rsid w:val="006B6197"/>
    <w:rsid w:val="006B634D"/>
    <w:rsid w:val="006B64CF"/>
    <w:rsid w:val="006B666E"/>
    <w:rsid w:val="006B672E"/>
    <w:rsid w:val="006B68FD"/>
    <w:rsid w:val="006B6B99"/>
    <w:rsid w:val="006B6DEB"/>
    <w:rsid w:val="006B7022"/>
    <w:rsid w:val="006B70FD"/>
    <w:rsid w:val="006B7194"/>
    <w:rsid w:val="006B7245"/>
    <w:rsid w:val="006B765B"/>
    <w:rsid w:val="006B776F"/>
    <w:rsid w:val="006B7888"/>
    <w:rsid w:val="006B78D6"/>
    <w:rsid w:val="006B7C47"/>
    <w:rsid w:val="006B7CB7"/>
    <w:rsid w:val="006B7E32"/>
    <w:rsid w:val="006C01CB"/>
    <w:rsid w:val="006C02B4"/>
    <w:rsid w:val="006C0804"/>
    <w:rsid w:val="006C0B9D"/>
    <w:rsid w:val="006C0BF8"/>
    <w:rsid w:val="006C0C82"/>
    <w:rsid w:val="006C0D3F"/>
    <w:rsid w:val="006C0E81"/>
    <w:rsid w:val="006C11B7"/>
    <w:rsid w:val="006C11D2"/>
    <w:rsid w:val="006C13B6"/>
    <w:rsid w:val="006C13CB"/>
    <w:rsid w:val="006C145F"/>
    <w:rsid w:val="006C1506"/>
    <w:rsid w:val="006C1A23"/>
    <w:rsid w:val="006C1B63"/>
    <w:rsid w:val="006C1C0F"/>
    <w:rsid w:val="006C1E39"/>
    <w:rsid w:val="006C1F96"/>
    <w:rsid w:val="006C203C"/>
    <w:rsid w:val="006C21D9"/>
    <w:rsid w:val="006C220C"/>
    <w:rsid w:val="006C22A0"/>
    <w:rsid w:val="006C2378"/>
    <w:rsid w:val="006C2493"/>
    <w:rsid w:val="006C24C0"/>
    <w:rsid w:val="006C274E"/>
    <w:rsid w:val="006C27BD"/>
    <w:rsid w:val="006C27F9"/>
    <w:rsid w:val="006C288B"/>
    <w:rsid w:val="006C2A88"/>
    <w:rsid w:val="006C2ABF"/>
    <w:rsid w:val="006C2B03"/>
    <w:rsid w:val="006C2BA6"/>
    <w:rsid w:val="006C2D3B"/>
    <w:rsid w:val="006C30F3"/>
    <w:rsid w:val="006C3147"/>
    <w:rsid w:val="006C33F2"/>
    <w:rsid w:val="006C3465"/>
    <w:rsid w:val="006C3837"/>
    <w:rsid w:val="006C3B5B"/>
    <w:rsid w:val="006C3B70"/>
    <w:rsid w:val="006C3C9E"/>
    <w:rsid w:val="006C3D88"/>
    <w:rsid w:val="006C3F7D"/>
    <w:rsid w:val="006C40F9"/>
    <w:rsid w:val="006C4463"/>
    <w:rsid w:val="006C471E"/>
    <w:rsid w:val="006C48CA"/>
    <w:rsid w:val="006C4B0C"/>
    <w:rsid w:val="006C4D38"/>
    <w:rsid w:val="006C4DED"/>
    <w:rsid w:val="006C53DF"/>
    <w:rsid w:val="006C565A"/>
    <w:rsid w:val="006C5906"/>
    <w:rsid w:val="006C5A8E"/>
    <w:rsid w:val="006C5CC2"/>
    <w:rsid w:val="006C616F"/>
    <w:rsid w:val="006C61EE"/>
    <w:rsid w:val="006C633F"/>
    <w:rsid w:val="006C65D9"/>
    <w:rsid w:val="006C6721"/>
    <w:rsid w:val="006C699D"/>
    <w:rsid w:val="006C6AF0"/>
    <w:rsid w:val="006C6D1E"/>
    <w:rsid w:val="006C6DB7"/>
    <w:rsid w:val="006C6F09"/>
    <w:rsid w:val="006C6F92"/>
    <w:rsid w:val="006C6FD5"/>
    <w:rsid w:val="006C75FD"/>
    <w:rsid w:val="006C7A6A"/>
    <w:rsid w:val="006C7B8E"/>
    <w:rsid w:val="006C7BFF"/>
    <w:rsid w:val="006C7D2A"/>
    <w:rsid w:val="006C7E5B"/>
    <w:rsid w:val="006C7FB9"/>
    <w:rsid w:val="006C7FE4"/>
    <w:rsid w:val="006D000B"/>
    <w:rsid w:val="006D003A"/>
    <w:rsid w:val="006D02D5"/>
    <w:rsid w:val="006D0384"/>
    <w:rsid w:val="006D05F6"/>
    <w:rsid w:val="006D0658"/>
    <w:rsid w:val="006D08D1"/>
    <w:rsid w:val="006D0A17"/>
    <w:rsid w:val="006D0C74"/>
    <w:rsid w:val="006D0D06"/>
    <w:rsid w:val="006D103D"/>
    <w:rsid w:val="006D116B"/>
    <w:rsid w:val="006D1186"/>
    <w:rsid w:val="006D1462"/>
    <w:rsid w:val="006D15C6"/>
    <w:rsid w:val="006D163C"/>
    <w:rsid w:val="006D165F"/>
    <w:rsid w:val="006D16F1"/>
    <w:rsid w:val="006D1922"/>
    <w:rsid w:val="006D1B50"/>
    <w:rsid w:val="006D1C1E"/>
    <w:rsid w:val="006D1E1B"/>
    <w:rsid w:val="006D2043"/>
    <w:rsid w:val="006D29F1"/>
    <w:rsid w:val="006D2D0D"/>
    <w:rsid w:val="006D2ECB"/>
    <w:rsid w:val="006D2F3D"/>
    <w:rsid w:val="006D2F92"/>
    <w:rsid w:val="006D3567"/>
    <w:rsid w:val="006D3589"/>
    <w:rsid w:val="006D35E8"/>
    <w:rsid w:val="006D3651"/>
    <w:rsid w:val="006D3683"/>
    <w:rsid w:val="006D370E"/>
    <w:rsid w:val="006D3960"/>
    <w:rsid w:val="006D3B5B"/>
    <w:rsid w:val="006D3E13"/>
    <w:rsid w:val="006D4002"/>
    <w:rsid w:val="006D408F"/>
    <w:rsid w:val="006D40AD"/>
    <w:rsid w:val="006D4448"/>
    <w:rsid w:val="006D4477"/>
    <w:rsid w:val="006D4535"/>
    <w:rsid w:val="006D4601"/>
    <w:rsid w:val="006D4724"/>
    <w:rsid w:val="006D477A"/>
    <w:rsid w:val="006D48A5"/>
    <w:rsid w:val="006D491B"/>
    <w:rsid w:val="006D497C"/>
    <w:rsid w:val="006D4B9C"/>
    <w:rsid w:val="006D4C42"/>
    <w:rsid w:val="006D4C52"/>
    <w:rsid w:val="006D4C7F"/>
    <w:rsid w:val="006D52E0"/>
    <w:rsid w:val="006D5352"/>
    <w:rsid w:val="006D5733"/>
    <w:rsid w:val="006D5910"/>
    <w:rsid w:val="006D5BD4"/>
    <w:rsid w:val="006D5C3F"/>
    <w:rsid w:val="006D5FCD"/>
    <w:rsid w:val="006D60D4"/>
    <w:rsid w:val="006D60EC"/>
    <w:rsid w:val="006D6382"/>
    <w:rsid w:val="006D63A5"/>
    <w:rsid w:val="006D6539"/>
    <w:rsid w:val="006D6640"/>
    <w:rsid w:val="006D68D9"/>
    <w:rsid w:val="006D6AFF"/>
    <w:rsid w:val="006D6EA0"/>
    <w:rsid w:val="006D6F7D"/>
    <w:rsid w:val="006D71EF"/>
    <w:rsid w:val="006D7286"/>
    <w:rsid w:val="006D740D"/>
    <w:rsid w:val="006D74A0"/>
    <w:rsid w:val="006D785C"/>
    <w:rsid w:val="006D7876"/>
    <w:rsid w:val="006D78BE"/>
    <w:rsid w:val="006E0224"/>
    <w:rsid w:val="006E07A8"/>
    <w:rsid w:val="006E07AA"/>
    <w:rsid w:val="006E07D4"/>
    <w:rsid w:val="006E0AB2"/>
    <w:rsid w:val="006E0C4A"/>
    <w:rsid w:val="006E0D6A"/>
    <w:rsid w:val="006E1211"/>
    <w:rsid w:val="006E1515"/>
    <w:rsid w:val="006E163C"/>
    <w:rsid w:val="006E16B3"/>
    <w:rsid w:val="006E16EB"/>
    <w:rsid w:val="006E1C6B"/>
    <w:rsid w:val="006E1CF0"/>
    <w:rsid w:val="006E1D68"/>
    <w:rsid w:val="006E1F1D"/>
    <w:rsid w:val="006E2005"/>
    <w:rsid w:val="006E203A"/>
    <w:rsid w:val="006E214B"/>
    <w:rsid w:val="006E237B"/>
    <w:rsid w:val="006E23E9"/>
    <w:rsid w:val="006E242A"/>
    <w:rsid w:val="006E277C"/>
    <w:rsid w:val="006E2800"/>
    <w:rsid w:val="006E2873"/>
    <w:rsid w:val="006E3109"/>
    <w:rsid w:val="006E311E"/>
    <w:rsid w:val="006E32C7"/>
    <w:rsid w:val="006E3375"/>
    <w:rsid w:val="006E39CA"/>
    <w:rsid w:val="006E3A67"/>
    <w:rsid w:val="006E3AF6"/>
    <w:rsid w:val="006E3B97"/>
    <w:rsid w:val="006E3C51"/>
    <w:rsid w:val="006E3EE9"/>
    <w:rsid w:val="006E42E2"/>
    <w:rsid w:val="006E43F3"/>
    <w:rsid w:val="006E44B0"/>
    <w:rsid w:val="006E473C"/>
    <w:rsid w:val="006E4792"/>
    <w:rsid w:val="006E497F"/>
    <w:rsid w:val="006E4AED"/>
    <w:rsid w:val="006E4C24"/>
    <w:rsid w:val="006E4EE0"/>
    <w:rsid w:val="006E4F0C"/>
    <w:rsid w:val="006E4F36"/>
    <w:rsid w:val="006E5294"/>
    <w:rsid w:val="006E556B"/>
    <w:rsid w:val="006E559A"/>
    <w:rsid w:val="006E5A18"/>
    <w:rsid w:val="006E5ADB"/>
    <w:rsid w:val="006E5AF8"/>
    <w:rsid w:val="006E5B88"/>
    <w:rsid w:val="006E5BD5"/>
    <w:rsid w:val="006E5C35"/>
    <w:rsid w:val="006E60DD"/>
    <w:rsid w:val="006E62FD"/>
    <w:rsid w:val="006E632F"/>
    <w:rsid w:val="006E644F"/>
    <w:rsid w:val="006E663C"/>
    <w:rsid w:val="006E6AE9"/>
    <w:rsid w:val="006E6CDD"/>
    <w:rsid w:val="006E6F76"/>
    <w:rsid w:val="006E70C1"/>
    <w:rsid w:val="006E7217"/>
    <w:rsid w:val="006E72DC"/>
    <w:rsid w:val="006E738E"/>
    <w:rsid w:val="006E73EC"/>
    <w:rsid w:val="006E75FD"/>
    <w:rsid w:val="006E767F"/>
    <w:rsid w:val="006E7CFF"/>
    <w:rsid w:val="006E7DF6"/>
    <w:rsid w:val="006F007B"/>
    <w:rsid w:val="006F047F"/>
    <w:rsid w:val="006F05A4"/>
    <w:rsid w:val="006F0722"/>
    <w:rsid w:val="006F072E"/>
    <w:rsid w:val="006F0841"/>
    <w:rsid w:val="006F084F"/>
    <w:rsid w:val="006F091F"/>
    <w:rsid w:val="006F09EF"/>
    <w:rsid w:val="006F0BC1"/>
    <w:rsid w:val="006F0BF6"/>
    <w:rsid w:val="006F0CBC"/>
    <w:rsid w:val="006F0D24"/>
    <w:rsid w:val="006F0DF9"/>
    <w:rsid w:val="006F1288"/>
    <w:rsid w:val="006F1687"/>
    <w:rsid w:val="006F1B27"/>
    <w:rsid w:val="006F1D0F"/>
    <w:rsid w:val="006F1EFC"/>
    <w:rsid w:val="006F1F66"/>
    <w:rsid w:val="006F206C"/>
    <w:rsid w:val="006F24BB"/>
    <w:rsid w:val="006F250C"/>
    <w:rsid w:val="006F294A"/>
    <w:rsid w:val="006F2AF2"/>
    <w:rsid w:val="006F2B3F"/>
    <w:rsid w:val="006F35B3"/>
    <w:rsid w:val="006F3673"/>
    <w:rsid w:val="006F3740"/>
    <w:rsid w:val="006F377C"/>
    <w:rsid w:val="006F387C"/>
    <w:rsid w:val="006F3901"/>
    <w:rsid w:val="006F398E"/>
    <w:rsid w:val="006F3A59"/>
    <w:rsid w:val="006F3A90"/>
    <w:rsid w:val="006F3B9F"/>
    <w:rsid w:val="006F4003"/>
    <w:rsid w:val="006F4224"/>
    <w:rsid w:val="006F437E"/>
    <w:rsid w:val="006F4492"/>
    <w:rsid w:val="006F44BA"/>
    <w:rsid w:val="006F472D"/>
    <w:rsid w:val="006F4881"/>
    <w:rsid w:val="006F48D2"/>
    <w:rsid w:val="006F4C0C"/>
    <w:rsid w:val="006F4CFA"/>
    <w:rsid w:val="006F4D38"/>
    <w:rsid w:val="006F4E05"/>
    <w:rsid w:val="006F4ED3"/>
    <w:rsid w:val="006F4EE4"/>
    <w:rsid w:val="006F51EF"/>
    <w:rsid w:val="006F5474"/>
    <w:rsid w:val="006F5497"/>
    <w:rsid w:val="006F57E0"/>
    <w:rsid w:val="006F584D"/>
    <w:rsid w:val="006F5891"/>
    <w:rsid w:val="006F5B82"/>
    <w:rsid w:val="006F5EB3"/>
    <w:rsid w:val="006F6079"/>
    <w:rsid w:val="006F6344"/>
    <w:rsid w:val="006F63B3"/>
    <w:rsid w:val="006F6740"/>
    <w:rsid w:val="006F69D7"/>
    <w:rsid w:val="006F7003"/>
    <w:rsid w:val="006F700D"/>
    <w:rsid w:val="006F7042"/>
    <w:rsid w:val="006F75F7"/>
    <w:rsid w:val="006F7BDF"/>
    <w:rsid w:val="006FC5F5"/>
    <w:rsid w:val="00700207"/>
    <w:rsid w:val="00700899"/>
    <w:rsid w:val="00700A4F"/>
    <w:rsid w:val="00700BE0"/>
    <w:rsid w:val="00700FD4"/>
    <w:rsid w:val="0070110D"/>
    <w:rsid w:val="007011C6"/>
    <w:rsid w:val="00701277"/>
    <w:rsid w:val="007012F9"/>
    <w:rsid w:val="0070146E"/>
    <w:rsid w:val="007015FF"/>
    <w:rsid w:val="00701D8C"/>
    <w:rsid w:val="00701E9E"/>
    <w:rsid w:val="00701EC4"/>
    <w:rsid w:val="00701FA9"/>
    <w:rsid w:val="0070203B"/>
    <w:rsid w:val="0070245B"/>
    <w:rsid w:val="007024FB"/>
    <w:rsid w:val="0070264B"/>
    <w:rsid w:val="0070265B"/>
    <w:rsid w:val="007029A4"/>
    <w:rsid w:val="00702A76"/>
    <w:rsid w:val="00702CA0"/>
    <w:rsid w:val="00702CDD"/>
    <w:rsid w:val="00702D15"/>
    <w:rsid w:val="00702F22"/>
    <w:rsid w:val="007031E4"/>
    <w:rsid w:val="00703228"/>
    <w:rsid w:val="007034EA"/>
    <w:rsid w:val="007039D5"/>
    <w:rsid w:val="00703B3A"/>
    <w:rsid w:val="00703E19"/>
    <w:rsid w:val="00703EA1"/>
    <w:rsid w:val="00703EEC"/>
    <w:rsid w:val="00704387"/>
    <w:rsid w:val="007046A0"/>
    <w:rsid w:val="007046CC"/>
    <w:rsid w:val="00704919"/>
    <w:rsid w:val="00704EA7"/>
    <w:rsid w:val="00704F46"/>
    <w:rsid w:val="00705067"/>
    <w:rsid w:val="007050ED"/>
    <w:rsid w:val="00705470"/>
    <w:rsid w:val="0070557B"/>
    <w:rsid w:val="0070565F"/>
    <w:rsid w:val="007057A9"/>
    <w:rsid w:val="007057AD"/>
    <w:rsid w:val="00705983"/>
    <w:rsid w:val="00705AEC"/>
    <w:rsid w:val="00705C15"/>
    <w:rsid w:val="00706226"/>
    <w:rsid w:val="007062C4"/>
    <w:rsid w:val="00706327"/>
    <w:rsid w:val="007064CF"/>
    <w:rsid w:val="007064E3"/>
    <w:rsid w:val="0070664E"/>
    <w:rsid w:val="0070688C"/>
    <w:rsid w:val="00706985"/>
    <w:rsid w:val="00706AAE"/>
    <w:rsid w:val="00706AEB"/>
    <w:rsid w:val="00706C77"/>
    <w:rsid w:val="00706D95"/>
    <w:rsid w:val="00706FB9"/>
    <w:rsid w:val="007071A9"/>
    <w:rsid w:val="007079BE"/>
    <w:rsid w:val="00707AD3"/>
    <w:rsid w:val="00707E35"/>
    <w:rsid w:val="00707FBA"/>
    <w:rsid w:val="0071027E"/>
    <w:rsid w:val="0071035F"/>
    <w:rsid w:val="007104DB"/>
    <w:rsid w:val="00710776"/>
    <w:rsid w:val="00710959"/>
    <w:rsid w:val="00710A8A"/>
    <w:rsid w:val="00710AB4"/>
    <w:rsid w:val="00710AEF"/>
    <w:rsid w:val="00710B70"/>
    <w:rsid w:val="00710D78"/>
    <w:rsid w:val="00710E41"/>
    <w:rsid w:val="00710E8B"/>
    <w:rsid w:val="00710ED0"/>
    <w:rsid w:val="00711166"/>
    <w:rsid w:val="007114CB"/>
    <w:rsid w:val="00711821"/>
    <w:rsid w:val="00711858"/>
    <w:rsid w:val="0071187F"/>
    <w:rsid w:val="0071199B"/>
    <w:rsid w:val="00711B56"/>
    <w:rsid w:val="00711FA7"/>
    <w:rsid w:val="00711FC7"/>
    <w:rsid w:val="00712073"/>
    <w:rsid w:val="0071237E"/>
    <w:rsid w:val="00712419"/>
    <w:rsid w:val="00712455"/>
    <w:rsid w:val="007124A0"/>
    <w:rsid w:val="00712559"/>
    <w:rsid w:val="0071276F"/>
    <w:rsid w:val="007129D0"/>
    <w:rsid w:val="00712ADD"/>
    <w:rsid w:val="00712B3A"/>
    <w:rsid w:val="00712E05"/>
    <w:rsid w:val="00713140"/>
    <w:rsid w:val="0071317B"/>
    <w:rsid w:val="0071318D"/>
    <w:rsid w:val="00713274"/>
    <w:rsid w:val="00713554"/>
    <w:rsid w:val="007135BE"/>
    <w:rsid w:val="00713636"/>
    <w:rsid w:val="00713652"/>
    <w:rsid w:val="007138E7"/>
    <w:rsid w:val="00713CFC"/>
    <w:rsid w:val="00713D8C"/>
    <w:rsid w:val="00713ED8"/>
    <w:rsid w:val="00713FD3"/>
    <w:rsid w:val="007141E8"/>
    <w:rsid w:val="007148E4"/>
    <w:rsid w:val="00714C87"/>
    <w:rsid w:val="00714D19"/>
    <w:rsid w:val="00714EB6"/>
    <w:rsid w:val="00715082"/>
    <w:rsid w:val="00715129"/>
    <w:rsid w:val="0071521C"/>
    <w:rsid w:val="007155C9"/>
    <w:rsid w:val="007155ED"/>
    <w:rsid w:val="007158D6"/>
    <w:rsid w:val="0071596E"/>
    <w:rsid w:val="00715AB4"/>
    <w:rsid w:val="00715C29"/>
    <w:rsid w:val="00715CBB"/>
    <w:rsid w:val="00716068"/>
    <w:rsid w:val="007165E6"/>
    <w:rsid w:val="00716C4A"/>
    <w:rsid w:val="00716CB1"/>
    <w:rsid w:val="00716E32"/>
    <w:rsid w:val="00716F12"/>
    <w:rsid w:val="00716F39"/>
    <w:rsid w:val="00716F71"/>
    <w:rsid w:val="007170C6"/>
    <w:rsid w:val="0071744A"/>
    <w:rsid w:val="0071792A"/>
    <w:rsid w:val="007179B5"/>
    <w:rsid w:val="00717A05"/>
    <w:rsid w:val="00717A1A"/>
    <w:rsid w:val="00717AEE"/>
    <w:rsid w:val="00717BBF"/>
    <w:rsid w:val="00717F3E"/>
    <w:rsid w:val="00720052"/>
    <w:rsid w:val="007200AE"/>
    <w:rsid w:val="007202AE"/>
    <w:rsid w:val="007202C3"/>
    <w:rsid w:val="0072048A"/>
    <w:rsid w:val="0072084D"/>
    <w:rsid w:val="00720854"/>
    <w:rsid w:val="00720BAD"/>
    <w:rsid w:val="00720C92"/>
    <w:rsid w:val="00720D3E"/>
    <w:rsid w:val="00720E1F"/>
    <w:rsid w:val="00721195"/>
    <w:rsid w:val="007211A6"/>
    <w:rsid w:val="00721888"/>
    <w:rsid w:val="00721A06"/>
    <w:rsid w:val="00721A4F"/>
    <w:rsid w:val="00721C1C"/>
    <w:rsid w:val="00722252"/>
    <w:rsid w:val="007222DD"/>
    <w:rsid w:val="0072248E"/>
    <w:rsid w:val="00722544"/>
    <w:rsid w:val="00722971"/>
    <w:rsid w:val="00722BBB"/>
    <w:rsid w:val="00722F72"/>
    <w:rsid w:val="0072300B"/>
    <w:rsid w:val="007231F5"/>
    <w:rsid w:val="00723355"/>
    <w:rsid w:val="00723474"/>
    <w:rsid w:val="00723488"/>
    <w:rsid w:val="00723755"/>
    <w:rsid w:val="00723A2A"/>
    <w:rsid w:val="00723B23"/>
    <w:rsid w:val="00723D0F"/>
    <w:rsid w:val="00723D15"/>
    <w:rsid w:val="00723DED"/>
    <w:rsid w:val="007241C0"/>
    <w:rsid w:val="00724239"/>
    <w:rsid w:val="007244BF"/>
    <w:rsid w:val="007244F5"/>
    <w:rsid w:val="0072464A"/>
    <w:rsid w:val="0072465D"/>
    <w:rsid w:val="007246FF"/>
    <w:rsid w:val="007247E6"/>
    <w:rsid w:val="007247FD"/>
    <w:rsid w:val="00724B1C"/>
    <w:rsid w:val="00724B3B"/>
    <w:rsid w:val="00724D9C"/>
    <w:rsid w:val="00724E40"/>
    <w:rsid w:val="00724E70"/>
    <w:rsid w:val="00724E8D"/>
    <w:rsid w:val="00725039"/>
    <w:rsid w:val="00725511"/>
    <w:rsid w:val="00725526"/>
    <w:rsid w:val="0072557C"/>
    <w:rsid w:val="007255A8"/>
    <w:rsid w:val="007258BC"/>
    <w:rsid w:val="00725A70"/>
    <w:rsid w:val="00725E91"/>
    <w:rsid w:val="00725F62"/>
    <w:rsid w:val="007260DE"/>
    <w:rsid w:val="00726203"/>
    <w:rsid w:val="007263D9"/>
    <w:rsid w:val="00726622"/>
    <w:rsid w:val="007267E3"/>
    <w:rsid w:val="00726829"/>
    <w:rsid w:val="00726950"/>
    <w:rsid w:val="00726A5D"/>
    <w:rsid w:val="00726A65"/>
    <w:rsid w:val="00726D79"/>
    <w:rsid w:val="00726DF2"/>
    <w:rsid w:val="00726E93"/>
    <w:rsid w:val="00726F90"/>
    <w:rsid w:val="0072703A"/>
    <w:rsid w:val="007272CF"/>
    <w:rsid w:val="0072744D"/>
    <w:rsid w:val="007276B4"/>
    <w:rsid w:val="0072771B"/>
    <w:rsid w:val="00727B15"/>
    <w:rsid w:val="00727E24"/>
    <w:rsid w:val="007303C1"/>
    <w:rsid w:val="007303C9"/>
    <w:rsid w:val="0073066E"/>
    <w:rsid w:val="00730674"/>
    <w:rsid w:val="007306AA"/>
    <w:rsid w:val="00730EED"/>
    <w:rsid w:val="0073132E"/>
    <w:rsid w:val="00731359"/>
    <w:rsid w:val="00731420"/>
    <w:rsid w:val="00731C8C"/>
    <w:rsid w:val="00731F34"/>
    <w:rsid w:val="00732043"/>
    <w:rsid w:val="0073208B"/>
    <w:rsid w:val="0073220B"/>
    <w:rsid w:val="007323C3"/>
    <w:rsid w:val="007324E6"/>
    <w:rsid w:val="007325E1"/>
    <w:rsid w:val="007326BD"/>
    <w:rsid w:val="007329CB"/>
    <w:rsid w:val="00732A39"/>
    <w:rsid w:val="00732A90"/>
    <w:rsid w:val="00732AFB"/>
    <w:rsid w:val="00732D29"/>
    <w:rsid w:val="00732E65"/>
    <w:rsid w:val="00733577"/>
    <w:rsid w:val="00733657"/>
    <w:rsid w:val="007337E2"/>
    <w:rsid w:val="007338A4"/>
    <w:rsid w:val="007339CE"/>
    <w:rsid w:val="00733A37"/>
    <w:rsid w:val="00734013"/>
    <w:rsid w:val="00734096"/>
    <w:rsid w:val="0073423C"/>
    <w:rsid w:val="0073438F"/>
    <w:rsid w:val="00734711"/>
    <w:rsid w:val="00734A00"/>
    <w:rsid w:val="00734C83"/>
    <w:rsid w:val="00734F52"/>
    <w:rsid w:val="007351CE"/>
    <w:rsid w:val="0073534F"/>
    <w:rsid w:val="00735356"/>
    <w:rsid w:val="007354BB"/>
    <w:rsid w:val="0073574A"/>
    <w:rsid w:val="0073592A"/>
    <w:rsid w:val="00735966"/>
    <w:rsid w:val="00735CA6"/>
    <w:rsid w:val="00735E4D"/>
    <w:rsid w:val="00736037"/>
    <w:rsid w:val="0073612C"/>
    <w:rsid w:val="00736245"/>
    <w:rsid w:val="00736322"/>
    <w:rsid w:val="007365F3"/>
    <w:rsid w:val="00736629"/>
    <w:rsid w:val="00736B6C"/>
    <w:rsid w:val="00736C72"/>
    <w:rsid w:val="00736CEE"/>
    <w:rsid w:val="00736DE8"/>
    <w:rsid w:val="00737099"/>
    <w:rsid w:val="007370EA"/>
    <w:rsid w:val="0073732D"/>
    <w:rsid w:val="0073755A"/>
    <w:rsid w:val="00737938"/>
    <w:rsid w:val="0073794C"/>
    <w:rsid w:val="00737B2A"/>
    <w:rsid w:val="00737D8E"/>
    <w:rsid w:val="00740030"/>
    <w:rsid w:val="00740182"/>
    <w:rsid w:val="0074019E"/>
    <w:rsid w:val="00740359"/>
    <w:rsid w:val="0074038F"/>
    <w:rsid w:val="007404F2"/>
    <w:rsid w:val="00740569"/>
    <w:rsid w:val="00740C32"/>
    <w:rsid w:val="00740CBE"/>
    <w:rsid w:val="00740CF5"/>
    <w:rsid w:val="00740E07"/>
    <w:rsid w:val="00740F83"/>
    <w:rsid w:val="0074107B"/>
    <w:rsid w:val="00741148"/>
    <w:rsid w:val="00741185"/>
    <w:rsid w:val="007411E1"/>
    <w:rsid w:val="007412B4"/>
    <w:rsid w:val="0074136A"/>
    <w:rsid w:val="00741483"/>
    <w:rsid w:val="007415ED"/>
    <w:rsid w:val="007415F1"/>
    <w:rsid w:val="00741719"/>
    <w:rsid w:val="0074181D"/>
    <w:rsid w:val="00741937"/>
    <w:rsid w:val="00741985"/>
    <w:rsid w:val="007419DA"/>
    <w:rsid w:val="00741B9F"/>
    <w:rsid w:val="00741BC1"/>
    <w:rsid w:val="00742197"/>
    <w:rsid w:val="007421E8"/>
    <w:rsid w:val="0074221E"/>
    <w:rsid w:val="0074224F"/>
    <w:rsid w:val="0074238A"/>
    <w:rsid w:val="007426E2"/>
    <w:rsid w:val="0074287A"/>
    <w:rsid w:val="00743008"/>
    <w:rsid w:val="00743106"/>
    <w:rsid w:val="0074344C"/>
    <w:rsid w:val="0074347F"/>
    <w:rsid w:val="0074356E"/>
    <w:rsid w:val="0074362E"/>
    <w:rsid w:val="0074394E"/>
    <w:rsid w:val="00743988"/>
    <w:rsid w:val="00743B45"/>
    <w:rsid w:val="00743B7C"/>
    <w:rsid w:val="00743BFB"/>
    <w:rsid w:val="00743D62"/>
    <w:rsid w:val="00743E77"/>
    <w:rsid w:val="00743E8A"/>
    <w:rsid w:val="0074409F"/>
    <w:rsid w:val="0074421E"/>
    <w:rsid w:val="007447D3"/>
    <w:rsid w:val="007449DD"/>
    <w:rsid w:val="00744E47"/>
    <w:rsid w:val="00744E8F"/>
    <w:rsid w:val="0074501D"/>
    <w:rsid w:val="00745068"/>
    <w:rsid w:val="007450C5"/>
    <w:rsid w:val="007450E5"/>
    <w:rsid w:val="00745497"/>
    <w:rsid w:val="0074561B"/>
    <w:rsid w:val="007457B7"/>
    <w:rsid w:val="00745967"/>
    <w:rsid w:val="00745F55"/>
    <w:rsid w:val="00745FC0"/>
    <w:rsid w:val="00746054"/>
    <w:rsid w:val="00746064"/>
    <w:rsid w:val="007460FF"/>
    <w:rsid w:val="00746763"/>
    <w:rsid w:val="00746866"/>
    <w:rsid w:val="00746893"/>
    <w:rsid w:val="00746DE9"/>
    <w:rsid w:val="00746E88"/>
    <w:rsid w:val="00746F16"/>
    <w:rsid w:val="00746F47"/>
    <w:rsid w:val="00747032"/>
    <w:rsid w:val="0074743D"/>
    <w:rsid w:val="00747523"/>
    <w:rsid w:val="007477A5"/>
    <w:rsid w:val="00747876"/>
    <w:rsid w:val="007478B1"/>
    <w:rsid w:val="00747C0B"/>
    <w:rsid w:val="00747C1B"/>
    <w:rsid w:val="00747E16"/>
    <w:rsid w:val="0075046F"/>
    <w:rsid w:val="007504BF"/>
    <w:rsid w:val="0075066B"/>
    <w:rsid w:val="007506A8"/>
    <w:rsid w:val="00750777"/>
    <w:rsid w:val="00750856"/>
    <w:rsid w:val="00750970"/>
    <w:rsid w:val="00750AF9"/>
    <w:rsid w:val="00750B1C"/>
    <w:rsid w:val="00750B59"/>
    <w:rsid w:val="00750CAC"/>
    <w:rsid w:val="00750E2C"/>
    <w:rsid w:val="00750E5B"/>
    <w:rsid w:val="00750FBE"/>
    <w:rsid w:val="0075103A"/>
    <w:rsid w:val="0075112C"/>
    <w:rsid w:val="00751701"/>
    <w:rsid w:val="007518BD"/>
    <w:rsid w:val="00751987"/>
    <w:rsid w:val="00751988"/>
    <w:rsid w:val="00751C19"/>
    <w:rsid w:val="00751E2A"/>
    <w:rsid w:val="00752128"/>
    <w:rsid w:val="00752218"/>
    <w:rsid w:val="007529C1"/>
    <w:rsid w:val="00752D1C"/>
    <w:rsid w:val="00752D94"/>
    <w:rsid w:val="00752EA7"/>
    <w:rsid w:val="00752F63"/>
    <w:rsid w:val="0075329C"/>
    <w:rsid w:val="00753472"/>
    <w:rsid w:val="00753560"/>
    <w:rsid w:val="00753858"/>
    <w:rsid w:val="007538DB"/>
    <w:rsid w:val="00753B20"/>
    <w:rsid w:val="00753D4C"/>
    <w:rsid w:val="00753E31"/>
    <w:rsid w:val="00753FF9"/>
    <w:rsid w:val="00754114"/>
    <w:rsid w:val="00754326"/>
    <w:rsid w:val="00754708"/>
    <w:rsid w:val="007547A1"/>
    <w:rsid w:val="007547CB"/>
    <w:rsid w:val="00754878"/>
    <w:rsid w:val="007549EF"/>
    <w:rsid w:val="00754C56"/>
    <w:rsid w:val="00754D09"/>
    <w:rsid w:val="00754E79"/>
    <w:rsid w:val="00754ECA"/>
    <w:rsid w:val="0075521C"/>
    <w:rsid w:val="00755235"/>
    <w:rsid w:val="0075531B"/>
    <w:rsid w:val="0075548A"/>
    <w:rsid w:val="00755619"/>
    <w:rsid w:val="00755687"/>
    <w:rsid w:val="007557C6"/>
    <w:rsid w:val="007557FA"/>
    <w:rsid w:val="00755AD2"/>
    <w:rsid w:val="00755B17"/>
    <w:rsid w:val="00755E8E"/>
    <w:rsid w:val="00756165"/>
    <w:rsid w:val="00756204"/>
    <w:rsid w:val="0075625B"/>
    <w:rsid w:val="00756B18"/>
    <w:rsid w:val="00756C46"/>
    <w:rsid w:val="00756E1F"/>
    <w:rsid w:val="00756F14"/>
    <w:rsid w:val="00757212"/>
    <w:rsid w:val="0075728D"/>
    <w:rsid w:val="007572DE"/>
    <w:rsid w:val="00757319"/>
    <w:rsid w:val="007578BB"/>
    <w:rsid w:val="0075791B"/>
    <w:rsid w:val="00757A1C"/>
    <w:rsid w:val="00757DC6"/>
    <w:rsid w:val="00760095"/>
    <w:rsid w:val="007600E5"/>
    <w:rsid w:val="00760101"/>
    <w:rsid w:val="0076021E"/>
    <w:rsid w:val="00760394"/>
    <w:rsid w:val="007603E0"/>
    <w:rsid w:val="0076040E"/>
    <w:rsid w:val="00760788"/>
    <w:rsid w:val="007608F8"/>
    <w:rsid w:val="00760B5A"/>
    <w:rsid w:val="00760C72"/>
    <w:rsid w:val="00760CFA"/>
    <w:rsid w:val="00760DB3"/>
    <w:rsid w:val="00760FA7"/>
    <w:rsid w:val="007610B5"/>
    <w:rsid w:val="00761387"/>
    <w:rsid w:val="007615A0"/>
    <w:rsid w:val="00761600"/>
    <w:rsid w:val="0076174B"/>
    <w:rsid w:val="00761764"/>
    <w:rsid w:val="0076179C"/>
    <w:rsid w:val="0076185E"/>
    <w:rsid w:val="0076197C"/>
    <w:rsid w:val="007619E0"/>
    <w:rsid w:val="00761E48"/>
    <w:rsid w:val="00761ED4"/>
    <w:rsid w:val="00762099"/>
    <w:rsid w:val="00762178"/>
    <w:rsid w:val="00762191"/>
    <w:rsid w:val="00762458"/>
    <w:rsid w:val="00762743"/>
    <w:rsid w:val="00762793"/>
    <w:rsid w:val="0076281C"/>
    <w:rsid w:val="007629FD"/>
    <w:rsid w:val="00762A4B"/>
    <w:rsid w:val="00762EB4"/>
    <w:rsid w:val="00762FCF"/>
    <w:rsid w:val="007632EF"/>
    <w:rsid w:val="007632FE"/>
    <w:rsid w:val="007633AA"/>
    <w:rsid w:val="007634CD"/>
    <w:rsid w:val="0076387A"/>
    <w:rsid w:val="00763ABF"/>
    <w:rsid w:val="00763ED4"/>
    <w:rsid w:val="0076419D"/>
    <w:rsid w:val="00764397"/>
    <w:rsid w:val="00764508"/>
    <w:rsid w:val="00764528"/>
    <w:rsid w:val="0076456E"/>
    <w:rsid w:val="007645D3"/>
    <w:rsid w:val="00764A3E"/>
    <w:rsid w:val="00764AD0"/>
    <w:rsid w:val="00764B8E"/>
    <w:rsid w:val="0076521F"/>
    <w:rsid w:val="007657FD"/>
    <w:rsid w:val="00765808"/>
    <w:rsid w:val="00765918"/>
    <w:rsid w:val="00765C02"/>
    <w:rsid w:val="00765D07"/>
    <w:rsid w:val="00765D4C"/>
    <w:rsid w:val="00765E2F"/>
    <w:rsid w:val="00765E80"/>
    <w:rsid w:val="00765EED"/>
    <w:rsid w:val="00766295"/>
    <w:rsid w:val="00766397"/>
    <w:rsid w:val="007665ED"/>
    <w:rsid w:val="007666F0"/>
    <w:rsid w:val="00766704"/>
    <w:rsid w:val="007667B2"/>
    <w:rsid w:val="007667B6"/>
    <w:rsid w:val="007668E7"/>
    <w:rsid w:val="00766ACB"/>
    <w:rsid w:val="00766AEF"/>
    <w:rsid w:val="00766BAE"/>
    <w:rsid w:val="00766BCB"/>
    <w:rsid w:val="00766EDD"/>
    <w:rsid w:val="00767000"/>
    <w:rsid w:val="00767187"/>
    <w:rsid w:val="00767446"/>
    <w:rsid w:val="0076747A"/>
    <w:rsid w:val="00767510"/>
    <w:rsid w:val="0076757E"/>
    <w:rsid w:val="00767608"/>
    <w:rsid w:val="0076785F"/>
    <w:rsid w:val="00767970"/>
    <w:rsid w:val="00767971"/>
    <w:rsid w:val="007679D0"/>
    <w:rsid w:val="00767A50"/>
    <w:rsid w:val="00767C20"/>
    <w:rsid w:val="00767CA4"/>
    <w:rsid w:val="00767CD3"/>
    <w:rsid w:val="00767E43"/>
    <w:rsid w:val="007702BF"/>
    <w:rsid w:val="00770380"/>
    <w:rsid w:val="007704B4"/>
    <w:rsid w:val="007704FE"/>
    <w:rsid w:val="007707E0"/>
    <w:rsid w:val="007707FB"/>
    <w:rsid w:val="00770A01"/>
    <w:rsid w:val="00770D8E"/>
    <w:rsid w:val="00770EB6"/>
    <w:rsid w:val="007710A3"/>
    <w:rsid w:val="007710FC"/>
    <w:rsid w:val="007710FE"/>
    <w:rsid w:val="00771548"/>
    <w:rsid w:val="007715C3"/>
    <w:rsid w:val="00771615"/>
    <w:rsid w:val="007718EE"/>
    <w:rsid w:val="00771AE4"/>
    <w:rsid w:val="00771BDC"/>
    <w:rsid w:val="00771C04"/>
    <w:rsid w:val="00771CA8"/>
    <w:rsid w:val="00771DAB"/>
    <w:rsid w:val="00771DC6"/>
    <w:rsid w:val="00772149"/>
    <w:rsid w:val="00772281"/>
    <w:rsid w:val="00772466"/>
    <w:rsid w:val="007725B0"/>
    <w:rsid w:val="0077289A"/>
    <w:rsid w:val="00772F2B"/>
    <w:rsid w:val="00772FD4"/>
    <w:rsid w:val="00773021"/>
    <w:rsid w:val="00773092"/>
    <w:rsid w:val="00773323"/>
    <w:rsid w:val="0077342A"/>
    <w:rsid w:val="00773546"/>
    <w:rsid w:val="007737E0"/>
    <w:rsid w:val="00773820"/>
    <w:rsid w:val="0077382A"/>
    <w:rsid w:val="00773BC5"/>
    <w:rsid w:val="00773CBF"/>
    <w:rsid w:val="00773E6D"/>
    <w:rsid w:val="00773EE9"/>
    <w:rsid w:val="00773F25"/>
    <w:rsid w:val="0077406C"/>
    <w:rsid w:val="0077406E"/>
    <w:rsid w:val="0077423C"/>
    <w:rsid w:val="007742D1"/>
    <w:rsid w:val="007742F7"/>
    <w:rsid w:val="0077430E"/>
    <w:rsid w:val="0077432D"/>
    <w:rsid w:val="007747BD"/>
    <w:rsid w:val="00774830"/>
    <w:rsid w:val="007749C2"/>
    <w:rsid w:val="007749CB"/>
    <w:rsid w:val="00774AF4"/>
    <w:rsid w:val="00774CF8"/>
    <w:rsid w:val="00774D18"/>
    <w:rsid w:val="00774D72"/>
    <w:rsid w:val="00774DE8"/>
    <w:rsid w:val="007750CC"/>
    <w:rsid w:val="007754D3"/>
    <w:rsid w:val="007754EE"/>
    <w:rsid w:val="00775751"/>
    <w:rsid w:val="007757E3"/>
    <w:rsid w:val="00775BEA"/>
    <w:rsid w:val="00775C40"/>
    <w:rsid w:val="00775E5B"/>
    <w:rsid w:val="00775EA5"/>
    <w:rsid w:val="007760F0"/>
    <w:rsid w:val="007762DE"/>
    <w:rsid w:val="007764B2"/>
    <w:rsid w:val="00776649"/>
    <w:rsid w:val="007767AB"/>
    <w:rsid w:val="00776944"/>
    <w:rsid w:val="00776ACB"/>
    <w:rsid w:val="00776AE1"/>
    <w:rsid w:val="00776B24"/>
    <w:rsid w:val="00776BD1"/>
    <w:rsid w:val="00776CAF"/>
    <w:rsid w:val="00776CEA"/>
    <w:rsid w:val="00776CFF"/>
    <w:rsid w:val="00776E54"/>
    <w:rsid w:val="00777003"/>
    <w:rsid w:val="0077722E"/>
    <w:rsid w:val="007772FA"/>
    <w:rsid w:val="0077730C"/>
    <w:rsid w:val="0077732A"/>
    <w:rsid w:val="00777764"/>
    <w:rsid w:val="00777AC0"/>
    <w:rsid w:val="00777AC9"/>
    <w:rsid w:val="00777D91"/>
    <w:rsid w:val="00777F1B"/>
    <w:rsid w:val="00780490"/>
    <w:rsid w:val="00780B5F"/>
    <w:rsid w:val="00780D3F"/>
    <w:rsid w:val="00781014"/>
    <w:rsid w:val="0078110E"/>
    <w:rsid w:val="0078116E"/>
    <w:rsid w:val="00781245"/>
    <w:rsid w:val="007812C1"/>
    <w:rsid w:val="00781626"/>
    <w:rsid w:val="00781E61"/>
    <w:rsid w:val="00781ECB"/>
    <w:rsid w:val="00782259"/>
    <w:rsid w:val="00782693"/>
    <w:rsid w:val="0078285E"/>
    <w:rsid w:val="007829B4"/>
    <w:rsid w:val="00782A1E"/>
    <w:rsid w:val="00782B3B"/>
    <w:rsid w:val="00782BB6"/>
    <w:rsid w:val="00783107"/>
    <w:rsid w:val="007831AA"/>
    <w:rsid w:val="007831B3"/>
    <w:rsid w:val="0078349F"/>
    <w:rsid w:val="0078354A"/>
    <w:rsid w:val="0078383A"/>
    <w:rsid w:val="00783904"/>
    <w:rsid w:val="00783CBA"/>
    <w:rsid w:val="00783D56"/>
    <w:rsid w:val="00783D90"/>
    <w:rsid w:val="00783F66"/>
    <w:rsid w:val="00784256"/>
    <w:rsid w:val="0078484B"/>
    <w:rsid w:val="00784B50"/>
    <w:rsid w:val="00784EC4"/>
    <w:rsid w:val="00785026"/>
    <w:rsid w:val="00785187"/>
    <w:rsid w:val="007851B4"/>
    <w:rsid w:val="0078542C"/>
    <w:rsid w:val="00785588"/>
    <w:rsid w:val="007855E5"/>
    <w:rsid w:val="00785614"/>
    <w:rsid w:val="007856B1"/>
    <w:rsid w:val="00785748"/>
    <w:rsid w:val="00785781"/>
    <w:rsid w:val="00785A56"/>
    <w:rsid w:val="00785CA2"/>
    <w:rsid w:val="00785CCD"/>
    <w:rsid w:val="00785CDD"/>
    <w:rsid w:val="00785DDB"/>
    <w:rsid w:val="00785F1A"/>
    <w:rsid w:val="00785F47"/>
    <w:rsid w:val="007860D1"/>
    <w:rsid w:val="007864AA"/>
    <w:rsid w:val="007868A2"/>
    <w:rsid w:val="007868B4"/>
    <w:rsid w:val="00786B91"/>
    <w:rsid w:val="00786C7D"/>
    <w:rsid w:val="00786CC7"/>
    <w:rsid w:val="00786D2D"/>
    <w:rsid w:val="00787002"/>
    <w:rsid w:val="0078716D"/>
    <w:rsid w:val="007871D8"/>
    <w:rsid w:val="0078729A"/>
    <w:rsid w:val="00787408"/>
    <w:rsid w:val="007874AA"/>
    <w:rsid w:val="007874CE"/>
    <w:rsid w:val="00787671"/>
    <w:rsid w:val="0078772F"/>
    <w:rsid w:val="007878F7"/>
    <w:rsid w:val="00787974"/>
    <w:rsid w:val="0078797A"/>
    <w:rsid w:val="00787A47"/>
    <w:rsid w:val="00787A51"/>
    <w:rsid w:val="00787A83"/>
    <w:rsid w:val="00787BCA"/>
    <w:rsid w:val="00787DD3"/>
    <w:rsid w:val="00787E38"/>
    <w:rsid w:val="00787E40"/>
    <w:rsid w:val="00790075"/>
    <w:rsid w:val="007906D8"/>
    <w:rsid w:val="00790794"/>
    <w:rsid w:val="00791034"/>
    <w:rsid w:val="007913B7"/>
    <w:rsid w:val="007915B7"/>
    <w:rsid w:val="0079164D"/>
    <w:rsid w:val="0079181F"/>
    <w:rsid w:val="00791B7D"/>
    <w:rsid w:val="00791C08"/>
    <w:rsid w:val="00791C2A"/>
    <w:rsid w:val="00791D9C"/>
    <w:rsid w:val="00791F83"/>
    <w:rsid w:val="007921B4"/>
    <w:rsid w:val="007922B7"/>
    <w:rsid w:val="00792396"/>
    <w:rsid w:val="0079250C"/>
    <w:rsid w:val="00792561"/>
    <w:rsid w:val="00792D8D"/>
    <w:rsid w:val="00793273"/>
    <w:rsid w:val="00793294"/>
    <w:rsid w:val="00793343"/>
    <w:rsid w:val="0079335D"/>
    <w:rsid w:val="007933C8"/>
    <w:rsid w:val="007933E6"/>
    <w:rsid w:val="007934A5"/>
    <w:rsid w:val="007934B4"/>
    <w:rsid w:val="00793588"/>
    <w:rsid w:val="0079382A"/>
    <w:rsid w:val="00793ECC"/>
    <w:rsid w:val="00793F24"/>
    <w:rsid w:val="00793F47"/>
    <w:rsid w:val="0079408F"/>
    <w:rsid w:val="00794311"/>
    <w:rsid w:val="00794342"/>
    <w:rsid w:val="0079449B"/>
    <w:rsid w:val="00794825"/>
    <w:rsid w:val="0079499D"/>
    <w:rsid w:val="007949DB"/>
    <w:rsid w:val="00794AC2"/>
    <w:rsid w:val="00794B04"/>
    <w:rsid w:val="00794B11"/>
    <w:rsid w:val="00794D2F"/>
    <w:rsid w:val="00794D44"/>
    <w:rsid w:val="00794FA9"/>
    <w:rsid w:val="007950AB"/>
    <w:rsid w:val="0079533F"/>
    <w:rsid w:val="00795447"/>
    <w:rsid w:val="00795710"/>
    <w:rsid w:val="00795A74"/>
    <w:rsid w:val="00795ADD"/>
    <w:rsid w:val="00795F79"/>
    <w:rsid w:val="00795FD3"/>
    <w:rsid w:val="0079626C"/>
    <w:rsid w:val="007962EC"/>
    <w:rsid w:val="00796346"/>
    <w:rsid w:val="00796595"/>
    <w:rsid w:val="007965E6"/>
    <w:rsid w:val="007967E7"/>
    <w:rsid w:val="007968CF"/>
    <w:rsid w:val="00796A72"/>
    <w:rsid w:val="00796BE7"/>
    <w:rsid w:val="00796F86"/>
    <w:rsid w:val="00796F8A"/>
    <w:rsid w:val="00796FE7"/>
    <w:rsid w:val="0079711F"/>
    <w:rsid w:val="0079726D"/>
    <w:rsid w:val="00797318"/>
    <w:rsid w:val="00797415"/>
    <w:rsid w:val="00797509"/>
    <w:rsid w:val="007976D3"/>
    <w:rsid w:val="007977CE"/>
    <w:rsid w:val="007978FB"/>
    <w:rsid w:val="007979FF"/>
    <w:rsid w:val="00797C0F"/>
    <w:rsid w:val="00797D33"/>
    <w:rsid w:val="00797E06"/>
    <w:rsid w:val="00797E4A"/>
    <w:rsid w:val="00797F1A"/>
    <w:rsid w:val="007A00B9"/>
    <w:rsid w:val="007A013E"/>
    <w:rsid w:val="007A02F8"/>
    <w:rsid w:val="007A032F"/>
    <w:rsid w:val="007A0343"/>
    <w:rsid w:val="007A04E2"/>
    <w:rsid w:val="007A05FF"/>
    <w:rsid w:val="007A062C"/>
    <w:rsid w:val="007A0713"/>
    <w:rsid w:val="007A0C85"/>
    <w:rsid w:val="007A0DA3"/>
    <w:rsid w:val="007A0EBB"/>
    <w:rsid w:val="007A1116"/>
    <w:rsid w:val="007A12C1"/>
    <w:rsid w:val="007A14A1"/>
    <w:rsid w:val="007A190D"/>
    <w:rsid w:val="007A1ABB"/>
    <w:rsid w:val="007A1B27"/>
    <w:rsid w:val="007A1EA9"/>
    <w:rsid w:val="007A1EB1"/>
    <w:rsid w:val="007A1F41"/>
    <w:rsid w:val="007A2072"/>
    <w:rsid w:val="007A2196"/>
    <w:rsid w:val="007A21BC"/>
    <w:rsid w:val="007A252C"/>
    <w:rsid w:val="007A26B0"/>
    <w:rsid w:val="007A276F"/>
    <w:rsid w:val="007A27DD"/>
    <w:rsid w:val="007A29D2"/>
    <w:rsid w:val="007A2E6F"/>
    <w:rsid w:val="007A2E85"/>
    <w:rsid w:val="007A2E8A"/>
    <w:rsid w:val="007A2FF6"/>
    <w:rsid w:val="007A34B9"/>
    <w:rsid w:val="007A359D"/>
    <w:rsid w:val="007A35CE"/>
    <w:rsid w:val="007A36AD"/>
    <w:rsid w:val="007A36B8"/>
    <w:rsid w:val="007A375E"/>
    <w:rsid w:val="007A37B1"/>
    <w:rsid w:val="007A3831"/>
    <w:rsid w:val="007A390A"/>
    <w:rsid w:val="007A3BB5"/>
    <w:rsid w:val="007A3BDD"/>
    <w:rsid w:val="007A3BDF"/>
    <w:rsid w:val="007A3C25"/>
    <w:rsid w:val="007A3D39"/>
    <w:rsid w:val="007A3DFB"/>
    <w:rsid w:val="007A3EE1"/>
    <w:rsid w:val="007A3F0A"/>
    <w:rsid w:val="007A4049"/>
    <w:rsid w:val="007A4135"/>
    <w:rsid w:val="007A43DA"/>
    <w:rsid w:val="007A43DB"/>
    <w:rsid w:val="007A4627"/>
    <w:rsid w:val="007A463B"/>
    <w:rsid w:val="007A4903"/>
    <w:rsid w:val="007A4A80"/>
    <w:rsid w:val="007A4EB5"/>
    <w:rsid w:val="007A4FD0"/>
    <w:rsid w:val="007A546C"/>
    <w:rsid w:val="007A5800"/>
    <w:rsid w:val="007A58AD"/>
    <w:rsid w:val="007A5A38"/>
    <w:rsid w:val="007A5A6F"/>
    <w:rsid w:val="007A5C1B"/>
    <w:rsid w:val="007A5D08"/>
    <w:rsid w:val="007A5F77"/>
    <w:rsid w:val="007A6001"/>
    <w:rsid w:val="007A6169"/>
    <w:rsid w:val="007A61ED"/>
    <w:rsid w:val="007A62EC"/>
    <w:rsid w:val="007A6313"/>
    <w:rsid w:val="007A6460"/>
    <w:rsid w:val="007A6A49"/>
    <w:rsid w:val="007A6B59"/>
    <w:rsid w:val="007A6B94"/>
    <w:rsid w:val="007A6D6D"/>
    <w:rsid w:val="007A6DBE"/>
    <w:rsid w:val="007A7206"/>
    <w:rsid w:val="007A72C2"/>
    <w:rsid w:val="007A739B"/>
    <w:rsid w:val="007A73A1"/>
    <w:rsid w:val="007A7458"/>
    <w:rsid w:val="007A75D5"/>
    <w:rsid w:val="007A761B"/>
    <w:rsid w:val="007A771A"/>
    <w:rsid w:val="007A78EF"/>
    <w:rsid w:val="007A7E54"/>
    <w:rsid w:val="007A7E6A"/>
    <w:rsid w:val="007B0097"/>
    <w:rsid w:val="007B032E"/>
    <w:rsid w:val="007B0657"/>
    <w:rsid w:val="007B0683"/>
    <w:rsid w:val="007B06BA"/>
    <w:rsid w:val="007B06EC"/>
    <w:rsid w:val="007B0A83"/>
    <w:rsid w:val="007B0B48"/>
    <w:rsid w:val="007B0D0B"/>
    <w:rsid w:val="007B0D2E"/>
    <w:rsid w:val="007B0D50"/>
    <w:rsid w:val="007B0D7B"/>
    <w:rsid w:val="007B0EC5"/>
    <w:rsid w:val="007B1312"/>
    <w:rsid w:val="007B1459"/>
    <w:rsid w:val="007B1616"/>
    <w:rsid w:val="007B1689"/>
    <w:rsid w:val="007B1762"/>
    <w:rsid w:val="007B1799"/>
    <w:rsid w:val="007B1992"/>
    <w:rsid w:val="007B1DBE"/>
    <w:rsid w:val="007B1EED"/>
    <w:rsid w:val="007B1FA9"/>
    <w:rsid w:val="007B20D1"/>
    <w:rsid w:val="007B23DB"/>
    <w:rsid w:val="007B2458"/>
    <w:rsid w:val="007B24E1"/>
    <w:rsid w:val="007B27F5"/>
    <w:rsid w:val="007B28E5"/>
    <w:rsid w:val="007B2F99"/>
    <w:rsid w:val="007B3092"/>
    <w:rsid w:val="007B33D1"/>
    <w:rsid w:val="007B3546"/>
    <w:rsid w:val="007B35AE"/>
    <w:rsid w:val="007B361B"/>
    <w:rsid w:val="007B3671"/>
    <w:rsid w:val="007B381E"/>
    <w:rsid w:val="007B3DFF"/>
    <w:rsid w:val="007B3EB5"/>
    <w:rsid w:val="007B4202"/>
    <w:rsid w:val="007B42C5"/>
    <w:rsid w:val="007B4430"/>
    <w:rsid w:val="007B4451"/>
    <w:rsid w:val="007B45AC"/>
    <w:rsid w:val="007B45E2"/>
    <w:rsid w:val="007B4623"/>
    <w:rsid w:val="007B4670"/>
    <w:rsid w:val="007B4A3F"/>
    <w:rsid w:val="007B4AA4"/>
    <w:rsid w:val="007B4C05"/>
    <w:rsid w:val="007B4EC7"/>
    <w:rsid w:val="007B4F8D"/>
    <w:rsid w:val="007B4F9A"/>
    <w:rsid w:val="007B5268"/>
    <w:rsid w:val="007B54B4"/>
    <w:rsid w:val="007B572B"/>
    <w:rsid w:val="007B5820"/>
    <w:rsid w:val="007B5D42"/>
    <w:rsid w:val="007B5E1A"/>
    <w:rsid w:val="007B5ECA"/>
    <w:rsid w:val="007B60D6"/>
    <w:rsid w:val="007B6208"/>
    <w:rsid w:val="007B6332"/>
    <w:rsid w:val="007B65F7"/>
    <w:rsid w:val="007B7188"/>
    <w:rsid w:val="007B7282"/>
    <w:rsid w:val="007B72D4"/>
    <w:rsid w:val="007B7441"/>
    <w:rsid w:val="007B77CC"/>
    <w:rsid w:val="007B7952"/>
    <w:rsid w:val="007B7ABB"/>
    <w:rsid w:val="007B7E02"/>
    <w:rsid w:val="007C0054"/>
    <w:rsid w:val="007C00FC"/>
    <w:rsid w:val="007C01C7"/>
    <w:rsid w:val="007C02B7"/>
    <w:rsid w:val="007C0428"/>
    <w:rsid w:val="007C04C0"/>
    <w:rsid w:val="007C04F1"/>
    <w:rsid w:val="007C0798"/>
    <w:rsid w:val="007C087B"/>
    <w:rsid w:val="007C0ABB"/>
    <w:rsid w:val="007C0C97"/>
    <w:rsid w:val="007C0C9F"/>
    <w:rsid w:val="007C0D63"/>
    <w:rsid w:val="007C0F1B"/>
    <w:rsid w:val="007C10E4"/>
    <w:rsid w:val="007C16E5"/>
    <w:rsid w:val="007C170D"/>
    <w:rsid w:val="007C17F0"/>
    <w:rsid w:val="007C1801"/>
    <w:rsid w:val="007C18D7"/>
    <w:rsid w:val="007C1BAB"/>
    <w:rsid w:val="007C1D96"/>
    <w:rsid w:val="007C1E10"/>
    <w:rsid w:val="007C1F8E"/>
    <w:rsid w:val="007C20D8"/>
    <w:rsid w:val="007C20DA"/>
    <w:rsid w:val="007C23B1"/>
    <w:rsid w:val="007C2540"/>
    <w:rsid w:val="007C259B"/>
    <w:rsid w:val="007C2794"/>
    <w:rsid w:val="007C2B9D"/>
    <w:rsid w:val="007C2C27"/>
    <w:rsid w:val="007C2D55"/>
    <w:rsid w:val="007C2E54"/>
    <w:rsid w:val="007C2F56"/>
    <w:rsid w:val="007C2F6E"/>
    <w:rsid w:val="007C304F"/>
    <w:rsid w:val="007C305A"/>
    <w:rsid w:val="007C310D"/>
    <w:rsid w:val="007C3250"/>
    <w:rsid w:val="007C34A1"/>
    <w:rsid w:val="007C3518"/>
    <w:rsid w:val="007C35CB"/>
    <w:rsid w:val="007C36D6"/>
    <w:rsid w:val="007C3907"/>
    <w:rsid w:val="007C3FEE"/>
    <w:rsid w:val="007C409B"/>
    <w:rsid w:val="007C42C9"/>
    <w:rsid w:val="007C459A"/>
    <w:rsid w:val="007C4723"/>
    <w:rsid w:val="007C4852"/>
    <w:rsid w:val="007C4856"/>
    <w:rsid w:val="007C486F"/>
    <w:rsid w:val="007C4B3F"/>
    <w:rsid w:val="007C4C2F"/>
    <w:rsid w:val="007C4E26"/>
    <w:rsid w:val="007C4E5B"/>
    <w:rsid w:val="007C4F07"/>
    <w:rsid w:val="007C5434"/>
    <w:rsid w:val="007C5452"/>
    <w:rsid w:val="007C5598"/>
    <w:rsid w:val="007C57C6"/>
    <w:rsid w:val="007C5CF8"/>
    <w:rsid w:val="007C5D32"/>
    <w:rsid w:val="007C5D87"/>
    <w:rsid w:val="007C5EEE"/>
    <w:rsid w:val="007C613C"/>
    <w:rsid w:val="007C6401"/>
    <w:rsid w:val="007C6B4C"/>
    <w:rsid w:val="007C7564"/>
    <w:rsid w:val="007C7663"/>
    <w:rsid w:val="007C78D0"/>
    <w:rsid w:val="007C7B83"/>
    <w:rsid w:val="007C7DFB"/>
    <w:rsid w:val="007C7F90"/>
    <w:rsid w:val="007C7FF8"/>
    <w:rsid w:val="007D005F"/>
    <w:rsid w:val="007D009F"/>
    <w:rsid w:val="007D037C"/>
    <w:rsid w:val="007D0402"/>
    <w:rsid w:val="007D05D4"/>
    <w:rsid w:val="007D0AA5"/>
    <w:rsid w:val="007D0B8A"/>
    <w:rsid w:val="007D0C7C"/>
    <w:rsid w:val="007D0C81"/>
    <w:rsid w:val="007D1231"/>
    <w:rsid w:val="007D1321"/>
    <w:rsid w:val="007D140E"/>
    <w:rsid w:val="007D141E"/>
    <w:rsid w:val="007D15AC"/>
    <w:rsid w:val="007D16CF"/>
    <w:rsid w:val="007D1799"/>
    <w:rsid w:val="007D1D74"/>
    <w:rsid w:val="007D1F22"/>
    <w:rsid w:val="007D1F76"/>
    <w:rsid w:val="007D1F8C"/>
    <w:rsid w:val="007D2077"/>
    <w:rsid w:val="007D22EB"/>
    <w:rsid w:val="007D23F0"/>
    <w:rsid w:val="007D2567"/>
    <w:rsid w:val="007D27E1"/>
    <w:rsid w:val="007D27F7"/>
    <w:rsid w:val="007D2DFA"/>
    <w:rsid w:val="007D2ED6"/>
    <w:rsid w:val="007D2FC2"/>
    <w:rsid w:val="007D319F"/>
    <w:rsid w:val="007D31DE"/>
    <w:rsid w:val="007D32E1"/>
    <w:rsid w:val="007D3327"/>
    <w:rsid w:val="007D348D"/>
    <w:rsid w:val="007D349C"/>
    <w:rsid w:val="007D368A"/>
    <w:rsid w:val="007D371B"/>
    <w:rsid w:val="007D378B"/>
    <w:rsid w:val="007D37FA"/>
    <w:rsid w:val="007D38DE"/>
    <w:rsid w:val="007D3A33"/>
    <w:rsid w:val="007D3C05"/>
    <w:rsid w:val="007D3CB4"/>
    <w:rsid w:val="007D3ECD"/>
    <w:rsid w:val="007D3FE4"/>
    <w:rsid w:val="007D4010"/>
    <w:rsid w:val="007D4193"/>
    <w:rsid w:val="007D4265"/>
    <w:rsid w:val="007D42AC"/>
    <w:rsid w:val="007D45F5"/>
    <w:rsid w:val="007D46AD"/>
    <w:rsid w:val="007D4933"/>
    <w:rsid w:val="007D49AB"/>
    <w:rsid w:val="007D4A7C"/>
    <w:rsid w:val="007D508C"/>
    <w:rsid w:val="007D5256"/>
    <w:rsid w:val="007D5429"/>
    <w:rsid w:val="007D556E"/>
    <w:rsid w:val="007D5786"/>
    <w:rsid w:val="007D589E"/>
    <w:rsid w:val="007D58A2"/>
    <w:rsid w:val="007D5AB9"/>
    <w:rsid w:val="007D5B69"/>
    <w:rsid w:val="007D5E27"/>
    <w:rsid w:val="007D5F1C"/>
    <w:rsid w:val="007D5F95"/>
    <w:rsid w:val="007D6007"/>
    <w:rsid w:val="007D6265"/>
    <w:rsid w:val="007D62C5"/>
    <w:rsid w:val="007D6313"/>
    <w:rsid w:val="007D63A1"/>
    <w:rsid w:val="007D63D2"/>
    <w:rsid w:val="007D6509"/>
    <w:rsid w:val="007D680A"/>
    <w:rsid w:val="007D6B8B"/>
    <w:rsid w:val="007D6D87"/>
    <w:rsid w:val="007D6FD0"/>
    <w:rsid w:val="007D7074"/>
    <w:rsid w:val="007D733A"/>
    <w:rsid w:val="007D7439"/>
    <w:rsid w:val="007D74CB"/>
    <w:rsid w:val="007D78FD"/>
    <w:rsid w:val="007D7BB0"/>
    <w:rsid w:val="007D7CDB"/>
    <w:rsid w:val="007D7D18"/>
    <w:rsid w:val="007D7D55"/>
    <w:rsid w:val="007D7DFC"/>
    <w:rsid w:val="007E026C"/>
    <w:rsid w:val="007E040F"/>
    <w:rsid w:val="007E0458"/>
    <w:rsid w:val="007E0512"/>
    <w:rsid w:val="007E0C91"/>
    <w:rsid w:val="007E10C9"/>
    <w:rsid w:val="007E11A8"/>
    <w:rsid w:val="007E11C3"/>
    <w:rsid w:val="007E121F"/>
    <w:rsid w:val="007E125E"/>
    <w:rsid w:val="007E1443"/>
    <w:rsid w:val="007E149D"/>
    <w:rsid w:val="007E15CF"/>
    <w:rsid w:val="007E1636"/>
    <w:rsid w:val="007E1940"/>
    <w:rsid w:val="007E1A8C"/>
    <w:rsid w:val="007E1F1B"/>
    <w:rsid w:val="007E1F64"/>
    <w:rsid w:val="007E205C"/>
    <w:rsid w:val="007E264C"/>
    <w:rsid w:val="007E271F"/>
    <w:rsid w:val="007E2727"/>
    <w:rsid w:val="007E28A3"/>
    <w:rsid w:val="007E29A6"/>
    <w:rsid w:val="007E2C37"/>
    <w:rsid w:val="007E2C99"/>
    <w:rsid w:val="007E2D7F"/>
    <w:rsid w:val="007E2E2B"/>
    <w:rsid w:val="007E32E4"/>
    <w:rsid w:val="007E341B"/>
    <w:rsid w:val="007E34BF"/>
    <w:rsid w:val="007E3572"/>
    <w:rsid w:val="007E35F9"/>
    <w:rsid w:val="007E37F9"/>
    <w:rsid w:val="007E38D3"/>
    <w:rsid w:val="007E3908"/>
    <w:rsid w:val="007E39B3"/>
    <w:rsid w:val="007E3BAD"/>
    <w:rsid w:val="007E3BD5"/>
    <w:rsid w:val="007E3CB0"/>
    <w:rsid w:val="007E4005"/>
    <w:rsid w:val="007E40AE"/>
    <w:rsid w:val="007E420E"/>
    <w:rsid w:val="007E4481"/>
    <w:rsid w:val="007E44A1"/>
    <w:rsid w:val="007E44CE"/>
    <w:rsid w:val="007E44EB"/>
    <w:rsid w:val="007E4585"/>
    <w:rsid w:val="007E4651"/>
    <w:rsid w:val="007E4667"/>
    <w:rsid w:val="007E4889"/>
    <w:rsid w:val="007E49A0"/>
    <w:rsid w:val="007E4C87"/>
    <w:rsid w:val="007E4D54"/>
    <w:rsid w:val="007E4DF6"/>
    <w:rsid w:val="007E4EA6"/>
    <w:rsid w:val="007E502E"/>
    <w:rsid w:val="007E53C1"/>
    <w:rsid w:val="007E5408"/>
    <w:rsid w:val="007E5456"/>
    <w:rsid w:val="007E5468"/>
    <w:rsid w:val="007E5679"/>
    <w:rsid w:val="007E58A1"/>
    <w:rsid w:val="007E5931"/>
    <w:rsid w:val="007E5AD5"/>
    <w:rsid w:val="007E5DB8"/>
    <w:rsid w:val="007E609B"/>
    <w:rsid w:val="007E6311"/>
    <w:rsid w:val="007E6378"/>
    <w:rsid w:val="007E6408"/>
    <w:rsid w:val="007E67AC"/>
    <w:rsid w:val="007E67D6"/>
    <w:rsid w:val="007E6834"/>
    <w:rsid w:val="007E69B3"/>
    <w:rsid w:val="007E6A98"/>
    <w:rsid w:val="007E6C84"/>
    <w:rsid w:val="007E6D2F"/>
    <w:rsid w:val="007E6DAB"/>
    <w:rsid w:val="007E6DC8"/>
    <w:rsid w:val="007E6E2F"/>
    <w:rsid w:val="007E7149"/>
    <w:rsid w:val="007E7458"/>
    <w:rsid w:val="007E7626"/>
    <w:rsid w:val="007E7670"/>
    <w:rsid w:val="007E768D"/>
    <w:rsid w:val="007E7796"/>
    <w:rsid w:val="007E77AB"/>
    <w:rsid w:val="007E78A4"/>
    <w:rsid w:val="007E79AF"/>
    <w:rsid w:val="007E7CD7"/>
    <w:rsid w:val="007E7D6A"/>
    <w:rsid w:val="007E7EEA"/>
    <w:rsid w:val="007F0017"/>
    <w:rsid w:val="007F00F7"/>
    <w:rsid w:val="007F03B9"/>
    <w:rsid w:val="007F0714"/>
    <w:rsid w:val="007F07BA"/>
    <w:rsid w:val="007F0BAC"/>
    <w:rsid w:val="007F0C17"/>
    <w:rsid w:val="007F0FEF"/>
    <w:rsid w:val="007F0FFB"/>
    <w:rsid w:val="007F11BA"/>
    <w:rsid w:val="007F1516"/>
    <w:rsid w:val="007F1826"/>
    <w:rsid w:val="007F1A96"/>
    <w:rsid w:val="007F1DE5"/>
    <w:rsid w:val="007F1ED5"/>
    <w:rsid w:val="007F1F33"/>
    <w:rsid w:val="007F2119"/>
    <w:rsid w:val="007F213C"/>
    <w:rsid w:val="007F2793"/>
    <w:rsid w:val="007F2980"/>
    <w:rsid w:val="007F2A37"/>
    <w:rsid w:val="007F2ADE"/>
    <w:rsid w:val="007F2B40"/>
    <w:rsid w:val="007F2CE4"/>
    <w:rsid w:val="007F2DF0"/>
    <w:rsid w:val="007F2E1A"/>
    <w:rsid w:val="007F30FF"/>
    <w:rsid w:val="007F31F9"/>
    <w:rsid w:val="007F3252"/>
    <w:rsid w:val="007F3398"/>
    <w:rsid w:val="007F3437"/>
    <w:rsid w:val="007F3661"/>
    <w:rsid w:val="007F3716"/>
    <w:rsid w:val="007F3A3B"/>
    <w:rsid w:val="007F3AD4"/>
    <w:rsid w:val="007F3B91"/>
    <w:rsid w:val="007F3C5E"/>
    <w:rsid w:val="007F3CA1"/>
    <w:rsid w:val="007F3D16"/>
    <w:rsid w:val="007F4237"/>
    <w:rsid w:val="007F43E5"/>
    <w:rsid w:val="007F4567"/>
    <w:rsid w:val="007F45A8"/>
    <w:rsid w:val="007F46D8"/>
    <w:rsid w:val="007F46EE"/>
    <w:rsid w:val="007F48EC"/>
    <w:rsid w:val="007F48F5"/>
    <w:rsid w:val="007F4991"/>
    <w:rsid w:val="007F4D15"/>
    <w:rsid w:val="007F4E52"/>
    <w:rsid w:val="007F4E78"/>
    <w:rsid w:val="007F4F3E"/>
    <w:rsid w:val="007F525D"/>
    <w:rsid w:val="007F52D0"/>
    <w:rsid w:val="007F53EC"/>
    <w:rsid w:val="007F53FC"/>
    <w:rsid w:val="007F54A7"/>
    <w:rsid w:val="007F59A6"/>
    <w:rsid w:val="007F5D58"/>
    <w:rsid w:val="007F5D66"/>
    <w:rsid w:val="007F5E38"/>
    <w:rsid w:val="007F618C"/>
    <w:rsid w:val="007F61C5"/>
    <w:rsid w:val="007F63D3"/>
    <w:rsid w:val="007F642D"/>
    <w:rsid w:val="007F65B3"/>
    <w:rsid w:val="007F6740"/>
    <w:rsid w:val="007F682E"/>
    <w:rsid w:val="007F691A"/>
    <w:rsid w:val="007F6BB9"/>
    <w:rsid w:val="007F6CC3"/>
    <w:rsid w:val="007F6DB7"/>
    <w:rsid w:val="007F73E1"/>
    <w:rsid w:val="007F7CC5"/>
    <w:rsid w:val="008000FB"/>
    <w:rsid w:val="00800591"/>
    <w:rsid w:val="008006C0"/>
    <w:rsid w:val="0080070B"/>
    <w:rsid w:val="00800974"/>
    <w:rsid w:val="00800A0D"/>
    <w:rsid w:val="00800C7D"/>
    <w:rsid w:val="00800D98"/>
    <w:rsid w:val="00800E6E"/>
    <w:rsid w:val="00800F31"/>
    <w:rsid w:val="008010C2"/>
    <w:rsid w:val="008011E1"/>
    <w:rsid w:val="0080127B"/>
    <w:rsid w:val="00801727"/>
    <w:rsid w:val="00801A1F"/>
    <w:rsid w:val="00801A4D"/>
    <w:rsid w:val="00801ADA"/>
    <w:rsid w:val="00801AFF"/>
    <w:rsid w:val="00801C9A"/>
    <w:rsid w:val="00802032"/>
    <w:rsid w:val="008020F3"/>
    <w:rsid w:val="0080221C"/>
    <w:rsid w:val="008022F6"/>
    <w:rsid w:val="0080250A"/>
    <w:rsid w:val="00802614"/>
    <w:rsid w:val="0080270B"/>
    <w:rsid w:val="008027F5"/>
    <w:rsid w:val="0080289D"/>
    <w:rsid w:val="0080299B"/>
    <w:rsid w:val="00802C18"/>
    <w:rsid w:val="0080309E"/>
    <w:rsid w:val="008031C2"/>
    <w:rsid w:val="008033D0"/>
    <w:rsid w:val="00803548"/>
    <w:rsid w:val="00803570"/>
    <w:rsid w:val="008037EF"/>
    <w:rsid w:val="00803976"/>
    <w:rsid w:val="00803BD1"/>
    <w:rsid w:val="00803F2A"/>
    <w:rsid w:val="00803F75"/>
    <w:rsid w:val="00803FE3"/>
    <w:rsid w:val="00804306"/>
    <w:rsid w:val="0080447B"/>
    <w:rsid w:val="008044BE"/>
    <w:rsid w:val="0080478E"/>
    <w:rsid w:val="00804AFE"/>
    <w:rsid w:val="00804C17"/>
    <w:rsid w:val="00804E94"/>
    <w:rsid w:val="00804EBB"/>
    <w:rsid w:val="00805037"/>
    <w:rsid w:val="00805113"/>
    <w:rsid w:val="0080519D"/>
    <w:rsid w:val="00805674"/>
    <w:rsid w:val="00805715"/>
    <w:rsid w:val="00805A81"/>
    <w:rsid w:val="00805CBD"/>
    <w:rsid w:val="00805D54"/>
    <w:rsid w:val="00805E7A"/>
    <w:rsid w:val="00805EDC"/>
    <w:rsid w:val="0080602E"/>
    <w:rsid w:val="008061C7"/>
    <w:rsid w:val="00806229"/>
    <w:rsid w:val="00806478"/>
    <w:rsid w:val="008066A4"/>
    <w:rsid w:val="0080677A"/>
    <w:rsid w:val="008067E8"/>
    <w:rsid w:val="00806DDF"/>
    <w:rsid w:val="00806E40"/>
    <w:rsid w:val="00806ED4"/>
    <w:rsid w:val="00807675"/>
    <w:rsid w:val="008079E0"/>
    <w:rsid w:val="00807A41"/>
    <w:rsid w:val="00807B80"/>
    <w:rsid w:val="00807E43"/>
    <w:rsid w:val="00807FD4"/>
    <w:rsid w:val="008101A1"/>
    <w:rsid w:val="0081031E"/>
    <w:rsid w:val="008103E6"/>
    <w:rsid w:val="00810551"/>
    <w:rsid w:val="008105C0"/>
    <w:rsid w:val="008105CD"/>
    <w:rsid w:val="0081088A"/>
    <w:rsid w:val="008108D3"/>
    <w:rsid w:val="00810903"/>
    <w:rsid w:val="00810FE3"/>
    <w:rsid w:val="008112B8"/>
    <w:rsid w:val="008114CD"/>
    <w:rsid w:val="00811577"/>
    <w:rsid w:val="00811F30"/>
    <w:rsid w:val="00811FA5"/>
    <w:rsid w:val="00812335"/>
    <w:rsid w:val="008126E5"/>
    <w:rsid w:val="00812713"/>
    <w:rsid w:val="008127D1"/>
    <w:rsid w:val="00812960"/>
    <w:rsid w:val="00812B21"/>
    <w:rsid w:val="00812BB5"/>
    <w:rsid w:val="00812C25"/>
    <w:rsid w:val="00812D5A"/>
    <w:rsid w:val="00812E06"/>
    <w:rsid w:val="00812E9C"/>
    <w:rsid w:val="00812F2B"/>
    <w:rsid w:val="0081306A"/>
    <w:rsid w:val="0081321F"/>
    <w:rsid w:val="008132E7"/>
    <w:rsid w:val="0081374C"/>
    <w:rsid w:val="008137C0"/>
    <w:rsid w:val="008138EF"/>
    <w:rsid w:val="00813B02"/>
    <w:rsid w:val="00813C11"/>
    <w:rsid w:val="00813DCA"/>
    <w:rsid w:val="00813F55"/>
    <w:rsid w:val="00813F88"/>
    <w:rsid w:val="00813FF3"/>
    <w:rsid w:val="00814197"/>
    <w:rsid w:val="00814382"/>
    <w:rsid w:val="008143FB"/>
    <w:rsid w:val="0081445F"/>
    <w:rsid w:val="00814558"/>
    <w:rsid w:val="008145A2"/>
    <w:rsid w:val="00814681"/>
    <w:rsid w:val="0081483F"/>
    <w:rsid w:val="008148A2"/>
    <w:rsid w:val="008148F6"/>
    <w:rsid w:val="00814AFD"/>
    <w:rsid w:val="00814C12"/>
    <w:rsid w:val="00814CB7"/>
    <w:rsid w:val="008152DD"/>
    <w:rsid w:val="00815318"/>
    <w:rsid w:val="008155AD"/>
    <w:rsid w:val="00815638"/>
    <w:rsid w:val="008156AC"/>
    <w:rsid w:val="008158E6"/>
    <w:rsid w:val="00815BCF"/>
    <w:rsid w:val="00815BDC"/>
    <w:rsid w:val="00815E16"/>
    <w:rsid w:val="00815FB2"/>
    <w:rsid w:val="00816072"/>
    <w:rsid w:val="008160C5"/>
    <w:rsid w:val="008161A5"/>
    <w:rsid w:val="0081631C"/>
    <w:rsid w:val="0081633E"/>
    <w:rsid w:val="0081637C"/>
    <w:rsid w:val="008163C5"/>
    <w:rsid w:val="00816792"/>
    <w:rsid w:val="008167A5"/>
    <w:rsid w:val="00816875"/>
    <w:rsid w:val="00816B8D"/>
    <w:rsid w:val="00816CC5"/>
    <w:rsid w:val="00816DBC"/>
    <w:rsid w:val="00816DE9"/>
    <w:rsid w:val="00816DFA"/>
    <w:rsid w:val="008171E9"/>
    <w:rsid w:val="00817600"/>
    <w:rsid w:val="00817AB7"/>
    <w:rsid w:val="00817CB3"/>
    <w:rsid w:val="00817DC9"/>
    <w:rsid w:val="00817E61"/>
    <w:rsid w:val="008201EB"/>
    <w:rsid w:val="00820374"/>
    <w:rsid w:val="008205D1"/>
    <w:rsid w:val="0082087F"/>
    <w:rsid w:val="00820933"/>
    <w:rsid w:val="008209A3"/>
    <w:rsid w:val="008209A7"/>
    <w:rsid w:val="00820A38"/>
    <w:rsid w:val="00820C1E"/>
    <w:rsid w:val="00820E91"/>
    <w:rsid w:val="00820F11"/>
    <w:rsid w:val="00820FFC"/>
    <w:rsid w:val="0082116C"/>
    <w:rsid w:val="0082153C"/>
    <w:rsid w:val="0082154E"/>
    <w:rsid w:val="00821A28"/>
    <w:rsid w:val="00821B44"/>
    <w:rsid w:val="00821E27"/>
    <w:rsid w:val="00821EDA"/>
    <w:rsid w:val="00821F3E"/>
    <w:rsid w:val="0082202F"/>
    <w:rsid w:val="008224C8"/>
    <w:rsid w:val="008226D4"/>
    <w:rsid w:val="00822D31"/>
    <w:rsid w:val="00822F1B"/>
    <w:rsid w:val="00822F92"/>
    <w:rsid w:val="00822FF3"/>
    <w:rsid w:val="00823B14"/>
    <w:rsid w:val="00823C0C"/>
    <w:rsid w:val="00823C5F"/>
    <w:rsid w:val="00823D12"/>
    <w:rsid w:val="00823D30"/>
    <w:rsid w:val="00823EA2"/>
    <w:rsid w:val="00823F9D"/>
    <w:rsid w:val="00824115"/>
    <w:rsid w:val="0082419B"/>
    <w:rsid w:val="00824268"/>
    <w:rsid w:val="00824670"/>
    <w:rsid w:val="008246A2"/>
    <w:rsid w:val="00824747"/>
    <w:rsid w:val="008249A4"/>
    <w:rsid w:val="00824BA3"/>
    <w:rsid w:val="00824C40"/>
    <w:rsid w:val="008253A5"/>
    <w:rsid w:val="00825640"/>
    <w:rsid w:val="0082595D"/>
    <w:rsid w:val="00825A22"/>
    <w:rsid w:val="00825A44"/>
    <w:rsid w:val="00825BB5"/>
    <w:rsid w:val="00825C25"/>
    <w:rsid w:val="00825CE6"/>
    <w:rsid w:val="00826527"/>
    <w:rsid w:val="008265DD"/>
    <w:rsid w:val="0082662E"/>
    <w:rsid w:val="0082669B"/>
    <w:rsid w:val="008266D1"/>
    <w:rsid w:val="008266F8"/>
    <w:rsid w:val="0082676C"/>
    <w:rsid w:val="00826BF2"/>
    <w:rsid w:val="00826DA8"/>
    <w:rsid w:val="00826DCB"/>
    <w:rsid w:val="00827013"/>
    <w:rsid w:val="00827097"/>
    <w:rsid w:val="00827152"/>
    <w:rsid w:val="00827167"/>
    <w:rsid w:val="008271D0"/>
    <w:rsid w:val="00827220"/>
    <w:rsid w:val="00827385"/>
    <w:rsid w:val="008273F6"/>
    <w:rsid w:val="00827432"/>
    <w:rsid w:val="0082753A"/>
    <w:rsid w:val="00827721"/>
    <w:rsid w:val="008277F5"/>
    <w:rsid w:val="0082780D"/>
    <w:rsid w:val="008279A3"/>
    <w:rsid w:val="00827A22"/>
    <w:rsid w:val="00827CA7"/>
    <w:rsid w:val="00827FAA"/>
    <w:rsid w:val="0083016B"/>
    <w:rsid w:val="0083034D"/>
    <w:rsid w:val="0083036E"/>
    <w:rsid w:val="008303AF"/>
    <w:rsid w:val="0083088F"/>
    <w:rsid w:val="0083089B"/>
    <w:rsid w:val="00830A77"/>
    <w:rsid w:val="00830A9D"/>
    <w:rsid w:val="00830E53"/>
    <w:rsid w:val="00830F4F"/>
    <w:rsid w:val="00830F6E"/>
    <w:rsid w:val="008310B2"/>
    <w:rsid w:val="008314CD"/>
    <w:rsid w:val="008317E4"/>
    <w:rsid w:val="00831C75"/>
    <w:rsid w:val="00831CD6"/>
    <w:rsid w:val="00831E6D"/>
    <w:rsid w:val="00831FF6"/>
    <w:rsid w:val="0083201B"/>
    <w:rsid w:val="00832377"/>
    <w:rsid w:val="00832567"/>
    <w:rsid w:val="0083275B"/>
    <w:rsid w:val="0083275C"/>
    <w:rsid w:val="008327BE"/>
    <w:rsid w:val="00832806"/>
    <w:rsid w:val="00832817"/>
    <w:rsid w:val="00832956"/>
    <w:rsid w:val="00832965"/>
    <w:rsid w:val="00832ADD"/>
    <w:rsid w:val="00832EEB"/>
    <w:rsid w:val="008331BC"/>
    <w:rsid w:val="00833364"/>
    <w:rsid w:val="008333C5"/>
    <w:rsid w:val="008336B4"/>
    <w:rsid w:val="008337E8"/>
    <w:rsid w:val="00833945"/>
    <w:rsid w:val="00833B8F"/>
    <w:rsid w:val="00833C57"/>
    <w:rsid w:val="00833D3A"/>
    <w:rsid w:val="00833D7E"/>
    <w:rsid w:val="00833FC9"/>
    <w:rsid w:val="008342E6"/>
    <w:rsid w:val="00834382"/>
    <w:rsid w:val="008343BF"/>
    <w:rsid w:val="008343E0"/>
    <w:rsid w:val="00834483"/>
    <w:rsid w:val="0083462A"/>
    <w:rsid w:val="00834661"/>
    <w:rsid w:val="00834745"/>
    <w:rsid w:val="008347C8"/>
    <w:rsid w:val="00834A03"/>
    <w:rsid w:val="00834B07"/>
    <w:rsid w:val="00834E53"/>
    <w:rsid w:val="00835068"/>
    <w:rsid w:val="008350EE"/>
    <w:rsid w:val="008353F4"/>
    <w:rsid w:val="0083566F"/>
    <w:rsid w:val="00835687"/>
    <w:rsid w:val="008356CD"/>
    <w:rsid w:val="00835774"/>
    <w:rsid w:val="008359C2"/>
    <w:rsid w:val="00835A1A"/>
    <w:rsid w:val="00835A70"/>
    <w:rsid w:val="00835BB3"/>
    <w:rsid w:val="0083605F"/>
    <w:rsid w:val="008363B8"/>
    <w:rsid w:val="00836586"/>
    <w:rsid w:val="0083660D"/>
    <w:rsid w:val="00836659"/>
    <w:rsid w:val="00836757"/>
    <w:rsid w:val="008367B0"/>
    <w:rsid w:val="00836912"/>
    <w:rsid w:val="0083693C"/>
    <w:rsid w:val="00836986"/>
    <w:rsid w:val="00836BFE"/>
    <w:rsid w:val="00836C05"/>
    <w:rsid w:val="00836E2D"/>
    <w:rsid w:val="00836FBC"/>
    <w:rsid w:val="00836FCB"/>
    <w:rsid w:val="00837020"/>
    <w:rsid w:val="008370DC"/>
    <w:rsid w:val="00837541"/>
    <w:rsid w:val="008376A2"/>
    <w:rsid w:val="0083787C"/>
    <w:rsid w:val="00837A88"/>
    <w:rsid w:val="00837B36"/>
    <w:rsid w:val="00837C4C"/>
    <w:rsid w:val="00837D61"/>
    <w:rsid w:val="00837EBB"/>
    <w:rsid w:val="008400D0"/>
    <w:rsid w:val="0084021C"/>
    <w:rsid w:val="00840247"/>
    <w:rsid w:val="008403F1"/>
    <w:rsid w:val="00840405"/>
    <w:rsid w:val="0084042D"/>
    <w:rsid w:val="00840767"/>
    <w:rsid w:val="008407BB"/>
    <w:rsid w:val="008408D6"/>
    <w:rsid w:val="00840A49"/>
    <w:rsid w:val="00840ABE"/>
    <w:rsid w:val="00840BCF"/>
    <w:rsid w:val="00840D5E"/>
    <w:rsid w:val="00841040"/>
    <w:rsid w:val="008412A5"/>
    <w:rsid w:val="0084147A"/>
    <w:rsid w:val="00841676"/>
    <w:rsid w:val="00841954"/>
    <w:rsid w:val="00841A63"/>
    <w:rsid w:val="00841BB7"/>
    <w:rsid w:val="00841E85"/>
    <w:rsid w:val="00841EAC"/>
    <w:rsid w:val="00841EF5"/>
    <w:rsid w:val="0084220A"/>
    <w:rsid w:val="008422AC"/>
    <w:rsid w:val="00842341"/>
    <w:rsid w:val="00842401"/>
    <w:rsid w:val="0084242E"/>
    <w:rsid w:val="00842693"/>
    <w:rsid w:val="00842760"/>
    <w:rsid w:val="0084282A"/>
    <w:rsid w:val="00842A13"/>
    <w:rsid w:val="00842AB7"/>
    <w:rsid w:val="00842D3D"/>
    <w:rsid w:val="00842DB9"/>
    <w:rsid w:val="00842FB5"/>
    <w:rsid w:val="00843051"/>
    <w:rsid w:val="00843465"/>
    <w:rsid w:val="0084348B"/>
    <w:rsid w:val="00843798"/>
    <w:rsid w:val="0084401C"/>
    <w:rsid w:val="0084411E"/>
    <w:rsid w:val="0084413A"/>
    <w:rsid w:val="008441A9"/>
    <w:rsid w:val="008443C9"/>
    <w:rsid w:val="008447DB"/>
    <w:rsid w:val="00844A6A"/>
    <w:rsid w:val="00844FB5"/>
    <w:rsid w:val="008451A0"/>
    <w:rsid w:val="008451A1"/>
    <w:rsid w:val="00845296"/>
    <w:rsid w:val="00845468"/>
    <w:rsid w:val="008455E1"/>
    <w:rsid w:val="0084587C"/>
    <w:rsid w:val="00845951"/>
    <w:rsid w:val="00845A3E"/>
    <w:rsid w:val="00845DB7"/>
    <w:rsid w:val="00845DE7"/>
    <w:rsid w:val="00845F25"/>
    <w:rsid w:val="00845F32"/>
    <w:rsid w:val="00845F78"/>
    <w:rsid w:val="00845F99"/>
    <w:rsid w:val="0084628C"/>
    <w:rsid w:val="008462EA"/>
    <w:rsid w:val="0084639E"/>
    <w:rsid w:val="0084641D"/>
    <w:rsid w:val="008464E2"/>
    <w:rsid w:val="00846915"/>
    <w:rsid w:val="0084698B"/>
    <w:rsid w:val="00846A07"/>
    <w:rsid w:val="00846CA4"/>
    <w:rsid w:val="00846D4D"/>
    <w:rsid w:val="00846E75"/>
    <w:rsid w:val="008470AF"/>
    <w:rsid w:val="00847693"/>
    <w:rsid w:val="00847807"/>
    <w:rsid w:val="00847827"/>
    <w:rsid w:val="00847950"/>
    <w:rsid w:val="008479C9"/>
    <w:rsid w:val="008479D7"/>
    <w:rsid w:val="00847A69"/>
    <w:rsid w:val="00847B88"/>
    <w:rsid w:val="00847F5F"/>
    <w:rsid w:val="00847FC7"/>
    <w:rsid w:val="00850312"/>
    <w:rsid w:val="0085043D"/>
    <w:rsid w:val="0085062B"/>
    <w:rsid w:val="008506BD"/>
    <w:rsid w:val="00850893"/>
    <w:rsid w:val="00850AD8"/>
    <w:rsid w:val="00850B1C"/>
    <w:rsid w:val="00850E2B"/>
    <w:rsid w:val="00850F1A"/>
    <w:rsid w:val="008510B8"/>
    <w:rsid w:val="00851239"/>
    <w:rsid w:val="00851259"/>
    <w:rsid w:val="00851383"/>
    <w:rsid w:val="00851704"/>
    <w:rsid w:val="008517D7"/>
    <w:rsid w:val="008518BC"/>
    <w:rsid w:val="00851FBF"/>
    <w:rsid w:val="0085208A"/>
    <w:rsid w:val="0085209D"/>
    <w:rsid w:val="008521DC"/>
    <w:rsid w:val="0085229F"/>
    <w:rsid w:val="00852576"/>
    <w:rsid w:val="0085267A"/>
    <w:rsid w:val="008527CF"/>
    <w:rsid w:val="008529BD"/>
    <w:rsid w:val="00852AE5"/>
    <w:rsid w:val="00852CB3"/>
    <w:rsid w:val="00852E31"/>
    <w:rsid w:val="00853090"/>
    <w:rsid w:val="00853394"/>
    <w:rsid w:val="00853436"/>
    <w:rsid w:val="00853526"/>
    <w:rsid w:val="008535E8"/>
    <w:rsid w:val="0085364B"/>
    <w:rsid w:val="00853AC4"/>
    <w:rsid w:val="00853C1F"/>
    <w:rsid w:val="00853EAA"/>
    <w:rsid w:val="0085484B"/>
    <w:rsid w:val="00854877"/>
    <w:rsid w:val="008549FA"/>
    <w:rsid w:val="00854A93"/>
    <w:rsid w:val="00854AD8"/>
    <w:rsid w:val="00854F6B"/>
    <w:rsid w:val="008555C0"/>
    <w:rsid w:val="00855616"/>
    <w:rsid w:val="008556E8"/>
    <w:rsid w:val="0085570F"/>
    <w:rsid w:val="0085586A"/>
    <w:rsid w:val="008558CF"/>
    <w:rsid w:val="008558F1"/>
    <w:rsid w:val="0085591A"/>
    <w:rsid w:val="008559B8"/>
    <w:rsid w:val="00855AB1"/>
    <w:rsid w:val="00855E47"/>
    <w:rsid w:val="00855E60"/>
    <w:rsid w:val="00855E7A"/>
    <w:rsid w:val="00855EE1"/>
    <w:rsid w:val="00856023"/>
    <w:rsid w:val="00856223"/>
    <w:rsid w:val="008562BB"/>
    <w:rsid w:val="00856325"/>
    <w:rsid w:val="00856533"/>
    <w:rsid w:val="008565C2"/>
    <w:rsid w:val="0085692D"/>
    <w:rsid w:val="0085697E"/>
    <w:rsid w:val="00856DB2"/>
    <w:rsid w:val="00856F03"/>
    <w:rsid w:val="00857059"/>
    <w:rsid w:val="008570F0"/>
    <w:rsid w:val="00857119"/>
    <w:rsid w:val="008571AB"/>
    <w:rsid w:val="00857259"/>
    <w:rsid w:val="00857284"/>
    <w:rsid w:val="00857503"/>
    <w:rsid w:val="0085758A"/>
    <w:rsid w:val="0085758D"/>
    <w:rsid w:val="008575B2"/>
    <w:rsid w:val="0085760E"/>
    <w:rsid w:val="008576CD"/>
    <w:rsid w:val="008576EB"/>
    <w:rsid w:val="008577A1"/>
    <w:rsid w:val="008577EE"/>
    <w:rsid w:val="00857BDF"/>
    <w:rsid w:val="00857C00"/>
    <w:rsid w:val="00857C55"/>
    <w:rsid w:val="00857F4F"/>
    <w:rsid w:val="0086011B"/>
    <w:rsid w:val="00860356"/>
    <w:rsid w:val="00860634"/>
    <w:rsid w:val="0086068B"/>
    <w:rsid w:val="008608B1"/>
    <w:rsid w:val="00860BF0"/>
    <w:rsid w:val="008614A2"/>
    <w:rsid w:val="008614AB"/>
    <w:rsid w:val="0086179B"/>
    <w:rsid w:val="00861AAC"/>
    <w:rsid w:val="00861AC6"/>
    <w:rsid w:val="00861B2A"/>
    <w:rsid w:val="00861E04"/>
    <w:rsid w:val="00862002"/>
    <w:rsid w:val="008621AC"/>
    <w:rsid w:val="0086245F"/>
    <w:rsid w:val="00862786"/>
    <w:rsid w:val="008627D7"/>
    <w:rsid w:val="008627E4"/>
    <w:rsid w:val="0086285C"/>
    <w:rsid w:val="0086298E"/>
    <w:rsid w:val="00862A46"/>
    <w:rsid w:val="00862A84"/>
    <w:rsid w:val="00862AC2"/>
    <w:rsid w:val="00862C2B"/>
    <w:rsid w:val="00862D74"/>
    <w:rsid w:val="00862E63"/>
    <w:rsid w:val="00863060"/>
    <w:rsid w:val="008630EB"/>
    <w:rsid w:val="00863194"/>
    <w:rsid w:val="0086348A"/>
    <w:rsid w:val="008634A3"/>
    <w:rsid w:val="008637F0"/>
    <w:rsid w:val="00863A36"/>
    <w:rsid w:val="00863CF5"/>
    <w:rsid w:val="00863D16"/>
    <w:rsid w:val="00863EA8"/>
    <w:rsid w:val="00863ECA"/>
    <w:rsid w:val="00863F0E"/>
    <w:rsid w:val="00863FA3"/>
    <w:rsid w:val="0086402F"/>
    <w:rsid w:val="00864439"/>
    <w:rsid w:val="008644D8"/>
    <w:rsid w:val="0086465D"/>
    <w:rsid w:val="008646CE"/>
    <w:rsid w:val="008646DD"/>
    <w:rsid w:val="0086481F"/>
    <w:rsid w:val="0086487E"/>
    <w:rsid w:val="008648B0"/>
    <w:rsid w:val="00864901"/>
    <w:rsid w:val="00864987"/>
    <w:rsid w:val="008649D7"/>
    <w:rsid w:val="008649FE"/>
    <w:rsid w:val="00864A1C"/>
    <w:rsid w:val="00864F62"/>
    <w:rsid w:val="00864FB4"/>
    <w:rsid w:val="00865113"/>
    <w:rsid w:val="00865389"/>
    <w:rsid w:val="00865721"/>
    <w:rsid w:val="008657E5"/>
    <w:rsid w:val="0086580E"/>
    <w:rsid w:val="008659DA"/>
    <w:rsid w:val="00865A82"/>
    <w:rsid w:val="00865D35"/>
    <w:rsid w:val="00865E59"/>
    <w:rsid w:val="00865E7E"/>
    <w:rsid w:val="00865FEB"/>
    <w:rsid w:val="008660CA"/>
    <w:rsid w:val="00866131"/>
    <w:rsid w:val="00866294"/>
    <w:rsid w:val="0086669E"/>
    <w:rsid w:val="00866A06"/>
    <w:rsid w:val="00866A4F"/>
    <w:rsid w:val="00866C02"/>
    <w:rsid w:val="00866D8C"/>
    <w:rsid w:val="00866F5A"/>
    <w:rsid w:val="00867382"/>
    <w:rsid w:val="008673A5"/>
    <w:rsid w:val="008673DC"/>
    <w:rsid w:val="008674CD"/>
    <w:rsid w:val="008675AF"/>
    <w:rsid w:val="008676AC"/>
    <w:rsid w:val="008678E1"/>
    <w:rsid w:val="00867958"/>
    <w:rsid w:val="00867A11"/>
    <w:rsid w:val="00867C65"/>
    <w:rsid w:val="00867CE2"/>
    <w:rsid w:val="00867D32"/>
    <w:rsid w:val="00867DCB"/>
    <w:rsid w:val="008701CF"/>
    <w:rsid w:val="008707AC"/>
    <w:rsid w:val="008708E7"/>
    <w:rsid w:val="00870DC2"/>
    <w:rsid w:val="00870E4B"/>
    <w:rsid w:val="00870F27"/>
    <w:rsid w:val="00870F3E"/>
    <w:rsid w:val="0087120D"/>
    <w:rsid w:val="00871278"/>
    <w:rsid w:val="00871293"/>
    <w:rsid w:val="008712FB"/>
    <w:rsid w:val="00871367"/>
    <w:rsid w:val="008715AD"/>
    <w:rsid w:val="008715C4"/>
    <w:rsid w:val="00871804"/>
    <w:rsid w:val="0087180B"/>
    <w:rsid w:val="008718A7"/>
    <w:rsid w:val="00871904"/>
    <w:rsid w:val="00871A8D"/>
    <w:rsid w:val="00871B22"/>
    <w:rsid w:val="00871F2D"/>
    <w:rsid w:val="00871FC5"/>
    <w:rsid w:val="00872095"/>
    <w:rsid w:val="008721EB"/>
    <w:rsid w:val="0087245F"/>
    <w:rsid w:val="008728CB"/>
    <w:rsid w:val="00872DA8"/>
    <w:rsid w:val="00872E7A"/>
    <w:rsid w:val="00872EE9"/>
    <w:rsid w:val="00872F62"/>
    <w:rsid w:val="00873066"/>
    <w:rsid w:val="0087316C"/>
    <w:rsid w:val="008732EB"/>
    <w:rsid w:val="008734C2"/>
    <w:rsid w:val="0087352F"/>
    <w:rsid w:val="00873531"/>
    <w:rsid w:val="00873693"/>
    <w:rsid w:val="008736BB"/>
    <w:rsid w:val="00873E26"/>
    <w:rsid w:val="00874201"/>
    <w:rsid w:val="00874378"/>
    <w:rsid w:val="00874390"/>
    <w:rsid w:val="00874500"/>
    <w:rsid w:val="0087472E"/>
    <w:rsid w:val="008747A6"/>
    <w:rsid w:val="00874852"/>
    <w:rsid w:val="008748C9"/>
    <w:rsid w:val="00874943"/>
    <w:rsid w:val="00874D3A"/>
    <w:rsid w:val="00874E00"/>
    <w:rsid w:val="00874FCF"/>
    <w:rsid w:val="0087515C"/>
    <w:rsid w:val="008756CD"/>
    <w:rsid w:val="00875AE7"/>
    <w:rsid w:val="00875C44"/>
    <w:rsid w:val="00875E2F"/>
    <w:rsid w:val="00875EB1"/>
    <w:rsid w:val="0087602F"/>
    <w:rsid w:val="0087628D"/>
    <w:rsid w:val="00876649"/>
    <w:rsid w:val="0087675C"/>
    <w:rsid w:val="008768DF"/>
    <w:rsid w:val="00876A14"/>
    <w:rsid w:val="00876BDE"/>
    <w:rsid w:val="00876FCD"/>
    <w:rsid w:val="0087702E"/>
    <w:rsid w:val="008771B6"/>
    <w:rsid w:val="0087722E"/>
    <w:rsid w:val="0087742B"/>
    <w:rsid w:val="0087749B"/>
    <w:rsid w:val="008775D8"/>
    <w:rsid w:val="008777D1"/>
    <w:rsid w:val="00877C61"/>
    <w:rsid w:val="00877C8F"/>
    <w:rsid w:val="00877D59"/>
    <w:rsid w:val="00877D96"/>
    <w:rsid w:val="00877F6F"/>
    <w:rsid w:val="00880009"/>
    <w:rsid w:val="0088067F"/>
    <w:rsid w:val="00880758"/>
    <w:rsid w:val="00880765"/>
    <w:rsid w:val="00880854"/>
    <w:rsid w:val="008808A6"/>
    <w:rsid w:val="00880DE7"/>
    <w:rsid w:val="00880E20"/>
    <w:rsid w:val="008811F7"/>
    <w:rsid w:val="008813DA"/>
    <w:rsid w:val="00881950"/>
    <w:rsid w:val="00881AAC"/>
    <w:rsid w:val="00881C6D"/>
    <w:rsid w:val="008820AD"/>
    <w:rsid w:val="00882146"/>
    <w:rsid w:val="0088223E"/>
    <w:rsid w:val="00882500"/>
    <w:rsid w:val="00882A7D"/>
    <w:rsid w:val="00882BEA"/>
    <w:rsid w:val="00882D41"/>
    <w:rsid w:val="00882D96"/>
    <w:rsid w:val="00882ED3"/>
    <w:rsid w:val="00883119"/>
    <w:rsid w:val="008831A0"/>
    <w:rsid w:val="008832A4"/>
    <w:rsid w:val="008832E8"/>
    <w:rsid w:val="008839B0"/>
    <w:rsid w:val="00883C0D"/>
    <w:rsid w:val="00883D04"/>
    <w:rsid w:val="00883FD2"/>
    <w:rsid w:val="0088405D"/>
    <w:rsid w:val="00884162"/>
    <w:rsid w:val="008842A6"/>
    <w:rsid w:val="008843D5"/>
    <w:rsid w:val="008844B7"/>
    <w:rsid w:val="00884866"/>
    <w:rsid w:val="008848A6"/>
    <w:rsid w:val="0088490C"/>
    <w:rsid w:val="008849B4"/>
    <w:rsid w:val="00884D06"/>
    <w:rsid w:val="00884DBA"/>
    <w:rsid w:val="00884E85"/>
    <w:rsid w:val="00884E8E"/>
    <w:rsid w:val="00884ED4"/>
    <w:rsid w:val="008853A3"/>
    <w:rsid w:val="008853DE"/>
    <w:rsid w:val="0088596C"/>
    <w:rsid w:val="008859DD"/>
    <w:rsid w:val="00885C56"/>
    <w:rsid w:val="00885D90"/>
    <w:rsid w:val="00885E1C"/>
    <w:rsid w:val="00885F13"/>
    <w:rsid w:val="00885FEB"/>
    <w:rsid w:val="0088609D"/>
    <w:rsid w:val="008863B7"/>
    <w:rsid w:val="0088644D"/>
    <w:rsid w:val="00886602"/>
    <w:rsid w:val="00886624"/>
    <w:rsid w:val="00886659"/>
    <w:rsid w:val="00886756"/>
    <w:rsid w:val="00886794"/>
    <w:rsid w:val="00886840"/>
    <w:rsid w:val="0088685D"/>
    <w:rsid w:val="00886940"/>
    <w:rsid w:val="00886D88"/>
    <w:rsid w:val="00886E52"/>
    <w:rsid w:val="00886F24"/>
    <w:rsid w:val="00886F45"/>
    <w:rsid w:val="00886F65"/>
    <w:rsid w:val="00886F6C"/>
    <w:rsid w:val="00886FC5"/>
    <w:rsid w:val="00886FF6"/>
    <w:rsid w:val="0088732C"/>
    <w:rsid w:val="008874AF"/>
    <w:rsid w:val="00887654"/>
    <w:rsid w:val="00887828"/>
    <w:rsid w:val="00887853"/>
    <w:rsid w:val="00887BAB"/>
    <w:rsid w:val="00887ED3"/>
    <w:rsid w:val="00888223"/>
    <w:rsid w:val="00890012"/>
    <w:rsid w:val="0089001F"/>
    <w:rsid w:val="008901FF"/>
    <w:rsid w:val="00890650"/>
    <w:rsid w:val="008906DE"/>
    <w:rsid w:val="00890797"/>
    <w:rsid w:val="00890978"/>
    <w:rsid w:val="008909C4"/>
    <w:rsid w:val="00890B30"/>
    <w:rsid w:val="00890CE4"/>
    <w:rsid w:val="00890D07"/>
    <w:rsid w:val="00890D20"/>
    <w:rsid w:val="00890EB4"/>
    <w:rsid w:val="008911AF"/>
    <w:rsid w:val="0089120A"/>
    <w:rsid w:val="00891484"/>
    <w:rsid w:val="00891558"/>
    <w:rsid w:val="00891650"/>
    <w:rsid w:val="00891670"/>
    <w:rsid w:val="008918A2"/>
    <w:rsid w:val="008922C2"/>
    <w:rsid w:val="008926CC"/>
    <w:rsid w:val="00892762"/>
    <w:rsid w:val="0089283C"/>
    <w:rsid w:val="00892953"/>
    <w:rsid w:val="008929C0"/>
    <w:rsid w:val="00892B0D"/>
    <w:rsid w:val="00892B23"/>
    <w:rsid w:val="00892C87"/>
    <w:rsid w:val="00892F98"/>
    <w:rsid w:val="00892FF8"/>
    <w:rsid w:val="00893128"/>
    <w:rsid w:val="00893193"/>
    <w:rsid w:val="008932C2"/>
    <w:rsid w:val="008933A5"/>
    <w:rsid w:val="0089354C"/>
    <w:rsid w:val="00893745"/>
    <w:rsid w:val="00893A0D"/>
    <w:rsid w:val="00893A44"/>
    <w:rsid w:val="00893C7E"/>
    <w:rsid w:val="00893CEF"/>
    <w:rsid w:val="00893D36"/>
    <w:rsid w:val="00893E9F"/>
    <w:rsid w:val="008940B1"/>
    <w:rsid w:val="008941C9"/>
    <w:rsid w:val="00894227"/>
    <w:rsid w:val="00894282"/>
    <w:rsid w:val="00894607"/>
    <w:rsid w:val="0089478B"/>
    <w:rsid w:val="00894845"/>
    <w:rsid w:val="008949E6"/>
    <w:rsid w:val="00894A9C"/>
    <w:rsid w:val="00894D66"/>
    <w:rsid w:val="00894FD8"/>
    <w:rsid w:val="008951A3"/>
    <w:rsid w:val="00895216"/>
    <w:rsid w:val="00895585"/>
    <w:rsid w:val="008955C2"/>
    <w:rsid w:val="008957A8"/>
    <w:rsid w:val="00895C2D"/>
    <w:rsid w:val="00895D00"/>
    <w:rsid w:val="00895D7D"/>
    <w:rsid w:val="00895EF3"/>
    <w:rsid w:val="00896026"/>
    <w:rsid w:val="00896209"/>
    <w:rsid w:val="008963F5"/>
    <w:rsid w:val="008963FF"/>
    <w:rsid w:val="00896692"/>
    <w:rsid w:val="00896987"/>
    <w:rsid w:val="00897558"/>
    <w:rsid w:val="0089781C"/>
    <w:rsid w:val="00897892"/>
    <w:rsid w:val="00897C9F"/>
    <w:rsid w:val="00897F7B"/>
    <w:rsid w:val="008A0003"/>
    <w:rsid w:val="008A00D4"/>
    <w:rsid w:val="008A0240"/>
    <w:rsid w:val="008A034A"/>
    <w:rsid w:val="008A052F"/>
    <w:rsid w:val="008A0E0B"/>
    <w:rsid w:val="008A0E5A"/>
    <w:rsid w:val="008A1030"/>
    <w:rsid w:val="008A1332"/>
    <w:rsid w:val="008A1348"/>
    <w:rsid w:val="008A156C"/>
    <w:rsid w:val="008A1689"/>
    <w:rsid w:val="008A18C0"/>
    <w:rsid w:val="008A1AB1"/>
    <w:rsid w:val="008A1BBF"/>
    <w:rsid w:val="008A1D3F"/>
    <w:rsid w:val="008A1E7C"/>
    <w:rsid w:val="008A1FE7"/>
    <w:rsid w:val="008A2009"/>
    <w:rsid w:val="008A20E3"/>
    <w:rsid w:val="008A2329"/>
    <w:rsid w:val="008A2485"/>
    <w:rsid w:val="008A24FA"/>
    <w:rsid w:val="008A254A"/>
    <w:rsid w:val="008A2D3B"/>
    <w:rsid w:val="008A2EEF"/>
    <w:rsid w:val="008A3048"/>
    <w:rsid w:val="008A3145"/>
    <w:rsid w:val="008A3205"/>
    <w:rsid w:val="008A329E"/>
    <w:rsid w:val="008A349D"/>
    <w:rsid w:val="008A3592"/>
    <w:rsid w:val="008A364C"/>
    <w:rsid w:val="008A37DD"/>
    <w:rsid w:val="008A3935"/>
    <w:rsid w:val="008A3BA1"/>
    <w:rsid w:val="008A3BD5"/>
    <w:rsid w:val="008A3E33"/>
    <w:rsid w:val="008A3EEB"/>
    <w:rsid w:val="008A41BC"/>
    <w:rsid w:val="008A42D7"/>
    <w:rsid w:val="008A4420"/>
    <w:rsid w:val="008A4CB7"/>
    <w:rsid w:val="008A4D1E"/>
    <w:rsid w:val="008A4D47"/>
    <w:rsid w:val="008A4D98"/>
    <w:rsid w:val="008A4DC4"/>
    <w:rsid w:val="008A4DF9"/>
    <w:rsid w:val="008A4E87"/>
    <w:rsid w:val="008A4F01"/>
    <w:rsid w:val="008A4F73"/>
    <w:rsid w:val="008A5075"/>
    <w:rsid w:val="008A5133"/>
    <w:rsid w:val="008A5327"/>
    <w:rsid w:val="008A5636"/>
    <w:rsid w:val="008A5941"/>
    <w:rsid w:val="008A59B8"/>
    <w:rsid w:val="008A5A2F"/>
    <w:rsid w:val="008A5DCC"/>
    <w:rsid w:val="008A5F14"/>
    <w:rsid w:val="008A5F97"/>
    <w:rsid w:val="008A601A"/>
    <w:rsid w:val="008A6041"/>
    <w:rsid w:val="008A6050"/>
    <w:rsid w:val="008A61BF"/>
    <w:rsid w:val="008A62B2"/>
    <w:rsid w:val="008A62DA"/>
    <w:rsid w:val="008A648D"/>
    <w:rsid w:val="008A64B1"/>
    <w:rsid w:val="008A6517"/>
    <w:rsid w:val="008A6880"/>
    <w:rsid w:val="008A6A3F"/>
    <w:rsid w:val="008A6B77"/>
    <w:rsid w:val="008A6D78"/>
    <w:rsid w:val="008A6D7A"/>
    <w:rsid w:val="008A6E83"/>
    <w:rsid w:val="008A70BB"/>
    <w:rsid w:val="008A71B5"/>
    <w:rsid w:val="008A71C5"/>
    <w:rsid w:val="008A72CA"/>
    <w:rsid w:val="008A7468"/>
    <w:rsid w:val="008A74A5"/>
    <w:rsid w:val="008A77C8"/>
    <w:rsid w:val="008A7A82"/>
    <w:rsid w:val="008A7F96"/>
    <w:rsid w:val="008B009A"/>
    <w:rsid w:val="008B019C"/>
    <w:rsid w:val="008B01A8"/>
    <w:rsid w:val="008B0252"/>
    <w:rsid w:val="008B0315"/>
    <w:rsid w:val="008B0492"/>
    <w:rsid w:val="008B0AD2"/>
    <w:rsid w:val="008B0CD1"/>
    <w:rsid w:val="008B0D8A"/>
    <w:rsid w:val="008B0E2B"/>
    <w:rsid w:val="008B0EAA"/>
    <w:rsid w:val="008B0F97"/>
    <w:rsid w:val="008B1187"/>
    <w:rsid w:val="008B11D7"/>
    <w:rsid w:val="008B168C"/>
    <w:rsid w:val="008B187C"/>
    <w:rsid w:val="008B1A3F"/>
    <w:rsid w:val="008B1ABA"/>
    <w:rsid w:val="008B1AFF"/>
    <w:rsid w:val="008B1E93"/>
    <w:rsid w:val="008B1FB4"/>
    <w:rsid w:val="008B250B"/>
    <w:rsid w:val="008B2643"/>
    <w:rsid w:val="008B26FA"/>
    <w:rsid w:val="008B2703"/>
    <w:rsid w:val="008B271E"/>
    <w:rsid w:val="008B28C9"/>
    <w:rsid w:val="008B2D82"/>
    <w:rsid w:val="008B2DB7"/>
    <w:rsid w:val="008B3128"/>
    <w:rsid w:val="008B31C3"/>
    <w:rsid w:val="008B3204"/>
    <w:rsid w:val="008B3262"/>
    <w:rsid w:val="008B3336"/>
    <w:rsid w:val="008B3569"/>
    <w:rsid w:val="008B3902"/>
    <w:rsid w:val="008B394B"/>
    <w:rsid w:val="008B39BA"/>
    <w:rsid w:val="008B39C1"/>
    <w:rsid w:val="008B3C55"/>
    <w:rsid w:val="008B3E0C"/>
    <w:rsid w:val="008B4135"/>
    <w:rsid w:val="008B45BD"/>
    <w:rsid w:val="008B45C3"/>
    <w:rsid w:val="008B45D6"/>
    <w:rsid w:val="008B47DC"/>
    <w:rsid w:val="008B487D"/>
    <w:rsid w:val="008B4CA7"/>
    <w:rsid w:val="008B4CCA"/>
    <w:rsid w:val="008B4D80"/>
    <w:rsid w:val="008B5032"/>
    <w:rsid w:val="008B52E9"/>
    <w:rsid w:val="008B5504"/>
    <w:rsid w:val="008B552E"/>
    <w:rsid w:val="008B5BF9"/>
    <w:rsid w:val="008B5CB4"/>
    <w:rsid w:val="008B5CC5"/>
    <w:rsid w:val="008B5FBD"/>
    <w:rsid w:val="008B6219"/>
    <w:rsid w:val="008B6499"/>
    <w:rsid w:val="008B65B9"/>
    <w:rsid w:val="008B664E"/>
    <w:rsid w:val="008B6AB1"/>
    <w:rsid w:val="008B6CAD"/>
    <w:rsid w:val="008B6E0C"/>
    <w:rsid w:val="008B7241"/>
    <w:rsid w:val="008B729E"/>
    <w:rsid w:val="008B749D"/>
    <w:rsid w:val="008B7916"/>
    <w:rsid w:val="008B7927"/>
    <w:rsid w:val="008B7B52"/>
    <w:rsid w:val="008B7C74"/>
    <w:rsid w:val="008B7C86"/>
    <w:rsid w:val="008B7CD6"/>
    <w:rsid w:val="008B7CDD"/>
    <w:rsid w:val="008B7EB0"/>
    <w:rsid w:val="008C038B"/>
    <w:rsid w:val="008C0764"/>
    <w:rsid w:val="008C0772"/>
    <w:rsid w:val="008C07C4"/>
    <w:rsid w:val="008C08CB"/>
    <w:rsid w:val="008C0B68"/>
    <w:rsid w:val="008C0B98"/>
    <w:rsid w:val="008C0D21"/>
    <w:rsid w:val="008C0E7A"/>
    <w:rsid w:val="008C0F90"/>
    <w:rsid w:val="008C104F"/>
    <w:rsid w:val="008C10F2"/>
    <w:rsid w:val="008C11F9"/>
    <w:rsid w:val="008C120D"/>
    <w:rsid w:val="008C13BC"/>
    <w:rsid w:val="008C18B7"/>
    <w:rsid w:val="008C1A5E"/>
    <w:rsid w:val="008C1CD2"/>
    <w:rsid w:val="008C1E4D"/>
    <w:rsid w:val="008C1EA0"/>
    <w:rsid w:val="008C1EEF"/>
    <w:rsid w:val="008C2526"/>
    <w:rsid w:val="008C2A10"/>
    <w:rsid w:val="008C2D17"/>
    <w:rsid w:val="008C33EE"/>
    <w:rsid w:val="008C369C"/>
    <w:rsid w:val="008C36BD"/>
    <w:rsid w:val="008C3CA4"/>
    <w:rsid w:val="008C3CCC"/>
    <w:rsid w:val="008C3D9F"/>
    <w:rsid w:val="008C3E0D"/>
    <w:rsid w:val="008C3E92"/>
    <w:rsid w:val="008C3F2B"/>
    <w:rsid w:val="008C40C9"/>
    <w:rsid w:val="008C4196"/>
    <w:rsid w:val="008C44AC"/>
    <w:rsid w:val="008C4548"/>
    <w:rsid w:val="008C4841"/>
    <w:rsid w:val="008C496C"/>
    <w:rsid w:val="008C4A4D"/>
    <w:rsid w:val="008C4E41"/>
    <w:rsid w:val="008C4F9E"/>
    <w:rsid w:val="008C5008"/>
    <w:rsid w:val="008C5389"/>
    <w:rsid w:val="008C5A22"/>
    <w:rsid w:val="008C5A2C"/>
    <w:rsid w:val="008C5D7C"/>
    <w:rsid w:val="008C5DCD"/>
    <w:rsid w:val="008C614E"/>
    <w:rsid w:val="008C6323"/>
    <w:rsid w:val="008C65AE"/>
    <w:rsid w:val="008C6824"/>
    <w:rsid w:val="008C68D7"/>
    <w:rsid w:val="008C6A97"/>
    <w:rsid w:val="008C6C8B"/>
    <w:rsid w:val="008C6CF0"/>
    <w:rsid w:val="008C6D6A"/>
    <w:rsid w:val="008C6DE8"/>
    <w:rsid w:val="008C6E37"/>
    <w:rsid w:val="008C6F1D"/>
    <w:rsid w:val="008C7135"/>
    <w:rsid w:val="008C739D"/>
    <w:rsid w:val="008C73FB"/>
    <w:rsid w:val="008C746C"/>
    <w:rsid w:val="008C7499"/>
    <w:rsid w:val="008C7573"/>
    <w:rsid w:val="008C78FB"/>
    <w:rsid w:val="008C7BD0"/>
    <w:rsid w:val="008C7C1D"/>
    <w:rsid w:val="008C7CAE"/>
    <w:rsid w:val="008D04E4"/>
    <w:rsid w:val="008D068E"/>
    <w:rsid w:val="008D09A6"/>
    <w:rsid w:val="008D0BCC"/>
    <w:rsid w:val="008D0C60"/>
    <w:rsid w:val="008D0DA4"/>
    <w:rsid w:val="008D0DB4"/>
    <w:rsid w:val="008D0F19"/>
    <w:rsid w:val="008D0FB7"/>
    <w:rsid w:val="008D1121"/>
    <w:rsid w:val="008D112F"/>
    <w:rsid w:val="008D11D2"/>
    <w:rsid w:val="008D1583"/>
    <w:rsid w:val="008D16B4"/>
    <w:rsid w:val="008D1830"/>
    <w:rsid w:val="008D1851"/>
    <w:rsid w:val="008D1862"/>
    <w:rsid w:val="008D192B"/>
    <w:rsid w:val="008D1CEB"/>
    <w:rsid w:val="008D1D71"/>
    <w:rsid w:val="008D1F30"/>
    <w:rsid w:val="008D20A9"/>
    <w:rsid w:val="008D23F2"/>
    <w:rsid w:val="008D2481"/>
    <w:rsid w:val="008D27A1"/>
    <w:rsid w:val="008D290E"/>
    <w:rsid w:val="008D2B78"/>
    <w:rsid w:val="008D2C30"/>
    <w:rsid w:val="008D3090"/>
    <w:rsid w:val="008D31E8"/>
    <w:rsid w:val="008D3217"/>
    <w:rsid w:val="008D3313"/>
    <w:rsid w:val="008D3324"/>
    <w:rsid w:val="008D349B"/>
    <w:rsid w:val="008D34E0"/>
    <w:rsid w:val="008D3A57"/>
    <w:rsid w:val="008D3DCE"/>
    <w:rsid w:val="008D3FC2"/>
    <w:rsid w:val="008D4366"/>
    <w:rsid w:val="008D4389"/>
    <w:rsid w:val="008D4481"/>
    <w:rsid w:val="008D46DF"/>
    <w:rsid w:val="008D4725"/>
    <w:rsid w:val="008D482C"/>
    <w:rsid w:val="008D483B"/>
    <w:rsid w:val="008D4841"/>
    <w:rsid w:val="008D4B26"/>
    <w:rsid w:val="008D4C52"/>
    <w:rsid w:val="008D5028"/>
    <w:rsid w:val="008D528B"/>
    <w:rsid w:val="008D5851"/>
    <w:rsid w:val="008D58EB"/>
    <w:rsid w:val="008D596E"/>
    <w:rsid w:val="008D59BE"/>
    <w:rsid w:val="008D59E2"/>
    <w:rsid w:val="008D5C81"/>
    <w:rsid w:val="008D5F36"/>
    <w:rsid w:val="008D5FCC"/>
    <w:rsid w:val="008D60CB"/>
    <w:rsid w:val="008D61FB"/>
    <w:rsid w:val="008D6696"/>
    <w:rsid w:val="008D67EA"/>
    <w:rsid w:val="008D6AEB"/>
    <w:rsid w:val="008D6CA0"/>
    <w:rsid w:val="008D6CE8"/>
    <w:rsid w:val="008D6CFE"/>
    <w:rsid w:val="008D6D56"/>
    <w:rsid w:val="008D6DDF"/>
    <w:rsid w:val="008D7126"/>
    <w:rsid w:val="008D726D"/>
    <w:rsid w:val="008D72BF"/>
    <w:rsid w:val="008D735F"/>
    <w:rsid w:val="008D7367"/>
    <w:rsid w:val="008D7574"/>
    <w:rsid w:val="008D761C"/>
    <w:rsid w:val="008D76B7"/>
    <w:rsid w:val="008D76DB"/>
    <w:rsid w:val="008D7A2E"/>
    <w:rsid w:val="008D7C5A"/>
    <w:rsid w:val="008D7F85"/>
    <w:rsid w:val="008D7FDE"/>
    <w:rsid w:val="008E01BC"/>
    <w:rsid w:val="008E0483"/>
    <w:rsid w:val="008E058D"/>
    <w:rsid w:val="008E061C"/>
    <w:rsid w:val="008E067D"/>
    <w:rsid w:val="008E0757"/>
    <w:rsid w:val="008E0987"/>
    <w:rsid w:val="008E0B5F"/>
    <w:rsid w:val="008E0D5E"/>
    <w:rsid w:val="008E1118"/>
    <w:rsid w:val="008E11DF"/>
    <w:rsid w:val="008E13B4"/>
    <w:rsid w:val="008E14A2"/>
    <w:rsid w:val="008E15B3"/>
    <w:rsid w:val="008E15FD"/>
    <w:rsid w:val="008E1805"/>
    <w:rsid w:val="008E18E4"/>
    <w:rsid w:val="008E1954"/>
    <w:rsid w:val="008E197F"/>
    <w:rsid w:val="008E1A1C"/>
    <w:rsid w:val="008E1ADA"/>
    <w:rsid w:val="008E1EB9"/>
    <w:rsid w:val="008E21A9"/>
    <w:rsid w:val="008E234D"/>
    <w:rsid w:val="008E23C8"/>
    <w:rsid w:val="008E24FE"/>
    <w:rsid w:val="008E27A2"/>
    <w:rsid w:val="008E28BE"/>
    <w:rsid w:val="008E2A07"/>
    <w:rsid w:val="008E2BA1"/>
    <w:rsid w:val="008E2C8A"/>
    <w:rsid w:val="008E3071"/>
    <w:rsid w:val="008E316C"/>
    <w:rsid w:val="008E31F4"/>
    <w:rsid w:val="008E3208"/>
    <w:rsid w:val="008E3209"/>
    <w:rsid w:val="008E335D"/>
    <w:rsid w:val="008E343E"/>
    <w:rsid w:val="008E3530"/>
    <w:rsid w:val="008E36A5"/>
    <w:rsid w:val="008E38CF"/>
    <w:rsid w:val="008E39D9"/>
    <w:rsid w:val="008E39DC"/>
    <w:rsid w:val="008E3B12"/>
    <w:rsid w:val="008E3B98"/>
    <w:rsid w:val="008E3E42"/>
    <w:rsid w:val="008E3F72"/>
    <w:rsid w:val="008E3FAD"/>
    <w:rsid w:val="008E40A8"/>
    <w:rsid w:val="008E41B0"/>
    <w:rsid w:val="008E43AC"/>
    <w:rsid w:val="008E43ED"/>
    <w:rsid w:val="008E453E"/>
    <w:rsid w:val="008E4689"/>
    <w:rsid w:val="008E47F8"/>
    <w:rsid w:val="008E47FE"/>
    <w:rsid w:val="008E49B6"/>
    <w:rsid w:val="008E4D1F"/>
    <w:rsid w:val="008E5316"/>
    <w:rsid w:val="008E53BE"/>
    <w:rsid w:val="008E54E3"/>
    <w:rsid w:val="008E586D"/>
    <w:rsid w:val="008E5A05"/>
    <w:rsid w:val="008E5AC2"/>
    <w:rsid w:val="008E5BBB"/>
    <w:rsid w:val="008E5D21"/>
    <w:rsid w:val="008E5DB9"/>
    <w:rsid w:val="008E5EF4"/>
    <w:rsid w:val="008E5EFB"/>
    <w:rsid w:val="008E5F01"/>
    <w:rsid w:val="008E60A1"/>
    <w:rsid w:val="008E6170"/>
    <w:rsid w:val="008E61CF"/>
    <w:rsid w:val="008E62D7"/>
    <w:rsid w:val="008E6727"/>
    <w:rsid w:val="008E67DC"/>
    <w:rsid w:val="008E69D4"/>
    <w:rsid w:val="008E6A04"/>
    <w:rsid w:val="008E6B79"/>
    <w:rsid w:val="008E6BCC"/>
    <w:rsid w:val="008E6EE6"/>
    <w:rsid w:val="008E7100"/>
    <w:rsid w:val="008E72B4"/>
    <w:rsid w:val="008E737A"/>
    <w:rsid w:val="008E7730"/>
    <w:rsid w:val="008E7832"/>
    <w:rsid w:val="008E7897"/>
    <w:rsid w:val="008E78A0"/>
    <w:rsid w:val="008E7C10"/>
    <w:rsid w:val="008E7C31"/>
    <w:rsid w:val="008E7F3C"/>
    <w:rsid w:val="008E7F8A"/>
    <w:rsid w:val="008E7F8D"/>
    <w:rsid w:val="008F0238"/>
    <w:rsid w:val="008F0672"/>
    <w:rsid w:val="008F093D"/>
    <w:rsid w:val="008F0B16"/>
    <w:rsid w:val="008F0D63"/>
    <w:rsid w:val="008F0D66"/>
    <w:rsid w:val="008F0F59"/>
    <w:rsid w:val="008F13BD"/>
    <w:rsid w:val="008F143B"/>
    <w:rsid w:val="008F1494"/>
    <w:rsid w:val="008F1535"/>
    <w:rsid w:val="008F1552"/>
    <w:rsid w:val="008F156B"/>
    <w:rsid w:val="008F1728"/>
    <w:rsid w:val="008F1C26"/>
    <w:rsid w:val="008F1C5C"/>
    <w:rsid w:val="008F1E33"/>
    <w:rsid w:val="008F1FA7"/>
    <w:rsid w:val="008F200A"/>
    <w:rsid w:val="008F22B8"/>
    <w:rsid w:val="008F238B"/>
    <w:rsid w:val="008F2464"/>
    <w:rsid w:val="008F247C"/>
    <w:rsid w:val="008F2640"/>
    <w:rsid w:val="008F283E"/>
    <w:rsid w:val="008F2A19"/>
    <w:rsid w:val="008F2AB7"/>
    <w:rsid w:val="008F2B95"/>
    <w:rsid w:val="008F2C52"/>
    <w:rsid w:val="008F2DDA"/>
    <w:rsid w:val="008F30A0"/>
    <w:rsid w:val="008F315E"/>
    <w:rsid w:val="008F318F"/>
    <w:rsid w:val="008F31E4"/>
    <w:rsid w:val="008F32D5"/>
    <w:rsid w:val="008F3418"/>
    <w:rsid w:val="008F371E"/>
    <w:rsid w:val="008F38FA"/>
    <w:rsid w:val="008F3AB2"/>
    <w:rsid w:val="008F3F6A"/>
    <w:rsid w:val="008F4098"/>
    <w:rsid w:val="008F43F9"/>
    <w:rsid w:val="008F4537"/>
    <w:rsid w:val="008F45A1"/>
    <w:rsid w:val="008F47F5"/>
    <w:rsid w:val="008F4D58"/>
    <w:rsid w:val="008F4E5D"/>
    <w:rsid w:val="008F5057"/>
    <w:rsid w:val="008F5415"/>
    <w:rsid w:val="008F58D7"/>
    <w:rsid w:val="008F5A8B"/>
    <w:rsid w:val="008F5C9D"/>
    <w:rsid w:val="008F5DFE"/>
    <w:rsid w:val="008F616E"/>
    <w:rsid w:val="008F6570"/>
    <w:rsid w:val="008F68AF"/>
    <w:rsid w:val="008F6ABB"/>
    <w:rsid w:val="008F6DC8"/>
    <w:rsid w:val="008F6F8A"/>
    <w:rsid w:val="008F6FEA"/>
    <w:rsid w:val="008F723A"/>
    <w:rsid w:val="008F7368"/>
    <w:rsid w:val="008F75DA"/>
    <w:rsid w:val="008F776B"/>
    <w:rsid w:val="008F7878"/>
    <w:rsid w:val="008F7975"/>
    <w:rsid w:val="008F7A4A"/>
    <w:rsid w:val="008F7A9B"/>
    <w:rsid w:val="008F7B22"/>
    <w:rsid w:val="008F7F58"/>
    <w:rsid w:val="008F7FB3"/>
    <w:rsid w:val="008F7FFE"/>
    <w:rsid w:val="0090001E"/>
    <w:rsid w:val="009002B7"/>
    <w:rsid w:val="0090035C"/>
    <w:rsid w:val="009004D7"/>
    <w:rsid w:val="0090051A"/>
    <w:rsid w:val="00900541"/>
    <w:rsid w:val="009005E8"/>
    <w:rsid w:val="009005EB"/>
    <w:rsid w:val="009006CC"/>
    <w:rsid w:val="0090087E"/>
    <w:rsid w:val="00900951"/>
    <w:rsid w:val="00900A34"/>
    <w:rsid w:val="00900ABF"/>
    <w:rsid w:val="00900B7E"/>
    <w:rsid w:val="00900E9F"/>
    <w:rsid w:val="0090129B"/>
    <w:rsid w:val="00901324"/>
    <w:rsid w:val="009013F2"/>
    <w:rsid w:val="009015C1"/>
    <w:rsid w:val="009016F0"/>
    <w:rsid w:val="00901866"/>
    <w:rsid w:val="00901942"/>
    <w:rsid w:val="00901999"/>
    <w:rsid w:val="00901BB3"/>
    <w:rsid w:val="00901EB6"/>
    <w:rsid w:val="00901F92"/>
    <w:rsid w:val="0090211B"/>
    <w:rsid w:val="009022D7"/>
    <w:rsid w:val="009024C1"/>
    <w:rsid w:val="009025D7"/>
    <w:rsid w:val="009025DF"/>
    <w:rsid w:val="00902695"/>
    <w:rsid w:val="009027F2"/>
    <w:rsid w:val="0090283C"/>
    <w:rsid w:val="009028DD"/>
    <w:rsid w:val="00902B23"/>
    <w:rsid w:val="00902C2F"/>
    <w:rsid w:val="00902EE6"/>
    <w:rsid w:val="009030BD"/>
    <w:rsid w:val="00903158"/>
    <w:rsid w:val="009031B7"/>
    <w:rsid w:val="00903207"/>
    <w:rsid w:val="009032C0"/>
    <w:rsid w:val="009032E5"/>
    <w:rsid w:val="00903367"/>
    <w:rsid w:val="009033B0"/>
    <w:rsid w:val="0090342A"/>
    <w:rsid w:val="00903549"/>
    <w:rsid w:val="0090360D"/>
    <w:rsid w:val="009038B8"/>
    <w:rsid w:val="00903D59"/>
    <w:rsid w:val="00903E02"/>
    <w:rsid w:val="0090401D"/>
    <w:rsid w:val="009041CE"/>
    <w:rsid w:val="00904259"/>
    <w:rsid w:val="009042EA"/>
    <w:rsid w:val="009043D8"/>
    <w:rsid w:val="009043E3"/>
    <w:rsid w:val="00904859"/>
    <w:rsid w:val="00904A6E"/>
    <w:rsid w:val="00904C0C"/>
    <w:rsid w:val="00904C9F"/>
    <w:rsid w:val="00904E16"/>
    <w:rsid w:val="00904E81"/>
    <w:rsid w:val="00904FB3"/>
    <w:rsid w:val="0090539C"/>
    <w:rsid w:val="00905635"/>
    <w:rsid w:val="00905820"/>
    <w:rsid w:val="0090587E"/>
    <w:rsid w:val="00905948"/>
    <w:rsid w:val="00905B55"/>
    <w:rsid w:val="00905C23"/>
    <w:rsid w:val="00905DF3"/>
    <w:rsid w:val="00905E6F"/>
    <w:rsid w:val="0090602D"/>
    <w:rsid w:val="00906085"/>
    <w:rsid w:val="00906099"/>
    <w:rsid w:val="009061C5"/>
    <w:rsid w:val="0090634C"/>
    <w:rsid w:val="009065A9"/>
    <w:rsid w:val="00906976"/>
    <w:rsid w:val="00906B94"/>
    <w:rsid w:val="00906BAA"/>
    <w:rsid w:val="009073A8"/>
    <w:rsid w:val="00907530"/>
    <w:rsid w:val="00907599"/>
    <w:rsid w:val="009075D0"/>
    <w:rsid w:val="00907773"/>
    <w:rsid w:val="00907A71"/>
    <w:rsid w:val="00907AFD"/>
    <w:rsid w:val="00907ECF"/>
    <w:rsid w:val="00907F69"/>
    <w:rsid w:val="00910393"/>
    <w:rsid w:val="00910503"/>
    <w:rsid w:val="00910561"/>
    <w:rsid w:val="009105CD"/>
    <w:rsid w:val="009105D0"/>
    <w:rsid w:val="00910F21"/>
    <w:rsid w:val="00910F22"/>
    <w:rsid w:val="0091101D"/>
    <w:rsid w:val="009113F3"/>
    <w:rsid w:val="0091140B"/>
    <w:rsid w:val="00911511"/>
    <w:rsid w:val="00911642"/>
    <w:rsid w:val="00911752"/>
    <w:rsid w:val="009119E7"/>
    <w:rsid w:val="00911A2B"/>
    <w:rsid w:val="00911B27"/>
    <w:rsid w:val="00911BCF"/>
    <w:rsid w:val="00911D2E"/>
    <w:rsid w:val="00911EDA"/>
    <w:rsid w:val="00911F87"/>
    <w:rsid w:val="009121C7"/>
    <w:rsid w:val="009123E8"/>
    <w:rsid w:val="00912793"/>
    <w:rsid w:val="00912A55"/>
    <w:rsid w:val="00912AC3"/>
    <w:rsid w:val="00912F2F"/>
    <w:rsid w:val="00913054"/>
    <w:rsid w:val="009131F8"/>
    <w:rsid w:val="0091335D"/>
    <w:rsid w:val="0091371F"/>
    <w:rsid w:val="009139BA"/>
    <w:rsid w:val="00913A8C"/>
    <w:rsid w:val="00913C9B"/>
    <w:rsid w:val="00913D07"/>
    <w:rsid w:val="00913DD1"/>
    <w:rsid w:val="00913DD5"/>
    <w:rsid w:val="00913F17"/>
    <w:rsid w:val="0091409B"/>
    <w:rsid w:val="0091413B"/>
    <w:rsid w:val="009141A1"/>
    <w:rsid w:val="009141B9"/>
    <w:rsid w:val="009144E5"/>
    <w:rsid w:val="0091459A"/>
    <w:rsid w:val="00914A34"/>
    <w:rsid w:val="00914C4F"/>
    <w:rsid w:val="00914D56"/>
    <w:rsid w:val="00914EEB"/>
    <w:rsid w:val="0091501B"/>
    <w:rsid w:val="009150B2"/>
    <w:rsid w:val="009150D9"/>
    <w:rsid w:val="00915153"/>
    <w:rsid w:val="00915304"/>
    <w:rsid w:val="00915338"/>
    <w:rsid w:val="00915434"/>
    <w:rsid w:val="00915655"/>
    <w:rsid w:val="00915897"/>
    <w:rsid w:val="00915AAA"/>
    <w:rsid w:val="00915AED"/>
    <w:rsid w:val="00915C31"/>
    <w:rsid w:val="00915CCF"/>
    <w:rsid w:val="00915DBB"/>
    <w:rsid w:val="00916203"/>
    <w:rsid w:val="0091624F"/>
    <w:rsid w:val="0091674B"/>
    <w:rsid w:val="009169DF"/>
    <w:rsid w:val="00916CC1"/>
    <w:rsid w:val="00916D3B"/>
    <w:rsid w:val="00916EB4"/>
    <w:rsid w:val="00916F16"/>
    <w:rsid w:val="009170D2"/>
    <w:rsid w:val="009170DE"/>
    <w:rsid w:val="0091712F"/>
    <w:rsid w:val="009171F3"/>
    <w:rsid w:val="00917314"/>
    <w:rsid w:val="009173FE"/>
    <w:rsid w:val="00917476"/>
    <w:rsid w:val="009174B8"/>
    <w:rsid w:val="00917708"/>
    <w:rsid w:val="00917A6A"/>
    <w:rsid w:val="00917B64"/>
    <w:rsid w:val="00917BE3"/>
    <w:rsid w:val="00917C36"/>
    <w:rsid w:val="00917F2F"/>
    <w:rsid w:val="00920205"/>
    <w:rsid w:val="00920338"/>
    <w:rsid w:val="0092054A"/>
    <w:rsid w:val="0092054B"/>
    <w:rsid w:val="009208B2"/>
    <w:rsid w:val="00920E34"/>
    <w:rsid w:val="00920E48"/>
    <w:rsid w:val="00920ECF"/>
    <w:rsid w:val="00920F44"/>
    <w:rsid w:val="00921306"/>
    <w:rsid w:val="009216B6"/>
    <w:rsid w:val="00921B12"/>
    <w:rsid w:val="00921E36"/>
    <w:rsid w:val="00921F00"/>
    <w:rsid w:val="00922083"/>
    <w:rsid w:val="009224E0"/>
    <w:rsid w:val="0092257E"/>
    <w:rsid w:val="009227F1"/>
    <w:rsid w:val="00922858"/>
    <w:rsid w:val="00922A36"/>
    <w:rsid w:val="00922CC5"/>
    <w:rsid w:val="00922CCA"/>
    <w:rsid w:val="00922DE4"/>
    <w:rsid w:val="00922F97"/>
    <w:rsid w:val="009232C5"/>
    <w:rsid w:val="00923423"/>
    <w:rsid w:val="00923687"/>
    <w:rsid w:val="00923701"/>
    <w:rsid w:val="009237B9"/>
    <w:rsid w:val="00923828"/>
    <w:rsid w:val="00923B18"/>
    <w:rsid w:val="00923B6F"/>
    <w:rsid w:val="00923E1A"/>
    <w:rsid w:val="00923E68"/>
    <w:rsid w:val="009248E7"/>
    <w:rsid w:val="00924C27"/>
    <w:rsid w:val="00924E2B"/>
    <w:rsid w:val="00924E5F"/>
    <w:rsid w:val="0092537A"/>
    <w:rsid w:val="00925381"/>
    <w:rsid w:val="009255A6"/>
    <w:rsid w:val="00925670"/>
    <w:rsid w:val="00925757"/>
    <w:rsid w:val="00925838"/>
    <w:rsid w:val="0092595C"/>
    <w:rsid w:val="00925ADC"/>
    <w:rsid w:val="00925B40"/>
    <w:rsid w:val="00925C0B"/>
    <w:rsid w:val="00925E8E"/>
    <w:rsid w:val="00925FC9"/>
    <w:rsid w:val="00925FCE"/>
    <w:rsid w:val="00926053"/>
    <w:rsid w:val="009261F5"/>
    <w:rsid w:val="009264BE"/>
    <w:rsid w:val="00926616"/>
    <w:rsid w:val="009266C6"/>
    <w:rsid w:val="009267AE"/>
    <w:rsid w:val="00926B1D"/>
    <w:rsid w:val="009270E9"/>
    <w:rsid w:val="009271E0"/>
    <w:rsid w:val="0092751B"/>
    <w:rsid w:val="00927781"/>
    <w:rsid w:val="00927826"/>
    <w:rsid w:val="009279EC"/>
    <w:rsid w:val="00927E71"/>
    <w:rsid w:val="00927EEE"/>
    <w:rsid w:val="00927EF0"/>
    <w:rsid w:val="00930040"/>
    <w:rsid w:val="009300DE"/>
    <w:rsid w:val="009300EA"/>
    <w:rsid w:val="00930266"/>
    <w:rsid w:val="009303B0"/>
    <w:rsid w:val="00930510"/>
    <w:rsid w:val="009305EC"/>
    <w:rsid w:val="009307E6"/>
    <w:rsid w:val="009308CE"/>
    <w:rsid w:val="00930983"/>
    <w:rsid w:val="009309DE"/>
    <w:rsid w:val="00930A57"/>
    <w:rsid w:val="00930B05"/>
    <w:rsid w:val="0093183E"/>
    <w:rsid w:val="00931870"/>
    <w:rsid w:val="0093187C"/>
    <w:rsid w:val="00931B3E"/>
    <w:rsid w:val="00931BE9"/>
    <w:rsid w:val="00931C31"/>
    <w:rsid w:val="00931D95"/>
    <w:rsid w:val="00931E79"/>
    <w:rsid w:val="00931F40"/>
    <w:rsid w:val="00932110"/>
    <w:rsid w:val="009321E6"/>
    <w:rsid w:val="009324A7"/>
    <w:rsid w:val="009324F1"/>
    <w:rsid w:val="0093278E"/>
    <w:rsid w:val="00932E24"/>
    <w:rsid w:val="009330B8"/>
    <w:rsid w:val="00933310"/>
    <w:rsid w:val="0093331F"/>
    <w:rsid w:val="0093368B"/>
    <w:rsid w:val="009337C8"/>
    <w:rsid w:val="0093380C"/>
    <w:rsid w:val="0093382B"/>
    <w:rsid w:val="00933917"/>
    <w:rsid w:val="00933ABC"/>
    <w:rsid w:val="00933B97"/>
    <w:rsid w:val="00933C01"/>
    <w:rsid w:val="00933C22"/>
    <w:rsid w:val="00933C6B"/>
    <w:rsid w:val="00933D3F"/>
    <w:rsid w:val="00933E2B"/>
    <w:rsid w:val="00933EF2"/>
    <w:rsid w:val="009341FE"/>
    <w:rsid w:val="009342BB"/>
    <w:rsid w:val="009343C6"/>
    <w:rsid w:val="00934471"/>
    <w:rsid w:val="0093448F"/>
    <w:rsid w:val="009344C2"/>
    <w:rsid w:val="00934608"/>
    <w:rsid w:val="009347CA"/>
    <w:rsid w:val="0093561A"/>
    <w:rsid w:val="00935BCA"/>
    <w:rsid w:val="00935C51"/>
    <w:rsid w:val="00935E60"/>
    <w:rsid w:val="00935F42"/>
    <w:rsid w:val="009360F4"/>
    <w:rsid w:val="0093612A"/>
    <w:rsid w:val="009361B5"/>
    <w:rsid w:val="0093631E"/>
    <w:rsid w:val="00936720"/>
    <w:rsid w:val="00936819"/>
    <w:rsid w:val="00936FC4"/>
    <w:rsid w:val="00937148"/>
    <w:rsid w:val="009371ED"/>
    <w:rsid w:val="00937296"/>
    <w:rsid w:val="00937325"/>
    <w:rsid w:val="009373C9"/>
    <w:rsid w:val="009373CA"/>
    <w:rsid w:val="009374CF"/>
    <w:rsid w:val="00937549"/>
    <w:rsid w:val="009377C9"/>
    <w:rsid w:val="00937BB3"/>
    <w:rsid w:val="00937BBB"/>
    <w:rsid w:val="00937BC0"/>
    <w:rsid w:val="00937D7C"/>
    <w:rsid w:val="00937E28"/>
    <w:rsid w:val="00937F28"/>
    <w:rsid w:val="0093FBF0"/>
    <w:rsid w:val="00940B0C"/>
    <w:rsid w:val="00940B8B"/>
    <w:rsid w:val="00940CF4"/>
    <w:rsid w:val="00940DC9"/>
    <w:rsid w:val="00940F88"/>
    <w:rsid w:val="00940F8C"/>
    <w:rsid w:val="009410DB"/>
    <w:rsid w:val="009412BF"/>
    <w:rsid w:val="0094138E"/>
    <w:rsid w:val="009414DA"/>
    <w:rsid w:val="0094170E"/>
    <w:rsid w:val="009417F7"/>
    <w:rsid w:val="00941925"/>
    <w:rsid w:val="00941C47"/>
    <w:rsid w:val="00941CC8"/>
    <w:rsid w:val="00942003"/>
    <w:rsid w:val="009423BF"/>
    <w:rsid w:val="00942578"/>
    <w:rsid w:val="00942580"/>
    <w:rsid w:val="009429AB"/>
    <w:rsid w:val="00943176"/>
    <w:rsid w:val="00943220"/>
    <w:rsid w:val="009432B7"/>
    <w:rsid w:val="009434C1"/>
    <w:rsid w:val="00943552"/>
    <w:rsid w:val="009436C6"/>
    <w:rsid w:val="00943769"/>
    <w:rsid w:val="00943819"/>
    <w:rsid w:val="00943B9A"/>
    <w:rsid w:val="00943E5D"/>
    <w:rsid w:val="00943E97"/>
    <w:rsid w:val="00944732"/>
    <w:rsid w:val="00944935"/>
    <w:rsid w:val="00944AF4"/>
    <w:rsid w:val="00944B02"/>
    <w:rsid w:val="00944C14"/>
    <w:rsid w:val="009454F1"/>
    <w:rsid w:val="0094587C"/>
    <w:rsid w:val="0094597A"/>
    <w:rsid w:val="00945A38"/>
    <w:rsid w:val="00945CF4"/>
    <w:rsid w:val="00945DEC"/>
    <w:rsid w:val="00945E7E"/>
    <w:rsid w:val="00945F0C"/>
    <w:rsid w:val="0094612C"/>
    <w:rsid w:val="00946168"/>
    <w:rsid w:val="009464D0"/>
    <w:rsid w:val="009467FD"/>
    <w:rsid w:val="009469E5"/>
    <w:rsid w:val="00946D1A"/>
    <w:rsid w:val="00946D76"/>
    <w:rsid w:val="00946F33"/>
    <w:rsid w:val="0094711A"/>
    <w:rsid w:val="00947263"/>
    <w:rsid w:val="009474E2"/>
    <w:rsid w:val="0094754C"/>
    <w:rsid w:val="00947609"/>
    <w:rsid w:val="00947DAE"/>
    <w:rsid w:val="00947E96"/>
    <w:rsid w:val="00947EA6"/>
    <w:rsid w:val="00947F35"/>
    <w:rsid w:val="0094A085"/>
    <w:rsid w:val="00950145"/>
    <w:rsid w:val="00950539"/>
    <w:rsid w:val="0095061C"/>
    <w:rsid w:val="00950624"/>
    <w:rsid w:val="00950772"/>
    <w:rsid w:val="00950801"/>
    <w:rsid w:val="00950A5D"/>
    <w:rsid w:val="00950B11"/>
    <w:rsid w:val="00950B6C"/>
    <w:rsid w:val="00950C4E"/>
    <w:rsid w:val="00950C4F"/>
    <w:rsid w:val="00950C80"/>
    <w:rsid w:val="00950CE7"/>
    <w:rsid w:val="00950F2B"/>
    <w:rsid w:val="0095121D"/>
    <w:rsid w:val="0095134A"/>
    <w:rsid w:val="00951449"/>
    <w:rsid w:val="00951753"/>
    <w:rsid w:val="009517AB"/>
    <w:rsid w:val="009518C6"/>
    <w:rsid w:val="00951BC6"/>
    <w:rsid w:val="00951FF7"/>
    <w:rsid w:val="009520AB"/>
    <w:rsid w:val="009521A1"/>
    <w:rsid w:val="00952251"/>
    <w:rsid w:val="00952379"/>
    <w:rsid w:val="00952559"/>
    <w:rsid w:val="0095278D"/>
    <w:rsid w:val="009527C0"/>
    <w:rsid w:val="00952897"/>
    <w:rsid w:val="00952906"/>
    <w:rsid w:val="009529AC"/>
    <w:rsid w:val="00952C1D"/>
    <w:rsid w:val="00952CA0"/>
    <w:rsid w:val="009533FB"/>
    <w:rsid w:val="00953461"/>
    <w:rsid w:val="00953506"/>
    <w:rsid w:val="00953580"/>
    <w:rsid w:val="00953692"/>
    <w:rsid w:val="009539A4"/>
    <w:rsid w:val="00954407"/>
    <w:rsid w:val="00954428"/>
    <w:rsid w:val="009544CD"/>
    <w:rsid w:val="009549A0"/>
    <w:rsid w:val="00954A76"/>
    <w:rsid w:val="00954D07"/>
    <w:rsid w:val="00954E1C"/>
    <w:rsid w:val="00955078"/>
    <w:rsid w:val="009551E3"/>
    <w:rsid w:val="009554E8"/>
    <w:rsid w:val="009555B6"/>
    <w:rsid w:val="0095569E"/>
    <w:rsid w:val="00955CA5"/>
    <w:rsid w:val="00955DB1"/>
    <w:rsid w:val="00955E00"/>
    <w:rsid w:val="00955E95"/>
    <w:rsid w:val="00955ECA"/>
    <w:rsid w:val="00955F59"/>
    <w:rsid w:val="00956061"/>
    <w:rsid w:val="0095609B"/>
    <w:rsid w:val="00956166"/>
    <w:rsid w:val="00956254"/>
    <w:rsid w:val="00956910"/>
    <w:rsid w:val="00956A35"/>
    <w:rsid w:val="00956B26"/>
    <w:rsid w:val="00956CD1"/>
    <w:rsid w:val="00956CD9"/>
    <w:rsid w:val="00956FBC"/>
    <w:rsid w:val="00957314"/>
    <w:rsid w:val="0095748B"/>
    <w:rsid w:val="00957493"/>
    <w:rsid w:val="009574A2"/>
    <w:rsid w:val="00957708"/>
    <w:rsid w:val="009577D4"/>
    <w:rsid w:val="0095787E"/>
    <w:rsid w:val="00958539"/>
    <w:rsid w:val="0096019F"/>
    <w:rsid w:val="009608B9"/>
    <w:rsid w:val="0096093C"/>
    <w:rsid w:val="00960A01"/>
    <w:rsid w:val="00960BA6"/>
    <w:rsid w:val="00960C58"/>
    <w:rsid w:val="00960C7E"/>
    <w:rsid w:val="00960D9B"/>
    <w:rsid w:val="00960DBE"/>
    <w:rsid w:val="00961558"/>
    <w:rsid w:val="0096160A"/>
    <w:rsid w:val="009616FE"/>
    <w:rsid w:val="0096188F"/>
    <w:rsid w:val="00961FED"/>
    <w:rsid w:val="009622AD"/>
    <w:rsid w:val="0096252D"/>
    <w:rsid w:val="009626BC"/>
    <w:rsid w:val="009627AE"/>
    <w:rsid w:val="00962BF1"/>
    <w:rsid w:val="00962C8E"/>
    <w:rsid w:val="00962D85"/>
    <w:rsid w:val="00962F00"/>
    <w:rsid w:val="0096312C"/>
    <w:rsid w:val="009631CB"/>
    <w:rsid w:val="0096321A"/>
    <w:rsid w:val="00963265"/>
    <w:rsid w:val="00963402"/>
    <w:rsid w:val="0096342B"/>
    <w:rsid w:val="00963535"/>
    <w:rsid w:val="009637C6"/>
    <w:rsid w:val="009639B9"/>
    <w:rsid w:val="00963B80"/>
    <w:rsid w:val="00963E46"/>
    <w:rsid w:val="00963EA1"/>
    <w:rsid w:val="00963F6E"/>
    <w:rsid w:val="0096414B"/>
    <w:rsid w:val="0096418E"/>
    <w:rsid w:val="00964A51"/>
    <w:rsid w:val="00964ABD"/>
    <w:rsid w:val="00964B85"/>
    <w:rsid w:val="00964D20"/>
    <w:rsid w:val="00964E25"/>
    <w:rsid w:val="00964FB6"/>
    <w:rsid w:val="009651BD"/>
    <w:rsid w:val="009652A0"/>
    <w:rsid w:val="00965455"/>
    <w:rsid w:val="00965ACE"/>
    <w:rsid w:val="00965BE9"/>
    <w:rsid w:val="00965C5A"/>
    <w:rsid w:val="00965D74"/>
    <w:rsid w:val="00966080"/>
    <w:rsid w:val="00966265"/>
    <w:rsid w:val="009662E4"/>
    <w:rsid w:val="009663BF"/>
    <w:rsid w:val="009664DB"/>
    <w:rsid w:val="00966516"/>
    <w:rsid w:val="009665C4"/>
    <w:rsid w:val="00966CBE"/>
    <w:rsid w:val="00966E04"/>
    <w:rsid w:val="00966ED1"/>
    <w:rsid w:val="00967042"/>
    <w:rsid w:val="00967095"/>
    <w:rsid w:val="009672DA"/>
    <w:rsid w:val="009673BC"/>
    <w:rsid w:val="009676CD"/>
    <w:rsid w:val="00967773"/>
    <w:rsid w:val="00967802"/>
    <w:rsid w:val="0096780E"/>
    <w:rsid w:val="00967860"/>
    <w:rsid w:val="00967AB2"/>
    <w:rsid w:val="00967BE7"/>
    <w:rsid w:val="00967C20"/>
    <w:rsid w:val="00967C4A"/>
    <w:rsid w:val="009700DC"/>
    <w:rsid w:val="009701F3"/>
    <w:rsid w:val="009701FB"/>
    <w:rsid w:val="00970415"/>
    <w:rsid w:val="009704DA"/>
    <w:rsid w:val="009706A7"/>
    <w:rsid w:val="0097093C"/>
    <w:rsid w:val="009709E5"/>
    <w:rsid w:val="00970C05"/>
    <w:rsid w:val="00970D62"/>
    <w:rsid w:val="00970F2D"/>
    <w:rsid w:val="00970F4F"/>
    <w:rsid w:val="009710CF"/>
    <w:rsid w:val="0097111C"/>
    <w:rsid w:val="00971332"/>
    <w:rsid w:val="00971792"/>
    <w:rsid w:val="00971A5D"/>
    <w:rsid w:val="00971D5E"/>
    <w:rsid w:val="00972556"/>
    <w:rsid w:val="00972A71"/>
    <w:rsid w:val="00972BF2"/>
    <w:rsid w:val="00972C06"/>
    <w:rsid w:val="00973555"/>
    <w:rsid w:val="009738A2"/>
    <w:rsid w:val="00973AC4"/>
    <w:rsid w:val="00973BEA"/>
    <w:rsid w:val="00973C1B"/>
    <w:rsid w:val="00974246"/>
    <w:rsid w:val="0097429D"/>
    <w:rsid w:val="00974362"/>
    <w:rsid w:val="00974B0C"/>
    <w:rsid w:val="00974E93"/>
    <w:rsid w:val="0097503F"/>
    <w:rsid w:val="0097543D"/>
    <w:rsid w:val="00975605"/>
    <w:rsid w:val="0097574F"/>
    <w:rsid w:val="00975764"/>
    <w:rsid w:val="00975A47"/>
    <w:rsid w:val="00975B84"/>
    <w:rsid w:val="00975C80"/>
    <w:rsid w:val="00976044"/>
    <w:rsid w:val="0097604F"/>
    <w:rsid w:val="009761D2"/>
    <w:rsid w:val="00976572"/>
    <w:rsid w:val="0097675B"/>
    <w:rsid w:val="00976810"/>
    <w:rsid w:val="0097684C"/>
    <w:rsid w:val="00976A36"/>
    <w:rsid w:val="00976B38"/>
    <w:rsid w:val="00976BA8"/>
    <w:rsid w:val="0097700A"/>
    <w:rsid w:val="00977039"/>
    <w:rsid w:val="00977104"/>
    <w:rsid w:val="00977113"/>
    <w:rsid w:val="009771A9"/>
    <w:rsid w:val="00977222"/>
    <w:rsid w:val="009775FC"/>
    <w:rsid w:val="00977BB4"/>
    <w:rsid w:val="00977BD1"/>
    <w:rsid w:val="00977CFA"/>
    <w:rsid w:val="00977D73"/>
    <w:rsid w:val="0098018B"/>
    <w:rsid w:val="0098044F"/>
    <w:rsid w:val="009804F6"/>
    <w:rsid w:val="0098080F"/>
    <w:rsid w:val="0098084A"/>
    <w:rsid w:val="0098088A"/>
    <w:rsid w:val="00980DE1"/>
    <w:rsid w:val="00980EEA"/>
    <w:rsid w:val="00980FB8"/>
    <w:rsid w:val="0098104E"/>
    <w:rsid w:val="0098134F"/>
    <w:rsid w:val="009816D9"/>
    <w:rsid w:val="00981A57"/>
    <w:rsid w:val="00981E75"/>
    <w:rsid w:val="00981E93"/>
    <w:rsid w:val="00981F87"/>
    <w:rsid w:val="00982009"/>
    <w:rsid w:val="009821A3"/>
    <w:rsid w:val="00982419"/>
    <w:rsid w:val="0098254E"/>
    <w:rsid w:val="00982550"/>
    <w:rsid w:val="009825AB"/>
    <w:rsid w:val="00982702"/>
    <w:rsid w:val="009827E8"/>
    <w:rsid w:val="009827FC"/>
    <w:rsid w:val="0098289F"/>
    <w:rsid w:val="00982970"/>
    <w:rsid w:val="00982B52"/>
    <w:rsid w:val="00982CF8"/>
    <w:rsid w:val="00982D86"/>
    <w:rsid w:val="009830F3"/>
    <w:rsid w:val="009831EF"/>
    <w:rsid w:val="0098357C"/>
    <w:rsid w:val="0098379D"/>
    <w:rsid w:val="00983AD6"/>
    <w:rsid w:val="00983AFD"/>
    <w:rsid w:val="00983CD1"/>
    <w:rsid w:val="00983D67"/>
    <w:rsid w:val="00984047"/>
    <w:rsid w:val="009840C2"/>
    <w:rsid w:val="0098410A"/>
    <w:rsid w:val="00984518"/>
    <w:rsid w:val="009845CF"/>
    <w:rsid w:val="0098470C"/>
    <w:rsid w:val="00984A59"/>
    <w:rsid w:val="00984A64"/>
    <w:rsid w:val="00984B1C"/>
    <w:rsid w:val="00984BE8"/>
    <w:rsid w:val="00985542"/>
    <w:rsid w:val="00985748"/>
    <w:rsid w:val="00985A44"/>
    <w:rsid w:val="00985B9E"/>
    <w:rsid w:val="00985F1E"/>
    <w:rsid w:val="00985F9B"/>
    <w:rsid w:val="0098609F"/>
    <w:rsid w:val="0098618A"/>
    <w:rsid w:val="009865B3"/>
    <w:rsid w:val="009866D8"/>
    <w:rsid w:val="00986755"/>
    <w:rsid w:val="00986767"/>
    <w:rsid w:val="00986A94"/>
    <w:rsid w:val="00986A9F"/>
    <w:rsid w:val="00986B53"/>
    <w:rsid w:val="00986D6B"/>
    <w:rsid w:val="00986F15"/>
    <w:rsid w:val="00986FAB"/>
    <w:rsid w:val="00987152"/>
    <w:rsid w:val="009874BC"/>
    <w:rsid w:val="009876C1"/>
    <w:rsid w:val="009876EB"/>
    <w:rsid w:val="009878C2"/>
    <w:rsid w:val="00987AD4"/>
    <w:rsid w:val="00987B6F"/>
    <w:rsid w:val="00987C00"/>
    <w:rsid w:val="00987CF9"/>
    <w:rsid w:val="00987EFA"/>
    <w:rsid w:val="00990018"/>
    <w:rsid w:val="00990065"/>
    <w:rsid w:val="009901FF"/>
    <w:rsid w:val="009906AD"/>
    <w:rsid w:val="0099074E"/>
    <w:rsid w:val="00990A22"/>
    <w:rsid w:val="00990E88"/>
    <w:rsid w:val="00991125"/>
    <w:rsid w:val="00991168"/>
    <w:rsid w:val="009913E8"/>
    <w:rsid w:val="00991815"/>
    <w:rsid w:val="00991820"/>
    <w:rsid w:val="0099246E"/>
    <w:rsid w:val="009924A5"/>
    <w:rsid w:val="0099254B"/>
    <w:rsid w:val="00992CA5"/>
    <w:rsid w:val="00992CF5"/>
    <w:rsid w:val="00992D92"/>
    <w:rsid w:val="00992F23"/>
    <w:rsid w:val="00992F68"/>
    <w:rsid w:val="00993178"/>
    <w:rsid w:val="009932DB"/>
    <w:rsid w:val="00993ABA"/>
    <w:rsid w:val="00993B3D"/>
    <w:rsid w:val="00993D10"/>
    <w:rsid w:val="00993D23"/>
    <w:rsid w:val="00993DCA"/>
    <w:rsid w:val="00993F64"/>
    <w:rsid w:val="009944C8"/>
    <w:rsid w:val="0099466C"/>
    <w:rsid w:val="0099474E"/>
    <w:rsid w:val="00994AE9"/>
    <w:rsid w:val="00994B00"/>
    <w:rsid w:val="00994D8B"/>
    <w:rsid w:val="00994E98"/>
    <w:rsid w:val="00995034"/>
    <w:rsid w:val="009950D1"/>
    <w:rsid w:val="0099522B"/>
    <w:rsid w:val="00995282"/>
    <w:rsid w:val="009952F9"/>
    <w:rsid w:val="0099568F"/>
    <w:rsid w:val="00995824"/>
    <w:rsid w:val="00995963"/>
    <w:rsid w:val="009959BA"/>
    <w:rsid w:val="00995A2C"/>
    <w:rsid w:val="00995B1A"/>
    <w:rsid w:val="00995B34"/>
    <w:rsid w:val="00995F2F"/>
    <w:rsid w:val="00995F52"/>
    <w:rsid w:val="00995FD9"/>
    <w:rsid w:val="009960D1"/>
    <w:rsid w:val="0099619B"/>
    <w:rsid w:val="009961E4"/>
    <w:rsid w:val="009961F0"/>
    <w:rsid w:val="0099641B"/>
    <w:rsid w:val="00996570"/>
    <w:rsid w:val="009967BE"/>
    <w:rsid w:val="0099685E"/>
    <w:rsid w:val="00996883"/>
    <w:rsid w:val="0099688B"/>
    <w:rsid w:val="009969DA"/>
    <w:rsid w:val="00996B35"/>
    <w:rsid w:val="00996D4A"/>
    <w:rsid w:val="00996D73"/>
    <w:rsid w:val="00996DFE"/>
    <w:rsid w:val="00996F5D"/>
    <w:rsid w:val="0099736A"/>
    <w:rsid w:val="00997413"/>
    <w:rsid w:val="00997569"/>
    <w:rsid w:val="0099781F"/>
    <w:rsid w:val="00997845"/>
    <w:rsid w:val="009979D1"/>
    <w:rsid w:val="009A01B9"/>
    <w:rsid w:val="009A02BD"/>
    <w:rsid w:val="009A0386"/>
    <w:rsid w:val="009A067E"/>
    <w:rsid w:val="009A06B4"/>
    <w:rsid w:val="009A0871"/>
    <w:rsid w:val="009A0A0F"/>
    <w:rsid w:val="009A0C4B"/>
    <w:rsid w:val="009A0C56"/>
    <w:rsid w:val="009A0E65"/>
    <w:rsid w:val="009A0FCF"/>
    <w:rsid w:val="009A1117"/>
    <w:rsid w:val="009A125D"/>
    <w:rsid w:val="009A1563"/>
    <w:rsid w:val="009A1569"/>
    <w:rsid w:val="009A17FD"/>
    <w:rsid w:val="009A18FF"/>
    <w:rsid w:val="009A19AC"/>
    <w:rsid w:val="009A1A25"/>
    <w:rsid w:val="009A1A85"/>
    <w:rsid w:val="009A1ABC"/>
    <w:rsid w:val="009A1B10"/>
    <w:rsid w:val="009A1B88"/>
    <w:rsid w:val="009A1F0A"/>
    <w:rsid w:val="009A2020"/>
    <w:rsid w:val="009A213B"/>
    <w:rsid w:val="009A22F2"/>
    <w:rsid w:val="009A23D1"/>
    <w:rsid w:val="009A24B8"/>
    <w:rsid w:val="009A24EF"/>
    <w:rsid w:val="009A2694"/>
    <w:rsid w:val="009A27DB"/>
    <w:rsid w:val="009A27F9"/>
    <w:rsid w:val="009A2B51"/>
    <w:rsid w:val="009A2D10"/>
    <w:rsid w:val="009A2E51"/>
    <w:rsid w:val="009A30EB"/>
    <w:rsid w:val="009A3534"/>
    <w:rsid w:val="009A361A"/>
    <w:rsid w:val="009A3701"/>
    <w:rsid w:val="009A3719"/>
    <w:rsid w:val="009A3B18"/>
    <w:rsid w:val="009A3B60"/>
    <w:rsid w:val="009A3D84"/>
    <w:rsid w:val="009A3E77"/>
    <w:rsid w:val="009A4176"/>
    <w:rsid w:val="009A41D3"/>
    <w:rsid w:val="009A433A"/>
    <w:rsid w:val="009A4662"/>
    <w:rsid w:val="009A479E"/>
    <w:rsid w:val="009A47FC"/>
    <w:rsid w:val="009A492C"/>
    <w:rsid w:val="009A496C"/>
    <w:rsid w:val="009A4C01"/>
    <w:rsid w:val="009A4DE5"/>
    <w:rsid w:val="009A504B"/>
    <w:rsid w:val="009A509E"/>
    <w:rsid w:val="009A50E4"/>
    <w:rsid w:val="009A52B2"/>
    <w:rsid w:val="009A567E"/>
    <w:rsid w:val="009A57C0"/>
    <w:rsid w:val="009A594F"/>
    <w:rsid w:val="009A59A2"/>
    <w:rsid w:val="009A5B64"/>
    <w:rsid w:val="009A5D3F"/>
    <w:rsid w:val="009A6246"/>
    <w:rsid w:val="009A64EA"/>
    <w:rsid w:val="009A64EF"/>
    <w:rsid w:val="009A675A"/>
    <w:rsid w:val="009A6A82"/>
    <w:rsid w:val="009A6AA6"/>
    <w:rsid w:val="009A6D4B"/>
    <w:rsid w:val="009A733D"/>
    <w:rsid w:val="009A740B"/>
    <w:rsid w:val="009A742B"/>
    <w:rsid w:val="009A74EC"/>
    <w:rsid w:val="009A7646"/>
    <w:rsid w:val="009A7D04"/>
    <w:rsid w:val="009A7E9E"/>
    <w:rsid w:val="009A7ED1"/>
    <w:rsid w:val="009A7F2F"/>
    <w:rsid w:val="009A7F5F"/>
    <w:rsid w:val="009A7FA1"/>
    <w:rsid w:val="009B0028"/>
    <w:rsid w:val="009B0090"/>
    <w:rsid w:val="009B020A"/>
    <w:rsid w:val="009B0287"/>
    <w:rsid w:val="009B055D"/>
    <w:rsid w:val="009B0615"/>
    <w:rsid w:val="009B06B3"/>
    <w:rsid w:val="009B070B"/>
    <w:rsid w:val="009B08D3"/>
    <w:rsid w:val="009B0C60"/>
    <w:rsid w:val="009B0F22"/>
    <w:rsid w:val="009B1102"/>
    <w:rsid w:val="009B1273"/>
    <w:rsid w:val="009B1458"/>
    <w:rsid w:val="009B14C6"/>
    <w:rsid w:val="009B1548"/>
    <w:rsid w:val="009B15A3"/>
    <w:rsid w:val="009B173A"/>
    <w:rsid w:val="009B1837"/>
    <w:rsid w:val="009B1906"/>
    <w:rsid w:val="009B1A45"/>
    <w:rsid w:val="009B1A98"/>
    <w:rsid w:val="009B1E09"/>
    <w:rsid w:val="009B1E16"/>
    <w:rsid w:val="009B1F8E"/>
    <w:rsid w:val="009B2153"/>
    <w:rsid w:val="009B216E"/>
    <w:rsid w:val="009B217A"/>
    <w:rsid w:val="009B2358"/>
    <w:rsid w:val="009B2385"/>
    <w:rsid w:val="009B24A8"/>
    <w:rsid w:val="009B25F0"/>
    <w:rsid w:val="009B26AB"/>
    <w:rsid w:val="009B26DA"/>
    <w:rsid w:val="009B2709"/>
    <w:rsid w:val="009B2712"/>
    <w:rsid w:val="009B2743"/>
    <w:rsid w:val="009B2827"/>
    <w:rsid w:val="009B28B9"/>
    <w:rsid w:val="009B2911"/>
    <w:rsid w:val="009B2938"/>
    <w:rsid w:val="009B2999"/>
    <w:rsid w:val="009B2C5B"/>
    <w:rsid w:val="009B2DB8"/>
    <w:rsid w:val="009B2E0C"/>
    <w:rsid w:val="009B2E98"/>
    <w:rsid w:val="009B2EB3"/>
    <w:rsid w:val="009B32CF"/>
    <w:rsid w:val="009B3380"/>
    <w:rsid w:val="009B3434"/>
    <w:rsid w:val="009B3533"/>
    <w:rsid w:val="009B3719"/>
    <w:rsid w:val="009B37CF"/>
    <w:rsid w:val="009B3B2C"/>
    <w:rsid w:val="009B3CF8"/>
    <w:rsid w:val="009B402A"/>
    <w:rsid w:val="009B42F7"/>
    <w:rsid w:val="009B4354"/>
    <w:rsid w:val="009B435F"/>
    <w:rsid w:val="009B4538"/>
    <w:rsid w:val="009B4573"/>
    <w:rsid w:val="009B46AD"/>
    <w:rsid w:val="009B47FE"/>
    <w:rsid w:val="009B4A3C"/>
    <w:rsid w:val="009B4BD0"/>
    <w:rsid w:val="009B4BD4"/>
    <w:rsid w:val="009B4C95"/>
    <w:rsid w:val="009B4D27"/>
    <w:rsid w:val="009B4D30"/>
    <w:rsid w:val="009B4F63"/>
    <w:rsid w:val="009B505A"/>
    <w:rsid w:val="009B5111"/>
    <w:rsid w:val="009B54FD"/>
    <w:rsid w:val="009B5572"/>
    <w:rsid w:val="009B5729"/>
    <w:rsid w:val="009B57A9"/>
    <w:rsid w:val="009B5A8A"/>
    <w:rsid w:val="009B5AB0"/>
    <w:rsid w:val="009B5B9E"/>
    <w:rsid w:val="009B6417"/>
    <w:rsid w:val="009B68FF"/>
    <w:rsid w:val="009B69F1"/>
    <w:rsid w:val="009B6AE9"/>
    <w:rsid w:val="009B6B2F"/>
    <w:rsid w:val="009B6BC8"/>
    <w:rsid w:val="009B6BEE"/>
    <w:rsid w:val="009B6CBD"/>
    <w:rsid w:val="009B6D65"/>
    <w:rsid w:val="009B6D8C"/>
    <w:rsid w:val="009B6E53"/>
    <w:rsid w:val="009B7151"/>
    <w:rsid w:val="009B7201"/>
    <w:rsid w:val="009B7258"/>
    <w:rsid w:val="009B72E6"/>
    <w:rsid w:val="009B76A6"/>
    <w:rsid w:val="009B76B3"/>
    <w:rsid w:val="009B76D1"/>
    <w:rsid w:val="009B787E"/>
    <w:rsid w:val="009B789F"/>
    <w:rsid w:val="009B7B7C"/>
    <w:rsid w:val="009B7F7E"/>
    <w:rsid w:val="009C01BF"/>
    <w:rsid w:val="009C03F2"/>
    <w:rsid w:val="009C0636"/>
    <w:rsid w:val="009C06F8"/>
    <w:rsid w:val="009C0731"/>
    <w:rsid w:val="009C0A36"/>
    <w:rsid w:val="009C0A90"/>
    <w:rsid w:val="009C0B87"/>
    <w:rsid w:val="009C0D63"/>
    <w:rsid w:val="009C0DD0"/>
    <w:rsid w:val="009C0DE1"/>
    <w:rsid w:val="009C0E6E"/>
    <w:rsid w:val="009C1059"/>
    <w:rsid w:val="009C1065"/>
    <w:rsid w:val="009C11F8"/>
    <w:rsid w:val="009C1335"/>
    <w:rsid w:val="009C13D3"/>
    <w:rsid w:val="009C1721"/>
    <w:rsid w:val="009C17B8"/>
    <w:rsid w:val="009C1F8A"/>
    <w:rsid w:val="009C1FAE"/>
    <w:rsid w:val="009C2316"/>
    <w:rsid w:val="009C24F0"/>
    <w:rsid w:val="009C265B"/>
    <w:rsid w:val="009C2E1B"/>
    <w:rsid w:val="009C311A"/>
    <w:rsid w:val="009C3141"/>
    <w:rsid w:val="009C31D0"/>
    <w:rsid w:val="009C33DA"/>
    <w:rsid w:val="009C3646"/>
    <w:rsid w:val="009C3672"/>
    <w:rsid w:val="009C36D3"/>
    <w:rsid w:val="009C37DE"/>
    <w:rsid w:val="009C3922"/>
    <w:rsid w:val="009C393A"/>
    <w:rsid w:val="009C3FAC"/>
    <w:rsid w:val="009C3FAF"/>
    <w:rsid w:val="009C4179"/>
    <w:rsid w:val="009C4330"/>
    <w:rsid w:val="009C4A57"/>
    <w:rsid w:val="009C4B32"/>
    <w:rsid w:val="009C4B5C"/>
    <w:rsid w:val="009C4CAA"/>
    <w:rsid w:val="009C4DAB"/>
    <w:rsid w:val="009C4F7E"/>
    <w:rsid w:val="009C51C6"/>
    <w:rsid w:val="009C53F4"/>
    <w:rsid w:val="009C546C"/>
    <w:rsid w:val="009C56CE"/>
    <w:rsid w:val="009C59D3"/>
    <w:rsid w:val="009C5CD5"/>
    <w:rsid w:val="009C5F6E"/>
    <w:rsid w:val="009C6240"/>
    <w:rsid w:val="009C631B"/>
    <w:rsid w:val="009C641B"/>
    <w:rsid w:val="009C6503"/>
    <w:rsid w:val="009C65FD"/>
    <w:rsid w:val="009C66D6"/>
    <w:rsid w:val="009C6972"/>
    <w:rsid w:val="009C6C94"/>
    <w:rsid w:val="009C6CFF"/>
    <w:rsid w:val="009C7879"/>
    <w:rsid w:val="009C7A6B"/>
    <w:rsid w:val="009C7AD4"/>
    <w:rsid w:val="009C7B3B"/>
    <w:rsid w:val="009C7D36"/>
    <w:rsid w:val="009C7DB1"/>
    <w:rsid w:val="009C7EC6"/>
    <w:rsid w:val="009C7EF8"/>
    <w:rsid w:val="009C7F0D"/>
    <w:rsid w:val="009C7F2E"/>
    <w:rsid w:val="009D018C"/>
    <w:rsid w:val="009D0402"/>
    <w:rsid w:val="009D04A2"/>
    <w:rsid w:val="009D0618"/>
    <w:rsid w:val="009D0646"/>
    <w:rsid w:val="009D0669"/>
    <w:rsid w:val="009D0897"/>
    <w:rsid w:val="009D08D5"/>
    <w:rsid w:val="009D0F7C"/>
    <w:rsid w:val="009D0FBC"/>
    <w:rsid w:val="009D1010"/>
    <w:rsid w:val="009D129C"/>
    <w:rsid w:val="009D1384"/>
    <w:rsid w:val="009D151E"/>
    <w:rsid w:val="009D163B"/>
    <w:rsid w:val="009D164E"/>
    <w:rsid w:val="009D1893"/>
    <w:rsid w:val="009D18FD"/>
    <w:rsid w:val="009D1C56"/>
    <w:rsid w:val="009D1EC0"/>
    <w:rsid w:val="009D2036"/>
    <w:rsid w:val="009D213B"/>
    <w:rsid w:val="009D25A0"/>
    <w:rsid w:val="009D25A4"/>
    <w:rsid w:val="009D264A"/>
    <w:rsid w:val="009D29A5"/>
    <w:rsid w:val="009D2AD8"/>
    <w:rsid w:val="009D2BDD"/>
    <w:rsid w:val="009D2CCC"/>
    <w:rsid w:val="009D2E0B"/>
    <w:rsid w:val="009D2E52"/>
    <w:rsid w:val="009D308E"/>
    <w:rsid w:val="009D315E"/>
    <w:rsid w:val="009D36BB"/>
    <w:rsid w:val="009D38DA"/>
    <w:rsid w:val="009D3DCC"/>
    <w:rsid w:val="009D3ECF"/>
    <w:rsid w:val="009D40BC"/>
    <w:rsid w:val="009D40FD"/>
    <w:rsid w:val="009D423F"/>
    <w:rsid w:val="009D497A"/>
    <w:rsid w:val="009D4BC9"/>
    <w:rsid w:val="009D4E3A"/>
    <w:rsid w:val="009D4E58"/>
    <w:rsid w:val="009D4E6D"/>
    <w:rsid w:val="009D4E81"/>
    <w:rsid w:val="009D4F41"/>
    <w:rsid w:val="009D5180"/>
    <w:rsid w:val="009D521C"/>
    <w:rsid w:val="009D5710"/>
    <w:rsid w:val="009D57E2"/>
    <w:rsid w:val="009D58CC"/>
    <w:rsid w:val="009D5C1B"/>
    <w:rsid w:val="009D5CF6"/>
    <w:rsid w:val="009D5D91"/>
    <w:rsid w:val="009D6026"/>
    <w:rsid w:val="009D622B"/>
    <w:rsid w:val="009D6518"/>
    <w:rsid w:val="009D684C"/>
    <w:rsid w:val="009D6AB3"/>
    <w:rsid w:val="009D6BC2"/>
    <w:rsid w:val="009D6D17"/>
    <w:rsid w:val="009D73D9"/>
    <w:rsid w:val="009D75E0"/>
    <w:rsid w:val="009D78DE"/>
    <w:rsid w:val="009D7940"/>
    <w:rsid w:val="009D7A51"/>
    <w:rsid w:val="009D7BC8"/>
    <w:rsid w:val="009D7F1E"/>
    <w:rsid w:val="009D7F20"/>
    <w:rsid w:val="009D7FAD"/>
    <w:rsid w:val="009D7FE1"/>
    <w:rsid w:val="009E0001"/>
    <w:rsid w:val="009E022F"/>
    <w:rsid w:val="009E026E"/>
    <w:rsid w:val="009E0419"/>
    <w:rsid w:val="009E0583"/>
    <w:rsid w:val="009E09FC"/>
    <w:rsid w:val="009E0A07"/>
    <w:rsid w:val="009E0AA0"/>
    <w:rsid w:val="009E0CBD"/>
    <w:rsid w:val="009E0D14"/>
    <w:rsid w:val="009E0D43"/>
    <w:rsid w:val="009E0F04"/>
    <w:rsid w:val="009E0FA6"/>
    <w:rsid w:val="009E0FC1"/>
    <w:rsid w:val="009E0FE1"/>
    <w:rsid w:val="009E10B4"/>
    <w:rsid w:val="009E1101"/>
    <w:rsid w:val="009E1149"/>
    <w:rsid w:val="009E13CE"/>
    <w:rsid w:val="009E14C2"/>
    <w:rsid w:val="009E19FF"/>
    <w:rsid w:val="009E1F01"/>
    <w:rsid w:val="009E1FC7"/>
    <w:rsid w:val="009E20BD"/>
    <w:rsid w:val="009E228F"/>
    <w:rsid w:val="009E2318"/>
    <w:rsid w:val="009E2646"/>
    <w:rsid w:val="009E266F"/>
    <w:rsid w:val="009E278D"/>
    <w:rsid w:val="009E2959"/>
    <w:rsid w:val="009E2BC3"/>
    <w:rsid w:val="009E2C21"/>
    <w:rsid w:val="009E2DB8"/>
    <w:rsid w:val="009E2E02"/>
    <w:rsid w:val="009E2E43"/>
    <w:rsid w:val="009E2EDE"/>
    <w:rsid w:val="009E32E0"/>
    <w:rsid w:val="009E351F"/>
    <w:rsid w:val="009E37C2"/>
    <w:rsid w:val="009E3A82"/>
    <w:rsid w:val="009E3A9A"/>
    <w:rsid w:val="009E3E1E"/>
    <w:rsid w:val="009E3EC3"/>
    <w:rsid w:val="009E4163"/>
    <w:rsid w:val="009E41C2"/>
    <w:rsid w:val="009E4210"/>
    <w:rsid w:val="009E434B"/>
    <w:rsid w:val="009E4405"/>
    <w:rsid w:val="009E44D7"/>
    <w:rsid w:val="009E474B"/>
    <w:rsid w:val="009E4885"/>
    <w:rsid w:val="009E4A36"/>
    <w:rsid w:val="009E4C6C"/>
    <w:rsid w:val="009E4DDB"/>
    <w:rsid w:val="009E4FAC"/>
    <w:rsid w:val="009E507D"/>
    <w:rsid w:val="009E526C"/>
    <w:rsid w:val="009E526E"/>
    <w:rsid w:val="009E5690"/>
    <w:rsid w:val="009E595A"/>
    <w:rsid w:val="009E5985"/>
    <w:rsid w:val="009E5BB5"/>
    <w:rsid w:val="009E5CD2"/>
    <w:rsid w:val="009E5D1B"/>
    <w:rsid w:val="009E5E2F"/>
    <w:rsid w:val="009E5E91"/>
    <w:rsid w:val="009E6031"/>
    <w:rsid w:val="009E630A"/>
    <w:rsid w:val="009E6607"/>
    <w:rsid w:val="009E6724"/>
    <w:rsid w:val="009E69F2"/>
    <w:rsid w:val="009E6A44"/>
    <w:rsid w:val="009E6B51"/>
    <w:rsid w:val="009E6DC4"/>
    <w:rsid w:val="009E731C"/>
    <w:rsid w:val="009E7384"/>
    <w:rsid w:val="009E7505"/>
    <w:rsid w:val="009E7C40"/>
    <w:rsid w:val="009E7FEA"/>
    <w:rsid w:val="009F0077"/>
    <w:rsid w:val="009F00C2"/>
    <w:rsid w:val="009F011B"/>
    <w:rsid w:val="009F0179"/>
    <w:rsid w:val="009F0228"/>
    <w:rsid w:val="009F03E1"/>
    <w:rsid w:val="009F044A"/>
    <w:rsid w:val="009F0462"/>
    <w:rsid w:val="009F0499"/>
    <w:rsid w:val="009F078A"/>
    <w:rsid w:val="009F07C6"/>
    <w:rsid w:val="009F0A97"/>
    <w:rsid w:val="009F0CB8"/>
    <w:rsid w:val="009F0CDF"/>
    <w:rsid w:val="009F0DC2"/>
    <w:rsid w:val="009F0E3D"/>
    <w:rsid w:val="009F0FFA"/>
    <w:rsid w:val="009F10FF"/>
    <w:rsid w:val="009F131C"/>
    <w:rsid w:val="009F14D7"/>
    <w:rsid w:val="009F1660"/>
    <w:rsid w:val="009F1698"/>
    <w:rsid w:val="009F17D6"/>
    <w:rsid w:val="009F19A2"/>
    <w:rsid w:val="009F1AE1"/>
    <w:rsid w:val="009F1C53"/>
    <w:rsid w:val="009F1CD7"/>
    <w:rsid w:val="009F1E12"/>
    <w:rsid w:val="009F1EBE"/>
    <w:rsid w:val="009F2092"/>
    <w:rsid w:val="009F21B4"/>
    <w:rsid w:val="009F2639"/>
    <w:rsid w:val="009F2728"/>
    <w:rsid w:val="009F2840"/>
    <w:rsid w:val="009F2AD6"/>
    <w:rsid w:val="009F2C15"/>
    <w:rsid w:val="009F2C3E"/>
    <w:rsid w:val="009F2EB1"/>
    <w:rsid w:val="009F3069"/>
    <w:rsid w:val="009F3184"/>
    <w:rsid w:val="009F343E"/>
    <w:rsid w:val="009F349E"/>
    <w:rsid w:val="009F34F8"/>
    <w:rsid w:val="009F35D0"/>
    <w:rsid w:val="009F3649"/>
    <w:rsid w:val="009F3B0D"/>
    <w:rsid w:val="009F3D4D"/>
    <w:rsid w:val="009F4440"/>
    <w:rsid w:val="009F449D"/>
    <w:rsid w:val="009F45D1"/>
    <w:rsid w:val="009F4630"/>
    <w:rsid w:val="009F4667"/>
    <w:rsid w:val="009F4711"/>
    <w:rsid w:val="009F4A23"/>
    <w:rsid w:val="009F4EA5"/>
    <w:rsid w:val="009F4EBE"/>
    <w:rsid w:val="009F5015"/>
    <w:rsid w:val="009F521B"/>
    <w:rsid w:val="009F5486"/>
    <w:rsid w:val="009F574F"/>
    <w:rsid w:val="009F5AC8"/>
    <w:rsid w:val="009F5CD4"/>
    <w:rsid w:val="009F5DD2"/>
    <w:rsid w:val="009F5ED8"/>
    <w:rsid w:val="009F6155"/>
    <w:rsid w:val="009F642F"/>
    <w:rsid w:val="009F645B"/>
    <w:rsid w:val="009F668B"/>
    <w:rsid w:val="009F6D36"/>
    <w:rsid w:val="009F6FE1"/>
    <w:rsid w:val="009F705D"/>
    <w:rsid w:val="009F7068"/>
    <w:rsid w:val="009F7348"/>
    <w:rsid w:val="009F767E"/>
    <w:rsid w:val="009F7C0D"/>
    <w:rsid w:val="009F7C16"/>
    <w:rsid w:val="009F7F5F"/>
    <w:rsid w:val="00A000C3"/>
    <w:rsid w:val="00A001BC"/>
    <w:rsid w:val="00A0026E"/>
    <w:rsid w:val="00A00442"/>
    <w:rsid w:val="00A004A7"/>
    <w:rsid w:val="00A006FB"/>
    <w:rsid w:val="00A00A27"/>
    <w:rsid w:val="00A00A7A"/>
    <w:rsid w:val="00A00ACA"/>
    <w:rsid w:val="00A00E50"/>
    <w:rsid w:val="00A01089"/>
    <w:rsid w:val="00A01130"/>
    <w:rsid w:val="00A01411"/>
    <w:rsid w:val="00A01755"/>
    <w:rsid w:val="00A01883"/>
    <w:rsid w:val="00A018A4"/>
    <w:rsid w:val="00A01E33"/>
    <w:rsid w:val="00A01E6D"/>
    <w:rsid w:val="00A01EE4"/>
    <w:rsid w:val="00A02532"/>
    <w:rsid w:val="00A0254A"/>
    <w:rsid w:val="00A02572"/>
    <w:rsid w:val="00A0263D"/>
    <w:rsid w:val="00A0264F"/>
    <w:rsid w:val="00A0312F"/>
    <w:rsid w:val="00A0316B"/>
    <w:rsid w:val="00A03253"/>
    <w:rsid w:val="00A033BB"/>
    <w:rsid w:val="00A0346C"/>
    <w:rsid w:val="00A034A4"/>
    <w:rsid w:val="00A03506"/>
    <w:rsid w:val="00A0381E"/>
    <w:rsid w:val="00A0390E"/>
    <w:rsid w:val="00A03943"/>
    <w:rsid w:val="00A03A83"/>
    <w:rsid w:val="00A03BD9"/>
    <w:rsid w:val="00A03CC1"/>
    <w:rsid w:val="00A03CFD"/>
    <w:rsid w:val="00A03F6D"/>
    <w:rsid w:val="00A041E3"/>
    <w:rsid w:val="00A043DD"/>
    <w:rsid w:val="00A04687"/>
    <w:rsid w:val="00A04794"/>
    <w:rsid w:val="00A04835"/>
    <w:rsid w:val="00A0483D"/>
    <w:rsid w:val="00A048C9"/>
    <w:rsid w:val="00A049F0"/>
    <w:rsid w:val="00A04AB4"/>
    <w:rsid w:val="00A04C43"/>
    <w:rsid w:val="00A04D5A"/>
    <w:rsid w:val="00A05383"/>
    <w:rsid w:val="00A056E2"/>
    <w:rsid w:val="00A05710"/>
    <w:rsid w:val="00A05B24"/>
    <w:rsid w:val="00A05C1C"/>
    <w:rsid w:val="00A05DC7"/>
    <w:rsid w:val="00A05E8E"/>
    <w:rsid w:val="00A05EB5"/>
    <w:rsid w:val="00A05F22"/>
    <w:rsid w:val="00A05FF0"/>
    <w:rsid w:val="00A06083"/>
    <w:rsid w:val="00A060DA"/>
    <w:rsid w:val="00A060DF"/>
    <w:rsid w:val="00A061C5"/>
    <w:rsid w:val="00A06244"/>
    <w:rsid w:val="00A0670C"/>
    <w:rsid w:val="00A067F7"/>
    <w:rsid w:val="00A06C45"/>
    <w:rsid w:val="00A06E61"/>
    <w:rsid w:val="00A07076"/>
    <w:rsid w:val="00A0711F"/>
    <w:rsid w:val="00A0722C"/>
    <w:rsid w:val="00A0725B"/>
    <w:rsid w:val="00A074B5"/>
    <w:rsid w:val="00A0764C"/>
    <w:rsid w:val="00A07671"/>
    <w:rsid w:val="00A07704"/>
    <w:rsid w:val="00A077CD"/>
    <w:rsid w:val="00A07ACE"/>
    <w:rsid w:val="00A07CFF"/>
    <w:rsid w:val="00A07D5C"/>
    <w:rsid w:val="00A07F28"/>
    <w:rsid w:val="00A07F91"/>
    <w:rsid w:val="00A10053"/>
    <w:rsid w:val="00A10176"/>
    <w:rsid w:val="00A103F8"/>
    <w:rsid w:val="00A10455"/>
    <w:rsid w:val="00A10779"/>
    <w:rsid w:val="00A1084F"/>
    <w:rsid w:val="00A10AF0"/>
    <w:rsid w:val="00A10B6F"/>
    <w:rsid w:val="00A10BDF"/>
    <w:rsid w:val="00A11214"/>
    <w:rsid w:val="00A11551"/>
    <w:rsid w:val="00A11557"/>
    <w:rsid w:val="00A11B2F"/>
    <w:rsid w:val="00A11B81"/>
    <w:rsid w:val="00A11C4D"/>
    <w:rsid w:val="00A12116"/>
    <w:rsid w:val="00A1228C"/>
    <w:rsid w:val="00A125A8"/>
    <w:rsid w:val="00A12667"/>
    <w:rsid w:val="00A127A8"/>
    <w:rsid w:val="00A127F3"/>
    <w:rsid w:val="00A12891"/>
    <w:rsid w:val="00A129E9"/>
    <w:rsid w:val="00A12A56"/>
    <w:rsid w:val="00A12A75"/>
    <w:rsid w:val="00A12A93"/>
    <w:rsid w:val="00A12B3C"/>
    <w:rsid w:val="00A12BD6"/>
    <w:rsid w:val="00A12C78"/>
    <w:rsid w:val="00A12E20"/>
    <w:rsid w:val="00A12FD5"/>
    <w:rsid w:val="00A13070"/>
    <w:rsid w:val="00A130CC"/>
    <w:rsid w:val="00A13116"/>
    <w:rsid w:val="00A13175"/>
    <w:rsid w:val="00A131F0"/>
    <w:rsid w:val="00A1325A"/>
    <w:rsid w:val="00A13335"/>
    <w:rsid w:val="00A13387"/>
    <w:rsid w:val="00A13476"/>
    <w:rsid w:val="00A136ED"/>
    <w:rsid w:val="00A1377B"/>
    <w:rsid w:val="00A13803"/>
    <w:rsid w:val="00A139EE"/>
    <w:rsid w:val="00A13D2F"/>
    <w:rsid w:val="00A13D59"/>
    <w:rsid w:val="00A13E76"/>
    <w:rsid w:val="00A13F14"/>
    <w:rsid w:val="00A140FB"/>
    <w:rsid w:val="00A14352"/>
    <w:rsid w:val="00A14510"/>
    <w:rsid w:val="00A1486B"/>
    <w:rsid w:val="00A149AE"/>
    <w:rsid w:val="00A149B2"/>
    <w:rsid w:val="00A14A43"/>
    <w:rsid w:val="00A14A4E"/>
    <w:rsid w:val="00A14A5E"/>
    <w:rsid w:val="00A14B7B"/>
    <w:rsid w:val="00A14F01"/>
    <w:rsid w:val="00A14F3F"/>
    <w:rsid w:val="00A150E3"/>
    <w:rsid w:val="00A1524B"/>
    <w:rsid w:val="00A15257"/>
    <w:rsid w:val="00A1537E"/>
    <w:rsid w:val="00A154E9"/>
    <w:rsid w:val="00A15784"/>
    <w:rsid w:val="00A1578B"/>
    <w:rsid w:val="00A15797"/>
    <w:rsid w:val="00A15824"/>
    <w:rsid w:val="00A15949"/>
    <w:rsid w:val="00A1597F"/>
    <w:rsid w:val="00A159B9"/>
    <w:rsid w:val="00A15ACD"/>
    <w:rsid w:val="00A15EBC"/>
    <w:rsid w:val="00A15F69"/>
    <w:rsid w:val="00A1600B"/>
    <w:rsid w:val="00A162F7"/>
    <w:rsid w:val="00A16553"/>
    <w:rsid w:val="00A16658"/>
    <w:rsid w:val="00A16A45"/>
    <w:rsid w:val="00A16A9A"/>
    <w:rsid w:val="00A16C83"/>
    <w:rsid w:val="00A16D20"/>
    <w:rsid w:val="00A16D4E"/>
    <w:rsid w:val="00A16DC7"/>
    <w:rsid w:val="00A16E16"/>
    <w:rsid w:val="00A17116"/>
    <w:rsid w:val="00A17181"/>
    <w:rsid w:val="00A1732F"/>
    <w:rsid w:val="00A1736A"/>
    <w:rsid w:val="00A176A7"/>
    <w:rsid w:val="00A1784A"/>
    <w:rsid w:val="00A17949"/>
    <w:rsid w:val="00A17B8A"/>
    <w:rsid w:val="00A17D6F"/>
    <w:rsid w:val="00A17E17"/>
    <w:rsid w:val="00A201EA"/>
    <w:rsid w:val="00A202E5"/>
    <w:rsid w:val="00A20333"/>
    <w:rsid w:val="00A203FB"/>
    <w:rsid w:val="00A204A8"/>
    <w:rsid w:val="00A2060B"/>
    <w:rsid w:val="00A206CE"/>
    <w:rsid w:val="00A20702"/>
    <w:rsid w:val="00A20713"/>
    <w:rsid w:val="00A20779"/>
    <w:rsid w:val="00A208B8"/>
    <w:rsid w:val="00A20BBD"/>
    <w:rsid w:val="00A20C33"/>
    <w:rsid w:val="00A20C3A"/>
    <w:rsid w:val="00A20D95"/>
    <w:rsid w:val="00A20E8B"/>
    <w:rsid w:val="00A21058"/>
    <w:rsid w:val="00A210D8"/>
    <w:rsid w:val="00A210E5"/>
    <w:rsid w:val="00A2134F"/>
    <w:rsid w:val="00A21605"/>
    <w:rsid w:val="00A2161A"/>
    <w:rsid w:val="00A216A1"/>
    <w:rsid w:val="00A21703"/>
    <w:rsid w:val="00A21B95"/>
    <w:rsid w:val="00A21EFA"/>
    <w:rsid w:val="00A21FB4"/>
    <w:rsid w:val="00A2200E"/>
    <w:rsid w:val="00A22079"/>
    <w:rsid w:val="00A2224D"/>
    <w:rsid w:val="00A22314"/>
    <w:rsid w:val="00A223C0"/>
    <w:rsid w:val="00A22438"/>
    <w:rsid w:val="00A224D8"/>
    <w:rsid w:val="00A22591"/>
    <w:rsid w:val="00A225BC"/>
    <w:rsid w:val="00A228B8"/>
    <w:rsid w:val="00A22BA2"/>
    <w:rsid w:val="00A22CD0"/>
    <w:rsid w:val="00A22D54"/>
    <w:rsid w:val="00A22DD9"/>
    <w:rsid w:val="00A22F07"/>
    <w:rsid w:val="00A22FA4"/>
    <w:rsid w:val="00A23027"/>
    <w:rsid w:val="00A23128"/>
    <w:rsid w:val="00A231F8"/>
    <w:rsid w:val="00A2328C"/>
    <w:rsid w:val="00A234EF"/>
    <w:rsid w:val="00A236C6"/>
    <w:rsid w:val="00A23BF8"/>
    <w:rsid w:val="00A23D77"/>
    <w:rsid w:val="00A23DB6"/>
    <w:rsid w:val="00A23F50"/>
    <w:rsid w:val="00A24000"/>
    <w:rsid w:val="00A242D7"/>
    <w:rsid w:val="00A24339"/>
    <w:rsid w:val="00A245EC"/>
    <w:rsid w:val="00A246C2"/>
    <w:rsid w:val="00A24800"/>
    <w:rsid w:val="00A24837"/>
    <w:rsid w:val="00A2485B"/>
    <w:rsid w:val="00A249C7"/>
    <w:rsid w:val="00A24B35"/>
    <w:rsid w:val="00A24C96"/>
    <w:rsid w:val="00A24FCD"/>
    <w:rsid w:val="00A2531A"/>
    <w:rsid w:val="00A25638"/>
    <w:rsid w:val="00A2574B"/>
    <w:rsid w:val="00A257CA"/>
    <w:rsid w:val="00A258A0"/>
    <w:rsid w:val="00A25B05"/>
    <w:rsid w:val="00A25C6E"/>
    <w:rsid w:val="00A25DF1"/>
    <w:rsid w:val="00A25F87"/>
    <w:rsid w:val="00A25FB8"/>
    <w:rsid w:val="00A2612C"/>
    <w:rsid w:val="00A26600"/>
    <w:rsid w:val="00A26AD7"/>
    <w:rsid w:val="00A26D0B"/>
    <w:rsid w:val="00A26D87"/>
    <w:rsid w:val="00A26F1B"/>
    <w:rsid w:val="00A27108"/>
    <w:rsid w:val="00A2724D"/>
    <w:rsid w:val="00A2741B"/>
    <w:rsid w:val="00A275F6"/>
    <w:rsid w:val="00A27ED0"/>
    <w:rsid w:val="00A30045"/>
    <w:rsid w:val="00A300A4"/>
    <w:rsid w:val="00A3011C"/>
    <w:rsid w:val="00A301AD"/>
    <w:rsid w:val="00A30234"/>
    <w:rsid w:val="00A30344"/>
    <w:rsid w:val="00A30470"/>
    <w:rsid w:val="00A304BE"/>
    <w:rsid w:val="00A30685"/>
    <w:rsid w:val="00A306BA"/>
    <w:rsid w:val="00A30809"/>
    <w:rsid w:val="00A3086C"/>
    <w:rsid w:val="00A30A62"/>
    <w:rsid w:val="00A30ADC"/>
    <w:rsid w:val="00A30D03"/>
    <w:rsid w:val="00A30EB6"/>
    <w:rsid w:val="00A310F7"/>
    <w:rsid w:val="00A31183"/>
    <w:rsid w:val="00A3159D"/>
    <w:rsid w:val="00A316CE"/>
    <w:rsid w:val="00A318D1"/>
    <w:rsid w:val="00A31A19"/>
    <w:rsid w:val="00A31EA7"/>
    <w:rsid w:val="00A32080"/>
    <w:rsid w:val="00A320A3"/>
    <w:rsid w:val="00A3251B"/>
    <w:rsid w:val="00A325ED"/>
    <w:rsid w:val="00A32632"/>
    <w:rsid w:val="00A328D5"/>
    <w:rsid w:val="00A328E5"/>
    <w:rsid w:val="00A32927"/>
    <w:rsid w:val="00A3299F"/>
    <w:rsid w:val="00A329E0"/>
    <w:rsid w:val="00A32F12"/>
    <w:rsid w:val="00A33211"/>
    <w:rsid w:val="00A33341"/>
    <w:rsid w:val="00A334F5"/>
    <w:rsid w:val="00A33AD1"/>
    <w:rsid w:val="00A33C4E"/>
    <w:rsid w:val="00A33D74"/>
    <w:rsid w:val="00A3411A"/>
    <w:rsid w:val="00A342A5"/>
    <w:rsid w:val="00A34520"/>
    <w:rsid w:val="00A348CB"/>
    <w:rsid w:val="00A34BF8"/>
    <w:rsid w:val="00A34C7C"/>
    <w:rsid w:val="00A34CA3"/>
    <w:rsid w:val="00A34DF8"/>
    <w:rsid w:val="00A34EC1"/>
    <w:rsid w:val="00A34F54"/>
    <w:rsid w:val="00A350E7"/>
    <w:rsid w:val="00A351F1"/>
    <w:rsid w:val="00A35225"/>
    <w:rsid w:val="00A3538B"/>
    <w:rsid w:val="00A35624"/>
    <w:rsid w:val="00A356F2"/>
    <w:rsid w:val="00A3583F"/>
    <w:rsid w:val="00A35853"/>
    <w:rsid w:val="00A35856"/>
    <w:rsid w:val="00A35B95"/>
    <w:rsid w:val="00A35C66"/>
    <w:rsid w:val="00A35C78"/>
    <w:rsid w:val="00A3601D"/>
    <w:rsid w:val="00A3607B"/>
    <w:rsid w:val="00A3622F"/>
    <w:rsid w:val="00A362B8"/>
    <w:rsid w:val="00A3661E"/>
    <w:rsid w:val="00A367E1"/>
    <w:rsid w:val="00A36948"/>
    <w:rsid w:val="00A36C38"/>
    <w:rsid w:val="00A36D76"/>
    <w:rsid w:val="00A36F78"/>
    <w:rsid w:val="00A37044"/>
    <w:rsid w:val="00A37170"/>
    <w:rsid w:val="00A37266"/>
    <w:rsid w:val="00A372AF"/>
    <w:rsid w:val="00A3776C"/>
    <w:rsid w:val="00A377B2"/>
    <w:rsid w:val="00A378FC"/>
    <w:rsid w:val="00A37A66"/>
    <w:rsid w:val="00A37AF5"/>
    <w:rsid w:val="00A37CE3"/>
    <w:rsid w:val="00A37DE4"/>
    <w:rsid w:val="00A404C0"/>
    <w:rsid w:val="00A4058D"/>
    <w:rsid w:val="00A40781"/>
    <w:rsid w:val="00A40884"/>
    <w:rsid w:val="00A409EB"/>
    <w:rsid w:val="00A40DAA"/>
    <w:rsid w:val="00A40E42"/>
    <w:rsid w:val="00A4105E"/>
    <w:rsid w:val="00A41149"/>
    <w:rsid w:val="00A412F8"/>
    <w:rsid w:val="00A41343"/>
    <w:rsid w:val="00A416E2"/>
    <w:rsid w:val="00A41960"/>
    <w:rsid w:val="00A41D2E"/>
    <w:rsid w:val="00A41DB5"/>
    <w:rsid w:val="00A41E16"/>
    <w:rsid w:val="00A41FAA"/>
    <w:rsid w:val="00A42074"/>
    <w:rsid w:val="00A4211B"/>
    <w:rsid w:val="00A42195"/>
    <w:rsid w:val="00A42294"/>
    <w:rsid w:val="00A425A1"/>
    <w:rsid w:val="00A427BD"/>
    <w:rsid w:val="00A4299A"/>
    <w:rsid w:val="00A42B01"/>
    <w:rsid w:val="00A42B21"/>
    <w:rsid w:val="00A42D4B"/>
    <w:rsid w:val="00A42E53"/>
    <w:rsid w:val="00A43485"/>
    <w:rsid w:val="00A43635"/>
    <w:rsid w:val="00A43865"/>
    <w:rsid w:val="00A438AC"/>
    <w:rsid w:val="00A43E3A"/>
    <w:rsid w:val="00A4407C"/>
    <w:rsid w:val="00A440EE"/>
    <w:rsid w:val="00A441C4"/>
    <w:rsid w:val="00A443FE"/>
    <w:rsid w:val="00A446D4"/>
    <w:rsid w:val="00A448A9"/>
    <w:rsid w:val="00A44AED"/>
    <w:rsid w:val="00A44E32"/>
    <w:rsid w:val="00A44EAC"/>
    <w:rsid w:val="00A45387"/>
    <w:rsid w:val="00A455DC"/>
    <w:rsid w:val="00A4599A"/>
    <w:rsid w:val="00A45BA4"/>
    <w:rsid w:val="00A45F27"/>
    <w:rsid w:val="00A46048"/>
    <w:rsid w:val="00A46094"/>
    <w:rsid w:val="00A4610C"/>
    <w:rsid w:val="00A461F3"/>
    <w:rsid w:val="00A466E5"/>
    <w:rsid w:val="00A4671A"/>
    <w:rsid w:val="00A46D7B"/>
    <w:rsid w:val="00A46E87"/>
    <w:rsid w:val="00A46EB7"/>
    <w:rsid w:val="00A46F1F"/>
    <w:rsid w:val="00A46F40"/>
    <w:rsid w:val="00A47186"/>
    <w:rsid w:val="00A47191"/>
    <w:rsid w:val="00A4724A"/>
    <w:rsid w:val="00A472BB"/>
    <w:rsid w:val="00A474B7"/>
    <w:rsid w:val="00A476A4"/>
    <w:rsid w:val="00A4790B"/>
    <w:rsid w:val="00A47A05"/>
    <w:rsid w:val="00A47BC7"/>
    <w:rsid w:val="00A47C4E"/>
    <w:rsid w:val="00A502CB"/>
    <w:rsid w:val="00A504A7"/>
    <w:rsid w:val="00A50625"/>
    <w:rsid w:val="00A5078F"/>
    <w:rsid w:val="00A508E6"/>
    <w:rsid w:val="00A509B8"/>
    <w:rsid w:val="00A50CC7"/>
    <w:rsid w:val="00A50D6C"/>
    <w:rsid w:val="00A50ED1"/>
    <w:rsid w:val="00A512F4"/>
    <w:rsid w:val="00A51344"/>
    <w:rsid w:val="00A516DF"/>
    <w:rsid w:val="00A51DCC"/>
    <w:rsid w:val="00A51EB1"/>
    <w:rsid w:val="00A51F86"/>
    <w:rsid w:val="00A52019"/>
    <w:rsid w:val="00A5205A"/>
    <w:rsid w:val="00A521F7"/>
    <w:rsid w:val="00A5231C"/>
    <w:rsid w:val="00A523DE"/>
    <w:rsid w:val="00A524F3"/>
    <w:rsid w:val="00A52504"/>
    <w:rsid w:val="00A52549"/>
    <w:rsid w:val="00A528F8"/>
    <w:rsid w:val="00A528FA"/>
    <w:rsid w:val="00A52BE3"/>
    <w:rsid w:val="00A52BF4"/>
    <w:rsid w:val="00A52D2A"/>
    <w:rsid w:val="00A53467"/>
    <w:rsid w:val="00A534C6"/>
    <w:rsid w:val="00A535E7"/>
    <w:rsid w:val="00A536C4"/>
    <w:rsid w:val="00A53744"/>
    <w:rsid w:val="00A5381A"/>
    <w:rsid w:val="00A53C3E"/>
    <w:rsid w:val="00A53CB9"/>
    <w:rsid w:val="00A53D16"/>
    <w:rsid w:val="00A53E24"/>
    <w:rsid w:val="00A53E71"/>
    <w:rsid w:val="00A53FCA"/>
    <w:rsid w:val="00A5411C"/>
    <w:rsid w:val="00A542B1"/>
    <w:rsid w:val="00A543E1"/>
    <w:rsid w:val="00A543E9"/>
    <w:rsid w:val="00A54430"/>
    <w:rsid w:val="00A544DD"/>
    <w:rsid w:val="00A54650"/>
    <w:rsid w:val="00A548B2"/>
    <w:rsid w:val="00A54A77"/>
    <w:rsid w:val="00A54EA8"/>
    <w:rsid w:val="00A55157"/>
    <w:rsid w:val="00A55369"/>
    <w:rsid w:val="00A554B9"/>
    <w:rsid w:val="00A55571"/>
    <w:rsid w:val="00A55742"/>
    <w:rsid w:val="00A55886"/>
    <w:rsid w:val="00A55CF5"/>
    <w:rsid w:val="00A55E06"/>
    <w:rsid w:val="00A55EA6"/>
    <w:rsid w:val="00A55FE2"/>
    <w:rsid w:val="00A561E9"/>
    <w:rsid w:val="00A562B2"/>
    <w:rsid w:val="00A56365"/>
    <w:rsid w:val="00A563C8"/>
    <w:rsid w:val="00A563F6"/>
    <w:rsid w:val="00A56450"/>
    <w:rsid w:val="00A5653F"/>
    <w:rsid w:val="00A56561"/>
    <w:rsid w:val="00A56754"/>
    <w:rsid w:val="00A56864"/>
    <w:rsid w:val="00A56C65"/>
    <w:rsid w:val="00A570BE"/>
    <w:rsid w:val="00A573AB"/>
    <w:rsid w:val="00A574E3"/>
    <w:rsid w:val="00A578D4"/>
    <w:rsid w:val="00A57908"/>
    <w:rsid w:val="00A579DB"/>
    <w:rsid w:val="00A57A00"/>
    <w:rsid w:val="00A57A69"/>
    <w:rsid w:val="00A57BEF"/>
    <w:rsid w:val="00A57CEC"/>
    <w:rsid w:val="00A57F4A"/>
    <w:rsid w:val="00A57F6B"/>
    <w:rsid w:val="00A605DE"/>
    <w:rsid w:val="00A607D9"/>
    <w:rsid w:val="00A609EE"/>
    <w:rsid w:val="00A60A61"/>
    <w:rsid w:val="00A60C62"/>
    <w:rsid w:val="00A6106C"/>
    <w:rsid w:val="00A610A7"/>
    <w:rsid w:val="00A61201"/>
    <w:rsid w:val="00A613DC"/>
    <w:rsid w:val="00A61459"/>
    <w:rsid w:val="00A6160A"/>
    <w:rsid w:val="00A61664"/>
    <w:rsid w:val="00A61B1E"/>
    <w:rsid w:val="00A61FA7"/>
    <w:rsid w:val="00A61FD8"/>
    <w:rsid w:val="00A6202F"/>
    <w:rsid w:val="00A62423"/>
    <w:rsid w:val="00A62598"/>
    <w:rsid w:val="00A62641"/>
    <w:rsid w:val="00A628CF"/>
    <w:rsid w:val="00A62967"/>
    <w:rsid w:val="00A62CC0"/>
    <w:rsid w:val="00A62FB9"/>
    <w:rsid w:val="00A6338C"/>
    <w:rsid w:val="00A63443"/>
    <w:rsid w:val="00A63607"/>
    <w:rsid w:val="00A63840"/>
    <w:rsid w:val="00A63877"/>
    <w:rsid w:val="00A63A86"/>
    <w:rsid w:val="00A63FC5"/>
    <w:rsid w:val="00A641D0"/>
    <w:rsid w:val="00A64294"/>
    <w:rsid w:val="00A6429C"/>
    <w:rsid w:val="00A6434E"/>
    <w:rsid w:val="00A645BC"/>
    <w:rsid w:val="00A64860"/>
    <w:rsid w:val="00A64959"/>
    <w:rsid w:val="00A6497F"/>
    <w:rsid w:val="00A64B49"/>
    <w:rsid w:val="00A64B85"/>
    <w:rsid w:val="00A64C3A"/>
    <w:rsid w:val="00A651D9"/>
    <w:rsid w:val="00A653E5"/>
    <w:rsid w:val="00A656C8"/>
    <w:rsid w:val="00A65CDF"/>
    <w:rsid w:val="00A663C2"/>
    <w:rsid w:val="00A6657E"/>
    <w:rsid w:val="00A665E9"/>
    <w:rsid w:val="00A66797"/>
    <w:rsid w:val="00A6687B"/>
    <w:rsid w:val="00A66D26"/>
    <w:rsid w:val="00A66DEE"/>
    <w:rsid w:val="00A670A2"/>
    <w:rsid w:val="00A67167"/>
    <w:rsid w:val="00A67219"/>
    <w:rsid w:val="00A6739A"/>
    <w:rsid w:val="00A6739F"/>
    <w:rsid w:val="00A675E2"/>
    <w:rsid w:val="00A67622"/>
    <w:rsid w:val="00A6787F"/>
    <w:rsid w:val="00A67B62"/>
    <w:rsid w:val="00A67DDB"/>
    <w:rsid w:val="00A67E65"/>
    <w:rsid w:val="00A67FB5"/>
    <w:rsid w:val="00A70289"/>
    <w:rsid w:val="00A703CE"/>
    <w:rsid w:val="00A70442"/>
    <w:rsid w:val="00A70459"/>
    <w:rsid w:val="00A706F1"/>
    <w:rsid w:val="00A70799"/>
    <w:rsid w:val="00A7090C"/>
    <w:rsid w:val="00A70A08"/>
    <w:rsid w:val="00A70B5B"/>
    <w:rsid w:val="00A70E21"/>
    <w:rsid w:val="00A70FB1"/>
    <w:rsid w:val="00A712FA"/>
    <w:rsid w:val="00A7142B"/>
    <w:rsid w:val="00A71506"/>
    <w:rsid w:val="00A71953"/>
    <w:rsid w:val="00A71B64"/>
    <w:rsid w:val="00A71B92"/>
    <w:rsid w:val="00A71C2B"/>
    <w:rsid w:val="00A71CFF"/>
    <w:rsid w:val="00A72005"/>
    <w:rsid w:val="00A7200B"/>
    <w:rsid w:val="00A72025"/>
    <w:rsid w:val="00A72169"/>
    <w:rsid w:val="00A72212"/>
    <w:rsid w:val="00A722DD"/>
    <w:rsid w:val="00A727C5"/>
    <w:rsid w:val="00A72B4D"/>
    <w:rsid w:val="00A72D17"/>
    <w:rsid w:val="00A7300C"/>
    <w:rsid w:val="00A73189"/>
    <w:rsid w:val="00A73260"/>
    <w:rsid w:val="00A73735"/>
    <w:rsid w:val="00A739AC"/>
    <w:rsid w:val="00A73D2C"/>
    <w:rsid w:val="00A73EF7"/>
    <w:rsid w:val="00A73F27"/>
    <w:rsid w:val="00A74088"/>
    <w:rsid w:val="00A741DA"/>
    <w:rsid w:val="00A7427D"/>
    <w:rsid w:val="00A74344"/>
    <w:rsid w:val="00A7439B"/>
    <w:rsid w:val="00A7483C"/>
    <w:rsid w:val="00A74854"/>
    <w:rsid w:val="00A74A04"/>
    <w:rsid w:val="00A74A3B"/>
    <w:rsid w:val="00A74B62"/>
    <w:rsid w:val="00A74CA5"/>
    <w:rsid w:val="00A74DC5"/>
    <w:rsid w:val="00A74E52"/>
    <w:rsid w:val="00A74EC9"/>
    <w:rsid w:val="00A74F59"/>
    <w:rsid w:val="00A7516B"/>
    <w:rsid w:val="00A75448"/>
    <w:rsid w:val="00A754E4"/>
    <w:rsid w:val="00A7561B"/>
    <w:rsid w:val="00A75664"/>
    <w:rsid w:val="00A7579C"/>
    <w:rsid w:val="00A7596C"/>
    <w:rsid w:val="00A75AA5"/>
    <w:rsid w:val="00A75BA5"/>
    <w:rsid w:val="00A75D0F"/>
    <w:rsid w:val="00A75D58"/>
    <w:rsid w:val="00A75F68"/>
    <w:rsid w:val="00A760FE"/>
    <w:rsid w:val="00A76196"/>
    <w:rsid w:val="00A762DB"/>
    <w:rsid w:val="00A7632F"/>
    <w:rsid w:val="00A76655"/>
    <w:rsid w:val="00A76975"/>
    <w:rsid w:val="00A76A18"/>
    <w:rsid w:val="00A76A41"/>
    <w:rsid w:val="00A76A96"/>
    <w:rsid w:val="00A76DC4"/>
    <w:rsid w:val="00A76EF7"/>
    <w:rsid w:val="00A76F7E"/>
    <w:rsid w:val="00A770C8"/>
    <w:rsid w:val="00A772D3"/>
    <w:rsid w:val="00A7755A"/>
    <w:rsid w:val="00A776B3"/>
    <w:rsid w:val="00A77771"/>
    <w:rsid w:val="00A77C4B"/>
    <w:rsid w:val="00A77E62"/>
    <w:rsid w:val="00A80241"/>
    <w:rsid w:val="00A80250"/>
    <w:rsid w:val="00A80481"/>
    <w:rsid w:val="00A80871"/>
    <w:rsid w:val="00A808AF"/>
    <w:rsid w:val="00A80A22"/>
    <w:rsid w:val="00A80C94"/>
    <w:rsid w:val="00A80EE4"/>
    <w:rsid w:val="00A8128D"/>
    <w:rsid w:val="00A812AA"/>
    <w:rsid w:val="00A812B4"/>
    <w:rsid w:val="00A813D5"/>
    <w:rsid w:val="00A8145A"/>
    <w:rsid w:val="00A8152B"/>
    <w:rsid w:val="00A817F4"/>
    <w:rsid w:val="00A81854"/>
    <w:rsid w:val="00A818BD"/>
    <w:rsid w:val="00A81934"/>
    <w:rsid w:val="00A81ABB"/>
    <w:rsid w:val="00A81AD4"/>
    <w:rsid w:val="00A81B3E"/>
    <w:rsid w:val="00A81B40"/>
    <w:rsid w:val="00A81B6D"/>
    <w:rsid w:val="00A81D2D"/>
    <w:rsid w:val="00A81D65"/>
    <w:rsid w:val="00A81D8D"/>
    <w:rsid w:val="00A81ED3"/>
    <w:rsid w:val="00A82116"/>
    <w:rsid w:val="00A824B1"/>
    <w:rsid w:val="00A82B36"/>
    <w:rsid w:val="00A82BB5"/>
    <w:rsid w:val="00A82C29"/>
    <w:rsid w:val="00A82CEC"/>
    <w:rsid w:val="00A82FE1"/>
    <w:rsid w:val="00A830EA"/>
    <w:rsid w:val="00A83373"/>
    <w:rsid w:val="00A83695"/>
    <w:rsid w:val="00A83826"/>
    <w:rsid w:val="00A83829"/>
    <w:rsid w:val="00A838C2"/>
    <w:rsid w:val="00A838E0"/>
    <w:rsid w:val="00A83D07"/>
    <w:rsid w:val="00A83DCD"/>
    <w:rsid w:val="00A83F50"/>
    <w:rsid w:val="00A84158"/>
    <w:rsid w:val="00A84319"/>
    <w:rsid w:val="00A8432F"/>
    <w:rsid w:val="00A84525"/>
    <w:rsid w:val="00A846A7"/>
    <w:rsid w:val="00A8479B"/>
    <w:rsid w:val="00A847EC"/>
    <w:rsid w:val="00A8499E"/>
    <w:rsid w:val="00A84B45"/>
    <w:rsid w:val="00A84B8A"/>
    <w:rsid w:val="00A84CBD"/>
    <w:rsid w:val="00A84CF3"/>
    <w:rsid w:val="00A84D5C"/>
    <w:rsid w:val="00A84EDD"/>
    <w:rsid w:val="00A85014"/>
    <w:rsid w:val="00A853A9"/>
    <w:rsid w:val="00A854F1"/>
    <w:rsid w:val="00A856C0"/>
    <w:rsid w:val="00A856F5"/>
    <w:rsid w:val="00A8575F"/>
    <w:rsid w:val="00A85989"/>
    <w:rsid w:val="00A85A76"/>
    <w:rsid w:val="00A85B88"/>
    <w:rsid w:val="00A85D5D"/>
    <w:rsid w:val="00A85DA8"/>
    <w:rsid w:val="00A85DE0"/>
    <w:rsid w:val="00A860BB"/>
    <w:rsid w:val="00A86170"/>
    <w:rsid w:val="00A864C8"/>
    <w:rsid w:val="00A865E3"/>
    <w:rsid w:val="00A86714"/>
    <w:rsid w:val="00A867C4"/>
    <w:rsid w:val="00A86CAA"/>
    <w:rsid w:val="00A8741C"/>
    <w:rsid w:val="00A876CC"/>
    <w:rsid w:val="00A877A1"/>
    <w:rsid w:val="00A878EC"/>
    <w:rsid w:val="00A87C37"/>
    <w:rsid w:val="00A901FB"/>
    <w:rsid w:val="00A9032F"/>
    <w:rsid w:val="00A904CE"/>
    <w:rsid w:val="00A904F8"/>
    <w:rsid w:val="00A9071D"/>
    <w:rsid w:val="00A90FF9"/>
    <w:rsid w:val="00A910BC"/>
    <w:rsid w:val="00A91281"/>
    <w:rsid w:val="00A913EF"/>
    <w:rsid w:val="00A916B6"/>
    <w:rsid w:val="00A918F2"/>
    <w:rsid w:val="00A91D30"/>
    <w:rsid w:val="00A91F73"/>
    <w:rsid w:val="00A92046"/>
    <w:rsid w:val="00A9204E"/>
    <w:rsid w:val="00A920DE"/>
    <w:rsid w:val="00A9214E"/>
    <w:rsid w:val="00A922DB"/>
    <w:rsid w:val="00A925A2"/>
    <w:rsid w:val="00A92628"/>
    <w:rsid w:val="00A92667"/>
    <w:rsid w:val="00A92796"/>
    <w:rsid w:val="00A92C8F"/>
    <w:rsid w:val="00A92F77"/>
    <w:rsid w:val="00A92FCF"/>
    <w:rsid w:val="00A92FDC"/>
    <w:rsid w:val="00A930BB"/>
    <w:rsid w:val="00A933E8"/>
    <w:rsid w:val="00A934F5"/>
    <w:rsid w:val="00A93539"/>
    <w:rsid w:val="00A9390D"/>
    <w:rsid w:val="00A93A1A"/>
    <w:rsid w:val="00A93B48"/>
    <w:rsid w:val="00A93CCF"/>
    <w:rsid w:val="00A941AC"/>
    <w:rsid w:val="00A9445B"/>
    <w:rsid w:val="00A945D7"/>
    <w:rsid w:val="00A9461A"/>
    <w:rsid w:val="00A94728"/>
    <w:rsid w:val="00A949A5"/>
    <w:rsid w:val="00A94D38"/>
    <w:rsid w:val="00A94D40"/>
    <w:rsid w:val="00A94DC9"/>
    <w:rsid w:val="00A95534"/>
    <w:rsid w:val="00A9559D"/>
    <w:rsid w:val="00A956B4"/>
    <w:rsid w:val="00A957B2"/>
    <w:rsid w:val="00A957F3"/>
    <w:rsid w:val="00A958EE"/>
    <w:rsid w:val="00A959CD"/>
    <w:rsid w:val="00A95B70"/>
    <w:rsid w:val="00A95C58"/>
    <w:rsid w:val="00A95EAF"/>
    <w:rsid w:val="00A95F0F"/>
    <w:rsid w:val="00A96014"/>
    <w:rsid w:val="00A9601C"/>
    <w:rsid w:val="00A96096"/>
    <w:rsid w:val="00A96103"/>
    <w:rsid w:val="00A96327"/>
    <w:rsid w:val="00A96450"/>
    <w:rsid w:val="00A965ED"/>
    <w:rsid w:val="00A96703"/>
    <w:rsid w:val="00A9688B"/>
    <w:rsid w:val="00A9692E"/>
    <w:rsid w:val="00A969A5"/>
    <w:rsid w:val="00A969FD"/>
    <w:rsid w:val="00A96A82"/>
    <w:rsid w:val="00A96D43"/>
    <w:rsid w:val="00A96DA7"/>
    <w:rsid w:val="00A9711B"/>
    <w:rsid w:val="00A97220"/>
    <w:rsid w:val="00A977C6"/>
    <w:rsid w:val="00A97969"/>
    <w:rsid w:val="00A97A52"/>
    <w:rsid w:val="00A97A7E"/>
    <w:rsid w:val="00A97BF1"/>
    <w:rsid w:val="00A97DA1"/>
    <w:rsid w:val="00A97F08"/>
    <w:rsid w:val="00AA0161"/>
    <w:rsid w:val="00AA022F"/>
    <w:rsid w:val="00AA0546"/>
    <w:rsid w:val="00AA08F3"/>
    <w:rsid w:val="00AA0B60"/>
    <w:rsid w:val="00AA0DCA"/>
    <w:rsid w:val="00AA1372"/>
    <w:rsid w:val="00AA13CC"/>
    <w:rsid w:val="00AA19A5"/>
    <w:rsid w:val="00AA1C69"/>
    <w:rsid w:val="00AA1F83"/>
    <w:rsid w:val="00AA2010"/>
    <w:rsid w:val="00AA2037"/>
    <w:rsid w:val="00AA2071"/>
    <w:rsid w:val="00AA2204"/>
    <w:rsid w:val="00AA2385"/>
    <w:rsid w:val="00AA2675"/>
    <w:rsid w:val="00AA2736"/>
    <w:rsid w:val="00AA2869"/>
    <w:rsid w:val="00AA29AA"/>
    <w:rsid w:val="00AA2B38"/>
    <w:rsid w:val="00AA2D6B"/>
    <w:rsid w:val="00AA2EFA"/>
    <w:rsid w:val="00AA3044"/>
    <w:rsid w:val="00AA30FC"/>
    <w:rsid w:val="00AA3201"/>
    <w:rsid w:val="00AA3764"/>
    <w:rsid w:val="00AA3945"/>
    <w:rsid w:val="00AA3A49"/>
    <w:rsid w:val="00AA3C1C"/>
    <w:rsid w:val="00AA3E71"/>
    <w:rsid w:val="00AA401F"/>
    <w:rsid w:val="00AA4093"/>
    <w:rsid w:val="00AA4123"/>
    <w:rsid w:val="00AA4671"/>
    <w:rsid w:val="00AA4BE8"/>
    <w:rsid w:val="00AA5297"/>
    <w:rsid w:val="00AA54FE"/>
    <w:rsid w:val="00AA55F3"/>
    <w:rsid w:val="00AA56A4"/>
    <w:rsid w:val="00AA5A72"/>
    <w:rsid w:val="00AA5E12"/>
    <w:rsid w:val="00AA6075"/>
    <w:rsid w:val="00AA64FA"/>
    <w:rsid w:val="00AA676F"/>
    <w:rsid w:val="00AA6792"/>
    <w:rsid w:val="00AA6925"/>
    <w:rsid w:val="00AA7136"/>
    <w:rsid w:val="00AA71C3"/>
    <w:rsid w:val="00AA72F1"/>
    <w:rsid w:val="00AA76DB"/>
    <w:rsid w:val="00AA77BD"/>
    <w:rsid w:val="00AA7933"/>
    <w:rsid w:val="00AA7CDD"/>
    <w:rsid w:val="00AA7F78"/>
    <w:rsid w:val="00AAAE4B"/>
    <w:rsid w:val="00AB022F"/>
    <w:rsid w:val="00AB02D2"/>
    <w:rsid w:val="00AB05E4"/>
    <w:rsid w:val="00AB088F"/>
    <w:rsid w:val="00AB08D5"/>
    <w:rsid w:val="00AB1032"/>
    <w:rsid w:val="00AB145B"/>
    <w:rsid w:val="00AB14C1"/>
    <w:rsid w:val="00AB1588"/>
    <w:rsid w:val="00AB1BC2"/>
    <w:rsid w:val="00AB1EB7"/>
    <w:rsid w:val="00AB1EC9"/>
    <w:rsid w:val="00AB20CB"/>
    <w:rsid w:val="00AB210D"/>
    <w:rsid w:val="00AB2124"/>
    <w:rsid w:val="00AB2247"/>
    <w:rsid w:val="00AB2336"/>
    <w:rsid w:val="00AB262E"/>
    <w:rsid w:val="00AB271A"/>
    <w:rsid w:val="00AB2729"/>
    <w:rsid w:val="00AB28DE"/>
    <w:rsid w:val="00AB297B"/>
    <w:rsid w:val="00AB29D2"/>
    <w:rsid w:val="00AB2A8C"/>
    <w:rsid w:val="00AB2E08"/>
    <w:rsid w:val="00AB3186"/>
    <w:rsid w:val="00AB32F7"/>
    <w:rsid w:val="00AB3308"/>
    <w:rsid w:val="00AB3597"/>
    <w:rsid w:val="00AB3642"/>
    <w:rsid w:val="00AB37F3"/>
    <w:rsid w:val="00AB3833"/>
    <w:rsid w:val="00AB3D03"/>
    <w:rsid w:val="00AB3EBF"/>
    <w:rsid w:val="00AB3FC1"/>
    <w:rsid w:val="00AB4339"/>
    <w:rsid w:val="00AB4480"/>
    <w:rsid w:val="00AB4888"/>
    <w:rsid w:val="00AB4A58"/>
    <w:rsid w:val="00AB4B9D"/>
    <w:rsid w:val="00AB4E45"/>
    <w:rsid w:val="00AB4EE3"/>
    <w:rsid w:val="00AB4F6C"/>
    <w:rsid w:val="00AB5220"/>
    <w:rsid w:val="00AB53F6"/>
    <w:rsid w:val="00AB5534"/>
    <w:rsid w:val="00AB569F"/>
    <w:rsid w:val="00AB56D5"/>
    <w:rsid w:val="00AB58E0"/>
    <w:rsid w:val="00AB5D57"/>
    <w:rsid w:val="00AB5E42"/>
    <w:rsid w:val="00AB5E4D"/>
    <w:rsid w:val="00AB5EF3"/>
    <w:rsid w:val="00AB6034"/>
    <w:rsid w:val="00AB60CD"/>
    <w:rsid w:val="00AB6122"/>
    <w:rsid w:val="00AB657A"/>
    <w:rsid w:val="00AB6766"/>
    <w:rsid w:val="00AB67E7"/>
    <w:rsid w:val="00AB6888"/>
    <w:rsid w:val="00AB68AC"/>
    <w:rsid w:val="00AB68D8"/>
    <w:rsid w:val="00AB6A58"/>
    <w:rsid w:val="00AB6C2D"/>
    <w:rsid w:val="00AB6CDA"/>
    <w:rsid w:val="00AB6D8E"/>
    <w:rsid w:val="00AB6E0F"/>
    <w:rsid w:val="00AB6F03"/>
    <w:rsid w:val="00AB7275"/>
    <w:rsid w:val="00AB76ED"/>
    <w:rsid w:val="00AB7871"/>
    <w:rsid w:val="00AB795B"/>
    <w:rsid w:val="00AB7ABD"/>
    <w:rsid w:val="00AB7BC2"/>
    <w:rsid w:val="00AB7DF4"/>
    <w:rsid w:val="00AC0035"/>
    <w:rsid w:val="00AC0182"/>
    <w:rsid w:val="00AC024A"/>
    <w:rsid w:val="00AC0471"/>
    <w:rsid w:val="00AC04AD"/>
    <w:rsid w:val="00AC070F"/>
    <w:rsid w:val="00AC0B7C"/>
    <w:rsid w:val="00AC0C32"/>
    <w:rsid w:val="00AC0EA9"/>
    <w:rsid w:val="00AC0F10"/>
    <w:rsid w:val="00AC1071"/>
    <w:rsid w:val="00AC124A"/>
    <w:rsid w:val="00AC1273"/>
    <w:rsid w:val="00AC1291"/>
    <w:rsid w:val="00AC14A3"/>
    <w:rsid w:val="00AC1ABD"/>
    <w:rsid w:val="00AC1C15"/>
    <w:rsid w:val="00AC1E21"/>
    <w:rsid w:val="00AC1F57"/>
    <w:rsid w:val="00AC226E"/>
    <w:rsid w:val="00AC23FD"/>
    <w:rsid w:val="00AC25A2"/>
    <w:rsid w:val="00AC2842"/>
    <w:rsid w:val="00AC287B"/>
    <w:rsid w:val="00AC2950"/>
    <w:rsid w:val="00AC2CD6"/>
    <w:rsid w:val="00AC2D23"/>
    <w:rsid w:val="00AC30BE"/>
    <w:rsid w:val="00AC336B"/>
    <w:rsid w:val="00AC368A"/>
    <w:rsid w:val="00AC369B"/>
    <w:rsid w:val="00AC42BD"/>
    <w:rsid w:val="00AC42EC"/>
    <w:rsid w:val="00AC4365"/>
    <w:rsid w:val="00AC455C"/>
    <w:rsid w:val="00AC4752"/>
    <w:rsid w:val="00AC4763"/>
    <w:rsid w:val="00AC48BA"/>
    <w:rsid w:val="00AC4904"/>
    <w:rsid w:val="00AC4A36"/>
    <w:rsid w:val="00AC4B1A"/>
    <w:rsid w:val="00AC4B95"/>
    <w:rsid w:val="00AC4C0F"/>
    <w:rsid w:val="00AC4E60"/>
    <w:rsid w:val="00AC4E95"/>
    <w:rsid w:val="00AC4E9F"/>
    <w:rsid w:val="00AC4F2A"/>
    <w:rsid w:val="00AC52D8"/>
    <w:rsid w:val="00AC56FB"/>
    <w:rsid w:val="00AC5F59"/>
    <w:rsid w:val="00AC61C3"/>
    <w:rsid w:val="00AC61E1"/>
    <w:rsid w:val="00AC62C7"/>
    <w:rsid w:val="00AC6368"/>
    <w:rsid w:val="00AC6425"/>
    <w:rsid w:val="00AC64E9"/>
    <w:rsid w:val="00AC650D"/>
    <w:rsid w:val="00AC661F"/>
    <w:rsid w:val="00AC675C"/>
    <w:rsid w:val="00AC683B"/>
    <w:rsid w:val="00AC6977"/>
    <w:rsid w:val="00AC6DC3"/>
    <w:rsid w:val="00AC6E58"/>
    <w:rsid w:val="00AC72C2"/>
    <w:rsid w:val="00AC76FB"/>
    <w:rsid w:val="00AC7C1A"/>
    <w:rsid w:val="00AC7C1C"/>
    <w:rsid w:val="00AC7C34"/>
    <w:rsid w:val="00AC7D8E"/>
    <w:rsid w:val="00AC7DF1"/>
    <w:rsid w:val="00AC7FF1"/>
    <w:rsid w:val="00AD042E"/>
    <w:rsid w:val="00AD0511"/>
    <w:rsid w:val="00AD0535"/>
    <w:rsid w:val="00AD0719"/>
    <w:rsid w:val="00AD07AF"/>
    <w:rsid w:val="00AD0937"/>
    <w:rsid w:val="00AD0BA6"/>
    <w:rsid w:val="00AD0DD6"/>
    <w:rsid w:val="00AD0FEA"/>
    <w:rsid w:val="00AD10E8"/>
    <w:rsid w:val="00AD1112"/>
    <w:rsid w:val="00AD1248"/>
    <w:rsid w:val="00AD135D"/>
    <w:rsid w:val="00AD171E"/>
    <w:rsid w:val="00AD1A8C"/>
    <w:rsid w:val="00AD1A8D"/>
    <w:rsid w:val="00AD1B3A"/>
    <w:rsid w:val="00AD1D58"/>
    <w:rsid w:val="00AD1ECD"/>
    <w:rsid w:val="00AD21E1"/>
    <w:rsid w:val="00AD22A7"/>
    <w:rsid w:val="00AD2473"/>
    <w:rsid w:val="00AD24A1"/>
    <w:rsid w:val="00AD2A5E"/>
    <w:rsid w:val="00AD2AE6"/>
    <w:rsid w:val="00AD2B51"/>
    <w:rsid w:val="00AD2BA9"/>
    <w:rsid w:val="00AD2BD5"/>
    <w:rsid w:val="00AD2C5D"/>
    <w:rsid w:val="00AD2D51"/>
    <w:rsid w:val="00AD2FA9"/>
    <w:rsid w:val="00AD322A"/>
    <w:rsid w:val="00AD3489"/>
    <w:rsid w:val="00AD368E"/>
    <w:rsid w:val="00AD3D20"/>
    <w:rsid w:val="00AD3E0E"/>
    <w:rsid w:val="00AD3F4A"/>
    <w:rsid w:val="00AD3F97"/>
    <w:rsid w:val="00AD40AE"/>
    <w:rsid w:val="00AD40E9"/>
    <w:rsid w:val="00AD41B9"/>
    <w:rsid w:val="00AD42FB"/>
    <w:rsid w:val="00AD47D5"/>
    <w:rsid w:val="00AD49C4"/>
    <w:rsid w:val="00AD49E3"/>
    <w:rsid w:val="00AD4AAE"/>
    <w:rsid w:val="00AD4C45"/>
    <w:rsid w:val="00AD4F89"/>
    <w:rsid w:val="00AD5170"/>
    <w:rsid w:val="00AD536E"/>
    <w:rsid w:val="00AD538E"/>
    <w:rsid w:val="00AD5586"/>
    <w:rsid w:val="00AD55BD"/>
    <w:rsid w:val="00AD5755"/>
    <w:rsid w:val="00AD5759"/>
    <w:rsid w:val="00AD57E5"/>
    <w:rsid w:val="00AD581E"/>
    <w:rsid w:val="00AD5C7E"/>
    <w:rsid w:val="00AD5D25"/>
    <w:rsid w:val="00AD631A"/>
    <w:rsid w:val="00AD638C"/>
    <w:rsid w:val="00AD65B3"/>
    <w:rsid w:val="00AD67C9"/>
    <w:rsid w:val="00AD67E2"/>
    <w:rsid w:val="00AD6893"/>
    <w:rsid w:val="00AD6B8A"/>
    <w:rsid w:val="00AD6D49"/>
    <w:rsid w:val="00AD6DF2"/>
    <w:rsid w:val="00AD6E75"/>
    <w:rsid w:val="00AD6EA7"/>
    <w:rsid w:val="00AD7127"/>
    <w:rsid w:val="00AD7294"/>
    <w:rsid w:val="00AD751D"/>
    <w:rsid w:val="00AD7549"/>
    <w:rsid w:val="00AD758B"/>
    <w:rsid w:val="00AD7A96"/>
    <w:rsid w:val="00AD7B33"/>
    <w:rsid w:val="00AE0021"/>
    <w:rsid w:val="00AE00D0"/>
    <w:rsid w:val="00AE062C"/>
    <w:rsid w:val="00AE0B7B"/>
    <w:rsid w:val="00AE0C31"/>
    <w:rsid w:val="00AE10BC"/>
    <w:rsid w:val="00AE10D1"/>
    <w:rsid w:val="00AE1114"/>
    <w:rsid w:val="00AE1358"/>
    <w:rsid w:val="00AE13F7"/>
    <w:rsid w:val="00AE17F2"/>
    <w:rsid w:val="00AE185E"/>
    <w:rsid w:val="00AE1975"/>
    <w:rsid w:val="00AE1BDD"/>
    <w:rsid w:val="00AE1CCE"/>
    <w:rsid w:val="00AE1E95"/>
    <w:rsid w:val="00AE1F65"/>
    <w:rsid w:val="00AE22E2"/>
    <w:rsid w:val="00AE26F3"/>
    <w:rsid w:val="00AE2849"/>
    <w:rsid w:val="00AE2887"/>
    <w:rsid w:val="00AE292B"/>
    <w:rsid w:val="00AE2989"/>
    <w:rsid w:val="00AE2BBB"/>
    <w:rsid w:val="00AE2BF4"/>
    <w:rsid w:val="00AE2CF9"/>
    <w:rsid w:val="00AE2D72"/>
    <w:rsid w:val="00AE2EBB"/>
    <w:rsid w:val="00AE3100"/>
    <w:rsid w:val="00AE3274"/>
    <w:rsid w:val="00AE3562"/>
    <w:rsid w:val="00AE37E9"/>
    <w:rsid w:val="00AE38B6"/>
    <w:rsid w:val="00AE3B00"/>
    <w:rsid w:val="00AE3CAF"/>
    <w:rsid w:val="00AE3D77"/>
    <w:rsid w:val="00AE3FA7"/>
    <w:rsid w:val="00AE4208"/>
    <w:rsid w:val="00AE4301"/>
    <w:rsid w:val="00AE43FA"/>
    <w:rsid w:val="00AE4725"/>
    <w:rsid w:val="00AE4740"/>
    <w:rsid w:val="00AE47D0"/>
    <w:rsid w:val="00AE4AF4"/>
    <w:rsid w:val="00AE4CAB"/>
    <w:rsid w:val="00AE4E14"/>
    <w:rsid w:val="00AE514C"/>
    <w:rsid w:val="00AE51D0"/>
    <w:rsid w:val="00AE5475"/>
    <w:rsid w:val="00AE54CC"/>
    <w:rsid w:val="00AE54D5"/>
    <w:rsid w:val="00AE5530"/>
    <w:rsid w:val="00AE572E"/>
    <w:rsid w:val="00AE5E48"/>
    <w:rsid w:val="00AE603B"/>
    <w:rsid w:val="00AE6734"/>
    <w:rsid w:val="00AE677D"/>
    <w:rsid w:val="00AE68CD"/>
    <w:rsid w:val="00AE698F"/>
    <w:rsid w:val="00AE6ACE"/>
    <w:rsid w:val="00AE713F"/>
    <w:rsid w:val="00AE71CF"/>
    <w:rsid w:val="00AE73DC"/>
    <w:rsid w:val="00AE7787"/>
    <w:rsid w:val="00AE79DC"/>
    <w:rsid w:val="00AE7C3B"/>
    <w:rsid w:val="00AE7CFA"/>
    <w:rsid w:val="00AF0514"/>
    <w:rsid w:val="00AF06E1"/>
    <w:rsid w:val="00AF081E"/>
    <w:rsid w:val="00AF0B84"/>
    <w:rsid w:val="00AF1158"/>
    <w:rsid w:val="00AF1185"/>
    <w:rsid w:val="00AF14D5"/>
    <w:rsid w:val="00AF1555"/>
    <w:rsid w:val="00AF157B"/>
    <w:rsid w:val="00AF16BE"/>
    <w:rsid w:val="00AF1705"/>
    <w:rsid w:val="00AF19B1"/>
    <w:rsid w:val="00AF1BD9"/>
    <w:rsid w:val="00AF1D6D"/>
    <w:rsid w:val="00AF1DD9"/>
    <w:rsid w:val="00AF1DFE"/>
    <w:rsid w:val="00AF1E80"/>
    <w:rsid w:val="00AF1F3B"/>
    <w:rsid w:val="00AF1F66"/>
    <w:rsid w:val="00AF20F2"/>
    <w:rsid w:val="00AF2296"/>
    <w:rsid w:val="00AF2297"/>
    <w:rsid w:val="00AF29A2"/>
    <w:rsid w:val="00AF2A65"/>
    <w:rsid w:val="00AF2DAF"/>
    <w:rsid w:val="00AF2F72"/>
    <w:rsid w:val="00AF30B1"/>
    <w:rsid w:val="00AF30C1"/>
    <w:rsid w:val="00AF315E"/>
    <w:rsid w:val="00AF3244"/>
    <w:rsid w:val="00AF3247"/>
    <w:rsid w:val="00AF3569"/>
    <w:rsid w:val="00AF3599"/>
    <w:rsid w:val="00AF35A5"/>
    <w:rsid w:val="00AF369B"/>
    <w:rsid w:val="00AF37D6"/>
    <w:rsid w:val="00AF38DF"/>
    <w:rsid w:val="00AF3A3C"/>
    <w:rsid w:val="00AF3B77"/>
    <w:rsid w:val="00AF3E25"/>
    <w:rsid w:val="00AF3F48"/>
    <w:rsid w:val="00AF3F6D"/>
    <w:rsid w:val="00AF40AF"/>
    <w:rsid w:val="00AF444B"/>
    <w:rsid w:val="00AF44AC"/>
    <w:rsid w:val="00AF46A0"/>
    <w:rsid w:val="00AF4776"/>
    <w:rsid w:val="00AF4891"/>
    <w:rsid w:val="00AF48B7"/>
    <w:rsid w:val="00AF48D9"/>
    <w:rsid w:val="00AF4B9D"/>
    <w:rsid w:val="00AF4C61"/>
    <w:rsid w:val="00AF4DB8"/>
    <w:rsid w:val="00AF4F25"/>
    <w:rsid w:val="00AF4FA1"/>
    <w:rsid w:val="00AF5001"/>
    <w:rsid w:val="00AF5503"/>
    <w:rsid w:val="00AF561F"/>
    <w:rsid w:val="00AF5634"/>
    <w:rsid w:val="00AF56B4"/>
    <w:rsid w:val="00AF5780"/>
    <w:rsid w:val="00AF5934"/>
    <w:rsid w:val="00AF59E7"/>
    <w:rsid w:val="00AF5C53"/>
    <w:rsid w:val="00AF5C88"/>
    <w:rsid w:val="00AF5CB7"/>
    <w:rsid w:val="00AF5E57"/>
    <w:rsid w:val="00AF6005"/>
    <w:rsid w:val="00AF6050"/>
    <w:rsid w:val="00AF61F0"/>
    <w:rsid w:val="00AF63C5"/>
    <w:rsid w:val="00AF677C"/>
    <w:rsid w:val="00AF6979"/>
    <w:rsid w:val="00AF69CD"/>
    <w:rsid w:val="00AF6AB6"/>
    <w:rsid w:val="00AF6C8A"/>
    <w:rsid w:val="00AF6CC8"/>
    <w:rsid w:val="00AF6CDC"/>
    <w:rsid w:val="00AF6E7C"/>
    <w:rsid w:val="00AF6EDD"/>
    <w:rsid w:val="00AF7167"/>
    <w:rsid w:val="00AF7180"/>
    <w:rsid w:val="00AF7183"/>
    <w:rsid w:val="00AF7477"/>
    <w:rsid w:val="00AF7674"/>
    <w:rsid w:val="00AF7BB5"/>
    <w:rsid w:val="00AF7CCF"/>
    <w:rsid w:val="00AFD2DD"/>
    <w:rsid w:val="00B00006"/>
    <w:rsid w:val="00B003E4"/>
    <w:rsid w:val="00B00650"/>
    <w:rsid w:val="00B0083C"/>
    <w:rsid w:val="00B0088F"/>
    <w:rsid w:val="00B00A91"/>
    <w:rsid w:val="00B00B97"/>
    <w:rsid w:val="00B00BA1"/>
    <w:rsid w:val="00B00EA0"/>
    <w:rsid w:val="00B00FC9"/>
    <w:rsid w:val="00B0101A"/>
    <w:rsid w:val="00B01340"/>
    <w:rsid w:val="00B013AD"/>
    <w:rsid w:val="00B0144B"/>
    <w:rsid w:val="00B015AA"/>
    <w:rsid w:val="00B01693"/>
    <w:rsid w:val="00B01825"/>
    <w:rsid w:val="00B0183E"/>
    <w:rsid w:val="00B01C6F"/>
    <w:rsid w:val="00B02029"/>
    <w:rsid w:val="00B0213E"/>
    <w:rsid w:val="00B021AB"/>
    <w:rsid w:val="00B026C3"/>
    <w:rsid w:val="00B0292F"/>
    <w:rsid w:val="00B033C1"/>
    <w:rsid w:val="00B03712"/>
    <w:rsid w:val="00B0375F"/>
    <w:rsid w:val="00B03794"/>
    <w:rsid w:val="00B037E7"/>
    <w:rsid w:val="00B03924"/>
    <w:rsid w:val="00B03B4E"/>
    <w:rsid w:val="00B03BB8"/>
    <w:rsid w:val="00B03C12"/>
    <w:rsid w:val="00B03C9E"/>
    <w:rsid w:val="00B03DFB"/>
    <w:rsid w:val="00B0405F"/>
    <w:rsid w:val="00B04144"/>
    <w:rsid w:val="00B04404"/>
    <w:rsid w:val="00B049CF"/>
    <w:rsid w:val="00B04A81"/>
    <w:rsid w:val="00B04AB5"/>
    <w:rsid w:val="00B04AC7"/>
    <w:rsid w:val="00B04D91"/>
    <w:rsid w:val="00B04F10"/>
    <w:rsid w:val="00B05060"/>
    <w:rsid w:val="00B05075"/>
    <w:rsid w:val="00B05488"/>
    <w:rsid w:val="00B055F0"/>
    <w:rsid w:val="00B05606"/>
    <w:rsid w:val="00B0565C"/>
    <w:rsid w:val="00B057EA"/>
    <w:rsid w:val="00B0588E"/>
    <w:rsid w:val="00B05A18"/>
    <w:rsid w:val="00B05AF2"/>
    <w:rsid w:val="00B05B64"/>
    <w:rsid w:val="00B05BF4"/>
    <w:rsid w:val="00B05C57"/>
    <w:rsid w:val="00B05D6D"/>
    <w:rsid w:val="00B05E64"/>
    <w:rsid w:val="00B05EE5"/>
    <w:rsid w:val="00B05F3F"/>
    <w:rsid w:val="00B060D3"/>
    <w:rsid w:val="00B0623D"/>
    <w:rsid w:val="00B0637B"/>
    <w:rsid w:val="00B063D3"/>
    <w:rsid w:val="00B06576"/>
    <w:rsid w:val="00B0660D"/>
    <w:rsid w:val="00B06646"/>
    <w:rsid w:val="00B06898"/>
    <w:rsid w:val="00B06953"/>
    <w:rsid w:val="00B06A27"/>
    <w:rsid w:val="00B06C39"/>
    <w:rsid w:val="00B06DA2"/>
    <w:rsid w:val="00B06DCF"/>
    <w:rsid w:val="00B06E00"/>
    <w:rsid w:val="00B06F8A"/>
    <w:rsid w:val="00B06FA5"/>
    <w:rsid w:val="00B06FBB"/>
    <w:rsid w:val="00B071E3"/>
    <w:rsid w:val="00B07206"/>
    <w:rsid w:val="00B0742E"/>
    <w:rsid w:val="00B07488"/>
    <w:rsid w:val="00B076D1"/>
    <w:rsid w:val="00B07719"/>
    <w:rsid w:val="00B07DC0"/>
    <w:rsid w:val="00B07E5A"/>
    <w:rsid w:val="00B10207"/>
    <w:rsid w:val="00B10262"/>
    <w:rsid w:val="00B10294"/>
    <w:rsid w:val="00B104AF"/>
    <w:rsid w:val="00B1050C"/>
    <w:rsid w:val="00B10681"/>
    <w:rsid w:val="00B10685"/>
    <w:rsid w:val="00B1073A"/>
    <w:rsid w:val="00B107DE"/>
    <w:rsid w:val="00B10821"/>
    <w:rsid w:val="00B10855"/>
    <w:rsid w:val="00B1098E"/>
    <w:rsid w:val="00B10C2D"/>
    <w:rsid w:val="00B10C79"/>
    <w:rsid w:val="00B10C94"/>
    <w:rsid w:val="00B112A6"/>
    <w:rsid w:val="00B1139E"/>
    <w:rsid w:val="00B115DE"/>
    <w:rsid w:val="00B11761"/>
    <w:rsid w:val="00B1190D"/>
    <w:rsid w:val="00B11ACD"/>
    <w:rsid w:val="00B11AF3"/>
    <w:rsid w:val="00B11D83"/>
    <w:rsid w:val="00B12293"/>
    <w:rsid w:val="00B1233B"/>
    <w:rsid w:val="00B123F8"/>
    <w:rsid w:val="00B12422"/>
    <w:rsid w:val="00B125F0"/>
    <w:rsid w:val="00B12982"/>
    <w:rsid w:val="00B12B63"/>
    <w:rsid w:val="00B12CF5"/>
    <w:rsid w:val="00B12D39"/>
    <w:rsid w:val="00B1319C"/>
    <w:rsid w:val="00B1323A"/>
    <w:rsid w:val="00B13290"/>
    <w:rsid w:val="00B132DB"/>
    <w:rsid w:val="00B138FA"/>
    <w:rsid w:val="00B1390A"/>
    <w:rsid w:val="00B13D1A"/>
    <w:rsid w:val="00B13E75"/>
    <w:rsid w:val="00B14247"/>
    <w:rsid w:val="00B142C0"/>
    <w:rsid w:val="00B144F8"/>
    <w:rsid w:val="00B145DF"/>
    <w:rsid w:val="00B146A6"/>
    <w:rsid w:val="00B1488F"/>
    <w:rsid w:val="00B14A28"/>
    <w:rsid w:val="00B14AC5"/>
    <w:rsid w:val="00B14AF1"/>
    <w:rsid w:val="00B14C94"/>
    <w:rsid w:val="00B14DA4"/>
    <w:rsid w:val="00B14DC7"/>
    <w:rsid w:val="00B14DEC"/>
    <w:rsid w:val="00B15320"/>
    <w:rsid w:val="00B15472"/>
    <w:rsid w:val="00B1549A"/>
    <w:rsid w:val="00B15785"/>
    <w:rsid w:val="00B158F7"/>
    <w:rsid w:val="00B15E96"/>
    <w:rsid w:val="00B15EBE"/>
    <w:rsid w:val="00B160A1"/>
    <w:rsid w:val="00B16359"/>
    <w:rsid w:val="00B164B3"/>
    <w:rsid w:val="00B16595"/>
    <w:rsid w:val="00B165B8"/>
    <w:rsid w:val="00B1660E"/>
    <w:rsid w:val="00B1697C"/>
    <w:rsid w:val="00B16C0A"/>
    <w:rsid w:val="00B16CB7"/>
    <w:rsid w:val="00B16FA1"/>
    <w:rsid w:val="00B172EE"/>
    <w:rsid w:val="00B17761"/>
    <w:rsid w:val="00B17BD8"/>
    <w:rsid w:val="00B17E25"/>
    <w:rsid w:val="00B2009C"/>
    <w:rsid w:val="00B200B4"/>
    <w:rsid w:val="00B200CE"/>
    <w:rsid w:val="00B2032A"/>
    <w:rsid w:val="00B203E2"/>
    <w:rsid w:val="00B20461"/>
    <w:rsid w:val="00B20F4F"/>
    <w:rsid w:val="00B2118C"/>
    <w:rsid w:val="00B2120B"/>
    <w:rsid w:val="00B212F4"/>
    <w:rsid w:val="00B215C6"/>
    <w:rsid w:val="00B2181D"/>
    <w:rsid w:val="00B2186D"/>
    <w:rsid w:val="00B219B3"/>
    <w:rsid w:val="00B21C87"/>
    <w:rsid w:val="00B21D82"/>
    <w:rsid w:val="00B21E74"/>
    <w:rsid w:val="00B22128"/>
    <w:rsid w:val="00B22152"/>
    <w:rsid w:val="00B223C9"/>
    <w:rsid w:val="00B22496"/>
    <w:rsid w:val="00B225B9"/>
    <w:rsid w:val="00B2261D"/>
    <w:rsid w:val="00B227C9"/>
    <w:rsid w:val="00B229DA"/>
    <w:rsid w:val="00B22A77"/>
    <w:rsid w:val="00B22ABB"/>
    <w:rsid w:val="00B22CB5"/>
    <w:rsid w:val="00B22EAB"/>
    <w:rsid w:val="00B22F09"/>
    <w:rsid w:val="00B22FFC"/>
    <w:rsid w:val="00B230AE"/>
    <w:rsid w:val="00B23165"/>
    <w:rsid w:val="00B231FA"/>
    <w:rsid w:val="00B232CB"/>
    <w:rsid w:val="00B2358F"/>
    <w:rsid w:val="00B2368E"/>
    <w:rsid w:val="00B236F0"/>
    <w:rsid w:val="00B2383A"/>
    <w:rsid w:val="00B2385F"/>
    <w:rsid w:val="00B23990"/>
    <w:rsid w:val="00B239DD"/>
    <w:rsid w:val="00B23C7C"/>
    <w:rsid w:val="00B23C81"/>
    <w:rsid w:val="00B23E8F"/>
    <w:rsid w:val="00B23FBC"/>
    <w:rsid w:val="00B2438C"/>
    <w:rsid w:val="00B2466C"/>
    <w:rsid w:val="00B246A3"/>
    <w:rsid w:val="00B246F6"/>
    <w:rsid w:val="00B2478E"/>
    <w:rsid w:val="00B24A75"/>
    <w:rsid w:val="00B24A96"/>
    <w:rsid w:val="00B24AC3"/>
    <w:rsid w:val="00B24EA9"/>
    <w:rsid w:val="00B24FA4"/>
    <w:rsid w:val="00B25113"/>
    <w:rsid w:val="00B2527D"/>
    <w:rsid w:val="00B2542E"/>
    <w:rsid w:val="00B2557F"/>
    <w:rsid w:val="00B256BD"/>
    <w:rsid w:val="00B25928"/>
    <w:rsid w:val="00B25CD7"/>
    <w:rsid w:val="00B25DDD"/>
    <w:rsid w:val="00B25FBD"/>
    <w:rsid w:val="00B262F9"/>
    <w:rsid w:val="00B26387"/>
    <w:rsid w:val="00B2658C"/>
    <w:rsid w:val="00B265A4"/>
    <w:rsid w:val="00B2662D"/>
    <w:rsid w:val="00B26AA5"/>
    <w:rsid w:val="00B26C8E"/>
    <w:rsid w:val="00B26E28"/>
    <w:rsid w:val="00B26EAF"/>
    <w:rsid w:val="00B27010"/>
    <w:rsid w:val="00B2705D"/>
    <w:rsid w:val="00B2706F"/>
    <w:rsid w:val="00B27075"/>
    <w:rsid w:val="00B27095"/>
    <w:rsid w:val="00B270B5"/>
    <w:rsid w:val="00B270B6"/>
    <w:rsid w:val="00B271A1"/>
    <w:rsid w:val="00B27347"/>
    <w:rsid w:val="00B27460"/>
    <w:rsid w:val="00B2747F"/>
    <w:rsid w:val="00B27619"/>
    <w:rsid w:val="00B27D7E"/>
    <w:rsid w:val="00B27E60"/>
    <w:rsid w:val="00B27F8A"/>
    <w:rsid w:val="00B30175"/>
    <w:rsid w:val="00B3022C"/>
    <w:rsid w:val="00B30285"/>
    <w:rsid w:val="00B30300"/>
    <w:rsid w:val="00B307B9"/>
    <w:rsid w:val="00B3082F"/>
    <w:rsid w:val="00B30904"/>
    <w:rsid w:val="00B30A84"/>
    <w:rsid w:val="00B30ADB"/>
    <w:rsid w:val="00B30D21"/>
    <w:rsid w:val="00B30DA7"/>
    <w:rsid w:val="00B30F12"/>
    <w:rsid w:val="00B311A0"/>
    <w:rsid w:val="00B31572"/>
    <w:rsid w:val="00B3175B"/>
    <w:rsid w:val="00B31AC9"/>
    <w:rsid w:val="00B31DAF"/>
    <w:rsid w:val="00B32219"/>
    <w:rsid w:val="00B324A6"/>
    <w:rsid w:val="00B325AB"/>
    <w:rsid w:val="00B3263B"/>
    <w:rsid w:val="00B3269C"/>
    <w:rsid w:val="00B32994"/>
    <w:rsid w:val="00B32B53"/>
    <w:rsid w:val="00B33054"/>
    <w:rsid w:val="00B331B2"/>
    <w:rsid w:val="00B33531"/>
    <w:rsid w:val="00B33626"/>
    <w:rsid w:val="00B338BD"/>
    <w:rsid w:val="00B3391B"/>
    <w:rsid w:val="00B339A8"/>
    <w:rsid w:val="00B33B14"/>
    <w:rsid w:val="00B33B45"/>
    <w:rsid w:val="00B33D04"/>
    <w:rsid w:val="00B33E26"/>
    <w:rsid w:val="00B33F6F"/>
    <w:rsid w:val="00B33FB2"/>
    <w:rsid w:val="00B3402A"/>
    <w:rsid w:val="00B343E4"/>
    <w:rsid w:val="00B3448A"/>
    <w:rsid w:val="00B3456E"/>
    <w:rsid w:val="00B3494A"/>
    <w:rsid w:val="00B34C36"/>
    <w:rsid w:val="00B34CDD"/>
    <w:rsid w:val="00B34CDE"/>
    <w:rsid w:val="00B34F0D"/>
    <w:rsid w:val="00B351E2"/>
    <w:rsid w:val="00B3562A"/>
    <w:rsid w:val="00B35B5D"/>
    <w:rsid w:val="00B3627D"/>
    <w:rsid w:val="00B3632B"/>
    <w:rsid w:val="00B36449"/>
    <w:rsid w:val="00B3695E"/>
    <w:rsid w:val="00B36E91"/>
    <w:rsid w:val="00B37035"/>
    <w:rsid w:val="00B37094"/>
    <w:rsid w:val="00B3712E"/>
    <w:rsid w:val="00B37382"/>
    <w:rsid w:val="00B37B29"/>
    <w:rsid w:val="00B37B7E"/>
    <w:rsid w:val="00B37E4B"/>
    <w:rsid w:val="00B3F39D"/>
    <w:rsid w:val="00B401B2"/>
    <w:rsid w:val="00B4049D"/>
    <w:rsid w:val="00B40CCD"/>
    <w:rsid w:val="00B40CF0"/>
    <w:rsid w:val="00B4108F"/>
    <w:rsid w:val="00B4113E"/>
    <w:rsid w:val="00B41561"/>
    <w:rsid w:val="00B415B8"/>
    <w:rsid w:val="00B41733"/>
    <w:rsid w:val="00B419D9"/>
    <w:rsid w:val="00B41B64"/>
    <w:rsid w:val="00B42128"/>
    <w:rsid w:val="00B424CD"/>
    <w:rsid w:val="00B42539"/>
    <w:rsid w:val="00B425A3"/>
    <w:rsid w:val="00B426D6"/>
    <w:rsid w:val="00B42768"/>
    <w:rsid w:val="00B42900"/>
    <w:rsid w:val="00B42AFF"/>
    <w:rsid w:val="00B42B9C"/>
    <w:rsid w:val="00B42B9E"/>
    <w:rsid w:val="00B42CE7"/>
    <w:rsid w:val="00B42E67"/>
    <w:rsid w:val="00B431D5"/>
    <w:rsid w:val="00B432D3"/>
    <w:rsid w:val="00B434E5"/>
    <w:rsid w:val="00B43581"/>
    <w:rsid w:val="00B4393C"/>
    <w:rsid w:val="00B43B28"/>
    <w:rsid w:val="00B43B85"/>
    <w:rsid w:val="00B43C95"/>
    <w:rsid w:val="00B43DF3"/>
    <w:rsid w:val="00B43F7A"/>
    <w:rsid w:val="00B44017"/>
    <w:rsid w:val="00B44097"/>
    <w:rsid w:val="00B44427"/>
    <w:rsid w:val="00B44763"/>
    <w:rsid w:val="00B449A5"/>
    <w:rsid w:val="00B44A70"/>
    <w:rsid w:val="00B44A75"/>
    <w:rsid w:val="00B44BDE"/>
    <w:rsid w:val="00B44C02"/>
    <w:rsid w:val="00B44E5A"/>
    <w:rsid w:val="00B44FEA"/>
    <w:rsid w:val="00B4514F"/>
    <w:rsid w:val="00B45218"/>
    <w:rsid w:val="00B452A1"/>
    <w:rsid w:val="00B45346"/>
    <w:rsid w:val="00B453BE"/>
    <w:rsid w:val="00B45484"/>
    <w:rsid w:val="00B4564A"/>
    <w:rsid w:val="00B457BF"/>
    <w:rsid w:val="00B457EC"/>
    <w:rsid w:val="00B458BB"/>
    <w:rsid w:val="00B45A87"/>
    <w:rsid w:val="00B45B7C"/>
    <w:rsid w:val="00B45BE9"/>
    <w:rsid w:val="00B45C10"/>
    <w:rsid w:val="00B45C55"/>
    <w:rsid w:val="00B45ED6"/>
    <w:rsid w:val="00B45EF5"/>
    <w:rsid w:val="00B45F4B"/>
    <w:rsid w:val="00B4630A"/>
    <w:rsid w:val="00B465AC"/>
    <w:rsid w:val="00B46668"/>
    <w:rsid w:val="00B467C4"/>
    <w:rsid w:val="00B46A6F"/>
    <w:rsid w:val="00B46EA8"/>
    <w:rsid w:val="00B46F0D"/>
    <w:rsid w:val="00B46F42"/>
    <w:rsid w:val="00B47017"/>
    <w:rsid w:val="00B470A0"/>
    <w:rsid w:val="00B473D8"/>
    <w:rsid w:val="00B473E9"/>
    <w:rsid w:val="00B474CF"/>
    <w:rsid w:val="00B47541"/>
    <w:rsid w:val="00B4757D"/>
    <w:rsid w:val="00B47584"/>
    <w:rsid w:val="00B4765F"/>
    <w:rsid w:val="00B47897"/>
    <w:rsid w:val="00B47931"/>
    <w:rsid w:val="00B47E3E"/>
    <w:rsid w:val="00B47E47"/>
    <w:rsid w:val="00B47FEE"/>
    <w:rsid w:val="00B5012C"/>
    <w:rsid w:val="00B501D5"/>
    <w:rsid w:val="00B501F2"/>
    <w:rsid w:val="00B502E5"/>
    <w:rsid w:val="00B50490"/>
    <w:rsid w:val="00B504C9"/>
    <w:rsid w:val="00B505DA"/>
    <w:rsid w:val="00B50A9F"/>
    <w:rsid w:val="00B50AEC"/>
    <w:rsid w:val="00B5110B"/>
    <w:rsid w:val="00B5147A"/>
    <w:rsid w:val="00B517AC"/>
    <w:rsid w:val="00B51DD9"/>
    <w:rsid w:val="00B520A4"/>
    <w:rsid w:val="00B52163"/>
    <w:rsid w:val="00B5220A"/>
    <w:rsid w:val="00B5235B"/>
    <w:rsid w:val="00B5236A"/>
    <w:rsid w:val="00B52378"/>
    <w:rsid w:val="00B52548"/>
    <w:rsid w:val="00B52770"/>
    <w:rsid w:val="00B52913"/>
    <w:rsid w:val="00B52994"/>
    <w:rsid w:val="00B52B7F"/>
    <w:rsid w:val="00B52C52"/>
    <w:rsid w:val="00B52E07"/>
    <w:rsid w:val="00B52F66"/>
    <w:rsid w:val="00B53402"/>
    <w:rsid w:val="00B53C08"/>
    <w:rsid w:val="00B53C1D"/>
    <w:rsid w:val="00B540EC"/>
    <w:rsid w:val="00B54410"/>
    <w:rsid w:val="00B5441D"/>
    <w:rsid w:val="00B54884"/>
    <w:rsid w:val="00B5495D"/>
    <w:rsid w:val="00B54983"/>
    <w:rsid w:val="00B54B12"/>
    <w:rsid w:val="00B54C04"/>
    <w:rsid w:val="00B54C42"/>
    <w:rsid w:val="00B54C4F"/>
    <w:rsid w:val="00B54C59"/>
    <w:rsid w:val="00B54D4F"/>
    <w:rsid w:val="00B54DF6"/>
    <w:rsid w:val="00B54E85"/>
    <w:rsid w:val="00B5507D"/>
    <w:rsid w:val="00B55515"/>
    <w:rsid w:val="00B55537"/>
    <w:rsid w:val="00B55648"/>
    <w:rsid w:val="00B558CF"/>
    <w:rsid w:val="00B559DE"/>
    <w:rsid w:val="00B55BCE"/>
    <w:rsid w:val="00B55BD5"/>
    <w:rsid w:val="00B55DA0"/>
    <w:rsid w:val="00B5614B"/>
    <w:rsid w:val="00B56443"/>
    <w:rsid w:val="00B56459"/>
    <w:rsid w:val="00B56843"/>
    <w:rsid w:val="00B57498"/>
    <w:rsid w:val="00B577D0"/>
    <w:rsid w:val="00B577E3"/>
    <w:rsid w:val="00B57814"/>
    <w:rsid w:val="00B57950"/>
    <w:rsid w:val="00B5795F"/>
    <w:rsid w:val="00B57B18"/>
    <w:rsid w:val="00B57CDC"/>
    <w:rsid w:val="00B57DC2"/>
    <w:rsid w:val="00B57E62"/>
    <w:rsid w:val="00B5A35C"/>
    <w:rsid w:val="00B60105"/>
    <w:rsid w:val="00B60122"/>
    <w:rsid w:val="00B60163"/>
    <w:rsid w:val="00B602BD"/>
    <w:rsid w:val="00B60456"/>
    <w:rsid w:val="00B6058F"/>
    <w:rsid w:val="00B60844"/>
    <w:rsid w:val="00B6098E"/>
    <w:rsid w:val="00B60ACF"/>
    <w:rsid w:val="00B60BD1"/>
    <w:rsid w:val="00B60E2F"/>
    <w:rsid w:val="00B60E36"/>
    <w:rsid w:val="00B61437"/>
    <w:rsid w:val="00B617C3"/>
    <w:rsid w:val="00B6194C"/>
    <w:rsid w:val="00B61A3B"/>
    <w:rsid w:val="00B61AB8"/>
    <w:rsid w:val="00B61CAA"/>
    <w:rsid w:val="00B61DCA"/>
    <w:rsid w:val="00B62598"/>
    <w:rsid w:val="00B62654"/>
    <w:rsid w:val="00B629C6"/>
    <w:rsid w:val="00B62B54"/>
    <w:rsid w:val="00B62B8C"/>
    <w:rsid w:val="00B62DB5"/>
    <w:rsid w:val="00B62E9F"/>
    <w:rsid w:val="00B62FD7"/>
    <w:rsid w:val="00B631E0"/>
    <w:rsid w:val="00B631F4"/>
    <w:rsid w:val="00B632BD"/>
    <w:rsid w:val="00B63372"/>
    <w:rsid w:val="00B63449"/>
    <w:rsid w:val="00B6347C"/>
    <w:rsid w:val="00B63548"/>
    <w:rsid w:val="00B6370D"/>
    <w:rsid w:val="00B63961"/>
    <w:rsid w:val="00B63D2A"/>
    <w:rsid w:val="00B63D81"/>
    <w:rsid w:val="00B63F14"/>
    <w:rsid w:val="00B6418C"/>
    <w:rsid w:val="00B643D6"/>
    <w:rsid w:val="00B6460E"/>
    <w:rsid w:val="00B6491D"/>
    <w:rsid w:val="00B64988"/>
    <w:rsid w:val="00B64A55"/>
    <w:rsid w:val="00B64E7C"/>
    <w:rsid w:val="00B65216"/>
    <w:rsid w:val="00B65610"/>
    <w:rsid w:val="00B65916"/>
    <w:rsid w:val="00B65BBC"/>
    <w:rsid w:val="00B6609E"/>
    <w:rsid w:val="00B664C1"/>
    <w:rsid w:val="00B66583"/>
    <w:rsid w:val="00B6660A"/>
    <w:rsid w:val="00B667AC"/>
    <w:rsid w:val="00B66894"/>
    <w:rsid w:val="00B66CBA"/>
    <w:rsid w:val="00B66F7D"/>
    <w:rsid w:val="00B67064"/>
    <w:rsid w:val="00B6711F"/>
    <w:rsid w:val="00B67124"/>
    <w:rsid w:val="00B67205"/>
    <w:rsid w:val="00B672FB"/>
    <w:rsid w:val="00B67594"/>
    <w:rsid w:val="00B67808"/>
    <w:rsid w:val="00B67942"/>
    <w:rsid w:val="00B67C63"/>
    <w:rsid w:val="00B67C99"/>
    <w:rsid w:val="00B67D67"/>
    <w:rsid w:val="00B70053"/>
    <w:rsid w:val="00B7026E"/>
    <w:rsid w:val="00B702C9"/>
    <w:rsid w:val="00B702EC"/>
    <w:rsid w:val="00B705CE"/>
    <w:rsid w:val="00B70684"/>
    <w:rsid w:val="00B706D9"/>
    <w:rsid w:val="00B70892"/>
    <w:rsid w:val="00B70AD2"/>
    <w:rsid w:val="00B70AD5"/>
    <w:rsid w:val="00B70B78"/>
    <w:rsid w:val="00B70B81"/>
    <w:rsid w:val="00B70E83"/>
    <w:rsid w:val="00B70FE0"/>
    <w:rsid w:val="00B71011"/>
    <w:rsid w:val="00B71417"/>
    <w:rsid w:val="00B71475"/>
    <w:rsid w:val="00B714D3"/>
    <w:rsid w:val="00B715EF"/>
    <w:rsid w:val="00B71C1A"/>
    <w:rsid w:val="00B71C71"/>
    <w:rsid w:val="00B71D3F"/>
    <w:rsid w:val="00B71F2D"/>
    <w:rsid w:val="00B722E0"/>
    <w:rsid w:val="00B72530"/>
    <w:rsid w:val="00B7269A"/>
    <w:rsid w:val="00B7285F"/>
    <w:rsid w:val="00B72866"/>
    <w:rsid w:val="00B729EA"/>
    <w:rsid w:val="00B72E32"/>
    <w:rsid w:val="00B731B3"/>
    <w:rsid w:val="00B7336A"/>
    <w:rsid w:val="00B7373D"/>
    <w:rsid w:val="00B73740"/>
    <w:rsid w:val="00B73ADE"/>
    <w:rsid w:val="00B73CF1"/>
    <w:rsid w:val="00B73D22"/>
    <w:rsid w:val="00B73E1A"/>
    <w:rsid w:val="00B73EE6"/>
    <w:rsid w:val="00B73F6F"/>
    <w:rsid w:val="00B74153"/>
    <w:rsid w:val="00B742F4"/>
    <w:rsid w:val="00B74502"/>
    <w:rsid w:val="00B745BB"/>
    <w:rsid w:val="00B746E2"/>
    <w:rsid w:val="00B746FA"/>
    <w:rsid w:val="00B7473A"/>
    <w:rsid w:val="00B7482E"/>
    <w:rsid w:val="00B74A20"/>
    <w:rsid w:val="00B74CCB"/>
    <w:rsid w:val="00B74D9F"/>
    <w:rsid w:val="00B74F59"/>
    <w:rsid w:val="00B75438"/>
    <w:rsid w:val="00B7550F"/>
    <w:rsid w:val="00B759E5"/>
    <w:rsid w:val="00B75BCF"/>
    <w:rsid w:val="00B76036"/>
    <w:rsid w:val="00B76193"/>
    <w:rsid w:val="00B761B5"/>
    <w:rsid w:val="00B76665"/>
    <w:rsid w:val="00B7684D"/>
    <w:rsid w:val="00B7691C"/>
    <w:rsid w:val="00B769CE"/>
    <w:rsid w:val="00B76AB5"/>
    <w:rsid w:val="00B76F71"/>
    <w:rsid w:val="00B7707B"/>
    <w:rsid w:val="00B77215"/>
    <w:rsid w:val="00B772FC"/>
    <w:rsid w:val="00B77413"/>
    <w:rsid w:val="00B774F2"/>
    <w:rsid w:val="00B77631"/>
    <w:rsid w:val="00B776A6"/>
    <w:rsid w:val="00B778B3"/>
    <w:rsid w:val="00B7799B"/>
    <w:rsid w:val="00B77B65"/>
    <w:rsid w:val="00B77BD1"/>
    <w:rsid w:val="00B77C06"/>
    <w:rsid w:val="00B77C65"/>
    <w:rsid w:val="00B77D13"/>
    <w:rsid w:val="00B77F29"/>
    <w:rsid w:val="00B79AD7"/>
    <w:rsid w:val="00B7E8F6"/>
    <w:rsid w:val="00B80493"/>
    <w:rsid w:val="00B8063F"/>
    <w:rsid w:val="00B8099A"/>
    <w:rsid w:val="00B80A14"/>
    <w:rsid w:val="00B80A20"/>
    <w:rsid w:val="00B80CF0"/>
    <w:rsid w:val="00B80EF1"/>
    <w:rsid w:val="00B80FC2"/>
    <w:rsid w:val="00B80FE7"/>
    <w:rsid w:val="00B814C3"/>
    <w:rsid w:val="00B81564"/>
    <w:rsid w:val="00B81769"/>
    <w:rsid w:val="00B81796"/>
    <w:rsid w:val="00B8185F"/>
    <w:rsid w:val="00B81905"/>
    <w:rsid w:val="00B81B78"/>
    <w:rsid w:val="00B82169"/>
    <w:rsid w:val="00B8223C"/>
    <w:rsid w:val="00B824D9"/>
    <w:rsid w:val="00B82674"/>
    <w:rsid w:val="00B82679"/>
    <w:rsid w:val="00B82987"/>
    <w:rsid w:val="00B829E5"/>
    <w:rsid w:val="00B82A41"/>
    <w:rsid w:val="00B82A96"/>
    <w:rsid w:val="00B82AAF"/>
    <w:rsid w:val="00B82AE4"/>
    <w:rsid w:val="00B82B28"/>
    <w:rsid w:val="00B82C7E"/>
    <w:rsid w:val="00B82CDD"/>
    <w:rsid w:val="00B82CE0"/>
    <w:rsid w:val="00B82E2E"/>
    <w:rsid w:val="00B82F25"/>
    <w:rsid w:val="00B8303C"/>
    <w:rsid w:val="00B8310D"/>
    <w:rsid w:val="00B836D3"/>
    <w:rsid w:val="00B8374B"/>
    <w:rsid w:val="00B83B24"/>
    <w:rsid w:val="00B83CF2"/>
    <w:rsid w:val="00B83E31"/>
    <w:rsid w:val="00B83E88"/>
    <w:rsid w:val="00B83FF5"/>
    <w:rsid w:val="00B84145"/>
    <w:rsid w:val="00B84641"/>
    <w:rsid w:val="00B84A7B"/>
    <w:rsid w:val="00B84E52"/>
    <w:rsid w:val="00B84F28"/>
    <w:rsid w:val="00B85027"/>
    <w:rsid w:val="00B8512B"/>
    <w:rsid w:val="00B85390"/>
    <w:rsid w:val="00B8545D"/>
    <w:rsid w:val="00B855C9"/>
    <w:rsid w:val="00B858CB"/>
    <w:rsid w:val="00B85959"/>
    <w:rsid w:val="00B859BB"/>
    <w:rsid w:val="00B85CB6"/>
    <w:rsid w:val="00B85CFD"/>
    <w:rsid w:val="00B8622B"/>
    <w:rsid w:val="00B8630C"/>
    <w:rsid w:val="00B865BD"/>
    <w:rsid w:val="00B866AC"/>
    <w:rsid w:val="00B86A67"/>
    <w:rsid w:val="00B86B92"/>
    <w:rsid w:val="00B86BE9"/>
    <w:rsid w:val="00B86EAB"/>
    <w:rsid w:val="00B8716E"/>
    <w:rsid w:val="00B872B1"/>
    <w:rsid w:val="00B872E8"/>
    <w:rsid w:val="00B8730E"/>
    <w:rsid w:val="00B87AB2"/>
    <w:rsid w:val="00B87BD6"/>
    <w:rsid w:val="00B87D74"/>
    <w:rsid w:val="00B87F1B"/>
    <w:rsid w:val="00B87F5C"/>
    <w:rsid w:val="00B87F6F"/>
    <w:rsid w:val="00B90132"/>
    <w:rsid w:val="00B9037A"/>
    <w:rsid w:val="00B90414"/>
    <w:rsid w:val="00B90690"/>
    <w:rsid w:val="00B90A2C"/>
    <w:rsid w:val="00B90AF8"/>
    <w:rsid w:val="00B90B73"/>
    <w:rsid w:val="00B90C67"/>
    <w:rsid w:val="00B90ED9"/>
    <w:rsid w:val="00B90F52"/>
    <w:rsid w:val="00B911B9"/>
    <w:rsid w:val="00B914EA"/>
    <w:rsid w:val="00B9150F"/>
    <w:rsid w:val="00B91722"/>
    <w:rsid w:val="00B91744"/>
    <w:rsid w:val="00B91758"/>
    <w:rsid w:val="00B91AB3"/>
    <w:rsid w:val="00B91EBD"/>
    <w:rsid w:val="00B91EEA"/>
    <w:rsid w:val="00B92105"/>
    <w:rsid w:val="00B9212A"/>
    <w:rsid w:val="00B9212D"/>
    <w:rsid w:val="00B92143"/>
    <w:rsid w:val="00B924EF"/>
    <w:rsid w:val="00B927BD"/>
    <w:rsid w:val="00B92B76"/>
    <w:rsid w:val="00B92D49"/>
    <w:rsid w:val="00B92DF5"/>
    <w:rsid w:val="00B93248"/>
    <w:rsid w:val="00B9330B"/>
    <w:rsid w:val="00B93480"/>
    <w:rsid w:val="00B93646"/>
    <w:rsid w:val="00B938C6"/>
    <w:rsid w:val="00B93D8C"/>
    <w:rsid w:val="00B93ED8"/>
    <w:rsid w:val="00B940B5"/>
    <w:rsid w:val="00B941FD"/>
    <w:rsid w:val="00B942C3"/>
    <w:rsid w:val="00B94322"/>
    <w:rsid w:val="00B9465E"/>
    <w:rsid w:val="00B94B71"/>
    <w:rsid w:val="00B9509B"/>
    <w:rsid w:val="00B950D6"/>
    <w:rsid w:val="00B95175"/>
    <w:rsid w:val="00B95386"/>
    <w:rsid w:val="00B957BB"/>
    <w:rsid w:val="00B95C35"/>
    <w:rsid w:val="00B95DD7"/>
    <w:rsid w:val="00B96027"/>
    <w:rsid w:val="00B963BA"/>
    <w:rsid w:val="00B9642B"/>
    <w:rsid w:val="00B96879"/>
    <w:rsid w:val="00B96D85"/>
    <w:rsid w:val="00B96F5C"/>
    <w:rsid w:val="00B96FD7"/>
    <w:rsid w:val="00B973FC"/>
    <w:rsid w:val="00B977ED"/>
    <w:rsid w:val="00B979C7"/>
    <w:rsid w:val="00B97A52"/>
    <w:rsid w:val="00B97B43"/>
    <w:rsid w:val="00B97BC6"/>
    <w:rsid w:val="00B97DB7"/>
    <w:rsid w:val="00B97E04"/>
    <w:rsid w:val="00BA0174"/>
    <w:rsid w:val="00BA0232"/>
    <w:rsid w:val="00BA0248"/>
    <w:rsid w:val="00BA0266"/>
    <w:rsid w:val="00BA058A"/>
    <w:rsid w:val="00BA08F6"/>
    <w:rsid w:val="00BA0B13"/>
    <w:rsid w:val="00BA0BBC"/>
    <w:rsid w:val="00BA0C8B"/>
    <w:rsid w:val="00BA0D41"/>
    <w:rsid w:val="00BA0ED6"/>
    <w:rsid w:val="00BA0EE2"/>
    <w:rsid w:val="00BA0F06"/>
    <w:rsid w:val="00BA0F16"/>
    <w:rsid w:val="00BA12F9"/>
    <w:rsid w:val="00BA1440"/>
    <w:rsid w:val="00BA1598"/>
    <w:rsid w:val="00BA1644"/>
    <w:rsid w:val="00BA16ED"/>
    <w:rsid w:val="00BA1789"/>
    <w:rsid w:val="00BA19A6"/>
    <w:rsid w:val="00BA1B43"/>
    <w:rsid w:val="00BA1B89"/>
    <w:rsid w:val="00BA1E65"/>
    <w:rsid w:val="00BA1F45"/>
    <w:rsid w:val="00BA2241"/>
    <w:rsid w:val="00BA2376"/>
    <w:rsid w:val="00BA2503"/>
    <w:rsid w:val="00BA262B"/>
    <w:rsid w:val="00BA2AC0"/>
    <w:rsid w:val="00BA2E33"/>
    <w:rsid w:val="00BA338D"/>
    <w:rsid w:val="00BA347E"/>
    <w:rsid w:val="00BA3551"/>
    <w:rsid w:val="00BA4444"/>
    <w:rsid w:val="00BA4C55"/>
    <w:rsid w:val="00BA4E24"/>
    <w:rsid w:val="00BA4F38"/>
    <w:rsid w:val="00BA4F84"/>
    <w:rsid w:val="00BA4FEC"/>
    <w:rsid w:val="00BA5093"/>
    <w:rsid w:val="00BA5104"/>
    <w:rsid w:val="00BA5118"/>
    <w:rsid w:val="00BA513C"/>
    <w:rsid w:val="00BA525F"/>
    <w:rsid w:val="00BA540C"/>
    <w:rsid w:val="00BA5606"/>
    <w:rsid w:val="00BA572E"/>
    <w:rsid w:val="00BA59D5"/>
    <w:rsid w:val="00BA5AA6"/>
    <w:rsid w:val="00BA5B5B"/>
    <w:rsid w:val="00BA5CCA"/>
    <w:rsid w:val="00BA5E00"/>
    <w:rsid w:val="00BA5F5B"/>
    <w:rsid w:val="00BA62C7"/>
    <w:rsid w:val="00BA664D"/>
    <w:rsid w:val="00BA67E0"/>
    <w:rsid w:val="00BA6B08"/>
    <w:rsid w:val="00BA6B27"/>
    <w:rsid w:val="00BA6C0E"/>
    <w:rsid w:val="00BA6C8C"/>
    <w:rsid w:val="00BA6C8E"/>
    <w:rsid w:val="00BA6CA9"/>
    <w:rsid w:val="00BA6CCD"/>
    <w:rsid w:val="00BA6EC9"/>
    <w:rsid w:val="00BA6FD2"/>
    <w:rsid w:val="00BA7184"/>
    <w:rsid w:val="00BA7284"/>
    <w:rsid w:val="00BA728E"/>
    <w:rsid w:val="00BA73CE"/>
    <w:rsid w:val="00BA74E7"/>
    <w:rsid w:val="00BA75BA"/>
    <w:rsid w:val="00BA76B3"/>
    <w:rsid w:val="00BA78DF"/>
    <w:rsid w:val="00BA7C4D"/>
    <w:rsid w:val="00BA7C80"/>
    <w:rsid w:val="00BA7DD0"/>
    <w:rsid w:val="00BA7E77"/>
    <w:rsid w:val="00BA7FDD"/>
    <w:rsid w:val="00BA7FDF"/>
    <w:rsid w:val="00BB0172"/>
    <w:rsid w:val="00BB0222"/>
    <w:rsid w:val="00BB06EC"/>
    <w:rsid w:val="00BB08EE"/>
    <w:rsid w:val="00BB0A43"/>
    <w:rsid w:val="00BB0AF2"/>
    <w:rsid w:val="00BB0FAB"/>
    <w:rsid w:val="00BB1133"/>
    <w:rsid w:val="00BB1143"/>
    <w:rsid w:val="00BB117C"/>
    <w:rsid w:val="00BB11CA"/>
    <w:rsid w:val="00BB11E1"/>
    <w:rsid w:val="00BB13F3"/>
    <w:rsid w:val="00BB15D9"/>
    <w:rsid w:val="00BB16C3"/>
    <w:rsid w:val="00BB17E7"/>
    <w:rsid w:val="00BB183A"/>
    <w:rsid w:val="00BB197A"/>
    <w:rsid w:val="00BB19AA"/>
    <w:rsid w:val="00BB1A4A"/>
    <w:rsid w:val="00BB1BD9"/>
    <w:rsid w:val="00BB1C25"/>
    <w:rsid w:val="00BB1E91"/>
    <w:rsid w:val="00BB22BD"/>
    <w:rsid w:val="00BB230F"/>
    <w:rsid w:val="00BB2350"/>
    <w:rsid w:val="00BB28E8"/>
    <w:rsid w:val="00BB2B76"/>
    <w:rsid w:val="00BB3018"/>
    <w:rsid w:val="00BB340C"/>
    <w:rsid w:val="00BB3476"/>
    <w:rsid w:val="00BB34C3"/>
    <w:rsid w:val="00BB3661"/>
    <w:rsid w:val="00BB37D3"/>
    <w:rsid w:val="00BB3846"/>
    <w:rsid w:val="00BB3B34"/>
    <w:rsid w:val="00BB3BE5"/>
    <w:rsid w:val="00BB3CD2"/>
    <w:rsid w:val="00BB3DCC"/>
    <w:rsid w:val="00BB404B"/>
    <w:rsid w:val="00BB41A6"/>
    <w:rsid w:val="00BB421F"/>
    <w:rsid w:val="00BB4253"/>
    <w:rsid w:val="00BB4317"/>
    <w:rsid w:val="00BB43F3"/>
    <w:rsid w:val="00BB4686"/>
    <w:rsid w:val="00BB484C"/>
    <w:rsid w:val="00BB4990"/>
    <w:rsid w:val="00BB4D9B"/>
    <w:rsid w:val="00BB502B"/>
    <w:rsid w:val="00BB5278"/>
    <w:rsid w:val="00BB5292"/>
    <w:rsid w:val="00BB529D"/>
    <w:rsid w:val="00BB52D5"/>
    <w:rsid w:val="00BB54C1"/>
    <w:rsid w:val="00BB57C7"/>
    <w:rsid w:val="00BB589D"/>
    <w:rsid w:val="00BB5B1B"/>
    <w:rsid w:val="00BB5BCC"/>
    <w:rsid w:val="00BB5E43"/>
    <w:rsid w:val="00BB5EBC"/>
    <w:rsid w:val="00BB5EE0"/>
    <w:rsid w:val="00BB608B"/>
    <w:rsid w:val="00BB650A"/>
    <w:rsid w:val="00BB696E"/>
    <w:rsid w:val="00BB6A69"/>
    <w:rsid w:val="00BB6CA4"/>
    <w:rsid w:val="00BB6E58"/>
    <w:rsid w:val="00BB6F07"/>
    <w:rsid w:val="00BB70FA"/>
    <w:rsid w:val="00BB7403"/>
    <w:rsid w:val="00BB740B"/>
    <w:rsid w:val="00BB745A"/>
    <w:rsid w:val="00BB75C3"/>
    <w:rsid w:val="00BB75CB"/>
    <w:rsid w:val="00BB782B"/>
    <w:rsid w:val="00BB7A4F"/>
    <w:rsid w:val="00BB7B4F"/>
    <w:rsid w:val="00BB7BAB"/>
    <w:rsid w:val="00BB7C1C"/>
    <w:rsid w:val="00BB7C4E"/>
    <w:rsid w:val="00BB7E04"/>
    <w:rsid w:val="00BB7E13"/>
    <w:rsid w:val="00BB7F1B"/>
    <w:rsid w:val="00BB7FF2"/>
    <w:rsid w:val="00BC0216"/>
    <w:rsid w:val="00BC06E9"/>
    <w:rsid w:val="00BC0AA6"/>
    <w:rsid w:val="00BC0AD8"/>
    <w:rsid w:val="00BC107B"/>
    <w:rsid w:val="00BC113A"/>
    <w:rsid w:val="00BC11DE"/>
    <w:rsid w:val="00BC1362"/>
    <w:rsid w:val="00BC139D"/>
    <w:rsid w:val="00BC14DE"/>
    <w:rsid w:val="00BC1542"/>
    <w:rsid w:val="00BC1700"/>
    <w:rsid w:val="00BC1A0B"/>
    <w:rsid w:val="00BC1B2C"/>
    <w:rsid w:val="00BC1B30"/>
    <w:rsid w:val="00BC1CA1"/>
    <w:rsid w:val="00BC1FE7"/>
    <w:rsid w:val="00BC2427"/>
    <w:rsid w:val="00BC248E"/>
    <w:rsid w:val="00BC2AD5"/>
    <w:rsid w:val="00BC2D76"/>
    <w:rsid w:val="00BC302A"/>
    <w:rsid w:val="00BC3187"/>
    <w:rsid w:val="00BC32E9"/>
    <w:rsid w:val="00BC3327"/>
    <w:rsid w:val="00BC3603"/>
    <w:rsid w:val="00BC362E"/>
    <w:rsid w:val="00BC3914"/>
    <w:rsid w:val="00BC3C15"/>
    <w:rsid w:val="00BC3FF3"/>
    <w:rsid w:val="00BC44E5"/>
    <w:rsid w:val="00BC4648"/>
    <w:rsid w:val="00BC4766"/>
    <w:rsid w:val="00BC48BD"/>
    <w:rsid w:val="00BC4C47"/>
    <w:rsid w:val="00BC4CCC"/>
    <w:rsid w:val="00BC4D7F"/>
    <w:rsid w:val="00BC50DD"/>
    <w:rsid w:val="00BC5113"/>
    <w:rsid w:val="00BC518C"/>
    <w:rsid w:val="00BC5278"/>
    <w:rsid w:val="00BC5383"/>
    <w:rsid w:val="00BC54D3"/>
    <w:rsid w:val="00BC570A"/>
    <w:rsid w:val="00BC5998"/>
    <w:rsid w:val="00BC599F"/>
    <w:rsid w:val="00BC5ABC"/>
    <w:rsid w:val="00BC5B23"/>
    <w:rsid w:val="00BC5C77"/>
    <w:rsid w:val="00BC601D"/>
    <w:rsid w:val="00BC6260"/>
    <w:rsid w:val="00BC6296"/>
    <w:rsid w:val="00BC6435"/>
    <w:rsid w:val="00BC6C5C"/>
    <w:rsid w:val="00BC6D3E"/>
    <w:rsid w:val="00BC6D97"/>
    <w:rsid w:val="00BC74C3"/>
    <w:rsid w:val="00BC751C"/>
    <w:rsid w:val="00BC7547"/>
    <w:rsid w:val="00BC7638"/>
    <w:rsid w:val="00BC7677"/>
    <w:rsid w:val="00BC769A"/>
    <w:rsid w:val="00BC7898"/>
    <w:rsid w:val="00BC78FF"/>
    <w:rsid w:val="00BC7C53"/>
    <w:rsid w:val="00BC7D85"/>
    <w:rsid w:val="00BC7FB1"/>
    <w:rsid w:val="00BD0054"/>
    <w:rsid w:val="00BD0063"/>
    <w:rsid w:val="00BD01DC"/>
    <w:rsid w:val="00BD035F"/>
    <w:rsid w:val="00BD0512"/>
    <w:rsid w:val="00BD06EE"/>
    <w:rsid w:val="00BD092C"/>
    <w:rsid w:val="00BD0C5C"/>
    <w:rsid w:val="00BD0FB1"/>
    <w:rsid w:val="00BD10B3"/>
    <w:rsid w:val="00BD13E5"/>
    <w:rsid w:val="00BD14A5"/>
    <w:rsid w:val="00BD14DC"/>
    <w:rsid w:val="00BD153D"/>
    <w:rsid w:val="00BD16A5"/>
    <w:rsid w:val="00BD1838"/>
    <w:rsid w:val="00BD18E3"/>
    <w:rsid w:val="00BD1C3C"/>
    <w:rsid w:val="00BD1E46"/>
    <w:rsid w:val="00BD1F94"/>
    <w:rsid w:val="00BD2151"/>
    <w:rsid w:val="00BD24BB"/>
    <w:rsid w:val="00BD24CB"/>
    <w:rsid w:val="00BD2569"/>
    <w:rsid w:val="00BD25D0"/>
    <w:rsid w:val="00BD27AE"/>
    <w:rsid w:val="00BD29BD"/>
    <w:rsid w:val="00BD2A3D"/>
    <w:rsid w:val="00BD2A9D"/>
    <w:rsid w:val="00BD2BFD"/>
    <w:rsid w:val="00BD2EF2"/>
    <w:rsid w:val="00BD2F74"/>
    <w:rsid w:val="00BD310D"/>
    <w:rsid w:val="00BD3236"/>
    <w:rsid w:val="00BD3765"/>
    <w:rsid w:val="00BD383D"/>
    <w:rsid w:val="00BD383E"/>
    <w:rsid w:val="00BD3BCD"/>
    <w:rsid w:val="00BD3D3C"/>
    <w:rsid w:val="00BD3E3A"/>
    <w:rsid w:val="00BD405B"/>
    <w:rsid w:val="00BD40A2"/>
    <w:rsid w:val="00BD46D3"/>
    <w:rsid w:val="00BD4B79"/>
    <w:rsid w:val="00BD4C63"/>
    <w:rsid w:val="00BD4CF9"/>
    <w:rsid w:val="00BD516D"/>
    <w:rsid w:val="00BD51EB"/>
    <w:rsid w:val="00BD52AC"/>
    <w:rsid w:val="00BD54EB"/>
    <w:rsid w:val="00BD577F"/>
    <w:rsid w:val="00BD57A8"/>
    <w:rsid w:val="00BD5937"/>
    <w:rsid w:val="00BD597A"/>
    <w:rsid w:val="00BD5B7B"/>
    <w:rsid w:val="00BD5CEF"/>
    <w:rsid w:val="00BD5DFE"/>
    <w:rsid w:val="00BD6020"/>
    <w:rsid w:val="00BD6055"/>
    <w:rsid w:val="00BD6189"/>
    <w:rsid w:val="00BD6233"/>
    <w:rsid w:val="00BD630F"/>
    <w:rsid w:val="00BD6448"/>
    <w:rsid w:val="00BD68AD"/>
    <w:rsid w:val="00BD6AA4"/>
    <w:rsid w:val="00BD6B17"/>
    <w:rsid w:val="00BD6C8F"/>
    <w:rsid w:val="00BD6D2F"/>
    <w:rsid w:val="00BD6D6E"/>
    <w:rsid w:val="00BD6FBE"/>
    <w:rsid w:val="00BD744C"/>
    <w:rsid w:val="00BD74B8"/>
    <w:rsid w:val="00BD76AC"/>
    <w:rsid w:val="00BD7CFD"/>
    <w:rsid w:val="00BD7D10"/>
    <w:rsid w:val="00BD7D7A"/>
    <w:rsid w:val="00BD7EB5"/>
    <w:rsid w:val="00BE013D"/>
    <w:rsid w:val="00BE013E"/>
    <w:rsid w:val="00BE0170"/>
    <w:rsid w:val="00BE0241"/>
    <w:rsid w:val="00BE02D8"/>
    <w:rsid w:val="00BE0420"/>
    <w:rsid w:val="00BE0429"/>
    <w:rsid w:val="00BE07B0"/>
    <w:rsid w:val="00BE086B"/>
    <w:rsid w:val="00BE08DD"/>
    <w:rsid w:val="00BE0BDB"/>
    <w:rsid w:val="00BE0BE6"/>
    <w:rsid w:val="00BE0DBB"/>
    <w:rsid w:val="00BE0E0C"/>
    <w:rsid w:val="00BE0ED7"/>
    <w:rsid w:val="00BE10B4"/>
    <w:rsid w:val="00BE1382"/>
    <w:rsid w:val="00BE14D7"/>
    <w:rsid w:val="00BE14FA"/>
    <w:rsid w:val="00BE1908"/>
    <w:rsid w:val="00BE1AA6"/>
    <w:rsid w:val="00BE1D4B"/>
    <w:rsid w:val="00BE1F52"/>
    <w:rsid w:val="00BE21F3"/>
    <w:rsid w:val="00BE239B"/>
    <w:rsid w:val="00BE23A4"/>
    <w:rsid w:val="00BE23D0"/>
    <w:rsid w:val="00BE2447"/>
    <w:rsid w:val="00BE2486"/>
    <w:rsid w:val="00BE2598"/>
    <w:rsid w:val="00BE2B36"/>
    <w:rsid w:val="00BE2E8F"/>
    <w:rsid w:val="00BE310B"/>
    <w:rsid w:val="00BE3297"/>
    <w:rsid w:val="00BE337E"/>
    <w:rsid w:val="00BE33C0"/>
    <w:rsid w:val="00BE35B1"/>
    <w:rsid w:val="00BE366D"/>
    <w:rsid w:val="00BE374A"/>
    <w:rsid w:val="00BE389C"/>
    <w:rsid w:val="00BE38A7"/>
    <w:rsid w:val="00BE396F"/>
    <w:rsid w:val="00BE3B34"/>
    <w:rsid w:val="00BE3B46"/>
    <w:rsid w:val="00BE3CB1"/>
    <w:rsid w:val="00BE4074"/>
    <w:rsid w:val="00BE41EC"/>
    <w:rsid w:val="00BE45FD"/>
    <w:rsid w:val="00BE47B6"/>
    <w:rsid w:val="00BE47E2"/>
    <w:rsid w:val="00BE494F"/>
    <w:rsid w:val="00BE4B26"/>
    <w:rsid w:val="00BE4B41"/>
    <w:rsid w:val="00BE4BDF"/>
    <w:rsid w:val="00BE4DE8"/>
    <w:rsid w:val="00BE4E5F"/>
    <w:rsid w:val="00BE4E8E"/>
    <w:rsid w:val="00BE4F54"/>
    <w:rsid w:val="00BE4F75"/>
    <w:rsid w:val="00BE51B6"/>
    <w:rsid w:val="00BE5213"/>
    <w:rsid w:val="00BE5228"/>
    <w:rsid w:val="00BE529F"/>
    <w:rsid w:val="00BE52A6"/>
    <w:rsid w:val="00BE532E"/>
    <w:rsid w:val="00BE5735"/>
    <w:rsid w:val="00BE5A68"/>
    <w:rsid w:val="00BE5E89"/>
    <w:rsid w:val="00BE5F76"/>
    <w:rsid w:val="00BE6267"/>
    <w:rsid w:val="00BE63F5"/>
    <w:rsid w:val="00BE6681"/>
    <w:rsid w:val="00BE66A0"/>
    <w:rsid w:val="00BE69BE"/>
    <w:rsid w:val="00BE6B38"/>
    <w:rsid w:val="00BE6C0C"/>
    <w:rsid w:val="00BE6CFA"/>
    <w:rsid w:val="00BE6E00"/>
    <w:rsid w:val="00BE6E01"/>
    <w:rsid w:val="00BE6EF4"/>
    <w:rsid w:val="00BE71BB"/>
    <w:rsid w:val="00BE7239"/>
    <w:rsid w:val="00BE76EC"/>
    <w:rsid w:val="00BE7954"/>
    <w:rsid w:val="00BE7972"/>
    <w:rsid w:val="00BE7A74"/>
    <w:rsid w:val="00BF013F"/>
    <w:rsid w:val="00BF0252"/>
    <w:rsid w:val="00BF0523"/>
    <w:rsid w:val="00BF056C"/>
    <w:rsid w:val="00BF0580"/>
    <w:rsid w:val="00BF08B3"/>
    <w:rsid w:val="00BF0985"/>
    <w:rsid w:val="00BF1235"/>
    <w:rsid w:val="00BF12E4"/>
    <w:rsid w:val="00BF15E3"/>
    <w:rsid w:val="00BF1714"/>
    <w:rsid w:val="00BF1B7D"/>
    <w:rsid w:val="00BF1D53"/>
    <w:rsid w:val="00BF1EB5"/>
    <w:rsid w:val="00BF20A9"/>
    <w:rsid w:val="00BF228D"/>
    <w:rsid w:val="00BF22A9"/>
    <w:rsid w:val="00BF26F1"/>
    <w:rsid w:val="00BF2978"/>
    <w:rsid w:val="00BF2E71"/>
    <w:rsid w:val="00BF30AA"/>
    <w:rsid w:val="00BF33B1"/>
    <w:rsid w:val="00BF363D"/>
    <w:rsid w:val="00BF36F6"/>
    <w:rsid w:val="00BF3855"/>
    <w:rsid w:val="00BF389E"/>
    <w:rsid w:val="00BF3ADD"/>
    <w:rsid w:val="00BF3C1C"/>
    <w:rsid w:val="00BF3E38"/>
    <w:rsid w:val="00BF41DC"/>
    <w:rsid w:val="00BF433C"/>
    <w:rsid w:val="00BF435F"/>
    <w:rsid w:val="00BF43EA"/>
    <w:rsid w:val="00BF44B5"/>
    <w:rsid w:val="00BF4611"/>
    <w:rsid w:val="00BF46A2"/>
    <w:rsid w:val="00BF48B0"/>
    <w:rsid w:val="00BF4D01"/>
    <w:rsid w:val="00BF5022"/>
    <w:rsid w:val="00BF505E"/>
    <w:rsid w:val="00BF5383"/>
    <w:rsid w:val="00BF539B"/>
    <w:rsid w:val="00BF56A8"/>
    <w:rsid w:val="00BF585D"/>
    <w:rsid w:val="00BF5E70"/>
    <w:rsid w:val="00BF5ED6"/>
    <w:rsid w:val="00BF6005"/>
    <w:rsid w:val="00BF636D"/>
    <w:rsid w:val="00BF6488"/>
    <w:rsid w:val="00BF67C8"/>
    <w:rsid w:val="00BF68F7"/>
    <w:rsid w:val="00BF6C9D"/>
    <w:rsid w:val="00BF6DBC"/>
    <w:rsid w:val="00BF6ED7"/>
    <w:rsid w:val="00BF703B"/>
    <w:rsid w:val="00BF7117"/>
    <w:rsid w:val="00BF74B7"/>
    <w:rsid w:val="00BF75B2"/>
    <w:rsid w:val="00BF7655"/>
    <w:rsid w:val="00BF7C24"/>
    <w:rsid w:val="00BF7EC8"/>
    <w:rsid w:val="00BF7F49"/>
    <w:rsid w:val="00C00130"/>
    <w:rsid w:val="00C001EB"/>
    <w:rsid w:val="00C002EC"/>
    <w:rsid w:val="00C00473"/>
    <w:rsid w:val="00C00761"/>
    <w:rsid w:val="00C00892"/>
    <w:rsid w:val="00C00AFB"/>
    <w:rsid w:val="00C012D4"/>
    <w:rsid w:val="00C01531"/>
    <w:rsid w:val="00C019D7"/>
    <w:rsid w:val="00C019F0"/>
    <w:rsid w:val="00C01B1E"/>
    <w:rsid w:val="00C01C80"/>
    <w:rsid w:val="00C01D8C"/>
    <w:rsid w:val="00C01DAF"/>
    <w:rsid w:val="00C01DFF"/>
    <w:rsid w:val="00C01FB5"/>
    <w:rsid w:val="00C02765"/>
    <w:rsid w:val="00C02782"/>
    <w:rsid w:val="00C02A55"/>
    <w:rsid w:val="00C02D6C"/>
    <w:rsid w:val="00C02E14"/>
    <w:rsid w:val="00C03242"/>
    <w:rsid w:val="00C034F1"/>
    <w:rsid w:val="00C0356A"/>
    <w:rsid w:val="00C0358B"/>
    <w:rsid w:val="00C0396D"/>
    <w:rsid w:val="00C039B7"/>
    <w:rsid w:val="00C03B93"/>
    <w:rsid w:val="00C03BC9"/>
    <w:rsid w:val="00C03DA4"/>
    <w:rsid w:val="00C03F19"/>
    <w:rsid w:val="00C03F57"/>
    <w:rsid w:val="00C04185"/>
    <w:rsid w:val="00C041D9"/>
    <w:rsid w:val="00C043D4"/>
    <w:rsid w:val="00C04444"/>
    <w:rsid w:val="00C0447C"/>
    <w:rsid w:val="00C044CF"/>
    <w:rsid w:val="00C044E3"/>
    <w:rsid w:val="00C044EC"/>
    <w:rsid w:val="00C04524"/>
    <w:rsid w:val="00C04668"/>
    <w:rsid w:val="00C04815"/>
    <w:rsid w:val="00C04B8E"/>
    <w:rsid w:val="00C04BB2"/>
    <w:rsid w:val="00C04F3F"/>
    <w:rsid w:val="00C05234"/>
    <w:rsid w:val="00C05357"/>
    <w:rsid w:val="00C05479"/>
    <w:rsid w:val="00C054FA"/>
    <w:rsid w:val="00C05622"/>
    <w:rsid w:val="00C0563D"/>
    <w:rsid w:val="00C056AE"/>
    <w:rsid w:val="00C057C2"/>
    <w:rsid w:val="00C057C9"/>
    <w:rsid w:val="00C05A9A"/>
    <w:rsid w:val="00C05C8E"/>
    <w:rsid w:val="00C05CD4"/>
    <w:rsid w:val="00C06009"/>
    <w:rsid w:val="00C0620F"/>
    <w:rsid w:val="00C0653E"/>
    <w:rsid w:val="00C065B3"/>
    <w:rsid w:val="00C065C1"/>
    <w:rsid w:val="00C0696A"/>
    <w:rsid w:val="00C06B99"/>
    <w:rsid w:val="00C06D76"/>
    <w:rsid w:val="00C071D9"/>
    <w:rsid w:val="00C071F2"/>
    <w:rsid w:val="00C0721C"/>
    <w:rsid w:val="00C072BB"/>
    <w:rsid w:val="00C076C6"/>
    <w:rsid w:val="00C07971"/>
    <w:rsid w:val="00C07B7A"/>
    <w:rsid w:val="00C07D73"/>
    <w:rsid w:val="00C07E19"/>
    <w:rsid w:val="00C07F6D"/>
    <w:rsid w:val="00C0D6B8"/>
    <w:rsid w:val="00C10020"/>
    <w:rsid w:val="00C101A0"/>
    <w:rsid w:val="00C101ED"/>
    <w:rsid w:val="00C10225"/>
    <w:rsid w:val="00C106F5"/>
    <w:rsid w:val="00C107EC"/>
    <w:rsid w:val="00C108E5"/>
    <w:rsid w:val="00C10956"/>
    <w:rsid w:val="00C10A0F"/>
    <w:rsid w:val="00C10AE2"/>
    <w:rsid w:val="00C10B4B"/>
    <w:rsid w:val="00C10C66"/>
    <w:rsid w:val="00C10FAF"/>
    <w:rsid w:val="00C110D6"/>
    <w:rsid w:val="00C11391"/>
    <w:rsid w:val="00C113C2"/>
    <w:rsid w:val="00C115BF"/>
    <w:rsid w:val="00C1165B"/>
    <w:rsid w:val="00C11800"/>
    <w:rsid w:val="00C11876"/>
    <w:rsid w:val="00C11878"/>
    <w:rsid w:val="00C11969"/>
    <w:rsid w:val="00C11B97"/>
    <w:rsid w:val="00C11BDE"/>
    <w:rsid w:val="00C11CD7"/>
    <w:rsid w:val="00C11DDA"/>
    <w:rsid w:val="00C1206B"/>
    <w:rsid w:val="00C122C4"/>
    <w:rsid w:val="00C125DF"/>
    <w:rsid w:val="00C1288D"/>
    <w:rsid w:val="00C12A4C"/>
    <w:rsid w:val="00C12B1E"/>
    <w:rsid w:val="00C13165"/>
    <w:rsid w:val="00C13670"/>
    <w:rsid w:val="00C137BD"/>
    <w:rsid w:val="00C13807"/>
    <w:rsid w:val="00C138AA"/>
    <w:rsid w:val="00C13F38"/>
    <w:rsid w:val="00C14327"/>
    <w:rsid w:val="00C14498"/>
    <w:rsid w:val="00C1449D"/>
    <w:rsid w:val="00C149EB"/>
    <w:rsid w:val="00C14A85"/>
    <w:rsid w:val="00C14A88"/>
    <w:rsid w:val="00C14C85"/>
    <w:rsid w:val="00C1501C"/>
    <w:rsid w:val="00C1575A"/>
    <w:rsid w:val="00C158EB"/>
    <w:rsid w:val="00C158FC"/>
    <w:rsid w:val="00C15A4B"/>
    <w:rsid w:val="00C15C49"/>
    <w:rsid w:val="00C160C2"/>
    <w:rsid w:val="00C1636E"/>
    <w:rsid w:val="00C16787"/>
    <w:rsid w:val="00C16789"/>
    <w:rsid w:val="00C16895"/>
    <w:rsid w:val="00C169F1"/>
    <w:rsid w:val="00C16ACE"/>
    <w:rsid w:val="00C16B61"/>
    <w:rsid w:val="00C17668"/>
    <w:rsid w:val="00C17A96"/>
    <w:rsid w:val="00C17AA4"/>
    <w:rsid w:val="00C17BD4"/>
    <w:rsid w:val="00C2023A"/>
    <w:rsid w:val="00C2028E"/>
    <w:rsid w:val="00C203EA"/>
    <w:rsid w:val="00C2061F"/>
    <w:rsid w:val="00C20764"/>
    <w:rsid w:val="00C20B5D"/>
    <w:rsid w:val="00C20C47"/>
    <w:rsid w:val="00C20CB1"/>
    <w:rsid w:val="00C20FFC"/>
    <w:rsid w:val="00C21171"/>
    <w:rsid w:val="00C21193"/>
    <w:rsid w:val="00C2119D"/>
    <w:rsid w:val="00C21336"/>
    <w:rsid w:val="00C21797"/>
    <w:rsid w:val="00C217D4"/>
    <w:rsid w:val="00C21B9A"/>
    <w:rsid w:val="00C21CA9"/>
    <w:rsid w:val="00C21E1F"/>
    <w:rsid w:val="00C21F88"/>
    <w:rsid w:val="00C221F1"/>
    <w:rsid w:val="00C224F5"/>
    <w:rsid w:val="00C2279D"/>
    <w:rsid w:val="00C227C2"/>
    <w:rsid w:val="00C2288B"/>
    <w:rsid w:val="00C229AE"/>
    <w:rsid w:val="00C229B9"/>
    <w:rsid w:val="00C22DAC"/>
    <w:rsid w:val="00C22F73"/>
    <w:rsid w:val="00C2320F"/>
    <w:rsid w:val="00C2328C"/>
    <w:rsid w:val="00C2343E"/>
    <w:rsid w:val="00C23599"/>
    <w:rsid w:val="00C23632"/>
    <w:rsid w:val="00C236FE"/>
    <w:rsid w:val="00C238B6"/>
    <w:rsid w:val="00C23A1E"/>
    <w:rsid w:val="00C23A74"/>
    <w:rsid w:val="00C23AA5"/>
    <w:rsid w:val="00C23D74"/>
    <w:rsid w:val="00C23F93"/>
    <w:rsid w:val="00C23FAC"/>
    <w:rsid w:val="00C24099"/>
    <w:rsid w:val="00C24198"/>
    <w:rsid w:val="00C241C0"/>
    <w:rsid w:val="00C2432C"/>
    <w:rsid w:val="00C243A2"/>
    <w:rsid w:val="00C244F1"/>
    <w:rsid w:val="00C2459E"/>
    <w:rsid w:val="00C245CB"/>
    <w:rsid w:val="00C24637"/>
    <w:rsid w:val="00C246A6"/>
    <w:rsid w:val="00C248E1"/>
    <w:rsid w:val="00C24CE0"/>
    <w:rsid w:val="00C24DCB"/>
    <w:rsid w:val="00C24EE3"/>
    <w:rsid w:val="00C2543F"/>
    <w:rsid w:val="00C25639"/>
    <w:rsid w:val="00C25648"/>
    <w:rsid w:val="00C25688"/>
    <w:rsid w:val="00C25C9B"/>
    <w:rsid w:val="00C25DD4"/>
    <w:rsid w:val="00C25F95"/>
    <w:rsid w:val="00C2611A"/>
    <w:rsid w:val="00C26254"/>
    <w:rsid w:val="00C26428"/>
    <w:rsid w:val="00C26504"/>
    <w:rsid w:val="00C2671D"/>
    <w:rsid w:val="00C26775"/>
    <w:rsid w:val="00C2684C"/>
    <w:rsid w:val="00C26B45"/>
    <w:rsid w:val="00C26C33"/>
    <w:rsid w:val="00C26CC2"/>
    <w:rsid w:val="00C26D81"/>
    <w:rsid w:val="00C26E96"/>
    <w:rsid w:val="00C27040"/>
    <w:rsid w:val="00C27062"/>
    <w:rsid w:val="00C273A6"/>
    <w:rsid w:val="00C274A9"/>
    <w:rsid w:val="00C27672"/>
    <w:rsid w:val="00C276A1"/>
    <w:rsid w:val="00C278B3"/>
    <w:rsid w:val="00C278CE"/>
    <w:rsid w:val="00C278D0"/>
    <w:rsid w:val="00C27908"/>
    <w:rsid w:val="00C279CB"/>
    <w:rsid w:val="00C27A31"/>
    <w:rsid w:val="00C27B1C"/>
    <w:rsid w:val="00C27FFC"/>
    <w:rsid w:val="00C300C3"/>
    <w:rsid w:val="00C3016B"/>
    <w:rsid w:val="00C302B7"/>
    <w:rsid w:val="00C30313"/>
    <w:rsid w:val="00C3040E"/>
    <w:rsid w:val="00C30430"/>
    <w:rsid w:val="00C30544"/>
    <w:rsid w:val="00C30CF3"/>
    <w:rsid w:val="00C31058"/>
    <w:rsid w:val="00C314DA"/>
    <w:rsid w:val="00C3167D"/>
    <w:rsid w:val="00C3182B"/>
    <w:rsid w:val="00C319BE"/>
    <w:rsid w:val="00C31B18"/>
    <w:rsid w:val="00C31B69"/>
    <w:rsid w:val="00C31C54"/>
    <w:rsid w:val="00C31D01"/>
    <w:rsid w:val="00C31D09"/>
    <w:rsid w:val="00C31DDB"/>
    <w:rsid w:val="00C31E5D"/>
    <w:rsid w:val="00C31E68"/>
    <w:rsid w:val="00C31F1A"/>
    <w:rsid w:val="00C31F85"/>
    <w:rsid w:val="00C31FAD"/>
    <w:rsid w:val="00C32073"/>
    <w:rsid w:val="00C320A8"/>
    <w:rsid w:val="00C32208"/>
    <w:rsid w:val="00C32519"/>
    <w:rsid w:val="00C32598"/>
    <w:rsid w:val="00C326DE"/>
    <w:rsid w:val="00C327F0"/>
    <w:rsid w:val="00C328BB"/>
    <w:rsid w:val="00C3291E"/>
    <w:rsid w:val="00C32A24"/>
    <w:rsid w:val="00C32CFE"/>
    <w:rsid w:val="00C32DA9"/>
    <w:rsid w:val="00C32F6A"/>
    <w:rsid w:val="00C32FC7"/>
    <w:rsid w:val="00C331F4"/>
    <w:rsid w:val="00C3335A"/>
    <w:rsid w:val="00C333AF"/>
    <w:rsid w:val="00C33548"/>
    <w:rsid w:val="00C33657"/>
    <w:rsid w:val="00C336F0"/>
    <w:rsid w:val="00C33A37"/>
    <w:rsid w:val="00C33E1C"/>
    <w:rsid w:val="00C33E8B"/>
    <w:rsid w:val="00C33F25"/>
    <w:rsid w:val="00C33FD9"/>
    <w:rsid w:val="00C3444B"/>
    <w:rsid w:val="00C344C1"/>
    <w:rsid w:val="00C34532"/>
    <w:rsid w:val="00C345B6"/>
    <w:rsid w:val="00C34603"/>
    <w:rsid w:val="00C34711"/>
    <w:rsid w:val="00C349A9"/>
    <w:rsid w:val="00C34C35"/>
    <w:rsid w:val="00C34D4A"/>
    <w:rsid w:val="00C34E9B"/>
    <w:rsid w:val="00C351BF"/>
    <w:rsid w:val="00C351F0"/>
    <w:rsid w:val="00C355E0"/>
    <w:rsid w:val="00C35742"/>
    <w:rsid w:val="00C359D3"/>
    <w:rsid w:val="00C35A08"/>
    <w:rsid w:val="00C35B43"/>
    <w:rsid w:val="00C35B76"/>
    <w:rsid w:val="00C35D94"/>
    <w:rsid w:val="00C361E0"/>
    <w:rsid w:val="00C363EE"/>
    <w:rsid w:val="00C3645E"/>
    <w:rsid w:val="00C36600"/>
    <w:rsid w:val="00C36928"/>
    <w:rsid w:val="00C3697A"/>
    <w:rsid w:val="00C3698F"/>
    <w:rsid w:val="00C36BF4"/>
    <w:rsid w:val="00C36C2B"/>
    <w:rsid w:val="00C36FAE"/>
    <w:rsid w:val="00C37294"/>
    <w:rsid w:val="00C372CD"/>
    <w:rsid w:val="00C375C3"/>
    <w:rsid w:val="00C377A2"/>
    <w:rsid w:val="00C378EB"/>
    <w:rsid w:val="00C37994"/>
    <w:rsid w:val="00C379A1"/>
    <w:rsid w:val="00C37AEC"/>
    <w:rsid w:val="00C37C8F"/>
    <w:rsid w:val="00C37D1C"/>
    <w:rsid w:val="00C37FE3"/>
    <w:rsid w:val="00C4036F"/>
    <w:rsid w:val="00C40440"/>
    <w:rsid w:val="00C407C1"/>
    <w:rsid w:val="00C40811"/>
    <w:rsid w:val="00C40A38"/>
    <w:rsid w:val="00C40B16"/>
    <w:rsid w:val="00C40CA6"/>
    <w:rsid w:val="00C40EEB"/>
    <w:rsid w:val="00C41031"/>
    <w:rsid w:val="00C413AF"/>
    <w:rsid w:val="00C41619"/>
    <w:rsid w:val="00C41A0F"/>
    <w:rsid w:val="00C41D77"/>
    <w:rsid w:val="00C41ED5"/>
    <w:rsid w:val="00C41F2C"/>
    <w:rsid w:val="00C42041"/>
    <w:rsid w:val="00C420EF"/>
    <w:rsid w:val="00C42118"/>
    <w:rsid w:val="00C423E4"/>
    <w:rsid w:val="00C42427"/>
    <w:rsid w:val="00C42851"/>
    <w:rsid w:val="00C42968"/>
    <w:rsid w:val="00C42A90"/>
    <w:rsid w:val="00C42DD9"/>
    <w:rsid w:val="00C430BD"/>
    <w:rsid w:val="00C4374B"/>
    <w:rsid w:val="00C43905"/>
    <w:rsid w:val="00C439B2"/>
    <w:rsid w:val="00C43B14"/>
    <w:rsid w:val="00C43B6F"/>
    <w:rsid w:val="00C43C59"/>
    <w:rsid w:val="00C43CAD"/>
    <w:rsid w:val="00C43D30"/>
    <w:rsid w:val="00C43E26"/>
    <w:rsid w:val="00C43EAA"/>
    <w:rsid w:val="00C44072"/>
    <w:rsid w:val="00C440F9"/>
    <w:rsid w:val="00C44566"/>
    <w:rsid w:val="00C44883"/>
    <w:rsid w:val="00C44987"/>
    <w:rsid w:val="00C44A17"/>
    <w:rsid w:val="00C44BF6"/>
    <w:rsid w:val="00C44D29"/>
    <w:rsid w:val="00C44F0B"/>
    <w:rsid w:val="00C44F3F"/>
    <w:rsid w:val="00C452C6"/>
    <w:rsid w:val="00C4541C"/>
    <w:rsid w:val="00C454CC"/>
    <w:rsid w:val="00C45627"/>
    <w:rsid w:val="00C45A15"/>
    <w:rsid w:val="00C45B9F"/>
    <w:rsid w:val="00C45F5D"/>
    <w:rsid w:val="00C45F7B"/>
    <w:rsid w:val="00C46055"/>
    <w:rsid w:val="00C463DE"/>
    <w:rsid w:val="00C46503"/>
    <w:rsid w:val="00C46553"/>
    <w:rsid w:val="00C46616"/>
    <w:rsid w:val="00C46733"/>
    <w:rsid w:val="00C46852"/>
    <w:rsid w:val="00C46885"/>
    <w:rsid w:val="00C4691C"/>
    <w:rsid w:val="00C46BEA"/>
    <w:rsid w:val="00C46D0D"/>
    <w:rsid w:val="00C46D88"/>
    <w:rsid w:val="00C46DF7"/>
    <w:rsid w:val="00C46EC3"/>
    <w:rsid w:val="00C46FCF"/>
    <w:rsid w:val="00C4703D"/>
    <w:rsid w:val="00C47201"/>
    <w:rsid w:val="00C47232"/>
    <w:rsid w:val="00C4730D"/>
    <w:rsid w:val="00C473CB"/>
    <w:rsid w:val="00C47776"/>
    <w:rsid w:val="00C477C1"/>
    <w:rsid w:val="00C477CE"/>
    <w:rsid w:val="00C47866"/>
    <w:rsid w:val="00C479CC"/>
    <w:rsid w:val="00C47B4C"/>
    <w:rsid w:val="00C47CDF"/>
    <w:rsid w:val="00C502DC"/>
    <w:rsid w:val="00C502E3"/>
    <w:rsid w:val="00C504A1"/>
    <w:rsid w:val="00C5056E"/>
    <w:rsid w:val="00C5066A"/>
    <w:rsid w:val="00C50950"/>
    <w:rsid w:val="00C50B12"/>
    <w:rsid w:val="00C50C88"/>
    <w:rsid w:val="00C50CE7"/>
    <w:rsid w:val="00C51003"/>
    <w:rsid w:val="00C510B2"/>
    <w:rsid w:val="00C51174"/>
    <w:rsid w:val="00C51268"/>
    <w:rsid w:val="00C512CD"/>
    <w:rsid w:val="00C5162D"/>
    <w:rsid w:val="00C51808"/>
    <w:rsid w:val="00C5198A"/>
    <w:rsid w:val="00C51B4C"/>
    <w:rsid w:val="00C51C54"/>
    <w:rsid w:val="00C51D24"/>
    <w:rsid w:val="00C51E2E"/>
    <w:rsid w:val="00C51FD1"/>
    <w:rsid w:val="00C52191"/>
    <w:rsid w:val="00C5236E"/>
    <w:rsid w:val="00C525B5"/>
    <w:rsid w:val="00C52A16"/>
    <w:rsid w:val="00C52B4E"/>
    <w:rsid w:val="00C52FBF"/>
    <w:rsid w:val="00C53123"/>
    <w:rsid w:val="00C5326E"/>
    <w:rsid w:val="00C534CB"/>
    <w:rsid w:val="00C535B7"/>
    <w:rsid w:val="00C5370B"/>
    <w:rsid w:val="00C537C0"/>
    <w:rsid w:val="00C53A9B"/>
    <w:rsid w:val="00C53B2D"/>
    <w:rsid w:val="00C53BE1"/>
    <w:rsid w:val="00C53DA9"/>
    <w:rsid w:val="00C53F1A"/>
    <w:rsid w:val="00C543D1"/>
    <w:rsid w:val="00C54611"/>
    <w:rsid w:val="00C54849"/>
    <w:rsid w:val="00C548CB"/>
    <w:rsid w:val="00C54990"/>
    <w:rsid w:val="00C54B4E"/>
    <w:rsid w:val="00C54D65"/>
    <w:rsid w:val="00C55046"/>
    <w:rsid w:val="00C550D4"/>
    <w:rsid w:val="00C55198"/>
    <w:rsid w:val="00C5527E"/>
    <w:rsid w:val="00C55286"/>
    <w:rsid w:val="00C5537D"/>
    <w:rsid w:val="00C553CA"/>
    <w:rsid w:val="00C55478"/>
    <w:rsid w:val="00C555D1"/>
    <w:rsid w:val="00C55754"/>
    <w:rsid w:val="00C55829"/>
    <w:rsid w:val="00C55D4D"/>
    <w:rsid w:val="00C55F16"/>
    <w:rsid w:val="00C56172"/>
    <w:rsid w:val="00C562D7"/>
    <w:rsid w:val="00C5638B"/>
    <w:rsid w:val="00C565A0"/>
    <w:rsid w:val="00C565A8"/>
    <w:rsid w:val="00C56C65"/>
    <w:rsid w:val="00C573F6"/>
    <w:rsid w:val="00C57415"/>
    <w:rsid w:val="00C57588"/>
    <w:rsid w:val="00C5763B"/>
    <w:rsid w:val="00C57AAC"/>
    <w:rsid w:val="00C57B35"/>
    <w:rsid w:val="00C600DA"/>
    <w:rsid w:val="00C6015F"/>
    <w:rsid w:val="00C60166"/>
    <w:rsid w:val="00C6021C"/>
    <w:rsid w:val="00C603FE"/>
    <w:rsid w:val="00C604BB"/>
    <w:rsid w:val="00C60701"/>
    <w:rsid w:val="00C608A2"/>
    <w:rsid w:val="00C609A5"/>
    <w:rsid w:val="00C60A0D"/>
    <w:rsid w:val="00C60B82"/>
    <w:rsid w:val="00C60C58"/>
    <w:rsid w:val="00C60DC8"/>
    <w:rsid w:val="00C60F48"/>
    <w:rsid w:val="00C60F5B"/>
    <w:rsid w:val="00C610BF"/>
    <w:rsid w:val="00C61199"/>
    <w:rsid w:val="00C61241"/>
    <w:rsid w:val="00C61470"/>
    <w:rsid w:val="00C61678"/>
    <w:rsid w:val="00C61946"/>
    <w:rsid w:val="00C61A89"/>
    <w:rsid w:val="00C61AD3"/>
    <w:rsid w:val="00C61B36"/>
    <w:rsid w:val="00C61CCF"/>
    <w:rsid w:val="00C61D6F"/>
    <w:rsid w:val="00C6294B"/>
    <w:rsid w:val="00C62CC7"/>
    <w:rsid w:val="00C62F95"/>
    <w:rsid w:val="00C6317A"/>
    <w:rsid w:val="00C63291"/>
    <w:rsid w:val="00C634AB"/>
    <w:rsid w:val="00C634AF"/>
    <w:rsid w:val="00C6385A"/>
    <w:rsid w:val="00C63896"/>
    <w:rsid w:val="00C638FB"/>
    <w:rsid w:val="00C63A70"/>
    <w:rsid w:val="00C63F52"/>
    <w:rsid w:val="00C64179"/>
    <w:rsid w:val="00C642F7"/>
    <w:rsid w:val="00C6446D"/>
    <w:rsid w:val="00C64479"/>
    <w:rsid w:val="00C645AE"/>
    <w:rsid w:val="00C64835"/>
    <w:rsid w:val="00C64858"/>
    <w:rsid w:val="00C64AD4"/>
    <w:rsid w:val="00C64AFA"/>
    <w:rsid w:val="00C64D3E"/>
    <w:rsid w:val="00C64FFE"/>
    <w:rsid w:val="00C650EA"/>
    <w:rsid w:val="00C65193"/>
    <w:rsid w:val="00C65208"/>
    <w:rsid w:val="00C6528B"/>
    <w:rsid w:val="00C652A8"/>
    <w:rsid w:val="00C653BE"/>
    <w:rsid w:val="00C65452"/>
    <w:rsid w:val="00C65525"/>
    <w:rsid w:val="00C6597C"/>
    <w:rsid w:val="00C659A0"/>
    <w:rsid w:val="00C65B10"/>
    <w:rsid w:val="00C65CB8"/>
    <w:rsid w:val="00C65F18"/>
    <w:rsid w:val="00C660F3"/>
    <w:rsid w:val="00C6641A"/>
    <w:rsid w:val="00C66889"/>
    <w:rsid w:val="00C668EF"/>
    <w:rsid w:val="00C668FA"/>
    <w:rsid w:val="00C66BF7"/>
    <w:rsid w:val="00C66C38"/>
    <w:rsid w:val="00C66CD3"/>
    <w:rsid w:val="00C6729E"/>
    <w:rsid w:val="00C672B6"/>
    <w:rsid w:val="00C67393"/>
    <w:rsid w:val="00C67609"/>
    <w:rsid w:val="00C67627"/>
    <w:rsid w:val="00C6769F"/>
    <w:rsid w:val="00C6784A"/>
    <w:rsid w:val="00C67D0E"/>
    <w:rsid w:val="00C67E79"/>
    <w:rsid w:val="00C67EF5"/>
    <w:rsid w:val="00C70033"/>
    <w:rsid w:val="00C7003F"/>
    <w:rsid w:val="00C70322"/>
    <w:rsid w:val="00C703F0"/>
    <w:rsid w:val="00C70428"/>
    <w:rsid w:val="00C70A96"/>
    <w:rsid w:val="00C70C20"/>
    <w:rsid w:val="00C70C25"/>
    <w:rsid w:val="00C70D97"/>
    <w:rsid w:val="00C713F1"/>
    <w:rsid w:val="00C7140E"/>
    <w:rsid w:val="00C714EF"/>
    <w:rsid w:val="00C71679"/>
    <w:rsid w:val="00C71702"/>
    <w:rsid w:val="00C71814"/>
    <w:rsid w:val="00C71863"/>
    <w:rsid w:val="00C719F2"/>
    <w:rsid w:val="00C7269F"/>
    <w:rsid w:val="00C72904"/>
    <w:rsid w:val="00C729D3"/>
    <w:rsid w:val="00C72BEE"/>
    <w:rsid w:val="00C72E26"/>
    <w:rsid w:val="00C7321F"/>
    <w:rsid w:val="00C732D8"/>
    <w:rsid w:val="00C73315"/>
    <w:rsid w:val="00C73417"/>
    <w:rsid w:val="00C73800"/>
    <w:rsid w:val="00C738C9"/>
    <w:rsid w:val="00C73A06"/>
    <w:rsid w:val="00C73B6B"/>
    <w:rsid w:val="00C73D4E"/>
    <w:rsid w:val="00C73DAE"/>
    <w:rsid w:val="00C741A7"/>
    <w:rsid w:val="00C7431C"/>
    <w:rsid w:val="00C7437A"/>
    <w:rsid w:val="00C743D1"/>
    <w:rsid w:val="00C744DB"/>
    <w:rsid w:val="00C7485B"/>
    <w:rsid w:val="00C7495C"/>
    <w:rsid w:val="00C74B84"/>
    <w:rsid w:val="00C74C30"/>
    <w:rsid w:val="00C74D62"/>
    <w:rsid w:val="00C74E75"/>
    <w:rsid w:val="00C75025"/>
    <w:rsid w:val="00C7530C"/>
    <w:rsid w:val="00C75447"/>
    <w:rsid w:val="00C75490"/>
    <w:rsid w:val="00C754E5"/>
    <w:rsid w:val="00C7570F"/>
    <w:rsid w:val="00C7597C"/>
    <w:rsid w:val="00C75A44"/>
    <w:rsid w:val="00C75A99"/>
    <w:rsid w:val="00C75C0C"/>
    <w:rsid w:val="00C75CE0"/>
    <w:rsid w:val="00C75D7C"/>
    <w:rsid w:val="00C75F60"/>
    <w:rsid w:val="00C7610E"/>
    <w:rsid w:val="00C76134"/>
    <w:rsid w:val="00C762D7"/>
    <w:rsid w:val="00C762F0"/>
    <w:rsid w:val="00C76556"/>
    <w:rsid w:val="00C765D0"/>
    <w:rsid w:val="00C765FD"/>
    <w:rsid w:val="00C76738"/>
    <w:rsid w:val="00C7674E"/>
    <w:rsid w:val="00C769E5"/>
    <w:rsid w:val="00C769F6"/>
    <w:rsid w:val="00C76C39"/>
    <w:rsid w:val="00C76E9A"/>
    <w:rsid w:val="00C77358"/>
    <w:rsid w:val="00C7746F"/>
    <w:rsid w:val="00C77612"/>
    <w:rsid w:val="00C77635"/>
    <w:rsid w:val="00C77658"/>
    <w:rsid w:val="00C7779B"/>
    <w:rsid w:val="00C777E8"/>
    <w:rsid w:val="00C77803"/>
    <w:rsid w:val="00C77847"/>
    <w:rsid w:val="00C7791D"/>
    <w:rsid w:val="00C779B7"/>
    <w:rsid w:val="00C77C07"/>
    <w:rsid w:val="00C77C9C"/>
    <w:rsid w:val="00C77D4B"/>
    <w:rsid w:val="00C77D92"/>
    <w:rsid w:val="00C77EC3"/>
    <w:rsid w:val="00C77F50"/>
    <w:rsid w:val="00C8005F"/>
    <w:rsid w:val="00C804C3"/>
    <w:rsid w:val="00C804C9"/>
    <w:rsid w:val="00C804D3"/>
    <w:rsid w:val="00C8051C"/>
    <w:rsid w:val="00C806D3"/>
    <w:rsid w:val="00C808E0"/>
    <w:rsid w:val="00C80A9A"/>
    <w:rsid w:val="00C80EA8"/>
    <w:rsid w:val="00C80ED4"/>
    <w:rsid w:val="00C810D1"/>
    <w:rsid w:val="00C81167"/>
    <w:rsid w:val="00C8121D"/>
    <w:rsid w:val="00C812FE"/>
    <w:rsid w:val="00C8133F"/>
    <w:rsid w:val="00C81411"/>
    <w:rsid w:val="00C81570"/>
    <w:rsid w:val="00C815F2"/>
    <w:rsid w:val="00C81771"/>
    <w:rsid w:val="00C817DD"/>
    <w:rsid w:val="00C81B72"/>
    <w:rsid w:val="00C81C88"/>
    <w:rsid w:val="00C82149"/>
    <w:rsid w:val="00C8231C"/>
    <w:rsid w:val="00C824D0"/>
    <w:rsid w:val="00C824FE"/>
    <w:rsid w:val="00C82744"/>
    <w:rsid w:val="00C82986"/>
    <w:rsid w:val="00C82A7B"/>
    <w:rsid w:val="00C82E07"/>
    <w:rsid w:val="00C8314F"/>
    <w:rsid w:val="00C83393"/>
    <w:rsid w:val="00C83410"/>
    <w:rsid w:val="00C837F1"/>
    <w:rsid w:val="00C83918"/>
    <w:rsid w:val="00C83986"/>
    <w:rsid w:val="00C83A9B"/>
    <w:rsid w:val="00C83EE3"/>
    <w:rsid w:val="00C840AC"/>
    <w:rsid w:val="00C840DE"/>
    <w:rsid w:val="00C8415C"/>
    <w:rsid w:val="00C846D0"/>
    <w:rsid w:val="00C847DD"/>
    <w:rsid w:val="00C84986"/>
    <w:rsid w:val="00C84B31"/>
    <w:rsid w:val="00C84C63"/>
    <w:rsid w:val="00C84DB5"/>
    <w:rsid w:val="00C84E90"/>
    <w:rsid w:val="00C84E97"/>
    <w:rsid w:val="00C84F74"/>
    <w:rsid w:val="00C850BA"/>
    <w:rsid w:val="00C8525C"/>
    <w:rsid w:val="00C8549E"/>
    <w:rsid w:val="00C854EF"/>
    <w:rsid w:val="00C85528"/>
    <w:rsid w:val="00C8574E"/>
    <w:rsid w:val="00C85820"/>
    <w:rsid w:val="00C859CD"/>
    <w:rsid w:val="00C85AFA"/>
    <w:rsid w:val="00C85D78"/>
    <w:rsid w:val="00C85D7C"/>
    <w:rsid w:val="00C8616F"/>
    <w:rsid w:val="00C862E5"/>
    <w:rsid w:val="00C866B2"/>
    <w:rsid w:val="00C86904"/>
    <w:rsid w:val="00C86B1A"/>
    <w:rsid w:val="00C86BF4"/>
    <w:rsid w:val="00C86C9C"/>
    <w:rsid w:val="00C86FFE"/>
    <w:rsid w:val="00C87230"/>
    <w:rsid w:val="00C873B2"/>
    <w:rsid w:val="00C876AD"/>
    <w:rsid w:val="00C87A78"/>
    <w:rsid w:val="00C87B18"/>
    <w:rsid w:val="00C87BC0"/>
    <w:rsid w:val="00C87C9A"/>
    <w:rsid w:val="00C87EC7"/>
    <w:rsid w:val="00C87EFD"/>
    <w:rsid w:val="00C90156"/>
    <w:rsid w:val="00C9017F"/>
    <w:rsid w:val="00C90322"/>
    <w:rsid w:val="00C90335"/>
    <w:rsid w:val="00C9034F"/>
    <w:rsid w:val="00C9041A"/>
    <w:rsid w:val="00C90568"/>
    <w:rsid w:val="00C90591"/>
    <w:rsid w:val="00C90722"/>
    <w:rsid w:val="00C90813"/>
    <w:rsid w:val="00C9088D"/>
    <w:rsid w:val="00C90A49"/>
    <w:rsid w:val="00C90B4F"/>
    <w:rsid w:val="00C90BE1"/>
    <w:rsid w:val="00C90C03"/>
    <w:rsid w:val="00C90C90"/>
    <w:rsid w:val="00C90FDC"/>
    <w:rsid w:val="00C9101A"/>
    <w:rsid w:val="00C912EF"/>
    <w:rsid w:val="00C9132E"/>
    <w:rsid w:val="00C91358"/>
    <w:rsid w:val="00C913C4"/>
    <w:rsid w:val="00C91541"/>
    <w:rsid w:val="00C91619"/>
    <w:rsid w:val="00C917D5"/>
    <w:rsid w:val="00C9197B"/>
    <w:rsid w:val="00C91A7A"/>
    <w:rsid w:val="00C91AA2"/>
    <w:rsid w:val="00C91ACB"/>
    <w:rsid w:val="00C91BE2"/>
    <w:rsid w:val="00C91C24"/>
    <w:rsid w:val="00C91CC9"/>
    <w:rsid w:val="00C91D89"/>
    <w:rsid w:val="00C920CC"/>
    <w:rsid w:val="00C921A3"/>
    <w:rsid w:val="00C922DC"/>
    <w:rsid w:val="00C92302"/>
    <w:rsid w:val="00C923E6"/>
    <w:rsid w:val="00C923FD"/>
    <w:rsid w:val="00C927FE"/>
    <w:rsid w:val="00C92800"/>
    <w:rsid w:val="00C9283E"/>
    <w:rsid w:val="00C92A3F"/>
    <w:rsid w:val="00C92B16"/>
    <w:rsid w:val="00C92BEE"/>
    <w:rsid w:val="00C92FCB"/>
    <w:rsid w:val="00C93049"/>
    <w:rsid w:val="00C930A4"/>
    <w:rsid w:val="00C930D0"/>
    <w:rsid w:val="00C9328F"/>
    <w:rsid w:val="00C932D4"/>
    <w:rsid w:val="00C9350D"/>
    <w:rsid w:val="00C937D2"/>
    <w:rsid w:val="00C93918"/>
    <w:rsid w:val="00C939A3"/>
    <w:rsid w:val="00C93A87"/>
    <w:rsid w:val="00C93C63"/>
    <w:rsid w:val="00C93E5B"/>
    <w:rsid w:val="00C93EAF"/>
    <w:rsid w:val="00C9442C"/>
    <w:rsid w:val="00C94875"/>
    <w:rsid w:val="00C94946"/>
    <w:rsid w:val="00C94985"/>
    <w:rsid w:val="00C94A05"/>
    <w:rsid w:val="00C94A1C"/>
    <w:rsid w:val="00C94C18"/>
    <w:rsid w:val="00C94D6F"/>
    <w:rsid w:val="00C94F27"/>
    <w:rsid w:val="00C94F5D"/>
    <w:rsid w:val="00C95178"/>
    <w:rsid w:val="00C95226"/>
    <w:rsid w:val="00C95263"/>
    <w:rsid w:val="00C95298"/>
    <w:rsid w:val="00C95840"/>
    <w:rsid w:val="00C95FDD"/>
    <w:rsid w:val="00C96122"/>
    <w:rsid w:val="00C96246"/>
    <w:rsid w:val="00C9641E"/>
    <w:rsid w:val="00C9672A"/>
    <w:rsid w:val="00C968A5"/>
    <w:rsid w:val="00C96F29"/>
    <w:rsid w:val="00C9734D"/>
    <w:rsid w:val="00C973B0"/>
    <w:rsid w:val="00C9759D"/>
    <w:rsid w:val="00C97772"/>
    <w:rsid w:val="00C97929"/>
    <w:rsid w:val="00C97930"/>
    <w:rsid w:val="00C97DF9"/>
    <w:rsid w:val="00C97FA8"/>
    <w:rsid w:val="00C97FF2"/>
    <w:rsid w:val="00CA02A8"/>
    <w:rsid w:val="00CA0497"/>
    <w:rsid w:val="00CA04FC"/>
    <w:rsid w:val="00CA0586"/>
    <w:rsid w:val="00CA071C"/>
    <w:rsid w:val="00CA0750"/>
    <w:rsid w:val="00CA0A2D"/>
    <w:rsid w:val="00CA0A4B"/>
    <w:rsid w:val="00CA0B27"/>
    <w:rsid w:val="00CA0F23"/>
    <w:rsid w:val="00CA0F30"/>
    <w:rsid w:val="00CA0F8F"/>
    <w:rsid w:val="00CA0FA3"/>
    <w:rsid w:val="00CA0FD5"/>
    <w:rsid w:val="00CA136A"/>
    <w:rsid w:val="00CA15F4"/>
    <w:rsid w:val="00CA1824"/>
    <w:rsid w:val="00CA19FB"/>
    <w:rsid w:val="00CA1A22"/>
    <w:rsid w:val="00CA1AD9"/>
    <w:rsid w:val="00CA1B67"/>
    <w:rsid w:val="00CA1D15"/>
    <w:rsid w:val="00CA1F61"/>
    <w:rsid w:val="00CA1FFA"/>
    <w:rsid w:val="00CA20F5"/>
    <w:rsid w:val="00CA217F"/>
    <w:rsid w:val="00CA2257"/>
    <w:rsid w:val="00CA248E"/>
    <w:rsid w:val="00CA26D8"/>
    <w:rsid w:val="00CA28A7"/>
    <w:rsid w:val="00CA2B37"/>
    <w:rsid w:val="00CA2CE1"/>
    <w:rsid w:val="00CA2DF1"/>
    <w:rsid w:val="00CA30BE"/>
    <w:rsid w:val="00CA315F"/>
    <w:rsid w:val="00CA31CF"/>
    <w:rsid w:val="00CA3325"/>
    <w:rsid w:val="00CA3654"/>
    <w:rsid w:val="00CA3A73"/>
    <w:rsid w:val="00CA3CF9"/>
    <w:rsid w:val="00CA3D82"/>
    <w:rsid w:val="00CA3EA5"/>
    <w:rsid w:val="00CA3FCE"/>
    <w:rsid w:val="00CA454B"/>
    <w:rsid w:val="00CA469D"/>
    <w:rsid w:val="00CA4CE3"/>
    <w:rsid w:val="00CA4ED2"/>
    <w:rsid w:val="00CA4EDF"/>
    <w:rsid w:val="00CA4F38"/>
    <w:rsid w:val="00CA4F98"/>
    <w:rsid w:val="00CA507E"/>
    <w:rsid w:val="00CA50FB"/>
    <w:rsid w:val="00CA515F"/>
    <w:rsid w:val="00CA53D2"/>
    <w:rsid w:val="00CA54D3"/>
    <w:rsid w:val="00CA5509"/>
    <w:rsid w:val="00CA55E6"/>
    <w:rsid w:val="00CA5738"/>
    <w:rsid w:val="00CA588D"/>
    <w:rsid w:val="00CA58FF"/>
    <w:rsid w:val="00CA5902"/>
    <w:rsid w:val="00CA5B70"/>
    <w:rsid w:val="00CA5DA3"/>
    <w:rsid w:val="00CA60D2"/>
    <w:rsid w:val="00CA6149"/>
    <w:rsid w:val="00CA61B9"/>
    <w:rsid w:val="00CA6492"/>
    <w:rsid w:val="00CA64D4"/>
    <w:rsid w:val="00CA652A"/>
    <w:rsid w:val="00CA65BA"/>
    <w:rsid w:val="00CA6721"/>
    <w:rsid w:val="00CA68BF"/>
    <w:rsid w:val="00CA6C8C"/>
    <w:rsid w:val="00CA6C9E"/>
    <w:rsid w:val="00CA6CB9"/>
    <w:rsid w:val="00CA6F0E"/>
    <w:rsid w:val="00CA6F57"/>
    <w:rsid w:val="00CA6F97"/>
    <w:rsid w:val="00CA71EB"/>
    <w:rsid w:val="00CA7295"/>
    <w:rsid w:val="00CA7317"/>
    <w:rsid w:val="00CA73F0"/>
    <w:rsid w:val="00CA73FA"/>
    <w:rsid w:val="00CA7460"/>
    <w:rsid w:val="00CA7466"/>
    <w:rsid w:val="00CA7626"/>
    <w:rsid w:val="00CA771F"/>
    <w:rsid w:val="00CA7825"/>
    <w:rsid w:val="00CA78F3"/>
    <w:rsid w:val="00CA7B55"/>
    <w:rsid w:val="00CA7D87"/>
    <w:rsid w:val="00CA7DC1"/>
    <w:rsid w:val="00CA7EC0"/>
    <w:rsid w:val="00CA7EFC"/>
    <w:rsid w:val="00CA7F1D"/>
    <w:rsid w:val="00CB0166"/>
    <w:rsid w:val="00CB01B7"/>
    <w:rsid w:val="00CB01ED"/>
    <w:rsid w:val="00CB022E"/>
    <w:rsid w:val="00CB050C"/>
    <w:rsid w:val="00CB0540"/>
    <w:rsid w:val="00CB07AD"/>
    <w:rsid w:val="00CB0A7C"/>
    <w:rsid w:val="00CB0B2C"/>
    <w:rsid w:val="00CB0E73"/>
    <w:rsid w:val="00CB1268"/>
    <w:rsid w:val="00CB1269"/>
    <w:rsid w:val="00CB166A"/>
    <w:rsid w:val="00CB1681"/>
    <w:rsid w:val="00CB1B0B"/>
    <w:rsid w:val="00CB1CAD"/>
    <w:rsid w:val="00CB1F8E"/>
    <w:rsid w:val="00CB2038"/>
    <w:rsid w:val="00CB24E1"/>
    <w:rsid w:val="00CB25C0"/>
    <w:rsid w:val="00CB25C3"/>
    <w:rsid w:val="00CB29B1"/>
    <w:rsid w:val="00CB2C1F"/>
    <w:rsid w:val="00CB2CC1"/>
    <w:rsid w:val="00CB2EE0"/>
    <w:rsid w:val="00CB2F2C"/>
    <w:rsid w:val="00CB306D"/>
    <w:rsid w:val="00CB3074"/>
    <w:rsid w:val="00CB317A"/>
    <w:rsid w:val="00CB3219"/>
    <w:rsid w:val="00CB3397"/>
    <w:rsid w:val="00CB33DB"/>
    <w:rsid w:val="00CB3598"/>
    <w:rsid w:val="00CB36EB"/>
    <w:rsid w:val="00CB37E4"/>
    <w:rsid w:val="00CB3A46"/>
    <w:rsid w:val="00CB3A59"/>
    <w:rsid w:val="00CB3AB6"/>
    <w:rsid w:val="00CB3ACD"/>
    <w:rsid w:val="00CB3B4D"/>
    <w:rsid w:val="00CB3B94"/>
    <w:rsid w:val="00CB3C2F"/>
    <w:rsid w:val="00CB3E18"/>
    <w:rsid w:val="00CB3FE3"/>
    <w:rsid w:val="00CB447B"/>
    <w:rsid w:val="00CB4789"/>
    <w:rsid w:val="00CB48DA"/>
    <w:rsid w:val="00CB48F1"/>
    <w:rsid w:val="00CB494F"/>
    <w:rsid w:val="00CB4B92"/>
    <w:rsid w:val="00CB4BAA"/>
    <w:rsid w:val="00CB4E9A"/>
    <w:rsid w:val="00CB4EEB"/>
    <w:rsid w:val="00CB50E3"/>
    <w:rsid w:val="00CB51BD"/>
    <w:rsid w:val="00CB5310"/>
    <w:rsid w:val="00CB550D"/>
    <w:rsid w:val="00CB554D"/>
    <w:rsid w:val="00CB5C1C"/>
    <w:rsid w:val="00CB5F9F"/>
    <w:rsid w:val="00CB6000"/>
    <w:rsid w:val="00CB6192"/>
    <w:rsid w:val="00CB6240"/>
    <w:rsid w:val="00CB62E6"/>
    <w:rsid w:val="00CB64CF"/>
    <w:rsid w:val="00CB65AA"/>
    <w:rsid w:val="00CB65C2"/>
    <w:rsid w:val="00CB6617"/>
    <w:rsid w:val="00CB6699"/>
    <w:rsid w:val="00CB6786"/>
    <w:rsid w:val="00CB68B5"/>
    <w:rsid w:val="00CB6DBE"/>
    <w:rsid w:val="00CB6E1D"/>
    <w:rsid w:val="00CB6E78"/>
    <w:rsid w:val="00CB6E9B"/>
    <w:rsid w:val="00CB6EB5"/>
    <w:rsid w:val="00CB6ECA"/>
    <w:rsid w:val="00CB6F8C"/>
    <w:rsid w:val="00CB70F3"/>
    <w:rsid w:val="00CB72B3"/>
    <w:rsid w:val="00CB735A"/>
    <w:rsid w:val="00CB7374"/>
    <w:rsid w:val="00CB73AC"/>
    <w:rsid w:val="00CB7464"/>
    <w:rsid w:val="00CB7539"/>
    <w:rsid w:val="00CB76E4"/>
    <w:rsid w:val="00CB7A18"/>
    <w:rsid w:val="00CB7A3A"/>
    <w:rsid w:val="00CB7BB9"/>
    <w:rsid w:val="00CB8197"/>
    <w:rsid w:val="00CC0263"/>
    <w:rsid w:val="00CC0315"/>
    <w:rsid w:val="00CC0525"/>
    <w:rsid w:val="00CC065F"/>
    <w:rsid w:val="00CC08F2"/>
    <w:rsid w:val="00CC0C36"/>
    <w:rsid w:val="00CC0DAD"/>
    <w:rsid w:val="00CC107C"/>
    <w:rsid w:val="00CC1143"/>
    <w:rsid w:val="00CC11E1"/>
    <w:rsid w:val="00CC12D1"/>
    <w:rsid w:val="00CC15F3"/>
    <w:rsid w:val="00CC16A1"/>
    <w:rsid w:val="00CC17AC"/>
    <w:rsid w:val="00CC1E2F"/>
    <w:rsid w:val="00CC2047"/>
    <w:rsid w:val="00CC2070"/>
    <w:rsid w:val="00CC2079"/>
    <w:rsid w:val="00CC227B"/>
    <w:rsid w:val="00CC259E"/>
    <w:rsid w:val="00CC2610"/>
    <w:rsid w:val="00CC2B37"/>
    <w:rsid w:val="00CC2BBE"/>
    <w:rsid w:val="00CC2F28"/>
    <w:rsid w:val="00CC307D"/>
    <w:rsid w:val="00CC32DA"/>
    <w:rsid w:val="00CC35B9"/>
    <w:rsid w:val="00CC35C0"/>
    <w:rsid w:val="00CC3656"/>
    <w:rsid w:val="00CC36D2"/>
    <w:rsid w:val="00CC4037"/>
    <w:rsid w:val="00CC4287"/>
    <w:rsid w:val="00CC4750"/>
    <w:rsid w:val="00CC484D"/>
    <w:rsid w:val="00CC48CF"/>
    <w:rsid w:val="00CC4D7D"/>
    <w:rsid w:val="00CC4EF8"/>
    <w:rsid w:val="00CC5066"/>
    <w:rsid w:val="00CC5173"/>
    <w:rsid w:val="00CC52AD"/>
    <w:rsid w:val="00CC5593"/>
    <w:rsid w:val="00CC562C"/>
    <w:rsid w:val="00CC56A8"/>
    <w:rsid w:val="00CC5B40"/>
    <w:rsid w:val="00CC5B48"/>
    <w:rsid w:val="00CC5D2E"/>
    <w:rsid w:val="00CC608F"/>
    <w:rsid w:val="00CC65E4"/>
    <w:rsid w:val="00CC6875"/>
    <w:rsid w:val="00CC6931"/>
    <w:rsid w:val="00CC6EDE"/>
    <w:rsid w:val="00CC707E"/>
    <w:rsid w:val="00CC73BB"/>
    <w:rsid w:val="00CC7547"/>
    <w:rsid w:val="00CC7626"/>
    <w:rsid w:val="00CC7795"/>
    <w:rsid w:val="00CC7F13"/>
    <w:rsid w:val="00CD0131"/>
    <w:rsid w:val="00CD02E1"/>
    <w:rsid w:val="00CD03C0"/>
    <w:rsid w:val="00CD0482"/>
    <w:rsid w:val="00CD07DD"/>
    <w:rsid w:val="00CD0823"/>
    <w:rsid w:val="00CD0843"/>
    <w:rsid w:val="00CD0AAF"/>
    <w:rsid w:val="00CD0EF3"/>
    <w:rsid w:val="00CD0FAF"/>
    <w:rsid w:val="00CD11DB"/>
    <w:rsid w:val="00CD1383"/>
    <w:rsid w:val="00CD1449"/>
    <w:rsid w:val="00CD145F"/>
    <w:rsid w:val="00CD1712"/>
    <w:rsid w:val="00CD1870"/>
    <w:rsid w:val="00CD1931"/>
    <w:rsid w:val="00CD19CB"/>
    <w:rsid w:val="00CD1A5F"/>
    <w:rsid w:val="00CD1B56"/>
    <w:rsid w:val="00CD1CDE"/>
    <w:rsid w:val="00CD1F87"/>
    <w:rsid w:val="00CD20CD"/>
    <w:rsid w:val="00CD210E"/>
    <w:rsid w:val="00CD22C2"/>
    <w:rsid w:val="00CD2465"/>
    <w:rsid w:val="00CD278B"/>
    <w:rsid w:val="00CD27B4"/>
    <w:rsid w:val="00CD28C9"/>
    <w:rsid w:val="00CD2A48"/>
    <w:rsid w:val="00CD2B0C"/>
    <w:rsid w:val="00CD2C0D"/>
    <w:rsid w:val="00CD2C98"/>
    <w:rsid w:val="00CD2D0A"/>
    <w:rsid w:val="00CD2D3F"/>
    <w:rsid w:val="00CD2D51"/>
    <w:rsid w:val="00CD2E22"/>
    <w:rsid w:val="00CD2E8E"/>
    <w:rsid w:val="00CD2F54"/>
    <w:rsid w:val="00CD2F7B"/>
    <w:rsid w:val="00CD3155"/>
    <w:rsid w:val="00CD31E7"/>
    <w:rsid w:val="00CD3217"/>
    <w:rsid w:val="00CD3296"/>
    <w:rsid w:val="00CD3610"/>
    <w:rsid w:val="00CD3671"/>
    <w:rsid w:val="00CD37B7"/>
    <w:rsid w:val="00CD3DB9"/>
    <w:rsid w:val="00CD420F"/>
    <w:rsid w:val="00CD44DF"/>
    <w:rsid w:val="00CD45A3"/>
    <w:rsid w:val="00CD4877"/>
    <w:rsid w:val="00CD48F7"/>
    <w:rsid w:val="00CD4A49"/>
    <w:rsid w:val="00CD4AAD"/>
    <w:rsid w:val="00CD4DD8"/>
    <w:rsid w:val="00CD4ECC"/>
    <w:rsid w:val="00CD5006"/>
    <w:rsid w:val="00CD5116"/>
    <w:rsid w:val="00CD512B"/>
    <w:rsid w:val="00CD5320"/>
    <w:rsid w:val="00CD5A03"/>
    <w:rsid w:val="00CD5AAC"/>
    <w:rsid w:val="00CD5B5B"/>
    <w:rsid w:val="00CD5B83"/>
    <w:rsid w:val="00CD5D21"/>
    <w:rsid w:val="00CD5F27"/>
    <w:rsid w:val="00CD61D4"/>
    <w:rsid w:val="00CD639D"/>
    <w:rsid w:val="00CD64F6"/>
    <w:rsid w:val="00CD64FD"/>
    <w:rsid w:val="00CD6555"/>
    <w:rsid w:val="00CD672B"/>
    <w:rsid w:val="00CD69C0"/>
    <w:rsid w:val="00CD69DC"/>
    <w:rsid w:val="00CD6C00"/>
    <w:rsid w:val="00CD6C52"/>
    <w:rsid w:val="00CD6CA8"/>
    <w:rsid w:val="00CD6CAF"/>
    <w:rsid w:val="00CD6D0E"/>
    <w:rsid w:val="00CD7149"/>
    <w:rsid w:val="00CD7205"/>
    <w:rsid w:val="00CD7211"/>
    <w:rsid w:val="00CD7298"/>
    <w:rsid w:val="00CD72CA"/>
    <w:rsid w:val="00CD72FA"/>
    <w:rsid w:val="00CD735F"/>
    <w:rsid w:val="00CD7447"/>
    <w:rsid w:val="00CD78CC"/>
    <w:rsid w:val="00CD796D"/>
    <w:rsid w:val="00CD7BF6"/>
    <w:rsid w:val="00CD7D68"/>
    <w:rsid w:val="00CD7E3D"/>
    <w:rsid w:val="00CD7E8E"/>
    <w:rsid w:val="00CE00DB"/>
    <w:rsid w:val="00CE0295"/>
    <w:rsid w:val="00CE02CF"/>
    <w:rsid w:val="00CE0351"/>
    <w:rsid w:val="00CE05E5"/>
    <w:rsid w:val="00CE0858"/>
    <w:rsid w:val="00CE09E3"/>
    <w:rsid w:val="00CE0DCA"/>
    <w:rsid w:val="00CE0FE9"/>
    <w:rsid w:val="00CE1138"/>
    <w:rsid w:val="00CE11D2"/>
    <w:rsid w:val="00CE11F7"/>
    <w:rsid w:val="00CE1506"/>
    <w:rsid w:val="00CE1743"/>
    <w:rsid w:val="00CE1A81"/>
    <w:rsid w:val="00CE1C57"/>
    <w:rsid w:val="00CE1D32"/>
    <w:rsid w:val="00CE1F72"/>
    <w:rsid w:val="00CE2193"/>
    <w:rsid w:val="00CE22B7"/>
    <w:rsid w:val="00CE2486"/>
    <w:rsid w:val="00CE2603"/>
    <w:rsid w:val="00CE2658"/>
    <w:rsid w:val="00CE270C"/>
    <w:rsid w:val="00CE276F"/>
    <w:rsid w:val="00CE286D"/>
    <w:rsid w:val="00CE2A68"/>
    <w:rsid w:val="00CE2A81"/>
    <w:rsid w:val="00CE2BB6"/>
    <w:rsid w:val="00CE2CFE"/>
    <w:rsid w:val="00CE2E6A"/>
    <w:rsid w:val="00CE2EC2"/>
    <w:rsid w:val="00CE312D"/>
    <w:rsid w:val="00CE3193"/>
    <w:rsid w:val="00CE3313"/>
    <w:rsid w:val="00CE3341"/>
    <w:rsid w:val="00CE3520"/>
    <w:rsid w:val="00CE37F0"/>
    <w:rsid w:val="00CE3990"/>
    <w:rsid w:val="00CE3B25"/>
    <w:rsid w:val="00CE3B83"/>
    <w:rsid w:val="00CE3B8F"/>
    <w:rsid w:val="00CE3D82"/>
    <w:rsid w:val="00CE3F95"/>
    <w:rsid w:val="00CE3FD5"/>
    <w:rsid w:val="00CE4058"/>
    <w:rsid w:val="00CE453E"/>
    <w:rsid w:val="00CE4609"/>
    <w:rsid w:val="00CE4B6E"/>
    <w:rsid w:val="00CE551C"/>
    <w:rsid w:val="00CE5880"/>
    <w:rsid w:val="00CE5D35"/>
    <w:rsid w:val="00CE5E60"/>
    <w:rsid w:val="00CE6064"/>
    <w:rsid w:val="00CE6137"/>
    <w:rsid w:val="00CE63DE"/>
    <w:rsid w:val="00CE663A"/>
    <w:rsid w:val="00CE6644"/>
    <w:rsid w:val="00CE6A5D"/>
    <w:rsid w:val="00CE6A7A"/>
    <w:rsid w:val="00CE6D01"/>
    <w:rsid w:val="00CE6E78"/>
    <w:rsid w:val="00CE750F"/>
    <w:rsid w:val="00CE752F"/>
    <w:rsid w:val="00CE7609"/>
    <w:rsid w:val="00CE78D3"/>
    <w:rsid w:val="00CE7A6A"/>
    <w:rsid w:val="00CE7FFC"/>
    <w:rsid w:val="00CF0228"/>
    <w:rsid w:val="00CF0505"/>
    <w:rsid w:val="00CF0893"/>
    <w:rsid w:val="00CF0A48"/>
    <w:rsid w:val="00CF0AB8"/>
    <w:rsid w:val="00CF0C1F"/>
    <w:rsid w:val="00CF101D"/>
    <w:rsid w:val="00CF12BB"/>
    <w:rsid w:val="00CF150E"/>
    <w:rsid w:val="00CF15B0"/>
    <w:rsid w:val="00CF15D0"/>
    <w:rsid w:val="00CF165D"/>
    <w:rsid w:val="00CF186C"/>
    <w:rsid w:val="00CF19A9"/>
    <w:rsid w:val="00CF1A3F"/>
    <w:rsid w:val="00CF1A74"/>
    <w:rsid w:val="00CF1AAA"/>
    <w:rsid w:val="00CF1ACC"/>
    <w:rsid w:val="00CF1C5E"/>
    <w:rsid w:val="00CF1CFC"/>
    <w:rsid w:val="00CF2033"/>
    <w:rsid w:val="00CF215A"/>
    <w:rsid w:val="00CF219C"/>
    <w:rsid w:val="00CF2350"/>
    <w:rsid w:val="00CF23E4"/>
    <w:rsid w:val="00CF278B"/>
    <w:rsid w:val="00CF29D4"/>
    <w:rsid w:val="00CF2A57"/>
    <w:rsid w:val="00CF2ADC"/>
    <w:rsid w:val="00CF2ADE"/>
    <w:rsid w:val="00CF2C23"/>
    <w:rsid w:val="00CF2DBD"/>
    <w:rsid w:val="00CF2E70"/>
    <w:rsid w:val="00CF2E8C"/>
    <w:rsid w:val="00CF312C"/>
    <w:rsid w:val="00CF3262"/>
    <w:rsid w:val="00CF37A5"/>
    <w:rsid w:val="00CF39AD"/>
    <w:rsid w:val="00CF3A10"/>
    <w:rsid w:val="00CF3E58"/>
    <w:rsid w:val="00CF3EFE"/>
    <w:rsid w:val="00CF3FCF"/>
    <w:rsid w:val="00CF4104"/>
    <w:rsid w:val="00CF4585"/>
    <w:rsid w:val="00CF46A6"/>
    <w:rsid w:val="00CF47C8"/>
    <w:rsid w:val="00CF488C"/>
    <w:rsid w:val="00CF496C"/>
    <w:rsid w:val="00CF4AC7"/>
    <w:rsid w:val="00CF4C67"/>
    <w:rsid w:val="00CF4D4B"/>
    <w:rsid w:val="00CF507D"/>
    <w:rsid w:val="00CF5132"/>
    <w:rsid w:val="00CF51FC"/>
    <w:rsid w:val="00CF5237"/>
    <w:rsid w:val="00CF53F9"/>
    <w:rsid w:val="00CF55D0"/>
    <w:rsid w:val="00CF569D"/>
    <w:rsid w:val="00CF56F3"/>
    <w:rsid w:val="00CF572F"/>
    <w:rsid w:val="00CF5E10"/>
    <w:rsid w:val="00CF5E76"/>
    <w:rsid w:val="00CF614E"/>
    <w:rsid w:val="00CF626E"/>
    <w:rsid w:val="00CF6754"/>
    <w:rsid w:val="00CF6ACE"/>
    <w:rsid w:val="00CF6D3F"/>
    <w:rsid w:val="00CF6F37"/>
    <w:rsid w:val="00CF6F9F"/>
    <w:rsid w:val="00CF7045"/>
    <w:rsid w:val="00CF73E9"/>
    <w:rsid w:val="00CF75B5"/>
    <w:rsid w:val="00CF76C2"/>
    <w:rsid w:val="00CF76D1"/>
    <w:rsid w:val="00CF7B52"/>
    <w:rsid w:val="00CF7E7F"/>
    <w:rsid w:val="00D000A7"/>
    <w:rsid w:val="00D0085F"/>
    <w:rsid w:val="00D0087D"/>
    <w:rsid w:val="00D00D3B"/>
    <w:rsid w:val="00D00E57"/>
    <w:rsid w:val="00D00E61"/>
    <w:rsid w:val="00D00EAB"/>
    <w:rsid w:val="00D010F2"/>
    <w:rsid w:val="00D012AD"/>
    <w:rsid w:val="00D01641"/>
    <w:rsid w:val="00D01644"/>
    <w:rsid w:val="00D018DF"/>
    <w:rsid w:val="00D01989"/>
    <w:rsid w:val="00D01A05"/>
    <w:rsid w:val="00D01AB4"/>
    <w:rsid w:val="00D01BF7"/>
    <w:rsid w:val="00D01F31"/>
    <w:rsid w:val="00D02016"/>
    <w:rsid w:val="00D02030"/>
    <w:rsid w:val="00D0210C"/>
    <w:rsid w:val="00D0234B"/>
    <w:rsid w:val="00D02535"/>
    <w:rsid w:val="00D026A5"/>
    <w:rsid w:val="00D027EE"/>
    <w:rsid w:val="00D02B73"/>
    <w:rsid w:val="00D02C12"/>
    <w:rsid w:val="00D02D5B"/>
    <w:rsid w:val="00D03087"/>
    <w:rsid w:val="00D03101"/>
    <w:rsid w:val="00D03105"/>
    <w:rsid w:val="00D03397"/>
    <w:rsid w:val="00D03444"/>
    <w:rsid w:val="00D0357A"/>
    <w:rsid w:val="00D036DB"/>
    <w:rsid w:val="00D03927"/>
    <w:rsid w:val="00D042F7"/>
    <w:rsid w:val="00D04351"/>
    <w:rsid w:val="00D0466D"/>
    <w:rsid w:val="00D047A5"/>
    <w:rsid w:val="00D0488A"/>
    <w:rsid w:val="00D04A77"/>
    <w:rsid w:val="00D04B5F"/>
    <w:rsid w:val="00D04C62"/>
    <w:rsid w:val="00D04D79"/>
    <w:rsid w:val="00D04DA8"/>
    <w:rsid w:val="00D04F07"/>
    <w:rsid w:val="00D05063"/>
    <w:rsid w:val="00D05171"/>
    <w:rsid w:val="00D0550F"/>
    <w:rsid w:val="00D05616"/>
    <w:rsid w:val="00D05633"/>
    <w:rsid w:val="00D056EA"/>
    <w:rsid w:val="00D05AEC"/>
    <w:rsid w:val="00D05B5C"/>
    <w:rsid w:val="00D05C0D"/>
    <w:rsid w:val="00D05C61"/>
    <w:rsid w:val="00D05CB3"/>
    <w:rsid w:val="00D05DD3"/>
    <w:rsid w:val="00D05E01"/>
    <w:rsid w:val="00D062C2"/>
    <w:rsid w:val="00D06463"/>
    <w:rsid w:val="00D064DC"/>
    <w:rsid w:val="00D0667D"/>
    <w:rsid w:val="00D0670F"/>
    <w:rsid w:val="00D067B2"/>
    <w:rsid w:val="00D06821"/>
    <w:rsid w:val="00D06876"/>
    <w:rsid w:val="00D06943"/>
    <w:rsid w:val="00D069F0"/>
    <w:rsid w:val="00D06C48"/>
    <w:rsid w:val="00D06F4D"/>
    <w:rsid w:val="00D07062"/>
    <w:rsid w:val="00D070F6"/>
    <w:rsid w:val="00D072DD"/>
    <w:rsid w:val="00D076B1"/>
    <w:rsid w:val="00D076B7"/>
    <w:rsid w:val="00D07749"/>
    <w:rsid w:val="00D078FB"/>
    <w:rsid w:val="00D07A22"/>
    <w:rsid w:val="00D07BDB"/>
    <w:rsid w:val="00D07CE8"/>
    <w:rsid w:val="00D07E6A"/>
    <w:rsid w:val="00D07FE0"/>
    <w:rsid w:val="00D10102"/>
    <w:rsid w:val="00D10600"/>
    <w:rsid w:val="00D10AC1"/>
    <w:rsid w:val="00D10C33"/>
    <w:rsid w:val="00D10E0E"/>
    <w:rsid w:val="00D10E2C"/>
    <w:rsid w:val="00D10E8B"/>
    <w:rsid w:val="00D112C7"/>
    <w:rsid w:val="00D1153E"/>
    <w:rsid w:val="00D1154C"/>
    <w:rsid w:val="00D11555"/>
    <w:rsid w:val="00D115FC"/>
    <w:rsid w:val="00D11820"/>
    <w:rsid w:val="00D11DD0"/>
    <w:rsid w:val="00D11E9D"/>
    <w:rsid w:val="00D121BE"/>
    <w:rsid w:val="00D12A33"/>
    <w:rsid w:val="00D12B4A"/>
    <w:rsid w:val="00D12D2D"/>
    <w:rsid w:val="00D12E0D"/>
    <w:rsid w:val="00D12FF4"/>
    <w:rsid w:val="00D132E0"/>
    <w:rsid w:val="00D13603"/>
    <w:rsid w:val="00D13CEC"/>
    <w:rsid w:val="00D13D66"/>
    <w:rsid w:val="00D14152"/>
    <w:rsid w:val="00D1425B"/>
    <w:rsid w:val="00D14404"/>
    <w:rsid w:val="00D144E7"/>
    <w:rsid w:val="00D149C7"/>
    <w:rsid w:val="00D14AAB"/>
    <w:rsid w:val="00D14B1C"/>
    <w:rsid w:val="00D14B8F"/>
    <w:rsid w:val="00D14BC0"/>
    <w:rsid w:val="00D14F8A"/>
    <w:rsid w:val="00D15118"/>
    <w:rsid w:val="00D15219"/>
    <w:rsid w:val="00D1531E"/>
    <w:rsid w:val="00D1544D"/>
    <w:rsid w:val="00D15485"/>
    <w:rsid w:val="00D15680"/>
    <w:rsid w:val="00D158C5"/>
    <w:rsid w:val="00D15B9E"/>
    <w:rsid w:val="00D15BD0"/>
    <w:rsid w:val="00D15C83"/>
    <w:rsid w:val="00D15CDD"/>
    <w:rsid w:val="00D16105"/>
    <w:rsid w:val="00D16475"/>
    <w:rsid w:val="00D166BF"/>
    <w:rsid w:val="00D167ED"/>
    <w:rsid w:val="00D168AE"/>
    <w:rsid w:val="00D16DC6"/>
    <w:rsid w:val="00D16EF2"/>
    <w:rsid w:val="00D172A3"/>
    <w:rsid w:val="00D17410"/>
    <w:rsid w:val="00D17411"/>
    <w:rsid w:val="00D1742F"/>
    <w:rsid w:val="00D1773B"/>
    <w:rsid w:val="00D17862"/>
    <w:rsid w:val="00D17A8C"/>
    <w:rsid w:val="00D17F7F"/>
    <w:rsid w:val="00D17FED"/>
    <w:rsid w:val="00D200C8"/>
    <w:rsid w:val="00D201DB"/>
    <w:rsid w:val="00D20235"/>
    <w:rsid w:val="00D20237"/>
    <w:rsid w:val="00D20415"/>
    <w:rsid w:val="00D2042A"/>
    <w:rsid w:val="00D2051E"/>
    <w:rsid w:val="00D207E1"/>
    <w:rsid w:val="00D2082B"/>
    <w:rsid w:val="00D208F1"/>
    <w:rsid w:val="00D20AAC"/>
    <w:rsid w:val="00D20FE6"/>
    <w:rsid w:val="00D2108E"/>
    <w:rsid w:val="00D2109A"/>
    <w:rsid w:val="00D21120"/>
    <w:rsid w:val="00D21451"/>
    <w:rsid w:val="00D21617"/>
    <w:rsid w:val="00D216F9"/>
    <w:rsid w:val="00D21758"/>
    <w:rsid w:val="00D21B14"/>
    <w:rsid w:val="00D21F8A"/>
    <w:rsid w:val="00D21FA7"/>
    <w:rsid w:val="00D22119"/>
    <w:rsid w:val="00D22399"/>
    <w:rsid w:val="00D22410"/>
    <w:rsid w:val="00D22508"/>
    <w:rsid w:val="00D225FE"/>
    <w:rsid w:val="00D227D7"/>
    <w:rsid w:val="00D227E6"/>
    <w:rsid w:val="00D228FA"/>
    <w:rsid w:val="00D228FB"/>
    <w:rsid w:val="00D22D7D"/>
    <w:rsid w:val="00D22FD8"/>
    <w:rsid w:val="00D230F4"/>
    <w:rsid w:val="00D23272"/>
    <w:rsid w:val="00D2331D"/>
    <w:rsid w:val="00D2348C"/>
    <w:rsid w:val="00D23674"/>
    <w:rsid w:val="00D238AD"/>
    <w:rsid w:val="00D23CF5"/>
    <w:rsid w:val="00D23D82"/>
    <w:rsid w:val="00D23F2C"/>
    <w:rsid w:val="00D2405B"/>
    <w:rsid w:val="00D241DA"/>
    <w:rsid w:val="00D242CB"/>
    <w:rsid w:val="00D24324"/>
    <w:rsid w:val="00D243C6"/>
    <w:rsid w:val="00D2479B"/>
    <w:rsid w:val="00D24804"/>
    <w:rsid w:val="00D24ABB"/>
    <w:rsid w:val="00D24D29"/>
    <w:rsid w:val="00D24E58"/>
    <w:rsid w:val="00D24EDF"/>
    <w:rsid w:val="00D25446"/>
    <w:rsid w:val="00D25666"/>
    <w:rsid w:val="00D258F0"/>
    <w:rsid w:val="00D25957"/>
    <w:rsid w:val="00D259F6"/>
    <w:rsid w:val="00D25AC4"/>
    <w:rsid w:val="00D25D09"/>
    <w:rsid w:val="00D25E87"/>
    <w:rsid w:val="00D260C7"/>
    <w:rsid w:val="00D26167"/>
    <w:rsid w:val="00D26320"/>
    <w:rsid w:val="00D26434"/>
    <w:rsid w:val="00D26782"/>
    <w:rsid w:val="00D26958"/>
    <w:rsid w:val="00D26A1B"/>
    <w:rsid w:val="00D26AA0"/>
    <w:rsid w:val="00D26BA5"/>
    <w:rsid w:val="00D26BDD"/>
    <w:rsid w:val="00D26C18"/>
    <w:rsid w:val="00D26C20"/>
    <w:rsid w:val="00D26DB7"/>
    <w:rsid w:val="00D26DF1"/>
    <w:rsid w:val="00D27192"/>
    <w:rsid w:val="00D274E4"/>
    <w:rsid w:val="00D27587"/>
    <w:rsid w:val="00D27599"/>
    <w:rsid w:val="00D27677"/>
    <w:rsid w:val="00D27958"/>
    <w:rsid w:val="00D27968"/>
    <w:rsid w:val="00D279A6"/>
    <w:rsid w:val="00D27D66"/>
    <w:rsid w:val="00D27DFD"/>
    <w:rsid w:val="00D27F5F"/>
    <w:rsid w:val="00D30024"/>
    <w:rsid w:val="00D3015E"/>
    <w:rsid w:val="00D301B6"/>
    <w:rsid w:val="00D30237"/>
    <w:rsid w:val="00D302A4"/>
    <w:rsid w:val="00D30483"/>
    <w:rsid w:val="00D30586"/>
    <w:rsid w:val="00D306E4"/>
    <w:rsid w:val="00D30711"/>
    <w:rsid w:val="00D3082A"/>
    <w:rsid w:val="00D309AA"/>
    <w:rsid w:val="00D30ED8"/>
    <w:rsid w:val="00D30F25"/>
    <w:rsid w:val="00D31206"/>
    <w:rsid w:val="00D312B3"/>
    <w:rsid w:val="00D316C7"/>
    <w:rsid w:val="00D318AC"/>
    <w:rsid w:val="00D31B70"/>
    <w:rsid w:val="00D31C0B"/>
    <w:rsid w:val="00D31ED9"/>
    <w:rsid w:val="00D32074"/>
    <w:rsid w:val="00D321D3"/>
    <w:rsid w:val="00D3239A"/>
    <w:rsid w:val="00D3254F"/>
    <w:rsid w:val="00D32661"/>
    <w:rsid w:val="00D328B4"/>
    <w:rsid w:val="00D3295F"/>
    <w:rsid w:val="00D329A2"/>
    <w:rsid w:val="00D32A0D"/>
    <w:rsid w:val="00D32B28"/>
    <w:rsid w:val="00D32C91"/>
    <w:rsid w:val="00D32CF3"/>
    <w:rsid w:val="00D32D36"/>
    <w:rsid w:val="00D33207"/>
    <w:rsid w:val="00D3348F"/>
    <w:rsid w:val="00D33863"/>
    <w:rsid w:val="00D33A01"/>
    <w:rsid w:val="00D33BA0"/>
    <w:rsid w:val="00D33BA4"/>
    <w:rsid w:val="00D33C33"/>
    <w:rsid w:val="00D33E06"/>
    <w:rsid w:val="00D33E27"/>
    <w:rsid w:val="00D33EFA"/>
    <w:rsid w:val="00D340E8"/>
    <w:rsid w:val="00D340EC"/>
    <w:rsid w:val="00D34233"/>
    <w:rsid w:val="00D3432A"/>
    <w:rsid w:val="00D34458"/>
    <w:rsid w:val="00D345CC"/>
    <w:rsid w:val="00D34797"/>
    <w:rsid w:val="00D347E4"/>
    <w:rsid w:val="00D34BC9"/>
    <w:rsid w:val="00D34C27"/>
    <w:rsid w:val="00D34C4A"/>
    <w:rsid w:val="00D34C6A"/>
    <w:rsid w:val="00D34DF2"/>
    <w:rsid w:val="00D3524C"/>
    <w:rsid w:val="00D352E4"/>
    <w:rsid w:val="00D35376"/>
    <w:rsid w:val="00D3561B"/>
    <w:rsid w:val="00D35702"/>
    <w:rsid w:val="00D35763"/>
    <w:rsid w:val="00D35858"/>
    <w:rsid w:val="00D35A8E"/>
    <w:rsid w:val="00D35B07"/>
    <w:rsid w:val="00D35BF2"/>
    <w:rsid w:val="00D35C92"/>
    <w:rsid w:val="00D35DC5"/>
    <w:rsid w:val="00D35EFF"/>
    <w:rsid w:val="00D35F1D"/>
    <w:rsid w:val="00D364A6"/>
    <w:rsid w:val="00D36BA8"/>
    <w:rsid w:val="00D36E0E"/>
    <w:rsid w:val="00D37121"/>
    <w:rsid w:val="00D3713F"/>
    <w:rsid w:val="00D3728A"/>
    <w:rsid w:val="00D37392"/>
    <w:rsid w:val="00D37425"/>
    <w:rsid w:val="00D37597"/>
    <w:rsid w:val="00D375CE"/>
    <w:rsid w:val="00D37907"/>
    <w:rsid w:val="00D37939"/>
    <w:rsid w:val="00D379E4"/>
    <w:rsid w:val="00D37AA8"/>
    <w:rsid w:val="00D37AEC"/>
    <w:rsid w:val="00D37B44"/>
    <w:rsid w:val="00D37CB9"/>
    <w:rsid w:val="00D37F70"/>
    <w:rsid w:val="00D37F85"/>
    <w:rsid w:val="00D37FD2"/>
    <w:rsid w:val="00D3EAA8"/>
    <w:rsid w:val="00D4024C"/>
    <w:rsid w:val="00D40257"/>
    <w:rsid w:val="00D4038E"/>
    <w:rsid w:val="00D403D3"/>
    <w:rsid w:val="00D4046D"/>
    <w:rsid w:val="00D404E2"/>
    <w:rsid w:val="00D406BF"/>
    <w:rsid w:val="00D408A4"/>
    <w:rsid w:val="00D40EA5"/>
    <w:rsid w:val="00D40F54"/>
    <w:rsid w:val="00D41054"/>
    <w:rsid w:val="00D4105E"/>
    <w:rsid w:val="00D411B4"/>
    <w:rsid w:val="00D41389"/>
    <w:rsid w:val="00D41686"/>
    <w:rsid w:val="00D41747"/>
    <w:rsid w:val="00D419A6"/>
    <w:rsid w:val="00D41AC7"/>
    <w:rsid w:val="00D41AC8"/>
    <w:rsid w:val="00D41C09"/>
    <w:rsid w:val="00D41DC0"/>
    <w:rsid w:val="00D41F6D"/>
    <w:rsid w:val="00D42157"/>
    <w:rsid w:val="00D422C5"/>
    <w:rsid w:val="00D42642"/>
    <w:rsid w:val="00D428CB"/>
    <w:rsid w:val="00D42961"/>
    <w:rsid w:val="00D42B91"/>
    <w:rsid w:val="00D42C55"/>
    <w:rsid w:val="00D42DF8"/>
    <w:rsid w:val="00D4318C"/>
    <w:rsid w:val="00D43342"/>
    <w:rsid w:val="00D433EF"/>
    <w:rsid w:val="00D43533"/>
    <w:rsid w:val="00D435CA"/>
    <w:rsid w:val="00D437ED"/>
    <w:rsid w:val="00D4383B"/>
    <w:rsid w:val="00D4389F"/>
    <w:rsid w:val="00D43AF6"/>
    <w:rsid w:val="00D43BC3"/>
    <w:rsid w:val="00D43EFE"/>
    <w:rsid w:val="00D4413F"/>
    <w:rsid w:val="00D44167"/>
    <w:rsid w:val="00D44459"/>
    <w:rsid w:val="00D44919"/>
    <w:rsid w:val="00D44CC3"/>
    <w:rsid w:val="00D44CD8"/>
    <w:rsid w:val="00D44FFB"/>
    <w:rsid w:val="00D4504A"/>
    <w:rsid w:val="00D450C7"/>
    <w:rsid w:val="00D4518D"/>
    <w:rsid w:val="00D451AC"/>
    <w:rsid w:val="00D4521B"/>
    <w:rsid w:val="00D45365"/>
    <w:rsid w:val="00D45555"/>
    <w:rsid w:val="00D4586C"/>
    <w:rsid w:val="00D45DB3"/>
    <w:rsid w:val="00D45F6E"/>
    <w:rsid w:val="00D45F80"/>
    <w:rsid w:val="00D461B0"/>
    <w:rsid w:val="00D46212"/>
    <w:rsid w:val="00D462A0"/>
    <w:rsid w:val="00D46414"/>
    <w:rsid w:val="00D46846"/>
    <w:rsid w:val="00D46D94"/>
    <w:rsid w:val="00D46E07"/>
    <w:rsid w:val="00D46E2B"/>
    <w:rsid w:val="00D46FFA"/>
    <w:rsid w:val="00D47032"/>
    <w:rsid w:val="00D472A7"/>
    <w:rsid w:val="00D47334"/>
    <w:rsid w:val="00D47A21"/>
    <w:rsid w:val="00D47C07"/>
    <w:rsid w:val="00D47C0C"/>
    <w:rsid w:val="00D47DB9"/>
    <w:rsid w:val="00D47F77"/>
    <w:rsid w:val="00D50123"/>
    <w:rsid w:val="00D501F6"/>
    <w:rsid w:val="00D50308"/>
    <w:rsid w:val="00D50648"/>
    <w:rsid w:val="00D506B9"/>
    <w:rsid w:val="00D50743"/>
    <w:rsid w:val="00D507E1"/>
    <w:rsid w:val="00D50883"/>
    <w:rsid w:val="00D50932"/>
    <w:rsid w:val="00D509FF"/>
    <w:rsid w:val="00D50B1B"/>
    <w:rsid w:val="00D50BA7"/>
    <w:rsid w:val="00D50D67"/>
    <w:rsid w:val="00D50EF2"/>
    <w:rsid w:val="00D50F0F"/>
    <w:rsid w:val="00D51213"/>
    <w:rsid w:val="00D513A0"/>
    <w:rsid w:val="00D51412"/>
    <w:rsid w:val="00D51563"/>
    <w:rsid w:val="00D51859"/>
    <w:rsid w:val="00D51BFD"/>
    <w:rsid w:val="00D51E01"/>
    <w:rsid w:val="00D51FB0"/>
    <w:rsid w:val="00D52075"/>
    <w:rsid w:val="00D521A6"/>
    <w:rsid w:val="00D521AA"/>
    <w:rsid w:val="00D521C8"/>
    <w:rsid w:val="00D522A8"/>
    <w:rsid w:val="00D523E2"/>
    <w:rsid w:val="00D5245C"/>
    <w:rsid w:val="00D5246D"/>
    <w:rsid w:val="00D52473"/>
    <w:rsid w:val="00D52921"/>
    <w:rsid w:val="00D52956"/>
    <w:rsid w:val="00D5297C"/>
    <w:rsid w:val="00D52AFC"/>
    <w:rsid w:val="00D52D3B"/>
    <w:rsid w:val="00D52F45"/>
    <w:rsid w:val="00D53097"/>
    <w:rsid w:val="00D531C8"/>
    <w:rsid w:val="00D5357F"/>
    <w:rsid w:val="00D535B4"/>
    <w:rsid w:val="00D536D8"/>
    <w:rsid w:val="00D53786"/>
    <w:rsid w:val="00D537B4"/>
    <w:rsid w:val="00D537F9"/>
    <w:rsid w:val="00D5389D"/>
    <w:rsid w:val="00D53B18"/>
    <w:rsid w:val="00D53BE4"/>
    <w:rsid w:val="00D53E43"/>
    <w:rsid w:val="00D54169"/>
    <w:rsid w:val="00D5424B"/>
    <w:rsid w:val="00D545B9"/>
    <w:rsid w:val="00D547B8"/>
    <w:rsid w:val="00D549A5"/>
    <w:rsid w:val="00D54ACC"/>
    <w:rsid w:val="00D54C55"/>
    <w:rsid w:val="00D54F27"/>
    <w:rsid w:val="00D550A3"/>
    <w:rsid w:val="00D552D2"/>
    <w:rsid w:val="00D558C5"/>
    <w:rsid w:val="00D55A76"/>
    <w:rsid w:val="00D55AF0"/>
    <w:rsid w:val="00D55BE1"/>
    <w:rsid w:val="00D56239"/>
    <w:rsid w:val="00D56584"/>
    <w:rsid w:val="00D5662C"/>
    <w:rsid w:val="00D566C9"/>
    <w:rsid w:val="00D567A8"/>
    <w:rsid w:val="00D56C2C"/>
    <w:rsid w:val="00D56C7A"/>
    <w:rsid w:val="00D56D53"/>
    <w:rsid w:val="00D56E45"/>
    <w:rsid w:val="00D56F93"/>
    <w:rsid w:val="00D570E9"/>
    <w:rsid w:val="00D57298"/>
    <w:rsid w:val="00D57387"/>
    <w:rsid w:val="00D573B9"/>
    <w:rsid w:val="00D57467"/>
    <w:rsid w:val="00D5746A"/>
    <w:rsid w:val="00D57561"/>
    <w:rsid w:val="00D578D0"/>
    <w:rsid w:val="00D57A9B"/>
    <w:rsid w:val="00D57AB6"/>
    <w:rsid w:val="00D57C7C"/>
    <w:rsid w:val="00D57D65"/>
    <w:rsid w:val="00D57ECA"/>
    <w:rsid w:val="00D57ED7"/>
    <w:rsid w:val="00D57F1C"/>
    <w:rsid w:val="00D60095"/>
    <w:rsid w:val="00D6012B"/>
    <w:rsid w:val="00D605AC"/>
    <w:rsid w:val="00D606C8"/>
    <w:rsid w:val="00D607F7"/>
    <w:rsid w:val="00D6087D"/>
    <w:rsid w:val="00D609BE"/>
    <w:rsid w:val="00D609D7"/>
    <w:rsid w:val="00D60B2B"/>
    <w:rsid w:val="00D60E1A"/>
    <w:rsid w:val="00D60ECB"/>
    <w:rsid w:val="00D60ECD"/>
    <w:rsid w:val="00D60F7D"/>
    <w:rsid w:val="00D61161"/>
    <w:rsid w:val="00D611E9"/>
    <w:rsid w:val="00D612F7"/>
    <w:rsid w:val="00D61557"/>
    <w:rsid w:val="00D615C5"/>
    <w:rsid w:val="00D6178C"/>
    <w:rsid w:val="00D617B1"/>
    <w:rsid w:val="00D61A56"/>
    <w:rsid w:val="00D61FB1"/>
    <w:rsid w:val="00D62071"/>
    <w:rsid w:val="00D62244"/>
    <w:rsid w:val="00D6239D"/>
    <w:rsid w:val="00D624A4"/>
    <w:rsid w:val="00D62737"/>
    <w:rsid w:val="00D627A1"/>
    <w:rsid w:val="00D62955"/>
    <w:rsid w:val="00D62A60"/>
    <w:rsid w:val="00D62B35"/>
    <w:rsid w:val="00D62BEF"/>
    <w:rsid w:val="00D62C33"/>
    <w:rsid w:val="00D62D36"/>
    <w:rsid w:val="00D62E1F"/>
    <w:rsid w:val="00D62E76"/>
    <w:rsid w:val="00D63564"/>
    <w:rsid w:val="00D63614"/>
    <w:rsid w:val="00D63771"/>
    <w:rsid w:val="00D637A4"/>
    <w:rsid w:val="00D638C6"/>
    <w:rsid w:val="00D63A25"/>
    <w:rsid w:val="00D63AF7"/>
    <w:rsid w:val="00D63BF1"/>
    <w:rsid w:val="00D63C81"/>
    <w:rsid w:val="00D64205"/>
    <w:rsid w:val="00D6433B"/>
    <w:rsid w:val="00D64614"/>
    <w:rsid w:val="00D64A1C"/>
    <w:rsid w:val="00D64C4A"/>
    <w:rsid w:val="00D64F88"/>
    <w:rsid w:val="00D64FCC"/>
    <w:rsid w:val="00D64FF4"/>
    <w:rsid w:val="00D65243"/>
    <w:rsid w:val="00D652A5"/>
    <w:rsid w:val="00D6532E"/>
    <w:rsid w:val="00D65560"/>
    <w:rsid w:val="00D6563B"/>
    <w:rsid w:val="00D6566A"/>
    <w:rsid w:val="00D6583F"/>
    <w:rsid w:val="00D659DF"/>
    <w:rsid w:val="00D65B6A"/>
    <w:rsid w:val="00D65C64"/>
    <w:rsid w:val="00D65CFD"/>
    <w:rsid w:val="00D65EA1"/>
    <w:rsid w:val="00D65F06"/>
    <w:rsid w:val="00D65FA9"/>
    <w:rsid w:val="00D660A1"/>
    <w:rsid w:val="00D662BB"/>
    <w:rsid w:val="00D66380"/>
    <w:rsid w:val="00D669E4"/>
    <w:rsid w:val="00D66DFC"/>
    <w:rsid w:val="00D66E0E"/>
    <w:rsid w:val="00D67418"/>
    <w:rsid w:val="00D67515"/>
    <w:rsid w:val="00D67712"/>
    <w:rsid w:val="00D677C7"/>
    <w:rsid w:val="00D6787B"/>
    <w:rsid w:val="00D67A43"/>
    <w:rsid w:val="00D67A92"/>
    <w:rsid w:val="00D67B20"/>
    <w:rsid w:val="00D67D66"/>
    <w:rsid w:val="00D67E92"/>
    <w:rsid w:val="00D67EC2"/>
    <w:rsid w:val="00D7022E"/>
    <w:rsid w:val="00D70401"/>
    <w:rsid w:val="00D70457"/>
    <w:rsid w:val="00D70462"/>
    <w:rsid w:val="00D70A71"/>
    <w:rsid w:val="00D70D65"/>
    <w:rsid w:val="00D70D6B"/>
    <w:rsid w:val="00D70E96"/>
    <w:rsid w:val="00D70EBF"/>
    <w:rsid w:val="00D70F44"/>
    <w:rsid w:val="00D70F79"/>
    <w:rsid w:val="00D70FAB"/>
    <w:rsid w:val="00D718B8"/>
    <w:rsid w:val="00D718BF"/>
    <w:rsid w:val="00D71906"/>
    <w:rsid w:val="00D719BC"/>
    <w:rsid w:val="00D71AB8"/>
    <w:rsid w:val="00D71BC1"/>
    <w:rsid w:val="00D71DDD"/>
    <w:rsid w:val="00D71FFE"/>
    <w:rsid w:val="00D7203D"/>
    <w:rsid w:val="00D72050"/>
    <w:rsid w:val="00D72134"/>
    <w:rsid w:val="00D72339"/>
    <w:rsid w:val="00D72470"/>
    <w:rsid w:val="00D72559"/>
    <w:rsid w:val="00D725CB"/>
    <w:rsid w:val="00D72604"/>
    <w:rsid w:val="00D728F4"/>
    <w:rsid w:val="00D72BF6"/>
    <w:rsid w:val="00D72C7A"/>
    <w:rsid w:val="00D73016"/>
    <w:rsid w:val="00D732D5"/>
    <w:rsid w:val="00D73351"/>
    <w:rsid w:val="00D7375F"/>
    <w:rsid w:val="00D737C7"/>
    <w:rsid w:val="00D73A2C"/>
    <w:rsid w:val="00D73D89"/>
    <w:rsid w:val="00D740D5"/>
    <w:rsid w:val="00D741CC"/>
    <w:rsid w:val="00D74528"/>
    <w:rsid w:val="00D7471D"/>
    <w:rsid w:val="00D7477C"/>
    <w:rsid w:val="00D74BC4"/>
    <w:rsid w:val="00D74CD0"/>
    <w:rsid w:val="00D74D60"/>
    <w:rsid w:val="00D752AA"/>
    <w:rsid w:val="00D752CE"/>
    <w:rsid w:val="00D75486"/>
    <w:rsid w:val="00D7576B"/>
    <w:rsid w:val="00D75B6A"/>
    <w:rsid w:val="00D75C12"/>
    <w:rsid w:val="00D75CF8"/>
    <w:rsid w:val="00D75ECD"/>
    <w:rsid w:val="00D761A0"/>
    <w:rsid w:val="00D761F7"/>
    <w:rsid w:val="00D763BF"/>
    <w:rsid w:val="00D765FB"/>
    <w:rsid w:val="00D76678"/>
    <w:rsid w:val="00D76942"/>
    <w:rsid w:val="00D76A18"/>
    <w:rsid w:val="00D76AE4"/>
    <w:rsid w:val="00D76CF4"/>
    <w:rsid w:val="00D76E08"/>
    <w:rsid w:val="00D7749C"/>
    <w:rsid w:val="00D77567"/>
    <w:rsid w:val="00D7775B"/>
    <w:rsid w:val="00D778BE"/>
    <w:rsid w:val="00D778F9"/>
    <w:rsid w:val="00D77B9C"/>
    <w:rsid w:val="00D80232"/>
    <w:rsid w:val="00D80256"/>
    <w:rsid w:val="00D8026C"/>
    <w:rsid w:val="00D80672"/>
    <w:rsid w:val="00D8067A"/>
    <w:rsid w:val="00D80887"/>
    <w:rsid w:val="00D80903"/>
    <w:rsid w:val="00D80ABA"/>
    <w:rsid w:val="00D80B13"/>
    <w:rsid w:val="00D80E53"/>
    <w:rsid w:val="00D80FEA"/>
    <w:rsid w:val="00D81206"/>
    <w:rsid w:val="00D8121A"/>
    <w:rsid w:val="00D81AB2"/>
    <w:rsid w:val="00D81AF3"/>
    <w:rsid w:val="00D81C17"/>
    <w:rsid w:val="00D81C2F"/>
    <w:rsid w:val="00D81F7F"/>
    <w:rsid w:val="00D8207C"/>
    <w:rsid w:val="00D8231E"/>
    <w:rsid w:val="00D8277E"/>
    <w:rsid w:val="00D82B3F"/>
    <w:rsid w:val="00D82BC2"/>
    <w:rsid w:val="00D82C55"/>
    <w:rsid w:val="00D82FC0"/>
    <w:rsid w:val="00D8354A"/>
    <w:rsid w:val="00D838CF"/>
    <w:rsid w:val="00D83C78"/>
    <w:rsid w:val="00D84146"/>
    <w:rsid w:val="00D841B5"/>
    <w:rsid w:val="00D842E8"/>
    <w:rsid w:val="00D8461F"/>
    <w:rsid w:val="00D8497F"/>
    <w:rsid w:val="00D84B8D"/>
    <w:rsid w:val="00D84D40"/>
    <w:rsid w:val="00D84E0D"/>
    <w:rsid w:val="00D852E1"/>
    <w:rsid w:val="00D853EA"/>
    <w:rsid w:val="00D85473"/>
    <w:rsid w:val="00D85554"/>
    <w:rsid w:val="00D85596"/>
    <w:rsid w:val="00D855BB"/>
    <w:rsid w:val="00D85622"/>
    <w:rsid w:val="00D859E5"/>
    <w:rsid w:val="00D85CEF"/>
    <w:rsid w:val="00D85D2C"/>
    <w:rsid w:val="00D860E3"/>
    <w:rsid w:val="00D860E5"/>
    <w:rsid w:val="00D860FA"/>
    <w:rsid w:val="00D863AF"/>
    <w:rsid w:val="00D863B5"/>
    <w:rsid w:val="00D868DD"/>
    <w:rsid w:val="00D8699C"/>
    <w:rsid w:val="00D86AF4"/>
    <w:rsid w:val="00D86E4D"/>
    <w:rsid w:val="00D86F88"/>
    <w:rsid w:val="00D871FD"/>
    <w:rsid w:val="00D87276"/>
    <w:rsid w:val="00D87326"/>
    <w:rsid w:val="00D8732B"/>
    <w:rsid w:val="00D87363"/>
    <w:rsid w:val="00D873C4"/>
    <w:rsid w:val="00D87445"/>
    <w:rsid w:val="00D87763"/>
    <w:rsid w:val="00D878DF"/>
    <w:rsid w:val="00D87C10"/>
    <w:rsid w:val="00D87C92"/>
    <w:rsid w:val="00D87D99"/>
    <w:rsid w:val="00D901D5"/>
    <w:rsid w:val="00D9099E"/>
    <w:rsid w:val="00D90AF5"/>
    <w:rsid w:val="00D90B44"/>
    <w:rsid w:val="00D90C5E"/>
    <w:rsid w:val="00D90C69"/>
    <w:rsid w:val="00D91347"/>
    <w:rsid w:val="00D917C1"/>
    <w:rsid w:val="00D918D8"/>
    <w:rsid w:val="00D919AF"/>
    <w:rsid w:val="00D919D7"/>
    <w:rsid w:val="00D91C64"/>
    <w:rsid w:val="00D91DE4"/>
    <w:rsid w:val="00D9204F"/>
    <w:rsid w:val="00D9243C"/>
    <w:rsid w:val="00D92603"/>
    <w:rsid w:val="00D92629"/>
    <w:rsid w:val="00D92990"/>
    <w:rsid w:val="00D92C79"/>
    <w:rsid w:val="00D92CB9"/>
    <w:rsid w:val="00D92D35"/>
    <w:rsid w:val="00D93400"/>
    <w:rsid w:val="00D93610"/>
    <w:rsid w:val="00D93885"/>
    <w:rsid w:val="00D93902"/>
    <w:rsid w:val="00D93A51"/>
    <w:rsid w:val="00D93A82"/>
    <w:rsid w:val="00D93DA9"/>
    <w:rsid w:val="00D943B1"/>
    <w:rsid w:val="00D94587"/>
    <w:rsid w:val="00D9458F"/>
    <w:rsid w:val="00D94907"/>
    <w:rsid w:val="00D94A7F"/>
    <w:rsid w:val="00D94B4A"/>
    <w:rsid w:val="00D94B70"/>
    <w:rsid w:val="00D94D2A"/>
    <w:rsid w:val="00D94EE9"/>
    <w:rsid w:val="00D94F6E"/>
    <w:rsid w:val="00D9555A"/>
    <w:rsid w:val="00D95944"/>
    <w:rsid w:val="00D95B56"/>
    <w:rsid w:val="00D95D82"/>
    <w:rsid w:val="00D95F24"/>
    <w:rsid w:val="00D9602C"/>
    <w:rsid w:val="00D961DF"/>
    <w:rsid w:val="00D964AC"/>
    <w:rsid w:val="00D968AB"/>
    <w:rsid w:val="00D968C0"/>
    <w:rsid w:val="00D96C52"/>
    <w:rsid w:val="00D96F66"/>
    <w:rsid w:val="00D9715F"/>
    <w:rsid w:val="00D97614"/>
    <w:rsid w:val="00D976C0"/>
    <w:rsid w:val="00D97743"/>
    <w:rsid w:val="00D97809"/>
    <w:rsid w:val="00D9789A"/>
    <w:rsid w:val="00D97C9E"/>
    <w:rsid w:val="00D97D6B"/>
    <w:rsid w:val="00D97E87"/>
    <w:rsid w:val="00D97F44"/>
    <w:rsid w:val="00D97FE0"/>
    <w:rsid w:val="00DA0079"/>
    <w:rsid w:val="00DA011E"/>
    <w:rsid w:val="00DA02A6"/>
    <w:rsid w:val="00DA030C"/>
    <w:rsid w:val="00DA031A"/>
    <w:rsid w:val="00DA0357"/>
    <w:rsid w:val="00DA0374"/>
    <w:rsid w:val="00DA049E"/>
    <w:rsid w:val="00DA0524"/>
    <w:rsid w:val="00DA0720"/>
    <w:rsid w:val="00DA0748"/>
    <w:rsid w:val="00DA0762"/>
    <w:rsid w:val="00DA0853"/>
    <w:rsid w:val="00DA0BEE"/>
    <w:rsid w:val="00DA0C05"/>
    <w:rsid w:val="00DA0C5D"/>
    <w:rsid w:val="00DA0D67"/>
    <w:rsid w:val="00DA0F78"/>
    <w:rsid w:val="00DA109D"/>
    <w:rsid w:val="00DA12F3"/>
    <w:rsid w:val="00DA13C8"/>
    <w:rsid w:val="00DA1406"/>
    <w:rsid w:val="00DA143D"/>
    <w:rsid w:val="00DA18B1"/>
    <w:rsid w:val="00DA1A4E"/>
    <w:rsid w:val="00DA1F6A"/>
    <w:rsid w:val="00DA209E"/>
    <w:rsid w:val="00DA22A6"/>
    <w:rsid w:val="00DA22EC"/>
    <w:rsid w:val="00DA25A7"/>
    <w:rsid w:val="00DA2626"/>
    <w:rsid w:val="00DA2893"/>
    <w:rsid w:val="00DA2A17"/>
    <w:rsid w:val="00DA2B7B"/>
    <w:rsid w:val="00DA2BDA"/>
    <w:rsid w:val="00DA2CA5"/>
    <w:rsid w:val="00DA2DAD"/>
    <w:rsid w:val="00DA2EAC"/>
    <w:rsid w:val="00DA2EB6"/>
    <w:rsid w:val="00DA2FDA"/>
    <w:rsid w:val="00DA3310"/>
    <w:rsid w:val="00DA3880"/>
    <w:rsid w:val="00DA3B83"/>
    <w:rsid w:val="00DA3BA9"/>
    <w:rsid w:val="00DA3BEF"/>
    <w:rsid w:val="00DA3C29"/>
    <w:rsid w:val="00DA3C49"/>
    <w:rsid w:val="00DA3C74"/>
    <w:rsid w:val="00DA3CD8"/>
    <w:rsid w:val="00DA405C"/>
    <w:rsid w:val="00DA408B"/>
    <w:rsid w:val="00DA4556"/>
    <w:rsid w:val="00DA4AF6"/>
    <w:rsid w:val="00DA4BB6"/>
    <w:rsid w:val="00DA4C81"/>
    <w:rsid w:val="00DA4E39"/>
    <w:rsid w:val="00DA50D3"/>
    <w:rsid w:val="00DA52F0"/>
    <w:rsid w:val="00DA53FC"/>
    <w:rsid w:val="00DA5505"/>
    <w:rsid w:val="00DA5661"/>
    <w:rsid w:val="00DA5672"/>
    <w:rsid w:val="00DA595E"/>
    <w:rsid w:val="00DA5A99"/>
    <w:rsid w:val="00DA5B24"/>
    <w:rsid w:val="00DA5B2B"/>
    <w:rsid w:val="00DA5BAF"/>
    <w:rsid w:val="00DA5D5B"/>
    <w:rsid w:val="00DA5DE9"/>
    <w:rsid w:val="00DA5EB6"/>
    <w:rsid w:val="00DA61F2"/>
    <w:rsid w:val="00DA6614"/>
    <w:rsid w:val="00DA6652"/>
    <w:rsid w:val="00DA675C"/>
    <w:rsid w:val="00DA6AE3"/>
    <w:rsid w:val="00DA6B27"/>
    <w:rsid w:val="00DA6B9C"/>
    <w:rsid w:val="00DA6DEB"/>
    <w:rsid w:val="00DA6EA1"/>
    <w:rsid w:val="00DA6FC6"/>
    <w:rsid w:val="00DA7104"/>
    <w:rsid w:val="00DA732F"/>
    <w:rsid w:val="00DA74B6"/>
    <w:rsid w:val="00DA7732"/>
    <w:rsid w:val="00DA77E3"/>
    <w:rsid w:val="00DA786E"/>
    <w:rsid w:val="00DA79B5"/>
    <w:rsid w:val="00DA7BE1"/>
    <w:rsid w:val="00DA7F5D"/>
    <w:rsid w:val="00DAD60C"/>
    <w:rsid w:val="00DB016D"/>
    <w:rsid w:val="00DB01B7"/>
    <w:rsid w:val="00DB01E1"/>
    <w:rsid w:val="00DB044B"/>
    <w:rsid w:val="00DB0489"/>
    <w:rsid w:val="00DB050A"/>
    <w:rsid w:val="00DB05A7"/>
    <w:rsid w:val="00DB077A"/>
    <w:rsid w:val="00DB07A1"/>
    <w:rsid w:val="00DB080F"/>
    <w:rsid w:val="00DB0896"/>
    <w:rsid w:val="00DB08E8"/>
    <w:rsid w:val="00DB0B54"/>
    <w:rsid w:val="00DB0D72"/>
    <w:rsid w:val="00DB10DC"/>
    <w:rsid w:val="00DB1837"/>
    <w:rsid w:val="00DB18A6"/>
    <w:rsid w:val="00DB1929"/>
    <w:rsid w:val="00DB1971"/>
    <w:rsid w:val="00DB1B06"/>
    <w:rsid w:val="00DB1DF6"/>
    <w:rsid w:val="00DB1EE6"/>
    <w:rsid w:val="00DB22E4"/>
    <w:rsid w:val="00DB26A1"/>
    <w:rsid w:val="00DB2702"/>
    <w:rsid w:val="00DB2787"/>
    <w:rsid w:val="00DB27AA"/>
    <w:rsid w:val="00DB2856"/>
    <w:rsid w:val="00DB2950"/>
    <w:rsid w:val="00DB2A08"/>
    <w:rsid w:val="00DB30AC"/>
    <w:rsid w:val="00DB319B"/>
    <w:rsid w:val="00DB33F8"/>
    <w:rsid w:val="00DB3504"/>
    <w:rsid w:val="00DB3576"/>
    <w:rsid w:val="00DB36F0"/>
    <w:rsid w:val="00DB37A8"/>
    <w:rsid w:val="00DB38D4"/>
    <w:rsid w:val="00DB3964"/>
    <w:rsid w:val="00DB3988"/>
    <w:rsid w:val="00DB3C52"/>
    <w:rsid w:val="00DB3C7A"/>
    <w:rsid w:val="00DB3E08"/>
    <w:rsid w:val="00DB400B"/>
    <w:rsid w:val="00DB432C"/>
    <w:rsid w:val="00DB4800"/>
    <w:rsid w:val="00DB4865"/>
    <w:rsid w:val="00DB5141"/>
    <w:rsid w:val="00DB51DE"/>
    <w:rsid w:val="00DB52AC"/>
    <w:rsid w:val="00DB531B"/>
    <w:rsid w:val="00DB55C7"/>
    <w:rsid w:val="00DB5988"/>
    <w:rsid w:val="00DB59C3"/>
    <w:rsid w:val="00DB5A4B"/>
    <w:rsid w:val="00DB5B80"/>
    <w:rsid w:val="00DB5C68"/>
    <w:rsid w:val="00DB5CAF"/>
    <w:rsid w:val="00DB5F60"/>
    <w:rsid w:val="00DB5F9F"/>
    <w:rsid w:val="00DB61B0"/>
    <w:rsid w:val="00DB61D7"/>
    <w:rsid w:val="00DB648C"/>
    <w:rsid w:val="00DB6815"/>
    <w:rsid w:val="00DB69E9"/>
    <w:rsid w:val="00DB7293"/>
    <w:rsid w:val="00DB7451"/>
    <w:rsid w:val="00DB75A9"/>
    <w:rsid w:val="00DB770D"/>
    <w:rsid w:val="00DB78DC"/>
    <w:rsid w:val="00DB79A7"/>
    <w:rsid w:val="00DB7C1B"/>
    <w:rsid w:val="00DB7C84"/>
    <w:rsid w:val="00DB7F97"/>
    <w:rsid w:val="00DC0035"/>
    <w:rsid w:val="00DC0346"/>
    <w:rsid w:val="00DC06F4"/>
    <w:rsid w:val="00DC083C"/>
    <w:rsid w:val="00DC08A6"/>
    <w:rsid w:val="00DC0AE5"/>
    <w:rsid w:val="00DC0BE8"/>
    <w:rsid w:val="00DC0D4B"/>
    <w:rsid w:val="00DC111B"/>
    <w:rsid w:val="00DC1153"/>
    <w:rsid w:val="00DC12EB"/>
    <w:rsid w:val="00DC1324"/>
    <w:rsid w:val="00DC1337"/>
    <w:rsid w:val="00DC174C"/>
    <w:rsid w:val="00DC17EC"/>
    <w:rsid w:val="00DC19A1"/>
    <w:rsid w:val="00DC1C9F"/>
    <w:rsid w:val="00DC1E3F"/>
    <w:rsid w:val="00DC1E64"/>
    <w:rsid w:val="00DC1EE6"/>
    <w:rsid w:val="00DC1EFB"/>
    <w:rsid w:val="00DC2130"/>
    <w:rsid w:val="00DC21B7"/>
    <w:rsid w:val="00DC22E5"/>
    <w:rsid w:val="00DC22E7"/>
    <w:rsid w:val="00DC25E4"/>
    <w:rsid w:val="00DC27CB"/>
    <w:rsid w:val="00DC2874"/>
    <w:rsid w:val="00DC2D05"/>
    <w:rsid w:val="00DC3329"/>
    <w:rsid w:val="00DC33F9"/>
    <w:rsid w:val="00DC34EF"/>
    <w:rsid w:val="00DC3911"/>
    <w:rsid w:val="00DC3918"/>
    <w:rsid w:val="00DC3D2F"/>
    <w:rsid w:val="00DC3DA0"/>
    <w:rsid w:val="00DC3E9B"/>
    <w:rsid w:val="00DC3FE0"/>
    <w:rsid w:val="00DC418A"/>
    <w:rsid w:val="00DC43CB"/>
    <w:rsid w:val="00DC471E"/>
    <w:rsid w:val="00DC4818"/>
    <w:rsid w:val="00DC498F"/>
    <w:rsid w:val="00DC49B7"/>
    <w:rsid w:val="00DC4AD5"/>
    <w:rsid w:val="00DC4AFF"/>
    <w:rsid w:val="00DC4BAD"/>
    <w:rsid w:val="00DC4BDA"/>
    <w:rsid w:val="00DC4E90"/>
    <w:rsid w:val="00DC4F80"/>
    <w:rsid w:val="00DC51F2"/>
    <w:rsid w:val="00DC58F9"/>
    <w:rsid w:val="00DC5C36"/>
    <w:rsid w:val="00DC5D6C"/>
    <w:rsid w:val="00DC5D91"/>
    <w:rsid w:val="00DC5F0A"/>
    <w:rsid w:val="00DC5F66"/>
    <w:rsid w:val="00DC61FA"/>
    <w:rsid w:val="00DC6360"/>
    <w:rsid w:val="00DC6523"/>
    <w:rsid w:val="00DC65A4"/>
    <w:rsid w:val="00DC65E9"/>
    <w:rsid w:val="00DC666C"/>
    <w:rsid w:val="00DC66E7"/>
    <w:rsid w:val="00DC6735"/>
    <w:rsid w:val="00DC67A4"/>
    <w:rsid w:val="00DC759C"/>
    <w:rsid w:val="00DC76E1"/>
    <w:rsid w:val="00DC77E7"/>
    <w:rsid w:val="00DC7A6A"/>
    <w:rsid w:val="00DC7D0B"/>
    <w:rsid w:val="00DD0133"/>
    <w:rsid w:val="00DD01B7"/>
    <w:rsid w:val="00DD02EE"/>
    <w:rsid w:val="00DD03CD"/>
    <w:rsid w:val="00DD073C"/>
    <w:rsid w:val="00DD09EA"/>
    <w:rsid w:val="00DD0B66"/>
    <w:rsid w:val="00DD0B88"/>
    <w:rsid w:val="00DD0C10"/>
    <w:rsid w:val="00DD0C4A"/>
    <w:rsid w:val="00DD0E7F"/>
    <w:rsid w:val="00DD0EF9"/>
    <w:rsid w:val="00DD142E"/>
    <w:rsid w:val="00DD173D"/>
    <w:rsid w:val="00DD1B3A"/>
    <w:rsid w:val="00DD1FD4"/>
    <w:rsid w:val="00DD2070"/>
    <w:rsid w:val="00DD20F2"/>
    <w:rsid w:val="00DD212F"/>
    <w:rsid w:val="00DD21D6"/>
    <w:rsid w:val="00DD222E"/>
    <w:rsid w:val="00DD2414"/>
    <w:rsid w:val="00DD2488"/>
    <w:rsid w:val="00DD269F"/>
    <w:rsid w:val="00DD27F9"/>
    <w:rsid w:val="00DD2854"/>
    <w:rsid w:val="00DD2A83"/>
    <w:rsid w:val="00DD2C77"/>
    <w:rsid w:val="00DD2E46"/>
    <w:rsid w:val="00DD30CC"/>
    <w:rsid w:val="00DD312B"/>
    <w:rsid w:val="00DD322D"/>
    <w:rsid w:val="00DD3342"/>
    <w:rsid w:val="00DD3357"/>
    <w:rsid w:val="00DD3A60"/>
    <w:rsid w:val="00DD3B40"/>
    <w:rsid w:val="00DD3C0C"/>
    <w:rsid w:val="00DD3CE8"/>
    <w:rsid w:val="00DD3DE8"/>
    <w:rsid w:val="00DD40E7"/>
    <w:rsid w:val="00DD4178"/>
    <w:rsid w:val="00DD4199"/>
    <w:rsid w:val="00DD454B"/>
    <w:rsid w:val="00DD47CB"/>
    <w:rsid w:val="00DD47E2"/>
    <w:rsid w:val="00DD4920"/>
    <w:rsid w:val="00DD4A56"/>
    <w:rsid w:val="00DD4D0E"/>
    <w:rsid w:val="00DD4E80"/>
    <w:rsid w:val="00DD512C"/>
    <w:rsid w:val="00DD5155"/>
    <w:rsid w:val="00DD526E"/>
    <w:rsid w:val="00DD5550"/>
    <w:rsid w:val="00DD55BA"/>
    <w:rsid w:val="00DD57B3"/>
    <w:rsid w:val="00DD5BC8"/>
    <w:rsid w:val="00DD5CB5"/>
    <w:rsid w:val="00DD5D1A"/>
    <w:rsid w:val="00DD5DD6"/>
    <w:rsid w:val="00DD624D"/>
    <w:rsid w:val="00DD6343"/>
    <w:rsid w:val="00DD6796"/>
    <w:rsid w:val="00DD6AB8"/>
    <w:rsid w:val="00DD6D28"/>
    <w:rsid w:val="00DD6D95"/>
    <w:rsid w:val="00DD6E0F"/>
    <w:rsid w:val="00DD7889"/>
    <w:rsid w:val="00DD7929"/>
    <w:rsid w:val="00DD7B58"/>
    <w:rsid w:val="00DD7E15"/>
    <w:rsid w:val="00DD7E3B"/>
    <w:rsid w:val="00DE01AF"/>
    <w:rsid w:val="00DE0232"/>
    <w:rsid w:val="00DE0768"/>
    <w:rsid w:val="00DE0C46"/>
    <w:rsid w:val="00DE0C77"/>
    <w:rsid w:val="00DE0CFF"/>
    <w:rsid w:val="00DE0D5B"/>
    <w:rsid w:val="00DE0E1E"/>
    <w:rsid w:val="00DE1003"/>
    <w:rsid w:val="00DE10C1"/>
    <w:rsid w:val="00DE1135"/>
    <w:rsid w:val="00DE1178"/>
    <w:rsid w:val="00DE127D"/>
    <w:rsid w:val="00DE1280"/>
    <w:rsid w:val="00DE1559"/>
    <w:rsid w:val="00DE161C"/>
    <w:rsid w:val="00DE169C"/>
    <w:rsid w:val="00DE1741"/>
    <w:rsid w:val="00DE17C2"/>
    <w:rsid w:val="00DE17FD"/>
    <w:rsid w:val="00DE1984"/>
    <w:rsid w:val="00DE1D68"/>
    <w:rsid w:val="00DE1DD7"/>
    <w:rsid w:val="00DE1E08"/>
    <w:rsid w:val="00DE1E46"/>
    <w:rsid w:val="00DE1ED7"/>
    <w:rsid w:val="00DE1F45"/>
    <w:rsid w:val="00DE1F6C"/>
    <w:rsid w:val="00DE1FAA"/>
    <w:rsid w:val="00DE22D0"/>
    <w:rsid w:val="00DE241D"/>
    <w:rsid w:val="00DE243C"/>
    <w:rsid w:val="00DE2450"/>
    <w:rsid w:val="00DE24D1"/>
    <w:rsid w:val="00DE27FD"/>
    <w:rsid w:val="00DE296D"/>
    <w:rsid w:val="00DE298D"/>
    <w:rsid w:val="00DE2AD8"/>
    <w:rsid w:val="00DE2B0E"/>
    <w:rsid w:val="00DE2CE4"/>
    <w:rsid w:val="00DE2F2E"/>
    <w:rsid w:val="00DE30DC"/>
    <w:rsid w:val="00DE332A"/>
    <w:rsid w:val="00DE363A"/>
    <w:rsid w:val="00DE37EF"/>
    <w:rsid w:val="00DE38CA"/>
    <w:rsid w:val="00DE3CD6"/>
    <w:rsid w:val="00DE3CEE"/>
    <w:rsid w:val="00DE3FCF"/>
    <w:rsid w:val="00DE417E"/>
    <w:rsid w:val="00DE46DD"/>
    <w:rsid w:val="00DE477B"/>
    <w:rsid w:val="00DE47FB"/>
    <w:rsid w:val="00DE4905"/>
    <w:rsid w:val="00DE49FE"/>
    <w:rsid w:val="00DE4A6C"/>
    <w:rsid w:val="00DE4A6E"/>
    <w:rsid w:val="00DE4B5F"/>
    <w:rsid w:val="00DE4CDF"/>
    <w:rsid w:val="00DE4E6D"/>
    <w:rsid w:val="00DE4F2E"/>
    <w:rsid w:val="00DE4F3C"/>
    <w:rsid w:val="00DE5280"/>
    <w:rsid w:val="00DE54F8"/>
    <w:rsid w:val="00DE5684"/>
    <w:rsid w:val="00DE5817"/>
    <w:rsid w:val="00DE5A90"/>
    <w:rsid w:val="00DE5ABB"/>
    <w:rsid w:val="00DE5C27"/>
    <w:rsid w:val="00DE5DE8"/>
    <w:rsid w:val="00DE5FB2"/>
    <w:rsid w:val="00DE6052"/>
    <w:rsid w:val="00DE6068"/>
    <w:rsid w:val="00DE635B"/>
    <w:rsid w:val="00DE6362"/>
    <w:rsid w:val="00DE6A99"/>
    <w:rsid w:val="00DE6F34"/>
    <w:rsid w:val="00DE7539"/>
    <w:rsid w:val="00DE76B3"/>
    <w:rsid w:val="00DE76ED"/>
    <w:rsid w:val="00DE76F4"/>
    <w:rsid w:val="00DE7910"/>
    <w:rsid w:val="00DE7DE9"/>
    <w:rsid w:val="00DE7EFC"/>
    <w:rsid w:val="00DF000D"/>
    <w:rsid w:val="00DF0558"/>
    <w:rsid w:val="00DF0825"/>
    <w:rsid w:val="00DF0B00"/>
    <w:rsid w:val="00DF0E1E"/>
    <w:rsid w:val="00DF1044"/>
    <w:rsid w:val="00DF122E"/>
    <w:rsid w:val="00DF1344"/>
    <w:rsid w:val="00DF1593"/>
    <w:rsid w:val="00DF16C3"/>
    <w:rsid w:val="00DF17D2"/>
    <w:rsid w:val="00DF1A12"/>
    <w:rsid w:val="00DF1B51"/>
    <w:rsid w:val="00DF1B88"/>
    <w:rsid w:val="00DF1C31"/>
    <w:rsid w:val="00DF1C52"/>
    <w:rsid w:val="00DF1E23"/>
    <w:rsid w:val="00DF1ECD"/>
    <w:rsid w:val="00DF1F1D"/>
    <w:rsid w:val="00DF2174"/>
    <w:rsid w:val="00DF228C"/>
    <w:rsid w:val="00DF2297"/>
    <w:rsid w:val="00DF233F"/>
    <w:rsid w:val="00DF236C"/>
    <w:rsid w:val="00DF2638"/>
    <w:rsid w:val="00DF2719"/>
    <w:rsid w:val="00DF2913"/>
    <w:rsid w:val="00DF29F3"/>
    <w:rsid w:val="00DF2C51"/>
    <w:rsid w:val="00DF2D46"/>
    <w:rsid w:val="00DF2F39"/>
    <w:rsid w:val="00DF300E"/>
    <w:rsid w:val="00DF30A6"/>
    <w:rsid w:val="00DF34E3"/>
    <w:rsid w:val="00DF352B"/>
    <w:rsid w:val="00DF370C"/>
    <w:rsid w:val="00DF370D"/>
    <w:rsid w:val="00DF3D37"/>
    <w:rsid w:val="00DF3DCC"/>
    <w:rsid w:val="00DF3F19"/>
    <w:rsid w:val="00DF3FE3"/>
    <w:rsid w:val="00DF40A3"/>
    <w:rsid w:val="00DF4137"/>
    <w:rsid w:val="00DF417F"/>
    <w:rsid w:val="00DF4582"/>
    <w:rsid w:val="00DF46E9"/>
    <w:rsid w:val="00DF47D3"/>
    <w:rsid w:val="00DF48D8"/>
    <w:rsid w:val="00DF49A9"/>
    <w:rsid w:val="00DF4A25"/>
    <w:rsid w:val="00DF4B33"/>
    <w:rsid w:val="00DF4CC9"/>
    <w:rsid w:val="00DF4D13"/>
    <w:rsid w:val="00DF4E6A"/>
    <w:rsid w:val="00DF4E76"/>
    <w:rsid w:val="00DF4E82"/>
    <w:rsid w:val="00DF4F5A"/>
    <w:rsid w:val="00DF4F5C"/>
    <w:rsid w:val="00DF4F82"/>
    <w:rsid w:val="00DF4FAC"/>
    <w:rsid w:val="00DF5012"/>
    <w:rsid w:val="00DF5197"/>
    <w:rsid w:val="00DF5211"/>
    <w:rsid w:val="00DF5217"/>
    <w:rsid w:val="00DF5413"/>
    <w:rsid w:val="00DF5502"/>
    <w:rsid w:val="00DF55F8"/>
    <w:rsid w:val="00DF5635"/>
    <w:rsid w:val="00DF57D5"/>
    <w:rsid w:val="00DF58DA"/>
    <w:rsid w:val="00DF591D"/>
    <w:rsid w:val="00DF5C98"/>
    <w:rsid w:val="00DF5E3C"/>
    <w:rsid w:val="00DF5E67"/>
    <w:rsid w:val="00DF61CC"/>
    <w:rsid w:val="00DF61EE"/>
    <w:rsid w:val="00DF6450"/>
    <w:rsid w:val="00DF64A1"/>
    <w:rsid w:val="00DF6541"/>
    <w:rsid w:val="00DF65C6"/>
    <w:rsid w:val="00DF66F5"/>
    <w:rsid w:val="00DF67A7"/>
    <w:rsid w:val="00DF68E8"/>
    <w:rsid w:val="00DF6C4C"/>
    <w:rsid w:val="00DF6E48"/>
    <w:rsid w:val="00DF6F79"/>
    <w:rsid w:val="00DF7019"/>
    <w:rsid w:val="00DF70F1"/>
    <w:rsid w:val="00DF70FC"/>
    <w:rsid w:val="00DF7102"/>
    <w:rsid w:val="00DF7131"/>
    <w:rsid w:val="00DF7266"/>
    <w:rsid w:val="00DF776E"/>
    <w:rsid w:val="00DF7857"/>
    <w:rsid w:val="00DF793C"/>
    <w:rsid w:val="00DF79F0"/>
    <w:rsid w:val="00DF7C6E"/>
    <w:rsid w:val="00DF7FD2"/>
    <w:rsid w:val="00E00266"/>
    <w:rsid w:val="00E00515"/>
    <w:rsid w:val="00E006FB"/>
    <w:rsid w:val="00E0084D"/>
    <w:rsid w:val="00E008CE"/>
    <w:rsid w:val="00E00AD2"/>
    <w:rsid w:val="00E00B2A"/>
    <w:rsid w:val="00E00CA8"/>
    <w:rsid w:val="00E0102E"/>
    <w:rsid w:val="00E010EF"/>
    <w:rsid w:val="00E013D7"/>
    <w:rsid w:val="00E015DC"/>
    <w:rsid w:val="00E016C4"/>
    <w:rsid w:val="00E0178B"/>
    <w:rsid w:val="00E01B20"/>
    <w:rsid w:val="00E01E1F"/>
    <w:rsid w:val="00E0228C"/>
    <w:rsid w:val="00E022CC"/>
    <w:rsid w:val="00E023DC"/>
    <w:rsid w:val="00E0244B"/>
    <w:rsid w:val="00E02596"/>
    <w:rsid w:val="00E0261A"/>
    <w:rsid w:val="00E026A1"/>
    <w:rsid w:val="00E028BB"/>
    <w:rsid w:val="00E02A00"/>
    <w:rsid w:val="00E02D0E"/>
    <w:rsid w:val="00E02F94"/>
    <w:rsid w:val="00E0304F"/>
    <w:rsid w:val="00E032BF"/>
    <w:rsid w:val="00E03423"/>
    <w:rsid w:val="00E03942"/>
    <w:rsid w:val="00E039F2"/>
    <w:rsid w:val="00E039FB"/>
    <w:rsid w:val="00E03D84"/>
    <w:rsid w:val="00E03E2E"/>
    <w:rsid w:val="00E03F46"/>
    <w:rsid w:val="00E03F86"/>
    <w:rsid w:val="00E040F0"/>
    <w:rsid w:val="00E04364"/>
    <w:rsid w:val="00E045E6"/>
    <w:rsid w:val="00E0469A"/>
    <w:rsid w:val="00E04788"/>
    <w:rsid w:val="00E04807"/>
    <w:rsid w:val="00E0495A"/>
    <w:rsid w:val="00E04BBC"/>
    <w:rsid w:val="00E0549D"/>
    <w:rsid w:val="00E05722"/>
    <w:rsid w:val="00E057DA"/>
    <w:rsid w:val="00E05870"/>
    <w:rsid w:val="00E05AB4"/>
    <w:rsid w:val="00E05B89"/>
    <w:rsid w:val="00E05C0D"/>
    <w:rsid w:val="00E05C43"/>
    <w:rsid w:val="00E05DD2"/>
    <w:rsid w:val="00E05F26"/>
    <w:rsid w:val="00E0601B"/>
    <w:rsid w:val="00E06029"/>
    <w:rsid w:val="00E0608A"/>
    <w:rsid w:val="00E06184"/>
    <w:rsid w:val="00E061C3"/>
    <w:rsid w:val="00E0634E"/>
    <w:rsid w:val="00E06597"/>
    <w:rsid w:val="00E069E8"/>
    <w:rsid w:val="00E06DDE"/>
    <w:rsid w:val="00E070B9"/>
    <w:rsid w:val="00E07344"/>
    <w:rsid w:val="00E07438"/>
    <w:rsid w:val="00E07506"/>
    <w:rsid w:val="00E07560"/>
    <w:rsid w:val="00E0764E"/>
    <w:rsid w:val="00E076FC"/>
    <w:rsid w:val="00E078A0"/>
    <w:rsid w:val="00E078ED"/>
    <w:rsid w:val="00E07E15"/>
    <w:rsid w:val="00E1026F"/>
    <w:rsid w:val="00E10790"/>
    <w:rsid w:val="00E1087E"/>
    <w:rsid w:val="00E10ADD"/>
    <w:rsid w:val="00E10C4E"/>
    <w:rsid w:val="00E10D7C"/>
    <w:rsid w:val="00E10EAF"/>
    <w:rsid w:val="00E10EDB"/>
    <w:rsid w:val="00E1109D"/>
    <w:rsid w:val="00E11241"/>
    <w:rsid w:val="00E11616"/>
    <w:rsid w:val="00E11617"/>
    <w:rsid w:val="00E116B1"/>
    <w:rsid w:val="00E11758"/>
    <w:rsid w:val="00E11954"/>
    <w:rsid w:val="00E11C3E"/>
    <w:rsid w:val="00E11FA9"/>
    <w:rsid w:val="00E11FD7"/>
    <w:rsid w:val="00E121BC"/>
    <w:rsid w:val="00E12247"/>
    <w:rsid w:val="00E123EE"/>
    <w:rsid w:val="00E1244B"/>
    <w:rsid w:val="00E12594"/>
    <w:rsid w:val="00E126D6"/>
    <w:rsid w:val="00E12814"/>
    <w:rsid w:val="00E12854"/>
    <w:rsid w:val="00E12987"/>
    <w:rsid w:val="00E12BF9"/>
    <w:rsid w:val="00E12C7F"/>
    <w:rsid w:val="00E12F5D"/>
    <w:rsid w:val="00E12F70"/>
    <w:rsid w:val="00E13337"/>
    <w:rsid w:val="00E13401"/>
    <w:rsid w:val="00E1343E"/>
    <w:rsid w:val="00E134E0"/>
    <w:rsid w:val="00E13A83"/>
    <w:rsid w:val="00E13A92"/>
    <w:rsid w:val="00E13C1D"/>
    <w:rsid w:val="00E13CD9"/>
    <w:rsid w:val="00E13D50"/>
    <w:rsid w:val="00E13E25"/>
    <w:rsid w:val="00E13F44"/>
    <w:rsid w:val="00E140E8"/>
    <w:rsid w:val="00E14284"/>
    <w:rsid w:val="00E14348"/>
    <w:rsid w:val="00E1451B"/>
    <w:rsid w:val="00E14788"/>
    <w:rsid w:val="00E147F7"/>
    <w:rsid w:val="00E1492D"/>
    <w:rsid w:val="00E14AE7"/>
    <w:rsid w:val="00E14EAD"/>
    <w:rsid w:val="00E1511A"/>
    <w:rsid w:val="00E15283"/>
    <w:rsid w:val="00E15599"/>
    <w:rsid w:val="00E15834"/>
    <w:rsid w:val="00E158BB"/>
    <w:rsid w:val="00E15ADF"/>
    <w:rsid w:val="00E15B25"/>
    <w:rsid w:val="00E15BCA"/>
    <w:rsid w:val="00E15CB9"/>
    <w:rsid w:val="00E15CFC"/>
    <w:rsid w:val="00E160D9"/>
    <w:rsid w:val="00E162B1"/>
    <w:rsid w:val="00E16844"/>
    <w:rsid w:val="00E16998"/>
    <w:rsid w:val="00E16BC5"/>
    <w:rsid w:val="00E16BC8"/>
    <w:rsid w:val="00E16DC5"/>
    <w:rsid w:val="00E16F82"/>
    <w:rsid w:val="00E17046"/>
    <w:rsid w:val="00E1709E"/>
    <w:rsid w:val="00E171BE"/>
    <w:rsid w:val="00E17272"/>
    <w:rsid w:val="00E1730A"/>
    <w:rsid w:val="00E17312"/>
    <w:rsid w:val="00E175AE"/>
    <w:rsid w:val="00E17637"/>
    <w:rsid w:val="00E1776D"/>
    <w:rsid w:val="00E17913"/>
    <w:rsid w:val="00E179B9"/>
    <w:rsid w:val="00E17D4E"/>
    <w:rsid w:val="00E17E2D"/>
    <w:rsid w:val="00E20205"/>
    <w:rsid w:val="00E2026B"/>
    <w:rsid w:val="00E20287"/>
    <w:rsid w:val="00E2029E"/>
    <w:rsid w:val="00E202EC"/>
    <w:rsid w:val="00E202F3"/>
    <w:rsid w:val="00E20322"/>
    <w:rsid w:val="00E203CD"/>
    <w:rsid w:val="00E20525"/>
    <w:rsid w:val="00E20650"/>
    <w:rsid w:val="00E2065A"/>
    <w:rsid w:val="00E20836"/>
    <w:rsid w:val="00E2087C"/>
    <w:rsid w:val="00E20AB1"/>
    <w:rsid w:val="00E20C67"/>
    <w:rsid w:val="00E20DF1"/>
    <w:rsid w:val="00E20EC1"/>
    <w:rsid w:val="00E212C0"/>
    <w:rsid w:val="00E21375"/>
    <w:rsid w:val="00E2138A"/>
    <w:rsid w:val="00E21401"/>
    <w:rsid w:val="00E2165A"/>
    <w:rsid w:val="00E21ACD"/>
    <w:rsid w:val="00E21C58"/>
    <w:rsid w:val="00E21CAB"/>
    <w:rsid w:val="00E2200F"/>
    <w:rsid w:val="00E22180"/>
    <w:rsid w:val="00E225EE"/>
    <w:rsid w:val="00E227BD"/>
    <w:rsid w:val="00E227E6"/>
    <w:rsid w:val="00E22BA7"/>
    <w:rsid w:val="00E22BF4"/>
    <w:rsid w:val="00E22D73"/>
    <w:rsid w:val="00E23671"/>
    <w:rsid w:val="00E236AF"/>
    <w:rsid w:val="00E236D5"/>
    <w:rsid w:val="00E23846"/>
    <w:rsid w:val="00E23C67"/>
    <w:rsid w:val="00E24435"/>
    <w:rsid w:val="00E2477D"/>
    <w:rsid w:val="00E24823"/>
    <w:rsid w:val="00E248D3"/>
    <w:rsid w:val="00E249E9"/>
    <w:rsid w:val="00E24A7E"/>
    <w:rsid w:val="00E24B2A"/>
    <w:rsid w:val="00E24CBC"/>
    <w:rsid w:val="00E24D38"/>
    <w:rsid w:val="00E24DC0"/>
    <w:rsid w:val="00E24DF4"/>
    <w:rsid w:val="00E24E99"/>
    <w:rsid w:val="00E251A9"/>
    <w:rsid w:val="00E252B9"/>
    <w:rsid w:val="00E2543C"/>
    <w:rsid w:val="00E257CA"/>
    <w:rsid w:val="00E25C7A"/>
    <w:rsid w:val="00E25E53"/>
    <w:rsid w:val="00E25E55"/>
    <w:rsid w:val="00E25EAF"/>
    <w:rsid w:val="00E25F72"/>
    <w:rsid w:val="00E25FA1"/>
    <w:rsid w:val="00E2610A"/>
    <w:rsid w:val="00E26195"/>
    <w:rsid w:val="00E26688"/>
    <w:rsid w:val="00E266A7"/>
    <w:rsid w:val="00E267BC"/>
    <w:rsid w:val="00E268D0"/>
    <w:rsid w:val="00E269AA"/>
    <w:rsid w:val="00E26A0D"/>
    <w:rsid w:val="00E26A82"/>
    <w:rsid w:val="00E26BC3"/>
    <w:rsid w:val="00E26CB0"/>
    <w:rsid w:val="00E26D15"/>
    <w:rsid w:val="00E26F22"/>
    <w:rsid w:val="00E272B7"/>
    <w:rsid w:val="00E27353"/>
    <w:rsid w:val="00E275A2"/>
    <w:rsid w:val="00E275A3"/>
    <w:rsid w:val="00E27606"/>
    <w:rsid w:val="00E2799D"/>
    <w:rsid w:val="00E279E5"/>
    <w:rsid w:val="00E27A47"/>
    <w:rsid w:val="00E27C30"/>
    <w:rsid w:val="00E27D1E"/>
    <w:rsid w:val="00E2CB19"/>
    <w:rsid w:val="00E30190"/>
    <w:rsid w:val="00E302F4"/>
    <w:rsid w:val="00E304D7"/>
    <w:rsid w:val="00E30756"/>
    <w:rsid w:val="00E308E0"/>
    <w:rsid w:val="00E3099C"/>
    <w:rsid w:val="00E30B24"/>
    <w:rsid w:val="00E30BE8"/>
    <w:rsid w:val="00E30EB6"/>
    <w:rsid w:val="00E31100"/>
    <w:rsid w:val="00E31209"/>
    <w:rsid w:val="00E3120E"/>
    <w:rsid w:val="00E313F2"/>
    <w:rsid w:val="00E3142F"/>
    <w:rsid w:val="00E31447"/>
    <w:rsid w:val="00E315DE"/>
    <w:rsid w:val="00E3188C"/>
    <w:rsid w:val="00E319CD"/>
    <w:rsid w:val="00E31CDA"/>
    <w:rsid w:val="00E31F78"/>
    <w:rsid w:val="00E3203A"/>
    <w:rsid w:val="00E3244B"/>
    <w:rsid w:val="00E326F8"/>
    <w:rsid w:val="00E32766"/>
    <w:rsid w:val="00E32DD7"/>
    <w:rsid w:val="00E32F36"/>
    <w:rsid w:val="00E32F67"/>
    <w:rsid w:val="00E33019"/>
    <w:rsid w:val="00E3320A"/>
    <w:rsid w:val="00E3343E"/>
    <w:rsid w:val="00E336C6"/>
    <w:rsid w:val="00E33A97"/>
    <w:rsid w:val="00E33B95"/>
    <w:rsid w:val="00E33CB2"/>
    <w:rsid w:val="00E33E60"/>
    <w:rsid w:val="00E34044"/>
    <w:rsid w:val="00E3437D"/>
    <w:rsid w:val="00E345FE"/>
    <w:rsid w:val="00E34627"/>
    <w:rsid w:val="00E346CB"/>
    <w:rsid w:val="00E34A4B"/>
    <w:rsid w:val="00E34B12"/>
    <w:rsid w:val="00E34CB2"/>
    <w:rsid w:val="00E3501D"/>
    <w:rsid w:val="00E350C8"/>
    <w:rsid w:val="00E3522A"/>
    <w:rsid w:val="00E35407"/>
    <w:rsid w:val="00E35636"/>
    <w:rsid w:val="00E3565F"/>
    <w:rsid w:val="00E35BF1"/>
    <w:rsid w:val="00E35D82"/>
    <w:rsid w:val="00E361A4"/>
    <w:rsid w:val="00E363ED"/>
    <w:rsid w:val="00E364EC"/>
    <w:rsid w:val="00E365F5"/>
    <w:rsid w:val="00E3662F"/>
    <w:rsid w:val="00E36E1D"/>
    <w:rsid w:val="00E36F0E"/>
    <w:rsid w:val="00E370DB"/>
    <w:rsid w:val="00E37209"/>
    <w:rsid w:val="00E374B8"/>
    <w:rsid w:val="00E37A7C"/>
    <w:rsid w:val="00E37CEF"/>
    <w:rsid w:val="00E37D83"/>
    <w:rsid w:val="00E37DB3"/>
    <w:rsid w:val="00E40357"/>
    <w:rsid w:val="00E40447"/>
    <w:rsid w:val="00E404FD"/>
    <w:rsid w:val="00E4068E"/>
    <w:rsid w:val="00E406BC"/>
    <w:rsid w:val="00E40956"/>
    <w:rsid w:val="00E40A79"/>
    <w:rsid w:val="00E40CF5"/>
    <w:rsid w:val="00E40D13"/>
    <w:rsid w:val="00E40D3A"/>
    <w:rsid w:val="00E40E88"/>
    <w:rsid w:val="00E40EC5"/>
    <w:rsid w:val="00E40F00"/>
    <w:rsid w:val="00E41221"/>
    <w:rsid w:val="00E412A2"/>
    <w:rsid w:val="00E414F8"/>
    <w:rsid w:val="00E41856"/>
    <w:rsid w:val="00E4195D"/>
    <w:rsid w:val="00E41A19"/>
    <w:rsid w:val="00E41D84"/>
    <w:rsid w:val="00E41D97"/>
    <w:rsid w:val="00E41E6C"/>
    <w:rsid w:val="00E41F39"/>
    <w:rsid w:val="00E42000"/>
    <w:rsid w:val="00E423C6"/>
    <w:rsid w:val="00E424D6"/>
    <w:rsid w:val="00E425B8"/>
    <w:rsid w:val="00E4278E"/>
    <w:rsid w:val="00E4290E"/>
    <w:rsid w:val="00E429ED"/>
    <w:rsid w:val="00E42C6C"/>
    <w:rsid w:val="00E42FA9"/>
    <w:rsid w:val="00E43101"/>
    <w:rsid w:val="00E43342"/>
    <w:rsid w:val="00E43347"/>
    <w:rsid w:val="00E435CD"/>
    <w:rsid w:val="00E4373C"/>
    <w:rsid w:val="00E43947"/>
    <w:rsid w:val="00E43A5F"/>
    <w:rsid w:val="00E43AA4"/>
    <w:rsid w:val="00E43B17"/>
    <w:rsid w:val="00E43DB5"/>
    <w:rsid w:val="00E43E42"/>
    <w:rsid w:val="00E4413B"/>
    <w:rsid w:val="00E441B9"/>
    <w:rsid w:val="00E441E6"/>
    <w:rsid w:val="00E4434D"/>
    <w:rsid w:val="00E4441B"/>
    <w:rsid w:val="00E44473"/>
    <w:rsid w:val="00E4448F"/>
    <w:rsid w:val="00E446AA"/>
    <w:rsid w:val="00E44A2A"/>
    <w:rsid w:val="00E44AA7"/>
    <w:rsid w:val="00E44D22"/>
    <w:rsid w:val="00E44F68"/>
    <w:rsid w:val="00E4503E"/>
    <w:rsid w:val="00E4504F"/>
    <w:rsid w:val="00E45455"/>
    <w:rsid w:val="00E45463"/>
    <w:rsid w:val="00E456DF"/>
    <w:rsid w:val="00E458C7"/>
    <w:rsid w:val="00E45990"/>
    <w:rsid w:val="00E45B16"/>
    <w:rsid w:val="00E45CBF"/>
    <w:rsid w:val="00E45D73"/>
    <w:rsid w:val="00E45E48"/>
    <w:rsid w:val="00E46142"/>
    <w:rsid w:val="00E461F0"/>
    <w:rsid w:val="00E4658B"/>
    <w:rsid w:val="00E46996"/>
    <w:rsid w:val="00E47270"/>
    <w:rsid w:val="00E4727A"/>
    <w:rsid w:val="00E47355"/>
    <w:rsid w:val="00E476B6"/>
    <w:rsid w:val="00E476CE"/>
    <w:rsid w:val="00E476FE"/>
    <w:rsid w:val="00E4783B"/>
    <w:rsid w:val="00E478AB"/>
    <w:rsid w:val="00E47B3A"/>
    <w:rsid w:val="00E47C76"/>
    <w:rsid w:val="00E47D35"/>
    <w:rsid w:val="00E47DF1"/>
    <w:rsid w:val="00E47E3C"/>
    <w:rsid w:val="00E47F87"/>
    <w:rsid w:val="00E5009B"/>
    <w:rsid w:val="00E500EB"/>
    <w:rsid w:val="00E5033C"/>
    <w:rsid w:val="00E503D5"/>
    <w:rsid w:val="00E507D3"/>
    <w:rsid w:val="00E5085F"/>
    <w:rsid w:val="00E50FED"/>
    <w:rsid w:val="00E511E8"/>
    <w:rsid w:val="00E512BD"/>
    <w:rsid w:val="00E51330"/>
    <w:rsid w:val="00E513AC"/>
    <w:rsid w:val="00E51486"/>
    <w:rsid w:val="00E5158E"/>
    <w:rsid w:val="00E5160F"/>
    <w:rsid w:val="00E5184A"/>
    <w:rsid w:val="00E51A7F"/>
    <w:rsid w:val="00E5207F"/>
    <w:rsid w:val="00E520F5"/>
    <w:rsid w:val="00E5250A"/>
    <w:rsid w:val="00E526E3"/>
    <w:rsid w:val="00E52708"/>
    <w:rsid w:val="00E52808"/>
    <w:rsid w:val="00E52D59"/>
    <w:rsid w:val="00E53564"/>
    <w:rsid w:val="00E53597"/>
    <w:rsid w:val="00E535D1"/>
    <w:rsid w:val="00E53756"/>
    <w:rsid w:val="00E537E8"/>
    <w:rsid w:val="00E53811"/>
    <w:rsid w:val="00E5381B"/>
    <w:rsid w:val="00E538C3"/>
    <w:rsid w:val="00E53F01"/>
    <w:rsid w:val="00E53FCC"/>
    <w:rsid w:val="00E541BB"/>
    <w:rsid w:val="00E54269"/>
    <w:rsid w:val="00E5447E"/>
    <w:rsid w:val="00E54539"/>
    <w:rsid w:val="00E545BE"/>
    <w:rsid w:val="00E54738"/>
    <w:rsid w:val="00E54A9D"/>
    <w:rsid w:val="00E5505F"/>
    <w:rsid w:val="00E551F2"/>
    <w:rsid w:val="00E5535D"/>
    <w:rsid w:val="00E5556B"/>
    <w:rsid w:val="00E5560D"/>
    <w:rsid w:val="00E556CA"/>
    <w:rsid w:val="00E557EB"/>
    <w:rsid w:val="00E55901"/>
    <w:rsid w:val="00E55986"/>
    <w:rsid w:val="00E559F1"/>
    <w:rsid w:val="00E55B22"/>
    <w:rsid w:val="00E55BE2"/>
    <w:rsid w:val="00E55C7F"/>
    <w:rsid w:val="00E55DB1"/>
    <w:rsid w:val="00E560E8"/>
    <w:rsid w:val="00E5626B"/>
    <w:rsid w:val="00E563A2"/>
    <w:rsid w:val="00E565BD"/>
    <w:rsid w:val="00E568D5"/>
    <w:rsid w:val="00E56A02"/>
    <w:rsid w:val="00E56A79"/>
    <w:rsid w:val="00E56CA9"/>
    <w:rsid w:val="00E56D4D"/>
    <w:rsid w:val="00E56E35"/>
    <w:rsid w:val="00E571EC"/>
    <w:rsid w:val="00E5737D"/>
    <w:rsid w:val="00E575AC"/>
    <w:rsid w:val="00E57784"/>
    <w:rsid w:val="00E57A1A"/>
    <w:rsid w:val="00E57B3B"/>
    <w:rsid w:val="00E57CA8"/>
    <w:rsid w:val="00E57DE9"/>
    <w:rsid w:val="00E57F0F"/>
    <w:rsid w:val="00E6004C"/>
    <w:rsid w:val="00E6031E"/>
    <w:rsid w:val="00E60448"/>
    <w:rsid w:val="00E6076F"/>
    <w:rsid w:val="00E6082F"/>
    <w:rsid w:val="00E60941"/>
    <w:rsid w:val="00E60C8B"/>
    <w:rsid w:val="00E60E64"/>
    <w:rsid w:val="00E60F3E"/>
    <w:rsid w:val="00E60F58"/>
    <w:rsid w:val="00E6128E"/>
    <w:rsid w:val="00E612B5"/>
    <w:rsid w:val="00E61626"/>
    <w:rsid w:val="00E61644"/>
    <w:rsid w:val="00E61943"/>
    <w:rsid w:val="00E61E6C"/>
    <w:rsid w:val="00E61F97"/>
    <w:rsid w:val="00E621C3"/>
    <w:rsid w:val="00E623F6"/>
    <w:rsid w:val="00E623F7"/>
    <w:rsid w:val="00E625EB"/>
    <w:rsid w:val="00E6266F"/>
    <w:rsid w:val="00E627EF"/>
    <w:rsid w:val="00E62A42"/>
    <w:rsid w:val="00E62A69"/>
    <w:rsid w:val="00E62B71"/>
    <w:rsid w:val="00E62F4B"/>
    <w:rsid w:val="00E63528"/>
    <w:rsid w:val="00E63603"/>
    <w:rsid w:val="00E63A84"/>
    <w:rsid w:val="00E63EAB"/>
    <w:rsid w:val="00E6417B"/>
    <w:rsid w:val="00E641E7"/>
    <w:rsid w:val="00E641FF"/>
    <w:rsid w:val="00E64322"/>
    <w:rsid w:val="00E645E9"/>
    <w:rsid w:val="00E646B6"/>
    <w:rsid w:val="00E6483F"/>
    <w:rsid w:val="00E64D8C"/>
    <w:rsid w:val="00E64DCD"/>
    <w:rsid w:val="00E64EB4"/>
    <w:rsid w:val="00E65088"/>
    <w:rsid w:val="00E65365"/>
    <w:rsid w:val="00E65379"/>
    <w:rsid w:val="00E65498"/>
    <w:rsid w:val="00E65971"/>
    <w:rsid w:val="00E65991"/>
    <w:rsid w:val="00E65BD8"/>
    <w:rsid w:val="00E65CD3"/>
    <w:rsid w:val="00E65EB6"/>
    <w:rsid w:val="00E65FCC"/>
    <w:rsid w:val="00E66061"/>
    <w:rsid w:val="00E664EB"/>
    <w:rsid w:val="00E665CB"/>
    <w:rsid w:val="00E668EA"/>
    <w:rsid w:val="00E66AD2"/>
    <w:rsid w:val="00E66B1E"/>
    <w:rsid w:val="00E66D4B"/>
    <w:rsid w:val="00E66E3F"/>
    <w:rsid w:val="00E67041"/>
    <w:rsid w:val="00E6708E"/>
    <w:rsid w:val="00E670C2"/>
    <w:rsid w:val="00E6750E"/>
    <w:rsid w:val="00E67603"/>
    <w:rsid w:val="00E6760A"/>
    <w:rsid w:val="00E6763A"/>
    <w:rsid w:val="00E67669"/>
    <w:rsid w:val="00E676A8"/>
    <w:rsid w:val="00E67970"/>
    <w:rsid w:val="00E67C6C"/>
    <w:rsid w:val="00E67C7C"/>
    <w:rsid w:val="00E67F11"/>
    <w:rsid w:val="00E702D4"/>
    <w:rsid w:val="00E70418"/>
    <w:rsid w:val="00E709F1"/>
    <w:rsid w:val="00E70A70"/>
    <w:rsid w:val="00E70B47"/>
    <w:rsid w:val="00E70BB0"/>
    <w:rsid w:val="00E70BCC"/>
    <w:rsid w:val="00E70CF3"/>
    <w:rsid w:val="00E7106E"/>
    <w:rsid w:val="00E7127F"/>
    <w:rsid w:val="00E714A9"/>
    <w:rsid w:val="00E71716"/>
    <w:rsid w:val="00E717D4"/>
    <w:rsid w:val="00E7197F"/>
    <w:rsid w:val="00E71ED7"/>
    <w:rsid w:val="00E720E0"/>
    <w:rsid w:val="00E72150"/>
    <w:rsid w:val="00E7228C"/>
    <w:rsid w:val="00E7255A"/>
    <w:rsid w:val="00E72819"/>
    <w:rsid w:val="00E72826"/>
    <w:rsid w:val="00E72B00"/>
    <w:rsid w:val="00E72B6D"/>
    <w:rsid w:val="00E72D54"/>
    <w:rsid w:val="00E7351F"/>
    <w:rsid w:val="00E7354F"/>
    <w:rsid w:val="00E73CF5"/>
    <w:rsid w:val="00E73D25"/>
    <w:rsid w:val="00E73E03"/>
    <w:rsid w:val="00E740B7"/>
    <w:rsid w:val="00E743FF"/>
    <w:rsid w:val="00E748E6"/>
    <w:rsid w:val="00E74937"/>
    <w:rsid w:val="00E74B58"/>
    <w:rsid w:val="00E74D45"/>
    <w:rsid w:val="00E74E9F"/>
    <w:rsid w:val="00E75044"/>
    <w:rsid w:val="00E7534F"/>
    <w:rsid w:val="00E7551A"/>
    <w:rsid w:val="00E75B00"/>
    <w:rsid w:val="00E75BC1"/>
    <w:rsid w:val="00E75D23"/>
    <w:rsid w:val="00E75D84"/>
    <w:rsid w:val="00E75DEA"/>
    <w:rsid w:val="00E75FD9"/>
    <w:rsid w:val="00E76053"/>
    <w:rsid w:val="00E7630B"/>
    <w:rsid w:val="00E7636D"/>
    <w:rsid w:val="00E76576"/>
    <w:rsid w:val="00E7681B"/>
    <w:rsid w:val="00E76840"/>
    <w:rsid w:val="00E7684C"/>
    <w:rsid w:val="00E7692E"/>
    <w:rsid w:val="00E7696C"/>
    <w:rsid w:val="00E76984"/>
    <w:rsid w:val="00E769E1"/>
    <w:rsid w:val="00E76BB7"/>
    <w:rsid w:val="00E76DCC"/>
    <w:rsid w:val="00E76F27"/>
    <w:rsid w:val="00E77418"/>
    <w:rsid w:val="00E774F7"/>
    <w:rsid w:val="00E7768D"/>
    <w:rsid w:val="00E7772A"/>
    <w:rsid w:val="00E77799"/>
    <w:rsid w:val="00E7784F"/>
    <w:rsid w:val="00E77D49"/>
    <w:rsid w:val="00E801C9"/>
    <w:rsid w:val="00E8035E"/>
    <w:rsid w:val="00E80445"/>
    <w:rsid w:val="00E80612"/>
    <w:rsid w:val="00E80857"/>
    <w:rsid w:val="00E8098C"/>
    <w:rsid w:val="00E8099C"/>
    <w:rsid w:val="00E809B5"/>
    <w:rsid w:val="00E80B0C"/>
    <w:rsid w:val="00E80B47"/>
    <w:rsid w:val="00E80D05"/>
    <w:rsid w:val="00E80D22"/>
    <w:rsid w:val="00E8176C"/>
    <w:rsid w:val="00E8178A"/>
    <w:rsid w:val="00E817AE"/>
    <w:rsid w:val="00E8189A"/>
    <w:rsid w:val="00E81930"/>
    <w:rsid w:val="00E81A1D"/>
    <w:rsid w:val="00E81F7B"/>
    <w:rsid w:val="00E81FAC"/>
    <w:rsid w:val="00E8207F"/>
    <w:rsid w:val="00E82210"/>
    <w:rsid w:val="00E822B9"/>
    <w:rsid w:val="00E82368"/>
    <w:rsid w:val="00E8238F"/>
    <w:rsid w:val="00E823E1"/>
    <w:rsid w:val="00E82471"/>
    <w:rsid w:val="00E82790"/>
    <w:rsid w:val="00E829C6"/>
    <w:rsid w:val="00E82ACA"/>
    <w:rsid w:val="00E82AF9"/>
    <w:rsid w:val="00E82D99"/>
    <w:rsid w:val="00E82DF2"/>
    <w:rsid w:val="00E83166"/>
    <w:rsid w:val="00E83219"/>
    <w:rsid w:val="00E8324D"/>
    <w:rsid w:val="00E8337F"/>
    <w:rsid w:val="00E83455"/>
    <w:rsid w:val="00E836C0"/>
    <w:rsid w:val="00E83711"/>
    <w:rsid w:val="00E83A02"/>
    <w:rsid w:val="00E83AE7"/>
    <w:rsid w:val="00E83F2C"/>
    <w:rsid w:val="00E83F37"/>
    <w:rsid w:val="00E84034"/>
    <w:rsid w:val="00E8419D"/>
    <w:rsid w:val="00E841B4"/>
    <w:rsid w:val="00E84387"/>
    <w:rsid w:val="00E847DC"/>
    <w:rsid w:val="00E84800"/>
    <w:rsid w:val="00E849C0"/>
    <w:rsid w:val="00E84C4B"/>
    <w:rsid w:val="00E84D52"/>
    <w:rsid w:val="00E84D8F"/>
    <w:rsid w:val="00E8516E"/>
    <w:rsid w:val="00E85504"/>
    <w:rsid w:val="00E85941"/>
    <w:rsid w:val="00E85997"/>
    <w:rsid w:val="00E859B7"/>
    <w:rsid w:val="00E85B10"/>
    <w:rsid w:val="00E85F18"/>
    <w:rsid w:val="00E85F1E"/>
    <w:rsid w:val="00E860CE"/>
    <w:rsid w:val="00E86156"/>
    <w:rsid w:val="00E863A4"/>
    <w:rsid w:val="00E8648C"/>
    <w:rsid w:val="00E865C3"/>
    <w:rsid w:val="00E86664"/>
    <w:rsid w:val="00E86749"/>
    <w:rsid w:val="00E86BE0"/>
    <w:rsid w:val="00E87084"/>
    <w:rsid w:val="00E8771B"/>
    <w:rsid w:val="00E877D9"/>
    <w:rsid w:val="00E87C73"/>
    <w:rsid w:val="00E87EFD"/>
    <w:rsid w:val="00E87FF8"/>
    <w:rsid w:val="00E900A9"/>
    <w:rsid w:val="00E90138"/>
    <w:rsid w:val="00E90192"/>
    <w:rsid w:val="00E9020C"/>
    <w:rsid w:val="00E905AB"/>
    <w:rsid w:val="00E90684"/>
    <w:rsid w:val="00E9089A"/>
    <w:rsid w:val="00E90A00"/>
    <w:rsid w:val="00E90A14"/>
    <w:rsid w:val="00E90BD0"/>
    <w:rsid w:val="00E90D1B"/>
    <w:rsid w:val="00E90DC6"/>
    <w:rsid w:val="00E90DD7"/>
    <w:rsid w:val="00E9122E"/>
    <w:rsid w:val="00E912A7"/>
    <w:rsid w:val="00E912B2"/>
    <w:rsid w:val="00E9165D"/>
    <w:rsid w:val="00E9185C"/>
    <w:rsid w:val="00E918C2"/>
    <w:rsid w:val="00E919E8"/>
    <w:rsid w:val="00E91A24"/>
    <w:rsid w:val="00E91A33"/>
    <w:rsid w:val="00E91B25"/>
    <w:rsid w:val="00E92185"/>
    <w:rsid w:val="00E92324"/>
    <w:rsid w:val="00E925AD"/>
    <w:rsid w:val="00E92638"/>
    <w:rsid w:val="00E9270E"/>
    <w:rsid w:val="00E92716"/>
    <w:rsid w:val="00E92921"/>
    <w:rsid w:val="00E92BA4"/>
    <w:rsid w:val="00E92CB2"/>
    <w:rsid w:val="00E92E0F"/>
    <w:rsid w:val="00E92FA2"/>
    <w:rsid w:val="00E930DC"/>
    <w:rsid w:val="00E93184"/>
    <w:rsid w:val="00E934CE"/>
    <w:rsid w:val="00E938B4"/>
    <w:rsid w:val="00E93947"/>
    <w:rsid w:val="00E9413B"/>
    <w:rsid w:val="00E9422E"/>
    <w:rsid w:val="00E94570"/>
    <w:rsid w:val="00E94986"/>
    <w:rsid w:val="00E94B41"/>
    <w:rsid w:val="00E94E05"/>
    <w:rsid w:val="00E951A1"/>
    <w:rsid w:val="00E951EC"/>
    <w:rsid w:val="00E953CC"/>
    <w:rsid w:val="00E95857"/>
    <w:rsid w:val="00E95873"/>
    <w:rsid w:val="00E95A3F"/>
    <w:rsid w:val="00E95B9E"/>
    <w:rsid w:val="00E95BE1"/>
    <w:rsid w:val="00E95CC8"/>
    <w:rsid w:val="00E95DCB"/>
    <w:rsid w:val="00E962B2"/>
    <w:rsid w:val="00E9648E"/>
    <w:rsid w:val="00E9671E"/>
    <w:rsid w:val="00E9693C"/>
    <w:rsid w:val="00E96B82"/>
    <w:rsid w:val="00E96CB4"/>
    <w:rsid w:val="00E96E8B"/>
    <w:rsid w:val="00E97046"/>
    <w:rsid w:val="00E9704C"/>
    <w:rsid w:val="00E97127"/>
    <w:rsid w:val="00E97A88"/>
    <w:rsid w:val="00E97D0D"/>
    <w:rsid w:val="00E97FB0"/>
    <w:rsid w:val="00EA0169"/>
    <w:rsid w:val="00EA01F0"/>
    <w:rsid w:val="00EA0431"/>
    <w:rsid w:val="00EA047C"/>
    <w:rsid w:val="00EA061D"/>
    <w:rsid w:val="00EA07C9"/>
    <w:rsid w:val="00EA0AA6"/>
    <w:rsid w:val="00EA0C5D"/>
    <w:rsid w:val="00EA0D13"/>
    <w:rsid w:val="00EA0D25"/>
    <w:rsid w:val="00EA0D51"/>
    <w:rsid w:val="00EA0D5D"/>
    <w:rsid w:val="00EA0F1C"/>
    <w:rsid w:val="00EA1374"/>
    <w:rsid w:val="00EA17E9"/>
    <w:rsid w:val="00EA1F7E"/>
    <w:rsid w:val="00EA1F85"/>
    <w:rsid w:val="00EA1F8E"/>
    <w:rsid w:val="00EA223F"/>
    <w:rsid w:val="00EA24A6"/>
    <w:rsid w:val="00EA24BE"/>
    <w:rsid w:val="00EA24CC"/>
    <w:rsid w:val="00EA2578"/>
    <w:rsid w:val="00EA269F"/>
    <w:rsid w:val="00EA2CAA"/>
    <w:rsid w:val="00EA2D82"/>
    <w:rsid w:val="00EA2D87"/>
    <w:rsid w:val="00EA2E94"/>
    <w:rsid w:val="00EA2FBD"/>
    <w:rsid w:val="00EA30B4"/>
    <w:rsid w:val="00EA3175"/>
    <w:rsid w:val="00EA31C4"/>
    <w:rsid w:val="00EA31D0"/>
    <w:rsid w:val="00EA3273"/>
    <w:rsid w:val="00EA348B"/>
    <w:rsid w:val="00EA3704"/>
    <w:rsid w:val="00EA3B7E"/>
    <w:rsid w:val="00EA3C65"/>
    <w:rsid w:val="00EA4195"/>
    <w:rsid w:val="00EA433C"/>
    <w:rsid w:val="00EA4504"/>
    <w:rsid w:val="00EA490F"/>
    <w:rsid w:val="00EA4B81"/>
    <w:rsid w:val="00EA4D90"/>
    <w:rsid w:val="00EA4F44"/>
    <w:rsid w:val="00EA5007"/>
    <w:rsid w:val="00EA53B5"/>
    <w:rsid w:val="00EA5645"/>
    <w:rsid w:val="00EA582C"/>
    <w:rsid w:val="00EA5947"/>
    <w:rsid w:val="00EA59D4"/>
    <w:rsid w:val="00EA5B91"/>
    <w:rsid w:val="00EA5DF0"/>
    <w:rsid w:val="00EA6111"/>
    <w:rsid w:val="00EA6630"/>
    <w:rsid w:val="00EA665E"/>
    <w:rsid w:val="00EA6781"/>
    <w:rsid w:val="00EA6949"/>
    <w:rsid w:val="00EA6C7E"/>
    <w:rsid w:val="00EA6D8E"/>
    <w:rsid w:val="00EA708A"/>
    <w:rsid w:val="00EA7447"/>
    <w:rsid w:val="00EA7519"/>
    <w:rsid w:val="00EA7634"/>
    <w:rsid w:val="00EA7935"/>
    <w:rsid w:val="00EA7BAF"/>
    <w:rsid w:val="00EA7C5F"/>
    <w:rsid w:val="00EA7E11"/>
    <w:rsid w:val="00EA7F76"/>
    <w:rsid w:val="00EA8596"/>
    <w:rsid w:val="00EB01A8"/>
    <w:rsid w:val="00EB01EC"/>
    <w:rsid w:val="00EB0331"/>
    <w:rsid w:val="00EB059D"/>
    <w:rsid w:val="00EB0A5E"/>
    <w:rsid w:val="00EB0B52"/>
    <w:rsid w:val="00EB0DBA"/>
    <w:rsid w:val="00EB0DE9"/>
    <w:rsid w:val="00EB0E63"/>
    <w:rsid w:val="00EB0EF2"/>
    <w:rsid w:val="00EB0F91"/>
    <w:rsid w:val="00EB0FCF"/>
    <w:rsid w:val="00EB1411"/>
    <w:rsid w:val="00EB1459"/>
    <w:rsid w:val="00EB15AB"/>
    <w:rsid w:val="00EB17C8"/>
    <w:rsid w:val="00EB1882"/>
    <w:rsid w:val="00EB18A6"/>
    <w:rsid w:val="00EB18B1"/>
    <w:rsid w:val="00EB191B"/>
    <w:rsid w:val="00EB19D9"/>
    <w:rsid w:val="00EB1AAB"/>
    <w:rsid w:val="00EB1B24"/>
    <w:rsid w:val="00EB1B51"/>
    <w:rsid w:val="00EB1E20"/>
    <w:rsid w:val="00EB1E5E"/>
    <w:rsid w:val="00EB234E"/>
    <w:rsid w:val="00EB248F"/>
    <w:rsid w:val="00EB253F"/>
    <w:rsid w:val="00EB2598"/>
    <w:rsid w:val="00EB26A0"/>
    <w:rsid w:val="00EB26A3"/>
    <w:rsid w:val="00EB2796"/>
    <w:rsid w:val="00EB2855"/>
    <w:rsid w:val="00EB291E"/>
    <w:rsid w:val="00EB29A2"/>
    <w:rsid w:val="00EB2D05"/>
    <w:rsid w:val="00EB2D94"/>
    <w:rsid w:val="00EB2F27"/>
    <w:rsid w:val="00EB3151"/>
    <w:rsid w:val="00EB359A"/>
    <w:rsid w:val="00EB39CF"/>
    <w:rsid w:val="00EB3AA7"/>
    <w:rsid w:val="00EB3D7A"/>
    <w:rsid w:val="00EB3EBA"/>
    <w:rsid w:val="00EB4094"/>
    <w:rsid w:val="00EB4108"/>
    <w:rsid w:val="00EB412B"/>
    <w:rsid w:val="00EB43E1"/>
    <w:rsid w:val="00EB46F8"/>
    <w:rsid w:val="00EB4711"/>
    <w:rsid w:val="00EB479B"/>
    <w:rsid w:val="00EB4884"/>
    <w:rsid w:val="00EB49CF"/>
    <w:rsid w:val="00EB4D88"/>
    <w:rsid w:val="00EB4ED7"/>
    <w:rsid w:val="00EB5443"/>
    <w:rsid w:val="00EB554E"/>
    <w:rsid w:val="00EB562E"/>
    <w:rsid w:val="00EB58A0"/>
    <w:rsid w:val="00EB59C2"/>
    <w:rsid w:val="00EB5B78"/>
    <w:rsid w:val="00EB5BCC"/>
    <w:rsid w:val="00EB5BD5"/>
    <w:rsid w:val="00EB5E4F"/>
    <w:rsid w:val="00EB5E9E"/>
    <w:rsid w:val="00EB5EC0"/>
    <w:rsid w:val="00EB63C9"/>
    <w:rsid w:val="00EB644F"/>
    <w:rsid w:val="00EB64C9"/>
    <w:rsid w:val="00EB64E6"/>
    <w:rsid w:val="00EB6740"/>
    <w:rsid w:val="00EB67EB"/>
    <w:rsid w:val="00EB6864"/>
    <w:rsid w:val="00EB6A19"/>
    <w:rsid w:val="00EB6A9B"/>
    <w:rsid w:val="00EB6BF9"/>
    <w:rsid w:val="00EB6CAC"/>
    <w:rsid w:val="00EB6E4A"/>
    <w:rsid w:val="00EB702A"/>
    <w:rsid w:val="00EB71DC"/>
    <w:rsid w:val="00EB7207"/>
    <w:rsid w:val="00EB73C5"/>
    <w:rsid w:val="00EB7534"/>
    <w:rsid w:val="00EB7585"/>
    <w:rsid w:val="00EB7695"/>
    <w:rsid w:val="00EB76AD"/>
    <w:rsid w:val="00EB7728"/>
    <w:rsid w:val="00EB7952"/>
    <w:rsid w:val="00EB7990"/>
    <w:rsid w:val="00EB79E9"/>
    <w:rsid w:val="00EB7D84"/>
    <w:rsid w:val="00EC0015"/>
    <w:rsid w:val="00EC0A3C"/>
    <w:rsid w:val="00EC0A71"/>
    <w:rsid w:val="00EC0A89"/>
    <w:rsid w:val="00EC0CB5"/>
    <w:rsid w:val="00EC1337"/>
    <w:rsid w:val="00EC1561"/>
    <w:rsid w:val="00EC1618"/>
    <w:rsid w:val="00EC165A"/>
    <w:rsid w:val="00EC19E7"/>
    <w:rsid w:val="00EC1DEC"/>
    <w:rsid w:val="00EC216F"/>
    <w:rsid w:val="00EC23A3"/>
    <w:rsid w:val="00EC23FC"/>
    <w:rsid w:val="00EC24C9"/>
    <w:rsid w:val="00EC252A"/>
    <w:rsid w:val="00EC2564"/>
    <w:rsid w:val="00EC2697"/>
    <w:rsid w:val="00EC26B3"/>
    <w:rsid w:val="00EC2837"/>
    <w:rsid w:val="00EC2892"/>
    <w:rsid w:val="00EC2A43"/>
    <w:rsid w:val="00EC2B02"/>
    <w:rsid w:val="00EC2B9E"/>
    <w:rsid w:val="00EC2C3F"/>
    <w:rsid w:val="00EC2CDD"/>
    <w:rsid w:val="00EC2CEF"/>
    <w:rsid w:val="00EC2F7C"/>
    <w:rsid w:val="00EC31D5"/>
    <w:rsid w:val="00EC33B6"/>
    <w:rsid w:val="00EC33F8"/>
    <w:rsid w:val="00EC35C5"/>
    <w:rsid w:val="00EC3640"/>
    <w:rsid w:val="00EC38AB"/>
    <w:rsid w:val="00EC3916"/>
    <w:rsid w:val="00EC3A46"/>
    <w:rsid w:val="00EC40FF"/>
    <w:rsid w:val="00EC41F5"/>
    <w:rsid w:val="00EC427F"/>
    <w:rsid w:val="00EC447D"/>
    <w:rsid w:val="00EC46A9"/>
    <w:rsid w:val="00EC46B6"/>
    <w:rsid w:val="00EC493E"/>
    <w:rsid w:val="00EC49E3"/>
    <w:rsid w:val="00EC4C48"/>
    <w:rsid w:val="00EC4D1B"/>
    <w:rsid w:val="00EC507D"/>
    <w:rsid w:val="00EC5146"/>
    <w:rsid w:val="00EC5157"/>
    <w:rsid w:val="00EC5547"/>
    <w:rsid w:val="00EC5680"/>
    <w:rsid w:val="00EC5807"/>
    <w:rsid w:val="00EC5A20"/>
    <w:rsid w:val="00EC5B83"/>
    <w:rsid w:val="00EC5D01"/>
    <w:rsid w:val="00EC636C"/>
    <w:rsid w:val="00EC63EC"/>
    <w:rsid w:val="00EC6988"/>
    <w:rsid w:val="00EC6BEC"/>
    <w:rsid w:val="00EC6D43"/>
    <w:rsid w:val="00EC6E6C"/>
    <w:rsid w:val="00EC7061"/>
    <w:rsid w:val="00EC73CA"/>
    <w:rsid w:val="00EC744E"/>
    <w:rsid w:val="00EC75E7"/>
    <w:rsid w:val="00EC76DC"/>
    <w:rsid w:val="00EC7723"/>
    <w:rsid w:val="00EC77E7"/>
    <w:rsid w:val="00EC7AD1"/>
    <w:rsid w:val="00EC7E95"/>
    <w:rsid w:val="00EC7F86"/>
    <w:rsid w:val="00ED012D"/>
    <w:rsid w:val="00ED01F7"/>
    <w:rsid w:val="00ED063F"/>
    <w:rsid w:val="00ED090D"/>
    <w:rsid w:val="00ED0C9C"/>
    <w:rsid w:val="00ED0D0C"/>
    <w:rsid w:val="00ED0DEB"/>
    <w:rsid w:val="00ED0E14"/>
    <w:rsid w:val="00ED0ECD"/>
    <w:rsid w:val="00ED124A"/>
    <w:rsid w:val="00ED13FE"/>
    <w:rsid w:val="00ED143A"/>
    <w:rsid w:val="00ED14E7"/>
    <w:rsid w:val="00ED198B"/>
    <w:rsid w:val="00ED1A1E"/>
    <w:rsid w:val="00ED1AA6"/>
    <w:rsid w:val="00ED1D4C"/>
    <w:rsid w:val="00ED1F77"/>
    <w:rsid w:val="00ED1FBA"/>
    <w:rsid w:val="00ED245F"/>
    <w:rsid w:val="00ED247B"/>
    <w:rsid w:val="00ED24FB"/>
    <w:rsid w:val="00ED260C"/>
    <w:rsid w:val="00ED2760"/>
    <w:rsid w:val="00ED279D"/>
    <w:rsid w:val="00ED2818"/>
    <w:rsid w:val="00ED2BBB"/>
    <w:rsid w:val="00ED2DDC"/>
    <w:rsid w:val="00ED30D9"/>
    <w:rsid w:val="00ED37BB"/>
    <w:rsid w:val="00ED3ABD"/>
    <w:rsid w:val="00ED3AE0"/>
    <w:rsid w:val="00ED3CB6"/>
    <w:rsid w:val="00ED40EC"/>
    <w:rsid w:val="00ED41B3"/>
    <w:rsid w:val="00ED4353"/>
    <w:rsid w:val="00ED43CA"/>
    <w:rsid w:val="00ED44EB"/>
    <w:rsid w:val="00ED45A6"/>
    <w:rsid w:val="00ED45AB"/>
    <w:rsid w:val="00ED49FC"/>
    <w:rsid w:val="00ED4A45"/>
    <w:rsid w:val="00ED4C65"/>
    <w:rsid w:val="00ED4E72"/>
    <w:rsid w:val="00ED5060"/>
    <w:rsid w:val="00ED5142"/>
    <w:rsid w:val="00ED54F1"/>
    <w:rsid w:val="00ED5514"/>
    <w:rsid w:val="00ED59AD"/>
    <w:rsid w:val="00ED5C0B"/>
    <w:rsid w:val="00ED5C55"/>
    <w:rsid w:val="00ED5C64"/>
    <w:rsid w:val="00ED5C77"/>
    <w:rsid w:val="00ED5D68"/>
    <w:rsid w:val="00ED60F6"/>
    <w:rsid w:val="00ED6113"/>
    <w:rsid w:val="00ED6209"/>
    <w:rsid w:val="00ED627F"/>
    <w:rsid w:val="00ED6352"/>
    <w:rsid w:val="00ED6675"/>
    <w:rsid w:val="00ED66C0"/>
    <w:rsid w:val="00ED66E0"/>
    <w:rsid w:val="00ED66E2"/>
    <w:rsid w:val="00ED67DE"/>
    <w:rsid w:val="00ED680B"/>
    <w:rsid w:val="00ED6A67"/>
    <w:rsid w:val="00ED6A8D"/>
    <w:rsid w:val="00ED6BB3"/>
    <w:rsid w:val="00ED6FBC"/>
    <w:rsid w:val="00ED719F"/>
    <w:rsid w:val="00ED7257"/>
    <w:rsid w:val="00ED74FE"/>
    <w:rsid w:val="00ED773F"/>
    <w:rsid w:val="00ED7785"/>
    <w:rsid w:val="00ED7795"/>
    <w:rsid w:val="00ED7954"/>
    <w:rsid w:val="00ED7C75"/>
    <w:rsid w:val="00EE0153"/>
    <w:rsid w:val="00EE0256"/>
    <w:rsid w:val="00EE060D"/>
    <w:rsid w:val="00EE07DE"/>
    <w:rsid w:val="00EE0897"/>
    <w:rsid w:val="00EE0988"/>
    <w:rsid w:val="00EE0B53"/>
    <w:rsid w:val="00EE0D69"/>
    <w:rsid w:val="00EE0DE9"/>
    <w:rsid w:val="00EE1135"/>
    <w:rsid w:val="00EE1423"/>
    <w:rsid w:val="00EE14AE"/>
    <w:rsid w:val="00EE14BB"/>
    <w:rsid w:val="00EE15AF"/>
    <w:rsid w:val="00EE1618"/>
    <w:rsid w:val="00EE16A0"/>
    <w:rsid w:val="00EE16F0"/>
    <w:rsid w:val="00EE170E"/>
    <w:rsid w:val="00EE1827"/>
    <w:rsid w:val="00EE1984"/>
    <w:rsid w:val="00EE1C45"/>
    <w:rsid w:val="00EE1D04"/>
    <w:rsid w:val="00EE203D"/>
    <w:rsid w:val="00EE20F6"/>
    <w:rsid w:val="00EE22CC"/>
    <w:rsid w:val="00EE25DF"/>
    <w:rsid w:val="00EE25E5"/>
    <w:rsid w:val="00EE28DD"/>
    <w:rsid w:val="00EE29DB"/>
    <w:rsid w:val="00EE2B07"/>
    <w:rsid w:val="00EE2BD2"/>
    <w:rsid w:val="00EE2DF7"/>
    <w:rsid w:val="00EE2E52"/>
    <w:rsid w:val="00EE2E9C"/>
    <w:rsid w:val="00EE2FAF"/>
    <w:rsid w:val="00EE2FBC"/>
    <w:rsid w:val="00EE3034"/>
    <w:rsid w:val="00EE3105"/>
    <w:rsid w:val="00EE31C7"/>
    <w:rsid w:val="00EE31D9"/>
    <w:rsid w:val="00EE32F5"/>
    <w:rsid w:val="00EE3321"/>
    <w:rsid w:val="00EE3483"/>
    <w:rsid w:val="00EE35EA"/>
    <w:rsid w:val="00EE36C3"/>
    <w:rsid w:val="00EE3739"/>
    <w:rsid w:val="00EE3871"/>
    <w:rsid w:val="00EE3A30"/>
    <w:rsid w:val="00EE3EFD"/>
    <w:rsid w:val="00EE3F66"/>
    <w:rsid w:val="00EE3F8B"/>
    <w:rsid w:val="00EE40CE"/>
    <w:rsid w:val="00EE410F"/>
    <w:rsid w:val="00EE44C5"/>
    <w:rsid w:val="00EE454A"/>
    <w:rsid w:val="00EE4561"/>
    <w:rsid w:val="00EE48B5"/>
    <w:rsid w:val="00EE48DF"/>
    <w:rsid w:val="00EE492B"/>
    <w:rsid w:val="00EE4A5C"/>
    <w:rsid w:val="00EE4E18"/>
    <w:rsid w:val="00EE51DA"/>
    <w:rsid w:val="00EE52AE"/>
    <w:rsid w:val="00EE5300"/>
    <w:rsid w:val="00EE5455"/>
    <w:rsid w:val="00EE56D3"/>
    <w:rsid w:val="00EE58D4"/>
    <w:rsid w:val="00EE58D7"/>
    <w:rsid w:val="00EE5A44"/>
    <w:rsid w:val="00EE5A6C"/>
    <w:rsid w:val="00EE5A7A"/>
    <w:rsid w:val="00EE5CB6"/>
    <w:rsid w:val="00EE5D77"/>
    <w:rsid w:val="00EE5F80"/>
    <w:rsid w:val="00EE6150"/>
    <w:rsid w:val="00EE64A2"/>
    <w:rsid w:val="00EE6A2E"/>
    <w:rsid w:val="00EE6B39"/>
    <w:rsid w:val="00EE6B3B"/>
    <w:rsid w:val="00EE6B59"/>
    <w:rsid w:val="00EE6B63"/>
    <w:rsid w:val="00EE6D37"/>
    <w:rsid w:val="00EE6E26"/>
    <w:rsid w:val="00EE6F78"/>
    <w:rsid w:val="00EE7266"/>
    <w:rsid w:val="00EE72CD"/>
    <w:rsid w:val="00EE740B"/>
    <w:rsid w:val="00EE7613"/>
    <w:rsid w:val="00EE7856"/>
    <w:rsid w:val="00EE78C9"/>
    <w:rsid w:val="00EE7970"/>
    <w:rsid w:val="00EE7A4D"/>
    <w:rsid w:val="00EE7AD7"/>
    <w:rsid w:val="00EE7AFE"/>
    <w:rsid w:val="00EE7B8F"/>
    <w:rsid w:val="00EE7E7E"/>
    <w:rsid w:val="00EE7EB1"/>
    <w:rsid w:val="00EF002D"/>
    <w:rsid w:val="00EF0036"/>
    <w:rsid w:val="00EF01E9"/>
    <w:rsid w:val="00EF0232"/>
    <w:rsid w:val="00EF02B7"/>
    <w:rsid w:val="00EF02E3"/>
    <w:rsid w:val="00EF032C"/>
    <w:rsid w:val="00EF0353"/>
    <w:rsid w:val="00EF03BD"/>
    <w:rsid w:val="00EF03CB"/>
    <w:rsid w:val="00EF05C3"/>
    <w:rsid w:val="00EF09D8"/>
    <w:rsid w:val="00EF0ABC"/>
    <w:rsid w:val="00EF0AC1"/>
    <w:rsid w:val="00EF0C56"/>
    <w:rsid w:val="00EF0D8A"/>
    <w:rsid w:val="00EF0DB3"/>
    <w:rsid w:val="00EF0ECC"/>
    <w:rsid w:val="00EF0F51"/>
    <w:rsid w:val="00EF105F"/>
    <w:rsid w:val="00EF10A0"/>
    <w:rsid w:val="00EF1166"/>
    <w:rsid w:val="00EF12CE"/>
    <w:rsid w:val="00EF13CF"/>
    <w:rsid w:val="00EF144B"/>
    <w:rsid w:val="00EF16DB"/>
    <w:rsid w:val="00EF17F7"/>
    <w:rsid w:val="00EF1A76"/>
    <w:rsid w:val="00EF1D32"/>
    <w:rsid w:val="00EF1F40"/>
    <w:rsid w:val="00EF20AA"/>
    <w:rsid w:val="00EF2219"/>
    <w:rsid w:val="00EF242D"/>
    <w:rsid w:val="00EF26A2"/>
    <w:rsid w:val="00EF2890"/>
    <w:rsid w:val="00EF2B74"/>
    <w:rsid w:val="00EF2C1D"/>
    <w:rsid w:val="00EF2ED1"/>
    <w:rsid w:val="00EF2F3A"/>
    <w:rsid w:val="00EF3047"/>
    <w:rsid w:val="00EF310A"/>
    <w:rsid w:val="00EF32FC"/>
    <w:rsid w:val="00EF35F0"/>
    <w:rsid w:val="00EF35F3"/>
    <w:rsid w:val="00EF36A4"/>
    <w:rsid w:val="00EF378A"/>
    <w:rsid w:val="00EF37E8"/>
    <w:rsid w:val="00EF38F6"/>
    <w:rsid w:val="00EF3922"/>
    <w:rsid w:val="00EF39FB"/>
    <w:rsid w:val="00EF3A59"/>
    <w:rsid w:val="00EF3A6D"/>
    <w:rsid w:val="00EF3AAB"/>
    <w:rsid w:val="00EF3AC8"/>
    <w:rsid w:val="00EF3B45"/>
    <w:rsid w:val="00EF3C9B"/>
    <w:rsid w:val="00EF3D28"/>
    <w:rsid w:val="00EF3E32"/>
    <w:rsid w:val="00EF4016"/>
    <w:rsid w:val="00EF417B"/>
    <w:rsid w:val="00EF4191"/>
    <w:rsid w:val="00EF43FF"/>
    <w:rsid w:val="00EF44A6"/>
    <w:rsid w:val="00EF45C4"/>
    <w:rsid w:val="00EF46FA"/>
    <w:rsid w:val="00EF4785"/>
    <w:rsid w:val="00EF47D9"/>
    <w:rsid w:val="00EF4B45"/>
    <w:rsid w:val="00EF4B61"/>
    <w:rsid w:val="00EF4BBC"/>
    <w:rsid w:val="00EF4CB6"/>
    <w:rsid w:val="00EF4FC6"/>
    <w:rsid w:val="00EF4FEA"/>
    <w:rsid w:val="00EF52B0"/>
    <w:rsid w:val="00EF52B7"/>
    <w:rsid w:val="00EF538C"/>
    <w:rsid w:val="00EF5440"/>
    <w:rsid w:val="00EF5528"/>
    <w:rsid w:val="00EF5678"/>
    <w:rsid w:val="00EF5920"/>
    <w:rsid w:val="00EF5DFB"/>
    <w:rsid w:val="00EF5FFA"/>
    <w:rsid w:val="00EF6353"/>
    <w:rsid w:val="00EF676F"/>
    <w:rsid w:val="00EF67F6"/>
    <w:rsid w:val="00EF6879"/>
    <w:rsid w:val="00EF6A0B"/>
    <w:rsid w:val="00EF6A5C"/>
    <w:rsid w:val="00EF6B56"/>
    <w:rsid w:val="00EF6B69"/>
    <w:rsid w:val="00EF6CBC"/>
    <w:rsid w:val="00EF6E02"/>
    <w:rsid w:val="00EF6EE1"/>
    <w:rsid w:val="00EF707C"/>
    <w:rsid w:val="00EF73B8"/>
    <w:rsid w:val="00EF74FA"/>
    <w:rsid w:val="00EF7637"/>
    <w:rsid w:val="00EF77AA"/>
    <w:rsid w:val="00EF7CBA"/>
    <w:rsid w:val="00EF7D9E"/>
    <w:rsid w:val="00F000B2"/>
    <w:rsid w:val="00F001D2"/>
    <w:rsid w:val="00F00626"/>
    <w:rsid w:val="00F007AF"/>
    <w:rsid w:val="00F008EA"/>
    <w:rsid w:val="00F0096D"/>
    <w:rsid w:val="00F00D15"/>
    <w:rsid w:val="00F01078"/>
    <w:rsid w:val="00F01244"/>
    <w:rsid w:val="00F0130A"/>
    <w:rsid w:val="00F01328"/>
    <w:rsid w:val="00F0138C"/>
    <w:rsid w:val="00F0154E"/>
    <w:rsid w:val="00F016DE"/>
    <w:rsid w:val="00F017B6"/>
    <w:rsid w:val="00F018F1"/>
    <w:rsid w:val="00F01B1F"/>
    <w:rsid w:val="00F01BBC"/>
    <w:rsid w:val="00F01BCB"/>
    <w:rsid w:val="00F01DC7"/>
    <w:rsid w:val="00F01E79"/>
    <w:rsid w:val="00F01F39"/>
    <w:rsid w:val="00F01FD4"/>
    <w:rsid w:val="00F023AD"/>
    <w:rsid w:val="00F0276B"/>
    <w:rsid w:val="00F02BBF"/>
    <w:rsid w:val="00F02F18"/>
    <w:rsid w:val="00F02F3F"/>
    <w:rsid w:val="00F03123"/>
    <w:rsid w:val="00F03373"/>
    <w:rsid w:val="00F03533"/>
    <w:rsid w:val="00F035FB"/>
    <w:rsid w:val="00F036CD"/>
    <w:rsid w:val="00F039F1"/>
    <w:rsid w:val="00F03AF4"/>
    <w:rsid w:val="00F03C00"/>
    <w:rsid w:val="00F03E79"/>
    <w:rsid w:val="00F03F1C"/>
    <w:rsid w:val="00F03F3A"/>
    <w:rsid w:val="00F04161"/>
    <w:rsid w:val="00F04249"/>
    <w:rsid w:val="00F0459A"/>
    <w:rsid w:val="00F045B7"/>
    <w:rsid w:val="00F0478D"/>
    <w:rsid w:val="00F0480F"/>
    <w:rsid w:val="00F0483A"/>
    <w:rsid w:val="00F048C9"/>
    <w:rsid w:val="00F04ACF"/>
    <w:rsid w:val="00F04C43"/>
    <w:rsid w:val="00F04D08"/>
    <w:rsid w:val="00F05034"/>
    <w:rsid w:val="00F05074"/>
    <w:rsid w:val="00F050F4"/>
    <w:rsid w:val="00F0531C"/>
    <w:rsid w:val="00F05477"/>
    <w:rsid w:val="00F054E7"/>
    <w:rsid w:val="00F05653"/>
    <w:rsid w:val="00F05663"/>
    <w:rsid w:val="00F05AC3"/>
    <w:rsid w:val="00F05BDA"/>
    <w:rsid w:val="00F05D94"/>
    <w:rsid w:val="00F05FD7"/>
    <w:rsid w:val="00F064F3"/>
    <w:rsid w:val="00F069B7"/>
    <w:rsid w:val="00F06A7C"/>
    <w:rsid w:val="00F070B3"/>
    <w:rsid w:val="00F071C3"/>
    <w:rsid w:val="00F0729C"/>
    <w:rsid w:val="00F0731C"/>
    <w:rsid w:val="00F07493"/>
    <w:rsid w:val="00F075DB"/>
    <w:rsid w:val="00F0766F"/>
    <w:rsid w:val="00F0775D"/>
    <w:rsid w:val="00F07777"/>
    <w:rsid w:val="00F07DBB"/>
    <w:rsid w:val="00F07E77"/>
    <w:rsid w:val="00F07E80"/>
    <w:rsid w:val="00F07EC8"/>
    <w:rsid w:val="00F07EE4"/>
    <w:rsid w:val="00F07F35"/>
    <w:rsid w:val="00F1018C"/>
    <w:rsid w:val="00F1029C"/>
    <w:rsid w:val="00F10433"/>
    <w:rsid w:val="00F10748"/>
    <w:rsid w:val="00F10981"/>
    <w:rsid w:val="00F10A49"/>
    <w:rsid w:val="00F10EC4"/>
    <w:rsid w:val="00F1123D"/>
    <w:rsid w:val="00F116B6"/>
    <w:rsid w:val="00F116C3"/>
    <w:rsid w:val="00F1173C"/>
    <w:rsid w:val="00F118E8"/>
    <w:rsid w:val="00F119FA"/>
    <w:rsid w:val="00F11E36"/>
    <w:rsid w:val="00F12026"/>
    <w:rsid w:val="00F12271"/>
    <w:rsid w:val="00F12400"/>
    <w:rsid w:val="00F1244E"/>
    <w:rsid w:val="00F124A1"/>
    <w:rsid w:val="00F12617"/>
    <w:rsid w:val="00F127F9"/>
    <w:rsid w:val="00F12828"/>
    <w:rsid w:val="00F12A03"/>
    <w:rsid w:val="00F12D3D"/>
    <w:rsid w:val="00F12F0E"/>
    <w:rsid w:val="00F12FD8"/>
    <w:rsid w:val="00F131D5"/>
    <w:rsid w:val="00F1330B"/>
    <w:rsid w:val="00F13839"/>
    <w:rsid w:val="00F13856"/>
    <w:rsid w:val="00F139A4"/>
    <w:rsid w:val="00F13A99"/>
    <w:rsid w:val="00F13BBE"/>
    <w:rsid w:val="00F1407C"/>
    <w:rsid w:val="00F14127"/>
    <w:rsid w:val="00F14202"/>
    <w:rsid w:val="00F142E9"/>
    <w:rsid w:val="00F1458A"/>
    <w:rsid w:val="00F14856"/>
    <w:rsid w:val="00F14889"/>
    <w:rsid w:val="00F14A95"/>
    <w:rsid w:val="00F14B31"/>
    <w:rsid w:val="00F14BA4"/>
    <w:rsid w:val="00F154E6"/>
    <w:rsid w:val="00F1583D"/>
    <w:rsid w:val="00F15868"/>
    <w:rsid w:val="00F159FB"/>
    <w:rsid w:val="00F15AA2"/>
    <w:rsid w:val="00F15B91"/>
    <w:rsid w:val="00F15E4D"/>
    <w:rsid w:val="00F15F1F"/>
    <w:rsid w:val="00F16154"/>
    <w:rsid w:val="00F1627B"/>
    <w:rsid w:val="00F162E0"/>
    <w:rsid w:val="00F164BD"/>
    <w:rsid w:val="00F168B8"/>
    <w:rsid w:val="00F1695A"/>
    <w:rsid w:val="00F169FB"/>
    <w:rsid w:val="00F16A24"/>
    <w:rsid w:val="00F16B29"/>
    <w:rsid w:val="00F173B2"/>
    <w:rsid w:val="00F17582"/>
    <w:rsid w:val="00F17667"/>
    <w:rsid w:val="00F179E1"/>
    <w:rsid w:val="00F17CAA"/>
    <w:rsid w:val="00F20185"/>
    <w:rsid w:val="00F20343"/>
    <w:rsid w:val="00F2041C"/>
    <w:rsid w:val="00F20765"/>
    <w:rsid w:val="00F208BC"/>
    <w:rsid w:val="00F20AFE"/>
    <w:rsid w:val="00F20B5A"/>
    <w:rsid w:val="00F20ECD"/>
    <w:rsid w:val="00F21221"/>
    <w:rsid w:val="00F217B7"/>
    <w:rsid w:val="00F21865"/>
    <w:rsid w:val="00F21A28"/>
    <w:rsid w:val="00F21B78"/>
    <w:rsid w:val="00F21BA4"/>
    <w:rsid w:val="00F21BB4"/>
    <w:rsid w:val="00F21FF0"/>
    <w:rsid w:val="00F220C3"/>
    <w:rsid w:val="00F222C8"/>
    <w:rsid w:val="00F222DF"/>
    <w:rsid w:val="00F223A7"/>
    <w:rsid w:val="00F22472"/>
    <w:rsid w:val="00F226BF"/>
    <w:rsid w:val="00F22830"/>
    <w:rsid w:val="00F229B0"/>
    <w:rsid w:val="00F22AB6"/>
    <w:rsid w:val="00F22B2E"/>
    <w:rsid w:val="00F22B3F"/>
    <w:rsid w:val="00F22F57"/>
    <w:rsid w:val="00F23072"/>
    <w:rsid w:val="00F2333E"/>
    <w:rsid w:val="00F23B38"/>
    <w:rsid w:val="00F23C43"/>
    <w:rsid w:val="00F23E90"/>
    <w:rsid w:val="00F23EC7"/>
    <w:rsid w:val="00F23EDC"/>
    <w:rsid w:val="00F23F1F"/>
    <w:rsid w:val="00F2412B"/>
    <w:rsid w:val="00F243EB"/>
    <w:rsid w:val="00F24447"/>
    <w:rsid w:val="00F245AD"/>
    <w:rsid w:val="00F245D1"/>
    <w:rsid w:val="00F2494D"/>
    <w:rsid w:val="00F24AD6"/>
    <w:rsid w:val="00F24B2D"/>
    <w:rsid w:val="00F24C27"/>
    <w:rsid w:val="00F24C42"/>
    <w:rsid w:val="00F24C90"/>
    <w:rsid w:val="00F24CBE"/>
    <w:rsid w:val="00F24EB3"/>
    <w:rsid w:val="00F25058"/>
    <w:rsid w:val="00F250BA"/>
    <w:rsid w:val="00F2570C"/>
    <w:rsid w:val="00F2573A"/>
    <w:rsid w:val="00F25765"/>
    <w:rsid w:val="00F258DE"/>
    <w:rsid w:val="00F259B0"/>
    <w:rsid w:val="00F25A12"/>
    <w:rsid w:val="00F25B09"/>
    <w:rsid w:val="00F25E26"/>
    <w:rsid w:val="00F25F46"/>
    <w:rsid w:val="00F25F9E"/>
    <w:rsid w:val="00F25FD6"/>
    <w:rsid w:val="00F25FDF"/>
    <w:rsid w:val="00F26086"/>
    <w:rsid w:val="00F262F2"/>
    <w:rsid w:val="00F264B8"/>
    <w:rsid w:val="00F2668F"/>
    <w:rsid w:val="00F26709"/>
    <w:rsid w:val="00F2671A"/>
    <w:rsid w:val="00F2679B"/>
    <w:rsid w:val="00F26AF1"/>
    <w:rsid w:val="00F26FC9"/>
    <w:rsid w:val="00F272E2"/>
    <w:rsid w:val="00F2736C"/>
    <w:rsid w:val="00F2762D"/>
    <w:rsid w:val="00F276A5"/>
    <w:rsid w:val="00F27AEF"/>
    <w:rsid w:val="00F27BD8"/>
    <w:rsid w:val="00F27BEE"/>
    <w:rsid w:val="00F27BFD"/>
    <w:rsid w:val="00F27D00"/>
    <w:rsid w:val="00F27DCC"/>
    <w:rsid w:val="00F27E26"/>
    <w:rsid w:val="00F27E37"/>
    <w:rsid w:val="00F27E9F"/>
    <w:rsid w:val="00F27F3B"/>
    <w:rsid w:val="00F3010E"/>
    <w:rsid w:val="00F302DE"/>
    <w:rsid w:val="00F303CE"/>
    <w:rsid w:val="00F30590"/>
    <w:rsid w:val="00F30684"/>
    <w:rsid w:val="00F306AE"/>
    <w:rsid w:val="00F30B73"/>
    <w:rsid w:val="00F30C3F"/>
    <w:rsid w:val="00F30D42"/>
    <w:rsid w:val="00F30F0B"/>
    <w:rsid w:val="00F30F0D"/>
    <w:rsid w:val="00F3107D"/>
    <w:rsid w:val="00F31134"/>
    <w:rsid w:val="00F3122B"/>
    <w:rsid w:val="00F31439"/>
    <w:rsid w:val="00F3144A"/>
    <w:rsid w:val="00F31528"/>
    <w:rsid w:val="00F3166E"/>
    <w:rsid w:val="00F316B4"/>
    <w:rsid w:val="00F3176B"/>
    <w:rsid w:val="00F317F2"/>
    <w:rsid w:val="00F318F3"/>
    <w:rsid w:val="00F319DC"/>
    <w:rsid w:val="00F31A31"/>
    <w:rsid w:val="00F31CD8"/>
    <w:rsid w:val="00F320C3"/>
    <w:rsid w:val="00F324B0"/>
    <w:rsid w:val="00F32543"/>
    <w:rsid w:val="00F3267E"/>
    <w:rsid w:val="00F32909"/>
    <w:rsid w:val="00F329B6"/>
    <w:rsid w:val="00F32C64"/>
    <w:rsid w:val="00F32E9F"/>
    <w:rsid w:val="00F32F0D"/>
    <w:rsid w:val="00F330A3"/>
    <w:rsid w:val="00F3339A"/>
    <w:rsid w:val="00F334E2"/>
    <w:rsid w:val="00F3362D"/>
    <w:rsid w:val="00F3363D"/>
    <w:rsid w:val="00F33780"/>
    <w:rsid w:val="00F338AF"/>
    <w:rsid w:val="00F3395D"/>
    <w:rsid w:val="00F33A72"/>
    <w:rsid w:val="00F33B56"/>
    <w:rsid w:val="00F33CB9"/>
    <w:rsid w:val="00F33D53"/>
    <w:rsid w:val="00F33D80"/>
    <w:rsid w:val="00F33E88"/>
    <w:rsid w:val="00F33F21"/>
    <w:rsid w:val="00F33F3C"/>
    <w:rsid w:val="00F34060"/>
    <w:rsid w:val="00F340AD"/>
    <w:rsid w:val="00F340F6"/>
    <w:rsid w:val="00F342AF"/>
    <w:rsid w:val="00F342EB"/>
    <w:rsid w:val="00F34326"/>
    <w:rsid w:val="00F349D0"/>
    <w:rsid w:val="00F349FB"/>
    <w:rsid w:val="00F34A2E"/>
    <w:rsid w:val="00F34C5D"/>
    <w:rsid w:val="00F34CD7"/>
    <w:rsid w:val="00F34DBB"/>
    <w:rsid w:val="00F34DFA"/>
    <w:rsid w:val="00F35279"/>
    <w:rsid w:val="00F352F0"/>
    <w:rsid w:val="00F3541A"/>
    <w:rsid w:val="00F35429"/>
    <w:rsid w:val="00F35637"/>
    <w:rsid w:val="00F357E7"/>
    <w:rsid w:val="00F3593C"/>
    <w:rsid w:val="00F3599D"/>
    <w:rsid w:val="00F35ABE"/>
    <w:rsid w:val="00F35C8B"/>
    <w:rsid w:val="00F35CAF"/>
    <w:rsid w:val="00F35FB9"/>
    <w:rsid w:val="00F36033"/>
    <w:rsid w:val="00F3603C"/>
    <w:rsid w:val="00F36049"/>
    <w:rsid w:val="00F36261"/>
    <w:rsid w:val="00F36340"/>
    <w:rsid w:val="00F364A2"/>
    <w:rsid w:val="00F364FF"/>
    <w:rsid w:val="00F367BD"/>
    <w:rsid w:val="00F3689A"/>
    <w:rsid w:val="00F36A4D"/>
    <w:rsid w:val="00F36B42"/>
    <w:rsid w:val="00F36BAA"/>
    <w:rsid w:val="00F37110"/>
    <w:rsid w:val="00F3713A"/>
    <w:rsid w:val="00F37143"/>
    <w:rsid w:val="00F37567"/>
    <w:rsid w:val="00F375BE"/>
    <w:rsid w:val="00F376CB"/>
    <w:rsid w:val="00F37ADE"/>
    <w:rsid w:val="00F37BFA"/>
    <w:rsid w:val="00F37EAF"/>
    <w:rsid w:val="00F37FA8"/>
    <w:rsid w:val="00F40051"/>
    <w:rsid w:val="00F40059"/>
    <w:rsid w:val="00F40111"/>
    <w:rsid w:val="00F40415"/>
    <w:rsid w:val="00F40498"/>
    <w:rsid w:val="00F404F6"/>
    <w:rsid w:val="00F408A9"/>
    <w:rsid w:val="00F4093C"/>
    <w:rsid w:val="00F40B71"/>
    <w:rsid w:val="00F40C4F"/>
    <w:rsid w:val="00F40D31"/>
    <w:rsid w:val="00F40DD8"/>
    <w:rsid w:val="00F41261"/>
    <w:rsid w:val="00F4134E"/>
    <w:rsid w:val="00F4163A"/>
    <w:rsid w:val="00F4164F"/>
    <w:rsid w:val="00F417C3"/>
    <w:rsid w:val="00F4197D"/>
    <w:rsid w:val="00F4199A"/>
    <w:rsid w:val="00F41AE5"/>
    <w:rsid w:val="00F41CDC"/>
    <w:rsid w:val="00F41DBA"/>
    <w:rsid w:val="00F41E81"/>
    <w:rsid w:val="00F41F9A"/>
    <w:rsid w:val="00F41FEA"/>
    <w:rsid w:val="00F42159"/>
    <w:rsid w:val="00F4290F"/>
    <w:rsid w:val="00F42BFC"/>
    <w:rsid w:val="00F42CA4"/>
    <w:rsid w:val="00F42CD8"/>
    <w:rsid w:val="00F42DEE"/>
    <w:rsid w:val="00F42FB1"/>
    <w:rsid w:val="00F430E9"/>
    <w:rsid w:val="00F435C8"/>
    <w:rsid w:val="00F43734"/>
    <w:rsid w:val="00F437A3"/>
    <w:rsid w:val="00F43A03"/>
    <w:rsid w:val="00F43B59"/>
    <w:rsid w:val="00F43C61"/>
    <w:rsid w:val="00F44168"/>
    <w:rsid w:val="00F441FD"/>
    <w:rsid w:val="00F44207"/>
    <w:rsid w:val="00F44490"/>
    <w:rsid w:val="00F4465E"/>
    <w:rsid w:val="00F4475F"/>
    <w:rsid w:val="00F44985"/>
    <w:rsid w:val="00F44A7A"/>
    <w:rsid w:val="00F44C47"/>
    <w:rsid w:val="00F44C58"/>
    <w:rsid w:val="00F44D1D"/>
    <w:rsid w:val="00F44DD6"/>
    <w:rsid w:val="00F4512C"/>
    <w:rsid w:val="00F451DD"/>
    <w:rsid w:val="00F45212"/>
    <w:rsid w:val="00F45272"/>
    <w:rsid w:val="00F453D1"/>
    <w:rsid w:val="00F45441"/>
    <w:rsid w:val="00F45508"/>
    <w:rsid w:val="00F455C3"/>
    <w:rsid w:val="00F457DD"/>
    <w:rsid w:val="00F4594B"/>
    <w:rsid w:val="00F4599E"/>
    <w:rsid w:val="00F45A17"/>
    <w:rsid w:val="00F45B95"/>
    <w:rsid w:val="00F45B9E"/>
    <w:rsid w:val="00F45D1E"/>
    <w:rsid w:val="00F45FCD"/>
    <w:rsid w:val="00F4627A"/>
    <w:rsid w:val="00F46618"/>
    <w:rsid w:val="00F4669F"/>
    <w:rsid w:val="00F46C1F"/>
    <w:rsid w:val="00F46C76"/>
    <w:rsid w:val="00F46E20"/>
    <w:rsid w:val="00F46F2F"/>
    <w:rsid w:val="00F46FC3"/>
    <w:rsid w:val="00F47270"/>
    <w:rsid w:val="00F47457"/>
    <w:rsid w:val="00F478AE"/>
    <w:rsid w:val="00F47906"/>
    <w:rsid w:val="00F47B4B"/>
    <w:rsid w:val="00F47C36"/>
    <w:rsid w:val="00F47DB3"/>
    <w:rsid w:val="00F47EA5"/>
    <w:rsid w:val="00F50115"/>
    <w:rsid w:val="00F50281"/>
    <w:rsid w:val="00F5068A"/>
    <w:rsid w:val="00F50800"/>
    <w:rsid w:val="00F50967"/>
    <w:rsid w:val="00F50970"/>
    <w:rsid w:val="00F50B3D"/>
    <w:rsid w:val="00F50B5B"/>
    <w:rsid w:val="00F50CBD"/>
    <w:rsid w:val="00F50D28"/>
    <w:rsid w:val="00F50E81"/>
    <w:rsid w:val="00F51042"/>
    <w:rsid w:val="00F510A5"/>
    <w:rsid w:val="00F5119E"/>
    <w:rsid w:val="00F513CC"/>
    <w:rsid w:val="00F51A0D"/>
    <w:rsid w:val="00F51BAC"/>
    <w:rsid w:val="00F52086"/>
    <w:rsid w:val="00F52098"/>
    <w:rsid w:val="00F5217E"/>
    <w:rsid w:val="00F52663"/>
    <w:rsid w:val="00F52778"/>
    <w:rsid w:val="00F528AE"/>
    <w:rsid w:val="00F529DA"/>
    <w:rsid w:val="00F52AC8"/>
    <w:rsid w:val="00F52CC4"/>
    <w:rsid w:val="00F52CEE"/>
    <w:rsid w:val="00F52D41"/>
    <w:rsid w:val="00F52EE2"/>
    <w:rsid w:val="00F53053"/>
    <w:rsid w:val="00F530EA"/>
    <w:rsid w:val="00F531D6"/>
    <w:rsid w:val="00F53268"/>
    <w:rsid w:val="00F53379"/>
    <w:rsid w:val="00F53398"/>
    <w:rsid w:val="00F53468"/>
    <w:rsid w:val="00F53492"/>
    <w:rsid w:val="00F53588"/>
    <w:rsid w:val="00F538A7"/>
    <w:rsid w:val="00F53943"/>
    <w:rsid w:val="00F539A5"/>
    <w:rsid w:val="00F53A87"/>
    <w:rsid w:val="00F53A91"/>
    <w:rsid w:val="00F53B90"/>
    <w:rsid w:val="00F53E6E"/>
    <w:rsid w:val="00F54096"/>
    <w:rsid w:val="00F540B9"/>
    <w:rsid w:val="00F54214"/>
    <w:rsid w:val="00F542E8"/>
    <w:rsid w:val="00F546BC"/>
    <w:rsid w:val="00F546E5"/>
    <w:rsid w:val="00F5479B"/>
    <w:rsid w:val="00F548F4"/>
    <w:rsid w:val="00F549EF"/>
    <w:rsid w:val="00F54A98"/>
    <w:rsid w:val="00F54ACD"/>
    <w:rsid w:val="00F54B19"/>
    <w:rsid w:val="00F54C3F"/>
    <w:rsid w:val="00F54DF9"/>
    <w:rsid w:val="00F54DFD"/>
    <w:rsid w:val="00F550D0"/>
    <w:rsid w:val="00F55452"/>
    <w:rsid w:val="00F5555B"/>
    <w:rsid w:val="00F556A2"/>
    <w:rsid w:val="00F556A3"/>
    <w:rsid w:val="00F55793"/>
    <w:rsid w:val="00F557DE"/>
    <w:rsid w:val="00F558D4"/>
    <w:rsid w:val="00F55961"/>
    <w:rsid w:val="00F55BDC"/>
    <w:rsid w:val="00F55C4B"/>
    <w:rsid w:val="00F55E04"/>
    <w:rsid w:val="00F55F38"/>
    <w:rsid w:val="00F56120"/>
    <w:rsid w:val="00F56648"/>
    <w:rsid w:val="00F56685"/>
    <w:rsid w:val="00F56745"/>
    <w:rsid w:val="00F56760"/>
    <w:rsid w:val="00F56791"/>
    <w:rsid w:val="00F56A74"/>
    <w:rsid w:val="00F56B82"/>
    <w:rsid w:val="00F56C56"/>
    <w:rsid w:val="00F56CAA"/>
    <w:rsid w:val="00F56DA2"/>
    <w:rsid w:val="00F56DE7"/>
    <w:rsid w:val="00F56E1A"/>
    <w:rsid w:val="00F5704B"/>
    <w:rsid w:val="00F570AB"/>
    <w:rsid w:val="00F57640"/>
    <w:rsid w:val="00F5775F"/>
    <w:rsid w:val="00F5783A"/>
    <w:rsid w:val="00F57CD5"/>
    <w:rsid w:val="00F57D9D"/>
    <w:rsid w:val="00F57E4C"/>
    <w:rsid w:val="00F600C2"/>
    <w:rsid w:val="00F601A0"/>
    <w:rsid w:val="00F6023D"/>
    <w:rsid w:val="00F60395"/>
    <w:rsid w:val="00F606F4"/>
    <w:rsid w:val="00F607E6"/>
    <w:rsid w:val="00F609BB"/>
    <w:rsid w:val="00F60BCE"/>
    <w:rsid w:val="00F60D50"/>
    <w:rsid w:val="00F60E71"/>
    <w:rsid w:val="00F60EA5"/>
    <w:rsid w:val="00F60EB4"/>
    <w:rsid w:val="00F6100C"/>
    <w:rsid w:val="00F610CA"/>
    <w:rsid w:val="00F611B3"/>
    <w:rsid w:val="00F611C8"/>
    <w:rsid w:val="00F612EB"/>
    <w:rsid w:val="00F614E2"/>
    <w:rsid w:val="00F61508"/>
    <w:rsid w:val="00F61729"/>
    <w:rsid w:val="00F617D4"/>
    <w:rsid w:val="00F61A75"/>
    <w:rsid w:val="00F6224A"/>
    <w:rsid w:val="00F62433"/>
    <w:rsid w:val="00F627DB"/>
    <w:rsid w:val="00F6286B"/>
    <w:rsid w:val="00F62A68"/>
    <w:rsid w:val="00F62F2B"/>
    <w:rsid w:val="00F6306D"/>
    <w:rsid w:val="00F63175"/>
    <w:rsid w:val="00F63179"/>
    <w:rsid w:val="00F631A3"/>
    <w:rsid w:val="00F633B2"/>
    <w:rsid w:val="00F63432"/>
    <w:rsid w:val="00F635A9"/>
    <w:rsid w:val="00F6383D"/>
    <w:rsid w:val="00F638F7"/>
    <w:rsid w:val="00F63992"/>
    <w:rsid w:val="00F63B1C"/>
    <w:rsid w:val="00F63B9F"/>
    <w:rsid w:val="00F63DE2"/>
    <w:rsid w:val="00F63E1F"/>
    <w:rsid w:val="00F64123"/>
    <w:rsid w:val="00F64178"/>
    <w:rsid w:val="00F641B0"/>
    <w:rsid w:val="00F641D7"/>
    <w:rsid w:val="00F64370"/>
    <w:rsid w:val="00F64448"/>
    <w:rsid w:val="00F644CC"/>
    <w:rsid w:val="00F648C6"/>
    <w:rsid w:val="00F64995"/>
    <w:rsid w:val="00F65207"/>
    <w:rsid w:val="00F652C3"/>
    <w:rsid w:val="00F6569A"/>
    <w:rsid w:val="00F657B4"/>
    <w:rsid w:val="00F6587F"/>
    <w:rsid w:val="00F65E79"/>
    <w:rsid w:val="00F65E7C"/>
    <w:rsid w:val="00F65F75"/>
    <w:rsid w:val="00F66000"/>
    <w:rsid w:val="00F6640F"/>
    <w:rsid w:val="00F66616"/>
    <w:rsid w:val="00F667F8"/>
    <w:rsid w:val="00F66AD3"/>
    <w:rsid w:val="00F66B2F"/>
    <w:rsid w:val="00F66B89"/>
    <w:rsid w:val="00F66E87"/>
    <w:rsid w:val="00F66F3D"/>
    <w:rsid w:val="00F66F9A"/>
    <w:rsid w:val="00F670C7"/>
    <w:rsid w:val="00F6721C"/>
    <w:rsid w:val="00F67492"/>
    <w:rsid w:val="00F67729"/>
    <w:rsid w:val="00F67979"/>
    <w:rsid w:val="00F67CB2"/>
    <w:rsid w:val="00F67CBB"/>
    <w:rsid w:val="00F67CE5"/>
    <w:rsid w:val="00F67E50"/>
    <w:rsid w:val="00F67E5A"/>
    <w:rsid w:val="00F67EA2"/>
    <w:rsid w:val="00F67EEA"/>
    <w:rsid w:val="00F701F0"/>
    <w:rsid w:val="00F702CD"/>
    <w:rsid w:val="00F7044D"/>
    <w:rsid w:val="00F704D0"/>
    <w:rsid w:val="00F7068E"/>
    <w:rsid w:val="00F70BCA"/>
    <w:rsid w:val="00F7102E"/>
    <w:rsid w:val="00F71092"/>
    <w:rsid w:val="00F71151"/>
    <w:rsid w:val="00F711A3"/>
    <w:rsid w:val="00F7129A"/>
    <w:rsid w:val="00F7129E"/>
    <w:rsid w:val="00F71A7D"/>
    <w:rsid w:val="00F71AAC"/>
    <w:rsid w:val="00F71D4F"/>
    <w:rsid w:val="00F71E96"/>
    <w:rsid w:val="00F71F71"/>
    <w:rsid w:val="00F721E6"/>
    <w:rsid w:val="00F72353"/>
    <w:rsid w:val="00F725D6"/>
    <w:rsid w:val="00F727C7"/>
    <w:rsid w:val="00F7288D"/>
    <w:rsid w:val="00F729B7"/>
    <w:rsid w:val="00F72A48"/>
    <w:rsid w:val="00F72D15"/>
    <w:rsid w:val="00F72D75"/>
    <w:rsid w:val="00F72D8C"/>
    <w:rsid w:val="00F72DDF"/>
    <w:rsid w:val="00F72E4A"/>
    <w:rsid w:val="00F73365"/>
    <w:rsid w:val="00F7336D"/>
    <w:rsid w:val="00F7366C"/>
    <w:rsid w:val="00F736E5"/>
    <w:rsid w:val="00F73904"/>
    <w:rsid w:val="00F73954"/>
    <w:rsid w:val="00F73A71"/>
    <w:rsid w:val="00F73E57"/>
    <w:rsid w:val="00F73E76"/>
    <w:rsid w:val="00F740D2"/>
    <w:rsid w:val="00F7415D"/>
    <w:rsid w:val="00F7438B"/>
    <w:rsid w:val="00F743CE"/>
    <w:rsid w:val="00F74780"/>
    <w:rsid w:val="00F748E5"/>
    <w:rsid w:val="00F74C9E"/>
    <w:rsid w:val="00F74DC9"/>
    <w:rsid w:val="00F74E45"/>
    <w:rsid w:val="00F74ED7"/>
    <w:rsid w:val="00F7502A"/>
    <w:rsid w:val="00F752DE"/>
    <w:rsid w:val="00F75365"/>
    <w:rsid w:val="00F7552D"/>
    <w:rsid w:val="00F7557E"/>
    <w:rsid w:val="00F7558B"/>
    <w:rsid w:val="00F757DB"/>
    <w:rsid w:val="00F75959"/>
    <w:rsid w:val="00F759FD"/>
    <w:rsid w:val="00F75DF7"/>
    <w:rsid w:val="00F7631D"/>
    <w:rsid w:val="00F7638D"/>
    <w:rsid w:val="00F76598"/>
    <w:rsid w:val="00F76639"/>
    <w:rsid w:val="00F7665D"/>
    <w:rsid w:val="00F76881"/>
    <w:rsid w:val="00F76A95"/>
    <w:rsid w:val="00F76C57"/>
    <w:rsid w:val="00F76F07"/>
    <w:rsid w:val="00F76F2B"/>
    <w:rsid w:val="00F771B4"/>
    <w:rsid w:val="00F77469"/>
    <w:rsid w:val="00F7770E"/>
    <w:rsid w:val="00F77759"/>
    <w:rsid w:val="00F77801"/>
    <w:rsid w:val="00F778C4"/>
    <w:rsid w:val="00F77A0C"/>
    <w:rsid w:val="00F77C9F"/>
    <w:rsid w:val="00F77E74"/>
    <w:rsid w:val="00F77EC4"/>
    <w:rsid w:val="00F800BE"/>
    <w:rsid w:val="00F80230"/>
    <w:rsid w:val="00F804B3"/>
    <w:rsid w:val="00F808E4"/>
    <w:rsid w:val="00F80A2D"/>
    <w:rsid w:val="00F80A5C"/>
    <w:rsid w:val="00F80D21"/>
    <w:rsid w:val="00F80D97"/>
    <w:rsid w:val="00F80DEF"/>
    <w:rsid w:val="00F80EFE"/>
    <w:rsid w:val="00F8107F"/>
    <w:rsid w:val="00F81201"/>
    <w:rsid w:val="00F812EA"/>
    <w:rsid w:val="00F8159F"/>
    <w:rsid w:val="00F817ED"/>
    <w:rsid w:val="00F81829"/>
    <w:rsid w:val="00F81916"/>
    <w:rsid w:val="00F8196D"/>
    <w:rsid w:val="00F81BD4"/>
    <w:rsid w:val="00F81EDB"/>
    <w:rsid w:val="00F821DA"/>
    <w:rsid w:val="00F8229D"/>
    <w:rsid w:val="00F822A1"/>
    <w:rsid w:val="00F822C9"/>
    <w:rsid w:val="00F82557"/>
    <w:rsid w:val="00F82725"/>
    <w:rsid w:val="00F827E7"/>
    <w:rsid w:val="00F8296D"/>
    <w:rsid w:val="00F82D51"/>
    <w:rsid w:val="00F82E8F"/>
    <w:rsid w:val="00F832B0"/>
    <w:rsid w:val="00F836B8"/>
    <w:rsid w:val="00F837BE"/>
    <w:rsid w:val="00F8380F"/>
    <w:rsid w:val="00F84281"/>
    <w:rsid w:val="00F8430B"/>
    <w:rsid w:val="00F84341"/>
    <w:rsid w:val="00F8438D"/>
    <w:rsid w:val="00F843DB"/>
    <w:rsid w:val="00F84874"/>
    <w:rsid w:val="00F84A9D"/>
    <w:rsid w:val="00F84AC0"/>
    <w:rsid w:val="00F84B54"/>
    <w:rsid w:val="00F84B5B"/>
    <w:rsid w:val="00F84D9E"/>
    <w:rsid w:val="00F84DBB"/>
    <w:rsid w:val="00F84F03"/>
    <w:rsid w:val="00F84F29"/>
    <w:rsid w:val="00F84F41"/>
    <w:rsid w:val="00F85137"/>
    <w:rsid w:val="00F853EE"/>
    <w:rsid w:val="00F85517"/>
    <w:rsid w:val="00F8564B"/>
    <w:rsid w:val="00F8572F"/>
    <w:rsid w:val="00F8575C"/>
    <w:rsid w:val="00F858B3"/>
    <w:rsid w:val="00F85ABD"/>
    <w:rsid w:val="00F85B28"/>
    <w:rsid w:val="00F85BBF"/>
    <w:rsid w:val="00F85F73"/>
    <w:rsid w:val="00F85F81"/>
    <w:rsid w:val="00F8621D"/>
    <w:rsid w:val="00F8626E"/>
    <w:rsid w:val="00F86415"/>
    <w:rsid w:val="00F86773"/>
    <w:rsid w:val="00F86823"/>
    <w:rsid w:val="00F86899"/>
    <w:rsid w:val="00F86BA3"/>
    <w:rsid w:val="00F86C53"/>
    <w:rsid w:val="00F86D4C"/>
    <w:rsid w:val="00F86DD5"/>
    <w:rsid w:val="00F87123"/>
    <w:rsid w:val="00F87178"/>
    <w:rsid w:val="00F87665"/>
    <w:rsid w:val="00F87751"/>
    <w:rsid w:val="00F878A0"/>
    <w:rsid w:val="00F87A77"/>
    <w:rsid w:val="00F87AFA"/>
    <w:rsid w:val="00F87B47"/>
    <w:rsid w:val="00F87BA1"/>
    <w:rsid w:val="00F87C72"/>
    <w:rsid w:val="00F87CBA"/>
    <w:rsid w:val="00F87E19"/>
    <w:rsid w:val="00F87EF7"/>
    <w:rsid w:val="00F89977"/>
    <w:rsid w:val="00F900CA"/>
    <w:rsid w:val="00F901B1"/>
    <w:rsid w:val="00F901B8"/>
    <w:rsid w:val="00F901E5"/>
    <w:rsid w:val="00F902AA"/>
    <w:rsid w:val="00F9053A"/>
    <w:rsid w:val="00F909EA"/>
    <w:rsid w:val="00F90C27"/>
    <w:rsid w:val="00F90C9B"/>
    <w:rsid w:val="00F90EB6"/>
    <w:rsid w:val="00F90F06"/>
    <w:rsid w:val="00F9116B"/>
    <w:rsid w:val="00F914B9"/>
    <w:rsid w:val="00F916A4"/>
    <w:rsid w:val="00F918A3"/>
    <w:rsid w:val="00F91E69"/>
    <w:rsid w:val="00F91EAB"/>
    <w:rsid w:val="00F92014"/>
    <w:rsid w:val="00F92127"/>
    <w:rsid w:val="00F92164"/>
    <w:rsid w:val="00F9277A"/>
    <w:rsid w:val="00F927DD"/>
    <w:rsid w:val="00F92830"/>
    <w:rsid w:val="00F9291C"/>
    <w:rsid w:val="00F929C3"/>
    <w:rsid w:val="00F92BDA"/>
    <w:rsid w:val="00F92C10"/>
    <w:rsid w:val="00F92D59"/>
    <w:rsid w:val="00F92DB5"/>
    <w:rsid w:val="00F92FF3"/>
    <w:rsid w:val="00F93089"/>
    <w:rsid w:val="00F930A1"/>
    <w:rsid w:val="00F9335E"/>
    <w:rsid w:val="00F9349A"/>
    <w:rsid w:val="00F93576"/>
    <w:rsid w:val="00F938AC"/>
    <w:rsid w:val="00F93967"/>
    <w:rsid w:val="00F93ABD"/>
    <w:rsid w:val="00F93AD3"/>
    <w:rsid w:val="00F94232"/>
    <w:rsid w:val="00F944FC"/>
    <w:rsid w:val="00F9458F"/>
    <w:rsid w:val="00F945D6"/>
    <w:rsid w:val="00F94661"/>
    <w:rsid w:val="00F948D2"/>
    <w:rsid w:val="00F94A13"/>
    <w:rsid w:val="00F94A38"/>
    <w:rsid w:val="00F94B9D"/>
    <w:rsid w:val="00F95201"/>
    <w:rsid w:val="00F95211"/>
    <w:rsid w:val="00F95758"/>
    <w:rsid w:val="00F95831"/>
    <w:rsid w:val="00F95AD0"/>
    <w:rsid w:val="00F95BD1"/>
    <w:rsid w:val="00F95E85"/>
    <w:rsid w:val="00F95FD1"/>
    <w:rsid w:val="00F961A3"/>
    <w:rsid w:val="00F96245"/>
    <w:rsid w:val="00F962F0"/>
    <w:rsid w:val="00F9654B"/>
    <w:rsid w:val="00F96AB2"/>
    <w:rsid w:val="00F96B04"/>
    <w:rsid w:val="00F96B9F"/>
    <w:rsid w:val="00F96C2F"/>
    <w:rsid w:val="00F96E53"/>
    <w:rsid w:val="00F96F5A"/>
    <w:rsid w:val="00F96FBB"/>
    <w:rsid w:val="00F9716F"/>
    <w:rsid w:val="00F972E2"/>
    <w:rsid w:val="00F97427"/>
    <w:rsid w:val="00F975F5"/>
    <w:rsid w:val="00F97A32"/>
    <w:rsid w:val="00F97A43"/>
    <w:rsid w:val="00F97A53"/>
    <w:rsid w:val="00F97C02"/>
    <w:rsid w:val="00F97C30"/>
    <w:rsid w:val="00F97F5C"/>
    <w:rsid w:val="00FA024E"/>
    <w:rsid w:val="00FA02F2"/>
    <w:rsid w:val="00FA0316"/>
    <w:rsid w:val="00FA0319"/>
    <w:rsid w:val="00FA037D"/>
    <w:rsid w:val="00FA0608"/>
    <w:rsid w:val="00FA08D7"/>
    <w:rsid w:val="00FA0994"/>
    <w:rsid w:val="00FA0CAD"/>
    <w:rsid w:val="00FA0D2C"/>
    <w:rsid w:val="00FA0E18"/>
    <w:rsid w:val="00FA0E91"/>
    <w:rsid w:val="00FA1047"/>
    <w:rsid w:val="00FA1113"/>
    <w:rsid w:val="00FA11B6"/>
    <w:rsid w:val="00FA123D"/>
    <w:rsid w:val="00FA1596"/>
    <w:rsid w:val="00FA188D"/>
    <w:rsid w:val="00FA1AF3"/>
    <w:rsid w:val="00FA1BC8"/>
    <w:rsid w:val="00FA1C5F"/>
    <w:rsid w:val="00FA1E62"/>
    <w:rsid w:val="00FA1E7C"/>
    <w:rsid w:val="00FA1EE7"/>
    <w:rsid w:val="00FA2150"/>
    <w:rsid w:val="00FA24D6"/>
    <w:rsid w:val="00FA24EA"/>
    <w:rsid w:val="00FA254D"/>
    <w:rsid w:val="00FA2706"/>
    <w:rsid w:val="00FA2798"/>
    <w:rsid w:val="00FA27EB"/>
    <w:rsid w:val="00FA2880"/>
    <w:rsid w:val="00FA2A05"/>
    <w:rsid w:val="00FA2A46"/>
    <w:rsid w:val="00FA2B98"/>
    <w:rsid w:val="00FA346D"/>
    <w:rsid w:val="00FA3493"/>
    <w:rsid w:val="00FA35D1"/>
    <w:rsid w:val="00FA3914"/>
    <w:rsid w:val="00FA3C04"/>
    <w:rsid w:val="00FA3E0C"/>
    <w:rsid w:val="00FA3E98"/>
    <w:rsid w:val="00FA3F33"/>
    <w:rsid w:val="00FA407D"/>
    <w:rsid w:val="00FA428B"/>
    <w:rsid w:val="00FA4316"/>
    <w:rsid w:val="00FA4832"/>
    <w:rsid w:val="00FA49C2"/>
    <w:rsid w:val="00FA4AD7"/>
    <w:rsid w:val="00FA4B63"/>
    <w:rsid w:val="00FA4B70"/>
    <w:rsid w:val="00FA4CD2"/>
    <w:rsid w:val="00FA4E9D"/>
    <w:rsid w:val="00FA519B"/>
    <w:rsid w:val="00FA546E"/>
    <w:rsid w:val="00FA587F"/>
    <w:rsid w:val="00FA5A86"/>
    <w:rsid w:val="00FA5A90"/>
    <w:rsid w:val="00FA5C39"/>
    <w:rsid w:val="00FA5D6F"/>
    <w:rsid w:val="00FA5E8B"/>
    <w:rsid w:val="00FA5EAA"/>
    <w:rsid w:val="00FA60AE"/>
    <w:rsid w:val="00FA657F"/>
    <w:rsid w:val="00FA6602"/>
    <w:rsid w:val="00FA6765"/>
    <w:rsid w:val="00FA6A40"/>
    <w:rsid w:val="00FA6B0B"/>
    <w:rsid w:val="00FA6C99"/>
    <w:rsid w:val="00FA6DFE"/>
    <w:rsid w:val="00FA6F9A"/>
    <w:rsid w:val="00FA729B"/>
    <w:rsid w:val="00FA7549"/>
    <w:rsid w:val="00FA7758"/>
    <w:rsid w:val="00FA77D1"/>
    <w:rsid w:val="00FA79CE"/>
    <w:rsid w:val="00FA7BD7"/>
    <w:rsid w:val="00FA7ECC"/>
    <w:rsid w:val="00FA7FFA"/>
    <w:rsid w:val="00FB0631"/>
    <w:rsid w:val="00FB0638"/>
    <w:rsid w:val="00FB0646"/>
    <w:rsid w:val="00FB08E5"/>
    <w:rsid w:val="00FB0989"/>
    <w:rsid w:val="00FB0A56"/>
    <w:rsid w:val="00FB0AE9"/>
    <w:rsid w:val="00FB0BE6"/>
    <w:rsid w:val="00FB0D81"/>
    <w:rsid w:val="00FB0F82"/>
    <w:rsid w:val="00FB0FBC"/>
    <w:rsid w:val="00FB1087"/>
    <w:rsid w:val="00FB1197"/>
    <w:rsid w:val="00FB1244"/>
    <w:rsid w:val="00FB131B"/>
    <w:rsid w:val="00FB158F"/>
    <w:rsid w:val="00FB1621"/>
    <w:rsid w:val="00FB16C2"/>
    <w:rsid w:val="00FB1879"/>
    <w:rsid w:val="00FB1B66"/>
    <w:rsid w:val="00FB1D83"/>
    <w:rsid w:val="00FB22C2"/>
    <w:rsid w:val="00FB241A"/>
    <w:rsid w:val="00FB25DF"/>
    <w:rsid w:val="00FB2B9D"/>
    <w:rsid w:val="00FB2CC0"/>
    <w:rsid w:val="00FB2D0E"/>
    <w:rsid w:val="00FB2F38"/>
    <w:rsid w:val="00FB3012"/>
    <w:rsid w:val="00FB3270"/>
    <w:rsid w:val="00FB3390"/>
    <w:rsid w:val="00FB3431"/>
    <w:rsid w:val="00FB3853"/>
    <w:rsid w:val="00FB3D03"/>
    <w:rsid w:val="00FB4255"/>
    <w:rsid w:val="00FB4519"/>
    <w:rsid w:val="00FB4541"/>
    <w:rsid w:val="00FB4587"/>
    <w:rsid w:val="00FB48CC"/>
    <w:rsid w:val="00FB496D"/>
    <w:rsid w:val="00FB4AAF"/>
    <w:rsid w:val="00FB4B74"/>
    <w:rsid w:val="00FB4E3F"/>
    <w:rsid w:val="00FB4EBA"/>
    <w:rsid w:val="00FB4EC3"/>
    <w:rsid w:val="00FB4FAB"/>
    <w:rsid w:val="00FB51FC"/>
    <w:rsid w:val="00FB537C"/>
    <w:rsid w:val="00FB5819"/>
    <w:rsid w:val="00FB584A"/>
    <w:rsid w:val="00FB589E"/>
    <w:rsid w:val="00FB5916"/>
    <w:rsid w:val="00FB5A97"/>
    <w:rsid w:val="00FB5BE2"/>
    <w:rsid w:val="00FB5DF9"/>
    <w:rsid w:val="00FB5E54"/>
    <w:rsid w:val="00FB60ED"/>
    <w:rsid w:val="00FB6568"/>
    <w:rsid w:val="00FB67BD"/>
    <w:rsid w:val="00FB6830"/>
    <w:rsid w:val="00FB6853"/>
    <w:rsid w:val="00FB69A5"/>
    <w:rsid w:val="00FB69FD"/>
    <w:rsid w:val="00FB6C07"/>
    <w:rsid w:val="00FB6D55"/>
    <w:rsid w:val="00FB6FEA"/>
    <w:rsid w:val="00FB6FFA"/>
    <w:rsid w:val="00FB7296"/>
    <w:rsid w:val="00FB729F"/>
    <w:rsid w:val="00FB73E0"/>
    <w:rsid w:val="00FB743F"/>
    <w:rsid w:val="00FB746E"/>
    <w:rsid w:val="00FB753C"/>
    <w:rsid w:val="00FB75E8"/>
    <w:rsid w:val="00FB7623"/>
    <w:rsid w:val="00FB76DD"/>
    <w:rsid w:val="00FB76E6"/>
    <w:rsid w:val="00FB7A19"/>
    <w:rsid w:val="00FB7A6B"/>
    <w:rsid w:val="00FB7FD9"/>
    <w:rsid w:val="00FB8DD4"/>
    <w:rsid w:val="00FC0158"/>
    <w:rsid w:val="00FC025D"/>
    <w:rsid w:val="00FC03E2"/>
    <w:rsid w:val="00FC056A"/>
    <w:rsid w:val="00FC065A"/>
    <w:rsid w:val="00FC096B"/>
    <w:rsid w:val="00FC0977"/>
    <w:rsid w:val="00FC0AA9"/>
    <w:rsid w:val="00FC0BEF"/>
    <w:rsid w:val="00FC0C0B"/>
    <w:rsid w:val="00FC0C75"/>
    <w:rsid w:val="00FC0C8D"/>
    <w:rsid w:val="00FC0FC0"/>
    <w:rsid w:val="00FC10D5"/>
    <w:rsid w:val="00FC114F"/>
    <w:rsid w:val="00FC1304"/>
    <w:rsid w:val="00FC13F3"/>
    <w:rsid w:val="00FC144A"/>
    <w:rsid w:val="00FC14E1"/>
    <w:rsid w:val="00FC1569"/>
    <w:rsid w:val="00FC15A3"/>
    <w:rsid w:val="00FC1648"/>
    <w:rsid w:val="00FC1829"/>
    <w:rsid w:val="00FC1956"/>
    <w:rsid w:val="00FC199C"/>
    <w:rsid w:val="00FC1A96"/>
    <w:rsid w:val="00FC1B05"/>
    <w:rsid w:val="00FC1B5B"/>
    <w:rsid w:val="00FC1E12"/>
    <w:rsid w:val="00FC1EB4"/>
    <w:rsid w:val="00FC1F18"/>
    <w:rsid w:val="00FC20DC"/>
    <w:rsid w:val="00FC22CC"/>
    <w:rsid w:val="00FC2455"/>
    <w:rsid w:val="00FC245E"/>
    <w:rsid w:val="00FC24AC"/>
    <w:rsid w:val="00FC258B"/>
    <w:rsid w:val="00FC2618"/>
    <w:rsid w:val="00FC2662"/>
    <w:rsid w:val="00FC2917"/>
    <w:rsid w:val="00FC2BFC"/>
    <w:rsid w:val="00FC2C54"/>
    <w:rsid w:val="00FC2D1C"/>
    <w:rsid w:val="00FC2D23"/>
    <w:rsid w:val="00FC3283"/>
    <w:rsid w:val="00FC35FB"/>
    <w:rsid w:val="00FC368B"/>
    <w:rsid w:val="00FC36BA"/>
    <w:rsid w:val="00FC370A"/>
    <w:rsid w:val="00FC3764"/>
    <w:rsid w:val="00FC3B39"/>
    <w:rsid w:val="00FC3C07"/>
    <w:rsid w:val="00FC3E71"/>
    <w:rsid w:val="00FC3E9B"/>
    <w:rsid w:val="00FC3F11"/>
    <w:rsid w:val="00FC3F8E"/>
    <w:rsid w:val="00FC4127"/>
    <w:rsid w:val="00FC41C9"/>
    <w:rsid w:val="00FC44B6"/>
    <w:rsid w:val="00FC45C4"/>
    <w:rsid w:val="00FC4753"/>
    <w:rsid w:val="00FC48C5"/>
    <w:rsid w:val="00FC4945"/>
    <w:rsid w:val="00FC4E4F"/>
    <w:rsid w:val="00FC4E7C"/>
    <w:rsid w:val="00FC4F0C"/>
    <w:rsid w:val="00FC4F13"/>
    <w:rsid w:val="00FC4F80"/>
    <w:rsid w:val="00FC520A"/>
    <w:rsid w:val="00FC55F9"/>
    <w:rsid w:val="00FC56B5"/>
    <w:rsid w:val="00FC5883"/>
    <w:rsid w:val="00FC5967"/>
    <w:rsid w:val="00FC5969"/>
    <w:rsid w:val="00FC5E44"/>
    <w:rsid w:val="00FC5ED8"/>
    <w:rsid w:val="00FC652B"/>
    <w:rsid w:val="00FC6605"/>
    <w:rsid w:val="00FC6676"/>
    <w:rsid w:val="00FC6851"/>
    <w:rsid w:val="00FC69A4"/>
    <w:rsid w:val="00FC69BC"/>
    <w:rsid w:val="00FC6A3E"/>
    <w:rsid w:val="00FC6E1A"/>
    <w:rsid w:val="00FC7089"/>
    <w:rsid w:val="00FC729D"/>
    <w:rsid w:val="00FC7549"/>
    <w:rsid w:val="00FC774D"/>
    <w:rsid w:val="00FC78C7"/>
    <w:rsid w:val="00FC797F"/>
    <w:rsid w:val="00FC7A19"/>
    <w:rsid w:val="00FC7C78"/>
    <w:rsid w:val="00FC7F4C"/>
    <w:rsid w:val="00FD0267"/>
    <w:rsid w:val="00FD032E"/>
    <w:rsid w:val="00FD0408"/>
    <w:rsid w:val="00FD041F"/>
    <w:rsid w:val="00FD0441"/>
    <w:rsid w:val="00FD05B0"/>
    <w:rsid w:val="00FD0765"/>
    <w:rsid w:val="00FD0772"/>
    <w:rsid w:val="00FD07CD"/>
    <w:rsid w:val="00FD0983"/>
    <w:rsid w:val="00FD0ADB"/>
    <w:rsid w:val="00FD0B0F"/>
    <w:rsid w:val="00FD0B31"/>
    <w:rsid w:val="00FD0BE1"/>
    <w:rsid w:val="00FD0E14"/>
    <w:rsid w:val="00FD0EED"/>
    <w:rsid w:val="00FD0F43"/>
    <w:rsid w:val="00FD0FE4"/>
    <w:rsid w:val="00FD14C3"/>
    <w:rsid w:val="00FD14CC"/>
    <w:rsid w:val="00FD157E"/>
    <w:rsid w:val="00FD1582"/>
    <w:rsid w:val="00FD1A4F"/>
    <w:rsid w:val="00FD1AE1"/>
    <w:rsid w:val="00FD1F90"/>
    <w:rsid w:val="00FD207F"/>
    <w:rsid w:val="00FD2144"/>
    <w:rsid w:val="00FD221E"/>
    <w:rsid w:val="00FD2274"/>
    <w:rsid w:val="00FD22C3"/>
    <w:rsid w:val="00FD23C6"/>
    <w:rsid w:val="00FD243B"/>
    <w:rsid w:val="00FD25B5"/>
    <w:rsid w:val="00FD25EB"/>
    <w:rsid w:val="00FD26B0"/>
    <w:rsid w:val="00FD26EB"/>
    <w:rsid w:val="00FD2910"/>
    <w:rsid w:val="00FD2A11"/>
    <w:rsid w:val="00FD2A13"/>
    <w:rsid w:val="00FD2AE5"/>
    <w:rsid w:val="00FD2B71"/>
    <w:rsid w:val="00FD2D56"/>
    <w:rsid w:val="00FD2DF0"/>
    <w:rsid w:val="00FD2F87"/>
    <w:rsid w:val="00FD3054"/>
    <w:rsid w:val="00FD3115"/>
    <w:rsid w:val="00FD3216"/>
    <w:rsid w:val="00FD3276"/>
    <w:rsid w:val="00FD3288"/>
    <w:rsid w:val="00FD3693"/>
    <w:rsid w:val="00FD36DA"/>
    <w:rsid w:val="00FD38D4"/>
    <w:rsid w:val="00FD3A1F"/>
    <w:rsid w:val="00FD3CC0"/>
    <w:rsid w:val="00FD3D23"/>
    <w:rsid w:val="00FD3D92"/>
    <w:rsid w:val="00FD3F7D"/>
    <w:rsid w:val="00FD404F"/>
    <w:rsid w:val="00FD4222"/>
    <w:rsid w:val="00FD42FE"/>
    <w:rsid w:val="00FD4373"/>
    <w:rsid w:val="00FD43B8"/>
    <w:rsid w:val="00FD4913"/>
    <w:rsid w:val="00FD4A0E"/>
    <w:rsid w:val="00FD4AD3"/>
    <w:rsid w:val="00FD4B31"/>
    <w:rsid w:val="00FD4B41"/>
    <w:rsid w:val="00FD4B86"/>
    <w:rsid w:val="00FD4BB7"/>
    <w:rsid w:val="00FD4BC7"/>
    <w:rsid w:val="00FD4D69"/>
    <w:rsid w:val="00FD4D8C"/>
    <w:rsid w:val="00FD4ECC"/>
    <w:rsid w:val="00FD4F15"/>
    <w:rsid w:val="00FD4F8D"/>
    <w:rsid w:val="00FD5036"/>
    <w:rsid w:val="00FD5191"/>
    <w:rsid w:val="00FD53E6"/>
    <w:rsid w:val="00FD5450"/>
    <w:rsid w:val="00FD5528"/>
    <w:rsid w:val="00FD5627"/>
    <w:rsid w:val="00FD582E"/>
    <w:rsid w:val="00FD64E5"/>
    <w:rsid w:val="00FD6CD2"/>
    <w:rsid w:val="00FD6EAC"/>
    <w:rsid w:val="00FD6EC1"/>
    <w:rsid w:val="00FD6F1D"/>
    <w:rsid w:val="00FD71E5"/>
    <w:rsid w:val="00FD7242"/>
    <w:rsid w:val="00FD7571"/>
    <w:rsid w:val="00FD7679"/>
    <w:rsid w:val="00FD76D3"/>
    <w:rsid w:val="00FD78A5"/>
    <w:rsid w:val="00FD78DB"/>
    <w:rsid w:val="00FD78E9"/>
    <w:rsid w:val="00FD7968"/>
    <w:rsid w:val="00FD7AA0"/>
    <w:rsid w:val="00FD7EC7"/>
    <w:rsid w:val="00FD7ECE"/>
    <w:rsid w:val="00FE008A"/>
    <w:rsid w:val="00FE014C"/>
    <w:rsid w:val="00FE036D"/>
    <w:rsid w:val="00FE04D1"/>
    <w:rsid w:val="00FE0655"/>
    <w:rsid w:val="00FE065E"/>
    <w:rsid w:val="00FE06E5"/>
    <w:rsid w:val="00FE0F12"/>
    <w:rsid w:val="00FE0FFE"/>
    <w:rsid w:val="00FE1344"/>
    <w:rsid w:val="00FE15FE"/>
    <w:rsid w:val="00FE190E"/>
    <w:rsid w:val="00FE19A4"/>
    <w:rsid w:val="00FE1B3E"/>
    <w:rsid w:val="00FE1BFF"/>
    <w:rsid w:val="00FE1D45"/>
    <w:rsid w:val="00FE2086"/>
    <w:rsid w:val="00FE2126"/>
    <w:rsid w:val="00FE2139"/>
    <w:rsid w:val="00FE2190"/>
    <w:rsid w:val="00FE2199"/>
    <w:rsid w:val="00FE233B"/>
    <w:rsid w:val="00FE23B0"/>
    <w:rsid w:val="00FE26DF"/>
    <w:rsid w:val="00FE26EB"/>
    <w:rsid w:val="00FE2785"/>
    <w:rsid w:val="00FE28C6"/>
    <w:rsid w:val="00FE2B7C"/>
    <w:rsid w:val="00FE2CA4"/>
    <w:rsid w:val="00FE2CA6"/>
    <w:rsid w:val="00FE3018"/>
    <w:rsid w:val="00FE3106"/>
    <w:rsid w:val="00FE3170"/>
    <w:rsid w:val="00FE31AD"/>
    <w:rsid w:val="00FE3283"/>
    <w:rsid w:val="00FE33B2"/>
    <w:rsid w:val="00FE3400"/>
    <w:rsid w:val="00FE3431"/>
    <w:rsid w:val="00FE364D"/>
    <w:rsid w:val="00FE38EB"/>
    <w:rsid w:val="00FE39B2"/>
    <w:rsid w:val="00FE3EE3"/>
    <w:rsid w:val="00FE3F13"/>
    <w:rsid w:val="00FE41B1"/>
    <w:rsid w:val="00FE4473"/>
    <w:rsid w:val="00FE44A9"/>
    <w:rsid w:val="00FE4673"/>
    <w:rsid w:val="00FE4711"/>
    <w:rsid w:val="00FE480F"/>
    <w:rsid w:val="00FE4A22"/>
    <w:rsid w:val="00FE4CA7"/>
    <w:rsid w:val="00FE4D68"/>
    <w:rsid w:val="00FE4F17"/>
    <w:rsid w:val="00FE5031"/>
    <w:rsid w:val="00FE5065"/>
    <w:rsid w:val="00FE50B9"/>
    <w:rsid w:val="00FE51FB"/>
    <w:rsid w:val="00FE52A7"/>
    <w:rsid w:val="00FE53E4"/>
    <w:rsid w:val="00FE560E"/>
    <w:rsid w:val="00FE5670"/>
    <w:rsid w:val="00FE56E6"/>
    <w:rsid w:val="00FE5778"/>
    <w:rsid w:val="00FE5A6A"/>
    <w:rsid w:val="00FE5BDD"/>
    <w:rsid w:val="00FE5CDE"/>
    <w:rsid w:val="00FE5F4E"/>
    <w:rsid w:val="00FE5F8B"/>
    <w:rsid w:val="00FE612A"/>
    <w:rsid w:val="00FE61C7"/>
    <w:rsid w:val="00FE6340"/>
    <w:rsid w:val="00FE634A"/>
    <w:rsid w:val="00FE6533"/>
    <w:rsid w:val="00FE682A"/>
    <w:rsid w:val="00FE6BE6"/>
    <w:rsid w:val="00FE6C35"/>
    <w:rsid w:val="00FE6C64"/>
    <w:rsid w:val="00FE6DF9"/>
    <w:rsid w:val="00FE6E02"/>
    <w:rsid w:val="00FE6E67"/>
    <w:rsid w:val="00FE6E80"/>
    <w:rsid w:val="00FE6F0D"/>
    <w:rsid w:val="00FE6FDD"/>
    <w:rsid w:val="00FE7934"/>
    <w:rsid w:val="00FE7985"/>
    <w:rsid w:val="00FE7A36"/>
    <w:rsid w:val="00FE7F19"/>
    <w:rsid w:val="00FF008B"/>
    <w:rsid w:val="00FF00E4"/>
    <w:rsid w:val="00FF0651"/>
    <w:rsid w:val="00FF08D4"/>
    <w:rsid w:val="00FF08DE"/>
    <w:rsid w:val="00FF0A5A"/>
    <w:rsid w:val="00FF0B63"/>
    <w:rsid w:val="00FF0CDB"/>
    <w:rsid w:val="00FF0DC0"/>
    <w:rsid w:val="00FF101D"/>
    <w:rsid w:val="00FF1142"/>
    <w:rsid w:val="00FF1168"/>
    <w:rsid w:val="00FF12CD"/>
    <w:rsid w:val="00FF12EE"/>
    <w:rsid w:val="00FF14B2"/>
    <w:rsid w:val="00FF18AB"/>
    <w:rsid w:val="00FF2165"/>
    <w:rsid w:val="00FF2357"/>
    <w:rsid w:val="00FF23C3"/>
    <w:rsid w:val="00FF25C8"/>
    <w:rsid w:val="00FF27C1"/>
    <w:rsid w:val="00FF2B43"/>
    <w:rsid w:val="00FF2F0C"/>
    <w:rsid w:val="00FF34B2"/>
    <w:rsid w:val="00FF35B3"/>
    <w:rsid w:val="00FF3A89"/>
    <w:rsid w:val="00FF3B6D"/>
    <w:rsid w:val="00FF3E69"/>
    <w:rsid w:val="00FF3E9F"/>
    <w:rsid w:val="00FF414A"/>
    <w:rsid w:val="00FF439C"/>
    <w:rsid w:val="00FF49F6"/>
    <w:rsid w:val="00FF4CD6"/>
    <w:rsid w:val="00FF4DCF"/>
    <w:rsid w:val="00FF4EC5"/>
    <w:rsid w:val="00FF4FE4"/>
    <w:rsid w:val="00FF502F"/>
    <w:rsid w:val="00FF508B"/>
    <w:rsid w:val="00FF5090"/>
    <w:rsid w:val="00FF513E"/>
    <w:rsid w:val="00FF520B"/>
    <w:rsid w:val="00FF55F7"/>
    <w:rsid w:val="00FF5970"/>
    <w:rsid w:val="00FF5CCD"/>
    <w:rsid w:val="00FF5DD4"/>
    <w:rsid w:val="00FF5DF4"/>
    <w:rsid w:val="00FF5EBA"/>
    <w:rsid w:val="00FF5EF6"/>
    <w:rsid w:val="00FF5EF8"/>
    <w:rsid w:val="00FF5F4D"/>
    <w:rsid w:val="00FF62D1"/>
    <w:rsid w:val="00FF6672"/>
    <w:rsid w:val="00FF687D"/>
    <w:rsid w:val="00FF6C6E"/>
    <w:rsid w:val="00FF6CAB"/>
    <w:rsid w:val="00FF7123"/>
    <w:rsid w:val="00FF7171"/>
    <w:rsid w:val="00FF7180"/>
    <w:rsid w:val="00FF7243"/>
    <w:rsid w:val="00FF7355"/>
    <w:rsid w:val="00FF7421"/>
    <w:rsid w:val="00FF7514"/>
    <w:rsid w:val="00FF751D"/>
    <w:rsid w:val="00FF7740"/>
    <w:rsid w:val="00FF7796"/>
    <w:rsid w:val="00FF78E4"/>
    <w:rsid w:val="00FF7B01"/>
    <w:rsid w:val="00FF7B85"/>
    <w:rsid w:val="00FF7D7F"/>
    <w:rsid w:val="00FF7EB7"/>
    <w:rsid w:val="00FF7F06"/>
    <w:rsid w:val="00FF7FBC"/>
    <w:rsid w:val="01036FC7"/>
    <w:rsid w:val="0110B624"/>
    <w:rsid w:val="0115007A"/>
    <w:rsid w:val="0119B27C"/>
    <w:rsid w:val="011C0727"/>
    <w:rsid w:val="012300C8"/>
    <w:rsid w:val="012364FB"/>
    <w:rsid w:val="0123CF85"/>
    <w:rsid w:val="01251C27"/>
    <w:rsid w:val="0125E7F7"/>
    <w:rsid w:val="012AC330"/>
    <w:rsid w:val="01361F04"/>
    <w:rsid w:val="0137EDF0"/>
    <w:rsid w:val="01383027"/>
    <w:rsid w:val="013E82F1"/>
    <w:rsid w:val="0140F86D"/>
    <w:rsid w:val="014350D6"/>
    <w:rsid w:val="01451E79"/>
    <w:rsid w:val="01482ACC"/>
    <w:rsid w:val="014FBC28"/>
    <w:rsid w:val="0150B15C"/>
    <w:rsid w:val="0152CDC7"/>
    <w:rsid w:val="0157D8C5"/>
    <w:rsid w:val="01590C30"/>
    <w:rsid w:val="015DA11A"/>
    <w:rsid w:val="015EEB4D"/>
    <w:rsid w:val="01765C3A"/>
    <w:rsid w:val="01777B37"/>
    <w:rsid w:val="01790638"/>
    <w:rsid w:val="017977D2"/>
    <w:rsid w:val="017AFE76"/>
    <w:rsid w:val="018129B1"/>
    <w:rsid w:val="01820D8F"/>
    <w:rsid w:val="0185C1B1"/>
    <w:rsid w:val="018E59C4"/>
    <w:rsid w:val="0190ACC5"/>
    <w:rsid w:val="01957BDA"/>
    <w:rsid w:val="019823D5"/>
    <w:rsid w:val="019CF3AB"/>
    <w:rsid w:val="019EB73D"/>
    <w:rsid w:val="01A4DCF2"/>
    <w:rsid w:val="01A6FFD9"/>
    <w:rsid w:val="01AAF56D"/>
    <w:rsid w:val="01B1AC7C"/>
    <w:rsid w:val="01BC0BF1"/>
    <w:rsid w:val="01BC26FE"/>
    <w:rsid w:val="01BE90A6"/>
    <w:rsid w:val="01C0F6EF"/>
    <w:rsid w:val="01C272FC"/>
    <w:rsid w:val="01C56F5B"/>
    <w:rsid w:val="01CBEE71"/>
    <w:rsid w:val="01CC22B1"/>
    <w:rsid w:val="01D0DE66"/>
    <w:rsid w:val="01D20500"/>
    <w:rsid w:val="01D3F6E0"/>
    <w:rsid w:val="01D49DF9"/>
    <w:rsid w:val="01D5A938"/>
    <w:rsid w:val="01D5E1E8"/>
    <w:rsid w:val="01D8C7A6"/>
    <w:rsid w:val="01DB086E"/>
    <w:rsid w:val="01DB213C"/>
    <w:rsid w:val="01DF98CB"/>
    <w:rsid w:val="01E0A5A6"/>
    <w:rsid w:val="01E47A7E"/>
    <w:rsid w:val="01E6223E"/>
    <w:rsid w:val="01E76859"/>
    <w:rsid w:val="01EB2C91"/>
    <w:rsid w:val="01EF3E06"/>
    <w:rsid w:val="01F2F5D8"/>
    <w:rsid w:val="01F3D03E"/>
    <w:rsid w:val="01F8D4FA"/>
    <w:rsid w:val="01FD688D"/>
    <w:rsid w:val="01FEF29B"/>
    <w:rsid w:val="01FFE571"/>
    <w:rsid w:val="02053E83"/>
    <w:rsid w:val="0208A5C8"/>
    <w:rsid w:val="0208BD48"/>
    <w:rsid w:val="0214A427"/>
    <w:rsid w:val="0218701A"/>
    <w:rsid w:val="022320D8"/>
    <w:rsid w:val="022F5827"/>
    <w:rsid w:val="023019FA"/>
    <w:rsid w:val="0231E9D6"/>
    <w:rsid w:val="02367059"/>
    <w:rsid w:val="0238C751"/>
    <w:rsid w:val="024360FC"/>
    <w:rsid w:val="02469D89"/>
    <w:rsid w:val="024945AB"/>
    <w:rsid w:val="024E49DB"/>
    <w:rsid w:val="025036F1"/>
    <w:rsid w:val="02513970"/>
    <w:rsid w:val="0251E21F"/>
    <w:rsid w:val="025342A2"/>
    <w:rsid w:val="02539FC2"/>
    <w:rsid w:val="025585F7"/>
    <w:rsid w:val="02564450"/>
    <w:rsid w:val="0258BA54"/>
    <w:rsid w:val="025A0F3A"/>
    <w:rsid w:val="025AC851"/>
    <w:rsid w:val="025C1F51"/>
    <w:rsid w:val="025D8DDD"/>
    <w:rsid w:val="02690A00"/>
    <w:rsid w:val="026BF665"/>
    <w:rsid w:val="026D9279"/>
    <w:rsid w:val="02734BD7"/>
    <w:rsid w:val="027353B6"/>
    <w:rsid w:val="02749A87"/>
    <w:rsid w:val="02778689"/>
    <w:rsid w:val="027B6AD4"/>
    <w:rsid w:val="027CA3AF"/>
    <w:rsid w:val="0283E2DB"/>
    <w:rsid w:val="028C138E"/>
    <w:rsid w:val="028D1928"/>
    <w:rsid w:val="02905123"/>
    <w:rsid w:val="02929F16"/>
    <w:rsid w:val="0295CEC8"/>
    <w:rsid w:val="0296E1E6"/>
    <w:rsid w:val="02982C9B"/>
    <w:rsid w:val="029A739F"/>
    <w:rsid w:val="029C8FA9"/>
    <w:rsid w:val="02A97563"/>
    <w:rsid w:val="02AD1577"/>
    <w:rsid w:val="02AE3DE3"/>
    <w:rsid w:val="02AFEFA9"/>
    <w:rsid w:val="02B08692"/>
    <w:rsid w:val="02B0A8A7"/>
    <w:rsid w:val="02B5893D"/>
    <w:rsid w:val="02B5F384"/>
    <w:rsid w:val="02B8E392"/>
    <w:rsid w:val="02B9AC7F"/>
    <w:rsid w:val="02BA06B4"/>
    <w:rsid w:val="02BA7052"/>
    <w:rsid w:val="02BF2C9B"/>
    <w:rsid w:val="02CD8940"/>
    <w:rsid w:val="02D0A378"/>
    <w:rsid w:val="02D5583E"/>
    <w:rsid w:val="02D9B573"/>
    <w:rsid w:val="02DB4EEE"/>
    <w:rsid w:val="02DF25A5"/>
    <w:rsid w:val="02E18023"/>
    <w:rsid w:val="02E9376E"/>
    <w:rsid w:val="02E961B8"/>
    <w:rsid w:val="02EB1709"/>
    <w:rsid w:val="02EE0564"/>
    <w:rsid w:val="02EFBA3D"/>
    <w:rsid w:val="02F15939"/>
    <w:rsid w:val="02F1DFE7"/>
    <w:rsid w:val="02F37DEC"/>
    <w:rsid w:val="02FBA3A4"/>
    <w:rsid w:val="02FDC80E"/>
    <w:rsid w:val="02FF98BA"/>
    <w:rsid w:val="0306C984"/>
    <w:rsid w:val="030760E3"/>
    <w:rsid w:val="03099CCA"/>
    <w:rsid w:val="031015F4"/>
    <w:rsid w:val="03102945"/>
    <w:rsid w:val="0316962E"/>
    <w:rsid w:val="031729CD"/>
    <w:rsid w:val="0318858F"/>
    <w:rsid w:val="031B10D5"/>
    <w:rsid w:val="031DEEAA"/>
    <w:rsid w:val="032A7149"/>
    <w:rsid w:val="032B2445"/>
    <w:rsid w:val="032E4422"/>
    <w:rsid w:val="032F3511"/>
    <w:rsid w:val="0335E5E0"/>
    <w:rsid w:val="033C6336"/>
    <w:rsid w:val="033E4EC1"/>
    <w:rsid w:val="0347FC43"/>
    <w:rsid w:val="034B870E"/>
    <w:rsid w:val="034E70D3"/>
    <w:rsid w:val="0350141A"/>
    <w:rsid w:val="03524B13"/>
    <w:rsid w:val="03548990"/>
    <w:rsid w:val="035ABF0F"/>
    <w:rsid w:val="035B611F"/>
    <w:rsid w:val="035D267B"/>
    <w:rsid w:val="035DD012"/>
    <w:rsid w:val="03616B91"/>
    <w:rsid w:val="0361B398"/>
    <w:rsid w:val="03650462"/>
    <w:rsid w:val="036A5741"/>
    <w:rsid w:val="036AA049"/>
    <w:rsid w:val="03730F54"/>
    <w:rsid w:val="0383E440"/>
    <w:rsid w:val="03855EF4"/>
    <w:rsid w:val="03880000"/>
    <w:rsid w:val="038A2FEE"/>
    <w:rsid w:val="038B5213"/>
    <w:rsid w:val="038FDED5"/>
    <w:rsid w:val="039042AF"/>
    <w:rsid w:val="0392C790"/>
    <w:rsid w:val="0392D265"/>
    <w:rsid w:val="03979E73"/>
    <w:rsid w:val="03A28973"/>
    <w:rsid w:val="03A36F8C"/>
    <w:rsid w:val="03A626B9"/>
    <w:rsid w:val="03AA11AF"/>
    <w:rsid w:val="03AC726D"/>
    <w:rsid w:val="03B4B6CE"/>
    <w:rsid w:val="03B6807B"/>
    <w:rsid w:val="03B78B20"/>
    <w:rsid w:val="03B8371D"/>
    <w:rsid w:val="03B86872"/>
    <w:rsid w:val="03BAC09B"/>
    <w:rsid w:val="03BBC40D"/>
    <w:rsid w:val="03C3766B"/>
    <w:rsid w:val="03C43909"/>
    <w:rsid w:val="03C55DB5"/>
    <w:rsid w:val="03C95D9E"/>
    <w:rsid w:val="03C99A80"/>
    <w:rsid w:val="03D03047"/>
    <w:rsid w:val="03D1BEDC"/>
    <w:rsid w:val="03D40289"/>
    <w:rsid w:val="03DFD476"/>
    <w:rsid w:val="03E38CB2"/>
    <w:rsid w:val="03E6A56E"/>
    <w:rsid w:val="03EB1197"/>
    <w:rsid w:val="03F33C5A"/>
    <w:rsid w:val="03F5C744"/>
    <w:rsid w:val="03F73D26"/>
    <w:rsid w:val="03F988B8"/>
    <w:rsid w:val="03FAE8A5"/>
    <w:rsid w:val="03FB90A6"/>
    <w:rsid w:val="03FC4B50"/>
    <w:rsid w:val="0400322F"/>
    <w:rsid w:val="0408F7B8"/>
    <w:rsid w:val="040ADDB2"/>
    <w:rsid w:val="04193ED9"/>
    <w:rsid w:val="04286DC6"/>
    <w:rsid w:val="04292852"/>
    <w:rsid w:val="042A7147"/>
    <w:rsid w:val="042F1ED3"/>
    <w:rsid w:val="0430AC91"/>
    <w:rsid w:val="04315914"/>
    <w:rsid w:val="0431CF4F"/>
    <w:rsid w:val="04330FEE"/>
    <w:rsid w:val="0433933D"/>
    <w:rsid w:val="043A024B"/>
    <w:rsid w:val="043A1F02"/>
    <w:rsid w:val="043ADF72"/>
    <w:rsid w:val="043C8170"/>
    <w:rsid w:val="043D08BA"/>
    <w:rsid w:val="043F638B"/>
    <w:rsid w:val="04443822"/>
    <w:rsid w:val="044644F4"/>
    <w:rsid w:val="04468CF5"/>
    <w:rsid w:val="044D06DE"/>
    <w:rsid w:val="0453B281"/>
    <w:rsid w:val="0454E1CD"/>
    <w:rsid w:val="0455CFBB"/>
    <w:rsid w:val="045717C1"/>
    <w:rsid w:val="045981AB"/>
    <w:rsid w:val="045A0398"/>
    <w:rsid w:val="045CC4F7"/>
    <w:rsid w:val="04612A52"/>
    <w:rsid w:val="0464E6DD"/>
    <w:rsid w:val="046FB4B0"/>
    <w:rsid w:val="04704C28"/>
    <w:rsid w:val="04726409"/>
    <w:rsid w:val="04781199"/>
    <w:rsid w:val="047850CF"/>
    <w:rsid w:val="047C5585"/>
    <w:rsid w:val="048B8B6B"/>
    <w:rsid w:val="048FC355"/>
    <w:rsid w:val="0490510B"/>
    <w:rsid w:val="0490E1C5"/>
    <w:rsid w:val="0491E571"/>
    <w:rsid w:val="049CB16B"/>
    <w:rsid w:val="049DD3AC"/>
    <w:rsid w:val="04A119B3"/>
    <w:rsid w:val="04A489D3"/>
    <w:rsid w:val="04A598E2"/>
    <w:rsid w:val="04A85C86"/>
    <w:rsid w:val="04A86301"/>
    <w:rsid w:val="04A9D50A"/>
    <w:rsid w:val="04AAA5BC"/>
    <w:rsid w:val="04AC0CF8"/>
    <w:rsid w:val="04BEC339"/>
    <w:rsid w:val="04C44C7A"/>
    <w:rsid w:val="04C8660F"/>
    <w:rsid w:val="04C991EE"/>
    <w:rsid w:val="04CDD224"/>
    <w:rsid w:val="04D52DB6"/>
    <w:rsid w:val="04D7244A"/>
    <w:rsid w:val="04D97260"/>
    <w:rsid w:val="04E5B0C6"/>
    <w:rsid w:val="04EBFCBA"/>
    <w:rsid w:val="04ECB433"/>
    <w:rsid w:val="04ED3259"/>
    <w:rsid w:val="04F1E7BC"/>
    <w:rsid w:val="04F32D77"/>
    <w:rsid w:val="04F36425"/>
    <w:rsid w:val="04FB08ED"/>
    <w:rsid w:val="05020CE8"/>
    <w:rsid w:val="05021B06"/>
    <w:rsid w:val="0505F136"/>
    <w:rsid w:val="050B9815"/>
    <w:rsid w:val="05126A8E"/>
    <w:rsid w:val="05128D79"/>
    <w:rsid w:val="051B464D"/>
    <w:rsid w:val="051C1ADE"/>
    <w:rsid w:val="051CA429"/>
    <w:rsid w:val="051DC7EB"/>
    <w:rsid w:val="0521D710"/>
    <w:rsid w:val="05263D6B"/>
    <w:rsid w:val="0526718E"/>
    <w:rsid w:val="052861E6"/>
    <w:rsid w:val="052AA49C"/>
    <w:rsid w:val="0533FC01"/>
    <w:rsid w:val="05361012"/>
    <w:rsid w:val="053655B8"/>
    <w:rsid w:val="0539E950"/>
    <w:rsid w:val="053A81FF"/>
    <w:rsid w:val="053DD364"/>
    <w:rsid w:val="053E93F8"/>
    <w:rsid w:val="053F3CF3"/>
    <w:rsid w:val="0549586C"/>
    <w:rsid w:val="0549C146"/>
    <w:rsid w:val="054ACC57"/>
    <w:rsid w:val="054CDB6F"/>
    <w:rsid w:val="0550A50D"/>
    <w:rsid w:val="0550E69E"/>
    <w:rsid w:val="0555EA5D"/>
    <w:rsid w:val="0559A4FE"/>
    <w:rsid w:val="055DE4BD"/>
    <w:rsid w:val="0569E699"/>
    <w:rsid w:val="056FBCCF"/>
    <w:rsid w:val="057413AD"/>
    <w:rsid w:val="057946F7"/>
    <w:rsid w:val="057B845C"/>
    <w:rsid w:val="057B9944"/>
    <w:rsid w:val="05805DF1"/>
    <w:rsid w:val="05816985"/>
    <w:rsid w:val="0582964F"/>
    <w:rsid w:val="058CD527"/>
    <w:rsid w:val="058D1295"/>
    <w:rsid w:val="05926B48"/>
    <w:rsid w:val="05949FA0"/>
    <w:rsid w:val="0596581B"/>
    <w:rsid w:val="05973B2E"/>
    <w:rsid w:val="0599CB45"/>
    <w:rsid w:val="05A725F9"/>
    <w:rsid w:val="05A79173"/>
    <w:rsid w:val="05A824E6"/>
    <w:rsid w:val="05A87D8A"/>
    <w:rsid w:val="05B2D388"/>
    <w:rsid w:val="05B4805E"/>
    <w:rsid w:val="05B56112"/>
    <w:rsid w:val="05B9BFDC"/>
    <w:rsid w:val="05BA046E"/>
    <w:rsid w:val="05C567CC"/>
    <w:rsid w:val="05CA2324"/>
    <w:rsid w:val="05CB5570"/>
    <w:rsid w:val="05CBF507"/>
    <w:rsid w:val="05CE15D3"/>
    <w:rsid w:val="05D35730"/>
    <w:rsid w:val="05D9883F"/>
    <w:rsid w:val="05D9B0AF"/>
    <w:rsid w:val="05E6B1E2"/>
    <w:rsid w:val="05EA0EF9"/>
    <w:rsid w:val="05EC9D29"/>
    <w:rsid w:val="05F5CFA5"/>
    <w:rsid w:val="05F6117B"/>
    <w:rsid w:val="05F8A77F"/>
    <w:rsid w:val="05FDCC6D"/>
    <w:rsid w:val="05FE3641"/>
    <w:rsid w:val="06015EFA"/>
    <w:rsid w:val="0606C1B6"/>
    <w:rsid w:val="0608BFAB"/>
    <w:rsid w:val="0609D2FC"/>
    <w:rsid w:val="060BE8DB"/>
    <w:rsid w:val="060D18A8"/>
    <w:rsid w:val="06118D6E"/>
    <w:rsid w:val="0611E91C"/>
    <w:rsid w:val="06132C48"/>
    <w:rsid w:val="06148D5E"/>
    <w:rsid w:val="06198C3A"/>
    <w:rsid w:val="061B3FE0"/>
    <w:rsid w:val="061BF439"/>
    <w:rsid w:val="061D8C33"/>
    <w:rsid w:val="061E35B9"/>
    <w:rsid w:val="061EB35A"/>
    <w:rsid w:val="06205846"/>
    <w:rsid w:val="0625AE30"/>
    <w:rsid w:val="06296C64"/>
    <w:rsid w:val="062972CB"/>
    <w:rsid w:val="062BDF2C"/>
    <w:rsid w:val="0632D232"/>
    <w:rsid w:val="06337952"/>
    <w:rsid w:val="0636E359"/>
    <w:rsid w:val="06394664"/>
    <w:rsid w:val="063C91A1"/>
    <w:rsid w:val="063DC5BF"/>
    <w:rsid w:val="06403E3E"/>
    <w:rsid w:val="064A8C56"/>
    <w:rsid w:val="064C6D06"/>
    <w:rsid w:val="064DD1A6"/>
    <w:rsid w:val="064E008B"/>
    <w:rsid w:val="0657EB8D"/>
    <w:rsid w:val="065B6D5C"/>
    <w:rsid w:val="065CE8E4"/>
    <w:rsid w:val="06653127"/>
    <w:rsid w:val="066C4823"/>
    <w:rsid w:val="066DF585"/>
    <w:rsid w:val="0671BC16"/>
    <w:rsid w:val="06722507"/>
    <w:rsid w:val="067263E9"/>
    <w:rsid w:val="0674E9BB"/>
    <w:rsid w:val="067A3393"/>
    <w:rsid w:val="067F1F11"/>
    <w:rsid w:val="06835995"/>
    <w:rsid w:val="06838AE2"/>
    <w:rsid w:val="0685A567"/>
    <w:rsid w:val="068AB738"/>
    <w:rsid w:val="068BACCE"/>
    <w:rsid w:val="068EC0E2"/>
    <w:rsid w:val="0698693D"/>
    <w:rsid w:val="06998C9A"/>
    <w:rsid w:val="069B0A6B"/>
    <w:rsid w:val="069C471A"/>
    <w:rsid w:val="06A62B46"/>
    <w:rsid w:val="06AC0F9D"/>
    <w:rsid w:val="06B663ED"/>
    <w:rsid w:val="06B6D8EE"/>
    <w:rsid w:val="06B7544E"/>
    <w:rsid w:val="06C16CAA"/>
    <w:rsid w:val="06C3E547"/>
    <w:rsid w:val="06C6C474"/>
    <w:rsid w:val="06C6C5BF"/>
    <w:rsid w:val="06C85013"/>
    <w:rsid w:val="06C9689A"/>
    <w:rsid w:val="06D1EDD7"/>
    <w:rsid w:val="06D4D965"/>
    <w:rsid w:val="06D641C8"/>
    <w:rsid w:val="06D83FC5"/>
    <w:rsid w:val="06D87C16"/>
    <w:rsid w:val="06D950FA"/>
    <w:rsid w:val="06DD523B"/>
    <w:rsid w:val="06E0AB56"/>
    <w:rsid w:val="06E8CF00"/>
    <w:rsid w:val="06EB7DA3"/>
    <w:rsid w:val="06EC5CF0"/>
    <w:rsid w:val="06EE5907"/>
    <w:rsid w:val="06EF7986"/>
    <w:rsid w:val="06EFEC19"/>
    <w:rsid w:val="06F424A8"/>
    <w:rsid w:val="06F4D440"/>
    <w:rsid w:val="06F5E512"/>
    <w:rsid w:val="06F88DBD"/>
    <w:rsid w:val="06FD7704"/>
    <w:rsid w:val="0700D9C3"/>
    <w:rsid w:val="07010A36"/>
    <w:rsid w:val="070269B5"/>
    <w:rsid w:val="0702B319"/>
    <w:rsid w:val="070D3A40"/>
    <w:rsid w:val="070F0FF3"/>
    <w:rsid w:val="070F3A42"/>
    <w:rsid w:val="0713861F"/>
    <w:rsid w:val="07141D97"/>
    <w:rsid w:val="0714D9EF"/>
    <w:rsid w:val="07183413"/>
    <w:rsid w:val="07185533"/>
    <w:rsid w:val="07190682"/>
    <w:rsid w:val="071B0BA5"/>
    <w:rsid w:val="071BD730"/>
    <w:rsid w:val="071CFDF8"/>
    <w:rsid w:val="071F0657"/>
    <w:rsid w:val="07235DD2"/>
    <w:rsid w:val="0723F556"/>
    <w:rsid w:val="07257A3C"/>
    <w:rsid w:val="0726A6CF"/>
    <w:rsid w:val="0727E6D2"/>
    <w:rsid w:val="07280DFF"/>
    <w:rsid w:val="0729C018"/>
    <w:rsid w:val="072B2B0A"/>
    <w:rsid w:val="072CBC1D"/>
    <w:rsid w:val="0732FEEC"/>
    <w:rsid w:val="07351C81"/>
    <w:rsid w:val="073673F9"/>
    <w:rsid w:val="07380A42"/>
    <w:rsid w:val="074076DA"/>
    <w:rsid w:val="0745B05F"/>
    <w:rsid w:val="074670E1"/>
    <w:rsid w:val="0753390F"/>
    <w:rsid w:val="0753ED51"/>
    <w:rsid w:val="075AC23A"/>
    <w:rsid w:val="075B3A5E"/>
    <w:rsid w:val="07600294"/>
    <w:rsid w:val="07604C9C"/>
    <w:rsid w:val="07653FB2"/>
    <w:rsid w:val="0767F9BC"/>
    <w:rsid w:val="07681447"/>
    <w:rsid w:val="0768255A"/>
    <w:rsid w:val="076A197B"/>
    <w:rsid w:val="076AADF7"/>
    <w:rsid w:val="076B0354"/>
    <w:rsid w:val="07701A35"/>
    <w:rsid w:val="077661EF"/>
    <w:rsid w:val="077686D6"/>
    <w:rsid w:val="078024FF"/>
    <w:rsid w:val="078C4E56"/>
    <w:rsid w:val="078D1CBC"/>
    <w:rsid w:val="0795CA04"/>
    <w:rsid w:val="07966C14"/>
    <w:rsid w:val="0796F83C"/>
    <w:rsid w:val="07979F21"/>
    <w:rsid w:val="07988B05"/>
    <w:rsid w:val="079A9B6C"/>
    <w:rsid w:val="079B3942"/>
    <w:rsid w:val="07A14670"/>
    <w:rsid w:val="07A3BFFB"/>
    <w:rsid w:val="07A3C34F"/>
    <w:rsid w:val="07AB6273"/>
    <w:rsid w:val="07ACAB61"/>
    <w:rsid w:val="07B0A4B4"/>
    <w:rsid w:val="07B23EB6"/>
    <w:rsid w:val="07B541DD"/>
    <w:rsid w:val="07BB9606"/>
    <w:rsid w:val="07BB9CC2"/>
    <w:rsid w:val="07C4D473"/>
    <w:rsid w:val="07CB0699"/>
    <w:rsid w:val="07CDEBFC"/>
    <w:rsid w:val="07CE648D"/>
    <w:rsid w:val="07D2A19B"/>
    <w:rsid w:val="07D48467"/>
    <w:rsid w:val="07D59905"/>
    <w:rsid w:val="07D637F3"/>
    <w:rsid w:val="07D8E02D"/>
    <w:rsid w:val="07DF9B6F"/>
    <w:rsid w:val="07E40527"/>
    <w:rsid w:val="07E73B7D"/>
    <w:rsid w:val="07E7CF05"/>
    <w:rsid w:val="07EA90F0"/>
    <w:rsid w:val="07EF578F"/>
    <w:rsid w:val="07F2B548"/>
    <w:rsid w:val="07F7655F"/>
    <w:rsid w:val="07F8D0DD"/>
    <w:rsid w:val="07FFF98F"/>
    <w:rsid w:val="0802D570"/>
    <w:rsid w:val="08051EF9"/>
    <w:rsid w:val="0805A1C6"/>
    <w:rsid w:val="0806A53E"/>
    <w:rsid w:val="0808DCA9"/>
    <w:rsid w:val="080C0E6F"/>
    <w:rsid w:val="08104D10"/>
    <w:rsid w:val="081083FE"/>
    <w:rsid w:val="0810B1A6"/>
    <w:rsid w:val="08124025"/>
    <w:rsid w:val="0814D81A"/>
    <w:rsid w:val="081857D1"/>
    <w:rsid w:val="081977C4"/>
    <w:rsid w:val="081B584C"/>
    <w:rsid w:val="081C5FFE"/>
    <w:rsid w:val="082558DE"/>
    <w:rsid w:val="08259D48"/>
    <w:rsid w:val="08289EAB"/>
    <w:rsid w:val="082B0D21"/>
    <w:rsid w:val="08339B3D"/>
    <w:rsid w:val="084191A2"/>
    <w:rsid w:val="0847CD2E"/>
    <w:rsid w:val="084A0829"/>
    <w:rsid w:val="084B71C8"/>
    <w:rsid w:val="084E1A47"/>
    <w:rsid w:val="084FD4EF"/>
    <w:rsid w:val="0851F8E8"/>
    <w:rsid w:val="08584AB9"/>
    <w:rsid w:val="08625D77"/>
    <w:rsid w:val="0869742E"/>
    <w:rsid w:val="086B452E"/>
    <w:rsid w:val="086DBDF8"/>
    <w:rsid w:val="086FAD1A"/>
    <w:rsid w:val="08718C0E"/>
    <w:rsid w:val="0872AF60"/>
    <w:rsid w:val="08732B7C"/>
    <w:rsid w:val="0874E765"/>
    <w:rsid w:val="087A87C7"/>
    <w:rsid w:val="087ABDBA"/>
    <w:rsid w:val="087E1032"/>
    <w:rsid w:val="08828A8F"/>
    <w:rsid w:val="08868D07"/>
    <w:rsid w:val="08884161"/>
    <w:rsid w:val="08896BBB"/>
    <w:rsid w:val="0889A078"/>
    <w:rsid w:val="088BFF7B"/>
    <w:rsid w:val="08948D86"/>
    <w:rsid w:val="08983211"/>
    <w:rsid w:val="089FB5E8"/>
    <w:rsid w:val="08A19790"/>
    <w:rsid w:val="08A3B3EC"/>
    <w:rsid w:val="08A4DAF2"/>
    <w:rsid w:val="08A5DB87"/>
    <w:rsid w:val="08A65A86"/>
    <w:rsid w:val="08AFBD18"/>
    <w:rsid w:val="08B4B979"/>
    <w:rsid w:val="08B79BE4"/>
    <w:rsid w:val="08BD3F97"/>
    <w:rsid w:val="08C17B11"/>
    <w:rsid w:val="08C6C1E2"/>
    <w:rsid w:val="08C9C132"/>
    <w:rsid w:val="08D0C78B"/>
    <w:rsid w:val="08D31255"/>
    <w:rsid w:val="08DD6E1E"/>
    <w:rsid w:val="08DDD117"/>
    <w:rsid w:val="08DFA13B"/>
    <w:rsid w:val="08EE81BD"/>
    <w:rsid w:val="08F063C3"/>
    <w:rsid w:val="08F73E78"/>
    <w:rsid w:val="08FA2C2D"/>
    <w:rsid w:val="08FF442B"/>
    <w:rsid w:val="090332A5"/>
    <w:rsid w:val="09041DB4"/>
    <w:rsid w:val="09050C22"/>
    <w:rsid w:val="090980A0"/>
    <w:rsid w:val="09101543"/>
    <w:rsid w:val="0910DB69"/>
    <w:rsid w:val="0915278F"/>
    <w:rsid w:val="091E7A7E"/>
    <w:rsid w:val="09269038"/>
    <w:rsid w:val="092A96DF"/>
    <w:rsid w:val="092B2BA0"/>
    <w:rsid w:val="092B375D"/>
    <w:rsid w:val="09344A1F"/>
    <w:rsid w:val="093536AE"/>
    <w:rsid w:val="093F3BEA"/>
    <w:rsid w:val="09422CF6"/>
    <w:rsid w:val="0947BCAE"/>
    <w:rsid w:val="0947CA00"/>
    <w:rsid w:val="094CB806"/>
    <w:rsid w:val="0951B254"/>
    <w:rsid w:val="09562712"/>
    <w:rsid w:val="0958ECB1"/>
    <w:rsid w:val="095E6516"/>
    <w:rsid w:val="0962F70C"/>
    <w:rsid w:val="096675A7"/>
    <w:rsid w:val="0966A4EE"/>
    <w:rsid w:val="09729C49"/>
    <w:rsid w:val="0975D3BE"/>
    <w:rsid w:val="0976A009"/>
    <w:rsid w:val="09777A59"/>
    <w:rsid w:val="097CAFBC"/>
    <w:rsid w:val="097D9A33"/>
    <w:rsid w:val="098469AF"/>
    <w:rsid w:val="0985E1D8"/>
    <w:rsid w:val="098A45BA"/>
    <w:rsid w:val="098AD777"/>
    <w:rsid w:val="098FF0B3"/>
    <w:rsid w:val="0990AE2D"/>
    <w:rsid w:val="09919ED5"/>
    <w:rsid w:val="09930858"/>
    <w:rsid w:val="09951A5A"/>
    <w:rsid w:val="099585C5"/>
    <w:rsid w:val="099A1FC7"/>
    <w:rsid w:val="09A28724"/>
    <w:rsid w:val="09A2C79E"/>
    <w:rsid w:val="09A36E13"/>
    <w:rsid w:val="09A4423C"/>
    <w:rsid w:val="09A51B80"/>
    <w:rsid w:val="09A5545D"/>
    <w:rsid w:val="09A650DB"/>
    <w:rsid w:val="09B00246"/>
    <w:rsid w:val="09BB2E34"/>
    <w:rsid w:val="09BC15A7"/>
    <w:rsid w:val="09BC1700"/>
    <w:rsid w:val="09BCF3A1"/>
    <w:rsid w:val="09C54C44"/>
    <w:rsid w:val="09CDB25E"/>
    <w:rsid w:val="09D02E2C"/>
    <w:rsid w:val="09D06C5F"/>
    <w:rsid w:val="09D41EA8"/>
    <w:rsid w:val="09DB6817"/>
    <w:rsid w:val="09DC896A"/>
    <w:rsid w:val="09DFF68A"/>
    <w:rsid w:val="09E02E6F"/>
    <w:rsid w:val="09ECD8C5"/>
    <w:rsid w:val="09EEED66"/>
    <w:rsid w:val="09F19DDD"/>
    <w:rsid w:val="09FB1C39"/>
    <w:rsid w:val="09FCB192"/>
    <w:rsid w:val="09FEEAA0"/>
    <w:rsid w:val="0A03A780"/>
    <w:rsid w:val="0A08F1BF"/>
    <w:rsid w:val="0A0E2F54"/>
    <w:rsid w:val="0A242E68"/>
    <w:rsid w:val="0A249620"/>
    <w:rsid w:val="0A2724E0"/>
    <w:rsid w:val="0A29483C"/>
    <w:rsid w:val="0A29E5BE"/>
    <w:rsid w:val="0A2A8977"/>
    <w:rsid w:val="0A2CA8F3"/>
    <w:rsid w:val="0A3044BB"/>
    <w:rsid w:val="0A3A46BB"/>
    <w:rsid w:val="0A40ABAC"/>
    <w:rsid w:val="0A40B1E7"/>
    <w:rsid w:val="0A42B2E2"/>
    <w:rsid w:val="0A47AFE5"/>
    <w:rsid w:val="0A4BDD12"/>
    <w:rsid w:val="0A4F77D3"/>
    <w:rsid w:val="0A509055"/>
    <w:rsid w:val="0A51B5D0"/>
    <w:rsid w:val="0A51DF8A"/>
    <w:rsid w:val="0A545F2F"/>
    <w:rsid w:val="0A5624ED"/>
    <w:rsid w:val="0A5922FC"/>
    <w:rsid w:val="0A5D18A1"/>
    <w:rsid w:val="0A5F8EFC"/>
    <w:rsid w:val="0A621289"/>
    <w:rsid w:val="0A6399B6"/>
    <w:rsid w:val="0A6481B0"/>
    <w:rsid w:val="0A6E165B"/>
    <w:rsid w:val="0A6F7E2A"/>
    <w:rsid w:val="0A79E45C"/>
    <w:rsid w:val="0A7A9610"/>
    <w:rsid w:val="0A801C11"/>
    <w:rsid w:val="0A829064"/>
    <w:rsid w:val="0A8B5615"/>
    <w:rsid w:val="0A8BE125"/>
    <w:rsid w:val="0A9A303E"/>
    <w:rsid w:val="0A9D0F28"/>
    <w:rsid w:val="0A9EA8F7"/>
    <w:rsid w:val="0AA12D79"/>
    <w:rsid w:val="0AAE24B5"/>
    <w:rsid w:val="0AB1A68D"/>
    <w:rsid w:val="0AB60BE2"/>
    <w:rsid w:val="0AB6B4DA"/>
    <w:rsid w:val="0AB71506"/>
    <w:rsid w:val="0AB79AEB"/>
    <w:rsid w:val="0AB97123"/>
    <w:rsid w:val="0ABEAC8B"/>
    <w:rsid w:val="0AC47C94"/>
    <w:rsid w:val="0AC659C0"/>
    <w:rsid w:val="0AC68188"/>
    <w:rsid w:val="0AC7B3E2"/>
    <w:rsid w:val="0AC7B7FF"/>
    <w:rsid w:val="0ACA000B"/>
    <w:rsid w:val="0ACC6493"/>
    <w:rsid w:val="0AD00F9B"/>
    <w:rsid w:val="0AD0F69B"/>
    <w:rsid w:val="0AD14090"/>
    <w:rsid w:val="0AD2402A"/>
    <w:rsid w:val="0AD98A4E"/>
    <w:rsid w:val="0AE13D7F"/>
    <w:rsid w:val="0AECE45E"/>
    <w:rsid w:val="0AEE3E12"/>
    <w:rsid w:val="0AF3E60F"/>
    <w:rsid w:val="0AF832A1"/>
    <w:rsid w:val="0AFE3B12"/>
    <w:rsid w:val="0B0B72D9"/>
    <w:rsid w:val="0B0BE3A9"/>
    <w:rsid w:val="0B112ACC"/>
    <w:rsid w:val="0B124A27"/>
    <w:rsid w:val="0B1AB704"/>
    <w:rsid w:val="0B1C15EA"/>
    <w:rsid w:val="0B1D5F86"/>
    <w:rsid w:val="0B201A43"/>
    <w:rsid w:val="0B208175"/>
    <w:rsid w:val="0B2B5C6D"/>
    <w:rsid w:val="0B2C870B"/>
    <w:rsid w:val="0B2CA89A"/>
    <w:rsid w:val="0B3237BB"/>
    <w:rsid w:val="0B3A0A3B"/>
    <w:rsid w:val="0B3B3BEA"/>
    <w:rsid w:val="0B3C011B"/>
    <w:rsid w:val="0B4742E1"/>
    <w:rsid w:val="0B477167"/>
    <w:rsid w:val="0B48F4ED"/>
    <w:rsid w:val="0B49E0E7"/>
    <w:rsid w:val="0B4A7B54"/>
    <w:rsid w:val="0B4AEB4B"/>
    <w:rsid w:val="0B4F6B1E"/>
    <w:rsid w:val="0B4F803D"/>
    <w:rsid w:val="0B5421B0"/>
    <w:rsid w:val="0B576149"/>
    <w:rsid w:val="0B57A8B4"/>
    <w:rsid w:val="0B58A55A"/>
    <w:rsid w:val="0B5B2949"/>
    <w:rsid w:val="0B61A214"/>
    <w:rsid w:val="0B6504F0"/>
    <w:rsid w:val="0B651618"/>
    <w:rsid w:val="0B6658A6"/>
    <w:rsid w:val="0B667304"/>
    <w:rsid w:val="0B6AF060"/>
    <w:rsid w:val="0B6E4A30"/>
    <w:rsid w:val="0B6F05AB"/>
    <w:rsid w:val="0B6F2B57"/>
    <w:rsid w:val="0B7DB747"/>
    <w:rsid w:val="0B7E65F6"/>
    <w:rsid w:val="0B820EB5"/>
    <w:rsid w:val="0B86954D"/>
    <w:rsid w:val="0B884D1D"/>
    <w:rsid w:val="0B8F7EFE"/>
    <w:rsid w:val="0B8FD5E3"/>
    <w:rsid w:val="0B93129D"/>
    <w:rsid w:val="0B99276A"/>
    <w:rsid w:val="0B9955B8"/>
    <w:rsid w:val="0B9D8A9A"/>
    <w:rsid w:val="0BA87E82"/>
    <w:rsid w:val="0BAE8171"/>
    <w:rsid w:val="0BAFFE6D"/>
    <w:rsid w:val="0BB1451E"/>
    <w:rsid w:val="0BC477F2"/>
    <w:rsid w:val="0BC5E79B"/>
    <w:rsid w:val="0BC9492F"/>
    <w:rsid w:val="0BCA361A"/>
    <w:rsid w:val="0BCC5F61"/>
    <w:rsid w:val="0BDA64CB"/>
    <w:rsid w:val="0BDB0F9E"/>
    <w:rsid w:val="0BDC6278"/>
    <w:rsid w:val="0BDC9D13"/>
    <w:rsid w:val="0BDD6661"/>
    <w:rsid w:val="0BDEEF1D"/>
    <w:rsid w:val="0BDF0BAD"/>
    <w:rsid w:val="0BE1B5C1"/>
    <w:rsid w:val="0BE4EE02"/>
    <w:rsid w:val="0BE57AE2"/>
    <w:rsid w:val="0BE74AD6"/>
    <w:rsid w:val="0BE90627"/>
    <w:rsid w:val="0BEA95A9"/>
    <w:rsid w:val="0BEC87DE"/>
    <w:rsid w:val="0BEE1F0C"/>
    <w:rsid w:val="0BEE8582"/>
    <w:rsid w:val="0BF4F589"/>
    <w:rsid w:val="0BF8FC62"/>
    <w:rsid w:val="0BFA8049"/>
    <w:rsid w:val="0BFB7823"/>
    <w:rsid w:val="0BFC41A5"/>
    <w:rsid w:val="0C0618BF"/>
    <w:rsid w:val="0C0D26F8"/>
    <w:rsid w:val="0C0D491D"/>
    <w:rsid w:val="0C10405F"/>
    <w:rsid w:val="0C116F4F"/>
    <w:rsid w:val="0C118731"/>
    <w:rsid w:val="0C124A45"/>
    <w:rsid w:val="0C131C8F"/>
    <w:rsid w:val="0C14079B"/>
    <w:rsid w:val="0C1A52EF"/>
    <w:rsid w:val="0C1C37C7"/>
    <w:rsid w:val="0C1EBF2A"/>
    <w:rsid w:val="0C21C6E1"/>
    <w:rsid w:val="0C22BD54"/>
    <w:rsid w:val="0C24E6A8"/>
    <w:rsid w:val="0C26137E"/>
    <w:rsid w:val="0C2D28FB"/>
    <w:rsid w:val="0C346319"/>
    <w:rsid w:val="0C3D51DC"/>
    <w:rsid w:val="0C3FD455"/>
    <w:rsid w:val="0C45A015"/>
    <w:rsid w:val="0C462F21"/>
    <w:rsid w:val="0C4EC535"/>
    <w:rsid w:val="0C4F5290"/>
    <w:rsid w:val="0C538D8C"/>
    <w:rsid w:val="0C59F20D"/>
    <w:rsid w:val="0C5A3F83"/>
    <w:rsid w:val="0C5CE7C2"/>
    <w:rsid w:val="0C61CBB6"/>
    <w:rsid w:val="0C637F2B"/>
    <w:rsid w:val="0C69908E"/>
    <w:rsid w:val="0C6D2895"/>
    <w:rsid w:val="0C6DF0D2"/>
    <w:rsid w:val="0C733D19"/>
    <w:rsid w:val="0C795026"/>
    <w:rsid w:val="0C7E56F5"/>
    <w:rsid w:val="0C80103C"/>
    <w:rsid w:val="0C82BC4B"/>
    <w:rsid w:val="0C8538DF"/>
    <w:rsid w:val="0C8833B5"/>
    <w:rsid w:val="0C89339C"/>
    <w:rsid w:val="0C89DB5F"/>
    <w:rsid w:val="0C8D557F"/>
    <w:rsid w:val="0C919282"/>
    <w:rsid w:val="0C972424"/>
    <w:rsid w:val="0C9F410A"/>
    <w:rsid w:val="0CA47F23"/>
    <w:rsid w:val="0CA83CCE"/>
    <w:rsid w:val="0CADD5DE"/>
    <w:rsid w:val="0CB73A77"/>
    <w:rsid w:val="0CC75B25"/>
    <w:rsid w:val="0CCA3CC2"/>
    <w:rsid w:val="0CCD4932"/>
    <w:rsid w:val="0CD3BBD8"/>
    <w:rsid w:val="0CD7D385"/>
    <w:rsid w:val="0CDD6ECB"/>
    <w:rsid w:val="0CE029E1"/>
    <w:rsid w:val="0CE29940"/>
    <w:rsid w:val="0CE75E31"/>
    <w:rsid w:val="0CEF16D7"/>
    <w:rsid w:val="0CF9C17D"/>
    <w:rsid w:val="0CFAB209"/>
    <w:rsid w:val="0CFB84CF"/>
    <w:rsid w:val="0CFCA50A"/>
    <w:rsid w:val="0D00F6C3"/>
    <w:rsid w:val="0D03F56E"/>
    <w:rsid w:val="0D07CC90"/>
    <w:rsid w:val="0D0AC5DF"/>
    <w:rsid w:val="0D0CD585"/>
    <w:rsid w:val="0D15CD6B"/>
    <w:rsid w:val="0D16F2A7"/>
    <w:rsid w:val="0D17947F"/>
    <w:rsid w:val="0D185B16"/>
    <w:rsid w:val="0D1CC1FD"/>
    <w:rsid w:val="0D1E753E"/>
    <w:rsid w:val="0D1F8A3A"/>
    <w:rsid w:val="0D276BEA"/>
    <w:rsid w:val="0D2B5C1F"/>
    <w:rsid w:val="0D2F3678"/>
    <w:rsid w:val="0D34BFF2"/>
    <w:rsid w:val="0D34D388"/>
    <w:rsid w:val="0D3690A5"/>
    <w:rsid w:val="0D381ADC"/>
    <w:rsid w:val="0D39B354"/>
    <w:rsid w:val="0D3CA7E8"/>
    <w:rsid w:val="0D3EE6DC"/>
    <w:rsid w:val="0D41C680"/>
    <w:rsid w:val="0D429739"/>
    <w:rsid w:val="0D437533"/>
    <w:rsid w:val="0D44D45B"/>
    <w:rsid w:val="0D45EDB2"/>
    <w:rsid w:val="0D46EADD"/>
    <w:rsid w:val="0D49B94E"/>
    <w:rsid w:val="0D4D333C"/>
    <w:rsid w:val="0D4E50CB"/>
    <w:rsid w:val="0D587948"/>
    <w:rsid w:val="0D5CA216"/>
    <w:rsid w:val="0D63FB63"/>
    <w:rsid w:val="0D648F8A"/>
    <w:rsid w:val="0D653781"/>
    <w:rsid w:val="0D6BE5A9"/>
    <w:rsid w:val="0D6D6EEB"/>
    <w:rsid w:val="0D6D8E5F"/>
    <w:rsid w:val="0D6F0F80"/>
    <w:rsid w:val="0D70CFD5"/>
    <w:rsid w:val="0D76009C"/>
    <w:rsid w:val="0D768552"/>
    <w:rsid w:val="0D7CD0F8"/>
    <w:rsid w:val="0D865067"/>
    <w:rsid w:val="0D86D46E"/>
    <w:rsid w:val="0D87E838"/>
    <w:rsid w:val="0D8A7B36"/>
    <w:rsid w:val="0D8DF041"/>
    <w:rsid w:val="0D8F27C3"/>
    <w:rsid w:val="0D8F76B5"/>
    <w:rsid w:val="0D8FBF33"/>
    <w:rsid w:val="0D94F1A3"/>
    <w:rsid w:val="0D96035D"/>
    <w:rsid w:val="0D97AB16"/>
    <w:rsid w:val="0DA07692"/>
    <w:rsid w:val="0DA0E017"/>
    <w:rsid w:val="0DA10315"/>
    <w:rsid w:val="0DA93D88"/>
    <w:rsid w:val="0DA954B4"/>
    <w:rsid w:val="0DAA3321"/>
    <w:rsid w:val="0DBD847C"/>
    <w:rsid w:val="0DC01CF5"/>
    <w:rsid w:val="0DC1B090"/>
    <w:rsid w:val="0DC203BE"/>
    <w:rsid w:val="0DC36D9D"/>
    <w:rsid w:val="0DC78BC1"/>
    <w:rsid w:val="0DC8B3DA"/>
    <w:rsid w:val="0DD591E3"/>
    <w:rsid w:val="0DD5B6A1"/>
    <w:rsid w:val="0DDE582F"/>
    <w:rsid w:val="0DE0DD26"/>
    <w:rsid w:val="0DE4859E"/>
    <w:rsid w:val="0DE55A77"/>
    <w:rsid w:val="0DE6BFA2"/>
    <w:rsid w:val="0DEA3631"/>
    <w:rsid w:val="0DEC1C77"/>
    <w:rsid w:val="0DEC2663"/>
    <w:rsid w:val="0DED43FE"/>
    <w:rsid w:val="0DED4F84"/>
    <w:rsid w:val="0DEFB05F"/>
    <w:rsid w:val="0DF399C3"/>
    <w:rsid w:val="0DF7F8D4"/>
    <w:rsid w:val="0DF8633D"/>
    <w:rsid w:val="0E08C475"/>
    <w:rsid w:val="0E08E3C1"/>
    <w:rsid w:val="0E0E536B"/>
    <w:rsid w:val="0E113C3F"/>
    <w:rsid w:val="0E114B4D"/>
    <w:rsid w:val="0E1A8695"/>
    <w:rsid w:val="0E1B8FF6"/>
    <w:rsid w:val="0E1EF5AC"/>
    <w:rsid w:val="0E1FF4DC"/>
    <w:rsid w:val="0E21A488"/>
    <w:rsid w:val="0E22691B"/>
    <w:rsid w:val="0E240214"/>
    <w:rsid w:val="0E262190"/>
    <w:rsid w:val="0E26B665"/>
    <w:rsid w:val="0E2716DE"/>
    <w:rsid w:val="0E29824E"/>
    <w:rsid w:val="0E2BD39B"/>
    <w:rsid w:val="0E326534"/>
    <w:rsid w:val="0E358AD7"/>
    <w:rsid w:val="0E373588"/>
    <w:rsid w:val="0E3B5B4B"/>
    <w:rsid w:val="0E40EE2A"/>
    <w:rsid w:val="0E4E28EB"/>
    <w:rsid w:val="0E4E33AD"/>
    <w:rsid w:val="0E50F4C2"/>
    <w:rsid w:val="0E512F40"/>
    <w:rsid w:val="0E5436FA"/>
    <w:rsid w:val="0E5CEEAB"/>
    <w:rsid w:val="0E62528A"/>
    <w:rsid w:val="0E65B466"/>
    <w:rsid w:val="0E6D7C7E"/>
    <w:rsid w:val="0E6E4508"/>
    <w:rsid w:val="0E6EF1F3"/>
    <w:rsid w:val="0E71E1AD"/>
    <w:rsid w:val="0E747269"/>
    <w:rsid w:val="0E749781"/>
    <w:rsid w:val="0E751866"/>
    <w:rsid w:val="0E817C4C"/>
    <w:rsid w:val="0E89434B"/>
    <w:rsid w:val="0E8F40C3"/>
    <w:rsid w:val="0E91115B"/>
    <w:rsid w:val="0E93BC22"/>
    <w:rsid w:val="0E973688"/>
    <w:rsid w:val="0E974311"/>
    <w:rsid w:val="0E9BF79D"/>
    <w:rsid w:val="0E9E935B"/>
    <w:rsid w:val="0EAF0DE0"/>
    <w:rsid w:val="0EB2C358"/>
    <w:rsid w:val="0EB542EA"/>
    <w:rsid w:val="0EB58898"/>
    <w:rsid w:val="0EC401F8"/>
    <w:rsid w:val="0EC53029"/>
    <w:rsid w:val="0EC5306C"/>
    <w:rsid w:val="0EC8B54F"/>
    <w:rsid w:val="0ECC5CAE"/>
    <w:rsid w:val="0ED25D2F"/>
    <w:rsid w:val="0EDD1FF4"/>
    <w:rsid w:val="0EDF79C8"/>
    <w:rsid w:val="0EE13299"/>
    <w:rsid w:val="0EE328DA"/>
    <w:rsid w:val="0EE40B17"/>
    <w:rsid w:val="0EE47640"/>
    <w:rsid w:val="0EE7AB75"/>
    <w:rsid w:val="0EE8AAB8"/>
    <w:rsid w:val="0EE9F959"/>
    <w:rsid w:val="0EEE535A"/>
    <w:rsid w:val="0EEEDDEE"/>
    <w:rsid w:val="0EF0DC50"/>
    <w:rsid w:val="0EF3F915"/>
    <w:rsid w:val="0EF7D37C"/>
    <w:rsid w:val="0EF9232C"/>
    <w:rsid w:val="0EFC5D1E"/>
    <w:rsid w:val="0EFEDE94"/>
    <w:rsid w:val="0F022C2A"/>
    <w:rsid w:val="0F08F321"/>
    <w:rsid w:val="0F0DDF43"/>
    <w:rsid w:val="0F0ED83B"/>
    <w:rsid w:val="0F109B92"/>
    <w:rsid w:val="0F111CF3"/>
    <w:rsid w:val="0F14D81B"/>
    <w:rsid w:val="0F18A4AD"/>
    <w:rsid w:val="0F1A0877"/>
    <w:rsid w:val="0F1B4A69"/>
    <w:rsid w:val="0F1E6121"/>
    <w:rsid w:val="0F205D5A"/>
    <w:rsid w:val="0F20A2E1"/>
    <w:rsid w:val="0F2129AB"/>
    <w:rsid w:val="0F2360C6"/>
    <w:rsid w:val="0F28FB65"/>
    <w:rsid w:val="0F29664A"/>
    <w:rsid w:val="0F2FF24C"/>
    <w:rsid w:val="0F2FF77B"/>
    <w:rsid w:val="0F3102A0"/>
    <w:rsid w:val="0F3249B0"/>
    <w:rsid w:val="0F33CAF7"/>
    <w:rsid w:val="0F3647AF"/>
    <w:rsid w:val="0F391CFE"/>
    <w:rsid w:val="0F45C523"/>
    <w:rsid w:val="0F4CB9D8"/>
    <w:rsid w:val="0F502A19"/>
    <w:rsid w:val="0F504355"/>
    <w:rsid w:val="0F5089C1"/>
    <w:rsid w:val="0F56C119"/>
    <w:rsid w:val="0F57E3EF"/>
    <w:rsid w:val="0F5B25C8"/>
    <w:rsid w:val="0F5C117A"/>
    <w:rsid w:val="0F5D8E81"/>
    <w:rsid w:val="0F636953"/>
    <w:rsid w:val="0F67DFA2"/>
    <w:rsid w:val="0F6871D0"/>
    <w:rsid w:val="0F6CFAAE"/>
    <w:rsid w:val="0F6DCB29"/>
    <w:rsid w:val="0F72E8C3"/>
    <w:rsid w:val="0F73B62E"/>
    <w:rsid w:val="0F740737"/>
    <w:rsid w:val="0F78887F"/>
    <w:rsid w:val="0F7EC16A"/>
    <w:rsid w:val="0F834430"/>
    <w:rsid w:val="0F843262"/>
    <w:rsid w:val="0F8523D6"/>
    <w:rsid w:val="0F88D36E"/>
    <w:rsid w:val="0F8A17D0"/>
    <w:rsid w:val="0F8AD1BA"/>
    <w:rsid w:val="0F8D308A"/>
    <w:rsid w:val="0F8F620A"/>
    <w:rsid w:val="0F911295"/>
    <w:rsid w:val="0F923CB7"/>
    <w:rsid w:val="0F925010"/>
    <w:rsid w:val="0F961D27"/>
    <w:rsid w:val="0F962A1F"/>
    <w:rsid w:val="0F99A49F"/>
    <w:rsid w:val="0F9F3498"/>
    <w:rsid w:val="0FB9FEA5"/>
    <w:rsid w:val="0FD8DE21"/>
    <w:rsid w:val="0FDB035A"/>
    <w:rsid w:val="0FDB6BD5"/>
    <w:rsid w:val="0FE00176"/>
    <w:rsid w:val="0FE449D9"/>
    <w:rsid w:val="0FE89ADF"/>
    <w:rsid w:val="0FE9E012"/>
    <w:rsid w:val="0FEB0070"/>
    <w:rsid w:val="0FEC6B2B"/>
    <w:rsid w:val="0FECEE4D"/>
    <w:rsid w:val="0FEF62AA"/>
    <w:rsid w:val="0FF183C7"/>
    <w:rsid w:val="0FF74391"/>
    <w:rsid w:val="0FF90EEB"/>
    <w:rsid w:val="0FFB29BD"/>
    <w:rsid w:val="1004DC68"/>
    <w:rsid w:val="10069720"/>
    <w:rsid w:val="1006E333"/>
    <w:rsid w:val="1007C221"/>
    <w:rsid w:val="10089D00"/>
    <w:rsid w:val="1009A519"/>
    <w:rsid w:val="1009B5FF"/>
    <w:rsid w:val="100BE40B"/>
    <w:rsid w:val="10102FE8"/>
    <w:rsid w:val="10164AA9"/>
    <w:rsid w:val="1018CB22"/>
    <w:rsid w:val="1019B1FB"/>
    <w:rsid w:val="101BBBA4"/>
    <w:rsid w:val="10200204"/>
    <w:rsid w:val="10206ABB"/>
    <w:rsid w:val="1023C235"/>
    <w:rsid w:val="1023F721"/>
    <w:rsid w:val="10280E6E"/>
    <w:rsid w:val="10283197"/>
    <w:rsid w:val="102D456D"/>
    <w:rsid w:val="1039FC9A"/>
    <w:rsid w:val="103AC294"/>
    <w:rsid w:val="103FDF32"/>
    <w:rsid w:val="1040459E"/>
    <w:rsid w:val="104226A4"/>
    <w:rsid w:val="1044FCF8"/>
    <w:rsid w:val="10455D82"/>
    <w:rsid w:val="1047B957"/>
    <w:rsid w:val="104ADC6C"/>
    <w:rsid w:val="10530F39"/>
    <w:rsid w:val="105566F4"/>
    <w:rsid w:val="105B870F"/>
    <w:rsid w:val="105BD77C"/>
    <w:rsid w:val="105E7DAB"/>
    <w:rsid w:val="10611A09"/>
    <w:rsid w:val="10647B4C"/>
    <w:rsid w:val="10655000"/>
    <w:rsid w:val="106550E1"/>
    <w:rsid w:val="10662348"/>
    <w:rsid w:val="10693802"/>
    <w:rsid w:val="106C5B24"/>
    <w:rsid w:val="1071CDCE"/>
    <w:rsid w:val="107536C7"/>
    <w:rsid w:val="1076DC21"/>
    <w:rsid w:val="10774018"/>
    <w:rsid w:val="107920BF"/>
    <w:rsid w:val="108205A2"/>
    <w:rsid w:val="10897DCE"/>
    <w:rsid w:val="108AB4FB"/>
    <w:rsid w:val="108CD41F"/>
    <w:rsid w:val="108F2344"/>
    <w:rsid w:val="108F37F3"/>
    <w:rsid w:val="10983551"/>
    <w:rsid w:val="109F63FD"/>
    <w:rsid w:val="10A06D71"/>
    <w:rsid w:val="10A693F3"/>
    <w:rsid w:val="10A9856C"/>
    <w:rsid w:val="10AA425D"/>
    <w:rsid w:val="10AF59D5"/>
    <w:rsid w:val="10AFD39B"/>
    <w:rsid w:val="10B032D7"/>
    <w:rsid w:val="10B5C279"/>
    <w:rsid w:val="10B5E4D7"/>
    <w:rsid w:val="10B6C2AA"/>
    <w:rsid w:val="10B6D43B"/>
    <w:rsid w:val="10BC7BF7"/>
    <w:rsid w:val="10C2ADC9"/>
    <w:rsid w:val="10C97DC6"/>
    <w:rsid w:val="10CB679A"/>
    <w:rsid w:val="10CD8D1B"/>
    <w:rsid w:val="10CDAC36"/>
    <w:rsid w:val="10D1FACD"/>
    <w:rsid w:val="10D2E5EA"/>
    <w:rsid w:val="10D65288"/>
    <w:rsid w:val="10D656E6"/>
    <w:rsid w:val="10D802A5"/>
    <w:rsid w:val="10DA708E"/>
    <w:rsid w:val="10DCF75E"/>
    <w:rsid w:val="10DEA7B6"/>
    <w:rsid w:val="10E26E64"/>
    <w:rsid w:val="10E4B1FE"/>
    <w:rsid w:val="10E951D3"/>
    <w:rsid w:val="10EAB2F0"/>
    <w:rsid w:val="10F3DDDD"/>
    <w:rsid w:val="10FEE74D"/>
    <w:rsid w:val="10FF47D7"/>
    <w:rsid w:val="11014BE0"/>
    <w:rsid w:val="11033207"/>
    <w:rsid w:val="1103F85E"/>
    <w:rsid w:val="11055497"/>
    <w:rsid w:val="11064D62"/>
    <w:rsid w:val="110DDB9E"/>
    <w:rsid w:val="110F64EF"/>
    <w:rsid w:val="1111F5C5"/>
    <w:rsid w:val="11142465"/>
    <w:rsid w:val="1118E7C0"/>
    <w:rsid w:val="111AAC01"/>
    <w:rsid w:val="111C0E5A"/>
    <w:rsid w:val="1122831F"/>
    <w:rsid w:val="1129260B"/>
    <w:rsid w:val="112E1EEF"/>
    <w:rsid w:val="11302D95"/>
    <w:rsid w:val="11314047"/>
    <w:rsid w:val="1132BF23"/>
    <w:rsid w:val="11344BD9"/>
    <w:rsid w:val="1135BDCD"/>
    <w:rsid w:val="113BC354"/>
    <w:rsid w:val="113F35C5"/>
    <w:rsid w:val="113F7969"/>
    <w:rsid w:val="113F913A"/>
    <w:rsid w:val="1141883A"/>
    <w:rsid w:val="114211FF"/>
    <w:rsid w:val="11451BBF"/>
    <w:rsid w:val="114889D4"/>
    <w:rsid w:val="114A4175"/>
    <w:rsid w:val="114C94A3"/>
    <w:rsid w:val="114CBB42"/>
    <w:rsid w:val="114EBE1D"/>
    <w:rsid w:val="1159C99F"/>
    <w:rsid w:val="115D0AEE"/>
    <w:rsid w:val="115D8B67"/>
    <w:rsid w:val="11614E5E"/>
    <w:rsid w:val="1161E5FE"/>
    <w:rsid w:val="1165B0CE"/>
    <w:rsid w:val="11664A02"/>
    <w:rsid w:val="116D6578"/>
    <w:rsid w:val="116E0D65"/>
    <w:rsid w:val="116FC0E1"/>
    <w:rsid w:val="1172F33D"/>
    <w:rsid w:val="11762257"/>
    <w:rsid w:val="117B2FCD"/>
    <w:rsid w:val="117DC956"/>
    <w:rsid w:val="117F8DBA"/>
    <w:rsid w:val="11867226"/>
    <w:rsid w:val="1186970B"/>
    <w:rsid w:val="118C2E57"/>
    <w:rsid w:val="118E2414"/>
    <w:rsid w:val="1190516B"/>
    <w:rsid w:val="11927C06"/>
    <w:rsid w:val="11930092"/>
    <w:rsid w:val="1193DA2F"/>
    <w:rsid w:val="1197A48C"/>
    <w:rsid w:val="119E39AF"/>
    <w:rsid w:val="119EA9D8"/>
    <w:rsid w:val="11A0B66B"/>
    <w:rsid w:val="11A19D55"/>
    <w:rsid w:val="11A24AF8"/>
    <w:rsid w:val="11A409F9"/>
    <w:rsid w:val="11A51D40"/>
    <w:rsid w:val="11A579AD"/>
    <w:rsid w:val="11A5BD91"/>
    <w:rsid w:val="11A8C092"/>
    <w:rsid w:val="11AC18C9"/>
    <w:rsid w:val="11AC2C73"/>
    <w:rsid w:val="11ACCD62"/>
    <w:rsid w:val="11AF8679"/>
    <w:rsid w:val="11BA1D27"/>
    <w:rsid w:val="11BB62CF"/>
    <w:rsid w:val="11C21556"/>
    <w:rsid w:val="11C44376"/>
    <w:rsid w:val="11C4C48E"/>
    <w:rsid w:val="11C65927"/>
    <w:rsid w:val="11C769F1"/>
    <w:rsid w:val="11C954AD"/>
    <w:rsid w:val="11CCB1BF"/>
    <w:rsid w:val="11D2EDE4"/>
    <w:rsid w:val="11D560F4"/>
    <w:rsid w:val="11D70307"/>
    <w:rsid w:val="11D7CBB4"/>
    <w:rsid w:val="11DE8B13"/>
    <w:rsid w:val="11E12CC8"/>
    <w:rsid w:val="11E836C2"/>
    <w:rsid w:val="11EA835D"/>
    <w:rsid w:val="11EC2BB4"/>
    <w:rsid w:val="11EF42DD"/>
    <w:rsid w:val="11EFA883"/>
    <w:rsid w:val="11F2C5DF"/>
    <w:rsid w:val="11FB9B76"/>
    <w:rsid w:val="11FD04B2"/>
    <w:rsid w:val="11FDA649"/>
    <w:rsid w:val="120A8965"/>
    <w:rsid w:val="120D38D2"/>
    <w:rsid w:val="12117E0A"/>
    <w:rsid w:val="12174AFD"/>
    <w:rsid w:val="1219939F"/>
    <w:rsid w:val="1223D37B"/>
    <w:rsid w:val="12247064"/>
    <w:rsid w:val="122BA581"/>
    <w:rsid w:val="122D414E"/>
    <w:rsid w:val="1232F761"/>
    <w:rsid w:val="1235991B"/>
    <w:rsid w:val="1238EA27"/>
    <w:rsid w:val="123B2CCA"/>
    <w:rsid w:val="123C817C"/>
    <w:rsid w:val="123EF225"/>
    <w:rsid w:val="12420734"/>
    <w:rsid w:val="1243178D"/>
    <w:rsid w:val="12460F4B"/>
    <w:rsid w:val="124BFAFA"/>
    <w:rsid w:val="124D07BC"/>
    <w:rsid w:val="124DD5A4"/>
    <w:rsid w:val="124E91DE"/>
    <w:rsid w:val="125283C5"/>
    <w:rsid w:val="12539A29"/>
    <w:rsid w:val="1253C358"/>
    <w:rsid w:val="12597B48"/>
    <w:rsid w:val="125B6D98"/>
    <w:rsid w:val="125BD5C2"/>
    <w:rsid w:val="12665FD0"/>
    <w:rsid w:val="1268178B"/>
    <w:rsid w:val="12690925"/>
    <w:rsid w:val="1271142B"/>
    <w:rsid w:val="1274824E"/>
    <w:rsid w:val="12753B40"/>
    <w:rsid w:val="1275BA22"/>
    <w:rsid w:val="127D65EA"/>
    <w:rsid w:val="127D7C10"/>
    <w:rsid w:val="12878912"/>
    <w:rsid w:val="1288A5F4"/>
    <w:rsid w:val="1289B130"/>
    <w:rsid w:val="128B6660"/>
    <w:rsid w:val="128FD829"/>
    <w:rsid w:val="129388CD"/>
    <w:rsid w:val="12957D53"/>
    <w:rsid w:val="129606A7"/>
    <w:rsid w:val="129999C0"/>
    <w:rsid w:val="129CD719"/>
    <w:rsid w:val="12A1E905"/>
    <w:rsid w:val="12A7A625"/>
    <w:rsid w:val="12A8780F"/>
    <w:rsid w:val="12AAD801"/>
    <w:rsid w:val="12AB9EE0"/>
    <w:rsid w:val="12B15971"/>
    <w:rsid w:val="12B1DBAB"/>
    <w:rsid w:val="12B4DF40"/>
    <w:rsid w:val="12B9B649"/>
    <w:rsid w:val="12BCF299"/>
    <w:rsid w:val="12BFC48B"/>
    <w:rsid w:val="12C66F0E"/>
    <w:rsid w:val="12C78C76"/>
    <w:rsid w:val="12C794CA"/>
    <w:rsid w:val="12CECDD5"/>
    <w:rsid w:val="12D2E9B2"/>
    <w:rsid w:val="12DA94A0"/>
    <w:rsid w:val="12DCDD61"/>
    <w:rsid w:val="12E227FB"/>
    <w:rsid w:val="12E25FCB"/>
    <w:rsid w:val="12E5014E"/>
    <w:rsid w:val="12E9D739"/>
    <w:rsid w:val="12EA30EC"/>
    <w:rsid w:val="12EE0F8D"/>
    <w:rsid w:val="12F114BE"/>
    <w:rsid w:val="12F1B92C"/>
    <w:rsid w:val="12F2DE3E"/>
    <w:rsid w:val="12F365F7"/>
    <w:rsid w:val="12F843FB"/>
    <w:rsid w:val="12F9270D"/>
    <w:rsid w:val="12FC1712"/>
    <w:rsid w:val="12FE0ABC"/>
    <w:rsid w:val="130151C8"/>
    <w:rsid w:val="13016A05"/>
    <w:rsid w:val="130763A0"/>
    <w:rsid w:val="130AF340"/>
    <w:rsid w:val="130B09D3"/>
    <w:rsid w:val="130BF708"/>
    <w:rsid w:val="130D7D61"/>
    <w:rsid w:val="131107C5"/>
    <w:rsid w:val="13129590"/>
    <w:rsid w:val="13171B5F"/>
    <w:rsid w:val="1317D0DA"/>
    <w:rsid w:val="1319DA8A"/>
    <w:rsid w:val="131F23D3"/>
    <w:rsid w:val="13203943"/>
    <w:rsid w:val="13229306"/>
    <w:rsid w:val="1324A16F"/>
    <w:rsid w:val="1324D0D6"/>
    <w:rsid w:val="13258A4D"/>
    <w:rsid w:val="1326DF2D"/>
    <w:rsid w:val="132AF646"/>
    <w:rsid w:val="132B47CF"/>
    <w:rsid w:val="132E2E6A"/>
    <w:rsid w:val="13330F97"/>
    <w:rsid w:val="1334DC06"/>
    <w:rsid w:val="133A51F7"/>
    <w:rsid w:val="133AD639"/>
    <w:rsid w:val="133B6465"/>
    <w:rsid w:val="133EBA58"/>
    <w:rsid w:val="133EFD93"/>
    <w:rsid w:val="1342F85F"/>
    <w:rsid w:val="13436D96"/>
    <w:rsid w:val="1345D2FB"/>
    <w:rsid w:val="1346879A"/>
    <w:rsid w:val="134BFF9B"/>
    <w:rsid w:val="13516499"/>
    <w:rsid w:val="1352028C"/>
    <w:rsid w:val="13598329"/>
    <w:rsid w:val="135DBB4F"/>
    <w:rsid w:val="135E0CFD"/>
    <w:rsid w:val="1365A38B"/>
    <w:rsid w:val="136785C2"/>
    <w:rsid w:val="13706487"/>
    <w:rsid w:val="137ACFCB"/>
    <w:rsid w:val="137CD60B"/>
    <w:rsid w:val="138905A0"/>
    <w:rsid w:val="138D9D6B"/>
    <w:rsid w:val="138E3DE3"/>
    <w:rsid w:val="1392E32F"/>
    <w:rsid w:val="1399534F"/>
    <w:rsid w:val="139A8877"/>
    <w:rsid w:val="139BD2CF"/>
    <w:rsid w:val="139F96FA"/>
    <w:rsid w:val="13A0542F"/>
    <w:rsid w:val="13A1F234"/>
    <w:rsid w:val="13A5093E"/>
    <w:rsid w:val="13A7DA43"/>
    <w:rsid w:val="13AD76DF"/>
    <w:rsid w:val="13AEF136"/>
    <w:rsid w:val="13B0343A"/>
    <w:rsid w:val="13BB5670"/>
    <w:rsid w:val="13BC6C08"/>
    <w:rsid w:val="13BD2B13"/>
    <w:rsid w:val="13BDC696"/>
    <w:rsid w:val="13C01B9A"/>
    <w:rsid w:val="13C2C227"/>
    <w:rsid w:val="13C48C2E"/>
    <w:rsid w:val="13C50BA5"/>
    <w:rsid w:val="13CC3626"/>
    <w:rsid w:val="13D25D73"/>
    <w:rsid w:val="13D2B949"/>
    <w:rsid w:val="13D49113"/>
    <w:rsid w:val="13D4BD78"/>
    <w:rsid w:val="13DA6D37"/>
    <w:rsid w:val="13DE8AB8"/>
    <w:rsid w:val="13DEBE3D"/>
    <w:rsid w:val="13E26F39"/>
    <w:rsid w:val="13E6FCB2"/>
    <w:rsid w:val="13E8496B"/>
    <w:rsid w:val="13EA2209"/>
    <w:rsid w:val="13EB7295"/>
    <w:rsid w:val="13F16F11"/>
    <w:rsid w:val="13F219F3"/>
    <w:rsid w:val="13F36699"/>
    <w:rsid w:val="13F49589"/>
    <w:rsid w:val="140018E0"/>
    <w:rsid w:val="1405EC66"/>
    <w:rsid w:val="1406BA06"/>
    <w:rsid w:val="1410079D"/>
    <w:rsid w:val="14136DD4"/>
    <w:rsid w:val="14163847"/>
    <w:rsid w:val="14170E34"/>
    <w:rsid w:val="1418E182"/>
    <w:rsid w:val="141B1B56"/>
    <w:rsid w:val="1421B0DA"/>
    <w:rsid w:val="142AA06F"/>
    <w:rsid w:val="142FD400"/>
    <w:rsid w:val="142FF53E"/>
    <w:rsid w:val="143618D0"/>
    <w:rsid w:val="1439B597"/>
    <w:rsid w:val="144026EF"/>
    <w:rsid w:val="14454AD6"/>
    <w:rsid w:val="144B4791"/>
    <w:rsid w:val="1453C2EC"/>
    <w:rsid w:val="14572F1B"/>
    <w:rsid w:val="14579CF7"/>
    <w:rsid w:val="145B0A4F"/>
    <w:rsid w:val="145BF315"/>
    <w:rsid w:val="145CF13C"/>
    <w:rsid w:val="1464E7BD"/>
    <w:rsid w:val="146D60BD"/>
    <w:rsid w:val="146E817C"/>
    <w:rsid w:val="146F099E"/>
    <w:rsid w:val="1471063B"/>
    <w:rsid w:val="1472CA5B"/>
    <w:rsid w:val="1479A713"/>
    <w:rsid w:val="147C2ACC"/>
    <w:rsid w:val="1482D7AD"/>
    <w:rsid w:val="148468CB"/>
    <w:rsid w:val="148522F1"/>
    <w:rsid w:val="1488935E"/>
    <w:rsid w:val="14914132"/>
    <w:rsid w:val="149523EA"/>
    <w:rsid w:val="14974D97"/>
    <w:rsid w:val="1497ACBA"/>
    <w:rsid w:val="149AB5F6"/>
    <w:rsid w:val="149BF60D"/>
    <w:rsid w:val="149CE55F"/>
    <w:rsid w:val="149F2BBD"/>
    <w:rsid w:val="14A6504A"/>
    <w:rsid w:val="14B0FC66"/>
    <w:rsid w:val="14B1864C"/>
    <w:rsid w:val="14B50497"/>
    <w:rsid w:val="14B579C2"/>
    <w:rsid w:val="14BCA59C"/>
    <w:rsid w:val="14BCE95F"/>
    <w:rsid w:val="14C3B733"/>
    <w:rsid w:val="14C54AB7"/>
    <w:rsid w:val="14C5A9AF"/>
    <w:rsid w:val="14C6334C"/>
    <w:rsid w:val="14CBAC30"/>
    <w:rsid w:val="14CCB09B"/>
    <w:rsid w:val="14D57389"/>
    <w:rsid w:val="14D6AF20"/>
    <w:rsid w:val="14D7C5C6"/>
    <w:rsid w:val="14D91140"/>
    <w:rsid w:val="14D96D93"/>
    <w:rsid w:val="14D96E08"/>
    <w:rsid w:val="14D9EBBA"/>
    <w:rsid w:val="14DCB8D9"/>
    <w:rsid w:val="14E3A634"/>
    <w:rsid w:val="14E621CB"/>
    <w:rsid w:val="14EA9177"/>
    <w:rsid w:val="14ED0430"/>
    <w:rsid w:val="14EDF991"/>
    <w:rsid w:val="14EE1BE9"/>
    <w:rsid w:val="14F2F656"/>
    <w:rsid w:val="14F3021A"/>
    <w:rsid w:val="14F463DB"/>
    <w:rsid w:val="14F69459"/>
    <w:rsid w:val="14F6ADEE"/>
    <w:rsid w:val="14F859A9"/>
    <w:rsid w:val="14FA2138"/>
    <w:rsid w:val="14FA2D00"/>
    <w:rsid w:val="14FC769D"/>
    <w:rsid w:val="1500200E"/>
    <w:rsid w:val="1504D1E4"/>
    <w:rsid w:val="1504FB95"/>
    <w:rsid w:val="150975E6"/>
    <w:rsid w:val="15126AAD"/>
    <w:rsid w:val="1512EADE"/>
    <w:rsid w:val="1517C04B"/>
    <w:rsid w:val="1517EB84"/>
    <w:rsid w:val="151B17C3"/>
    <w:rsid w:val="151CBE71"/>
    <w:rsid w:val="151E4E9B"/>
    <w:rsid w:val="151F08F1"/>
    <w:rsid w:val="15203E7D"/>
    <w:rsid w:val="15241C5D"/>
    <w:rsid w:val="1524A21F"/>
    <w:rsid w:val="1526FBCE"/>
    <w:rsid w:val="1529F06D"/>
    <w:rsid w:val="152DBAD8"/>
    <w:rsid w:val="152F0CCF"/>
    <w:rsid w:val="15320B8C"/>
    <w:rsid w:val="15322DC3"/>
    <w:rsid w:val="1535AB94"/>
    <w:rsid w:val="1538ACDF"/>
    <w:rsid w:val="153B85D9"/>
    <w:rsid w:val="15415336"/>
    <w:rsid w:val="15417CC6"/>
    <w:rsid w:val="15428A58"/>
    <w:rsid w:val="154494BA"/>
    <w:rsid w:val="15455D26"/>
    <w:rsid w:val="15465A27"/>
    <w:rsid w:val="1546FF34"/>
    <w:rsid w:val="15485145"/>
    <w:rsid w:val="1548AAEA"/>
    <w:rsid w:val="154DA0A0"/>
    <w:rsid w:val="154EC005"/>
    <w:rsid w:val="1550E18B"/>
    <w:rsid w:val="1552EC58"/>
    <w:rsid w:val="155604C8"/>
    <w:rsid w:val="1557C4AB"/>
    <w:rsid w:val="155865AC"/>
    <w:rsid w:val="15598E32"/>
    <w:rsid w:val="155A5F8A"/>
    <w:rsid w:val="155CA8D8"/>
    <w:rsid w:val="155DF3FA"/>
    <w:rsid w:val="1561C9B0"/>
    <w:rsid w:val="157561A3"/>
    <w:rsid w:val="1576C19B"/>
    <w:rsid w:val="1576ECF6"/>
    <w:rsid w:val="1582DAA8"/>
    <w:rsid w:val="158A405B"/>
    <w:rsid w:val="158AA564"/>
    <w:rsid w:val="1599B880"/>
    <w:rsid w:val="159AB49F"/>
    <w:rsid w:val="15A08BDF"/>
    <w:rsid w:val="15A18200"/>
    <w:rsid w:val="15A1D1BA"/>
    <w:rsid w:val="15A2E4E5"/>
    <w:rsid w:val="15A3E13F"/>
    <w:rsid w:val="15A56424"/>
    <w:rsid w:val="15A86953"/>
    <w:rsid w:val="15A8C1E3"/>
    <w:rsid w:val="15A8F37A"/>
    <w:rsid w:val="15AAB3A6"/>
    <w:rsid w:val="15AF99B5"/>
    <w:rsid w:val="15B4B610"/>
    <w:rsid w:val="15B8251C"/>
    <w:rsid w:val="15BB32D8"/>
    <w:rsid w:val="15BE80AD"/>
    <w:rsid w:val="15C7D5DF"/>
    <w:rsid w:val="15CC3D78"/>
    <w:rsid w:val="15CC895F"/>
    <w:rsid w:val="15CD6042"/>
    <w:rsid w:val="15CDD93F"/>
    <w:rsid w:val="15D27BD4"/>
    <w:rsid w:val="15D3A355"/>
    <w:rsid w:val="15D4CAA6"/>
    <w:rsid w:val="15DDB350"/>
    <w:rsid w:val="15DFB140"/>
    <w:rsid w:val="15E05F7F"/>
    <w:rsid w:val="15EA0A2B"/>
    <w:rsid w:val="15ECE193"/>
    <w:rsid w:val="15F1BB7A"/>
    <w:rsid w:val="15F427F1"/>
    <w:rsid w:val="15F5C663"/>
    <w:rsid w:val="1601AD14"/>
    <w:rsid w:val="1604ABB1"/>
    <w:rsid w:val="160BA8A7"/>
    <w:rsid w:val="160C2E11"/>
    <w:rsid w:val="160CC78B"/>
    <w:rsid w:val="1615EE95"/>
    <w:rsid w:val="161A320D"/>
    <w:rsid w:val="161E6705"/>
    <w:rsid w:val="16247B3F"/>
    <w:rsid w:val="162B48A0"/>
    <w:rsid w:val="162D94A4"/>
    <w:rsid w:val="162E15BF"/>
    <w:rsid w:val="1631250D"/>
    <w:rsid w:val="163542D7"/>
    <w:rsid w:val="1637A369"/>
    <w:rsid w:val="16387180"/>
    <w:rsid w:val="163B8623"/>
    <w:rsid w:val="163EB3B2"/>
    <w:rsid w:val="16465621"/>
    <w:rsid w:val="164B8AC2"/>
    <w:rsid w:val="164BB59C"/>
    <w:rsid w:val="16502733"/>
    <w:rsid w:val="1655B4DB"/>
    <w:rsid w:val="16579882"/>
    <w:rsid w:val="16627A11"/>
    <w:rsid w:val="1665EBAC"/>
    <w:rsid w:val="16688B55"/>
    <w:rsid w:val="1669B7E7"/>
    <w:rsid w:val="166C95E1"/>
    <w:rsid w:val="16720A02"/>
    <w:rsid w:val="1674AF88"/>
    <w:rsid w:val="1675BC1B"/>
    <w:rsid w:val="1676ED69"/>
    <w:rsid w:val="16784B64"/>
    <w:rsid w:val="16792839"/>
    <w:rsid w:val="167B90B1"/>
    <w:rsid w:val="16833BB6"/>
    <w:rsid w:val="168357FA"/>
    <w:rsid w:val="168EA195"/>
    <w:rsid w:val="1691C3B3"/>
    <w:rsid w:val="16921E8C"/>
    <w:rsid w:val="1692C07D"/>
    <w:rsid w:val="16936F93"/>
    <w:rsid w:val="169601F9"/>
    <w:rsid w:val="1697C311"/>
    <w:rsid w:val="1698D2E3"/>
    <w:rsid w:val="169973D3"/>
    <w:rsid w:val="169C450F"/>
    <w:rsid w:val="169CD8CF"/>
    <w:rsid w:val="16A09662"/>
    <w:rsid w:val="16A5EBD1"/>
    <w:rsid w:val="16A754AB"/>
    <w:rsid w:val="16AC9297"/>
    <w:rsid w:val="16ACB698"/>
    <w:rsid w:val="16B04D05"/>
    <w:rsid w:val="16B1FCA9"/>
    <w:rsid w:val="16B2C7E2"/>
    <w:rsid w:val="16B3BC92"/>
    <w:rsid w:val="16B77E06"/>
    <w:rsid w:val="16BE9E6B"/>
    <w:rsid w:val="16C06AFA"/>
    <w:rsid w:val="16C0912C"/>
    <w:rsid w:val="16C09E8F"/>
    <w:rsid w:val="16D08B0A"/>
    <w:rsid w:val="16D946F6"/>
    <w:rsid w:val="16DC5BD6"/>
    <w:rsid w:val="16E0B8DC"/>
    <w:rsid w:val="16E43D94"/>
    <w:rsid w:val="16E78019"/>
    <w:rsid w:val="16E7A700"/>
    <w:rsid w:val="16EA32DC"/>
    <w:rsid w:val="16EE3F85"/>
    <w:rsid w:val="16F5C79F"/>
    <w:rsid w:val="16F7F1A2"/>
    <w:rsid w:val="170755E5"/>
    <w:rsid w:val="171119ED"/>
    <w:rsid w:val="1712B6C8"/>
    <w:rsid w:val="17134313"/>
    <w:rsid w:val="17169446"/>
    <w:rsid w:val="1716E2BF"/>
    <w:rsid w:val="171A221A"/>
    <w:rsid w:val="171A6750"/>
    <w:rsid w:val="171AD820"/>
    <w:rsid w:val="171FA4DD"/>
    <w:rsid w:val="17241991"/>
    <w:rsid w:val="172642F4"/>
    <w:rsid w:val="172783FD"/>
    <w:rsid w:val="17284FB3"/>
    <w:rsid w:val="172DFDB1"/>
    <w:rsid w:val="1733E1EF"/>
    <w:rsid w:val="173B2752"/>
    <w:rsid w:val="173D5DF4"/>
    <w:rsid w:val="173DE0A8"/>
    <w:rsid w:val="173E3842"/>
    <w:rsid w:val="173E7C28"/>
    <w:rsid w:val="1741396A"/>
    <w:rsid w:val="1742B9EB"/>
    <w:rsid w:val="1744AD89"/>
    <w:rsid w:val="174B94BE"/>
    <w:rsid w:val="174BA647"/>
    <w:rsid w:val="174BDC67"/>
    <w:rsid w:val="1756F484"/>
    <w:rsid w:val="1759C1A3"/>
    <w:rsid w:val="175E242A"/>
    <w:rsid w:val="1760B9CA"/>
    <w:rsid w:val="17628CAE"/>
    <w:rsid w:val="17650B54"/>
    <w:rsid w:val="176C900E"/>
    <w:rsid w:val="177182D0"/>
    <w:rsid w:val="17734A9B"/>
    <w:rsid w:val="177942F4"/>
    <w:rsid w:val="1779B4B4"/>
    <w:rsid w:val="17816964"/>
    <w:rsid w:val="1782DB9F"/>
    <w:rsid w:val="17848A8A"/>
    <w:rsid w:val="1786E352"/>
    <w:rsid w:val="1789891E"/>
    <w:rsid w:val="178BACF3"/>
    <w:rsid w:val="1792A1E0"/>
    <w:rsid w:val="17932A18"/>
    <w:rsid w:val="17933CD8"/>
    <w:rsid w:val="179808E3"/>
    <w:rsid w:val="179D64C2"/>
    <w:rsid w:val="179EF94F"/>
    <w:rsid w:val="17A35660"/>
    <w:rsid w:val="17A4A7AE"/>
    <w:rsid w:val="17A53C4A"/>
    <w:rsid w:val="17A5BAE5"/>
    <w:rsid w:val="17ACC2AF"/>
    <w:rsid w:val="17ADC1CB"/>
    <w:rsid w:val="17B08E1F"/>
    <w:rsid w:val="17B6CEB6"/>
    <w:rsid w:val="17B6DB9A"/>
    <w:rsid w:val="17BBBDCB"/>
    <w:rsid w:val="17C0E0F3"/>
    <w:rsid w:val="17C41B2C"/>
    <w:rsid w:val="17C5E5E2"/>
    <w:rsid w:val="17C7545B"/>
    <w:rsid w:val="17CCCFE5"/>
    <w:rsid w:val="17D37893"/>
    <w:rsid w:val="17D79534"/>
    <w:rsid w:val="17E07BB7"/>
    <w:rsid w:val="17E2BE27"/>
    <w:rsid w:val="17E6A410"/>
    <w:rsid w:val="17E920EF"/>
    <w:rsid w:val="17EABF61"/>
    <w:rsid w:val="17EB2C78"/>
    <w:rsid w:val="17ECB186"/>
    <w:rsid w:val="17F03EE3"/>
    <w:rsid w:val="17F08CC9"/>
    <w:rsid w:val="17F1A9EE"/>
    <w:rsid w:val="17F28391"/>
    <w:rsid w:val="17F3A945"/>
    <w:rsid w:val="17FA591C"/>
    <w:rsid w:val="17FA8185"/>
    <w:rsid w:val="17FB6779"/>
    <w:rsid w:val="17FBE684"/>
    <w:rsid w:val="17FDBAAB"/>
    <w:rsid w:val="1800401B"/>
    <w:rsid w:val="1803496C"/>
    <w:rsid w:val="180F8312"/>
    <w:rsid w:val="181088D6"/>
    <w:rsid w:val="181493F3"/>
    <w:rsid w:val="18174D61"/>
    <w:rsid w:val="1818A0F9"/>
    <w:rsid w:val="181A6A8E"/>
    <w:rsid w:val="181C25BC"/>
    <w:rsid w:val="181C8C16"/>
    <w:rsid w:val="181DA3BD"/>
    <w:rsid w:val="181F39EC"/>
    <w:rsid w:val="1820BD0F"/>
    <w:rsid w:val="1821071B"/>
    <w:rsid w:val="1827CD83"/>
    <w:rsid w:val="1828B2BD"/>
    <w:rsid w:val="182D3FA9"/>
    <w:rsid w:val="182E6C11"/>
    <w:rsid w:val="182EF11B"/>
    <w:rsid w:val="182FDE52"/>
    <w:rsid w:val="183B62D8"/>
    <w:rsid w:val="184974E7"/>
    <w:rsid w:val="1849EFB4"/>
    <w:rsid w:val="184C35CE"/>
    <w:rsid w:val="184C6792"/>
    <w:rsid w:val="184E8AE5"/>
    <w:rsid w:val="18505509"/>
    <w:rsid w:val="18538019"/>
    <w:rsid w:val="1853FF59"/>
    <w:rsid w:val="18616CC7"/>
    <w:rsid w:val="186322C6"/>
    <w:rsid w:val="18666A72"/>
    <w:rsid w:val="186695D8"/>
    <w:rsid w:val="18683B2E"/>
    <w:rsid w:val="186B49FA"/>
    <w:rsid w:val="186C2262"/>
    <w:rsid w:val="1870E513"/>
    <w:rsid w:val="18777BED"/>
    <w:rsid w:val="187BA317"/>
    <w:rsid w:val="187C31B8"/>
    <w:rsid w:val="18861666"/>
    <w:rsid w:val="18862F16"/>
    <w:rsid w:val="188B9AC6"/>
    <w:rsid w:val="188E8D37"/>
    <w:rsid w:val="189137B9"/>
    <w:rsid w:val="1898FCC3"/>
    <w:rsid w:val="189DEE76"/>
    <w:rsid w:val="18A3593C"/>
    <w:rsid w:val="18A5E36A"/>
    <w:rsid w:val="18A6818A"/>
    <w:rsid w:val="18A6F1C9"/>
    <w:rsid w:val="18AA2105"/>
    <w:rsid w:val="18ACCC68"/>
    <w:rsid w:val="18B34F80"/>
    <w:rsid w:val="18B36220"/>
    <w:rsid w:val="18B3BFE5"/>
    <w:rsid w:val="18B57E67"/>
    <w:rsid w:val="18B6B809"/>
    <w:rsid w:val="18BDFAA0"/>
    <w:rsid w:val="18C038C9"/>
    <w:rsid w:val="18C1D5EC"/>
    <w:rsid w:val="18CB90A9"/>
    <w:rsid w:val="18CD5902"/>
    <w:rsid w:val="18D32D10"/>
    <w:rsid w:val="18DC6CAC"/>
    <w:rsid w:val="18DE17ED"/>
    <w:rsid w:val="18DEB8E3"/>
    <w:rsid w:val="18E18C0D"/>
    <w:rsid w:val="18E42DA9"/>
    <w:rsid w:val="18E544A8"/>
    <w:rsid w:val="18E56C28"/>
    <w:rsid w:val="18E7B818"/>
    <w:rsid w:val="18ED4B6A"/>
    <w:rsid w:val="18F0A1A0"/>
    <w:rsid w:val="18F223E1"/>
    <w:rsid w:val="18F58998"/>
    <w:rsid w:val="18FF9062"/>
    <w:rsid w:val="19055D71"/>
    <w:rsid w:val="190B1455"/>
    <w:rsid w:val="1915C4AD"/>
    <w:rsid w:val="191780F6"/>
    <w:rsid w:val="191A0614"/>
    <w:rsid w:val="191B9493"/>
    <w:rsid w:val="191E30CF"/>
    <w:rsid w:val="191F8825"/>
    <w:rsid w:val="19221EF2"/>
    <w:rsid w:val="1926633E"/>
    <w:rsid w:val="19282C22"/>
    <w:rsid w:val="192BF88A"/>
    <w:rsid w:val="1933EF1C"/>
    <w:rsid w:val="193AAFDC"/>
    <w:rsid w:val="193CE2C7"/>
    <w:rsid w:val="193D2EE4"/>
    <w:rsid w:val="193D496D"/>
    <w:rsid w:val="193EC00F"/>
    <w:rsid w:val="1945953B"/>
    <w:rsid w:val="19469CAB"/>
    <w:rsid w:val="194819C4"/>
    <w:rsid w:val="194A4860"/>
    <w:rsid w:val="194C630C"/>
    <w:rsid w:val="194E5131"/>
    <w:rsid w:val="195A4F54"/>
    <w:rsid w:val="195B51B8"/>
    <w:rsid w:val="195D4608"/>
    <w:rsid w:val="19651E1E"/>
    <w:rsid w:val="196BC774"/>
    <w:rsid w:val="196F2484"/>
    <w:rsid w:val="19710ABC"/>
    <w:rsid w:val="19718CAD"/>
    <w:rsid w:val="1977D604"/>
    <w:rsid w:val="1979A4D1"/>
    <w:rsid w:val="197A89EB"/>
    <w:rsid w:val="197B35F0"/>
    <w:rsid w:val="197CAD4E"/>
    <w:rsid w:val="197DE6DC"/>
    <w:rsid w:val="1981E85A"/>
    <w:rsid w:val="19831A9E"/>
    <w:rsid w:val="198DD8F5"/>
    <w:rsid w:val="199180F6"/>
    <w:rsid w:val="1991D381"/>
    <w:rsid w:val="19957A35"/>
    <w:rsid w:val="19972C36"/>
    <w:rsid w:val="19981B5F"/>
    <w:rsid w:val="19997A51"/>
    <w:rsid w:val="199F332A"/>
    <w:rsid w:val="199FC310"/>
    <w:rsid w:val="19A7456F"/>
    <w:rsid w:val="19AAC09E"/>
    <w:rsid w:val="19B37732"/>
    <w:rsid w:val="19B5E668"/>
    <w:rsid w:val="19BFA74A"/>
    <w:rsid w:val="19C77BEA"/>
    <w:rsid w:val="19C8CCF4"/>
    <w:rsid w:val="19CA6695"/>
    <w:rsid w:val="19CF7138"/>
    <w:rsid w:val="19D08DC4"/>
    <w:rsid w:val="19D0E3E1"/>
    <w:rsid w:val="19D0EC5C"/>
    <w:rsid w:val="19D2E714"/>
    <w:rsid w:val="19D30FE4"/>
    <w:rsid w:val="19D7675E"/>
    <w:rsid w:val="19E11CC5"/>
    <w:rsid w:val="19E3C8AD"/>
    <w:rsid w:val="19E7AC7F"/>
    <w:rsid w:val="19E842B8"/>
    <w:rsid w:val="19F3B818"/>
    <w:rsid w:val="19F650C1"/>
    <w:rsid w:val="19F669D3"/>
    <w:rsid w:val="19F7A867"/>
    <w:rsid w:val="19FA2F4B"/>
    <w:rsid w:val="19FA9A6F"/>
    <w:rsid w:val="1A06F6A4"/>
    <w:rsid w:val="1A0EAC5D"/>
    <w:rsid w:val="1A124E36"/>
    <w:rsid w:val="1A12AD68"/>
    <w:rsid w:val="1A1306B5"/>
    <w:rsid w:val="1A176338"/>
    <w:rsid w:val="1A1CD32F"/>
    <w:rsid w:val="1A221633"/>
    <w:rsid w:val="1A24269E"/>
    <w:rsid w:val="1A2669F3"/>
    <w:rsid w:val="1A27477B"/>
    <w:rsid w:val="1A291B78"/>
    <w:rsid w:val="1A293AA6"/>
    <w:rsid w:val="1A2AEFB0"/>
    <w:rsid w:val="1A2EB701"/>
    <w:rsid w:val="1A337CD5"/>
    <w:rsid w:val="1A36B135"/>
    <w:rsid w:val="1A37833E"/>
    <w:rsid w:val="1A3829A6"/>
    <w:rsid w:val="1A38C56D"/>
    <w:rsid w:val="1A42199A"/>
    <w:rsid w:val="1A43924F"/>
    <w:rsid w:val="1A441369"/>
    <w:rsid w:val="1A4A7755"/>
    <w:rsid w:val="1A4EABBD"/>
    <w:rsid w:val="1A569B99"/>
    <w:rsid w:val="1A580D1B"/>
    <w:rsid w:val="1A5905C7"/>
    <w:rsid w:val="1A5A0976"/>
    <w:rsid w:val="1A5E0201"/>
    <w:rsid w:val="1A605F48"/>
    <w:rsid w:val="1A619F5E"/>
    <w:rsid w:val="1A646CAD"/>
    <w:rsid w:val="1A668FF2"/>
    <w:rsid w:val="1A681678"/>
    <w:rsid w:val="1A68EDE3"/>
    <w:rsid w:val="1A6D66C9"/>
    <w:rsid w:val="1A6DBD1C"/>
    <w:rsid w:val="1A710B52"/>
    <w:rsid w:val="1A71225E"/>
    <w:rsid w:val="1A72F464"/>
    <w:rsid w:val="1A762ED6"/>
    <w:rsid w:val="1A7BAC90"/>
    <w:rsid w:val="1A7E17BA"/>
    <w:rsid w:val="1A7FE0C2"/>
    <w:rsid w:val="1A8640BB"/>
    <w:rsid w:val="1A868082"/>
    <w:rsid w:val="1A89F45F"/>
    <w:rsid w:val="1A8D0B51"/>
    <w:rsid w:val="1A8DC89F"/>
    <w:rsid w:val="1A91E048"/>
    <w:rsid w:val="1A94AD80"/>
    <w:rsid w:val="1A98D52A"/>
    <w:rsid w:val="1A9CAA00"/>
    <w:rsid w:val="1A9D6AAE"/>
    <w:rsid w:val="1AA186D5"/>
    <w:rsid w:val="1AA1D72D"/>
    <w:rsid w:val="1AA4A4A5"/>
    <w:rsid w:val="1AA5F223"/>
    <w:rsid w:val="1AA8DFF6"/>
    <w:rsid w:val="1AA9953A"/>
    <w:rsid w:val="1AB2FFD6"/>
    <w:rsid w:val="1AB748CE"/>
    <w:rsid w:val="1AB7D422"/>
    <w:rsid w:val="1ABAE0E0"/>
    <w:rsid w:val="1ABB0248"/>
    <w:rsid w:val="1ABBD731"/>
    <w:rsid w:val="1ABF8ED7"/>
    <w:rsid w:val="1AC3DFFA"/>
    <w:rsid w:val="1AC70E4F"/>
    <w:rsid w:val="1AC838E4"/>
    <w:rsid w:val="1AC8635D"/>
    <w:rsid w:val="1ACC1F2C"/>
    <w:rsid w:val="1ACD5673"/>
    <w:rsid w:val="1AD04FE8"/>
    <w:rsid w:val="1AD449EA"/>
    <w:rsid w:val="1AD4B60D"/>
    <w:rsid w:val="1AD64992"/>
    <w:rsid w:val="1AD94DB1"/>
    <w:rsid w:val="1ADA22C8"/>
    <w:rsid w:val="1ADF07D3"/>
    <w:rsid w:val="1AE049B0"/>
    <w:rsid w:val="1AE36BEE"/>
    <w:rsid w:val="1AE5B41D"/>
    <w:rsid w:val="1AEAC399"/>
    <w:rsid w:val="1AEBBD98"/>
    <w:rsid w:val="1AEDB586"/>
    <w:rsid w:val="1AF141AF"/>
    <w:rsid w:val="1AF2A30C"/>
    <w:rsid w:val="1AFC8D71"/>
    <w:rsid w:val="1B014C1E"/>
    <w:rsid w:val="1B039578"/>
    <w:rsid w:val="1B04DD24"/>
    <w:rsid w:val="1B072D10"/>
    <w:rsid w:val="1B0C0E5A"/>
    <w:rsid w:val="1B10014D"/>
    <w:rsid w:val="1B14862F"/>
    <w:rsid w:val="1B17882C"/>
    <w:rsid w:val="1B188324"/>
    <w:rsid w:val="1B1D9B98"/>
    <w:rsid w:val="1B1DF882"/>
    <w:rsid w:val="1B239E2C"/>
    <w:rsid w:val="1B26ABFD"/>
    <w:rsid w:val="1B28A16D"/>
    <w:rsid w:val="1B30B0E3"/>
    <w:rsid w:val="1B35B57C"/>
    <w:rsid w:val="1B3CEA95"/>
    <w:rsid w:val="1B40D3CD"/>
    <w:rsid w:val="1B45761F"/>
    <w:rsid w:val="1B49996F"/>
    <w:rsid w:val="1B4AC65D"/>
    <w:rsid w:val="1B4CD45A"/>
    <w:rsid w:val="1B52AD60"/>
    <w:rsid w:val="1B52CB12"/>
    <w:rsid w:val="1B559513"/>
    <w:rsid w:val="1B59E3B7"/>
    <w:rsid w:val="1B5A8CA1"/>
    <w:rsid w:val="1B5AE962"/>
    <w:rsid w:val="1B5DF869"/>
    <w:rsid w:val="1B60FBE4"/>
    <w:rsid w:val="1B61A2AD"/>
    <w:rsid w:val="1B66C0E9"/>
    <w:rsid w:val="1B674C32"/>
    <w:rsid w:val="1B68958B"/>
    <w:rsid w:val="1B6AE75D"/>
    <w:rsid w:val="1B6BC21D"/>
    <w:rsid w:val="1B6C8C4C"/>
    <w:rsid w:val="1B6DB8BA"/>
    <w:rsid w:val="1B6E5054"/>
    <w:rsid w:val="1B6FC3BB"/>
    <w:rsid w:val="1B714732"/>
    <w:rsid w:val="1B762E2A"/>
    <w:rsid w:val="1B7ADF5C"/>
    <w:rsid w:val="1B7EC94A"/>
    <w:rsid w:val="1B826B64"/>
    <w:rsid w:val="1B8937C0"/>
    <w:rsid w:val="1B89F7AB"/>
    <w:rsid w:val="1B8E4B6B"/>
    <w:rsid w:val="1B8ED30F"/>
    <w:rsid w:val="1B909D41"/>
    <w:rsid w:val="1B9276E2"/>
    <w:rsid w:val="1B995598"/>
    <w:rsid w:val="1B9C2932"/>
    <w:rsid w:val="1B9F9040"/>
    <w:rsid w:val="1B9F995C"/>
    <w:rsid w:val="1BA08DF4"/>
    <w:rsid w:val="1BA6735E"/>
    <w:rsid w:val="1BAAC28E"/>
    <w:rsid w:val="1BB010FC"/>
    <w:rsid w:val="1BB37E31"/>
    <w:rsid w:val="1BB67DDC"/>
    <w:rsid w:val="1BBD2B97"/>
    <w:rsid w:val="1BC39B8D"/>
    <w:rsid w:val="1BC3BECB"/>
    <w:rsid w:val="1BCB6DF4"/>
    <w:rsid w:val="1BCE99A7"/>
    <w:rsid w:val="1BD42BCA"/>
    <w:rsid w:val="1BD6B6A1"/>
    <w:rsid w:val="1BDB487A"/>
    <w:rsid w:val="1BDD6FA5"/>
    <w:rsid w:val="1BDE1747"/>
    <w:rsid w:val="1BDFB045"/>
    <w:rsid w:val="1BE449C1"/>
    <w:rsid w:val="1BE892D5"/>
    <w:rsid w:val="1BEAF905"/>
    <w:rsid w:val="1BEBC17C"/>
    <w:rsid w:val="1BED4FF0"/>
    <w:rsid w:val="1BEE5BE3"/>
    <w:rsid w:val="1BF37918"/>
    <w:rsid w:val="1BF37CF2"/>
    <w:rsid w:val="1BF53E85"/>
    <w:rsid w:val="1BF9C94C"/>
    <w:rsid w:val="1BFC0770"/>
    <w:rsid w:val="1C00F142"/>
    <w:rsid w:val="1C0257E7"/>
    <w:rsid w:val="1C031E06"/>
    <w:rsid w:val="1C05380A"/>
    <w:rsid w:val="1C07457D"/>
    <w:rsid w:val="1C0B48B1"/>
    <w:rsid w:val="1C0CF51D"/>
    <w:rsid w:val="1C0DEC10"/>
    <w:rsid w:val="1C0E3F61"/>
    <w:rsid w:val="1C105012"/>
    <w:rsid w:val="1C13CB9D"/>
    <w:rsid w:val="1C13F825"/>
    <w:rsid w:val="1C144289"/>
    <w:rsid w:val="1C1A9043"/>
    <w:rsid w:val="1C1BD8C2"/>
    <w:rsid w:val="1C1BEAF3"/>
    <w:rsid w:val="1C1D021D"/>
    <w:rsid w:val="1C29A68B"/>
    <w:rsid w:val="1C29C753"/>
    <w:rsid w:val="1C2C58E2"/>
    <w:rsid w:val="1C318E0D"/>
    <w:rsid w:val="1C34A16E"/>
    <w:rsid w:val="1C3C1C36"/>
    <w:rsid w:val="1C422F38"/>
    <w:rsid w:val="1C45E273"/>
    <w:rsid w:val="1C47331D"/>
    <w:rsid w:val="1C4853E6"/>
    <w:rsid w:val="1C49A8AE"/>
    <w:rsid w:val="1C4A5E01"/>
    <w:rsid w:val="1C4B6CFD"/>
    <w:rsid w:val="1C4D09A7"/>
    <w:rsid w:val="1C500E27"/>
    <w:rsid w:val="1C5A62F4"/>
    <w:rsid w:val="1C5DD5AD"/>
    <w:rsid w:val="1C5E4B10"/>
    <w:rsid w:val="1C601B09"/>
    <w:rsid w:val="1C636DF4"/>
    <w:rsid w:val="1C6ACC22"/>
    <w:rsid w:val="1C6D9928"/>
    <w:rsid w:val="1C716484"/>
    <w:rsid w:val="1C739962"/>
    <w:rsid w:val="1C73E179"/>
    <w:rsid w:val="1C8265F6"/>
    <w:rsid w:val="1C830550"/>
    <w:rsid w:val="1C8644C5"/>
    <w:rsid w:val="1C88479B"/>
    <w:rsid w:val="1C88D048"/>
    <w:rsid w:val="1C89FEF5"/>
    <w:rsid w:val="1C8AF3B7"/>
    <w:rsid w:val="1C8D0468"/>
    <w:rsid w:val="1C8D9BF3"/>
    <w:rsid w:val="1C913E76"/>
    <w:rsid w:val="1C98A2F9"/>
    <w:rsid w:val="1C9C523A"/>
    <w:rsid w:val="1C9E577F"/>
    <w:rsid w:val="1CA33E5F"/>
    <w:rsid w:val="1CA6B6A2"/>
    <w:rsid w:val="1CA7F436"/>
    <w:rsid w:val="1CAD476B"/>
    <w:rsid w:val="1CB355A7"/>
    <w:rsid w:val="1CB45491"/>
    <w:rsid w:val="1CB68C05"/>
    <w:rsid w:val="1CB92727"/>
    <w:rsid w:val="1CBA41FF"/>
    <w:rsid w:val="1CBB0D03"/>
    <w:rsid w:val="1CBD195D"/>
    <w:rsid w:val="1CBEB320"/>
    <w:rsid w:val="1CC45105"/>
    <w:rsid w:val="1CC5F6CF"/>
    <w:rsid w:val="1CCC2E5B"/>
    <w:rsid w:val="1CCC67ED"/>
    <w:rsid w:val="1CCE02F4"/>
    <w:rsid w:val="1CD22D1D"/>
    <w:rsid w:val="1CD7B103"/>
    <w:rsid w:val="1CD84ABC"/>
    <w:rsid w:val="1CDA88E5"/>
    <w:rsid w:val="1CDDACA9"/>
    <w:rsid w:val="1CDE43DE"/>
    <w:rsid w:val="1CDF2332"/>
    <w:rsid w:val="1CE32058"/>
    <w:rsid w:val="1CE75A21"/>
    <w:rsid w:val="1CECA4B9"/>
    <w:rsid w:val="1CF7B6EE"/>
    <w:rsid w:val="1CF962F8"/>
    <w:rsid w:val="1CFFEDC7"/>
    <w:rsid w:val="1D048201"/>
    <w:rsid w:val="1D05E384"/>
    <w:rsid w:val="1D0AD912"/>
    <w:rsid w:val="1D10A5FF"/>
    <w:rsid w:val="1D18A296"/>
    <w:rsid w:val="1D23BFC7"/>
    <w:rsid w:val="1D2527BB"/>
    <w:rsid w:val="1D2746A0"/>
    <w:rsid w:val="1D290CA9"/>
    <w:rsid w:val="1D2EABE2"/>
    <w:rsid w:val="1D2F0BF0"/>
    <w:rsid w:val="1D2FA8A4"/>
    <w:rsid w:val="1D32761D"/>
    <w:rsid w:val="1D331CE5"/>
    <w:rsid w:val="1D358008"/>
    <w:rsid w:val="1D37F3CA"/>
    <w:rsid w:val="1D3A3F29"/>
    <w:rsid w:val="1D3F8EBD"/>
    <w:rsid w:val="1D407382"/>
    <w:rsid w:val="1D486820"/>
    <w:rsid w:val="1D4AEBDA"/>
    <w:rsid w:val="1D4B0232"/>
    <w:rsid w:val="1D4E3D9A"/>
    <w:rsid w:val="1D4E9AB2"/>
    <w:rsid w:val="1D535808"/>
    <w:rsid w:val="1D54D3BF"/>
    <w:rsid w:val="1D587746"/>
    <w:rsid w:val="1D58B29C"/>
    <w:rsid w:val="1D5B2EF2"/>
    <w:rsid w:val="1D6B9B73"/>
    <w:rsid w:val="1D6F9BF1"/>
    <w:rsid w:val="1D7657C7"/>
    <w:rsid w:val="1D77AEC0"/>
    <w:rsid w:val="1D793EEE"/>
    <w:rsid w:val="1D7B27BD"/>
    <w:rsid w:val="1D88C1CA"/>
    <w:rsid w:val="1D8C621B"/>
    <w:rsid w:val="1D8CE6FC"/>
    <w:rsid w:val="1D958167"/>
    <w:rsid w:val="1DA57399"/>
    <w:rsid w:val="1DAA255A"/>
    <w:rsid w:val="1DB49BE7"/>
    <w:rsid w:val="1DB5B320"/>
    <w:rsid w:val="1DBC0FCA"/>
    <w:rsid w:val="1DC7C397"/>
    <w:rsid w:val="1DC8A822"/>
    <w:rsid w:val="1DCC393C"/>
    <w:rsid w:val="1DCD08D9"/>
    <w:rsid w:val="1DCE7F06"/>
    <w:rsid w:val="1DD65722"/>
    <w:rsid w:val="1DD8D680"/>
    <w:rsid w:val="1DDA7856"/>
    <w:rsid w:val="1DDB043B"/>
    <w:rsid w:val="1DDD7856"/>
    <w:rsid w:val="1DDEFC04"/>
    <w:rsid w:val="1DDFAC21"/>
    <w:rsid w:val="1DEA7A58"/>
    <w:rsid w:val="1DEEE751"/>
    <w:rsid w:val="1E01ED92"/>
    <w:rsid w:val="1E037AE1"/>
    <w:rsid w:val="1E05A0C1"/>
    <w:rsid w:val="1E079D38"/>
    <w:rsid w:val="1E0B3822"/>
    <w:rsid w:val="1E14F24C"/>
    <w:rsid w:val="1E1556B0"/>
    <w:rsid w:val="1E1AE699"/>
    <w:rsid w:val="1E1F111E"/>
    <w:rsid w:val="1E2615AD"/>
    <w:rsid w:val="1E275C13"/>
    <w:rsid w:val="1E297C47"/>
    <w:rsid w:val="1E2D1F67"/>
    <w:rsid w:val="1E34DEBF"/>
    <w:rsid w:val="1E34DFAD"/>
    <w:rsid w:val="1E37438A"/>
    <w:rsid w:val="1E37ECE3"/>
    <w:rsid w:val="1E398DBD"/>
    <w:rsid w:val="1E3B1332"/>
    <w:rsid w:val="1E3B806C"/>
    <w:rsid w:val="1E3BFB3E"/>
    <w:rsid w:val="1E3C7C8B"/>
    <w:rsid w:val="1E495520"/>
    <w:rsid w:val="1E4B62B7"/>
    <w:rsid w:val="1E503916"/>
    <w:rsid w:val="1E5635E5"/>
    <w:rsid w:val="1E56A421"/>
    <w:rsid w:val="1E56DD64"/>
    <w:rsid w:val="1E5D15EB"/>
    <w:rsid w:val="1E6034F6"/>
    <w:rsid w:val="1E68318D"/>
    <w:rsid w:val="1E68F903"/>
    <w:rsid w:val="1E6C757A"/>
    <w:rsid w:val="1E719D5B"/>
    <w:rsid w:val="1E771757"/>
    <w:rsid w:val="1E797590"/>
    <w:rsid w:val="1E7CA36F"/>
    <w:rsid w:val="1E7D8A91"/>
    <w:rsid w:val="1E7E2F1D"/>
    <w:rsid w:val="1E7E738A"/>
    <w:rsid w:val="1E8149DE"/>
    <w:rsid w:val="1E84344E"/>
    <w:rsid w:val="1E898007"/>
    <w:rsid w:val="1E9174E5"/>
    <w:rsid w:val="1E9271CD"/>
    <w:rsid w:val="1E95D57F"/>
    <w:rsid w:val="1E990D3A"/>
    <w:rsid w:val="1EA71B58"/>
    <w:rsid w:val="1EA7BB09"/>
    <w:rsid w:val="1EA953B2"/>
    <w:rsid w:val="1EAB80BC"/>
    <w:rsid w:val="1EAD550F"/>
    <w:rsid w:val="1EAFD2BD"/>
    <w:rsid w:val="1EB5F743"/>
    <w:rsid w:val="1EBAA253"/>
    <w:rsid w:val="1EBC0A16"/>
    <w:rsid w:val="1EBD655C"/>
    <w:rsid w:val="1EBF8035"/>
    <w:rsid w:val="1EC4AD36"/>
    <w:rsid w:val="1EC9108D"/>
    <w:rsid w:val="1ECD4790"/>
    <w:rsid w:val="1ED4A50B"/>
    <w:rsid w:val="1ED68579"/>
    <w:rsid w:val="1ED7B186"/>
    <w:rsid w:val="1EDD790F"/>
    <w:rsid w:val="1EDE4A13"/>
    <w:rsid w:val="1EDED315"/>
    <w:rsid w:val="1EE5D227"/>
    <w:rsid w:val="1EE90F7E"/>
    <w:rsid w:val="1EEB77F3"/>
    <w:rsid w:val="1EEDFBAD"/>
    <w:rsid w:val="1EEF48BB"/>
    <w:rsid w:val="1EFA7E32"/>
    <w:rsid w:val="1EFAB325"/>
    <w:rsid w:val="1EFBF523"/>
    <w:rsid w:val="1EFF2784"/>
    <w:rsid w:val="1EFF4DC9"/>
    <w:rsid w:val="1F00DDA1"/>
    <w:rsid w:val="1F06D858"/>
    <w:rsid w:val="1F0E27FC"/>
    <w:rsid w:val="1F0ED10E"/>
    <w:rsid w:val="1F1413CC"/>
    <w:rsid w:val="1F153808"/>
    <w:rsid w:val="1F1706BF"/>
    <w:rsid w:val="1F1A0534"/>
    <w:rsid w:val="1F1CC486"/>
    <w:rsid w:val="1F2061F1"/>
    <w:rsid w:val="1F2296B9"/>
    <w:rsid w:val="1F22B3B6"/>
    <w:rsid w:val="1F2316FA"/>
    <w:rsid w:val="1F27B6AD"/>
    <w:rsid w:val="1F28AAA4"/>
    <w:rsid w:val="1F2F26B9"/>
    <w:rsid w:val="1F3217FC"/>
    <w:rsid w:val="1F33F03C"/>
    <w:rsid w:val="1F34D93D"/>
    <w:rsid w:val="1F386D7E"/>
    <w:rsid w:val="1F3A635E"/>
    <w:rsid w:val="1F40C1AA"/>
    <w:rsid w:val="1F48A1F2"/>
    <w:rsid w:val="1F493744"/>
    <w:rsid w:val="1F49E2F0"/>
    <w:rsid w:val="1F4A5F6A"/>
    <w:rsid w:val="1F4F4B99"/>
    <w:rsid w:val="1F4F7E67"/>
    <w:rsid w:val="1F520A2F"/>
    <w:rsid w:val="1F5288D7"/>
    <w:rsid w:val="1F52BD55"/>
    <w:rsid w:val="1F54C7BB"/>
    <w:rsid w:val="1F5A4E3F"/>
    <w:rsid w:val="1F5B2F28"/>
    <w:rsid w:val="1F5B352E"/>
    <w:rsid w:val="1F5B9E25"/>
    <w:rsid w:val="1F5C700C"/>
    <w:rsid w:val="1F62F1F8"/>
    <w:rsid w:val="1F6DB677"/>
    <w:rsid w:val="1F71787A"/>
    <w:rsid w:val="1F7518B0"/>
    <w:rsid w:val="1F76FF8A"/>
    <w:rsid w:val="1F77F399"/>
    <w:rsid w:val="1F7C97D4"/>
    <w:rsid w:val="1F7E1373"/>
    <w:rsid w:val="1F7EA149"/>
    <w:rsid w:val="1F7EDC17"/>
    <w:rsid w:val="1F82336C"/>
    <w:rsid w:val="1F82BC6A"/>
    <w:rsid w:val="1F8BC275"/>
    <w:rsid w:val="1F8E94BD"/>
    <w:rsid w:val="1F909495"/>
    <w:rsid w:val="1F926075"/>
    <w:rsid w:val="1F9511B7"/>
    <w:rsid w:val="1F9F3F92"/>
    <w:rsid w:val="1FA1AB1B"/>
    <w:rsid w:val="1FAB7B6E"/>
    <w:rsid w:val="1FAC5CDB"/>
    <w:rsid w:val="1FAC8588"/>
    <w:rsid w:val="1FAE07B2"/>
    <w:rsid w:val="1FB05FDE"/>
    <w:rsid w:val="1FB4505A"/>
    <w:rsid w:val="1FB84F13"/>
    <w:rsid w:val="1FC142E2"/>
    <w:rsid w:val="1FC1466F"/>
    <w:rsid w:val="1FC7ADAA"/>
    <w:rsid w:val="1FCA84BD"/>
    <w:rsid w:val="1FD2AF44"/>
    <w:rsid w:val="1FD612CC"/>
    <w:rsid w:val="1FDA2D0F"/>
    <w:rsid w:val="1FDA5F61"/>
    <w:rsid w:val="1FDBE871"/>
    <w:rsid w:val="1FDC0828"/>
    <w:rsid w:val="1FDF6485"/>
    <w:rsid w:val="1FDF8705"/>
    <w:rsid w:val="1FE0F9B0"/>
    <w:rsid w:val="1FECAB50"/>
    <w:rsid w:val="1FEE6757"/>
    <w:rsid w:val="1FEF30A5"/>
    <w:rsid w:val="1FF7F372"/>
    <w:rsid w:val="1FFBF6A2"/>
    <w:rsid w:val="1FFDB6E6"/>
    <w:rsid w:val="200249B6"/>
    <w:rsid w:val="20063E13"/>
    <w:rsid w:val="200B2C49"/>
    <w:rsid w:val="200B97E9"/>
    <w:rsid w:val="200BF970"/>
    <w:rsid w:val="200CA9A6"/>
    <w:rsid w:val="200CAEF7"/>
    <w:rsid w:val="200D0940"/>
    <w:rsid w:val="20171B5A"/>
    <w:rsid w:val="2018FE84"/>
    <w:rsid w:val="2019D453"/>
    <w:rsid w:val="201EEFB8"/>
    <w:rsid w:val="20219599"/>
    <w:rsid w:val="2027977B"/>
    <w:rsid w:val="202B41B5"/>
    <w:rsid w:val="2033AA70"/>
    <w:rsid w:val="203412AB"/>
    <w:rsid w:val="2036B007"/>
    <w:rsid w:val="20385483"/>
    <w:rsid w:val="203E92C2"/>
    <w:rsid w:val="20402A76"/>
    <w:rsid w:val="20437A08"/>
    <w:rsid w:val="2045A1C0"/>
    <w:rsid w:val="2046374C"/>
    <w:rsid w:val="204AEDD2"/>
    <w:rsid w:val="204CA66B"/>
    <w:rsid w:val="2050850B"/>
    <w:rsid w:val="205393C6"/>
    <w:rsid w:val="2054211C"/>
    <w:rsid w:val="205734BA"/>
    <w:rsid w:val="205779B5"/>
    <w:rsid w:val="2064F27C"/>
    <w:rsid w:val="20655BA1"/>
    <w:rsid w:val="2067719E"/>
    <w:rsid w:val="20692B36"/>
    <w:rsid w:val="206D8AA3"/>
    <w:rsid w:val="2070D0A5"/>
    <w:rsid w:val="20719FA2"/>
    <w:rsid w:val="20730556"/>
    <w:rsid w:val="20739114"/>
    <w:rsid w:val="2073AEAA"/>
    <w:rsid w:val="208399CE"/>
    <w:rsid w:val="2086426B"/>
    <w:rsid w:val="2088B0A4"/>
    <w:rsid w:val="208A8578"/>
    <w:rsid w:val="209071AA"/>
    <w:rsid w:val="2091CD5D"/>
    <w:rsid w:val="209A163F"/>
    <w:rsid w:val="20A2A8B9"/>
    <w:rsid w:val="20A4A79F"/>
    <w:rsid w:val="20A79200"/>
    <w:rsid w:val="20AE9F12"/>
    <w:rsid w:val="20B00979"/>
    <w:rsid w:val="20B442C8"/>
    <w:rsid w:val="20B55543"/>
    <w:rsid w:val="20B687B7"/>
    <w:rsid w:val="20BA12CF"/>
    <w:rsid w:val="20BBD897"/>
    <w:rsid w:val="20BDB075"/>
    <w:rsid w:val="20C292A8"/>
    <w:rsid w:val="20C441C8"/>
    <w:rsid w:val="20C8F9B3"/>
    <w:rsid w:val="20CB10B8"/>
    <w:rsid w:val="20CC8718"/>
    <w:rsid w:val="20CE31EF"/>
    <w:rsid w:val="20CFC989"/>
    <w:rsid w:val="20D16A75"/>
    <w:rsid w:val="20D41456"/>
    <w:rsid w:val="20D78F4A"/>
    <w:rsid w:val="20DA6767"/>
    <w:rsid w:val="20DA9868"/>
    <w:rsid w:val="20E29245"/>
    <w:rsid w:val="20E50DA5"/>
    <w:rsid w:val="20EA3134"/>
    <w:rsid w:val="20EB1BFA"/>
    <w:rsid w:val="20EF7812"/>
    <w:rsid w:val="20EFDBF1"/>
    <w:rsid w:val="20F28833"/>
    <w:rsid w:val="20F363E5"/>
    <w:rsid w:val="20F3B1E0"/>
    <w:rsid w:val="20FA90C4"/>
    <w:rsid w:val="20FD9244"/>
    <w:rsid w:val="20FF8E8E"/>
    <w:rsid w:val="210013F8"/>
    <w:rsid w:val="2103274E"/>
    <w:rsid w:val="21046F57"/>
    <w:rsid w:val="2104C842"/>
    <w:rsid w:val="2107210A"/>
    <w:rsid w:val="21076D17"/>
    <w:rsid w:val="2111494A"/>
    <w:rsid w:val="21142487"/>
    <w:rsid w:val="211921CD"/>
    <w:rsid w:val="211C2A37"/>
    <w:rsid w:val="211E05EB"/>
    <w:rsid w:val="211E3483"/>
    <w:rsid w:val="211F1E94"/>
    <w:rsid w:val="212374B2"/>
    <w:rsid w:val="212500C2"/>
    <w:rsid w:val="212554CF"/>
    <w:rsid w:val="2125D1BF"/>
    <w:rsid w:val="21265422"/>
    <w:rsid w:val="2128B236"/>
    <w:rsid w:val="2129F5DF"/>
    <w:rsid w:val="212C55D5"/>
    <w:rsid w:val="212C6F42"/>
    <w:rsid w:val="2130A3A2"/>
    <w:rsid w:val="213210BC"/>
    <w:rsid w:val="21326E02"/>
    <w:rsid w:val="213420F1"/>
    <w:rsid w:val="2134E29D"/>
    <w:rsid w:val="21385F64"/>
    <w:rsid w:val="21393445"/>
    <w:rsid w:val="2139AD26"/>
    <w:rsid w:val="213A67D9"/>
    <w:rsid w:val="213C390D"/>
    <w:rsid w:val="213D3D69"/>
    <w:rsid w:val="213F38EA"/>
    <w:rsid w:val="21471ECD"/>
    <w:rsid w:val="2150FBDC"/>
    <w:rsid w:val="21511338"/>
    <w:rsid w:val="21571AE9"/>
    <w:rsid w:val="215E3344"/>
    <w:rsid w:val="215FEA0F"/>
    <w:rsid w:val="21607322"/>
    <w:rsid w:val="21649AF0"/>
    <w:rsid w:val="21697770"/>
    <w:rsid w:val="216BC105"/>
    <w:rsid w:val="216D7180"/>
    <w:rsid w:val="216F8566"/>
    <w:rsid w:val="217A77A2"/>
    <w:rsid w:val="2181B6C6"/>
    <w:rsid w:val="21897C60"/>
    <w:rsid w:val="218D624E"/>
    <w:rsid w:val="2190498B"/>
    <w:rsid w:val="2195BCAC"/>
    <w:rsid w:val="21A05181"/>
    <w:rsid w:val="21A289C6"/>
    <w:rsid w:val="21A8821D"/>
    <w:rsid w:val="21AA08D4"/>
    <w:rsid w:val="21B0F367"/>
    <w:rsid w:val="21B12136"/>
    <w:rsid w:val="21B1A26A"/>
    <w:rsid w:val="21B2E805"/>
    <w:rsid w:val="21B36F50"/>
    <w:rsid w:val="21B64D55"/>
    <w:rsid w:val="21B69CB3"/>
    <w:rsid w:val="21C10B8A"/>
    <w:rsid w:val="21C11D54"/>
    <w:rsid w:val="21C2EF7D"/>
    <w:rsid w:val="21C6180C"/>
    <w:rsid w:val="21C97F4A"/>
    <w:rsid w:val="21CB299C"/>
    <w:rsid w:val="21CEAB69"/>
    <w:rsid w:val="21D24731"/>
    <w:rsid w:val="21D5513E"/>
    <w:rsid w:val="21D5C58C"/>
    <w:rsid w:val="21D8A025"/>
    <w:rsid w:val="21D9CAB5"/>
    <w:rsid w:val="21DCDA18"/>
    <w:rsid w:val="21DED89C"/>
    <w:rsid w:val="21DF3E86"/>
    <w:rsid w:val="21E53A6E"/>
    <w:rsid w:val="21EBACCE"/>
    <w:rsid w:val="21F2ABE0"/>
    <w:rsid w:val="21FB0259"/>
    <w:rsid w:val="21FEDBAC"/>
    <w:rsid w:val="2201EAD7"/>
    <w:rsid w:val="22039EEE"/>
    <w:rsid w:val="22049938"/>
    <w:rsid w:val="22059694"/>
    <w:rsid w:val="220667F0"/>
    <w:rsid w:val="220AA383"/>
    <w:rsid w:val="22110DB1"/>
    <w:rsid w:val="2214D502"/>
    <w:rsid w:val="2217423D"/>
    <w:rsid w:val="2217BC03"/>
    <w:rsid w:val="221C7B90"/>
    <w:rsid w:val="22205363"/>
    <w:rsid w:val="2222ABE8"/>
    <w:rsid w:val="2223BBD4"/>
    <w:rsid w:val="2225187D"/>
    <w:rsid w:val="22315887"/>
    <w:rsid w:val="2233CE5C"/>
    <w:rsid w:val="2236217E"/>
    <w:rsid w:val="2239E69F"/>
    <w:rsid w:val="223A254A"/>
    <w:rsid w:val="22419296"/>
    <w:rsid w:val="2242DACC"/>
    <w:rsid w:val="22484761"/>
    <w:rsid w:val="224A7416"/>
    <w:rsid w:val="224CEBFB"/>
    <w:rsid w:val="22506CA9"/>
    <w:rsid w:val="2251E17C"/>
    <w:rsid w:val="2252AD77"/>
    <w:rsid w:val="22533624"/>
    <w:rsid w:val="225427AB"/>
    <w:rsid w:val="225476AF"/>
    <w:rsid w:val="2257D6FB"/>
    <w:rsid w:val="225AFF8B"/>
    <w:rsid w:val="22644DF0"/>
    <w:rsid w:val="2264672D"/>
    <w:rsid w:val="226572CC"/>
    <w:rsid w:val="2269255B"/>
    <w:rsid w:val="226A38C5"/>
    <w:rsid w:val="226A7C3C"/>
    <w:rsid w:val="2271EC31"/>
    <w:rsid w:val="227380C3"/>
    <w:rsid w:val="2276DD22"/>
    <w:rsid w:val="227B7372"/>
    <w:rsid w:val="2286EC5B"/>
    <w:rsid w:val="228AC2BE"/>
    <w:rsid w:val="228B9D87"/>
    <w:rsid w:val="228CC089"/>
    <w:rsid w:val="228F4E3A"/>
    <w:rsid w:val="229B209A"/>
    <w:rsid w:val="229FB471"/>
    <w:rsid w:val="22A01011"/>
    <w:rsid w:val="22A0B4AE"/>
    <w:rsid w:val="22A3C95D"/>
    <w:rsid w:val="22A75FCF"/>
    <w:rsid w:val="22A7EAA1"/>
    <w:rsid w:val="22AA52D2"/>
    <w:rsid w:val="22AEFBC3"/>
    <w:rsid w:val="22AFC0F4"/>
    <w:rsid w:val="22B06199"/>
    <w:rsid w:val="22B0EEB1"/>
    <w:rsid w:val="22B19FA9"/>
    <w:rsid w:val="22B3D63F"/>
    <w:rsid w:val="22B3EEBA"/>
    <w:rsid w:val="22B534A7"/>
    <w:rsid w:val="22B8AF62"/>
    <w:rsid w:val="22B9F6F3"/>
    <w:rsid w:val="22C55BDD"/>
    <w:rsid w:val="22D5820C"/>
    <w:rsid w:val="22D82BD4"/>
    <w:rsid w:val="22D8CEF4"/>
    <w:rsid w:val="22DC1D6E"/>
    <w:rsid w:val="22DCC293"/>
    <w:rsid w:val="22E10538"/>
    <w:rsid w:val="22EB41BB"/>
    <w:rsid w:val="22EBF6BA"/>
    <w:rsid w:val="22EE9F68"/>
    <w:rsid w:val="22F338D3"/>
    <w:rsid w:val="22F39CC0"/>
    <w:rsid w:val="22F890F4"/>
    <w:rsid w:val="22FD83E7"/>
    <w:rsid w:val="2300A49A"/>
    <w:rsid w:val="230124DA"/>
    <w:rsid w:val="23014B08"/>
    <w:rsid w:val="2302DB3C"/>
    <w:rsid w:val="230B4C25"/>
    <w:rsid w:val="230C65C3"/>
    <w:rsid w:val="230FA0D6"/>
    <w:rsid w:val="23154832"/>
    <w:rsid w:val="231700AA"/>
    <w:rsid w:val="231B5CEB"/>
    <w:rsid w:val="231DAAF2"/>
    <w:rsid w:val="23237F38"/>
    <w:rsid w:val="2326F0C7"/>
    <w:rsid w:val="232753C0"/>
    <w:rsid w:val="23294DA3"/>
    <w:rsid w:val="232A0D2E"/>
    <w:rsid w:val="232F6DDE"/>
    <w:rsid w:val="23301777"/>
    <w:rsid w:val="23372993"/>
    <w:rsid w:val="23385CC1"/>
    <w:rsid w:val="23469AE3"/>
    <w:rsid w:val="2346E247"/>
    <w:rsid w:val="23472F20"/>
    <w:rsid w:val="234C1166"/>
    <w:rsid w:val="234D1E44"/>
    <w:rsid w:val="234D4D29"/>
    <w:rsid w:val="2351AF6D"/>
    <w:rsid w:val="23561424"/>
    <w:rsid w:val="2356C130"/>
    <w:rsid w:val="235C4491"/>
    <w:rsid w:val="235DB2F3"/>
    <w:rsid w:val="235DFECD"/>
    <w:rsid w:val="235E581D"/>
    <w:rsid w:val="23617CF5"/>
    <w:rsid w:val="2361DFC4"/>
    <w:rsid w:val="23710574"/>
    <w:rsid w:val="237154EB"/>
    <w:rsid w:val="237262E3"/>
    <w:rsid w:val="2373041C"/>
    <w:rsid w:val="237C4AD5"/>
    <w:rsid w:val="237C604D"/>
    <w:rsid w:val="2384B098"/>
    <w:rsid w:val="23862C99"/>
    <w:rsid w:val="2386E0E4"/>
    <w:rsid w:val="238A06A9"/>
    <w:rsid w:val="238D071A"/>
    <w:rsid w:val="239052FE"/>
    <w:rsid w:val="23959C0E"/>
    <w:rsid w:val="239D1B1A"/>
    <w:rsid w:val="239D7711"/>
    <w:rsid w:val="23A1B32A"/>
    <w:rsid w:val="23A72A04"/>
    <w:rsid w:val="23AC4553"/>
    <w:rsid w:val="23B1A645"/>
    <w:rsid w:val="23B1E2DA"/>
    <w:rsid w:val="23B66E1C"/>
    <w:rsid w:val="23B6739F"/>
    <w:rsid w:val="23BA271F"/>
    <w:rsid w:val="23BD7B2E"/>
    <w:rsid w:val="23BF5BC2"/>
    <w:rsid w:val="23BFB829"/>
    <w:rsid w:val="23C0E237"/>
    <w:rsid w:val="23C79639"/>
    <w:rsid w:val="23C88313"/>
    <w:rsid w:val="23CCBFAF"/>
    <w:rsid w:val="23D34881"/>
    <w:rsid w:val="23D5FFB3"/>
    <w:rsid w:val="23D70255"/>
    <w:rsid w:val="23D7A4A6"/>
    <w:rsid w:val="23D7AADE"/>
    <w:rsid w:val="23D9212C"/>
    <w:rsid w:val="23DC6B69"/>
    <w:rsid w:val="23DF6AA6"/>
    <w:rsid w:val="23DFC3EC"/>
    <w:rsid w:val="23E082FB"/>
    <w:rsid w:val="23E0FF79"/>
    <w:rsid w:val="23E2BEF6"/>
    <w:rsid w:val="23E82B9D"/>
    <w:rsid w:val="23EAA52D"/>
    <w:rsid w:val="23ED34DD"/>
    <w:rsid w:val="23F878F3"/>
    <w:rsid w:val="23F8DE28"/>
    <w:rsid w:val="23FA3C9E"/>
    <w:rsid w:val="23FFCA7C"/>
    <w:rsid w:val="24016FAA"/>
    <w:rsid w:val="240324E1"/>
    <w:rsid w:val="24033265"/>
    <w:rsid w:val="2403DCF7"/>
    <w:rsid w:val="240529AD"/>
    <w:rsid w:val="2405A279"/>
    <w:rsid w:val="24089A80"/>
    <w:rsid w:val="240AC957"/>
    <w:rsid w:val="240B123C"/>
    <w:rsid w:val="24103C89"/>
    <w:rsid w:val="2412422D"/>
    <w:rsid w:val="241E0389"/>
    <w:rsid w:val="241FF12F"/>
    <w:rsid w:val="2422C6D0"/>
    <w:rsid w:val="242539E0"/>
    <w:rsid w:val="24263DE1"/>
    <w:rsid w:val="2427BE33"/>
    <w:rsid w:val="2429A422"/>
    <w:rsid w:val="242C50E4"/>
    <w:rsid w:val="242DE663"/>
    <w:rsid w:val="242FB83C"/>
    <w:rsid w:val="243033F3"/>
    <w:rsid w:val="24322514"/>
    <w:rsid w:val="2433B44B"/>
    <w:rsid w:val="24378D49"/>
    <w:rsid w:val="2438C2E7"/>
    <w:rsid w:val="243A5ECE"/>
    <w:rsid w:val="243ADD8C"/>
    <w:rsid w:val="243B9A9E"/>
    <w:rsid w:val="243FD531"/>
    <w:rsid w:val="24408C51"/>
    <w:rsid w:val="2441017B"/>
    <w:rsid w:val="2443D785"/>
    <w:rsid w:val="2447457B"/>
    <w:rsid w:val="244A11BC"/>
    <w:rsid w:val="24504A0D"/>
    <w:rsid w:val="24530677"/>
    <w:rsid w:val="2453ACF1"/>
    <w:rsid w:val="2457391C"/>
    <w:rsid w:val="24583229"/>
    <w:rsid w:val="245DDB0C"/>
    <w:rsid w:val="24607464"/>
    <w:rsid w:val="24621A09"/>
    <w:rsid w:val="24639B92"/>
    <w:rsid w:val="24659D48"/>
    <w:rsid w:val="2466F793"/>
    <w:rsid w:val="2468C059"/>
    <w:rsid w:val="246D8AB5"/>
    <w:rsid w:val="246DEAE5"/>
    <w:rsid w:val="247185E2"/>
    <w:rsid w:val="24718761"/>
    <w:rsid w:val="2472F3F8"/>
    <w:rsid w:val="2476A131"/>
    <w:rsid w:val="247BE5D2"/>
    <w:rsid w:val="247E9A9E"/>
    <w:rsid w:val="248222C6"/>
    <w:rsid w:val="2486DD02"/>
    <w:rsid w:val="248A0521"/>
    <w:rsid w:val="248BDEAE"/>
    <w:rsid w:val="248D1B7A"/>
    <w:rsid w:val="248E8A01"/>
    <w:rsid w:val="248ED1CF"/>
    <w:rsid w:val="248F6AA1"/>
    <w:rsid w:val="249820F8"/>
    <w:rsid w:val="249D1806"/>
    <w:rsid w:val="249E03EA"/>
    <w:rsid w:val="249F5DEA"/>
    <w:rsid w:val="249FB0C0"/>
    <w:rsid w:val="24A710F8"/>
    <w:rsid w:val="24A89281"/>
    <w:rsid w:val="24A8EFE4"/>
    <w:rsid w:val="24AE38A8"/>
    <w:rsid w:val="24B36F23"/>
    <w:rsid w:val="24B40BC0"/>
    <w:rsid w:val="24B4DF12"/>
    <w:rsid w:val="24BD2300"/>
    <w:rsid w:val="24C25A44"/>
    <w:rsid w:val="24C32421"/>
    <w:rsid w:val="24C50C9E"/>
    <w:rsid w:val="24C5C628"/>
    <w:rsid w:val="24C851B9"/>
    <w:rsid w:val="24C9D46E"/>
    <w:rsid w:val="24D086EF"/>
    <w:rsid w:val="24D12D32"/>
    <w:rsid w:val="24D81234"/>
    <w:rsid w:val="24D8C190"/>
    <w:rsid w:val="24D9A26A"/>
    <w:rsid w:val="24DBE2BF"/>
    <w:rsid w:val="24DC6F89"/>
    <w:rsid w:val="24DDBCF4"/>
    <w:rsid w:val="24E11015"/>
    <w:rsid w:val="24E27ACA"/>
    <w:rsid w:val="24EA6338"/>
    <w:rsid w:val="24F1B635"/>
    <w:rsid w:val="24F2837D"/>
    <w:rsid w:val="24F2B07A"/>
    <w:rsid w:val="24F45A95"/>
    <w:rsid w:val="24F50C84"/>
    <w:rsid w:val="25008601"/>
    <w:rsid w:val="250265AB"/>
    <w:rsid w:val="2503A5B5"/>
    <w:rsid w:val="250498C7"/>
    <w:rsid w:val="250B44EB"/>
    <w:rsid w:val="250ED47D"/>
    <w:rsid w:val="25179861"/>
    <w:rsid w:val="25183117"/>
    <w:rsid w:val="25188C99"/>
    <w:rsid w:val="251BE6DB"/>
    <w:rsid w:val="251E4BA6"/>
    <w:rsid w:val="251E7220"/>
    <w:rsid w:val="251E80E6"/>
    <w:rsid w:val="251EBC9B"/>
    <w:rsid w:val="2520156B"/>
    <w:rsid w:val="2520515B"/>
    <w:rsid w:val="25273125"/>
    <w:rsid w:val="2527DDF3"/>
    <w:rsid w:val="2528B79D"/>
    <w:rsid w:val="2528D54C"/>
    <w:rsid w:val="25306663"/>
    <w:rsid w:val="2534D6A4"/>
    <w:rsid w:val="2536B452"/>
    <w:rsid w:val="253C7CF3"/>
    <w:rsid w:val="253C7E60"/>
    <w:rsid w:val="253CDB4A"/>
    <w:rsid w:val="253F883C"/>
    <w:rsid w:val="2542F010"/>
    <w:rsid w:val="2543F8F3"/>
    <w:rsid w:val="2544220E"/>
    <w:rsid w:val="2548CF98"/>
    <w:rsid w:val="254F8891"/>
    <w:rsid w:val="2552F903"/>
    <w:rsid w:val="255368AA"/>
    <w:rsid w:val="2556E312"/>
    <w:rsid w:val="2557E21F"/>
    <w:rsid w:val="255A583D"/>
    <w:rsid w:val="255BADF6"/>
    <w:rsid w:val="255BCF2E"/>
    <w:rsid w:val="255C7F5D"/>
    <w:rsid w:val="255E84EF"/>
    <w:rsid w:val="255EFF43"/>
    <w:rsid w:val="25603027"/>
    <w:rsid w:val="25624AAC"/>
    <w:rsid w:val="2568958D"/>
    <w:rsid w:val="256BAF03"/>
    <w:rsid w:val="256E49AF"/>
    <w:rsid w:val="25719EAC"/>
    <w:rsid w:val="2571A7EA"/>
    <w:rsid w:val="25728BBA"/>
    <w:rsid w:val="25740C69"/>
    <w:rsid w:val="2574E8F1"/>
    <w:rsid w:val="2577D330"/>
    <w:rsid w:val="257C3012"/>
    <w:rsid w:val="257EB827"/>
    <w:rsid w:val="25835E6D"/>
    <w:rsid w:val="25847DF2"/>
    <w:rsid w:val="258574CC"/>
    <w:rsid w:val="258588DC"/>
    <w:rsid w:val="2588FFDE"/>
    <w:rsid w:val="258A34D6"/>
    <w:rsid w:val="25904EB2"/>
    <w:rsid w:val="2592B8D9"/>
    <w:rsid w:val="259430F8"/>
    <w:rsid w:val="2595E781"/>
    <w:rsid w:val="25964F3E"/>
    <w:rsid w:val="259BF873"/>
    <w:rsid w:val="259CA5E1"/>
    <w:rsid w:val="25A1E610"/>
    <w:rsid w:val="25A4987B"/>
    <w:rsid w:val="25A8521E"/>
    <w:rsid w:val="25AB5456"/>
    <w:rsid w:val="25AD707E"/>
    <w:rsid w:val="25AE0BF7"/>
    <w:rsid w:val="25B18F1F"/>
    <w:rsid w:val="25B2D8E6"/>
    <w:rsid w:val="25B3C098"/>
    <w:rsid w:val="25B863F8"/>
    <w:rsid w:val="25B9CBB0"/>
    <w:rsid w:val="25BB1773"/>
    <w:rsid w:val="25BB5DF5"/>
    <w:rsid w:val="25BBE67E"/>
    <w:rsid w:val="25BC1213"/>
    <w:rsid w:val="25BFA5A3"/>
    <w:rsid w:val="25C59DF3"/>
    <w:rsid w:val="25C63AB0"/>
    <w:rsid w:val="25C69030"/>
    <w:rsid w:val="25C6936C"/>
    <w:rsid w:val="25C73530"/>
    <w:rsid w:val="25CBB953"/>
    <w:rsid w:val="25CCB310"/>
    <w:rsid w:val="25CDE87F"/>
    <w:rsid w:val="25D363FF"/>
    <w:rsid w:val="25D962BB"/>
    <w:rsid w:val="25D9FAB5"/>
    <w:rsid w:val="25DB3FD0"/>
    <w:rsid w:val="25DBC011"/>
    <w:rsid w:val="25DCDBA1"/>
    <w:rsid w:val="25DD0C92"/>
    <w:rsid w:val="25DFC03D"/>
    <w:rsid w:val="25E27E64"/>
    <w:rsid w:val="25E789AF"/>
    <w:rsid w:val="25EA6C10"/>
    <w:rsid w:val="25EDD3E6"/>
    <w:rsid w:val="25F5AB51"/>
    <w:rsid w:val="25F6D4A9"/>
    <w:rsid w:val="25F82EF6"/>
    <w:rsid w:val="25FCDC7F"/>
    <w:rsid w:val="25FD9EFF"/>
    <w:rsid w:val="26084A64"/>
    <w:rsid w:val="260A4513"/>
    <w:rsid w:val="260E9CB0"/>
    <w:rsid w:val="2611F356"/>
    <w:rsid w:val="2617552A"/>
    <w:rsid w:val="26205959"/>
    <w:rsid w:val="26233D2B"/>
    <w:rsid w:val="262439C2"/>
    <w:rsid w:val="262D288A"/>
    <w:rsid w:val="262FDDDE"/>
    <w:rsid w:val="26307988"/>
    <w:rsid w:val="26325005"/>
    <w:rsid w:val="26353B17"/>
    <w:rsid w:val="2637BD94"/>
    <w:rsid w:val="2638E933"/>
    <w:rsid w:val="2639D76E"/>
    <w:rsid w:val="263E348E"/>
    <w:rsid w:val="263F2554"/>
    <w:rsid w:val="26426196"/>
    <w:rsid w:val="2648D210"/>
    <w:rsid w:val="264B7539"/>
    <w:rsid w:val="264C3BF2"/>
    <w:rsid w:val="264CBD8C"/>
    <w:rsid w:val="2650E754"/>
    <w:rsid w:val="2659CAC1"/>
    <w:rsid w:val="265DD7E3"/>
    <w:rsid w:val="265DE9AE"/>
    <w:rsid w:val="26661EDD"/>
    <w:rsid w:val="266AE6AD"/>
    <w:rsid w:val="26709A6A"/>
    <w:rsid w:val="2670AC5E"/>
    <w:rsid w:val="2672F658"/>
    <w:rsid w:val="26733062"/>
    <w:rsid w:val="26771847"/>
    <w:rsid w:val="26772F75"/>
    <w:rsid w:val="267B873D"/>
    <w:rsid w:val="267CC6F4"/>
    <w:rsid w:val="2682A42A"/>
    <w:rsid w:val="26843C67"/>
    <w:rsid w:val="268503B3"/>
    <w:rsid w:val="268A7256"/>
    <w:rsid w:val="268BCC47"/>
    <w:rsid w:val="268BEDE7"/>
    <w:rsid w:val="2692520A"/>
    <w:rsid w:val="2694304B"/>
    <w:rsid w:val="2698555F"/>
    <w:rsid w:val="2699CB5A"/>
    <w:rsid w:val="269A2431"/>
    <w:rsid w:val="269CA130"/>
    <w:rsid w:val="269FA761"/>
    <w:rsid w:val="26A0AAE0"/>
    <w:rsid w:val="26A1499C"/>
    <w:rsid w:val="26A2BD7C"/>
    <w:rsid w:val="26A43756"/>
    <w:rsid w:val="26AB8AE7"/>
    <w:rsid w:val="26AEC65E"/>
    <w:rsid w:val="26BA48CA"/>
    <w:rsid w:val="26BB85A6"/>
    <w:rsid w:val="26BC9C0D"/>
    <w:rsid w:val="26BF6801"/>
    <w:rsid w:val="26C7F5E5"/>
    <w:rsid w:val="26C9E232"/>
    <w:rsid w:val="26CB53EE"/>
    <w:rsid w:val="26CB5C1B"/>
    <w:rsid w:val="26CC17BF"/>
    <w:rsid w:val="26CCEB51"/>
    <w:rsid w:val="26D35F1C"/>
    <w:rsid w:val="26D42EE2"/>
    <w:rsid w:val="26D5F54A"/>
    <w:rsid w:val="26D7027F"/>
    <w:rsid w:val="26D70E1B"/>
    <w:rsid w:val="26DAAE37"/>
    <w:rsid w:val="26DABDFB"/>
    <w:rsid w:val="26E31AEC"/>
    <w:rsid w:val="26E3D9AE"/>
    <w:rsid w:val="26E93E8A"/>
    <w:rsid w:val="26E9C9A7"/>
    <w:rsid w:val="26EA75F7"/>
    <w:rsid w:val="26EAA8C8"/>
    <w:rsid w:val="26EC5F80"/>
    <w:rsid w:val="26EE6989"/>
    <w:rsid w:val="27052A64"/>
    <w:rsid w:val="2707DA80"/>
    <w:rsid w:val="270D1F9F"/>
    <w:rsid w:val="270F9E4C"/>
    <w:rsid w:val="271AC419"/>
    <w:rsid w:val="27274A20"/>
    <w:rsid w:val="272A144B"/>
    <w:rsid w:val="272A65ED"/>
    <w:rsid w:val="272E9759"/>
    <w:rsid w:val="27319FBD"/>
    <w:rsid w:val="273429C6"/>
    <w:rsid w:val="2734C9BB"/>
    <w:rsid w:val="273F997F"/>
    <w:rsid w:val="27401045"/>
    <w:rsid w:val="2745FD80"/>
    <w:rsid w:val="2746F9C0"/>
    <w:rsid w:val="2748B606"/>
    <w:rsid w:val="274CB890"/>
    <w:rsid w:val="27571699"/>
    <w:rsid w:val="276342C3"/>
    <w:rsid w:val="27650138"/>
    <w:rsid w:val="2765E927"/>
    <w:rsid w:val="276D9DB8"/>
    <w:rsid w:val="277337F6"/>
    <w:rsid w:val="2777003E"/>
    <w:rsid w:val="277BE2A0"/>
    <w:rsid w:val="277ED6C2"/>
    <w:rsid w:val="277EE8EA"/>
    <w:rsid w:val="278491C4"/>
    <w:rsid w:val="2784F324"/>
    <w:rsid w:val="2789A71C"/>
    <w:rsid w:val="278E7F71"/>
    <w:rsid w:val="278FD319"/>
    <w:rsid w:val="2793AACE"/>
    <w:rsid w:val="2795E540"/>
    <w:rsid w:val="27976D05"/>
    <w:rsid w:val="2798BF14"/>
    <w:rsid w:val="2798E26F"/>
    <w:rsid w:val="279992F1"/>
    <w:rsid w:val="279CCDD0"/>
    <w:rsid w:val="279E2A79"/>
    <w:rsid w:val="27A27D0E"/>
    <w:rsid w:val="27A73FFD"/>
    <w:rsid w:val="27A7602B"/>
    <w:rsid w:val="27AB003A"/>
    <w:rsid w:val="27B0AD7C"/>
    <w:rsid w:val="27B60714"/>
    <w:rsid w:val="27B9FF88"/>
    <w:rsid w:val="27BFF665"/>
    <w:rsid w:val="27C5B364"/>
    <w:rsid w:val="27C6306F"/>
    <w:rsid w:val="27C7D09D"/>
    <w:rsid w:val="27C7FC01"/>
    <w:rsid w:val="27CBB4C5"/>
    <w:rsid w:val="27D5407A"/>
    <w:rsid w:val="27D8AFBF"/>
    <w:rsid w:val="27DBC105"/>
    <w:rsid w:val="27E4F319"/>
    <w:rsid w:val="27E8D214"/>
    <w:rsid w:val="27EA2F7F"/>
    <w:rsid w:val="27FB98B8"/>
    <w:rsid w:val="27FC587A"/>
    <w:rsid w:val="28039DCC"/>
    <w:rsid w:val="28073A5D"/>
    <w:rsid w:val="280D7EBE"/>
    <w:rsid w:val="280E15D3"/>
    <w:rsid w:val="280E1BFE"/>
    <w:rsid w:val="28146610"/>
    <w:rsid w:val="28181B25"/>
    <w:rsid w:val="281A3F2D"/>
    <w:rsid w:val="281C917C"/>
    <w:rsid w:val="281E5189"/>
    <w:rsid w:val="2820BD74"/>
    <w:rsid w:val="2821DF1B"/>
    <w:rsid w:val="28270415"/>
    <w:rsid w:val="282A0AAA"/>
    <w:rsid w:val="282A5531"/>
    <w:rsid w:val="282B677E"/>
    <w:rsid w:val="282E0A2C"/>
    <w:rsid w:val="282E4392"/>
    <w:rsid w:val="28391CBF"/>
    <w:rsid w:val="2840504C"/>
    <w:rsid w:val="2844E6D1"/>
    <w:rsid w:val="284595AE"/>
    <w:rsid w:val="284ECF42"/>
    <w:rsid w:val="285022C3"/>
    <w:rsid w:val="28541253"/>
    <w:rsid w:val="28559C3E"/>
    <w:rsid w:val="2868337B"/>
    <w:rsid w:val="286A5C6F"/>
    <w:rsid w:val="286EEE48"/>
    <w:rsid w:val="286FD769"/>
    <w:rsid w:val="287CB31C"/>
    <w:rsid w:val="287F50F0"/>
    <w:rsid w:val="287F803B"/>
    <w:rsid w:val="288687DE"/>
    <w:rsid w:val="288BB802"/>
    <w:rsid w:val="28974C23"/>
    <w:rsid w:val="289C47CA"/>
    <w:rsid w:val="289C5328"/>
    <w:rsid w:val="289CF772"/>
    <w:rsid w:val="289E3BA8"/>
    <w:rsid w:val="28A31F60"/>
    <w:rsid w:val="28A60724"/>
    <w:rsid w:val="28A6CC2D"/>
    <w:rsid w:val="28AB151B"/>
    <w:rsid w:val="28AC87CE"/>
    <w:rsid w:val="28B0015B"/>
    <w:rsid w:val="28B0C9C9"/>
    <w:rsid w:val="28B3D807"/>
    <w:rsid w:val="28B4C997"/>
    <w:rsid w:val="28B565D0"/>
    <w:rsid w:val="28B72C1A"/>
    <w:rsid w:val="28BC0535"/>
    <w:rsid w:val="28BCD905"/>
    <w:rsid w:val="28C99AA2"/>
    <w:rsid w:val="28CAAA3A"/>
    <w:rsid w:val="28CB541E"/>
    <w:rsid w:val="28CBAD89"/>
    <w:rsid w:val="28CD6F84"/>
    <w:rsid w:val="28CF0457"/>
    <w:rsid w:val="28D6130E"/>
    <w:rsid w:val="28D987DE"/>
    <w:rsid w:val="28DAFBF9"/>
    <w:rsid w:val="28DD7955"/>
    <w:rsid w:val="28DEA548"/>
    <w:rsid w:val="28DF9B19"/>
    <w:rsid w:val="28DFAF2E"/>
    <w:rsid w:val="28E84D6A"/>
    <w:rsid w:val="28EDCFDE"/>
    <w:rsid w:val="28EDDF83"/>
    <w:rsid w:val="28F06DF5"/>
    <w:rsid w:val="28F10CF4"/>
    <w:rsid w:val="28F3B82B"/>
    <w:rsid w:val="28F50259"/>
    <w:rsid w:val="28F59F4A"/>
    <w:rsid w:val="28F5DFDB"/>
    <w:rsid w:val="28F7AFCD"/>
    <w:rsid w:val="28F86FB5"/>
    <w:rsid w:val="28FED8DF"/>
    <w:rsid w:val="29033B73"/>
    <w:rsid w:val="2906057C"/>
    <w:rsid w:val="2908E076"/>
    <w:rsid w:val="290D71F2"/>
    <w:rsid w:val="290FADEF"/>
    <w:rsid w:val="29197C5E"/>
    <w:rsid w:val="291B6C62"/>
    <w:rsid w:val="291E3914"/>
    <w:rsid w:val="29265384"/>
    <w:rsid w:val="2928FF1A"/>
    <w:rsid w:val="292CC7A5"/>
    <w:rsid w:val="292DB3D1"/>
    <w:rsid w:val="292DDD00"/>
    <w:rsid w:val="29327E89"/>
    <w:rsid w:val="293462E3"/>
    <w:rsid w:val="293564E4"/>
    <w:rsid w:val="2936E779"/>
    <w:rsid w:val="293D1B49"/>
    <w:rsid w:val="293E31F4"/>
    <w:rsid w:val="293FDE14"/>
    <w:rsid w:val="29450F6B"/>
    <w:rsid w:val="294528CA"/>
    <w:rsid w:val="29457ECD"/>
    <w:rsid w:val="294754E5"/>
    <w:rsid w:val="294DE15D"/>
    <w:rsid w:val="2957B6BE"/>
    <w:rsid w:val="295CC14E"/>
    <w:rsid w:val="295EFABE"/>
    <w:rsid w:val="295F78F6"/>
    <w:rsid w:val="2968D08F"/>
    <w:rsid w:val="296A03DF"/>
    <w:rsid w:val="296B00B1"/>
    <w:rsid w:val="296B70AA"/>
    <w:rsid w:val="296C8EB7"/>
    <w:rsid w:val="296EF4ED"/>
    <w:rsid w:val="296F4FB2"/>
    <w:rsid w:val="297722BD"/>
    <w:rsid w:val="297C7531"/>
    <w:rsid w:val="29817ACB"/>
    <w:rsid w:val="298328E3"/>
    <w:rsid w:val="29850A8C"/>
    <w:rsid w:val="2985D7E0"/>
    <w:rsid w:val="29878BF7"/>
    <w:rsid w:val="2988B736"/>
    <w:rsid w:val="29896E5C"/>
    <w:rsid w:val="2989B471"/>
    <w:rsid w:val="298C6404"/>
    <w:rsid w:val="298EA7BD"/>
    <w:rsid w:val="2990CACE"/>
    <w:rsid w:val="2991D02A"/>
    <w:rsid w:val="29989FD3"/>
    <w:rsid w:val="299BE007"/>
    <w:rsid w:val="299BE454"/>
    <w:rsid w:val="299ED6B5"/>
    <w:rsid w:val="299F041D"/>
    <w:rsid w:val="299FED67"/>
    <w:rsid w:val="29A057E7"/>
    <w:rsid w:val="29A42383"/>
    <w:rsid w:val="29A6B851"/>
    <w:rsid w:val="29AD4414"/>
    <w:rsid w:val="29AEEA47"/>
    <w:rsid w:val="29AFEB3E"/>
    <w:rsid w:val="29B16657"/>
    <w:rsid w:val="29B4E852"/>
    <w:rsid w:val="29B64966"/>
    <w:rsid w:val="29B6B028"/>
    <w:rsid w:val="29B89DDE"/>
    <w:rsid w:val="29C52896"/>
    <w:rsid w:val="29C5FF3A"/>
    <w:rsid w:val="29C9EE11"/>
    <w:rsid w:val="29CC11B8"/>
    <w:rsid w:val="29CCD204"/>
    <w:rsid w:val="29CEF3AF"/>
    <w:rsid w:val="29CF0F32"/>
    <w:rsid w:val="29CF32BB"/>
    <w:rsid w:val="29D020B0"/>
    <w:rsid w:val="29DA5E3E"/>
    <w:rsid w:val="29DCAB43"/>
    <w:rsid w:val="29E10A39"/>
    <w:rsid w:val="29E24031"/>
    <w:rsid w:val="29E77106"/>
    <w:rsid w:val="29EB3B9C"/>
    <w:rsid w:val="29F00653"/>
    <w:rsid w:val="29F48D52"/>
    <w:rsid w:val="29F5137E"/>
    <w:rsid w:val="29F975CB"/>
    <w:rsid w:val="2A01D4FA"/>
    <w:rsid w:val="2A0670B4"/>
    <w:rsid w:val="2A0748EA"/>
    <w:rsid w:val="2A0EF16F"/>
    <w:rsid w:val="2A14197D"/>
    <w:rsid w:val="2A14FF2F"/>
    <w:rsid w:val="2A1511FE"/>
    <w:rsid w:val="2A174F74"/>
    <w:rsid w:val="2A186E4D"/>
    <w:rsid w:val="2A1C1958"/>
    <w:rsid w:val="2A1F151A"/>
    <w:rsid w:val="2A20A2D9"/>
    <w:rsid w:val="2A20B636"/>
    <w:rsid w:val="2A2630EA"/>
    <w:rsid w:val="2A27A65F"/>
    <w:rsid w:val="2A3764F6"/>
    <w:rsid w:val="2A386BD3"/>
    <w:rsid w:val="2A451EB6"/>
    <w:rsid w:val="2A467190"/>
    <w:rsid w:val="2A47DEDF"/>
    <w:rsid w:val="2A48909F"/>
    <w:rsid w:val="2A525F7A"/>
    <w:rsid w:val="2A547D23"/>
    <w:rsid w:val="2A56EEA7"/>
    <w:rsid w:val="2A576668"/>
    <w:rsid w:val="2A57DEC8"/>
    <w:rsid w:val="2A586D1F"/>
    <w:rsid w:val="2A588243"/>
    <w:rsid w:val="2A597D67"/>
    <w:rsid w:val="2A5C2C1B"/>
    <w:rsid w:val="2A5CA495"/>
    <w:rsid w:val="2A63C496"/>
    <w:rsid w:val="2A69BBA3"/>
    <w:rsid w:val="2A6ECF1E"/>
    <w:rsid w:val="2A72E87C"/>
    <w:rsid w:val="2A796705"/>
    <w:rsid w:val="2A7B325F"/>
    <w:rsid w:val="2A7CA0B8"/>
    <w:rsid w:val="2A7EB123"/>
    <w:rsid w:val="2A819EC5"/>
    <w:rsid w:val="2A839913"/>
    <w:rsid w:val="2A847A0B"/>
    <w:rsid w:val="2A847D26"/>
    <w:rsid w:val="2A854D5D"/>
    <w:rsid w:val="2A875847"/>
    <w:rsid w:val="2A8DD5D1"/>
    <w:rsid w:val="2A92478D"/>
    <w:rsid w:val="2A98725B"/>
    <w:rsid w:val="2AA93BB5"/>
    <w:rsid w:val="2AAA90E4"/>
    <w:rsid w:val="2AB5485D"/>
    <w:rsid w:val="2AB5F4F3"/>
    <w:rsid w:val="2AB6B3A9"/>
    <w:rsid w:val="2AB78FB8"/>
    <w:rsid w:val="2ABD16BF"/>
    <w:rsid w:val="2AC16F73"/>
    <w:rsid w:val="2AC19149"/>
    <w:rsid w:val="2AC362C3"/>
    <w:rsid w:val="2AC86AD1"/>
    <w:rsid w:val="2AD1C8F4"/>
    <w:rsid w:val="2AD695D7"/>
    <w:rsid w:val="2AD92415"/>
    <w:rsid w:val="2ADB4CDF"/>
    <w:rsid w:val="2ADFCBA7"/>
    <w:rsid w:val="2AE152D1"/>
    <w:rsid w:val="2AE1BD0A"/>
    <w:rsid w:val="2AE4DBFE"/>
    <w:rsid w:val="2AE684C5"/>
    <w:rsid w:val="2AE702BA"/>
    <w:rsid w:val="2AEA4CA0"/>
    <w:rsid w:val="2AED2647"/>
    <w:rsid w:val="2AEE062E"/>
    <w:rsid w:val="2AF3354A"/>
    <w:rsid w:val="2AF8238F"/>
    <w:rsid w:val="2AFB68FC"/>
    <w:rsid w:val="2B020F1F"/>
    <w:rsid w:val="2B026A4E"/>
    <w:rsid w:val="2B029CFA"/>
    <w:rsid w:val="2B030BAB"/>
    <w:rsid w:val="2B05049F"/>
    <w:rsid w:val="2B078F15"/>
    <w:rsid w:val="2B0E81E7"/>
    <w:rsid w:val="2B1354E4"/>
    <w:rsid w:val="2B19A2EA"/>
    <w:rsid w:val="2B1C7FB9"/>
    <w:rsid w:val="2B1FBA46"/>
    <w:rsid w:val="2B2CF74E"/>
    <w:rsid w:val="2B376157"/>
    <w:rsid w:val="2B3AB378"/>
    <w:rsid w:val="2B3BED3D"/>
    <w:rsid w:val="2B3CAB75"/>
    <w:rsid w:val="2B3D673F"/>
    <w:rsid w:val="2B41948A"/>
    <w:rsid w:val="2B41E423"/>
    <w:rsid w:val="2B4493D8"/>
    <w:rsid w:val="2B462814"/>
    <w:rsid w:val="2B46B802"/>
    <w:rsid w:val="2B4CFF46"/>
    <w:rsid w:val="2B4F4196"/>
    <w:rsid w:val="2B517062"/>
    <w:rsid w:val="2B56C635"/>
    <w:rsid w:val="2B58EF8B"/>
    <w:rsid w:val="2B5E7C4A"/>
    <w:rsid w:val="2B6215BF"/>
    <w:rsid w:val="2B623954"/>
    <w:rsid w:val="2B6506F6"/>
    <w:rsid w:val="2B6CEBD1"/>
    <w:rsid w:val="2B6D1CB0"/>
    <w:rsid w:val="2B6D3428"/>
    <w:rsid w:val="2B7126AB"/>
    <w:rsid w:val="2B799339"/>
    <w:rsid w:val="2B7FE11E"/>
    <w:rsid w:val="2B80848F"/>
    <w:rsid w:val="2B8235CE"/>
    <w:rsid w:val="2B83B89D"/>
    <w:rsid w:val="2B8723B5"/>
    <w:rsid w:val="2B8CED89"/>
    <w:rsid w:val="2B8EAE5D"/>
    <w:rsid w:val="2B95A25E"/>
    <w:rsid w:val="2B9FB8E0"/>
    <w:rsid w:val="2BA563E3"/>
    <w:rsid w:val="2BA6EB8F"/>
    <w:rsid w:val="2BAD021F"/>
    <w:rsid w:val="2BAF503D"/>
    <w:rsid w:val="2BB00FC5"/>
    <w:rsid w:val="2BB37BEC"/>
    <w:rsid w:val="2BB582CE"/>
    <w:rsid w:val="2BB7E779"/>
    <w:rsid w:val="2BB8FA29"/>
    <w:rsid w:val="2BB9C6C7"/>
    <w:rsid w:val="2BBBECED"/>
    <w:rsid w:val="2BBCC4DB"/>
    <w:rsid w:val="2BC193A1"/>
    <w:rsid w:val="2BC2BE85"/>
    <w:rsid w:val="2BC4C3D5"/>
    <w:rsid w:val="2BC55AEE"/>
    <w:rsid w:val="2BC6A35D"/>
    <w:rsid w:val="2BC74F0B"/>
    <w:rsid w:val="2BC7FABB"/>
    <w:rsid w:val="2BC9BE74"/>
    <w:rsid w:val="2BCCE721"/>
    <w:rsid w:val="2BCD4BC8"/>
    <w:rsid w:val="2BCE9A29"/>
    <w:rsid w:val="2BD4863C"/>
    <w:rsid w:val="2BD5A88D"/>
    <w:rsid w:val="2BD63DA7"/>
    <w:rsid w:val="2BD94CD4"/>
    <w:rsid w:val="2BDCEBC5"/>
    <w:rsid w:val="2BE03BB5"/>
    <w:rsid w:val="2BE18DD3"/>
    <w:rsid w:val="2BE33156"/>
    <w:rsid w:val="2BE38FCC"/>
    <w:rsid w:val="2BE9E8C0"/>
    <w:rsid w:val="2BEC805C"/>
    <w:rsid w:val="2BF37C4F"/>
    <w:rsid w:val="2BFC6E9D"/>
    <w:rsid w:val="2C02FFE5"/>
    <w:rsid w:val="2C0820D9"/>
    <w:rsid w:val="2C093C15"/>
    <w:rsid w:val="2C0B0320"/>
    <w:rsid w:val="2C102CBE"/>
    <w:rsid w:val="2C18D90D"/>
    <w:rsid w:val="2C207F8F"/>
    <w:rsid w:val="2C243B32"/>
    <w:rsid w:val="2C291DED"/>
    <w:rsid w:val="2C2A57D7"/>
    <w:rsid w:val="2C2A9E6D"/>
    <w:rsid w:val="2C2B8FF4"/>
    <w:rsid w:val="2C2F18B8"/>
    <w:rsid w:val="2C306FEF"/>
    <w:rsid w:val="2C36AB77"/>
    <w:rsid w:val="2C3D58BE"/>
    <w:rsid w:val="2C3DB73A"/>
    <w:rsid w:val="2C3EE23A"/>
    <w:rsid w:val="2C41179E"/>
    <w:rsid w:val="2C451CF8"/>
    <w:rsid w:val="2C4C79D5"/>
    <w:rsid w:val="2C51C589"/>
    <w:rsid w:val="2C54BDFD"/>
    <w:rsid w:val="2C556552"/>
    <w:rsid w:val="2C56CB33"/>
    <w:rsid w:val="2C581AC4"/>
    <w:rsid w:val="2C58A291"/>
    <w:rsid w:val="2C5A2B03"/>
    <w:rsid w:val="2C601FF2"/>
    <w:rsid w:val="2C6330E5"/>
    <w:rsid w:val="2C656F61"/>
    <w:rsid w:val="2C6C06BA"/>
    <w:rsid w:val="2C6E3E38"/>
    <w:rsid w:val="2C6FE6FF"/>
    <w:rsid w:val="2C718170"/>
    <w:rsid w:val="2C8027D5"/>
    <w:rsid w:val="2C900AAA"/>
    <w:rsid w:val="2C9114AD"/>
    <w:rsid w:val="2C941139"/>
    <w:rsid w:val="2C967EE9"/>
    <w:rsid w:val="2C996D41"/>
    <w:rsid w:val="2CA2ECDE"/>
    <w:rsid w:val="2CAB7A72"/>
    <w:rsid w:val="2CAC5B73"/>
    <w:rsid w:val="2CB1E011"/>
    <w:rsid w:val="2CB27B84"/>
    <w:rsid w:val="2CB46670"/>
    <w:rsid w:val="2CBE6E46"/>
    <w:rsid w:val="2CC1B149"/>
    <w:rsid w:val="2CC38773"/>
    <w:rsid w:val="2CC52683"/>
    <w:rsid w:val="2CC79050"/>
    <w:rsid w:val="2CCBF10B"/>
    <w:rsid w:val="2CD10314"/>
    <w:rsid w:val="2CD6A215"/>
    <w:rsid w:val="2CD6F2C6"/>
    <w:rsid w:val="2CD7E1FF"/>
    <w:rsid w:val="2CD809AB"/>
    <w:rsid w:val="2CDCCD73"/>
    <w:rsid w:val="2CE8E762"/>
    <w:rsid w:val="2CE9766A"/>
    <w:rsid w:val="2CEC28D8"/>
    <w:rsid w:val="2CECAB27"/>
    <w:rsid w:val="2CF67AA4"/>
    <w:rsid w:val="2D000AF3"/>
    <w:rsid w:val="2D0EB88E"/>
    <w:rsid w:val="2D1205D8"/>
    <w:rsid w:val="2D13A5C5"/>
    <w:rsid w:val="2D172A33"/>
    <w:rsid w:val="2D173E23"/>
    <w:rsid w:val="2D1A459A"/>
    <w:rsid w:val="2D206C62"/>
    <w:rsid w:val="2D270494"/>
    <w:rsid w:val="2D2FAC57"/>
    <w:rsid w:val="2D310B4E"/>
    <w:rsid w:val="2D356946"/>
    <w:rsid w:val="2D3CE72C"/>
    <w:rsid w:val="2D41BB26"/>
    <w:rsid w:val="2D42DADF"/>
    <w:rsid w:val="2D481C1A"/>
    <w:rsid w:val="2D4A662D"/>
    <w:rsid w:val="2D4B9F63"/>
    <w:rsid w:val="2D4E02D2"/>
    <w:rsid w:val="2D515E53"/>
    <w:rsid w:val="2D55807D"/>
    <w:rsid w:val="2D57511E"/>
    <w:rsid w:val="2D589312"/>
    <w:rsid w:val="2D5F617D"/>
    <w:rsid w:val="2D63E526"/>
    <w:rsid w:val="2D6C85E9"/>
    <w:rsid w:val="2D6EBF3B"/>
    <w:rsid w:val="2D711057"/>
    <w:rsid w:val="2D711EE3"/>
    <w:rsid w:val="2D72B79F"/>
    <w:rsid w:val="2D7AE94C"/>
    <w:rsid w:val="2D7AEC97"/>
    <w:rsid w:val="2D7F0135"/>
    <w:rsid w:val="2D80CCDF"/>
    <w:rsid w:val="2D89A4A1"/>
    <w:rsid w:val="2D89DDAF"/>
    <w:rsid w:val="2D9180F8"/>
    <w:rsid w:val="2D937B2A"/>
    <w:rsid w:val="2D9381A9"/>
    <w:rsid w:val="2D995E48"/>
    <w:rsid w:val="2D9D9E97"/>
    <w:rsid w:val="2DA4CA8C"/>
    <w:rsid w:val="2DA4D899"/>
    <w:rsid w:val="2DA6EAAF"/>
    <w:rsid w:val="2DA846E7"/>
    <w:rsid w:val="2DAA2761"/>
    <w:rsid w:val="2DAB707F"/>
    <w:rsid w:val="2DB06FCB"/>
    <w:rsid w:val="2DB864F8"/>
    <w:rsid w:val="2DBBFB93"/>
    <w:rsid w:val="2DC4E85A"/>
    <w:rsid w:val="2DCBED72"/>
    <w:rsid w:val="2DD0921A"/>
    <w:rsid w:val="2DD3A589"/>
    <w:rsid w:val="2DD56A72"/>
    <w:rsid w:val="2DD7BAFE"/>
    <w:rsid w:val="2DDB0C67"/>
    <w:rsid w:val="2DE4EC92"/>
    <w:rsid w:val="2DEA2686"/>
    <w:rsid w:val="2DED4981"/>
    <w:rsid w:val="2DF0246A"/>
    <w:rsid w:val="2DF2274E"/>
    <w:rsid w:val="2DFAC581"/>
    <w:rsid w:val="2DFB5D2A"/>
    <w:rsid w:val="2E0D2642"/>
    <w:rsid w:val="2E0E6F4F"/>
    <w:rsid w:val="2E104264"/>
    <w:rsid w:val="2E108433"/>
    <w:rsid w:val="2E10E461"/>
    <w:rsid w:val="2E111FCB"/>
    <w:rsid w:val="2E131EFD"/>
    <w:rsid w:val="2E1DA66A"/>
    <w:rsid w:val="2E1EE03C"/>
    <w:rsid w:val="2E20673F"/>
    <w:rsid w:val="2E2597E2"/>
    <w:rsid w:val="2E32CC2B"/>
    <w:rsid w:val="2E35775B"/>
    <w:rsid w:val="2E3641D2"/>
    <w:rsid w:val="2E3A8A11"/>
    <w:rsid w:val="2E3AD5DC"/>
    <w:rsid w:val="2E488043"/>
    <w:rsid w:val="2E4B2D02"/>
    <w:rsid w:val="2E4B7064"/>
    <w:rsid w:val="2E4BA445"/>
    <w:rsid w:val="2E4CE713"/>
    <w:rsid w:val="2E4F2D15"/>
    <w:rsid w:val="2E52E8F6"/>
    <w:rsid w:val="2E53DE3F"/>
    <w:rsid w:val="2E55C4CC"/>
    <w:rsid w:val="2E59594C"/>
    <w:rsid w:val="2E5E6DEC"/>
    <w:rsid w:val="2E5ED850"/>
    <w:rsid w:val="2E5FBE17"/>
    <w:rsid w:val="2E67492C"/>
    <w:rsid w:val="2E69B0AC"/>
    <w:rsid w:val="2E7010FB"/>
    <w:rsid w:val="2E71A881"/>
    <w:rsid w:val="2E74220D"/>
    <w:rsid w:val="2E75EA91"/>
    <w:rsid w:val="2E778E63"/>
    <w:rsid w:val="2E78A533"/>
    <w:rsid w:val="2E7BAD5B"/>
    <w:rsid w:val="2E835B13"/>
    <w:rsid w:val="2E83A7AB"/>
    <w:rsid w:val="2E8545C3"/>
    <w:rsid w:val="2E8575BF"/>
    <w:rsid w:val="2E8C2C8D"/>
    <w:rsid w:val="2E93F629"/>
    <w:rsid w:val="2E94110B"/>
    <w:rsid w:val="2E980D89"/>
    <w:rsid w:val="2E987349"/>
    <w:rsid w:val="2E9B4385"/>
    <w:rsid w:val="2E9E3977"/>
    <w:rsid w:val="2EA0227A"/>
    <w:rsid w:val="2EA1C623"/>
    <w:rsid w:val="2EA5C5A2"/>
    <w:rsid w:val="2EA6288D"/>
    <w:rsid w:val="2EA7E900"/>
    <w:rsid w:val="2EA9B2D2"/>
    <w:rsid w:val="2EB112C6"/>
    <w:rsid w:val="2EB17D68"/>
    <w:rsid w:val="2EB4E70B"/>
    <w:rsid w:val="2EB5C545"/>
    <w:rsid w:val="2EB6D7C2"/>
    <w:rsid w:val="2EBA45B6"/>
    <w:rsid w:val="2EBD9DDF"/>
    <w:rsid w:val="2EBEBE71"/>
    <w:rsid w:val="2EC20E45"/>
    <w:rsid w:val="2EC25A23"/>
    <w:rsid w:val="2EC2DD47"/>
    <w:rsid w:val="2EC9FC9D"/>
    <w:rsid w:val="2ECB6C98"/>
    <w:rsid w:val="2ED13925"/>
    <w:rsid w:val="2ED14FB9"/>
    <w:rsid w:val="2ED257CE"/>
    <w:rsid w:val="2ED99EFF"/>
    <w:rsid w:val="2ED9B266"/>
    <w:rsid w:val="2EDE4908"/>
    <w:rsid w:val="2EE33DCC"/>
    <w:rsid w:val="2EE59FB5"/>
    <w:rsid w:val="2EE790D9"/>
    <w:rsid w:val="2EE7AF58"/>
    <w:rsid w:val="2EE9A3F1"/>
    <w:rsid w:val="2EEAD7B4"/>
    <w:rsid w:val="2EEAE362"/>
    <w:rsid w:val="2EF629EC"/>
    <w:rsid w:val="2EF67C74"/>
    <w:rsid w:val="2EF73E29"/>
    <w:rsid w:val="2EFB0E92"/>
    <w:rsid w:val="2F02E756"/>
    <w:rsid w:val="2F08C5DA"/>
    <w:rsid w:val="2F093C98"/>
    <w:rsid w:val="2F0C3BAB"/>
    <w:rsid w:val="2F0C92AC"/>
    <w:rsid w:val="2F11D321"/>
    <w:rsid w:val="2F14A7F0"/>
    <w:rsid w:val="2F1A0DE1"/>
    <w:rsid w:val="2F2307C0"/>
    <w:rsid w:val="2F24E55A"/>
    <w:rsid w:val="2F295121"/>
    <w:rsid w:val="2F2CC996"/>
    <w:rsid w:val="2F2E1D7A"/>
    <w:rsid w:val="2F2FA76F"/>
    <w:rsid w:val="2F30387D"/>
    <w:rsid w:val="2F312B31"/>
    <w:rsid w:val="2F355F5F"/>
    <w:rsid w:val="2F41EA25"/>
    <w:rsid w:val="2F43DCED"/>
    <w:rsid w:val="2F486D51"/>
    <w:rsid w:val="2F488B87"/>
    <w:rsid w:val="2F4C6D24"/>
    <w:rsid w:val="2F4DA0DB"/>
    <w:rsid w:val="2F4F8601"/>
    <w:rsid w:val="2F509BE8"/>
    <w:rsid w:val="2F52BB0A"/>
    <w:rsid w:val="2F53098C"/>
    <w:rsid w:val="2F564391"/>
    <w:rsid w:val="2F578D06"/>
    <w:rsid w:val="2F59584F"/>
    <w:rsid w:val="2F596BB5"/>
    <w:rsid w:val="2F631BED"/>
    <w:rsid w:val="2F67204A"/>
    <w:rsid w:val="2F68788B"/>
    <w:rsid w:val="2F69DE4A"/>
    <w:rsid w:val="2F6D5CE9"/>
    <w:rsid w:val="2F6EBF41"/>
    <w:rsid w:val="2F7982B5"/>
    <w:rsid w:val="2F79B42F"/>
    <w:rsid w:val="2F7C500B"/>
    <w:rsid w:val="2F85EBB8"/>
    <w:rsid w:val="2F87F494"/>
    <w:rsid w:val="2F885933"/>
    <w:rsid w:val="2F88F9D3"/>
    <w:rsid w:val="2F891344"/>
    <w:rsid w:val="2F8D30D3"/>
    <w:rsid w:val="2F8E605F"/>
    <w:rsid w:val="2F90F60B"/>
    <w:rsid w:val="2F91A787"/>
    <w:rsid w:val="2F935308"/>
    <w:rsid w:val="2F96779B"/>
    <w:rsid w:val="2FA26855"/>
    <w:rsid w:val="2FA364B6"/>
    <w:rsid w:val="2FAD78F1"/>
    <w:rsid w:val="2FAE42E2"/>
    <w:rsid w:val="2FB00C23"/>
    <w:rsid w:val="2FB72DE1"/>
    <w:rsid w:val="2FB75B9A"/>
    <w:rsid w:val="2FB7E57B"/>
    <w:rsid w:val="2FBF17A9"/>
    <w:rsid w:val="2FBFC4D5"/>
    <w:rsid w:val="2FC346CF"/>
    <w:rsid w:val="2FC56141"/>
    <w:rsid w:val="2FC5D902"/>
    <w:rsid w:val="2FC7B894"/>
    <w:rsid w:val="2FC7F355"/>
    <w:rsid w:val="2FCF1D75"/>
    <w:rsid w:val="2FCF7746"/>
    <w:rsid w:val="2FD73B17"/>
    <w:rsid w:val="2FD8AA73"/>
    <w:rsid w:val="2FD9515E"/>
    <w:rsid w:val="2FDA82E7"/>
    <w:rsid w:val="2FE1A0F2"/>
    <w:rsid w:val="2FE38C64"/>
    <w:rsid w:val="2FEBA8E5"/>
    <w:rsid w:val="2FED2690"/>
    <w:rsid w:val="2FEE4A2B"/>
    <w:rsid w:val="2FEF3051"/>
    <w:rsid w:val="2FF2B8FF"/>
    <w:rsid w:val="2FF94F2F"/>
    <w:rsid w:val="2FF95754"/>
    <w:rsid w:val="2FF9FB40"/>
    <w:rsid w:val="2FFDB897"/>
    <w:rsid w:val="30039256"/>
    <w:rsid w:val="300D223E"/>
    <w:rsid w:val="300F34C4"/>
    <w:rsid w:val="30122C61"/>
    <w:rsid w:val="3012A21E"/>
    <w:rsid w:val="3014822C"/>
    <w:rsid w:val="3014A6E1"/>
    <w:rsid w:val="30162D25"/>
    <w:rsid w:val="301AD044"/>
    <w:rsid w:val="301B12C6"/>
    <w:rsid w:val="301E3EF3"/>
    <w:rsid w:val="30221D10"/>
    <w:rsid w:val="3022AC73"/>
    <w:rsid w:val="302670FE"/>
    <w:rsid w:val="30282538"/>
    <w:rsid w:val="30294CEE"/>
    <w:rsid w:val="302A4086"/>
    <w:rsid w:val="302BBB0C"/>
    <w:rsid w:val="302F18BA"/>
    <w:rsid w:val="30345EC8"/>
    <w:rsid w:val="3035AAC2"/>
    <w:rsid w:val="30370CB6"/>
    <w:rsid w:val="30399D8F"/>
    <w:rsid w:val="303A42CB"/>
    <w:rsid w:val="303AD6EF"/>
    <w:rsid w:val="303C531F"/>
    <w:rsid w:val="303C9403"/>
    <w:rsid w:val="303FDB16"/>
    <w:rsid w:val="3044E1B2"/>
    <w:rsid w:val="30450FF0"/>
    <w:rsid w:val="304D7A56"/>
    <w:rsid w:val="304E556F"/>
    <w:rsid w:val="30576FDE"/>
    <w:rsid w:val="306040FA"/>
    <w:rsid w:val="30653074"/>
    <w:rsid w:val="30727390"/>
    <w:rsid w:val="30793679"/>
    <w:rsid w:val="307D2268"/>
    <w:rsid w:val="30826DEF"/>
    <w:rsid w:val="30834692"/>
    <w:rsid w:val="30846BFD"/>
    <w:rsid w:val="30885908"/>
    <w:rsid w:val="30960490"/>
    <w:rsid w:val="30960DD9"/>
    <w:rsid w:val="309677A9"/>
    <w:rsid w:val="309AE7D8"/>
    <w:rsid w:val="309E52BD"/>
    <w:rsid w:val="30A233DC"/>
    <w:rsid w:val="30A47C9C"/>
    <w:rsid w:val="30A680D4"/>
    <w:rsid w:val="30A76A58"/>
    <w:rsid w:val="30A7CAF0"/>
    <w:rsid w:val="30B2BCDF"/>
    <w:rsid w:val="30B9C872"/>
    <w:rsid w:val="30BB9433"/>
    <w:rsid w:val="30BBEF1C"/>
    <w:rsid w:val="30BC2145"/>
    <w:rsid w:val="30BE2E81"/>
    <w:rsid w:val="30C1330F"/>
    <w:rsid w:val="30C1CDC1"/>
    <w:rsid w:val="30C225F9"/>
    <w:rsid w:val="30C3363F"/>
    <w:rsid w:val="30CE1B97"/>
    <w:rsid w:val="30CEF005"/>
    <w:rsid w:val="30CEFB39"/>
    <w:rsid w:val="30CF1D24"/>
    <w:rsid w:val="30D3BA3E"/>
    <w:rsid w:val="30D623D1"/>
    <w:rsid w:val="30DFE46D"/>
    <w:rsid w:val="30E12959"/>
    <w:rsid w:val="30E6ED62"/>
    <w:rsid w:val="30E84CC5"/>
    <w:rsid w:val="30E87212"/>
    <w:rsid w:val="30ED6C31"/>
    <w:rsid w:val="30EEB3BB"/>
    <w:rsid w:val="30F716BB"/>
    <w:rsid w:val="310100B5"/>
    <w:rsid w:val="31048B4E"/>
    <w:rsid w:val="31077407"/>
    <w:rsid w:val="31092D4A"/>
    <w:rsid w:val="310AE3F5"/>
    <w:rsid w:val="3110A982"/>
    <w:rsid w:val="311189B0"/>
    <w:rsid w:val="3113F419"/>
    <w:rsid w:val="3115254B"/>
    <w:rsid w:val="3115B106"/>
    <w:rsid w:val="3116282E"/>
    <w:rsid w:val="3116A075"/>
    <w:rsid w:val="3118A869"/>
    <w:rsid w:val="311FE636"/>
    <w:rsid w:val="3126850A"/>
    <w:rsid w:val="312DC700"/>
    <w:rsid w:val="312E312F"/>
    <w:rsid w:val="312EC8EA"/>
    <w:rsid w:val="312FA9F2"/>
    <w:rsid w:val="3135F98D"/>
    <w:rsid w:val="313820F1"/>
    <w:rsid w:val="313E5920"/>
    <w:rsid w:val="313F39F2"/>
    <w:rsid w:val="313FB0DD"/>
    <w:rsid w:val="31467043"/>
    <w:rsid w:val="31469F4A"/>
    <w:rsid w:val="31495355"/>
    <w:rsid w:val="3150CDDD"/>
    <w:rsid w:val="31537B5C"/>
    <w:rsid w:val="315394BF"/>
    <w:rsid w:val="3154C7CC"/>
    <w:rsid w:val="315BA45A"/>
    <w:rsid w:val="316208E1"/>
    <w:rsid w:val="3168A2D7"/>
    <w:rsid w:val="31700C80"/>
    <w:rsid w:val="31737F03"/>
    <w:rsid w:val="31743333"/>
    <w:rsid w:val="31839C0E"/>
    <w:rsid w:val="3186004A"/>
    <w:rsid w:val="31883EF4"/>
    <w:rsid w:val="3188425E"/>
    <w:rsid w:val="31886D7E"/>
    <w:rsid w:val="3191D541"/>
    <w:rsid w:val="31984A12"/>
    <w:rsid w:val="319C055E"/>
    <w:rsid w:val="319CDB29"/>
    <w:rsid w:val="319E9F5B"/>
    <w:rsid w:val="319ED1EA"/>
    <w:rsid w:val="31A262A7"/>
    <w:rsid w:val="31A5DB93"/>
    <w:rsid w:val="31A9BF71"/>
    <w:rsid w:val="31AB6192"/>
    <w:rsid w:val="31ABE87B"/>
    <w:rsid w:val="31AFA71E"/>
    <w:rsid w:val="31B871A6"/>
    <w:rsid w:val="31BC5935"/>
    <w:rsid w:val="31BD0748"/>
    <w:rsid w:val="31C48279"/>
    <w:rsid w:val="31C55B1F"/>
    <w:rsid w:val="31C91158"/>
    <w:rsid w:val="31CA4801"/>
    <w:rsid w:val="31CBB1CD"/>
    <w:rsid w:val="31CDD0C5"/>
    <w:rsid w:val="31CE2F35"/>
    <w:rsid w:val="31CE6F3C"/>
    <w:rsid w:val="31CEE548"/>
    <w:rsid w:val="31D26351"/>
    <w:rsid w:val="31D489DF"/>
    <w:rsid w:val="31D52FE6"/>
    <w:rsid w:val="31D74A02"/>
    <w:rsid w:val="31DEC2E3"/>
    <w:rsid w:val="31DEF5B4"/>
    <w:rsid w:val="31E12B5B"/>
    <w:rsid w:val="31E2FC36"/>
    <w:rsid w:val="31E38171"/>
    <w:rsid w:val="31E5E73E"/>
    <w:rsid w:val="31E6E95C"/>
    <w:rsid w:val="31EB86B2"/>
    <w:rsid w:val="31EB8CCB"/>
    <w:rsid w:val="31F2581E"/>
    <w:rsid w:val="31F3E7F1"/>
    <w:rsid w:val="31F7C0B5"/>
    <w:rsid w:val="31F9CFFB"/>
    <w:rsid w:val="31FA7438"/>
    <w:rsid w:val="31FB24AC"/>
    <w:rsid w:val="31FCFFD1"/>
    <w:rsid w:val="31FE0228"/>
    <w:rsid w:val="3200BA28"/>
    <w:rsid w:val="3202A4D6"/>
    <w:rsid w:val="3204869F"/>
    <w:rsid w:val="3208E5F0"/>
    <w:rsid w:val="320AC59E"/>
    <w:rsid w:val="320B6112"/>
    <w:rsid w:val="320F139B"/>
    <w:rsid w:val="320F26D4"/>
    <w:rsid w:val="320FE20C"/>
    <w:rsid w:val="3210CA5E"/>
    <w:rsid w:val="3216BAF5"/>
    <w:rsid w:val="32176897"/>
    <w:rsid w:val="32197ABC"/>
    <w:rsid w:val="321B0E7A"/>
    <w:rsid w:val="321C5D89"/>
    <w:rsid w:val="321FF2E4"/>
    <w:rsid w:val="32200CF7"/>
    <w:rsid w:val="322313EF"/>
    <w:rsid w:val="322375AB"/>
    <w:rsid w:val="322A4246"/>
    <w:rsid w:val="322F23D6"/>
    <w:rsid w:val="32338D25"/>
    <w:rsid w:val="323B5BFE"/>
    <w:rsid w:val="323E4D53"/>
    <w:rsid w:val="323E5BEE"/>
    <w:rsid w:val="323E9B33"/>
    <w:rsid w:val="3240C564"/>
    <w:rsid w:val="32461CAF"/>
    <w:rsid w:val="3246F526"/>
    <w:rsid w:val="324A1510"/>
    <w:rsid w:val="324A2730"/>
    <w:rsid w:val="324AD489"/>
    <w:rsid w:val="3252A172"/>
    <w:rsid w:val="3257030A"/>
    <w:rsid w:val="325A3871"/>
    <w:rsid w:val="326188E1"/>
    <w:rsid w:val="32637C95"/>
    <w:rsid w:val="326D9BB6"/>
    <w:rsid w:val="326FB7B2"/>
    <w:rsid w:val="32793AA1"/>
    <w:rsid w:val="3283B040"/>
    <w:rsid w:val="3283BBBA"/>
    <w:rsid w:val="32851201"/>
    <w:rsid w:val="3286BEFB"/>
    <w:rsid w:val="3287E353"/>
    <w:rsid w:val="328F6CB6"/>
    <w:rsid w:val="3290A7D0"/>
    <w:rsid w:val="3299483E"/>
    <w:rsid w:val="329B4EA8"/>
    <w:rsid w:val="329D3AFC"/>
    <w:rsid w:val="32A04892"/>
    <w:rsid w:val="32A54E68"/>
    <w:rsid w:val="32A6B96E"/>
    <w:rsid w:val="32A97C99"/>
    <w:rsid w:val="32AB04A4"/>
    <w:rsid w:val="32ACE45A"/>
    <w:rsid w:val="32AE07B4"/>
    <w:rsid w:val="32AF2E0E"/>
    <w:rsid w:val="32B53F03"/>
    <w:rsid w:val="32BD4B5C"/>
    <w:rsid w:val="32C0816E"/>
    <w:rsid w:val="32C1B010"/>
    <w:rsid w:val="32CD154D"/>
    <w:rsid w:val="32D1EB66"/>
    <w:rsid w:val="32D3C16C"/>
    <w:rsid w:val="32D58E7E"/>
    <w:rsid w:val="32D8E388"/>
    <w:rsid w:val="32DBC11E"/>
    <w:rsid w:val="32DBF1D6"/>
    <w:rsid w:val="32E32492"/>
    <w:rsid w:val="32E36E9E"/>
    <w:rsid w:val="32EB7087"/>
    <w:rsid w:val="32F0CD2A"/>
    <w:rsid w:val="32F2837E"/>
    <w:rsid w:val="32F54FB1"/>
    <w:rsid w:val="32FDBD04"/>
    <w:rsid w:val="330048C7"/>
    <w:rsid w:val="330B23AE"/>
    <w:rsid w:val="330B9E80"/>
    <w:rsid w:val="330CB745"/>
    <w:rsid w:val="330F41FF"/>
    <w:rsid w:val="331250C1"/>
    <w:rsid w:val="3316227A"/>
    <w:rsid w:val="3319B635"/>
    <w:rsid w:val="331C5BCE"/>
    <w:rsid w:val="331D8915"/>
    <w:rsid w:val="33202148"/>
    <w:rsid w:val="3320D784"/>
    <w:rsid w:val="3321AA18"/>
    <w:rsid w:val="33240EA2"/>
    <w:rsid w:val="3325EE57"/>
    <w:rsid w:val="33263191"/>
    <w:rsid w:val="3327C615"/>
    <w:rsid w:val="3328F505"/>
    <w:rsid w:val="33297B93"/>
    <w:rsid w:val="3336B685"/>
    <w:rsid w:val="3337BF0C"/>
    <w:rsid w:val="3339A8C4"/>
    <w:rsid w:val="333B8BF8"/>
    <w:rsid w:val="333F49F2"/>
    <w:rsid w:val="3340F9A3"/>
    <w:rsid w:val="3345227E"/>
    <w:rsid w:val="334727F8"/>
    <w:rsid w:val="3348D66A"/>
    <w:rsid w:val="3349A546"/>
    <w:rsid w:val="334F91C9"/>
    <w:rsid w:val="3350879E"/>
    <w:rsid w:val="3351E48E"/>
    <w:rsid w:val="33543246"/>
    <w:rsid w:val="33557772"/>
    <w:rsid w:val="3355B903"/>
    <w:rsid w:val="33592816"/>
    <w:rsid w:val="335AF372"/>
    <w:rsid w:val="335C2580"/>
    <w:rsid w:val="335F8891"/>
    <w:rsid w:val="3360076F"/>
    <w:rsid w:val="3365405F"/>
    <w:rsid w:val="336651BF"/>
    <w:rsid w:val="3366E1B0"/>
    <w:rsid w:val="336785F2"/>
    <w:rsid w:val="336C41EF"/>
    <w:rsid w:val="336E6EAC"/>
    <w:rsid w:val="337220F6"/>
    <w:rsid w:val="33781976"/>
    <w:rsid w:val="337B1D83"/>
    <w:rsid w:val="337B6D51"/>
    <w:rsid w:val="337CF0D6"/>
    <w:rsid w:val="3380D265"/>
    <w:rsid w:val="338649C5"/>
    <w:rsid w:val="33869723"/>
    <w:rsid w:val="33882AF8"/>
    <w:rsid w:val="3390C7B1"/>
    <w:rsid w:val="3397B7B0"/>
    <w:rsid w:val="3399D043"/>
    <w:rsid w:val="339ED8E3"/>
    <w:rsid w:val="33A5A6D1"/>
    <w:rsid w:val="33A68C93"/>
    <w:rsid w:val="33A6B115"/>
    <w:rsid w:val="33A8337C"/>
    <w:rsid w:val="33AB9EA0"/>
    <w:rsid w:val="33AE0A82"/>
    <w:rsid w:val="33B1BA2B"/>
    <w:rsid w:val="33B22D77"/>
    <w:rsid w:val="33B4C9CB"/>
    <w:rsid w:val="33B55577"/>
    <w:rsid w:val="33B5C1A3"/>
    <w:rsid w:val="33B7483C"/>
    <w:rsid w:val="33B7F4B7"/>
    <w:rsid w:val="33B922FA"/>
    <w:rsid w:val="33B9EC69"/>
    <w:rsid w:val="33BA9D98"/>
    <w:rsid w:val="33BD64EC"/>
    <w:rsid w:val="33C6FC92"/>
    <w:rsid w:val="33C7A36E"/>
    <w:rsid w:val="33C838BF"/>
    <w:rsid w:val="33CA45FB"/>
    <w:rsid w:val="33CFA8CA"/>
    <w:rsid w:val="33D2C108"/>
    <w:rsid w:val="33D4A013"/>
    <w:rsid w:val="33DB4CDE"/>
    <w:rsid w:val="33DD712F"/>
    <w:rsid w:val="33E3FF61"/>
    <w:rsid w:val="33E6EEE2"/>
    <w:rsid w:val="33E806DE"/>
    <w:rsid w:val="33E8E572"/>
    <w:rsid w:val="33ECF8D3"/>
    <w:rsid w:val="33ED6029"/>
    <w:rsid w:val="33EEA16E"/>
    <w:rsid w:val="33EF8D7C"/>
    <w:rsid w:val="33F2F78C"/>
    <w:rsid w:val="33F41E22"/>
    <w:rsid w:val="33F62D6F"/>
    <w:rsid w:val="33F8AFEF"/>
    <w:rsid w:val="33FAF0CA"/>
    <w:rsid w:val="33FB0BD3"/>
    <w:rsid w:val="33FCA1FD"/>
    <w:rsid w:val="3404161D"/>
    <w:rsid w:val="34043D3E"/>
    <w:rsid w:val="3404A9CB"/>
    <w:rsid w:val="340B7557"/>
    <w:rsid w:val="340C5C9A"/>
    <w:rsid w:val="340DB596"/>
    <w:rsid w:val="340DE80F"/>
    <w:rsid w:val="340F8610"/>
    <w:rsid w:val="3411F01A"/>
    <w:rsid w:val="3414863F"/>
    <w:rsid w:val="341C36AB"/>
    <w:rsid w:val="341F4DD0"/>
    <w:rsid w:val="34203C03"/>
    <w:rsid w:val="34205598"/>
    <w:rsid w:val="3427B346"/>
    <w:rsid w:val="342A866E"/>
    <w:rsid w:val="342B5F6C"/>
    <w:rsid w:val="342E7DA3"/>
    <w:rsid w:val="342F00B9"/>
    <w:rsid w:val="34301614"/>
    <w:rsid w:val="3430E06E"/>
    <w:rsid w:val="3439ECA3"/>
    <w:rsid w:val="343B2D82"/>
    <w:rsid w:val="343C1FB1"/>
    <w:rsid w:val="343E8E64"/>
    <w:rsid w:val="344274CC"/>
    <w:rsid w:val="3443D1D5"/>
    <w:rsid w:val="344D23D5"/>
    <w:rsid w:val="3450EEE2"/>
    <w:rsid w:val="3452F642"/>
    <w:rsid w:val="3455BA77"/>
    <w:rsid w:val="345A0101"/>
    <w:rsid w:val="345D2BA5"/>
    <w:rsid w:val="3462BACA"/>
    <w:rsid w:val="34642E67"/>
    <w:rsid w:val="346643A7"/>
    <w:rsid w:val="3466479A"/>
    <w:rsid w:val="346E575B"/>
    <w:rsid w:val="3472ABC3"/>
    <w:rsid w:val="34778E15"/>
    <w:rsid w:val="34791F31"/>
    <w:rsid w:val="347B5E5E"/>
    <w:rsid w:val="347BF3E3"/>
    <w:rsid w:val="347F1199"/>
    <w:rsid w:val="347F2237"/>
    <w:rsid w:val="347F7C94"/>
    <w:rsid w:val="3485DD27"/>
    <w:rsid w:val="349A45F8"/>
    <w:rsid w:val="349BEF68"/>
    <w:rsid w:val="349DBBD3"/>
    <w:rsid w:val="349F3E72"/>
    <w:rsid w:val="34A14F23"/>
    <w:rsid w:val="34A2D6FA"/>
    <w:rsid w:val="34A49A98"/>
    <w:rsid w:val="34AADF0B"/>
    <w:rsid w:val="34B00516"/>
    <w:rsid w:val="34B3C382"/>
    <w:rsid w:val="34B86EE5"/>
    <w:rsid w:val="34B987A8"/>
    <w:rsid w:val="34BEEA10"/>
    <w:rsid w:val="34C387EC"/>
    <w:rsid w:val="34C60E5B"/>
    <w:rsid w:val="34C937E7"/>
    <w:rsid w:val="34CA3C41"/>
    <w:rsid w:val="34CBCECB"/>
    <w:rsid w:val="34CDC804"/>
    <w:rsid w:val="34D21322"/>
    <w:rsid w:val="34D2C55D"/>
    <w:rsid w:val="34D3307D"/>
    <w:rsid w:val="34DB1E03"/>
    <w:rsid w:val="34DEF1D3"/>
    <w:rsid w:val="34DF92CC"/>
    <w:rsid w:val="34E05089"/>
    <w:rsid w:val="34E58CAF"/>
    <w:rsid w:val="34E6480A"/>
    <w:rsid w:val="34E73BB5"/>
    <w:rsid w:val="34E94673"/>
    <w:rsid w:val="34EADDA1"/>
    <w:rsid w:val="34EB1A3A"/>
    <w:rsid w:val="34EC44B4"/>
    <w:rsid w:val="34EF289A"/>
    <w:rsid w:val="34F01A11"/>
    <w:rsid w:val="34F1B086"/>
    <w:rsid w:val="3501F584"/>
    <w:rsid w:val="3507538C"/>
    <w:rsid w:val="350DBAA2"/>
    <w:rsid w:val="350ED0E6"/>
    <w:rsid w:val="3510E085"/>
    <w:rsid w:val="3513A1D6"/>
    <w:rsid w:val="351845F8"/>
    <w:rsid w:val="351A6808"/>
    <w:rsid w:val="351B8082"/>
    <w:rsid w:val="351DDE6D"/>
    <w:rsid w:val="351EC1E8"/>
    <w:rsid w:val="352843CD"/>
    <w:rsid w:val="352A4694"/>
    <w:rsid w:val="352CEA3E"/>
    <w:rsid w:val="352D23FA"/>
    <w:rsid w:val="353062BB"/>
    <w:rsid w:val="3531BA9C"/>
    <w:rsid w:val="3532CEE5"/>
    <w:rsid w:val="3533FA9C"/>
    <w:rsid w:val="3534BD23"/>
    <w:rsid w:val="3537259B"/>
    <w:rsid w:val="353ADDAB"/>
    <w:rsid w:val="3540F1A5"/>
    <w:rsid w:val="35418969"/>
    <w:rsid w:val="3543EB66"/>
    <w:rsid w:val="3544E78F"/>
    <w:rsid w:val="35451D67"/>
    <w:rsid w:val="354DC9E4"/>
    <w:rsid w:val="354F3B4F"/>
    <w:rsid w:val="3554FAE2"/>
    <w:rsid w:val="35553A1A"/>
    <w:rsid w:val="35579DC6"/>
    <w:rsid w:val="355869C0"/>
    <w:rsid w:val="3559DCE5"/>
    <w:rsid w:val="355C14EA"/>
    <w:rsid w:val="356541BB"/>
    <w:rsid w:val="3568A4AC"/>
    <w:rsid w:val="356E5F2E"/>
    <w:rsid w:val="35763297"/>
    <w:rsid w:val="3576F89D"/>
    <w:rsid w:val="35770D20"/>
    <w:rsid w:val="3579CFEF"/>
    <w:rsid w:val="357ABAC9"/>
    <w:rsid w:val="357C70CD"/>
    <w:rsid w:val="357ED7B1"/>
    <w:rsid w:val="357FE0DF"/>
    <w:rsid w:val="3580990A"/>
    <w:rsid w:val="3585AF88"/>
    <w:rsid w:val="35868058"/>
    <w:rsid w:val="358C79BD"/>
    <w:rsid w:val="35928815"/>
    <w:rsid w:val="3594FD06"/>
    <w:rsid w:val="35A03F90"/>
    <w:rsid w:val="35A0A3D9"/>
    <w:rsid w:val="35A732B4"/>
    <w:rsid w:val="35A8915F"/>
    <w:rsid w:val="35A90FBD"/>
    <w:rsid w:val="35AB1CF8"/>
    <w:rsid w:val="35B293C9"/>
    <w:rsid w:val="35B871A1"/>
    <w:rsid w:val="35BDA322"/>
    <w:rsid w:val="35BFE9A6"/>
    <w:rsid w:val="35C3CEE3"/>
    <w:rsid w:val="35C760AF"/>
    <w:rsid w:val="35C8D6CB"/>
    <w:rsid w:val="35CE1B24"/>
    <w:rsid w:val="35CFA893"/>
    <w:rsid w:val="35D086F2"/>
    <w:rsid w:val="35D09710"/>
    <w:rsid w:val="35D880CC"/>
    <w:rsid w:val="35DC72E9"/>
    <w:rsid w:val="35DCD1D5"/>
    <w:rsid w:val="35DFDB67"/>
    <w:rsid w:val="35E16CE3"/>
    <w:rsid w:val="35E2375F"/>
    <w:rsid w:val="35E99EE2"/>
    <w:rsid w:val="35F22250"/>
    <w:rsid w:val="35F4EA73"/>
    <w:rsid w:val="35F82452"/>
    <w:rsid w:val="35FDC749"/>
    <w:rsid w:val="35FE5B4B"/>
    <w:rsid w:val="3608F7A8"/>
    <w:rsid w:val="361196F7"/>
    <w:rsid w:val="3613D2BC"/>
    <w:rsid w:val="361C9CCF"/>
    <w:rsid w:val="361F601D"/>
    <w:rsid w:val="36253D6D"/>
    <w:rsid w:val="3626323F"/>
    <w:rsid w:val="36307272"/>
    <w:rsid w:val="36325D13"/>
    <w:rsid w:val="36392927"/>
    <w:rsid w:val="363BED94"/>
    <w:rsid w:val="363C5ADA"/>
    <w:rsid w:val="36491E5F"/>
    <w:rsid w:val="364BF978"/>
    <w:rsid w:val="364C5D37"/>
    <w:rsid w:val="3652A41D"/>
    <w:rsid w:val="36579077"/>
    <w:rsid w:val="365B38F2"/>
    <w:rsid w:val="365CCE61"/>
    <w:rsid w:val="365DA8B0"/>
    <w:rsid w:val="36604000"/>
    <w:rsid w:val="3667EDC1"/>
    <w:rsid w:val="36688C83"/>
    <w:rsid w:val="3669D937"/>
    <w:rsid w:val="3669E54F"/>
    <w:rsid w:val="366A1AF3"/>
    <w:rsid w:val="366BCA50"/>
    <w:rsid w:val="36762B59"/>
    <w:rsid w:val="368146F1"/>
    <w:rsid w:val="368A9ACF"/>
    <w:rsid w:val="368B73F2"/>
    <w:rsid w:val="368E2D8F"/>
    <w:rsid w:val="36905E2A"/>
    <w:rsid w:val="369321C4"/>
    <w:rsid w:val="36974E30"/>
    <w:rsid w:val="369C95D8"/>
    <w:rsid w:val="369D91F7"/>
    <w:rsid w:val="36A398C0"/>
    <w:rsid w:val="36A537D3"/>
    <w:rsid w:val="36A64E3A"/>
    <w:rsid w:val="36AAFF73"/>
    <w:rsid w:val="36B03791"/>
    <w:rsid w:val="36B4B683"/>
    <w:rsid w:val="36C31897"/>
    <w:rsid w:val="36C44787"/>
    <w:rsid w:val="36C4885A"/>
    <w:rsid w:val="36C4DD6D"/>
    <w:rsid w:val="36C96F7E"/>
    <w:rsid w:val="36CA0BE5"/>
    <w:rsid w:val="36CB850C"/>
    <w:rsid w:val="36CC17CC"/>
    <w:rsid w:val="36CDC9AB"/>
    <w:rsid w:val="36CF85A5"/>
    <w:rsid w:val="36D392E1"/>
    <w:rsid w:val="36D7AFF3"/>
    <w:rsid w:val="36D8C226"/>
    <w:rsid w:val="36E18CC7"/>
    <w:rsid w:val="36E225AB"/>
    <w:rsid w:val="36E4B3A8"/>
    <w:rsid w:val="36E7B5D4"/>
    <w:rsid w:val="36EA5091"/>
    <w:rsid w:val="36EA856D"/>
    <w:rsid w:val="36EC7AFF"/>
    <w:rsid w:val="36ECB4D6"/>
    <w:rsid w:val="36EE7B3E"/>
    <w:rsid w:val="36EF03CF"/>
    <w:rsid w:val="36F6A8C0"/>
    <w:rsid w:val="36F9D3A4"/>
    <w:rsid w:val="3706B647"/>
    <w:rsid w:val="3708072A"/>
    <w:rsid w:val="3709D1E2"/>
    <w:rsid w:val="370BA9BB"/>
    <w:rsid w:val="370C4C68"/>
    <w:rsid w:val="3718C71F"/>
    <w:rsid w:val="37197EDD"/>
    <w:rsid w:val="371AAB21"/>
    <w:rsid w:val="371B4324"/>
    <w:rsid w:val="371D16EF"/>
    <w:rsid w:val="371EBEE7"/>
    <w:rsid w:val="371F0A47"/>
    <w:rsid w:val="372240F8"/>
    <w:rsid w:val="3722448E"/>
    <w:rsid w:val="3724734B"/>
    <w:rsid w:val="372568D9"/>
    <w:rsid w:val="372A47CB"/>
    <w:rsid w:val="372B022B"/>
    <w:rsid w:val="372E844E"/>
    <w:rsid w:val="3735D4D6"/>
    <w:rsid w:val="3742D50D"/>
    <w:rsid w:val="37453E7C"/>
    <w:rsid w:val="37479E0D"/>
    <w:rsid w:val="3749D0A3"/>
    <w:rsid w:val="37583F0E"/>
    <w:rsid w:val="375F4671"/>
    <w:rsid w:val="376120CD"/>
    <w:rsid w:val="3763002E"/>
    <w:rsid w:val="3768E402"/>
    <w:rsid w:val="376DDE08"/>
    <w:rsid w:val="3778AAB8"/>
    <w:rsid w:val="377D3F5F"/>
    <w:rsid w:val="377F1ACA"/>
    <w:rsid w:val="37856833"/>
    <w:rsid w:val="378A336D"/>
    <w:rsid w:val="378DA093"/>
    <w:rsid w:val="378E22C5"/>
    <w:rsid w:val="379075F7"/>
    <w:rsid w:val="37913579"/>
    <w:rsid w:val="37959F64"/>
    <w:rsid w:val="379AB28A"/>
    <w:rsid w:val="37A20DBE"/>
    <w:rsid w:val="37A444F9"/>
    <w:rsid w:val="37A674A1"/>
    <w:rsid w:val="37A7B5EB"/>
    <w:rsid w:val="37A9B421"/>
    <w:rsid w:val="37AA5ECC"/>
    <w:rsid w:val="37AB3A08"/>
    <w:rsid w:val="37ABE9B7"/>
    <w:rsid w:val="37AF2702"/>
    <w:rsid w:val="37B12BD8"/>
    <w:rsid w:val="37B2593A"/>
    <w:rsid w:val="37B2DC6A"/>
    <w:rsid w:val="37B3B45C"/>
    <w:rsid w:val="37B435E8"/>
    <w:rsid w:val="37B74ABF"/>
    <w:rsid w:val="37C33E00"/>
    <w:rsid w:val="37C4615D"/>
    <w:rsid w:val="37C5026D"/>
    <w:rsid w:val="37C56C63"/>
    <w:rsid w:val="37CDAC00"/>
    <w:rsid w:val="37D2A71E"/>
    <w:rsid w:val="37D3D079"/>
    <w:rsid w:val="37D3DF44"/>
    <w:rsid w:val="37DA292A"/>
    <w:rsid w:val="37DA521B"/>
    <w:rsid w:val="37DA813F"/>
    <w:rsid w:val="37E31DC0"/>
    <w:rsid w:val="37E61786"/>
    <w:rsid w:val="37E9F1C9"/>
    <w:rsid w:val="37EA3200"/>
    <w:rsid w:val="37EA4937"/>
    <w:rsid w:val="37EB522E"/>
    <w:rsid w:val="37ED98F5"/>
    <w:rsid w:val="37EDD2CD"/>
    <w:rsid w:val="37EE22EA"/>
    <w:rsid w:val="37F37FFB"/>
    <w:rsid w:val="37F448A4"/>
    <w:rsid w:val="37F4B27A"/>
    <w:rsid w:val="37F90954"/>
    <w:rsid w:val="37FCBD30"/>
    <w:rsid w:val="37FCDA3C"/>
    <w:rsid w:val="37FD1E20"/>
    <w:rsid w:val="38074192"/>
    <w:rsid w:val="3807D7B9"/>
    <w:rsid w:val="38120375"/>
    <w:rsid w:val="38123175"/>
    <w:rsid w:val="38173947"/>
    <w:rsid w:val="38212348"/>
    <w:rsid w:val="3825EE41"/>
    <w:rsid w:val="382662BD"/>
    <w:rsid w:val="3826F72C"/>
    <w:rsid w:val="382965CF"/>
    <w:rsid w:val="382A5FC9"/>
    <w:rsid w:val="382A6392"/>
    <w:rsid w:val="382ADA58"/>
    <w:rsid w:val="383527DC"/>
    <w:rsid w:val="3838A39D"/>
    <w:rsid w:val="384053BF"/>
    <w:rsid w:val="38446977"/>
    <w:rsid w:val="38468952"/>
    <w:rsid w:val="3847674C"/>
    <w:rsid w:val="38476EE9"/>
    <w:rsid w:val="384B45A9"/>
    <w:rsid w:val="384D4214"/>
    <w:rsid w:val="384F738E"/>
    <w:rsid w:val="384FEB92"/>
    <w:rsid w:val="385FB3D4"/>
    <w:rsid w:val="3860EE2C"/>
    <w:rsid w:val="3863CC21"/>
    <w:rsid w:val="3863D2C5"/>
    <w:rsid w:val="3865444A"/>
    <w:rsid w:val="386C644A"/>
    <w:rsid w:val="386DEB5A"/>
    <w:rsid w:val="3873ED0D"/>
    <w:rsid w:val="387506DE"/>
    <w:rsid w:val="3875BC7B"/>
    <w:rsid w:val="387F1F73"/>
    <w:rsid w:val="38800530"/>
    <w:rsid w:val="388148E5"/>
    <w:rsid w:val="3881D1F1"/>
    <w:rsid w:val="38889264"/>
    <w:rsid w:val="388B5593"/>
    <w:rsid w:val="388BBE9A"/>
    <w:rsid w:val="388D61D8"/>
    <w:rsid w:val="38901CE1"/>
    <w:rsid w:val="38928EE5"/>
    <w:rsid w:val="38965BAA"/>
    <w:rsid w:val="389C6E3F"/>
    <w:rsid w:val="389F5C80"/>
    <w:rsid w:val="38A09B1D"/>
    <w:rsid w:val="38A29ACC"/>
    <w:rsid w:val="38A65E9B"/>
    <w:rsid w:val="38A8C37D"/>
    <w:rsid w:val="38A8FC85"/>
    <w:rsid w:val="38AC2E53"/>
    <w:rsid w:val="38AD4363"/>
    <w:rsid w:val="38B59A75"/>
    <w:rsid w:val="38BADAA8"/>
    <w:rsid w:val="38C24EAB"/>
    <w:rsid w:val="38C3800A"/>
    <w:rsid w:val="38C5E13C"/>
    <w:rsid w:val="38CE724D"/>
    <w:rsid w:val="38CF701A"/>
    <w:rsid w:val="38D152ED"/>
    <w:rsid w:val="38D7EFA4"/>
    <w:rsid w:val="38DF1C9F"/>
    <w:rsid w:val="38E126B9"/>
    <w:rsid w:val="38E15C55"/>
    <w:rsid w:val="38E32994"/>
    <w:rsid w:val="38E6902D"/>
    <w:rsid w:val="38E909D4"/>
    <w:rsid w:val="38EA7922"/>
    <w:rsid w:val="38EACFA7"/>
    <w:rsid w:val="38F0BFDD"/>
    <w:rsid w:val="38F45D27"/>
    <w:rsid w:val="38F78006"/>
    <w:rsid w:val="38F8F61A"/>
    <w:rsid w:val="38FC7890"/>
    <w:rsid w:val="390057FC"/>
    <w:rsid w:val="39142EBF"/>
    <w:rsid w:val="391ADEE8"/>
    <w:rsid w:val="391EEB24"/>
    <w:rsid w:val="39205F3D"/>
    <w:rsid w:val="3927890B"/>
    <w:rsid w:val="392973C6"/>
    <w:rsid w:val="392DBC0E"/>
    <w:rsid w:val="3930FFB1"/>
    <w:rsid w:val="3933FB57"/>
    <w:rsid w:val="39354E3B"/>
    <w:rsid w:val="3935967C"/>
    <w:rsid w:val="39369449"/>
    <w:rsid w:val="393B9614"/>
    <w:rsid w:val="393EE3CD"/>
    <w:rsid w:val="394018F5"/>
    <w:rsid w:val="39424502"/>
    <w:rsid w:val="3946B24F"/>
    <w:rsid w:val="39481573"/>
    <w:rsid w:val="394E3A33"/>
    <w:rsid w:val="394EA8AB"/>
    <w:rsid w:val="3957887F"/>
    <w:rsid w:val="395871B2"/>
    <w:rsid w:val="3959C0C7"/>
    <w:rsid w:val="395B5DF7"/>
    <w:rsid w:val="39613CC4"/>
    <w:rsid w:val="3963F6E2"/>
    <w:rsid w:val="396BF555"/>
    <w:rsid w:val="3979344E"/>
    <w:rsid w:val="397E94C5"/>
    <w:rsid w:val="3985BDC4"/>
    <w:rsid w:val="398C1ADB"/>
    <w:rsid w:val="398D96E4"/>
    <w:rsid w:val="398DC498"/>
    <w:rsid w:val="398DD150"/>
    <w:rsid w:val="398DEBD7"/>
    <w:rsid w:val="39953ED4"/>
    <w:rsid w:val="399693D3"/>
    <w:rsid w:val="39984A1D"/>
    <w:rsid w:val="3999C7E0"/>
    <w:rsid w:val="399A4E0C"/>
    <w:rsid w:val="399C7F7C"/>
    <w:rsid w:val="399D7DEB"/>
    <w:rsid w:val="399DE5A3"/>
    <w:rsid w:val="39A111FA"/>
    <w:rsid w:val="39A27409"/>
    <w:rsid w:val="39A3E1CC"/>
    <w:rsid w:val="39A6CF48"/>
    <w:rsid w:val="39A7B84A"/>
    <w:rsid w:val="39A982D2"/>
    <w:rsid w:val="39AB5848"/>
    <w:rsid w:val="39ACC137"/>
    <w:rsid w:val="39AEEFEC"/>
    <w:rsid w:val="39AF412F"/>
    <w:rsid w:val="39B161B4"/>
    <w:rsid w:val="39B90020"/>
    <w:rsid w:val="39BA257E"/>
    <w:rsid w:val="39BB3987"/>
    <w:rsid w:val="39BED34D"/>
    <w:rsid w:val="39BF2FE7"/>
    <w:rsid w:val="39C16502"/>
    <w:rsid w:val="39C6500E"/>
    <w:rsid w:val="39C8E15B"/>
    <w:rsid w:val="39CCA5C5"/>
    <w:rsid w:val="39D2FE00"/>
    <w:rsid w:val="39D8A5FA"/>
    <w:rsid w:val="39D95E6F"/>
    <w:rsid w:val="39DE0E63"/>
    <w:rsid w:val="39DF245D"/>
    <w:rsid w:val="39F24FB2"/>
    <w:rsid w:val="39F9A4B1"/>
    <w:rsid w:val="39F9C09B"/>
    <w:rsid w:val="39FF863D"/>
    <w:rsid w:val="3A039891"/>
    <w:rsid w:val="3A0398AD"/>
    <w:rsid w:val="3A0967CE"/>
    <w:rsid w:val="3A0CB0C9"/>
    <w:rsid w:val="3A116369"/>
    <w:rsid w:val="3A1A5CD9"/>
    <w:rsid w:val="3A1C978F"/>
    <w:rsid w:val="3A255017"/>
    <w:rsid w:val="3A26C243"/>
    <w:rsid w:val="3A28BCFB"/>
    <w:rsid w:val="3A2B988B"/>
    <w:rsid w:val="3A2D6675"/>
    <w:rsid w:val="3A333813"/>
    <w:rsid w:val="3A356FCD"/>
    <w:rsid w:val="3A372C34"/>
    <w:rsid w:val="3A376E92"/>
    <w:rsid w:val="3A3B6904"/>
    <w:rsid w:val="3A409748"/>
    <w:rsid w:val="3A4BAF6F"/>
    <w:rsid w:val="3A4C0C86"/>
    <w:rsid w:val="3A4D25CA"/>
    <w:rsid w:val="3A4DB41E"/>
    <w:rsid w:val="3A503A6B"/>
    <w:rsid w:val="3A522705"/>
    <w:rsid w:val="3A538564"/>
    <w:rsid w:val="3A54879A"/>
    <w:rsid w:val="3A577122"/>
    <w:rsid w:val="3A57B5EE"/>
    <w:rsid w:val="3A599BEF"/>
    <w:rsid w:val="3A5ABFE1"/>
    <w:rsid w:val="3A62D466"/>
    <w:rsid w:val="3A659A25"/>
    <w:rsid w:val="3A672E4B"/>
    <w:rsid w:val="3A6A37FA"/>
    <w:rsid w:val="3A6EDDE5"/>
    <w:rsid w:val="3A6F382B"/>
    <w:rsid w:val="3A6FB541"/>
    <w:rsid w:val="3A7065A4"/>
    <w:rsid w:val="3A7415F7"/>
    <w:rsid w:val="3A76A089"/>
    <w:rsid w:val="3A775A76"/>
    <w:rsid w:val="3A7779AF"/>
    <w:rsid w:val="3A808E66"/>
    <w:rsid w:val="3A8A0849"/>
    <w:rsid w:val="3A8F8786"/>
    <w:rsid w:val="3A9205CC"/>
    <w:rsid w:val="3A93D72E"/>
    <w:rsid w:val="3A97C073"/>
    <w:rsid w:val="3A9880B5"/>
    <w:rsid w:val="3A9DC6D1"/>
    <w:rsid w:val="3A9F8A7A"/>
    <w:rsid w:val="3A9F9E04"/>
    <w:rsid w:val="3AA1E43D"/>
    <w:rsid w:val="3AA6AE14"/>
    <w:rsid w:val="3AA76EE2"/>
    <w:rsid w:val="3AAACCE7"/>
    <w:rsid w:val="3AB00F90"/>
    <w:rsid w:val="3AB0F971"/>
    <w:rsid w:val="3AB1C688"/>
    <w:rsid w:val="3AB22F27"/>
    <w:rsid w:val="3AB646F5"/>
    <w:rsid w:val="3AB6E1D7"/>
    <w:rsid w:val="3AB94E6C"/>
    <w:rsid w:val="3AC0E851"/>
    <w:rsid w:val="3AC86D45"/>
    <w:rsid w:val="3ACC95D7"/>
    <w:rsid w:val="3ACD4CB2"/>
    <w:rsid w:val="3ACF1277"/>
    <w:rsid w:val="3AD0D88C"/>
    <w:rsid w:val="3AE41AD4"/>
    <w:rsid w:val="3AECA6C1"/>
    <w:rsid w:val="3AED46DE"/>
    <w:rsid w:val="3AF02E5A"/>
    <w:rsid w:val="3AF0F055"/>
    <w:rsid w:val="3AF0F6E3"/>
    <w:rsid w:val="3AF2F439"/>
    <w:rsid w:val="3AF39CEF"/>
    <w:rsid w:val="3AF4F9B0"/>
    <w:rsid w:val="3AF6B442"/>
    <w:rsid w:val="3AF71E01"/>
    <w:rsid w:val="3AF8319D"/>
    <w:rsid w:val="3AF951D1"/>
    <w:rsid w:val="3AF9ADB7"/>
    <w:rsid w:val="3AFFF01A"/>
    <w:rsid w:val="3B0A7605"/>
    <w:rsid w:val="3B0F53AC"/>
    <w:rsid w:val="3B16947D"/>
    <w:rsid w:val="3B16D037"/>
    <w:rsid w:val="3B17AD33"/>
    <w:rsid w:val="3B206C45"/>
    <w:rsid w:val="3B20D9F7"/>
    <w:rsid w:val="3B279B8B"/>
    <w:rsid w:val="3B2C8401"/>
    <w:rsid w:val="3B2DB93A"/>
    <w:rsid w:val="3B2EBF6F"/>
    <w:rsid w:val="3B34726B"/>
    <w:rsid w:val="3B3AB32F"/>
    <w:rsid w:val="3B3D0988"/>
    <w:rsid w:val="3B46B86F"/>
    <w:rsid w:val="3B486D8A"/>
    <w:rsid w:val="3B4B507D"/>
    <w:rsid w:val="3B4FACAF"/>
    <w:rsid w:val="3B567C98"/>
    <w:rsid w:val="3B5EB35B"/>
    <w:rsid w:val="3B5F3762"/>
    <w:rsid w:val="3B60EEF9"/>
    <w:rsid w:val="3B62CA91"/>
    <w:rsid w:val="3B640595"/>
    <w:rsid w:val="3B64F84A"/>
    <w:rsid w:val="3B673C47"/>
    <w:rsid w:val="3B687C00"/>
    <w:rsid w:val="3B731F74"/>
    <w:rsid w:val="3B7503A2"/>
    <w:rsid w:val="3B79695A"/>
    <w:rsid w:val="3B7B06D6"/>
    <w:rsid w:val="3B7C02F5"/>
    <w:rsid w:val="3B7C421F"/>
    <w:rsid w:val="3B7E2DE9"/>
    <w:rsid w:val="3B80A589"/>
    <w:rsid w:val="3B820C1B"/>
    <w:rsid w:val="3B83D9C0"/>
    <w:rsid w:val="3B85F94A"/>
    <w:rsid w:val="3B873CBC"/>
    <w:rsid w:val="3B882B1E"/>
    <w:rsid w:val="3B8C83C2"/>
    <w:rsid w:val="3B8FD313"/>
    <w:rsid w:val="3B90C475"/>
    <w:rsid w:val="3B94345C"/>
    <w:rsid w:val="3B94E236"/>
    <w:rsid w:val="3B957201"/>
    <w:rsid w:val="3B958BAA"/>
    <w:rsid w:val="3B99187A"/>
    <w:rsid w:val="3B9E2DA7"/>
    <w:rsid w:val="3B9EA916"/>
    <w:rsid w:val="3BA7F356"/>
    <w:rsid w:val="3BAEBE49"/>
    <w:rsid w:val="3BB541A4"/>
    <w:rsid w:val="3BB88168"/>
    <w:rsid w:val="3BBBBDB3"/>
    <w:rsid w:val="3BC00D86"/>
    <w:rsid w:val="3BC37FED"/>
    <w:rsid w:val="3BC7845B"/>
    <w:rsid w:val="3BD981BF"/>
    <w:rsid w:val="3BD9E1C8"/>
    <w:rsid w:val="3BDBF025"/>
    <w:rsid w:val="3BDE6BC5"/>
    <w:rsid w:val="3BE0B32F"/>
    <w:rsid w:val="3BE122B1"/>
    <w:rsid w:val="3BE3A005"/>
    <w:rsid w:val="3BE417C6"/>
    <w:rsid w:val="3BE656FC"/>
    <w:rsid w:val="3BEBEE03"/>
    <w:rsid w:val="3BEE34BC"/>
    <w:rsid w:val="3BEE39F8"/>
    <w:rsid w:val="3BF0227B"/>
    <w:rsid w:val="3BF200BF"/>
    <w:rsid w:val="3BF4F471"/>
    <w:rsid w:val="3BF59D93"/>
    <w:rsid w:val="3BF6A498"/>
    <w:rsid w:val="3BF746A8"/>
    <w:rsid w:val="3BFECC74"/>
    <w:rsid w:val="3BFF126B"/>
    <w:rsid w:val="3C0EEA39"/>
    <w:rsid w:val="3C110B48"/>
    <w:rsid w:val="3C12F165"/>
    <w:rsid w:val="3C134DAC"/>
    <w:rsid w:val="3C15557E"/>
    <w:rsid w:val="3C17DD9A"/>
    <w:rsid w:val="3C18AFA9"/>
    <w:rsid w:val="3C1A2CA6"/>
    <w:rsid w:val="3C1AD4EE"/>
    <w:rsid w:val="3C1EA4A7"/>
    <w:rsid w:val="3C27B78C"/>
    <w:rsid w:val="3C2D3545"/>
    <w:rsid w:val="3C2D9328"/>
    <w:rsid w:val="3C2EB506"/>
    <w:rsid w:val="3C327BBD"/>
    <w:rsid w:val="3C32C2C8"/>
    <w:rsid w:val="3C355E11"/>
    <w:rsid w:val="3C35E42F"/>
    <w:rsid w:val="3C3A2DD9"/>
    <w:rsid w:val="3C3CDFD9"/>
    <w:rsid w:val="3C44457B"/>
    <w:rsid w:val="3C4473E7"/>
    <w:rsid w:val="3C4703F1"/>
    <w:rsid w:val="3C4963EC"/>
    <w:rsid w:val="3C4FAEB3"/>
    <w:rsid w:val="3C507C05"/>
    <w:rsid w:val="3C52B655"/>
    <w:rsid w:val="3C5370EE"/>
    <w:rsid w:val="3C57FCEE"/>
    <w:rsid w:val="3C57FFFF"/>
    <w:rsid w:val="3C58DB71"/>
    <w:rsid w:val="3C5B45DB"/>
    <w:rsid w:val="3C5CD982"/>
    <w:rsid w:val="3C5EF9DD"/>
    <w:rsid w:val="3C6AAD1C"/>
    <w:rsid w:val="3C6D721F"/>
    <w:rsid w:val="3C7511FE"/>
    <w:rsid w:val="3C795DCE"/>
    <w:rsid w:val="3C79D7BB"/>
    <w:rsid w:val="3C831DC1"/>
    <w:rsid w:val="3C8348A1"/>
    <w:rsid w:val="3C8355F6"/>
    <w:rsid w:val="3C88EAAC"/>
    <w:rsid w:val="3C89FA25"/>
    <w:rsid w:val="3C8DAACF"/>
    <w:rsid w:val="3C93BCC8"/>
    <w:rsid w:val="3C952071"/>
    <w:rsid w:val="3C9B3717"/>
    <w:rsid w:val="3CAD4E40"/>
    <w:rsid w:val="3CB16E7C"/>
    <w:rsid w:val="3CB76AC8"/>
    <w:rsid w:val="3CB80617"/>
    <w:rsid w:val="3CC0DD6B"/>
    <w:rsid w:val="3CC31066"/>
    <w:rsid w:val="3CC92E9D"/>
    <w:rsid w:val="3CCBACA5"/>
    <w:rsid w:val="3CD77FAF"/>
    <w:rsid w:val="3CE0CA91"/>
    <w:rsid w:val="3CE265AF"/>
    <w:rsid w:val="3CE3A5A1"/>
    <w:rsid w:val="3CEBCF95"/>
    <w:rsid w:val="3CEE902B"/>
    <w:rsid w:val="3CF21F8D"/>
    <w:rsid w:val="3CFDC3B3"/>
    <w:rsid w:val="3CFF4F10"/>
    <w:rsid w:val="3D0B8718"/>
    <w:rsid w:val="3D1075D7"/>
    <w:rsid w:val="3D169F06"/>
    <w:rsid w:val="3D171DE6"/>
    <w:rsid w:val="3D20E60B"/>
    <w:rsid w:val="3D2384AC"/>
    <w:rsid w:val="3D2C0C36"/>
    <w:rsid w:val="3D2C6ED4"/>
    <w:rsid w:val="3D2C7E68"/>
    <w:rsid w:val="3D3764B5"/>
    <w:rsid w:val="3D378EBC"/>
    <w:rsid w:val="3D382DC3"/>
    <w:rsid w:val="3D3ABEDC"/>
    <w:rsid w:val="3D3D1C83"/>
    <w:rsid w:val="3D3DE7B0"/>
    <w:rsid w:val="3D3F6CF2"/>
    <w:rsid w:val="3D43C211"/>
    <w:rsid w:val="3D4594FD"/>
    <w:rsid w:val="3D47AEB3"/>
    <w:rsid w:val="3D4A0CCB"/>
    <w:rsid w:val="3D4FB9D8"/>
    <w:rsid w:val="3D516A3C"/>
    <w:rsid w:val="3D5172FC"/>
    <w:rsid w:val="3D5302EE"/>
    <w:rsid w:val="3D55CE13"/>
    <w:rsid w:val="3D5672B7"/>
    <w:rsid w:val="3D5734D2"/>
    <w:rsid w:val="3D6158DE"/>
    <w:rsid w:val="3D61A47B"/>
    <w:rsid w:val="3D6263BA"/>
    <w:rsid w:val="3D627400"/>
    <w:rsid w:val="3D6365CB"/>
    <w:rsid w:val="3D63B705"/>
    <w:rsid w:val="3D646675"/>
    <w:rsid w:val="3D64ED17"/>
    <w:rsid w:val="3D66350F"/>
    <w:rsid w:val="3D6DA8B7"/>
    <w:rsid w:val="3D6FCA46"/>
    <w:rsid w:val="3D72E30E"/>
    <w:rsid w:val="3D76D744"/>
    <w:rsid w:val="3D8268E0"/>
    <w:rsid w:val="3D8A1FCD"/>
    <w:rsid w:val="3D8D4AC3"/>
    <w:rsid w:val="3D91BB96"/>
    <w:rsid w:val="3D923F75"/>
    <w:rsid w:val="3D9F238D"/>
    <w:rsid w:val="3DA0DB51"/>
    <w:rsid w:val="3DA1476F"/>
    <w:rsid w:val="3DA4F09C"/>
    <w:rsid w:val="3DAF4909"/>
    <w:rsid w:val="3DB0AC46"/>
    <w:rsid w:val="3DB38D20"/>
    <w:rsid w:val="3DB442E5"/>
    <w:rsid w:val="3DB893F3"/>
    <w:rsid w:val="3DB9A53F"/>
    <w:rsid w:val="3DC65F93"/>
    <w:rsid w:val="3DC704BE"/>
    <w:rsid w:val="3DC729D0"/>
    <w:rsid w:val="3DCC673D"/>
    <w:rsid w:val="3DD27B2B"/>
    <w:rsid w:val="3DDDB7AC"/>
    <w:rsid w:val="3DE74ED5"/>
    <w:rsid w:val="3DE773DF"/>
    <w:rsid w:val="3DE850A1"/>
    <w:rsid w:val="3DEA0163"/>
    <w:rsid w:val="3DEB4695"/>
    <w:rsid w:val="3DED0230"/>
    <w:rsid w:val="3E043345"/>
    <w:rsid w:val="3E04ABBC"/>
    <w:rsid w:val="3E05EF26"/>
    <w:rsid w:val="3E0CB652"/>
    <w:rsid w:val="3E0D6F83"/>
    <w:rsid w:val="3E0E0B18"/>
    <w:rsid w:val="3E0E3603"/>
    <w:rsid w:val="3E12C947"/>
    <w:rsid w:val="3E133068"/>
    <w:rsid w:val="3E14F671"/>
    <w:rsid w:val="3E153AC3"/>
    <w:rsid w:val="3E165737"/>
    <w:rsid w:val="3E1749B4"/>
    <w:rsid w:val="3E182542"/>
    <w:rsid w:val="3E26EF49"/>
    <w:rsid w:val="3E2BB008"/>
    <w:rsid w:val="3E2E900F"/>
    <w:rsid w:val="3E3788C5"/>
    <w:rsid w:val="3E38924C"/>
    <w:rsid w:val="3E3A1F81"/>
    <w:rsid w:val="3E3CFC9A"/>
    <w:rsid w:val="3E3F2EC5"/>
    <w:rsid w:val="3E40932D"/>
    <w:rsid w:val="3E41945F"/>
    <w:rsid w:val="3E430DA1"/>
    <w:rsid w:val="3E448D3A"/>
    <w:rsid w:val="3E4B5BF2"/>
    <w:rsid w:val="3E526361"/>
    <w:rsid w:val="3E573CE7"/>
    <w:rsid w:val="3E5F1971"/>
    <w:rsid w:val="3E606C72"/>
    <w:rsid w:val="3E63400C"/>
    <w:rsid w:val="3E663009"/>
    <w:rsid w:val="3E664FA0"/>
    <w:rsid w:val="3E678C45"/>
    <w:rsid w:val="3E6808F1"/>
    <w:rsid w:val="3E6A1F65"/>
    <w:rsid w:val="3E6CC963"/>
    <w:rsid w:val="3E6CD96A"/>
    <w:rsid w:val="3E6D60DB"/>
    <w:rsid w:val="3E6E8E5C"/>
    <w:rsid w:val="3E6EA546"/>
    <w:rsid w:val="3E6EEB3D"/>
    <w:rsid w:val="3E6F9159"/>
    <w:rsid w:val="3E6FEE87"/>
    <w:rsid w:val="3E73B6BB"/>
    <w:rsid w:val="3E82D68D"/>
    <w:rsid w:val="3E84275E"/>
    <w:rsid w:val="3E862B4F"/>
    <w:rsid w:val="3E871B98"/>
    <w:rsid w:val="3E8F34F1"/>
    <w:rsid w:val="3E903756"/>
    <w:rsid w:val="3E921C19"/>
    <w:rsid w:val="3E97617E"/>
    <w:rsid w:val="3E9880BE"/>
    <w:rsid w:val="3E99044A"/>
    <w:rsid w:val="3E999896"/>
    <w:rsid w:val="3E9E3708"/>
    <w:rsid w:val="3EA380BF"/>
    <w:rsid w:val="3EA40EB2"/>
    <w:rsid w:val="3EA46960"/>
    <w:rsid w:val="3EA5169A"/>
    <w:rsid w:val="3EADB277"/>
    <w:rsid w:val="3EB3720E"/>
    <w:rsid w:val="3EB564DA"/>
    <w:rsid w:val="3EB5CAD6"/>
    <w:rsid w:val="3EB79624"/>
    <w:rsid w:val="3EB9A8AF"/>
    <w:rsid w:val="3EC1A2D5"/>
    <w:rsid w:val="3EC47F10"/>
    <w:rsid w:val="3EC86DD6"/>
    <w:rsid w:val="3ECAFDD8"/>
    <w:rsid w:val="3ECE01AC"/>
    <w:rsid w:val="3ED0559E"/>
    <w:rsid w:val="3ED56980"/>
    <w:rsid w:val="3EDB0ECA"/>
    <w:rsid w:val="3EDB94D0"/>
    <w:rsid w:val="3EDCBB68"/>
    <w:rsid w:val="3EDEED0C"/>
    <w:rsid w:val="3EE153A4"/>
    <w:rsid w:val="3EE172C6"/>
    <w:rsid w:val="3EE1E02D"/>
    <w:rsid w:val="3EE29F9B"/>
    <w:rsid w:val="3EE40AF9"/>
    <w:rsid w:val="3EE4EDFE"/>
    <w:rsid w:val="3EE51B41"/>
    <w:rsid w:val="3EE66290"/>
    <w:rsid w:val="3EE6DA33"/>
    <w:rsid w:val="3EED50DB"/>
    <w:rsid w:val="3EF2EF66"/>
    <w:rsid w:val="3EF32FE0"/>
    <w:rsid w:val="3EF52F44"/>
    <w:rsid w:val="3EF97E30"/>
    <w:rsid w:val="3EFC5A58"/>
    <w:rsid w:val="3EFCFC5E"/>
    <w:rsid w:val="3F03483C"/>
    <w:rsid w:val="3F037C89"/>
    <w:rsid w:val="3F03A66E"/>
    <w:rsid w:val="3F06AE4F"/>
    <w:rsid w:val="3F0AB395"/>
    <w:rsid w:val="3F0BA329"/>
    <w:rsid w:val="3F0DF39E"/>
    <w:rsid w:val="3F0F6FBB"/>
    <w:rsid w:val="3F101263"/>
    <w:rsid w:val="3F1246B2"/>
    <w:rsid w:val="3F131BB0"/>
    <w:rsid w:val="3F13F524"/>
    <w:rsid w:val="3F1A5854"/>
    <w:rsid w:val="3F1B6C8C"/>
    <w:rsid w:val="3F1D28FE"/>
    <w:rsid w:val="3F2809E6"/>
    <w:rsid w:val="3F29BC6B"/>
    <w:rsid w:val="3F2A1C2C"/>
    <w:rsid w:val="3F30364C"/>
    <w:rsid w:val="3F32AF23"/>
    <w:rsid w:val="3F32E38F"/>
    <w:rsid w:val="3F3DB324"/>
    <w:rsid w:val="3F43213B"/>
    <w:rsid w:val="3F44DABE"/>
    <w:rsid w:val="3F481E92"/>
    <w:rsid w:val="3F4C0D0F"/>
    <w:rsid w:val="3F4C78CD"/>
    <w:rsid w:val="3F4E3296"/>
    <w:rsid w:val="3F5255E3"/>
    <w:rsid w:val="3F5653D4"/>
    <w:rsid w:val="3F58FE61"/>
    <w:rsid w:val="3F5B3ED3"/>
    <w:rsid w:val="3F5C7775"/>
    <w:rsid w:val="3F5E73AC"/>
    <w:rsid w:val="3F646D22"/>
    <w:rsid w:val="3F669A95"/>
    <w:rsid w:val="3F6D4D4F"/>
    <w:rsid w:val="3F6E957B"/>
    <w:rsid w:val="3F744238"/>
    <w:rsid w:val="3F75F274"/>
    <w:rsid w:val="3F795CA9"/>
    <w:rsid w:val="3F79A307"/>
    <w:rsid w:val="3F7D5702"/>
    <w:rsid w:val="3F81D314"/>
    <w:rsid w:val="3F826E17"/>
    <w:rsid w:val="3F83E819"/>
    <w:rsid w:val="3F844202"/>
    <w:rsid w:val="3F86919E"/>
    <w:rsid w:val="3F887287"/>
    <w:rsid w:val="3F88BB46"/>
    <w:rsid w:val="3F8986BE"/>
    <w:rsid w:val="3F89C68D"/>
    <w:rsid w:val="3F8B0D93"/>
    <w:rsid w:val="3F8D3672"/>
    <w:rsid w:val="3F8EDA31"/>
    <w:rsid w:val="3F9241A0"/>
    <w:rsid w:val="3F99441A"/>
    <w:rsid w:val="3F9AD257"/>
    <w:rsid w:val="3F9EEE4B"/>
    <w:rsid w:val="3FA84794"/>
    <w:rsid w:val="3FB45C1F"/>
    <w:rsid w:val="3FB4FBF4"/>
    <w:rsid w:val="3FB6BD21"/>
    <w:rsid w:val="3FBC73F4"/>
    <w:rsid w:val="3FBD2717"/>
    <w:rsid w:val="3FBEAAA7"/>
    <w:rsid w:val="3FBEFE6E"/>
    <w:rsid w:val="3FC2ED11"/>
    <w:rsid w:val="3FC8D191"/>
    <w:rsid w:val="3FC9B3B3"/>
    <w:rsid w:val="3FCCF6D5"/>
    <w:rsid w:val="3FD2D1A1"/>
    <w:rsid w:val="3FD3353C"/>
    <w:rsid w:val="3FD4389F"/>
    <w:rsid w:val="3FDB6B69"/>
    <w:rsid w:val="3FDF3946"/>
    <w:rsid w:val="3FE1F008"/>
    <w:rsid w:val="3FE24CB9"/>
    <w:rsid w:val="3FE5B63A"/>
    <w:rsid w:val="3FF07664"/>
    <w:rsid w:val="3FF1A008"/>
    <w:rsid w:val="3FF1B0CC"/>
    <w:rsid w:val="3FFD1B40"/>
    <w:rsid w:val="4004734D"/>
    <w:rsid w:val="40082162"/>
    <w:rsid w:val="400A0E3E"/>
    <w:rsid w:val="400B82AA"/>
    <w:rsid w:val="400B9132"/>
    <w:rsid w:val="400BA6E7"/>
    <w:rsid w:val="400BDAF7"/>
    <w:rsid w:val="400BFBFC"/>
    <w:rsid w:val="400CE897"/>
    <w:rsid w:val="400D9C43"/>
    <w:rsid w:val="401CC73C"/>
    <w:rsid w:val="401E8EA6"/>
    <w:rsid w:val="40208660"/>
    <w:rsid w:val="4022E44C"/>
    <w:rsid w:val="4027252A"/>
    <w:rsid w:val="402739F1"/>
    <w:rsid w:val="402858D1"/>
    <w:rsid w:val="402B08EA"/>
    <w:rsid w:val="40331C34"/>
    <w:rsid w:val="4037077C"/>
    <w:rsid w:val="4039E4C3"/>
    <w:rsid w:val="403AB295"/>
    <w:rsid w:val="403B7EFF"/>
    <w:rsid w:val="403E7762"/>
    <w:rsid w:val="4041D7ED"/>
    <w:rsid w:val="4042900F"/>
    <w:rsid w:val="4043FE0B"/>
    <w:rsid w:val="40446AF7"/>
    <w:rsid w:val="40488090"/>
    <w:rsid w:val="404D980C"/>
    <w:rsid w:val="404EC5A1"/>
    <w:rsid w:val="404FD729"/>
    <w:rsid w:val="40519B37"/>
    <w:rsid w:val="4054AED8"/>
    <w:rsid w:val="4058C78D"/>
    <w:rsid w:val="405BCCA9"/>
    <w:rsid w:val="405C90CB"/>
    <w:rsid w:val="405DAB41"/>
    <w:rsid w:val="405E4E1A"/>
    <w:rsid w:val="40615B40"/>
    <w:rsid w:val="406458C7"/>
    <w:rsid w:val="406514CE"/>
    <w:rsid w:val="4067056E"/>
    <w:rsid w:val="40686E50"/>
    <w:rsid w:val="40694E5E"/>
    <w:rsid w:val="40696DC1"/>
    <w:rsid w:val="407409D9"/>
    <w:rsid w:val="408B1140"/>
    <w:rsid w:val="408B54A4"/>
    <w:rsid w:val="408EF03A"/>
    <w:rsid w:val="408F864C"/>
    <w:rsid w:val="4090CCAE"/>
    <w:rsid w:val="409187AB"/>
    <w:rsid w:val="40964697"/>
    <w:rsid w:val="409C6658"/>
    <w:rsid w:val="409CC2F5"/>
    <w:rsid w:val="40A23EE9"/>
    <w:rsid w:val="40A31A7A"/>
    <w:rsid w:val="40A7BD8D"/>
    <w:rsid w:val="40B6252E"/>
    <w:rsid w:val="40B84ECB"/>
    <w:rsid w:val="40B9A432"/>
    <w:rsid w:val="40C5EB0E"/>
    <w:rsid w:val="40D1BE78"/>
    <w:rsid w:val="40D3FE2A"/>
    <w:rsid w:val="40DA7CC2"/>
    <w:rsid w:val="40E38F46"/>
    <w:rsid w:val="40EC2197"/>
    <w:rsid w:val="40EF9EBB"/>
    <w:rsid w:val="40F87908"/>
    <w:rsid w:val="40F8FB31"/>
    <w:rsid w:val="41040854"/>
    <w:rsid w:val="41057B7F"/>
    <w:rsid w:val="41059EBF"/>
    <w:rsid w:val="41081561"/>
    <w:rsid w:val="4118889B"/>
    <w:rsid w:val="411B2802"/>
    <w:rsid w:val="411B8920"/>
    <w:rsid w:val="411C2AAF"/>
    <w:rsid w:val="411F6558"/>
    <w:rsid w:val="4127E4AB"/>
    <w:rsid w:val="412951D3"/>
    <w:rsid w:val="4129917E"/>
    <w:rsid w:val="412CE311"/>
    <w:rsid w:val="412D7554"/>
    <w:rsid w:val="4133B1E5"/>
    <w:rsid w:val="41358C91"/>
    <w:rsid w:val="41377DE9"/>
    <w:rsid w:val="413DFF11"/>
    <w:rsid w:val="4140526F"/>
    <w:rsid w:val="4141E1E9"/>
    <w:rsid w:val="4142B732"/>
    <w:rsid w:val="414331DD"/>
    <w:rsid w:val="41485BF6"/>
    <w:rsid w:val="41485E53"/>
    <w:rsid w:val="414F347E"/>
    <w:rsid w:val="414F3D02"/>
    <w:rsid w:val="41514095"/>
    <w:rsid w:val="4151BCAD"/>
    <w:rsid w:val="4156BA60"/>
    <w:rsid w:val="4159E18E"/>
    <w:rsid w:val="415A37BF"/>
    <w:rsid w:val="4160E5E8"/>
    <w:rsid w:val="416182B5"/>
    <w:rsid w:val="41625D15"/>
    <w:rsid w:val="41641FCA"/>
    <w:rsid w:val="4166181D"/>
    <w:rsid w:val="41672DEB"/>
    <w:rsid w:val="416D0069"/>
    <w:rsid w:val="4171937A"/>
    <w:rsid w:val="41729172"/>
    <w:rsid w:val="417A3C17"/>
    <w:rsid w:val="417B679B"/>
    <w:rsid w:val="417D4E37"/>
    <w:rsid w:val="41848833"/>
    <w:rsid w:val="418AD289"/>
    <w:rsid w:val="418DC944"/>
    <w:rsid w:val="419214B4"/>
    <w:rsid w:val="419480DF"/>
    <w:rsid w:val="41959E68"/>
    <w:rsid w:val="41989D04"/>
    <w:rsid w:val="41991364"/>
    <w:rsid w:val="41A28941"/>
    <w:rsid w:val="41A2C663"/>
    <w:rsid w:val="41A5685D"/>
    <w:rsid w:val="41AAC319"/>
    <w:rsid w:val="41AC67B2"/>
    <w:rsid w:val="41B2AFA4"/>
    <w:rsid w:val="41B51718"/>
    <w:rsid w:val="41B73601"/>
    <w:rsid w:val="41BD82D2"/>
    <w:rsid w:val="41C00FE4"/>
    <w:rsid w:val="41D31963"/>
    <w:rsid w:val="41D4C0AB"/>
    <w:rsid w:val="41D7D4F1"/>
    <w:rsid w:val="41DA2D8C"/>
    <w:rsid w:val="41DB7F89"/>
    <w:rsid w:val="41E1560F"/>
    <w:rsid w:val="41E4FD61"/>
    <w:rsid w:val="41E5C5B9"/>
    <w:rsid w:val="41E6AE94"/>
    <w:rsid w:val="41E6E9BA"/>
    <w:rsid w:val="41F1BF7F"/>
    <w:rsid w:val="41F85D0F"/>
    <w:rsid w:val="42012298"/>
    <w:rsid w:val="4202BB09"/>
    <w:rsid w:val="42055D73"/>
    <w:rsid w:val="4206B4B8"/>
    <w:rsid w:val="4208BFC8"/>
    <w:rsid w:val="4215D593"/>
    <w:rsid w:val="42160001"/>
    <w:rsid w:val="4217E8E7"/>
    <w:rsid w:val="4218C8B4"/>
    <w:rsid w:val="421B889A"/>
    <w:rsid w:val="421D9FA9"/>
    <w:rsid w:val="421DA911"/>
    <w:rsid w:val="421E32FF"/>
    <w:rsid w:val="421F2428"/>
    <w:rsid w:val="421FB47D"/>
    <w:rsid w:val="42202AB0"/>
    <w:rsid w:val="42230C61"/>
    <w:rsid w:val="4226FDD8"/>
    <w:rsid w:val="42312D64"/>
    <w:rsid w:val="4237737E"/>
    <w:rsid w:val="423B0368"/>
    <w:rsid w:val="423D532E"/>
    <w:rsid w:val="423EC59A"/>
    <w:rsid w:val="42419851"/>
    <w:rsid w:val="42454C25"/>
    <w:rsid w:val="4249ACD2"/>
    <w:rsid w:val="425C0D04"/>
    <w:rsid w:val="425E47E0"/>
    <w:rsid w:val="425E9067"/>
    <w:rsid w:val="425F2121"/>
    <w:rsid w:val="4263D68B"/>
    <w:rsid w:val="42662BBC"/>
    <w:rsid w:val="426BD309"/>
    <w:rsid w:val="426FB33C"/>
    <w:rsid w:val="427CFFDE"/>
    <w:rsid w:val="4280A548"/>
    <w:rsid w:val="428AC9F1"/>
    <w:rsid w:val="428B3DDF"/>
    <w:rsid w:val="428DEC48"/>
    <w:rsid w:val="42929ED5"/>
    <w:rsid w:val="4295CE05"/>
    <w:rsid w:val="4298AD59"/>
    <w:rsid w:val="429B1EBB"/>
    <w:rsid w:val="42A574A8"/>
    <w:rsid w:val="42A6541C"/>
    <w:rsid w:val="42A9024D"/>
    <w:rsid w:val="42A9918B"/>
    <w:rsid w:val="42AF7ACC"/>
    <w:rsid w:val="42B06AFC"/>
    <w:rsid w:val="42B5199B"/>
    <w:rsid w:val="42B5C42E"/>
    <w:rsid w:val="42B6A622"/>
    <w:rsid w:val="42B80E3B"/>
    <w:rsid w:val="42B90A17"/>
    <w:rsid w:val="42BA0E5F"/>
    <w:rsid w:val="42C0A409"/>
    <w:rsid w:val="42C0EC0A"/>
    <w:rsid w:val="42C12704"/>
    <w:rsid w:val="42C2B15A"/>
    <w:rsid w:val="42C4878F"/>
    <w:rsid w:val="42C85E62"/>
    <w:rsid w:val="42CE6A57"/>
    <w:rsid w:val="42D0B9F7"/>
    <w:rsid w:val="42D0C025"/>
    <w:rsid w:val="42D65ED1"/>
    <w:rsid w:val="42E54066"/>
    <w:rsid w:val="42E54277"/>
    <w:rsid w:val="42E6DE95"/>
    <w:rsid w:val="42ED355D"/>
    <w:rsid w:val="42F149CA"/>
    <w:rsid w:val="42F2A85D"/>
    <w:rsid w:val="42F72ED1"/>
    <w:rsid w:val="43065333"/>
    <w:rsid w:val="4311B7E2"/>
    <w:rsid w:val="43137DEB"/>
    <w:rsid w:val="431A0BA1"/>
    <w:rsid w:val="431A4D4C"/>
    <w:rsid w:val="432090EB"/>
    <w:rsid w:val="43233208"/>
    <w:rsid w:val="4325B404"/>
    <w:rsid w:val="4327FD7B"/>
    <w:rsid w:val="432C6B3A"/>
    <w:rsid w:val="4333F409"/>
    <w:rsid w:val="43340F6B"/>
    <w:rsid w:val="4338A2F2"/>
    <w:rsid w:val="43395E70"/>
    <w:rsid w:val="4342584C"/>
    <w:rsid w:val="43449DDD"/>
    <w:rsid w:val="4344E168"/>
    <w:rsid w:val="43475407"/>
    <w:rsid w:val="434783F5"/>
    <w:rsid w:val="434FEBBE"/>
    <w:rsid w:val="435576DB"/>
    <w:rsid w:val="435B64D7"/>
    <w:rsid w:val="435BEB41"/>
    <w:rsid w:val="435C8916"/>
    <w:rsid w:val="435EE954"/>
    <w:rsid w:val="4361D850"/>
    <w:rsid w:val="43651864"/>
    <w:rsid w:val="436EEE8E"/>
    <w:rsid w:val="43712FA7"/>
    <w:rsid w:val="437352E7"/>
    <w:rsid w:val="437E3951"/>
    <w:rsid w:val="437F2D0E"/>
    <w:rsid w:val="4385DCDE"/>
    <w:rsid w:val="4387B396"/>
    <w:rsid w:val="438B32B8"/>
    <w:rsid w:val="438C7AE4"/>
    <w:rsid w:val="438E6AE2"/>
    <w:rsid w:val="439265FC"/>
    <w:rsid w:val="43930FAF"/>
    <w:rsid w:val="4394AF78"/>
    <w:rsid w:val="4394B2DA"/>
    <w:rsid w:val="43955ECE"/>
    <w:rsid w:val="4395BD90"/>
    <w:rsid w:val="4397D9D0"/>
    <w:rsid w:val="439A9FA0"/>
    <w:rsid w:val="439BEB07"/>
    <w:rsid w:val="439E0B03"/>
    <w:rsid w:val="43A12B0F"/>
    <w:rsid w:val="43A1409A"/>
    <w:rsid w:val="43A16D2D"/>
    <w:rsid w:val="43A43E6F"/>
    <w:rsid w:val="43A5AEE5"/>
    <w:rsid w:val="43A9AF58"/>
    <w:rsid w:val="43AB5DBD"/>
    <w:rsid w:val="43ACA7E0"/>
    <w:rsid w:val="43B6CB17"/>
    <w:rsid w:val="43B93C43"/>
    <w:rsid w:val="43B9C29A"/>
    <w:rsid w:val="43BB8202"/>
    <w:rsid w:val="43BDDC86"/>
    <w:rsid w:val="43C1B2D6"/>
    <w:rsid w:val="43C3ED44"/>
    <w:rsid w:val="43C875C5"/>
    <w:rsid w:val="43C9144B"/>
    <w:rsid w:val="43CD9D02"/>
    <w:rsid w:val="43CE3E1C"/>
    <w:rsid w:val="43D3FA02"/>
    <w:rsid w:val="43D82E78"/>
    <w:rsid w:val="43DA12D2"/>
    <w:rsid w:val="43DC2B7D"/>
    <w:rsid w:val="43DDC1BE"/>
    <w:rsid w:val="43DDDE18"/>
    <w:rsid w:val="43E41CDE"/>
    <w:rsid w:val="43E5DB5F"/>
    <w:rsid w:val="43E7255D"/>
    <w:rsid w:val="43E834F0"/>
    <w:rsid w:val="43E8AA99"/>
    <w:rsid w:val="43E97814"/>
    <w:rsid w:val="43EA64D2"/>
    <w:rsid w:val="43F2AD30"/>
    <w:rsid w:val="43F8562E"/>
    <w:rsid w:val="43FE0D1D"/>
    <w:rsid w:val="4401F3E6"/>
    <w:rsid w:val="440384DC"/>
    <w:rsid w:val="4405F739"/>
    <w:rsid w:val="44074E73"/>
    <w:rsid w:val="440A5FB0"/>
    <w:rsid w:val="440A60F5"/>
    <w:rsid w:val="440BD45C"/>
    <w:rsid w:val="44154159"/>
    <w:rsid w:val="441BA00A"/>
    <w:rsid w:val="441C1413"/>
    <w:rsid w:val="441EECC5"/>
    <w:rsid w:val="441F5175"/>
    <w:rsid w:val="4422771E"/>
    <w:rsid w:val="44234AAD"/>
    <w:rsid w:val="4427C7BB"/>
    <w:rsid w:val="442A5B8F"/>
    <w:rsid w:val="442ADA35"/>
    <w:rsid w:val="442C90A0"/>
    <w:rsid w:val="442EA4FF"/>
    <w:rsid w:val="442F4F99"/>
    <w:rsid w:val="442FEA33"/>
    <w:rsid w:val="4433733A"/>
    <w:rsid w:val="44368A2E"/>
    <w:rsid w:val="443C94D7"/>
    <w:rsid w:val="4442058F"/>
    <w:rsid w:val="44489B84"/>
    <w:rsid w:val="444DE18F"/>
    <w:rsid w:val="444F4EDE"/>
    <w:rsid w:val="4450C625"/>
    <w:rsid w:val="44530978"/>
    <w:rsid w:val="44551166"/>
    <w:rsid w:val="445C59FF"/>
    <w:rsid w:val="445D66B9"/>
    <w:rsid w:val="445EF988"/>
    <w:rsid w:val="44668589"/>
    <w:rsid w:val="446A7B1D"/>
    <w:rsid w:val="446F3C5D"/>
    <w:rsid w:val="4473A79A"/>
    <w:rsid w:val="4477B09F"/>
    <w:rsid w:val="4477BB6F"/>
    <w:rsid w:val="4478FE7E"/>
    <w:rsid w:val="4479C892"/>
    <w:rsid w:val="447C02CA"/>
    <w:rsid w:val="448707AC"/>
    <w:rsid w:val="44875581"/>
    <w:rsid w:val="448AB0E3"/>
    <w:rsid w:val="448B68F2"/>
    <w:rsid w:val="448C884A"/>
    <w:rsid w:val="44967B98"/>
    <w:rsid w:val="449C1C2D"/>
    <w:rsid w:val="449EA915"/>
    <w:rsid w:val="44A030E8"/>
    <w:rsid w:val="44A181D5"/>
    <w:rsid w:val="44A256FA"/>
    <w:rsid w:val="44AA6611"/>
    <w:rsid w:val="44ABB607"/>
    <w:rsid w:val="44AD5D95"/>
    <w:rsid w:val="44B651F4"/>
    <w:rsid w:val="44B6B8F3"/>
    <w:rsid w:val="44B72A4C"/>
    <w:rsid w:val="44C58A17"/>
    <w:rsid w:val="44C5BEE0"/>
    <w:rsid w:val="44CDD9A7"/>
    <w:rsid w:val="44D0F2D3"/>
    <w:rsid w:val="44D10735"/>
    <w:rsid w:val="44D156BD"/>
    <w:rsid w:val="44D4C92F"/>
    <w:rsid w:val="44D5D419"/>
    <w:rsid w:val="44DA36EA"/>
    <w:rsid w:val="44DDC5B6"/>
    <w:rsid w:val="44DED864"/>
    <w:rsid w:val="44E15FEB"/>
    <w:rsid w:val="44E2E153"/>
    <w:rsid w:val="44E32249"/>
    <w:rsid w:val="44E7705F"/>
    <w:rsid w:val="44E81E96"/>
    <w:rsid w:val="44E94CC0"/>
    <w:rsid w:val="44F6CE62"/>
    <w:rsid w:val="44F7206D"/>
    <w:rsid w:val="44FA8287"/>
    <w:rsid w:val="44FEAE4F"/>
    <w:rsid w:val="45003968"/>
    <w:rsid w:val="45025AD5"/>
    <w:rsid w:val="4502AE7A"/>
    <w:rsid w:val="4504B6C4"/>
    <w:rsid w:val="45067A51"/>
    <w:rsid w:val="450DCEFD"/>
    <w:rsid w:val="45117535"/>
    <w:rsid w:val="451B2828"/>
    <w:rsid w:val="451E5B32"/>
    <w:rsid w:val="4524CFC2"/>
    <w:rsid w:val="45253A52"/>
    <w:rsid w:val="45274DC8"/>
    <w:rsid w:val="45282F88"/>
    <w:rsid w:val="4528EE61"/>
    <w:rsid w:val="452FF88A"/>
    <w:rsid w:val="45328E86"/>
    <w:rsid w:val="45335D6C"/>
    <w:rsid w:val="45390477"/>
    <w:rsid w:val="45391840"/>
    <w:rsid w:val="45392EA3"/>
    <w:rsid w:val="4539F667"/>
    <w:rsid w:val="453B9A0A"/>
    <w:rsid w:val="4542EC3C"/>
    <w:rsid w:val="454534B7"/>
    <w:rsid w:val="4545823A"/>
    <w:rsid w:val="45491420"/>
    <w:rsid w:val="454CCD8D"/>
    <w:rsid w:val="4551BB01"/>
    <w:rsid w:val="45533C63"/>
    <w:rsid w:val="4556BBC8"/>
    <w:rsid w:val="45573B35"/>
    <w:rsid w:val="45580219"/>
    <w:rsid w:val="45599E96"/>
    <w:rsid w:val="455B42A6"/>
    <w:rsid w:val="455F923F"/>
    <w:rsid w:val="45632EB7"/>
    <w:rsid w:val="456663EF"/>
    <w:rsid w:val="45698689"/>
    <w:rsid w:val="456AE186"/>
    <w:rsid w:val="456D4119"/>
    <w:rsid w:val="45708403"/>
    <w:rsid w:val="45728BEF"/>
    <w:rsid w:val="4576D6DB"/>
    <w:rsid w:val="457B56E9"/>
    <w:rsid w:val="458E05AC"/>
    <w:rsid w:val="458F8AFB"/>
    <w:rsid w:val="45965C84"/>
    <w:rsid w:val="45971F0C"/>
    <w:rsid w:val="4599877B"/>
    <w:rsid w:val="45A56F1F"/>
    <w:rsid w:val="45A85F03"/>
    <w:rsid w:val="45B0D896"/>
    <w:rsid w:val="45B0FF7F"/>
    <w:rsid w:val="45B50E7E"/>
    <w:rsid w:val="45B55B76"/>
    <w:rsid w:val="45B5F1C2"/>
    <w:rsid w:val="45B756FD"/>
    <w:rsid w:val="45BB2B5F"/>
    <w:rsid w:val="45BE4484"/>
    <w:rsid w:val="45C26EA6"/>
    <w:rsid w:val="45C41C85"/>
    <w:rsid w:val="45C566C3"/>
    <w:rsid w:val="45C8CDBE"/>
    <w:rsid w:val="45CA47F9"/>
    <w:rsid w:val="45CD1B5A"/>
    <w:rsid w:val="45CDBBD8"/>
    <w:rsid w:val="45CEFC4D"/>
    <w:rsid w:val="45CFFC89"/>
    <w:rsid w:val="45D1B1E7"/>
    <w:rsid w:val="45DF7D39"/>
    <w:rsid w:val="45E36F10"/>
    <w:rsid w:val="45E79A7D"/>
    <w:rsid w:val="45EE0C6E"/>
    <w:rsid w:val="45F13FF3"/>
    <w:rsid w:val="45F5FF31"/>
    <w:rsid w:val="45F62DCF"/>
    <w:rsid w:val="45FB2D88"/>
    <w:rsid w:val="460086EE"/>
    <w:rsid w:val="460627BE"/>
    <w:rsid w:val="4609BADA"/>
    <w:rsid w:val="460B04AA"/>
    <w:rsid w:val="46101BBF"/>
    <w:rsid w:val="4617C837"/>
    <w:rsid w:val="461A34F9"/>
    <w:rsid w:val="4620604A"/>
    <w:rsid w:val="4626976F"/>
    <w:rsid w:val="462BA2CD"/>
    <w:rsid w:val="462D7A56"/>
    <w:rsid w:val="4634670F"/>
    <w:rsid w:val="464032E8"/>
    <w:rsid w:val="4640C944"/>
    <w:rsid w:val="4648D77E"/>
    <w:rsid w:val="46517224"/>
    <w:rsid w:val="4654185A"/>
    <w:rsid w:val="4656741E"/>
    <w:rsid w:val="4658CBD7"/>
    <w:rsid w:val="465C748F"/>
    <w:rsid w:val="465C7C08"/>
    <w:rsid w:val="46644D10"/>
    <w:rsid w:val="46649A9E"/>
    <w:rsid w:val="466CAAFF"/>
    <w:rsid w:val="467162DE"/>
    <w:rsid w:val="4675E33E"/>
    <w:rsid w:val="467F0BDD"/>
    <w:rsid w:val="4682B813"/>
    <w:rsid w:val="4683E703"/>
    <w:rsid w:val="468DC5D8"/>
    <w:rsid w:val="4690365F"/>
    <w:rsid w:val="4692CC23"/>
    <w:rsid w:val="4694044F"/>
    <w:rsid w:val="4698BB5D"/>
    <w:rsid w:val="469A483E"/>
    <w:rsid w:val="469A9225"/>
    <w:rsid w:val="469D820D"/>
    <w:rsid w:val="469F3C95"/>
    <w:rsid w:val="46A0B253"/>
    <w:rsid w:val="46A64A92"/>
    <w:rsid w:val="46A7B45E"/>
    <w:rsid w:val="46A7E352"/>
    <w:rsid w:val="46ABA767"/>
    <w:rsid w:val="46B27708"/>
    <w:rsid w:val="46B4899B"/>
    <w:rsid w:val="46B600CC"/>
    <w:rsid w:val="46B6435E"/>
    <w:rsid w:val="46B7121E"/>
    <w:rsid w:val="46B86FBF"/>
    <w:rsid w:val="46BB5A8E"/>
    <w:rsid w:val="46C51B2F"/>
    <w:rsid w:val="46C6DDE9"/>
    <w:rsid w:val="46CB7088"/>
    <w:rsid w:val="46CD5846"/>
    <w:rsid w:val="46D099C7"/>
    <w:rsid w:val="46D6F19B"/>
    <w:rsid w:val="46DF1A13"/>
    <w:rsid w:val="46E039C3"/>
    <w:rsid w:val="46E32579"/>
    <w:rsid w:val="46E35DE4"/>
    <w:rsid w:val="46E5C22E"/>
    <w:rsid w:val="46F1165A"/>
    <w:rsid w:val="46F733BD"/>
    <w:rsid w:val="46F80BF5"/>
    <w:rsid w:val="46F9F998"/>
    <w:rsid w:val="46FB0612"/>
    <w:rsid w:val="470221D2"/>
    <w:rsid w:val="4702DFDB"/>
    <w:rsid w:val="4703E2D5"/>
    <w:rsid w:val="47068A0D"/>
    <w:rsid w:val="4707433E"/>
    <w:rsid w:val="470B5DFD"/>
    <w:rsid w:val="470C2E30"/>
    <w:rsid w:val="470C3C32"/>
    <w:rsid w:val="4710D3D6"/>
    <w:rsid w:val="471471FC"/>
    <w:rsid w:val="471AABEF"/>
    <w:rsid w:val="4721128A"/>
    <w:rsid w:val="4725BE88"/>
    <w:rsid w:val="47263A17"/>
    <w:rsid w:val="47284AEA"/>
    <w:rsid w:val="47319668"/>
    <w:rsid w:val="47319C8A"/>
    <w:rsid w:val="47336A36"/>
    <w:rsid w:val="47377092"/>
    <w:rsid w:val="473DD33A"/>
    <w:rsid w:val="473F299E"/>
    <w:rsid w:val="474D9C5B"/>
    <w:rsid w:val="474E342C"/>
    <w:rsid w:val="4752B8E3"/>
    <w:rsid w:val="4753A230"/>
    <w:rsid w:val="475589FA"/>
    <w:rsid w:val="47599B27"/>
    <w:rsid w:val="475B9D34"/>
    <w:rsid w:val="475E35BE"/>
    <w:rsid w:val="475FE92A"/>
    <w:rsid w:val="476010C6"/>
    <w:rsid w:val="47634FAF"/>
    <w:rsid w:val="4764EC9B"/>
    <w:rsid w:val="47689E4B"/>
    <w:rsid w:val="476A1D6D"/>
    <w:rsid w:val="4771831B"/>
    <w:rsid w:val="4772A4AC"/>
    <w:rsid w:val="4773431C"/>
    <w:rsid w:val="47739035"/>
    <w:rsid w:val="47744065"/>
    <w:rsid w:val="47790B2D"/>
    <w:rsid w:val="477A609D"/>
    <w:rsid w:val="4780C1F5"/>
    <w:rsid w:val="478279FD"/>
    <w:rsid w:val="478650A3"/>
    <w:rsid w:val="478E6159"/>
    <w:rsid w:val="478FC301"/>
    <w:rsid w:val="47920FF8"/>
    <w:rsid w:val="479BD8B5"/>
    <w:rsid w:val="479E03E6"/>
    <w:rsid w:val="47A1E275"/>
    <w:rsid w:val="47A7D5D4"/>
    <w:rsid w:val="47AA0A5D"/>
    <w:rsid w:val="47B30817"/>
    <w:rsid w:val="47B6D991"/>
    <w:rsid w:val="47BCC6F5"/>
    <w:rsid w:val="47BD07BD"/>
    <w:rsid w:val="47BF8634"/>
    <w:rsid w:val="47BFE7CA"/>
    <w:rsid w:val="47C06059"/>
    <w:rsid w:val="47C65E70"/>
    <w:rsid w:val="47CADD4B"/>
    <w:rsid w:val="47D2F6F5"/>
    <w:rsid w:val="47D7F690"/>
    <w:rsid w:val="47D98277"/>
    <w:rsid w:val="47DBBCF9"/>
    <w:rsid w:val="47DCAFC9"/>
    <w:rsid w:val="47DE444A"/>
    <w:rsid w:val="47E0F866"/>
    <w:rsid w:val="47E22231"/>
    <w:rsid w:val="47E29105"/>
    <w:rsid w:val="47E6BB60"/>
    <w:rsid w:val="47ECF34E"/>
    <w:rsid w:val="47EF7303"/>
    <w:rsid w:val="47F30AD8"/>
    <w:rsid w:val="47F636EC"/>
    <w:rsid w:val="47FD4397"/>
    <w:rsid w:val="47FDB98B"/>
    <w:rsid w:val="480392E7"/>
    <w:rsid w:val="4809B218"/>
    <w:rsid w:val="480AB87B"/>
    <w:rsid w:val="480E325C"/>
    <w:rsid w:val="480F6592"/>
    <w:rsid w:val="48102558"/>
    <w:rsid w:val="48102FD0"/>
    <w:rsid w:val="4814F902"/>
    <w:rsid w:val="48174826"/>
    <w:rsid w:val="481A7A46"/>
    <w:rsid w:val="481BDC34"/>
    <w:rsid w:val="481C3C91"/>
    <w:rsid w:val="48203A30"/>
    <w:rsid w:val="4820B838"/>
    <w:rsid w:val="48228E0F"/>
    <w:rsid w:val="482578E0"/>
    <w:rsid w:val="4825AEC2"/>
    <w:rsid w:val="4826B363"/>
    <w:rsid w:val="482EFA40"/>
    <w:rsid w:val="483725FC"/>
    <w:rsid w:val="4837838D"/>
    <w:rsid w:val="483E2727"/>
    <w:rsid w:val="484B6DDD"/>
    <w:rsid w:val="484F51AE"/>
    <w:rsid w:val="4851117F"/>
    <w:rsid w:val="4852E8B7"/>
    <w:rsid w:val="485352FC"/>
    <w:rsid w:val="4853BE8E"/>
    <w:rsid w:val="4858618B"/>
    <w:rsid w:val="4858AFD1"/>
    <w:rsid w:val="4858C4B8"/>
    <w:rsid w:val="485A015C"/>
    <w:rsid w:val="485B6A9F"/>
    <w:rsid w:val="485C9208"/>
    <w:rsid w:val="486D505D"/>
    <w:rsid w:val="486D6838"/>
    <w:rsid w:val="486F2D15"/>
    <w:rsid w:val="48719C96"/>
    <w:rsid w:val="4873C9A9"/>
    <w:rsid w:val="4874C6DD"/>
    <w:rsid w:val="4875E9E8"/>
    <w:rsid w:val="4879F392"/>
    <w:rsid w:val="487A38B9"/>
    <w:rsid w:val="4881C203"/>
    <w:rsid w:val="4882BBC2"/>
    <w:rsid w:val="48877779"/>
    <w:rsid w:val="488AF75F"/>
    <w:rsid w:val="489566BA"/>
    <w:rsid w:val="489DE562"/>
    <w:rsid w:val="48A0B725"/>
    <w:rsid w:val="48A58D80"/>
    <w:rsid w:val="48A6E9FD"/>
    <w:rsid w:val="48A6F09E"/>
    <w:rsid w:val="48A7AA3D"/>
    <w:rsid w:val="48A8FB0B"/>
    <w:rsid w:val="48A9DF41"/>
    <w:rsid w:val="48ABEC3F"/>
    <w:rsid w:val="48AFCB65"/>
    <w:rsid w:val="48B594F8"/>
    <w:rsid w:val="48B5AD3F"/>
    <w:rsid w:val="48B88B95"/>
    <w:rsid w:val="48B96662"/>
    <w:rsid w:val="48BB700A"/>
    <w:rsid w:val="48BC4F71"/>
    <w:rsid w:val="48C37E2B"/>
    <w:rsid w:val="48C683C3"/>
    <w:rsid w:val="48CD8749"/>
    <w:rsid w:val="48CDA95E"/>
    <w:rsid w:val="48D316EF"/>
    <w:rsid w:val="48DFF52D"/>
    <w:rsid w:val="48E228D2"/>
    <w:rsid w:val="48E51297"/>
    <w:rsid w:val="48F0C8BA"/>
    <w:rsid w:val="48F11C21"/>
    <w:rsid w:val="48F1DF0A"/>
    <w:rsid w:val="48F75585"/>
    <w:rsid w:val="48FE179C"/>
    <w:rsid w:val="49014415"/>
    <w:rsid w:val="49022367"/>
    <w:rsid w:val="4902B491"/>
    <w:rsid w:val="49043801"/>
    <w:rsid w:val="49045875"/>
    <w:rsid w:val="4908C0BC"/>
    <w:rsid w:val="490C8F5A"/>
    <w:rsid w:val="49159F42"/>
    <w:rsid w:val="4915AA92"/>
    <w:rsid w:val="491EF439"/>
    <w:rsid w:val="4920C2F5"/>
    <w:rsid w:val="49248FA3"/>
    <w:rsid w:val="4925A34F"/>
    <w:rsid w:val="492A1C9B"/>
    <w:rsid w:val="492C2821"/>
    <w:rsid w:val="4934A972"/>
    <w:rsid w:val="493E0ECA"/>
    <w:rsid w:val="49412924"/>
    <w:rsid w:val="4941AA97"/>
    <w:rsid w:val="4945AF1A"/>
    <w:rsid w:val="494ADF2D"/>
    <w:rsid w:val="494E0B56"/>
    <w:rsid w:val="494F174E"/>
    <w:rsid w:val="4951511A"/>
    <w:rsid w:val="49565E02"/>
    <w:rsid w:val="495AAB96"/>
    <w:rsid w:val="49600256"/>
    <w:rsid w:val="4961F54E"/>
    <w:rsid w:val="49651463"/>
    <w:rsid w:val="496F3341"/>
    <w:rsid w:val="49700CC5"/>
    <w:rsid w:val="49718F8F"/>
    <w:rsid w:val="497390E6"/>
    <w:rsid w:val="4976B78F"/>
    <w:rsid w:val="4982C160"/>
    <w:rsid w:val="4984F707"/>
    <w:rsid w:val="49857383"/>
    <w:rsid w:val="498B5782"/>
    <w:rsid w:val="498D50BB"/>
    <w:rsid w:val="4992F3E7"/>
    <w:rsid w:val="499501F8"/>
    <w:rsid w:val="49962B23"/>
    <w:rsid w:val="49980A65"/>
    <w:rsid w:val="4999DD80"/>
    <w:rsid w:val="499A37CF"/>
    <w:rsid w:val="499DCFED"/>
    <w:rsid w:val="499FE085"/>
    <w:rsid w:val="49A64958"/>
    <w:rsid w:val="49A93C3B"/>
    <w:rsid w:val="49AB24A3"/>
    <w:rsid w:val="49AC7C1A"/>
    <w:rsid w:val="49AEC2C3"/>
    <w:rsid w:val="49B6F85E"/>
    <w:rsid w:val="49B9B8E0"/>
    <w:rsid w:val="49BAF6EA"/>
    <w:rsid w:val="49BF169A"/>
    <w:rsid w:val="49C26612"/>
    <w:rsid w:val="49C342BD"/>
    <w:rsid w:val="49C62DBE"/>
    <w:rsid w:val="49C9D8D7"/>
    <w:rsid w:val="49CBB363"/>
    <w:rsid w:val="49D8D48F"/>
    <w:rsid w:val="49DB1A71"/>
    <w:rsid w:val="49E73416"/>
    <w:rsid w:val="49ED3CF8"/>
    <w:rsid w:val="49EF5667"/>
    <w:rsid w:val="49F0FA7F"/>
    <w:rsid w:val="49F67B60"/>
    <w:rsid w:val="49FD6439"/>
    <w:rsid w:val="49FE1209"/>
    <w:rsid w:val="4A009239"/>
    <w:rsid w:val="4A06B1E9"/>
    <w:rsid w:val="4A07DA42"/>
    <w:rsid w:val="4A0DD5C2"/>
    <w:rsid w:val="4A142BD0"/>
    <w:rsid w:val="4A1560FA"/>
    <w:rsid w:val="4A165E68"/>
    <w:rsid w:val="4A1A5DC3"/>
    <w:rsid w:val="4A1BBAC8"/>
    <w:rsid w:val="4A21C379"/>
    <w:rsid w:val="4A231A60"/>
    <w:rsid w:val="4A23877D"/>
    <w:rsid w:val="4A243005"/>
    <w:rsid w:val="4A243B54"/>
    <w:rsid w:val="4A28C642"/>
    <w:rsid w:val="4A2E5713"/>
    <w:rsid w:val="4A30A344"/>
    <w:rsid w:val="4A344535"/>
    <w:rsid w:val="4A358878"/>
    <w:rsid w:val="4A388125"/>
    <w:rsid w:val="4A388501"/>
    <w:rsid w:val="4A3F1F55"/>
    <w:rsid w:val="4A419442"/>
    <w:rsid w:val="4A4B392E"/>
    <w:rsid w:val="4A4B7634"/>
    <w:rsid w:val="4A54B83C"/>
    <w:rsid w:val="4A54F08D"/>
    <w:rsid w:val="4A591F6D"/>
    <w:rsid w:val="4A59F669"/>
    <w:rsid w:val="4A6DFCEC"/>
    <w:rsid w:val="4A741741"/>
    <w:rsid w:val="4A75E056"/>
    <w:rsid w:val="4A7A78EC"/>
    <w:rsid w:val="4A854A93"/>
    <w:rsid w:val="4A8C1122"/>
    <w:rsid w:val="4A8DC75A"/>
    <w:rsid w:val="4A8F68DD"/>
    <w:rsid w:val="4A97EADE"/>
    <w:rsid w:val="4AA7B38E"/>
    <w:rsid w:val="4AAAEF71"/>
    <w:rsid w:val="4AABF6A5"/>
    <w:rsid w:val="4AB70EF9"/>
    <w:rsid w:val="4AB87793"/>
    <w:rsid w:val="4AB9F260"/>
    <w:rsid w:val="4ABAF1CC"/>
    <w:rsid w:val="4ABAFA06"/>
    <w:rsid w:val="4ACA549F"/>
    <w:rsid w:val="4ACA82D8"/>
    <w:rsid w:val="4ACB1971"/>
    <w:rsid w:val="4AD00406"/>
    <w:rsid w:val="4AD6F5FD"/>
    <w:rsid w:val="4ADCA464"/>
    <w:rsid w:val="4AE3EDDE"/>
    <w:rsid w:val="4AE5BB4D"/>
    <w:rsid w:val="4AE6AA37"/>
    <w:rsid w:val="4AE883A7"/>
    <w:rsid w:val="4AE9F805"/>
    <w:rsid w:val="4AF1C2C4"/>
    <w:rsid w:val="4AF39614"/>
    <w:rsid w:val="4AFE2CEB"/>
    <w:rsid w:val="4AFE63D9"/>
    <w:rsid w:val="4AFF8831"/>
    <w:rsid w:val="4AFFA108"/>
    <w:rsid w:val="4B02DB89"/>
    <w:rsid w:val="4B05F238"/>
    <w:rsid w:val="4B0C27FA"/>
    <w:rsid w:val="4B1A23AB"/>
    <w:rsid w:val="4B1C7CDD"/>
    <w:rsid w:val="4B256F01"/>
    <w:rsid w:val="4B276998"/>
    <w:rsid w:val="4B2A2317"/>
    <w:rsid w:val="4B2C4C88"/>
    <w:rsid w:val="4B30587D"/>
    <w:rsid w:val="4B31B3C3"/>
    <w:rsid w:val="4B330B54"/>
    <w:rsid w:val="4B336A5D"/>
    <w:rsid w:val="4B33B3B6"/>
    <w:rsid w:val="4B35B241"/>
    <w:rsid w:val="4B3944AD"/>
    <w:rsid w:val="4B3950B7"/>
    <w:rsid w:val="4B3C8602"/>
    <w:rsid w:val="4B3FAAAD"/>
    <w:rsid w:val="4B428880"/>
    <w:rsid w:val="4B44E5D3"/>
    <w:rsid w:val="4B4AABBE"/>
    <w:rsid w:val="4B4CB2AF"/>
    <w:rsid w:val="4B4CF3B6"/>
    <w:rsid w:val="4B4D9DD9"/>
    <w:rsid w:val="4B4E48C2"/>
    <w:rsid w:val="4B526744"/>
    <w:rsid w:val="4B569970"/>
    <w:rsid w:val="4B5C89A0"/>
    <w:rsid w:val="4B5E0735"/>
    <w:rsid w:val="4B5FB908"/>
    <w:rsid w:val="4B5FE476"/>
    <w:rsid w:val="4B6056BF"/>
    <w:rsid w:val="4B63560C"/>
    <w:rsid w:val="4B69148D"/>
    <w:rsid w:val="4B6989F3"/>
    <w:rsid w:val="4B6C23EA"/>
    <w:rsid w:val="4B6D790C"/>
    <w:rsid w:val="4B6E1EF1"/>
    <w:rsid w:val="4B6EF99F"/>
    <w:rsid w:val="4B76E6C5"/>
    <w:rsid w:val="4B80B917"/>
    <w:rsid w:val="4B84AB43"/>
    <w:rsid w:val="4B8F9138"/>
    <w:rsid w:val="4B90FC82"/>
    <w:rsid w:val="4B96BE3D"/>
    <w:rsid w:val="4B99CD6A"/>
    <w:rsid w:val="4B9A7E15"/>
    <w:rsid w:val="4B9CB92B"/>
    <w:rsid w:val="4B9D68D6"/>
    <w:rsid w:val="4BA8392E"/>
    <w:rsid w:val="4BA8740C"/>
    <w:rsid w:val="4BAFA98C"/>
    <w:rsid w:val="4BB339C2"/>
    <w:rsid w:val="4BB608C6"/>
    <w:rsid w:val="4BB84D26"/>
    <w:rsid w:val="4BB873AD"/>
    <w:rsid w:val="4BBB63A9"/>
    <w:rsid w:val="4BBD97EE"/>
    <w:rsid w:val="4BC29B13"/>
    <w:rsid w:val="4BC4F25C"/>
    <w:rsid w:val="4BC72803"/>
    <w:rsid w:val="4BCBCA2E"/>
    <w:rsid w:val="4BCC8F6D"/>
    <w:rsid w:val="4BCEA0EF"/>
    <w:rsid w:val="4BD23896"/>
    <w:rsid w:val="4BD38D85"/>
    <w:rsid w:val="4BD524C6"/>
    <w:rsid w:val="4BDCA3B2"/>
    <w:rsid w:val="4BDCD207"/>
    <w:rsid w:val="4BEA1614"/>
    <w:rsid w:val="4BEB1AFA"/>
    <w:rsid w:val="4BF3EE54"/>
    <w:rsid w:val="4BF9740F"/>
    <w:rsid w:val="4BFA2565"/>
    <w:rsid w:val="4BFF5D17"/>
    <w:rsid w:val="4C021605"/>
    <w:rsid w:val="4C06241A"/>
    <w:rsid w:val="4C173032"/>
    <w:rsid w:val="4C1AC1B6"/>
    <w:rsid w:val="4C1B77A4"/>
    <w:rsid w:val="4C1BAC03"/>
    <w:rsid w:val="4C1BD883"/>
    <w:rsid w:val="4C231CCB"/>
    <w:rsid w:val="4C255E9A"/>
    <w:rsid w:val="4C26A594"/>
    <w:rsid w:val="4C29FECB"/>
    <w:rsid w:val="4C2B3ECB"/>
    <w:rsid w:val="4C2D2731"/>
    <w:rsid w:val="4C37B5A3"/>
    <w:rsid w:val="4C3A1353"/>
    <w:rsid w:val="4C40D729"/>
    <w:rsid w:val="4C423452"/>
    <w:rsid w:val="4C501347"/>
    <w:rsid w:val="4C5609BC"/>
    <w:rsid w:val="4C57ABA3"/>
    <w:rsid w:val="4C57F1B5"/>
    <w:rsid w:val="4C5BA27D"/>
    <w:rsid w:val="4C6040D9"/>
    <w:rsid w:val="4C629E08"/>
    <w:rsid w:val="4C62CD6A"/>
    <w:rsid w:val="4C66E3BC"/>
    <w:rsid w:val="4C6CB52C"/>
    <w:rsid w:val="4C6E34F2"/>
    <w:rsid w:val="4C711EB7"/>
    <w:rsid w:val="4C7487AE"/>
    <w:rsid w:val="4C75BABB"/>
    <w:rsid w:val="4C77EAE9"/>
    <w:rsid w:val="4C77F81B"/>
    <w:rsid w:val="4C7CD9DB"/>
    <w:rsid w:val="4C7CE87F"/>
    <w:rsid w:val="4C83505A"/>
    <w:rsid w:val="4C837BA9"/>
    <w:rsid w:val="4C858A53"/>
    <w:rsid w:val="4C85D8B0"/>
    <w:rsid w:val="4C85D942"/>
    <w:rsid w:val="4C8A1874"/>
    <w:rsid w:val="4C8A8EB5"/>
    <w:rsid w:val="4C8EE318"/>
    <w:rsid w:val="4C9AB993"/>
    <w:rsid w:val="4C9EEF42"/>
    <w:rsid w:val="4CA50269"/>
    <w:rsid w:val="4CACA112"/>
    <w:rsid w:val="4CAF0A1C"/>
    <w:rsid w:val="4CAF6088"/>
    <w:rsid w:val="4CAF75E9"/>
    <w:rsid w:val="4CB64F12"/>
    <w:rsid w:val="4CBCBFD2"/>
    <w:rsid w:val="4CBCFECE"/>
    <w:rsid w:val="4CC17A9E"/>
    <w:rsid w:val="4CC326E2"/>
    <w:rsid w:val="4CC37316"/>
    <w:rsid w:val="4CC607E4"/>
    <w:rsid w:val="4CC7393D"/>
    <w:rsid w:val="4CCAB161"/>
    <w:rsid w:val="4CCDBC3C"/>
    <w:rsid w:val="4CCECFCB"/>
    <w:rsid w:val="4CD07796"/>
    <w:rsid w:val="4CD0DC32"/>
    <w:rsid w:val="4CD297FD"/>
    <w:rsid w:val="4CD3E949"/>
    <w:rsid w:val="4CD5F115"/>
    <w:rsid w:val="4CDA002A"/>
    <w:rsid w:val="4CE6E4FA"/>
    <w:rsid w:val="4CE7B5A7"/>
    <w:rsid w:val="4CE8073C"/>
    <w:rsid w:val="4CEB5F6E"/>
    <w:rsid w:val="4CEF3354"/>
    <w:rsid w:val="4CF6AF33"/>
    <w:rsid w:val="4CF7933B"/>
    <w:rsid w:val="4CFAB7F8"/>
    <w:rsid w:val="4CFDFC79"/>
    <w:rsid w:val="4D014958"/>
    <w:rsid w:val="4D030EAF"/>
    <w:rsid w:val="4D03D779"/>
    <w:rsid w:val="4D03DBFF"/>
    <w:rsid w:val="4D060407"/>
    <w:rsid w:val="4D067802"/>
    <w:rsid w:val="4D080EEA"/>
    <w:rsid w:val="4D08E3CB"/>
    <w:rsid w:val="4D09700A"/>
    <w:rsid w:val="4D0DF12E"/>
    <w:rsid w:val="4D0E1CCC"/>
    <w:rsid w:val="4D0F2220"/>
    <w:rsid w:val="4D12611F"/>
    <w:rsid w:val="4D138FCC"/>
    <w:rsid w:val="4D168835"/>
    <w:rsid w:val="4D1CF443"/>
    <w:rsid w:val="4D1DD01B"/>
    <w:rsid w:val="4D1EC2A2"/>
    <w:rsid w:val="4D21A633"/>
    <w:rsid w:val="4D302DEE"/>
    <w:rsid w:val="4D303966"/>
    <w:rsid w:val="4D307471"/>
    <w:rsid w:val="4D320EA4"/>
    <w:rsid w:val="4D3497BE"/>
    <w:rsid w:val="4D39B988"/>
    <w:rsid w:val="4D3EF85E"/>
    <w:rsid w:val="4D45BB5E"/>
    <w:rsid w:val="4D4B5774"/>
    <w:rsid w:val="4D4C234F"/>
    <w:rsid w:val="4D4C5C7A"/>
    <w:rsid w:val="4D5002FB"/>
    <w:rsid w:val="4D514AE4"/>
    <w:rsid w:val="4D5542FF"/>
    <w:rsid w:val="4D58B8BC"/>
    <w:rsid w:val="4D5B2F3A"/>
    <w:rsid w:val="4D5D6D38"/>
    <w:rsid w:val="4D622264"/>
    <w:rsid w:val="4D6EBD21"/>
    <w:rsid w:val="4D72578D"/>
    <w:rsid w:val="4D78BB1E"/>
    <w:rsid w:val="4D7A7B08"/>
    <w:rsid w:val="4D7EFFD8"/>
    <w:rsid w:val="4D7FED1D"/>
    <w:rsid w:val="4D81076E"/>
    <w:rsid w:val="4D8953E5"/>
    <w:rsid w:val="4D8B2F7D"/>
    <w:rsid w:val="4D936C75"/>
    <w:rsid w:val="4D949A6F"/>
    <w:rsid w:val="4D9529A3"/>
    <w:rsid w:val="4D9BA2C5"/>
    <w:rsid w:val="4D9BB95D"/>
    <w:rsid w:val="4D9FA331"/>
    <w:rsid w:val="4D9FFC4D"/>
    <w:rsid w:val="4DA2B652"/>
    <w:rsid w:val="4DA5AD0D"/>
    <w:rsid w:val="4DAA44B1"/>
    <w:rsid w:val="4DB0DE94"/>
    <w:rsid w:val="4DB14613"/>
    <w:rsid w:val="4DBEEA43"/>
    <w:rsid w:val="4DBEF3D7"/>
    <w:rsid w:val="4DBF3138"/>
    <w:rsid w:val="4DBF9887"/>
    <w:rsid w:val="4DBFD27F"/>
    <w:rsid w:val="4DC1FA67"/>
    <w:rsid w:val="4DC6E407"/>
    <w:rsid w:val="4DCA7283"/>
    <w:rsid w:val="4DCB736F"/>
    <w:rsid w:val="4DCF2069"/>
    <w:rsid w:val="4DD2C9FF"/>
    <w:rsid w:val="4DD324B4"/>
    <w:rsid w:val="4DD5B66F"/>
    <w:rsid w:val="4DD5BA2F"/>
    <w:rsid w:val="4DD8B55C"/>
    <w:rsid w:val="4DDD6879"/>
    <w:rsid w:val="4DDD8E14"/>
    <w:rsid w:val="4DDFC83D"/>
    <w:rsid w:val="4DE0B591"/>
    <w:rsid w:val="4DE3FD24"/>
    <w:rsid w:val="4DE5BC8A"/>
    <w:rsid w:val="4DEC9945"/>
    <w:rsid w:val="4DF015AA"/>
    <w:rsid w:val="4DF0EF04"/>
    <w:rsid w:val="4DF3E675"/>
    <w:rsid w:val="4DF4F058"/>
    <w:rsid w:val="4DFC8D82"/>
    <w:rsid w:val="4E085CA2"/>
    <w:rsid w:val="4E087C17"/>
    <w:rsid w:val="4E0D474F"/>
    <w:rsid w:val="4E125BAD"/>
    <w:rsid w:val="4E150826"/>
    <w:rsid w:val="4E190A40"/>
    <w:rsid w:val="4E197CBF"/>
    <w:rsid w:val="4E1BC177"/>
    <w:rsid w:val="4E1EE68A"/>
    <w:rsid w:val="4E20E681"/>
    <w:rsid w:val="4E29FB3E"/>
    <w:rsid w:val="4E2B81DF"/>
    <w:rsid w:val="4E305432"/>
    <w:rsid w:val="4E31F66D"/>
    <w:rsid w:val="4E33CF37"/>
    <w:rsid w:val="4E357F31"/>
    <w:rsid w:val="4E3B9830"/>
    <w:rsid w:val="4E3C88D9"/>
    <w:rsid w:val="4E3F2691"/>
    <w:rsid w:val="4E443488"/>
    <w:rsid w:val="4E4D1745"/>
    <w:rsid w:val="4E50F77D"/>
    <w:rsid w:val="4E526BF3"/>
    <w:rsid w:val="4E5400D8"/>
    <w:rsid w:val="4E5539B8"/>
    <w:rsid w:val="4E578AB0"/>
    <w:rsid w:val="4E57A03F"/>
    <w:rsid w:val="4E57A486"/>
    <w:rsid w:val="4E584D49"/>
    <w:rsid w:val="4E593B79"/>
    <w:rsid w:val="4E632A99"/>
    <w:rsid w:val="4E6D4C88"/>
    <w:rsid w:val="4E6DF360"/>
    <w:rsid w:val="4E6E912C"/>
    <w:rsid w:val="4E6F9063"/>
    <w:rsid w:val="4E730480"/>
    <w:rsid w:val="4E8138D3"/>
    <w:rsid w:val="4E83D534"/>
    <w:rsid w:val="4E853E9B"/>
    <w:rsid w:val="4E858167"/>
    <w:rsid w:val="4E86FBA1"/>
    <w:rsid w:val="4E87E043"/>
    <w:rsid w:val="4E938407"/>
    <w:rsid w:val="4E94A6B3"/>
    <w:rsid w:val="4E982E82"/>
    <w:rsid w:val="4E99CCDA"/>
    <w:rsid w:val="4E9E3349"/>
    <w:rsid w:val="4EA29E52"/>
    <w:rsid w:val="4EAB6F70"/>
    <w:rsid w:val="4EAD93E8"/>
    <w:rsid w:val="4EAF1249"/>
    <w:rsid w:val="4EBC9B99"/>
    <w:rsid w:val="4EBD18A7"/>
    <w:rsid w:val="4EBF6D0F"/>
    <w:rsid w:val="4EC30012"/>
    <w:rsid w:val="4ED07515"/>
    <w:rsid w:val="4ED59A81"/>
    <w:rsid w:val="4EDB3D63"/>
    <w:rsid w:val="4EDD3A82"/>
    <w:rsid w:val="4EDE6959"/>
    <w:rsid w:val="4EE17283"/>
    <w:rsid w:val="4EE5DF8C"/>
    <w:rsid w:val="4EE72E91"/>
    <w:rsid w:val="4EE9EDDF"/>
    <w:rsid w:val="4EF73173"/>
    <w:rsid w:val="4EF7DB6A"/>
    <w:rsid w:val="4EFBEB78"/>
    <w:rsid w:val="4EFCD398"/>
    <w:rsid w:val="4F044758"/>
    <w:rsid w:val="4F074B65"/>
    <w:rsid w:val="4F077809"/>
    <w:rsid w:val="4F0C54D1"/>
    <w:rsid w:val="4F0E2B3C"/>
    <w:rsid w:val="4F0EA2D6"/>
    <w:rsid w:val="4F10D202"/>
    <w:rsid w:val="4F155C11"/>
    <w:rsid w:val="4F208119"/>
    <w:rsid w:val="4F215007"/>
    <w:rsid w:val="4F25BAC3"/>
    <w:rsid w:val="4F263FFA"/>
    <w:rsid w:val="4F27CBE6"/>
    <w:rsid w:val="4F2C3D3F"/>
    <w:rsid w:val="4F2E2C61"/>
    <w:rsid w:val="4F325FCC"/>
    <w:rsid w:val="4F3E494A"/>
    <w:rsid w:val="4F47E301"/>
    <w:rsid w:val="4F4E266B"/>
    <w:rsid w:val="4F5824A6"/>
    <w:rsid w:val="4F59270D"/>
    <w:rsid w:val="4F62F02B"/>
    <w:rsid w:val="4F67C499"/>
    <w:rsid w:val="4F69BFD0"/>
    <w:rsid w:val="4F6ACD06"/>
    <w:rsid w:val="4F756BB3"/>
    <w:rsid w:val="4F7816E6"/>
    <w:rsid w:val="4F7C6854"/>
    <w:rsid w:val="4F7ED132"/>
    <w:rsid w:val="4F87B826"/>
    <w:rsid w:val="4F87DE58"/>
    <w:rsid w:val="4F895C9F"/>
    <w:rsid w:val="4F8C2460"/>
    <w:rsid w:val="4F92308D"/>
    <w:rsid w:val="4F96497A"/>
    <w:rsid w:val="4F99839C"/>
    <w:rsid w:val="4F9A6766"/>
    <w:rsid w:val="4FA175F4"/>
    <w:rsid w:val="4FA612F0"/>
    <w:rsid w:val="4FAAF81D"/>
    <w:rsid w:val="4FAF368B"/>
    <w:rsid w:val="4FB19BB3"/>
    <w:rsid w:val="4FB2AE96"/>
    <w:rsid w:val="4FB61A6A"/>
    <w:rsid w:val="4FBA5150"/>
    <w:rsid w:val="4FBA7307"/>
    <w:rsid w:val="4FBCA96D"/>
    <w:rsid w:val="4FBCB518"/>
    <w:rsid w:val="4FBEF764"/>
    <w:rsid w:val="4FBFC127"/>
    <w:rsid w:val="4FBFFD84"/>
    <w:rsid w:val="4FC112F5"/>
    <w:rsid w:val="4FC3A0D3"/>
    <w:rsid w:val="4FC5CBE2"/>
    <w:rsid w:val="4FC722E8"/>
    <w:rsid w:val="4FC7440F"/>
    <w:rsid w:val="4FCDE666"/>
    <w:rsid w:val="4FD39B64"/>
    <w:rsid w:val="4FE033E9"/>
    <w:rsid w:val="4FE20CDD"/>
    <w:rsid w:val="4FE424C3"/>
    <w:rsid w:val="4FE50317"/>
    <w:rsid w:val="4FF0BF2D"/>
    <w:rsid w:val="4FF1B440"/>
    <w:rsid w:val="4FF1D367"/>
    <w:rsid w:val="4FF43BDF"/>
    <w:rsid w:val="50046641"/>
    <w:rsid w:val="500DAC99"/>
    <w:rsid w:val="5011C148"/>
    <w:rsid w:val="5011DA38"/>
    <w:rsid w:val="50165DC0"/>
    <w:rsid w:val="5017D079"/>
    <w:rsid w:val="501849D1"/>
    <w:rsid w:val="50191E38"/>
    <w:rsid w:val="5019F35C"/>
    <w:rsid w:val="501CA34F"/>
    <w:rsid w:val="501F4556"/>
    <w:rsid w:val="50202D65"/>
    <w:rsid w:val="502453AB"/>
    <w:rsid w:val="502475E1"/>
    <w:rsid w:val="50341AA6"/>
    <w:rsid w:val="5035785B"/>
    <w:rsid w:val="50371E8F"/>
    <w:rsid w:val="503DBAC2"/>
    <w:rsid w:val="503EC6A7"/>
    <w:rsid w:val="504264B0"/>
    <w:rsid w:val="5042AEA6"/>
    <w:rsid w:val="5047C212"/>
    <w:rsid w:val="50488432"/>
    <w:rsid w:val="50495807"/>
    <w:rsid w:val="504A05AA"/>
    <w:rsid w:val="504D7843"/>
    <w:rsid w:val="504E5035"/>
    <w:rsid w:val="50552781"/>
    <w:rsid w:val="506E502A"/>
    <w:rsid w:val="506F1FA7"/>
    <w:rsid w:val="5071D55F"/>
    <w:rsid w:val="507206F6"/>
    <w:rsid w:val="507212E3"/>
    <w:rsid w:val="507330C1"/>
    <w:rsid w:val="507F4DE3"/>
    <w:rsid w:val="5081CC1E"/>
    <w:rsid w:val="508206CD"/>
    <w:rsid w:val="50825DAA"/>
    <w:rsid w:val="50857ED0"/>
    <w:rsid w:val="508770A9"/>
    <w:rsid w:val="508BB820"/>
    <w:rsid w:val="508BF870"/>
    <w:rsid w:val="508C8D39"/>
    <w:rsid w:val="508ECC26"/>
    <w:rsid w:val="50919C6F"/>
    <w:rsid w:val="50963DCF"/>
    <w:rsid w:val="50980C98"/>
    <w:rsid w:val="509ADA9A"/>
    <w:rsid w:val="509B7B34"/>
    <w:rsid w:val="509EBE69"/>
    <w:rsid w:val="50A34F3B"/>
    <w:rsid w:val="50A40B46"/>
    <w:rsid w:val="50A5015B"/>
    <w:rsid w:val="50A557FD"/>
    <w:rsid w:val="50A73675"/>
    <w:rsid w:val="50A7D3A2"/>
    <w:rsid w:val="50A8DB3A"/>
    <w:rsid w:val="50AC5AE3"/>
    <w:rsid w:val="50B0754B"/>
    <w:rsid w:val="50B8E929"/>
    <w:rsid w:val="50BA1007"/>
    <w:rsid w:val="50BB62F8"/>
    <w:rsid w:val="50BC12B5"/>
    <w:rsid w:val="50BF23A0"/>
    <w:rsid w:val="50C035DC"/>
    <w:rsid w:val="50C38C9E"/>
    <w:rsid w:val="50CA78EA"/>
    <w:rsid w:val="50CECC14"/>
    <w:rsid w:val="50D14320"/>
    <w:rsid w:val="50D17F82"/>
    <w:rsid w:val="50D1BA18"/>
    <w:rsid w:val="50D2996A"/>
    <w:rsid w:val="50D6093B"/>
    <w:rsid w:val="50D72CD5"/>
    <w:rsid w:val="50DD71B9"/>
    <w:rsid w:val="50E41809"/>
    <w:rsid w:val="50E5C1CB"/>
    <w:rsid w:val="50E807E7"/>
    <w:rsid w:val="50EAC2E6"/>
    <w:rsid w:val="50EF67C8"/>
    <w:rsid w:val="50F06D2B"/>
    <w:rsid w:val="50F550B2"/>
    <w:rsid w:val="50F57A0D"/>
    <w:rsid w:val="50F9E460"/>
    <w:rsid w:val="50FA1D16"/>
    <w:rsid w:val="50FEC08C"/>
    <w:rsid w:val="50FFB118"/>
    <w:rsid w:val="5102A6EB"/>
    <w:rsid w:val="5103D048"/>
    <w:rsid w:val="510767B0"/>
    <w:rsid w:val="510EC3B1"/>
    <w:rsid w:val="5111E64A"/>
    <w:rsid w:val="5113C70E"/>
    <w:rsid w:val="5113F7B4"/>
    <w:rsid w:val="5115EEA4"/>
    <w:rsid w:val="5119E2B2"/>
    <w:rsid w:val="511BC9F8"/>
    <w:rsid w:val="511EE218"/>
    <w:rsid w:val="512B6F96"/>
    <w:rsid w:val="512C2CC3"/>
    <w:rsid w:val="512E0C3E"/>
    <w:rsid w:val="512ED02B"/>
    <w:rsid w:val="513406CF"/>
    <w:rsid w:val="5135FB6B"/>
    <w:rsid w:val="5137E375"/>
    <w:rsid w:val="5137EE73"/>
    <w:rsid w:val="513C8382"/>
    <w:rsid w:val="513F3671"/>
    <w:rsid w:val="514695DD"/>
    <w:rsid w:val="515176B9"/>
    <w:rsid w:val="515226D1"/>
    <w:rsid w:val="515247D6"/>
    <w:rsid w:val="51575351"/>
    <w:rsid w:val="515DFC86"/>
    <w:rsid w:val="51659E74"/>
    <w:rsid w:val="5165A4EB"/>
    <w:rsid w:val="5166A695"/>
    <w:rsid w:val="516E9814"/>
    <w:rsid w:val="516EF84A"/>
    <w:rsid w:val="51703A82"/>
    <w:rsid w:val="517B35B7"/>
    <w:rsid w:val="51812F49"/>
    <w:rsid w:val="518396DC"/>
    <w:rsid w:val="51858BB0"/>
    <w:rsid w:val="518DA3C8"/>
    <w:rsid w:val="5191B64F"/>
    <w:rsid w:val="51927164"/>
    <w:rsid w:val="5192E850"/>
    <w:rsid w:val="51965AF4"/>
    <w:rsid w:val="51973EAD"/>
    <w:rsid w:val="519BE780"/>
    <w:rsid w:val="519C03AF"/>
    <w:rsid w:val="519C676C"/>
    <w:rsid w:val="519CA59E"/>
    <w:rsid w:val="519CBB76"/>
    <w:rsid w:val="519DFEF9"/>
    <w:rsid w:val="519E0735"/>
    <w:rsid w:val="51A1FD0A"/>
    <w:rsid w:val="51A9A2E6"/>
    <w:rsid w:val="51AB55FF"/>
    <w:rsid w:val="51B09733"/>
    <w:rsid w:val="51B15B3D"/>
    <w:rsid w:val="51B5F2E1"/>
    <w:rsid w:val="51B65F0F"/>
    <w:rsid w:val="51BB3917"/>
    <w:rsid w:val="51BC5A74"/>
    <w:rsid w:val="51BE3255"/>
    <w:rsid w:val="51C2BE7A"/>
    <w:rsid w:val="51C70EDE"/>
    <w:rsid w:val="51C87BBD"/>
    <w:rsid w:val="51CF6867"/>
    <w:rsid w:val="51CFC727"/>
    <w:rsid w:val="51D4B3CE"/>
    <w:rsid w:val="51D6158F"/>
    <w:rsid w:val="51DA5F0E"/>
    <w:rsid w:val="51DB0B5F"/>
    <w:rsid w:val="51DC9B48"/>
    <w:rsid w:val="51DCCCF2"/>
    <w:rsid w:val="51DE65AF"/>
    <w:rsid w:val="51F07041"/>
    <w:rsid w:val="51F10DF1"/>
    <w:rsid w:val="51F2602C"/>
    <w:rsid w:val="51F732B1"/>
    <w:rsid w:val="51F82CCE"/>
    <w:rsid w:val="51FADE77"/>
    <w:rsid w:val="51FE207F"/>
    <w:rsid w:val="5204E783"/>
    <w:rsid w:val="520A6C41"/>
    <w:rsid w:val="520B3AFB"/>
    <w:rsid w:val="520B4EFD"/>
    <w:rsid w:val="520CEB33"/>
    <w:rsid w:val="5212207B"/>
    <w:rsid w:val="52132D9C"/>
    <w:rsid w:val="521518E4"/>
    <w:rsid w:val="5217D55D"/>
    <w:rsid w:val="521AD332"/>
    <w:rsid w:val="521DB8B7"/>
    <w:rsid w:val="52244555"/>
    <w:rsid w:val="5225151C"/>
    <w:rsid w:val="5226E55A"/>
    <w:rsid w:val="522A2D9D"/>
    <w:rsid w:val="523384A2"/>
    <w:rsid w:val="52360005"/>
    <w:rsid w:val="523BD197"/>
    <w:rsid w:val="523C7C7F"/>
    <w:rsid w:val="523D43B7"/>
    <w:rsid w:val="523E000F"/>
    <w:rsid w:val="52401A1C"/>
    <w:rsid w:val="5241B42E"/>
    <w:rsid w:val="52428D75"/>
    <w:rsid w:val="5246D6E5"/>
    <w:rsid w:val="52477288"/>
    <w:rsid w:val="524B16A3"/>
    <w:rsid w:val="524EF4B4"/>
    <w:rsid w:val="52512AFC"/>
    <w:rsid w:val="5251D5E0"/>
    <w:rsid w:val="5253F949"/>
    <w:rsid w:val="5256D736"/>
    <w:rsid w:val="52573113"/>
    <w:rsid w:val="52579133"/>
    <w:rsid w:val="5259E489"/>
    <w:rsid w:val="526A1488"/>
    <w:rsid w:val="526ACDB4"/>
    <w:rsid w:val="526AE8B5"/>
    <w:rsid w:val="526F2865"/>
    <w:rsid w:val="5271D4D9"/>
    <w:rsid w:val="527ECE5A"/>
    <w:rsid w:val="527F87E0"/>
    <w:rsid w:val="5281B50A"/>
    <w:rsid w:val="5282EBF9"/>
    <w:rsid w:val="5283154A"/>
    <w:rsid w:val="52845644"/>
    <w:rsid w:val="52901B7E"/>
    <w:rsid w:val="529057C6"/>
    <w:rsid w:val="5294FB23"/>
    <w:rsid w:val="529A552A"/>
    <w:rsid w:val="529C31A1"/>
    <w:rsid w:val="529DDB3C"/>
    <w:rsid w:val="529DEF60"/>
    <w:rsid w:val="529E6A2A"/>
    <w:rsid w:val="52A05C47"/>
    <w:rsid w:val="52A7CAA8"/>
    <w:rsid w:val="52A89650"/>
    <w:rsid w:val="52A9B124"/>
    <w:rsid w:val="52B3A2E5"/>
    <w:rsid w:val="52BC3ADA"/>
    <w:rsid w:val="52BD9276"/>
    <w:rsid w:val="52BEE449"/>
    <w:rsid w:val="52C68AAE"/>
    <w:rsid w:val="52C7B3D8"/>
    <w:rsid w:val="52C7FBD9"/>
    <w:rsid w:val="52C907BE"/>
    <w:rsid w:val="52CA60FD"/>
    <w:rsid w:val="52CAE9D1"/>
    <w:rsid w:val="52D3015D"/>
    <w:rsid w:val="52D3B838"/>
    <w:rsid w:val="52D5F603"/>
    <w:rsid w:val="52D73B1E"/>
    <w:rsid w:val="52D85FA3"/>
    <w:rsid w:val="52DB398B"/>
    <w:rsid w:val="52DC15B0"/>
    <w:rsid w:val="52DE3829"/>
    <w:rsid w:val="52E5389C"/>
    <w:rsid w:val="52E68E97"/>
    <w:rsid w:val="52E72CBD"/>
    <w:rsid w:val="52E7DE7D"/>
    <w:rsid w:val="52EBA077"/>
    <w:rsid w:val="52F0C631"/>
    <w:rsid w:val="52F23CF3"/>
    <w:rsid w:val="52F44FA1"/>
    <w:rsid w:val="52FA7E69"/>
    <w:rsid w:val="52FE3403"/>
    <w:rsid w:val="5304D9D7"/>
    <w:rsid w:val="530B2E3D"/>
    <w:rsid w:val="530B3268"/>
    <w:rsid w:val="530C2A03"/>
    <w:rsid w:val="530C4E96"/>
    <w:rsid w:val="530C6F33"/>
    <w:rsid w:val="531105C3"/>
    <w:rsid w:val="531457E4"/>
    <w:rsid w:val="531B6027"/>
    <w:rsid w:val="531C3D5D"/>
    <w:rsid w:val="532B86C5"/>
    <w:rsid w:val="532CE5E1"/>
    <w:rsid w:val="532DBC24"/>
    <w:rsid w:val="532E076D"/>
    <w:rsid w:val="5336FE88"/>
    <w:rsid w:val="533755FC"/>
    <w:rsid w:val="533C2A90"/>
    <w:rsid w:val="533DE5FD"/>
    <w:rsid w:val="533FF678"/>
    <w:rsid w:val="5345B26F"/>
    <w:rsid w:val="5346B892"/>
    <w:rsid w:val="5349DE3E"/>
    <w:rsid w:val="5353445B"/>
    <w:rsid w:val="535D8A87"/>
    <w:rsid w:val="5360A807"/>
    <w:rsid w:val="53636274"/>
    <w:rsid w:val="5364951A"/>
    <w:rsid w:val="536D1B85"/>
    <w:rsid w:val="536D5D01"/>
    <w:rsid w:val="5370EDEE"/>
    <w:rsid w:val="53752629"/>
    <w:rsid w:val="5376A6ED"/>
    <w:rsid w:val="537BC43E"/>
    <w:rsid w:val="537EF183"/>
    <w:rsid w:val="5383B338"/>
    <w:rsid w:val="5385B8B7"/>
    <w:rsid w:val="53986756"/>
    <w:rsid w:val="539DAE72"/>
    <w:rsid w:val="53A3818E"/>
    <w:rsid w:val="53A3F980"/>
    <w:rsid w:val="53A85592"/>
    <w:rsid w:val="53AC46DB"/>
    <w:rsid w:val="53AD5858"/>
    <w:rsid w:val="53AE1C26"/>
    <w:rsid w:val="53B532CA"/>
    <w:rsid w:val="53BC11BE"/>
    <w:rsid w:val="53C33C83"/>
    <w:rsid w:val="53C3888F"/>
    <w:rsid w:val="53CCEEE1"/>
    <w:rsid w:val="53CDF26E"/>
    <w:rsid w:val="53D0D59B"/>
    <w:rsid w:val="53D745BF"/>
    <w:rsid w:val="53D836EA"/>
    <w:rsid w:val="53DCBF5E"/>
    <w:rsid w:val="53DD7270"/>
    <w:rsid w:val="53E22607"/>
    <w:rsid w:val="53E937D5"/>
    <w:rsid w:val="53ED7BFF"/>
    <w:rsid w:val="53F16E14"/>
    <w:rsid w:val="53F4F9B8"/>
    <w:rsid w:val="53F769A3"/>
    <w:rsid w:val="53F9A02F"/>
    <w:rsid w:val="53FAA004"/>
    <w:rsid w:val="53FAF0FC"/>
    <w:rsid w:val="53FD0E11"/>
    <w:rsid w:val="5400A89C"/>
    <w:rsid w:val="54031C2E"/>
    <w:rsid w:val="54073668"/>
    <w:rsid w:val="5408F80B"/>
    <w:rsid w:val="540AB4E2"/>
    <w:rsid w:val="540B110C"/>
    <w:rsid w:val="540B8E1D"/>
    <w:rsid w:val="54126F97"/>
    <w:rsid w:val="5414355A"/>
    <w:rsid w:val="54166D9A"/>
    <w:rsid w:val="54190E8A"/>
    <w:rsid w:val="54196003"/>
    <w:rsid w:val="541B5A5C"/>
    <w:rsid w:val="541D61D9"/>
    <w:rsid w:val="542AC9D6"/>
    <w:rsid w:val="542C95EA"/>
    <w:rsid w:val="542CE3C0"/>
    <w:rsid w:val="54310D3C"/>
    <w:rsid w:val="5433C863"/>
    <w:rsid w:val="5439DB6B"/>
    <w:rsid w:val="543C34F6"/>
    <w:rsid w:val="543F66E4"/>
    <w:rsid w:val="5446B377"/>
    <w:rsid w:val="544A8D78"/>
    <w:rsid w:val="544CB810"/>
    <w:rsid w:val="544DA43C"/>
    <w:rsid w:val="545A145E"/>
    <w:rsid w:val="545ABF8A"/>
    <w:rsid w:val="545B0469"/>
    <w:rsid w:val="545CD89C"/>
    <w:rsid w:val="546236A2"/>
    <w:rsid w:val="5468E6F5"/>
    <w:rsid w:val="5469C4BA"/>
    <w:rsid w:val="54747A47"/>
    <w:rsid w:val="5475FEE6"/>
    <w:rsid w:val="5479BAE2"/>
    <w:rsid w:val="547B36C0"/>
    <w:rsid w:val="547CB5F1"/>
    <w:rsid w:val="547F90F1"/>
    <w:rsid w:val="548090DB"/>
    <w:rsid w:val="5486E00D"/>
    <w:rsid w:val="54876551"/>
    <w:rsid w:val="54882C75"/>
    <w:rsid w:val="54890E11"/>
    <w:rsid w:val="548A1EFD"/>
    <w:rsid w:val="548B8328"/>
    <w:rsid w:val="548DA019"/>
    <w:rsid w:val="548FB6A9"/>
    <w:rsid w:val="5490621B"/>
    <w:rsid w:val="5492F71D"/>
    <w:rsid w:val="54930F29"/>
    <w:rsid w:val="5497D37A"/>
    <w:rsid w:val="5497F12C"/>
    <w:rsid w:val="5498F921"/>
    <w:rsid w:val="549A14E1"/>
    <w:rsid w:val="549C0F46"/>
    <w:rsid w:val="54A09234"/>
    <w:rsid w:val="54A97B12"/>
    <w:rsid w:val="54B01C65"/>
    <w:rsid w:val="54B2B898"/>
    <w:rsid w:val="54B34DF0"/>
    <w:rsid w:val="54B47507"/>
    <w:rsid w:val="54B614F5"/>
    <w:rsid w:val="54B7CC7E"/>
    <w:rsid w:val="54B86583"/>
    <w:rsid w:val="54C1B370"/>
    <w:rsid w:val="54C9F26F"/>
    <w:rsid w:val="54CB9530"/>
    <w:rsid w:val="54D0C250"/>
    <w:rsid w:val="54D0D390"/>
    <w:rsid w:val="54D41395"/>
    <w:rsid w:val="54D58ED5"/>
    <w:rsid w:val="54D84275"/>
    <w:rsid w:val="54DACCBC"/>
    <w:rsid w:val="54DB9868"/>
    <w:rsid w:val="54E83B58"/>
    <w:rsid w:val="54E9C6A7"/>
    <w:rsid w:val="54EB349A"/>
    <w:rsid w:val="54EB899D"/>
    <w:rsid w:val="54EE2E85"/>
    <w:rsid w:val="54EF66E7"/>
    <w:rsid w:val="54F40874"/>
    <w:rsid w:val="54F4C661"/>
    <w:rsid w:val="54F5249C"/>
    <w:rsid w:val="54F83E6A"/>
    <w:rsid w:val="54FA3FDA"/>
    <w:rsid w:val="54FF6B77"/>
    <w:rsid w:val="550163B5"/>
    <w:rsid w:val="550B5C8E"/>
    <w:rsid w:val="550F9404"/>
    <w:rsid w:val="550FCB1F"/>
    <w:rsid w:val="55127BAE"/>
    <w:rsid w:val="55193F54"/>
    <w:rsid w:val="551B381E"/>
    <w:rsid w:val="551B3ABC"/>
    <w:rsid w:val="5524B19D"/>
    <w:rsid w:val="55289650"/>
    <w:rsid w:val="5529BD23"/>
    <w:rsid w:val="552ACA2E"/>
    <w:rsid w:val="552F593C"/>
    <w:rsid w:val="55377D08"/>
    <w:rsid w:val="553E442A"/>
    <w:rsid w:val="553E55CD"/>
    <w:rsid w:val="5540F332"/>
    <w:rsid w:val="55419E33"/>
    <w:rsid w:val="55426FE3"/>
    <w:rsid w:val="5542E7D4"/>
    <w:rsid w:val="554AA12C"/>
    <w:rsid w:val="554DAB9D"/>
    <w:rsid w:val="554E3FEB"/>
    <w:rsid w:val="55522A7E"/>
    <w:rsid w:val="5552F572"/>
    <w:rsid w:val="55552C05"/>
    <w:rsid w:val="555649B8"/>
    <w:rsid w:val="556BE346"/>
    <w:rsid w:val="556CC51D"/>
    <w:rsid w:val="556EDA03"/>
    <w:rsid w:val="557DA291"/>
    <w:rsid w:val="557DE76B"/>
    <w:rsid w:val="557E897B"/>
    <w:rsid w:val="557EC59E"/>
    <w:rsid w:val="557ED2EE"/>
    <w:rsid w:val="558520D3"/>
    <w:rsid w:val="558696CE"/>
    <w:rsid w:val="55872F3C"/>
    <w:rsid w:val="558C4EFC"/>
    <w:rsid w:val="558D4383"/>
    <w:rsid w:val="558DC5B5"/>
    <w:rsid w:val="558F1499"/>
    <w:rsid w:val="559014D5"/>
    <w:rsid w:val="559055E8"/>
    <w:rsid w:val="55919478"/>
    <w:rsid w:val="5592FB27"/>
    <w:rsid w:val="5595F2F7"/>
    <w:rsid w:val="559D3CBC"/>
    <w:rsid w:val="559E7F5F"/>
    <w:rsid w:val="559EB779"/>
    <w:rsid w:val="559EED74"/>
    <w:rsid w:val="559F83B6"/>
    <w:rsid w:val="55A6DEE5"/>
    <w:rsid w:val="55ACC5E2"/>
    <w:rsid w:val="55AD6C32"/>
    <w:rsid w:val="55AF2BF9"/>
    <w:rsid w:val="55B0282A"/>
    <w:rsid w:val="55B41693"/>
    <w:rsid w:val="55B668E0"/>
    <w:rsid w:val="55BABEFE"/>
    <w:rsid w:val="55C11C0A"/>
    <w:rsid w:val="55C6E82F"/>
    <w:rsid w:val="55CE58C1"/>
    <w:rsid w:val="55D2B86B"/>
    <w:rsid w:val="55D46CC5"/>
    <w:rsid w:val="55DC3AE0"/>
    <w:rsid w:val="55DC4420"/>
    <w:rsid w:val="55DC4EFB"/>
    <w:rsid w:val="55DC74C7"/>
    <w:rsid w:val="55E54782"/>
    <w:rsid w:val="55E7C57F"/>
    <w:rsid w:val="55E7D4D0"/>
    <w:rsid w:val="55EB16D1"/>
    <w:rsid w:val="55EC4A98"/>
    <w:rsid w:val="55EDA9DD"/>
    <w:rsid w:val="55F65083"/>
    <w:rsid w:val="55FF330B"/>
    <w:rsid w:val="55FF3F0D"/>
    <w:rsid w:val="55FF65DC"/>
    <w:rsid w:val="56017D61"/>
    <w:rsid w:val="56030F1C"/>
    <w:rsid w:val="5603224E"/>
    <w:rsid w:val="56046944"/>
    <w:rsid w:val="560931A5"/>
    <w:rsid w:val="560C5E49"/>
    <w:rsid w:val="56173713"/>
    <w:rsid w:val="56177597"/>
    <w:rsid w:val="561DADFD"/>
    <w:rsid w:val="561EFCFC"/>
    <w:rsid w:val="561FB46E"/>
    <w:rsid w:val="5621C800"/>
    <w:rsid w:val="5624B817"/>
    <w:rsid w:val="562992FA"/>
    <w:rsid w:val="562CA9E3"/>
    <w:rsid w:val="562E374E"/>
    <w:rsid w:val="5636D72D"/>
    <w:rsid w:val="563CF333"/>
    <w:rsid w:val="563D0A6D"/>
    <w:rsid w:val="563EFAAE"/>
    <w:rsid w:val="56450990"/>
    <w:rsid w:val="564870AB"/>
    <w:rsid w:val="56516E74"/>
    <w:rsid w:val="56568C2A"/>
    <w:rsid w:val="5657D871"/>
    <w:rsid w:val="565B7C1F"/>
    <w:rsid w:val="565CEF24"/>
    <w:rsid w:val="56639457"/>
    <w:rsid w:val="566D6DD5"/>
    <w:rsid w:val="566E3C26"/>
    <w:rsid w:val="566F1AA8"/>
    <w:rsid w:val="56737890"/>
    <w:rsid w:val="5676E8F8"/>
    <w:rsid w:val="5679EE0F"/>
    <w:rsid w:val="567A0275"/>
    <w:rsid w:val="568474AF"/>
    <w:rsid w:val="56962F9D"/>
    <w:rsid w:val="56968315"/>
    <w:rsid w:val="5696BB55"/>
    <w:rsid w:val="569727C6"/>
    <w:rsid w:val="569F514A"/>
    <w:rsid w:val="56A02244"/>
    <w:rsid w:val="56A17EA1"/>
    <w:rsid w:val="56A3E43E"/>
    <w:rsid w:val="56A670DA"/>
    <w:rsid w:val="56A6D556"/>
    <w:rsid w:val="56A8BD22"/>
    <w:rsid w:val="56AA8182"/>
    <w:rsid w:val="56AEBD69"/>
    <w:rsid w:val="56B4C3C7"/>
    <w:rsid w:val="56B6CDB4"/>
    <w:rsid w:val="56B7838C"/>
    <w:rsid w:val="56B7D989"/>
    <w:rsid w:val="56BC7A6D"/>
    <w:rsid w:val="56C19BEF"/>
    <w:rsid w:val="56C40DF9"/>
    <w:rsid w:val="56C8141E"/>
    <w:rsid w:val="56C9F898"/>
    <w:rsid w:val="56CB64E8"/>
    <w:rsid w:val="56CDC22E"/>
    <w:rsid w:val="56CDD570"/>
    <w:rsid w:val="56DA1843"/>
    <w:rsid w:val="56DAD50C"/>
    <w:rsid w:val="56DD3B97"/>
    <w:rsid w:val="56DEA390"/>
    <w:rsid w:val="56DEEBA8"/>
    <w:rsid w:val="56E18C49"/>
    <w:rsid w:val="56E4161B"/>
    <w:rsid w:val="56F4D3FA"/>
    <w:rsid w:val="56FA0BEC"/>
    <w:rsid w:val="56FAFDB3"/>
    <w:rsid w:val="5706361F"/>
    <w:rsid w:val="57085EBA"/>
    <w:rsid w:val="570C04F3"/>
    <w:rsid w:val="570D4EC2"/>
    <w:rsid w:val="570D5EB7"/>
    <w:rsid w:val="570D9EF2"/>
    <w:rsid w:val="570E3E68"/>
    <w:rsid w:val="570FBE6F"/>
    <w:rsid w:val="5713E34C"/>
    <w:rsid w:val="5714D2FB"/>
    <w:rsid w:val="571574BA"/>
    <w:rsid w:val="57162A6D"/>
    <w:rsid w:val="57185E8D"/>
    <w:rsid w:val="57192F3B"/>
    <w:rsid w:val="5723C0FB"/>
    <w:rsid w:val="5725E85F"/>
    <w:rsid w:val="5729305D"/>
    <w:rsid w:val="572F0C64"/>
    <w:rsid w:val="57341A4E"/>
    <w:rsid w:val="573548A1"/>
    <w:rsid w:val="57389819"/>
    <w:rsid w:val="5738F3A7"/>
    <w:rsid w:val="5738FC32"/>
    <w:rsid w:val="57427662"/>
    <w:rsid w:val="5742BECE"/>
    <w:rsid w:val="574650DA"/>
    <w:rsid w:val="574A7AB2"/>
    <w:rsid w:val="574C7399"/>
    <w:rsid w:val="574F5C4D"/>
    <w:rsid w:val="5752A69B"/>
    <w:rsid w:val="57606315"/>
    <w:rsid w:val="5760F8FB"/>
    <w:rsid w:val="5764ED67"/>
    <w:rsid w:val="576B89E8"/>
    <w:rsid w:val="5774D269"/>
    <w:rsid w:val="5775498E"/>
    <w:rsid w:val="57772959"/>
    <w:rsid w:val="5779583B"/>
    <w:rsid w:val="577AB410"/>
    <w:rsid w:val="577D949F"/>
    <w:rsid w:val="57841CE8"/>
    <w:rsid w:val="5786B736"/>
    <w:rsid w:val="5789D82C"/>
    <w:rsid w:val="578A2D3C"/>
    <w:rsid w:val="578B3468"/>
    <w:rsid w:val="578C3A29"/>
    <w:rsid w:val="578CED8F"/>
    <w:rsid w:val="578D6C2A"/>
    <w:rsid w:val="578E82FE"/>
    <w:rsid w:val="5791B0C3"/>
    <w:rsid w:val="5794F6A0"/>
    <w:rsid w:val="5797F66D"/>
    <w:rsid w:val="5799C30D"/>
    <w:rsid w:val="5799D525"/>
    <w:rsid w:val="57A4ACBA"/>
    <w:rsid w:val="57A8DE95"/>
    <w:rsid w:val="57A8E5D9"/>
    <w:rsid w:val="57AA4223"/>
    <w:rsid w:val="57AE7FB8"/>
    <w:rsid w:val="57AFDECA"/>
    <w:rsid w:val="57B10537"/>
    <w:rsid w:val="57B3DEA2"/>
    <w:rsid w:val="57B864E5"/>
    <w:rsid w:val="57B9EF44"/>
    <w:rsid w:val="57BD5219"/>
    <w:rsid w:val="57C07DF3"/>
    <w:rsid w:val="57C0F260"/>
    <w:rsid w:val="57C2D109"/>
    <w:rsid w:val="57C64B2E"/>
    <w:rsid w:val="57C75282"/>
    <w:rsid w:val="57C87743"/>
    <w:rsid w:val="57CA4A38"/>
    <w:rsid w:val="57CD1F8F"/>
    <w:rsid w:val="57D485FF"/>
    <w:rsid w:val="57D4B3D4"/>
    <w:rsid w:val="57D822A3"/>
    <w:rsid w:val="57DBFC8A"/>
    <w:rsid w:val="57DD20D1"/>
    <w:rsid w:val="57DE4433"/>
    <w:rsid w:val="57E0131A"/>
    <w:rsid w:val="57E1A5D3"/>
    <w:rsid w:val="57E2A440"/>
    <w:rsid w:val="57E735F7"/>
    <w:rsid w:val="57E94630"/>
    <w:rsid w:val="57EF408B"/>
    <w:rsid w:val="57F5ADE8"/>
    <w:rsid w:val="57F66329"/>
    <w:rsid w:val="57F6F927"/>
    <w:rsid w:val="57F734A2"/>
    <w:rsid w:val="57FB7F41"/>
    <w:rsid w:val="57FD8408"/>
    <w:rsid w:val="5800E15B"/>
    <w:rsid w:val="58040267"/>
    <w:rsid w:val="58066BBC"/>
    <w:rsid w:val="58093990"/>
    <w:rsid w:val="580D4462"/>
    <w:rsid w:val="580EB920"/>
    <w:rsid w:val="58107540"/>
    <w:rsid w:val="58108425"/>
    <w:rsid w:val="5811A8A4"/>
    <w:rsid w:val="581228FE"/>
    <w:rsid w:val="58181672"/>
    <w:rsid w:val="5819810B"/>
    <w:rsid w:val="581B1085"/>
    <w:rsid w:val="582D9523"/>
    <w:rsid w:val="582EA6BD"/>
    <w:rsid w:val="583088F1"/>
    <w:rsid w:val="5834AC3E"/>
    <w:rsid w:val="5836FFCD"/>
    <w:rsid w:val="5837CB64"/>
    <w:rsid w:val="583B714F"/>
    <w:rsid w:val="583BC097"/>
    <w:rsid w:val="583CC60D"/>
    <w:rsid w:val="583D8CCA"/>
    <w:rsid w:val="583EE7AA"/>
    <w:rsid w:val="58413E5E"/>
    <w:rsid w:val="5842054E"/>
    <w:rsid w:val="58427AF7"/>
    <w:rsid w:val="58429380"/>
    <w:rsid w:val="5847C49B"/>
    <w:rsid w:val="58510CDC"/>
    <w:rsid w:val="58516F54"/>
    <w:rsid w:val="5853802F"/>
    <w:rsid w:val="58538497"/>
    <w:rsid w:val="5855A760"/>
    <w:rsid w:val="5855A94E"/>
    <w:rsid w:val="58570CFF"/>
    <w:rsid w:val="585CF1EF"/>
    <w:rsid w:val="585D5151"/>
    <w:rsid w:val="5860F8E5"/>
    <w:rsid w:val="58679590"/>
    <w:rsid w:val="5875B367"/>
    <w:rsid w:val="587778A5"/>
    <w:rsid w:val="587A73F1"/>
    <w:rsid w:val="587CE8E9"/>
    <w:rsid w:val="587DC65B"/>
    <w:rsid w:val="58812FEB"/>
    <w:rsid w:val="58822BB1"/>
    <w:rsid w:val="5882D165"/>
    <w:rsid w:val="58857C06"/>
    <w:rsid w:val="588C13F0"/>
    <w:rsid w:val="589174FC"/>
    <w:rsid w:val="5897D50E"/>
    <w:rsid w:val="589A8127"/>
    <w:rsid w:val="589CAC20"/>
    <w:rsid w:val="589D5A8C"/>
    <w:rsid w:val="589FD534"/>
    <w:rsid w:val="58A7A4F7"/>
    <w:rsid w:val="58B16939"/>
    <w:rsid w:val="58B64B74"/>
    <w:rsid w:val="58B795A0"/>
    <w:rsid w:val="58BB03C7"/>
    <w:rsid w:val="58BDD7FC"/>
    <w:rsid w:val="58BF2346"/>
    <w:rsid w:val="58C611DC"/>
    <w:rsid w:val="58C6E69F"/>
    <w:rsid w:val="58C74EF7"/>
    <w:rsid w:val="58C87CE6"/>
    <w:rsid w:val="58C94D4B"/>
    <w:rsid w:val="58C997D9"/>
    <w:rsid w:val="58CDA5C7"/>
    <w:rsid w:val="58DFEC33"/>
    <w:rsid w:val="58E0741F"/>
    <w:rsid w:val="58E1635E"/>
    <w:rsid w:val="58E38C5A"/>
    <w:rsid w:val="58E4F1DE"/>
    <w:rsid w:val="58ED46A3"/>
    <w:rsid w:val="58F35296"/>
    <w:rsid w:val="58F66AB6"/>
    <w:rsid w:val="58FBFAF7"/>
    <w:rsid w:val="590023C1"/>
    <w:rsid w:val="5902C3FD"/>
    <w:rsid w:val="59078C50"/>
    <w:rsid w:val="59093A39"/>
    <w:rsid w:val="5909DB34"/>
    <w:rsid w:val="591386C7"/>
    <w:rsid w:val="59141149"/>
    <w:rsid w:val="59153480"/>
    <w:rsid w:val="5919DF74"/>
    <w:rsid w:val="591C6376"/>
    <w:rsid w:val="591CA7C3"/>
    <w:rsid w:val="591D1264"/>
    <w:rsid w:val="591D305E"/>
    <w:rsid w:val="5922DBE6"/>
    <w:rsid w:val="5925F225"/>
    <w:rsid w:val="5926AF91"/>
    <w:rsid w:val="5927CB98"/>
    <w:rsid w:val="5928F7EF"/>
    <w:rsid w:val="5929DAF5"/>
    <w:rsid w:val="59312E07"/>
    <w:rsid w:val="5932A58C"/>
    <w:rsid w:val="593A17D4"/>
    <w:rsid w:val="5942502C"/>
    <w:rsid w:val="5942B71B"/>
    <w:rsid w:val="594B9E90"/>
    <w:rsid w:val="594CE268"/>
    <w:rsid w:val="594D7B10"/>
    <w:rsid w:val="595026A9"/>
    <w:rsid w:val="5953EB07"/>
    <w:rsid w:val="59584D55"/>
    <w:rsid w:val="595B4F77"/>
    <w:rsid w:val="595E303B"/>
    <w:rsid w:val="5969141F"/>
    <w:rsid w:val="596DE280"/>
    <w:rsid w:val="5972838D"/>
    <w:rsid w:val="59731F1F"/>
    <w:rsid w:val="597653E2"/>
    <w:rsid w:val="5976F5F2"/>
    <w:rsid w:val="5979354D"/>
    <w:rsid w:val="59795535"/>
    <w:rsid w:val="597B85D5"/>
    <w:rsid w:val="59806630"/>
    <w:rsid w:val="5982A123"/>
    <w:rsid w:val="59832B47"/>
    <w:rsid w:val="598D68BE"/>
    <w:rsid w:val="598E041A"/>
    <w:rsid w:val="5991ACCE"/>
    <w:rsid w:val="59921DB9"/>
    <w:rsid w:val="59989498"/>
    <w:rsid w:val="59991FA4"/>
    <w:rsid w:val="59995BB9"/>
    <w:rsid w:val="599CBC86"/>
    <w:rsid w:val="599DB889"/>
    <w:rsid w:val="59A19D2F"/>
    <w:rsid w:val="59A4006A"/>
    <w:rsid w:val="59AEC7C2"/>
    <w:rsid w:val="59B02DE3"/>
    <w:rsid w:val="59B77C7B"/>
    <w:rsid w:val="59B98C63"/>
    <w:rsid w:val="59BE17F0"/>
    <w:rsid w:val="59BE2B4B"/>
    <w:rsid w:val="59C1E9CC"/>
    <w:rsid w:val="59C20E35"/>
    <w:rsid w:val="59C44F15"/>
    <w:rsid w:val="59C511F0"/>
    <w:rsid w:val="59CCA6EF"/>
    <w:rsid w:val="59CCED06"/>
    <w:rsid w:val="59D056E0"/>
    <w:rsid w:val="59D48466"/>
    <w:rsid w:val="59D5CA66"/>
    <w:rsid w:val="59D83A65"/>
    <w:rsid w:val="59DC7413"/>
    <w:rsid w:val="59E2E666"/>
    <w:rsid w:val="59E5BA00"/>
    <w:rsid w:val="59F1B13E"/>
    <w:rsid w:val="59F1B667"/>
    <w:rsid w:val="59F2A89E"/>
    <w:rsid w:val="59F2CF2C"/>
    <w:rsid w:val="59F785A6"/>
    <w:rsid w:val="5A03144E"/>
    <w:rsid w:val="5A0494E1"/>
    <w:rsid w:val="5A060904"/>
    <w:rsid w:val="5A0EE75B"/>
    <w:rsid w:val="5A10E107"/>
    <w:rsid w:val="5A162CC9"/>
    <w:rsid w:val="5A17D58B"/>
    <w:rsid w:val="5A1A6AFE"/>
    <w:rsid w:val="5A1B1803"/>
    <w:rsid w:val="5A1F459D"/>
    <w:rsid w:val="5A1F96BB"/>
    <w:rsid w:val="5A23FDEC"/>
    <w:rsid w:val="5A2468AA"/>
    <w:rsid w:val="5A297525"/>
    <w:rsid w:val="5A2A00C3"/>
    <w:rsid w:val="5A2ED6E9"/>
    <w:rsid w:val="5A329A21"/>
    <w:rsid w:val="5A37F07C"/>
    <w:rsid w:val="5A3AC1BA"/>
    <w:rsid w:val="5A3BD504"/>
    <w:rsid w:val="5A4360D0"/>
    <w:rsid w:val="5A45EA13"/>
    <w:rsid w:val="5A471A5F"/>
    <w:rsid w:val="5A47C568"/>
    <w:rsid w:val="5A48BF6C"/>
    <w:rsid w:val="5A492FA6"/>
    <w:rsid w:val="5A51A09C"/>
    <w:rsid w:val="5A51DD02"/>
    <w:rsid w:val="5A58D901"/>
    <w:rsid w:val="5A59A85D"/>
    <w:rsid w:val="5A5FA22F"/>
    <w:rsid w:val="5A626B31"/>
    <w:rsid w:val="5A64B072"/>
    <w:rsid w:val="5A66EA8F"/>
    <w:rsid w:val="5A689077"/>
    <w:rsid w:val="5A68EE60"/>
    <w:rsid w:val="5A70C910"/>
    <w:rsid w:val="5A713666"/>
    <w:rsid w:val="5A72224E"/>
    <w:rsid w:val="5A733783"/>
    <w:rsid w:val="5A7582C1"/>
    <w:rsid w:val="5A7BEEA1"/>
    <w:rsid w:val="5A7D269C"/>
    <w:rsid w:val="5A81A16B"/>
    <w:rsid w:val="5A81AAA0"/>
    <w:rsid w:val="5A838792"/>
    <w:rsid w:val="5A8444EE"/>
    <w:rsid w:val="5A862797"/>
    <w:rsid w:val="5A879EED"/>
    <w:rsid w:val="5A892EAA"/>
    <w:rsid w:val="5A8EB58B"/>
    <w:rsid w:val="5A9154F1"/>
    <w:rsid w:val="5A915B4A"/>
    <w:rsid w:val="5A957BA8"/>
    <w:rsid w:val="5A959DBD"/>
    <w:rsid w:val="5A9B58F1"/>
    <w:rsid w:val="5A9CCAA9"/>
    <w:rsid w:val="5AA3FFCF"/>
    <w:rsid w:val="5AB093A7"/>
    <w:rsid w:val="5AB1E81C"/>
    <w:rsid w:val="5AB82427"/>
    <w:rsid w:val="5ABA7526"/>
    <w:rsid w:val="5ABB62FE"/>
    <w:rsid w:val="5ABBFFB6"/>
    <w:rsid w:val="5ABCFD89"/>
    <w:rsid w:val="5ABE1AD5"/>
    <w:rsid w:val="5ABF3FDD"/>
    <w:rsid w:val="5AD302FC"/>
    <w:rsid w:val="5AD6DF3B"/>
    <w:rsid w:val="5AD84FC8"/>
    <w:rsid w:val="5AD987CE"/>
    <w:rsid w:val="5ADEE564"/>
    <w:rsid w:val="5AE1C38D"/>
    <w:rsid w:val="5AE2B408"/>
    <w:rsid w:val="5AE37188"/>
    <w:rsid w:val="5AE63282"/>
    <w:rsid w:val="5AE6848A"/>
    <w:rsid w:val="5AEC5A21"/>
    <w:rsid w:val="5AF0A546"/>
    <w:rsid w:val="5AF351F8"/>
    <w:rsid w:val="5AFB481D"/>
    <w:rsid w:val="5AFBE3E1"/>
    <w:rsid w:val="5B008628"/>
    <w:rsid w:val="5B07826A"/>
    <w:rsid w:val="5B0D24FE"/>
    <w:rsid w:val="5B0E69E9"/>
    <w:rsid w:val="5B0FE551"/>
    <w:rsid w:val="5B101176"/>
    <w:rsid w:val="5B118CCB"/>
    <w:rsid w:val="5B120B1B"/>
    <w:rsid w:val="5B131F56"/>
    <w:rsid w:val="5B135DCB"/>
    <w:rsid w:val="5B1475F2"/>
    <w:rsid w:val="5B147DCD"/>
    <w:rsid w:val="5B1568C9"/>
    <w:rsid w:val="5B2509A1"/>
    <w:rsid w:val="5B28396E"/>
    <w:rsid w:val="5B297807"/>
    <w:rsid w:val="5B2C0CB9"/>
    <w:rsid w:val="5B2D7CBD"/>
    <w:rsid w:val="5B3B9750"/>
    <w:rsid w:val="5B3DF310"/>
    <w:rsid w:val="5B4651E6"/>
    <w:rsid w:val="5B4BF398"/>
    <w:rsid w:val="5B4ECD0B"/>
    <w:rsid w:val="5B4F5F71"/>
    <w:rsid w:val="5B522007"/>
    <w:rsid w:val="5B555747"/>
    <w:rsid w:val="5B5607DC"/>
    <w:rsid w:val="5B563D06"/>
    <w:rsid w:val="5B574164"/>
    <w:rsid w:val="5B57B3FF"/>
    <w:rsid w:val="5B57CD49"/>
    <w:rsid w:val="5B591F61"/>
    <w:rsid w:val="5B5CE6AC"/>
    <w:rsid w:val="5B5F8AE9"/>
    <w:rsid w:val="5B685632"/>
    <w:rsid w:val="5B69A0C0"/>
    <w:rsid w:val="5B705E83"/>
    <w:rsid w:val="5B711478"/>
    <w:rsid w:val="5B7926DE"/>
    <w:rsid w:val="5B7974DA"/>
    <w:rsid w:val="5B7A3C84"/>
    <w:rsid w:val="5B7D25B8"/>
    <w:rsid w:val="5B80C1C6"/>
    <w:rsid w:val="5B81BE88"/>
    <w:rsid w:val="5B827F63"/>
    <w:rsid w:val="5B89695C"/>
    <w:rsid w:val="5B8A4D0B"/>
    <w:rsid w:val="5B8CB220"/>
    <w:rsid w:val="5BA0105F"/>
    <w:rsid w:val="5BA0D498"/>
    <w:rsid w:val="5BA681C3"/>
    <w:rsid w:val="5BACCF7C"/>
    <w:rsid w:val="5BAD2205"/>
    <w:rsid w:val="5BB002E0"/>
    <w:rsid w:val="5BB4110E"/>
    <w:rsid w:val="5BB572CF"/>
    <w:rsid w:val="5BB6E660"/>
    <w:rsid w:val="5BB78AC4"/>
    <w:rsid w:val="5BB92D28"/>
    <w:rsid w:val="5BB9638E"/>
    <w:rsid w:val="5BC446E8"/>
    <w:rsid w:val="5BC51552"/>
    <w:rsid w:val="5BC7D100"/>
    <w:rsid w:val="5BC9161E"/>
    <w:rsid w:val="5BCBA5D4"/>
    <w:rsid w:val="5BCBD1EC"/>
    <w:rsid w:val="5BCCC015"/>
    <w:rsid w:val="5BCF4A75"/>
    <w:rsid w:val="5BCF647A"/>
    <w:rsid w:val="5BD47B76"/>
    <w:rsid w:val="5BD54EC8"/>
    <w:rsid w:val="5BD57EB5"/>
    <w:rsid w:val="5BD7B141"/>
    <w:rsid w:val="5BD9C31A"/>
    <w:rsid w:val="5BDB26C9"/>
    <w:rsid w:val="5BE47359"/>
    <w:rsid w:val="5BEE3D97"/>
    <w:rsid w:val="5BFC06E1"/>
    <w:rsid w:val="5BFC99B8"/>
    <w:rsid w:val="5C048158"/>
    <w:rsid w:val="5C04D153"/>
    <w:rsid w:val="5C050814"/>
    <w:rsid w:val="5C066813"/>
    <w:rsid w:val="5C0C5031"/>
    <w:rsid w:val="5C0D48DA"/>
    <w:rsid w:val="5C0F5119"/>
    <w:rsid w:val="5C12298B"/>
    <w:rsid w:val="5C1CFBC7"/>
    <w:rsid w:val="5C1D9AA1"/>
    <w:rsid w:val="5C1F4735"/>
    <w:rsid w:val="5C213014"/>
    <w:rsid w:val="5C22F6F9"/>
    <w:rsid w:val="5C25594F"/>
    <w:rsid w:val="5C2E8565"/>
    <w:rsid w:val="5C30A5F9"/>
    <w:rsid w:val="5C32BB62"/>
    <w:rsid w:val="5C3306E7"/>
    <w:rsid w:val="5C349E81"/>
    <w:rsid w:val="5C36724E"/>
    <w:rsid w:val="5C3C1AD2"/>
    <w:rsid w:val="5C3F7F19"/>
    <w:rsid w:val="5C442D78"/>
    <w:rsid w:val="5C47E4B0"/>
    <w:rsid w:val="5C492282"/>
    <w:rsid w:val="5C4DC44E"/>
    <w:rsid w:val="5C4E7075"/>
    <w:rsid w:val="5C4EE672"/>
    <w:rsid w:val="5C57BDC6"/>
    <w:rsid w:val="5C5819F0"/>
    <w:rsid w:val="5C5AE346"/>
    <w:rsid w:val="5C658D58"/>
    <w:rsid w:val="5C67D0C7"/>
    <w:rsid w:val="5C6D2413"/>
    <w:rsid w:val="5C71BD92"/>
    <w:rsid w:val="5C746564"/>
    <w:rsid w:val="5C7672A3"/>
    <w:rsid w:val="5C8045E9"/>
    <w:rsid w:val="5C8090E8"/>
    <w:rsid w:val="5C8375AC"/>
    <w:rsid w:val="5C862BBE"/>
    <w:rsid w:val="5C880DC0"/>
    <w:rsid w:val="5C88A8A2"/>
    <w:rsid w:val="5C895A21"/>
    <w:rsid w:val="5C8B440A"/>
    <w:rsid w:val="5C94C92A"/>
    <w:rsid w:val="5C95B9B1"/>
    <w:rsid w:val="5C97250F"/>
    <w:rsid w:val="5C9A043C"/>
    <w:rsid w:val="5CA6745B"/>
    <w:rsid w:val="5CAB5169"/>
    <w:rsid w:val="5CACE14E"/>
    <w:rsid w:val="5CB0B709"/>
    <w:rsid w:val="5CB77B41"/>
    <w:rsid w:val="5CBB3CF8"/>
    <w:rsid w:val="5CC0AFF8"/>
    <w:rsid w:val="5CC354C7"/>
    <w:rsid w:val="5CC74BDA"/>
    <w:rsid w:val="5CCD20EA"/>
    <w:rsid w:val="5CCF815F"/>
    <w:rsid w:val="5CD48235"/>
    <w:rsid w:val="5CD57A0E"/>
    <w:rsid w:val="5CD7E4FD"/>
    <w:rsid w:val="5CD82ED3"/>
    <w:rsid w:val="5CDA0B58"/>
    <w:rsid w:val="5CDABB7B"/>
    <w:rsid w:val="5CDD54C2"/>
    <w:rsid w:val="5CE1234D"/>
    <w:rsid w:val="5CE576FD"/>
    <w:rsid w:val="5CE5DEA1"/>
    <w:rsid w:val="5CE6AF24"/>
    <w:rsid w:val="5CE9886E"/>
    <w:rsid w:val="5CEAC507"/>
    <w:rsid w:val="5CEDA0EE"/>
    <w:rsid w:val="5CF0305D"/>
    <w:rsid w:val="5CF14CEE"/>
    <w:rsid w:val="5CF156AC"/>
    <w:rsid w:val="5CF18E93"/>
    <w:rsid w:val="5D0030D6"/>
    <w:rsid w:val="5D04AC72"/>
    <w:rsid w:val="5D0E9D5F"/>
    <w:rsid w:val="5D0F09B0"/>
    <w:rsid w:val="5D0F8B23"/>
    <w:rsid w:val="5D11305D"/>
    <w:rsid w:val="5D114640"/>
    <w:rsid w:val="5D15A699"/>
    <w:rsid w:val="5D16D832"/>
    <w:rsid w:val="5D2338D3"/>
    <w:rsid w:val="5D24E154"/>
    <w:rsid w:val="5D281107"/>
    <w:rsid w:val="5D33B420"/>
    <w:rsid w:val="5D33BE3A"/>
    <w:rsid w:val="5D3455B2"/>
    <w:rsid w:val="5D38F020"/>
    <w:rsid w:val="5D3DD9E0"/>
    <w:rsid w:val="5D3FEDFB"/>
    <w:rsid w:val="5D43567B"/>
    <w:rsid w:val="5D444B5D"/>
    <w:rsid w:val="5D493BA5"/>
    <w:rsid w:val="5D4AC203"/>
    <w:rsid w:val="5D4DA2C7"/>
    <w:rsid w:val="5D4EA214"/>
    <w:rsid w:val="5D50B23B"/>
    <w:rsid w:val="5D51A34C"/>
    <w:rsid w:val="5D5DC75F"/>
    <w:rsid w:val="5D5EC2EE"/>
    <w:rsid w:val="5D64050E"/>
    <w:rsid w:val="5D643121"/>
    <w:rsid w:val="5D65CA40"/>
    <w:rsid w:val="5D673251"/>
    <w:rsid w:val="5D67812A"/>
    <w:rsid w:val="5D688582"/>
    <w:rsid w:val="5D6D4E6B"/>
    <w:rsid w:val="5D6EFE19"/>
    <w:rsid w:val="5D72AFF5"/>
    <w:rsid w:val="5D757922"/>
    <w:rsid w:val="5D757EBD"/>
    <w:rsid w:val="5D76FAF9"/>
    <w:rsid w:val="5D7A8492"/>
    <w:rsid w:val="5D7F4083"/>
    <w:rsid w:val="5D835586"/>
    <w:rsid w:val="5D83FAA7"/>
    <w:rsid w:val="5D8D5497"/>
    <w:rsid w:val="5D944662"/>
    <w:rsid w:val="5D9C15D6"/>
    <w:rsid w:val="5D9C7561"/>
    <w:rsid w:val="5D9D51C9"/>
    <w:rsid w:val="5DA1AE62"/>
    <w:rsid w:val="5DA41D12"/>
    <w:rsid w:val="5DA47721"/>
    <w:rsid w:val="5DA52A73"/>
    <w:rsid w:val="5DA5E114"/>
    <w:rsid w:val="5DA75137"/>
    <w:rsid w:val="5DA87426"/>
    <w:rsid w:val="5DB08784"/>
    <w:rsid w:val="5DB2DC43"/>
    <w:rsid w:val="5DB39D05"/>
    <w:rsid w:val="5DB5533A"/>
    <w:rsid w:val="5DB6DAE7"/>
    <w:rsid w:val="5DB86ADD"/>
    <w:rsid w:val="5DBAA204"/>
    <w:rsid w:val="5DBD48D6"/>
    <w:rsid w:val="5DC5589C"/>
    <w:rsid w:val="5DC67460"/>
    <w:rsid w:val="5DC69C38"/>
    <w:rsid w:val="5DC79056"/>
    <w:rsid w:val="5DC8910C"/>
    <w:rsid w:val="5DCD3ED1"/>
    <w:rsid w:val="5DD84835"/>
    <w:rsid w:val="5DDAD1E7"/>
    <w:rsid w:val="5DE0527C"/>
    <w:rsid w:val="5DE568F9"/>
    <w:rsid w:val="5DE60A6F"/>
    <w:rsid w:val="5DE930CA"/>
    <w:rsid w:val="5DF7DF1C"/>
    <w:rsid w:val="5DF8B4F0"/>
    <w:rsid w:val="5DFD0F44"/>
    <w:rsid w:val="5DFE185C"/>
    <w:rsid w:val="5E008CE8"/>
    <w:rsid w:val="5E016EBB"/>
    <w:rsid w:val="5E08378B"/>
    <w:rsid w:val="5E0BCFAA"/>
    <w:rsid w:val="5E0EDA0C"/>
    <w:rsid w:val="5E15AEDE"/>
    <w:rsid w:val="5E15C3F2"/>
    <w:rsid w:val="5E15DEB2"/>
    <w:rsid w:val="5E1ACE4A"/>
    <w:rsid w:val="5E1F3CF1"/>
    <w:rsid w:val="5E20DC9F"/>
    <w:rsid w:val="5E2A62A2"/>
    <w:rsid w:val="5E2A6854"/>
    <w:rsid w:val="5E2DF819"/>
    <w:rsid w:val="5E376B77"/>
    <w:rsid w:val="5E3990E5"/>
    <w:rsid w:val="5E3DE218"/>
    <w:rsid w:val="5E41162B"/>
    <w:rsid w:val="5E419963"/>
    <w:rsid w:val="5E425DAE"/>
    <w:rsid w:val="5E460F75"/>
    <w:rsid w:val="5E476300"/>
    <w:rsid w:val="5E4CE2FE"/>
    <w:rsid w:val="5E4EE96B"/>
    <w:rsid w:val="5E509932"/>
    <w:rsid w:val="5E5735D3"/>
    <w:rsid w:val="5E5A81EA"/>
    <w:rsid w:val="5E5C904D"/>
    <w:rsid w:val="5E5CDC49"/>
    <w:rsid w:val="5E5F9819"/>
    <w:rsid w:val="5E65BD76"/>
    <w:rsid w:val="5E6A282D"/>
    <w:rsid w:val="5E6B0BC3"/>
    <w:rsid w:val="5E6E5771"/>
    <w:rsid w:val="5E6E6292"/>
    <w:rsid w:val="5E6E6CD6"/>
    <w:rsid w:val="5E6F62C5"/>
    <w:rsid w:val="5E71B29E"/>
    <w:rsid w:val="5E751F40"/>
    <w:rsid w:val="5E771CED"/>
    <w:rsid w:val="5E7AF6A4"/>
    <w:rsid w:val="5E7BBDC6"/>
    <w:rsid w:val="5E7BCC54"/>
    <w:rsid w:val="5E7C5F66"/>
    <w:rsid w:val="5E81B5B1"/>
    <w:rsid w:val="5E86B44B"/>
    <w:rsid w:val="5E8EBF05"/>
    <w:rsid w:val="5E8FE2D2"/>
    <w:rsid w:val="5E96BB81"/>
    <w:rsid w:val="5E9997A9"/>
    <w:rsid w:val="5EA3985D"/>
    <w:rsid w:val="5EA44E4C"/>
    <w:rsid w:val="5EAB07C6"/>
    <w:rsid w:val="5EACEFB0"/>
    <w:rsid w:val="5EADB5D4"/>
    <w:rsid w:val="5EAFB2CF"/>
    <w:rsid w:val="5EB3792A"/>
    <w:rsid w:val="5EB7B5CC"/>
    <w:rsid w:val="5EB8396D"/>
    <w:rsid w:val="5EB8E9C0"/>
    <w:rsid w:val="5EBB310F"/>
    <w:rsid w:val="5EBD5388"/>
    <w:rsid w:val="5EBF898C"/>
    <w:rsid w:val="5EC0AC8C"/>
    <w:rsid w:val="5EC292AB"/>
    <w:rsid w:val="5EC4A114"/>
    <w:rsid w:val="5EC4F139"/>
    <w:rsid w:val="5ECBF3A7"/>
    <w:rsid w:val="5ECF43F9"/>
    <w:rsid w:val="5ED0B96E"/>
    <w:rsid w:val="5ED2D474"/>
    <w:rsid w:val="5ED34E93"/>
    <w:rsid w:val="5ED6B798"/>
    <w:rsid w:val="5ED79AF3"/>
    <w:rsid w:val="5EDA28A8"/>
    <w:rsid w:val="5EDE8FAE"/>
    <w:rsid w:val="5EDFFC4A"/>
    <w:rsid w:val="5EE4480E"/>
    <w:rsid w:val="5EE4E485"/>
    <w:rsid w:val="5EEA4B9E"/>
    <w:rsid w:val="5EEE18D3"/>
    <w:rsid w:val="5EF056AD"/>
    <w:rsid w:val="5EF64556"/>
    <w:rsid w:val="5EF98090"/>
    <w:rsid w:val="5EF9CE69"/>
    <w:rsid w:val="5EFDFF6F"/>
    <w:rsid w:val="5EFFE641"/>
    <w:rsid w:val="5F014DAB"/>
    <w:rsid w:val="5F02ED06"/>
    <w:rsid w:val="5F064C41"/>
    <w:rsid w:val="5F0A20F5"/>
    <w:rsid w:val="5F0D4EE9"/>
    <w:rsid w:val="5F0D9990"/>
    <w:rsid w:val="5F0E17BD"/>
    <w:rsid w:val="5F19CF09"/>
    <w:rsid w:val="5F1E4315"/>
    <w:rsid w:val="5F1E6636"/>
    <w:rsid w:val="5F2226F7"/>
    <w:rsid w:val="5F2449A0"/>
    <w:rsid w:val="5F25849D"/>
    <w:rsid w:val="5F25EF15"/>
    <w:rsid w:val="5F272FE7"/>
    <w:rsid w:val="5F3211A9"/>
    <w:rsid w:val="5F353829"/>
    <w:rsid w:val="5F35C40E"/>
    <w:rsid w:val="5F35D3BE"/>
    <w:rsid w:val="5F3ED293"/>
    <w:rsid w:val="5F407EB3"/>
    <w:rsid w:val="5F43299E"/>
    <w:rsid w:val="5F444D8D"/>
    <w:rsid w:val="5F455D4C"/>
    <w:rsid w:val="5F4984AB"/>
    <w:rsid w:val="5F4C8089"/>
    <w:rsid w:val="5F4E88E7"/>
    <w:rsid w:val="5F513EA2"/>
    <w:rsid w:val="5F5989B2"/>
    <w:rsid w:val="5F60063C"/>
    <w:rsid w:val="5F607679"/>
    <w:rsid w:val="5F61B49A"/>
    <w:rsid w:val="5F63D98B"/>
    <w:rsid w:val="5F6762DD"/>
    <w:rsid w:val="5F67A621"/>
    <w:rsid w:val="5F685A6B"/>
    <w:rsid w:val="5F700881"/>
    <w:rsid w:val="5F756FAE"/>
    <w:rsid w:val="5F75A6DC"/>
    <w:rsid w:val="5F7B5D0D"/>
    <w:rsid w:val="5F7D06CF"/>
    <w:rsid w:val="5F7DEA7F"/>
    <w:rsid w:val="5F83A29B"/>
    <w:rsid w:val="5F845E5C"/>
    <w:rsid w:val="5F87CD7C"/>
    <w:rsid w:val="5F8831B1"/>
    <w:rsid w:val="5F8A6131"/>
    <w:rsid w:val="5F8B505A"/>
    <w:rsid w:val="5F8D14D1"/>
    <w:rsid w:val="5F90942C"/>
    <w:rsid w:val="5F9188AF"/>
    <w:rsid w:val="5F9873D3"/>
    <w:rsid w:val="5F9B92BF"/>
    <w:rsid w:val="5F9EF713"/>
    <w:rsid w:val="5F9F496E"/>
    <w:rsid w:val="5FA4314D"/>
    <w:rsid w:val="5FA638B5"/>
    <w:rsid w:val="5FAB1217"/>
    <w:rsid w:val="5FB5DD9A"/>
    <w:rsid w:val="5FB85898"/>
    <w:rsid w:val="5FBA6425"/>
    <w:rsid w:val="5FBBF7E1"/>
    <w:rsid w:val="5FBC7033"/>
    <w:rsid w:val="5FBDB5BB"/>
    <w:rsid w:val="5FC149A0"/>
    <w:rsid w:val="5FC798A7"/>
    <w:rsid w:val="5FCC512B"/>
    <w:rsid w:val="5FCD6928"/>
    <w:rsid w:val="5FCED581"/>
    <w:rsid w:val="5FD09A1A"/>
    <w:rsid w:val="5FD350DB"/>
    <w:rsid w:val="5FD43E9E"/>
    <w:rsid w:val="5FD7E367"/>
    <w:rsid w:val="5FD88DE3"/>
    <w:rsid w:val="5FD920CC"/>
    <w:rsid w:val="5FDAB383"/>
    <w:rsid w:val="5FDC5906"/>
    <w:rsid w:val="5FDCB659"/>
    <w:rsid w:val="5FDF2001"/>
    <w:rsid w:val="5FE0C751"/>
    <w:rsid w:val="5FE3E0D6"/>
    <w:rsid w:val="5FE680BE"/>
    <w:rsid w:val="5FEA6A28"/>
    <w:rsid w:val="5FEBB34F"/>
    <w:rsid w:val="5FEC6D09"/>
    <w:rsid w:val="5FECD342"/>
    <w:rsid w:val="5FECD49C"/>
    <w:rsid w:val="5FED89EB"/>
    <w:rsid w:val="5FF15289"/>
    <w:rsid w:val="5FF6CD40"/>
    <w:rsid w:val="5FFC37AA"/>
    <w:rsid w:val="5FFCC48A"/>
    <w:rsid w:val="5FFE7E02"/>
    <w:rsid w:val="60005BF3"/>
    <w:rsid w:val="6001BF97"/>
    <w:rsid w:val="6002872A"/>
    <w:rsid w:val="6003460E"/>
    <w:rsid w:val="600480EF"/>
    <w:rsid w:val="60130217"/>
    <w:rsid w:val="6017D60F"/>
    <w:rsid w:val="601CDA56"/>
    <w:rsid w:val="6029C07D"/>
    <w:rsid w:val="602D58E7"/>
    <w:rsid w:val="60355562"/>
    <w:rsid w:val="60360B30"/>
    <w:rsid w:val="60372B55"/>
    <w:rsid w:val="60382DC2"/>
    <w:rsid w:val="603D46B6"/>
    <w:rsid w:val="60423E73"/>
    <w:rsid w:val="60447153"/>
    <w:rsid w:val="60470F19"/>
    <w:rsid w:val="604DD9F5"/>
    <w:rsid w:val="604DFCE0"/>
    <w:rsid w:val="60529986"/>
    <w:rsid w:val="60547D48"/>
    <w:rsid w:val="60557588"/>
    <w:rsid w:val="6057E05A"/>
    <w:rsid w:val="605A5458"/>
    <w:rsid w:val="605CAF0B"/>
    <w:rsid w:val="605DB747"/>
    <w:rsid w:val="606264A3"/>
    <w:rsid w:val="6064EED1"/>
    <w:rsid w:val="606A9E4B"/>
    <w:rsid w:val="606F3C90"/>
    <w:rsid w:val="60707C66"/>
    <w:rsid w:val="6071BA4E"/>
    <w:rsid w:val="607A9DBB"/>
    <w:rsid w:val="607EF9C1"/>
    <w:rsid w:val="607F66F2"/>
    <w:rsid w:val="608098F3"/>
    <w:rsid w:val="608776A1"/>
    <w:rsid w:val="608E9AE6"/>
    <w:rsid w:val="608F3AF5"/>
    <w:rsid w:val="60976BAD"/>
    <w:rsid w:val="6099F884"/>
    <w:rsid w:val="609CCC72"/>
    <w:rsid w:val="609E8A78"/>
    <w:rsid w:val="60A03423"/>
    <w:rsid w:val="60A0573D"/>
    <w:rsid w:val="60A59CBF"/>
    <w:rsid w:val="60A7D9A1"/>
    <w:rsid w:val="60AFFE7D"/>
    <w:rsid w:val="60B08BCD"/>
    <w:rsid w:val="60B092FD"/>
    <w:rsid w:val="60B25ABE"/>
    <w:rsid w:val="60B35F6F"/>
    <w:rsid w:val="60B62FEF"/>
    <w:rsid w:val="60B7750B"/>
    <w:rsid w:val="60B82964"/>
    <w:rsid w:val="60B9426D"/>
    <w:rsid w:val="60B9BEAB"/>
    <w:rsid w:val="60B9C04D"/>
    <w:rsid w:val="60BD27D2"/>
    <w:rsid w:val="60BDF758"/>
    <w:rsid w:val="60C5260F"/>
    <w:rsid w:val="60C55A00"/>
    <w:rsid w:val="60C58ACF"/>
    <w:rsid w:val="60CB6E7D"/>
    <w:rsid w:val="60CCE3F4"/>
    <w:rsid w:val="60D26950"/>
    <w:rsid w:val="60D5F2E6"/>
    <w:rsid w:val="60DA9F1A"/>
    <w:rsid w:val="60DE95AB"/>
    <w:rsid w:val="60DF5215"/>
    <w:rsid w:val="60E0B7C1"/>
    <w:rsid w:val="60E131C3"/>
    <w:rsid w:val="60E51391"/>
    <w:rsid w:val="60E60624"/>
    <w:rsid w:val="60E6A9B3"/>
    <w:rsid w:val="60ECE50D"/>
    <w:rsid w:val="60EE4E3D"/>
    <w:rsid w:val="60EE65B9"/>
    <w:rsid w:val="60FD3D71"/>
    <w:rsid w:val="61002BC0"/>
    <w:rsid w:val="610B7DDD"/>
    <w:rsid w:val="6110209F"/>
    <w:rsid w:val="6111F342"/>
    <w:rsid w:val="61167EC4"/>
    <w:rsid w:val="61172D6E"/>
    <w:rsid w:val="6123E46E"/>
    <w:rsid w:val="61251B9B"/>
    <w:rsid w:val="6126374F"/>
    <w:rsid w:val="6127C38C"/>
    <w:rsid w:val="6128F743"/>
    <w:rsid w:val="612B9BB9"/>
    <w:rsid w:val="61307788"/>
    <w:rsid w:val="6138AC15"/>
    <w:rsid w:val="6142A783"/>
    <w:rsid w:val="6144A9CE"/>
    <w:rsid w:val="6148C48A"/>
    <w:rsid w:val="614A7EA7"/>
    <w:rsid w:val="614FAB10"/>
    <w:rsid w:val="614FAEE3"/>
    <w:rsid w:val="6152E35A"/>
    <w:rsid w:val="61530228"/>
    <w:rsid w:val="61545AF4"/>
    <w:rsid w:val="615A4B6C"/>
    <w:rsid w:val="6165A210"/>
    <w:rsid w:val="61742402"/>
    <w:rsid w:val="617582F0"/>
    <w:rsid w:val="6178895F"/>
    <w:rsid w:val="6178B462"/>
    <w:rsid w:val="61839871"/>
    <w:rsid w:val="6184936E"/>
    <w:rsid w:val="61869DDC"/>
    <w:rsid w:val="618C9CCA"/>
    <w:rsid w:val="6192261E"/>
    <w:rsid w:val="6197729C"/>
    <w:rsid w:val="619CC6A6"/>
    <w:rsid w:val="61A2824A"/>
    <w:rsid w:val="61A6D0A5"/>
    <w:rsid w:val="61A75D4B"/>
    <w:rsid w:val="61A8DCBE"/>
    <w:rsid w:val="61A9342D"/>
    <w:rsid w:val="61A95116"/>
    <w:rsid w:val="61AD4E02"/>
    <w:rsid w:val="61AF88AB"/>
    <w:rsid w:val="61B30409"/>
    <w:rsid w:val="61B635D6"/>
    <w:rsid w:val="61B6DD43"/>
    <w:rsid w:val="61B78348"/>
    <w:rsid w:val="61BBB5B2"/>
    <w:rsid w:val="61BC842B"/>
    <w:rsid w:val="61BEB3A6"/>
    <w:rsid w:val="61C0E2FD"/>
    <w:rsid w:val="61C1F903"/>
    <w:rsid w:val="61CE3F00"/>
    <w:rsid w:val="61D03F7D"/>
    <w:rsid w:val="61D54BE4"/>
    <w:rsid w:val="61D8145A"/>
    <w:rsid w:val="61DADFCC"/>
    <w:rsid w:val="61DB93B0"/>
    <w:rsid w:val="61DB9E1F"/>
    <w:rsid w:val="61DC7884"/>
    <w:rsid w:val="61E054DC"/>
    <w:rsid w:val="61E0BB9E"/>
    <w:rsid w:val="61E41404"/>
    <w:rsid w:val="61E4D52E"/>
    <w:rsid w:val="61E5B038"/>
    <w:rsid w:val="61F02575"/>
    <w:rsid w:val="61F02E35"/>
    <w:rsid w:val="61F09A0F"/>
    <w:rsid w:val="61F0D21D"/>
    <w:rsid w:val="61F2612A"/>
    <w:rsid w:val="61F3A7A8"/>
    <w:rsid w:val="61F7F5F2"/>
    <w:rsid w:val="61FB9E3C"/>
    <w:rsid w:val="61FC27FE"/>
    <w:rsid w:val="61FF310E"/>
    <w:rsid w:val="6201AD17"/>
    <w:rsid w:val="62032333"/>
    <w:rsid w:val="620381E6"/>
    <w:rsid w:val="620639B9"/>
    <w:rsid w:val="620AC6C5"/>
    <w:rsid w:val="620C6A63"/>
    <w:rsid w:val="620FAF86"/>
    <w:rsid w:val="62100D2F"/>
    <w:rsid w:val="62159B13"/>
    <w:rsid w:val="621C41A6"/>
    <w:rsid w:val="621EB7DA"/>
    <w:rsid w:val="6221F1CC"/>
    <w:rsid w:val="62232A48"/>
    <w:rsid w:val="6223B31C"/>
    <w:rsid w:val="622E76DE"/>
    <w:rsid w:val="6232D607"/>
    <w:rsid w:val="6239F6C4"/>
    <w:rsid w:val="623C39F6"/>
    <w:rsid w:val="6242FE3A"/>
    <w:rsid w:val="6246F399"/>
    <w:rsid w:val="624A5BDD"/>
    <w:rsid w:val="62524B3E"/>
    <w:rsid w:val="6256BEDE"/>
    <w:rsid w:val="62589E24"/>
    <w:rsid w:val="6258A6C5"/>
    <w:rsid w:val="625C2BB8"/>
    <w:rsid w:val="625E4DDB"/>
    <w:rsid w:val="626BB6AE"/>
    <w:rsid w:val="6274AD86"/>
    <w:rsid w:val="627606AD"/>
    <w:rsid w:val="6279CAF6"/>
    <w:rsid w:val="627B2382"/>
    <w:rsid w:val="627ED16C"/>
    <w:rsid w:val="627F59FD"/>
    <w:rsid w:val="6281FB8E"/>
    <w:rsid w:val="628993A4"/>
    <w:rsid w:val="62899BD2"/>
    <w:rsid w:val="6289EBE5"/>
    <w:rsid w:val="628F6562"/>
    <w:rsid w:val="6295D55A"/>
    <w:rsid w:val="629605B9"/>
    <w:rsid w:val="62978C5A"/>
    <w:rsid w:val="6299CFF2"/>
    <w:rsid w:val="629ACF66"/>
    <w:rsid w:val="629B4A28"/>
    <w:rsid w:val="629DF55C"/>
    <w:rsid w:val="629F5405"/>
    <w:rsid w:val="629FA3BF"/>
    <w:rsid w:val="62A2D0E5"/>
    <w:rsid w:val="62A97E60"/>
    <w:rsid w:val="62B002F7"/>
    <w:rsid w:val="62B3A1C5"/>
    <w:rsid w:val="62B90369"/>
    <w:rsid w:val="62BD28BC"/>
    <w:rsid w:val="62CA3B97"/>
    <w:rsid w:val="62CB3F80"/>
    <w:rsid w:val="62D2ECFC"/>
    <w:rsid w:val="62D4558B"/>
    <w:rsid w:val="62D4E51F"/>
    <w:rsid w:val="62DC0DE6"/>
    <w:rsid w:val="62DDE97E"/>
    <w:rsid w:val="62EB5EC4"/>
    <w:rsid w:val="62EF9C9F"/>
    <w:rsid w:val="62F52BFF"/>
    <w:rsid w:val="62F5E2EB"/>
    <w:rsid w:val="62F64BA6"/>
    <w:rsid w:val="62F949E0"/>
    <w:rsid w:val="6302FF13"/>
    <w:rsid w:val="630B2F06"/>
    <w:rsid w:val="630D7337"/>
    <w:rsid w:val="63152E5A"/>
    <w:rsid w:val="631CDBFB"/>
    <w:rsid w:val="631D230C"/>
    <w:rsid w:val="6323A8B2"/>
    <w:rsid w:val="6326296A"/>
    <w:rsid w:val="632B7EC8"/>
    <w:rsid w:val="63328116"/>
    <w:rsid w:val="633434D9"/>
    <w:rsid w:val="6335AC0D"/>
    <w:rsid w:val="6336AEA9"/>
    <w:rsid w:val="6338B6B0"/>
    <w:rsid w:val="63399CDD"/>
    <w:rsid w:val="633E04F5"/>
    <w:rsid w:val="6344116D"/>
    <w:rsid w:val="63456D69"/>
    <w:rsid w:val="634759DC"/>
    <w:rsid w:val="635249D1"/>
    <w:rsid w:val="63550E76"/>
    <w:rsid w:val="6357C686"/>
    <w:rsid w:val="6358A968"/>
    <w:rsid w:val="635910A1"/>
    <w:rsid w:val="635C80B0"/>
    <w:rsid w:val="635D1001"/>
    <w:rsid w:val="6362A907"/>
    <w:rsid w:val="636A01B8"/>
    <w:rsid w:val="636D7008"/>
    <w:rsid w:val="636E22E1"/>
    <w:rsid w:val="636F2671"/>
    <w:rsid w:val="637034D6"/>
    <w:rsid w:val="637C4C7B"/>
    <w:rsid w:val="6383FCE8"/>
    <w:rsid w:val="638670E4"/>
    <w:rsid w:val="6387AA50"/>
    <w:rsid w:val="638B0519"/>
    <w:rsid w:val="63921CF4"/>
    <w:rsid w:val="63923B68"/>
    <w:rsid w:val="639352F2"/>
    <w:rsid w:val="6393DC7E"/>
    <w:rsid w:val="6394A308"/>
    <w:rsid w:val="639F0CB0"/>
    <w:rsid w:val="63A22799"/>
    <w:rsid w:val="63A3962A"/>
    <w:rsid w:val="63A3A58B"/>
    <w:rsid w:val="63A64E6C"/>
    <w:rsid w:val="63A883C0"/>
    <w:rsid w:val="63ABEF7E"/>
    <w:rsid w:val="63ADB7C5"/>
    <w:rsid w:val="63B9ED5C"/>
    <w:rsid w:val="63BDAA36"/>
    <w:rsid w:val="63C4A9F7"/>
    <w:rsid w:val="63C7D14A"/>
    <w:rsid w:val="63CC6A86"/>
    <w:rsid w:val="63CCE403"/>
    <w:rsid w:val="63CDC012"/>
    <w:rsid w:val="63CE5AF4"/>
    <w:rsid w:val="63D03011"/>
    <w:rsid w:val="63D59F6E"/>
    <w:rsid w:val="63DEF0BE"/>
    <w:rsid w:val="63E4E081"/>
    <w:rsid w:val="63E4E594"/>
    <w:rsid w:val="63E6C0A2"/>
    <w:rsid w:val="63ED11FC"/>
    <w:rsid w:val="63F35640"/>
    <w:rsid w:val="63F3FFEE"/>
    <w:rsid w:val="63F591CC"/>
    <w:rsid w:val="63FBF502"/>
    <w:rsid w:val="63FC953E"/>
    <w:rsid w:val="63FD1BE4"/>
    <w:rsid w:val="63FFD9D3"/>
    <w:rsid w:val="6400478B"/>
    <w:rsid w:val="6401B94A"/>
    <w:rsid w:val="6404A897"/>
    <w:rsid w:val="64055AE6"/>
    <w:rsid w:val="6406FA56"/>
    <w:rsid w:val="640BF9D6"/>
    <w:rsid w:val="640C728A"/>
    <w:rsid w:val="64102059"/>
    <w:rsid w:val="641036CC"/>
    <w:rsid w:val="641CE4C6"/>
    <w:rsid w:val="642619B0"/>
    <w:rsid w:val="6426825D"/>
    <w:rsid w:val="64291F46"/>
    <w:rsid w:val="64299EE5"/>
    <w:rsid w:val="6429EBA2"/>
    <w:rsid w:val="642A0335"/>
    <w:rsid w:val="64325307"/>
    <w:rsid w:val="6439FC37"/>
    <w:rsid w:val="64408356"/>
    <w:rsid w:val="64460BB8"/>
    <w:rsid w:val="6448CE40"/>
    <w:rsid w:val="644EFA94"/>
    <w:rsid w:val="644F4D3B"/>
    <w:rsid w:val="64559A6F"/>
    <w:rsid w:val="6458D636"/>
    <w:rsid w:val="645EB6E5"/>
    <w:rsid w:val="64626B19"/>
    <w:rsid w:val="6469AD38"/>
    <w:rsid w:val="646FBF26"/>
    <w:rsid w:val="6478F6F8"/>
    <w:rsid w:val="64798287"/>
    <w:rsid w:val="647A77CD"/>
    <w:rsid w:val="647B7DE7"/>
    <w:rsid w:val="6481712C"/>
    <w:rsid w:val="64836BDC"/>
    <w:rsid w:val="64837121"/>
    <w:rsid w:val="6484D796"/>
    <w:rsid w:val="6488158E"/>
    <w:rsid w:val="648DB42C"/>
    <w:rsid w:val="6496965B"/>
    <w:rsid w:val="6497182A"/>
    <w:rsid w:val="649CAB03"/>
    <w:rsid w:val="649D31B7"/>
    <w:rsid w:val="64A07498"/>
    <w:rsid w:val="64A21CAA"/>
    <w:rsid w:val="64A25A39"/>
    <w:rsid w:val="64A2F272"/>
    <w:rsid w:val="64A5242E"/>
    <w:rsid w:val="64AF0BEC"/>
    <w:rsid w:val="64B1B6F6"/>
    <w:rsid w:val="64B3419B"/>
    <w:rsid w:val="64B44648"/>
    <w:rsid w:val="64B51512"/>
    <w:rsid w:val="64C49A3C"/>
    <w:rsid w:val="64C4D7EC"/>
    <w:rsid w:val="64C5BC81"/>
    <w:rsid w:val="64C9645F"/>
    <w:rsid w:val="64CEDB62"/>
    <w:rsid w:val="64D0F963"/>
    <w:rsid w:val="64D4E3D3"/>
    <w:rsid w:val="64D9D275"/>
    <w:rsid w:val="64DAA46B"/>
    <w:rsid w:val="64DD3954"/>
    <w:rsid w:val="64E03E99"/>
    <w:rsid w:val="64E22522"/>
    <w:rsid w:val="64E2BA88"/>
    <w:rsid w:val="64E49FDA"/>
    <w:rsid w:val="64E914DA"/>
    <w:rsid w:val="64E9283C"/>
    <w:rsid w:val="64EABF80"/>
    <w:rsid w:val="64F524C5"/>
    <w:rsid w:val="64F65A94"/>
    <w:rsid w:val="64F941B8"/>
    <w:rsid w:val="64F9A569"/>
    <w:rsid w:val="650A4876"/>
    <w:rsid w:val="650AD2DF"/>
    <w:rsid w:val="650C55BC"/>
    <w:rsid w:val="650CF8AA"/>
    <w:rsid w:val="651486F3"/>
    <w:rsid w:val="651CD66D"/>
    <w:rsid w:val="651DCA48"/>
    <w:rsid w:val="651E451B"/>
    <w:rsid w:val="651F311C"/>
    <w:rsid w:val="6525316C"/>
    <w:rsid w:val="652645A4"/>
    <w:rsid w:val="652C3872"/>
    <w:rsid w:val="65315B6B"/>
    <w:rsid w:val="65373543"/>
    <w:rsid w:val="6537C87C"/>
    <w:rsid w:val="654380CF"/>
    <w:rsid w:val="6547AB93"/>
    <w:rsid w:val="6547C2EB"/>
    <w:rsid w:val="654D92E4"/>
    <w:rsid w:val="654FA275"/>
    <w:rsid w:val="65586C94"/>
    <w:rsid w:val="6558AF84"/>
    <w:rsid w:val="655FD5CC"/>
    <w:rsid w:val="65603A72"/>
    <w:rsid w:val="65613853"/>
    <w:rsid w:val="6563A55C"/>
    <w:rsid w:val="6565D537"/>
    <w:rsid w:val="6565F6C5"/>
    <w:rsid w:val="65668FCA"/>
    <w:rsid w:val="656AC2E7"/>
    <w:rsid w:val="656B96F6"/>
    <w:rsid w:val="657105D9"/>
    <w:rsid w:val="657148DE"/>
    <w:rsid w:val="65719587"/>
    <w:rsid w:val="65730FCC"/>
    <w:rsid w:val="65749FBD"/>
    <w:rsid w:val="65761E87"/>
    <w:rsid w:val="657B84ED"/>
    <w:rsid w:val="657C430A"/>
    <w:rsid w:val="65861FD6"/>
    <w:rsid w:val="658A8248"/>
    <w:rsid w:val="6592D9A2"/>
    <w:rsid w:val="6593A26A"/>
    <w:rsid w:val="65970B25"/>
    <w:rsid w:val="659942AA"/>
    <w:rsid w:val="659A2CE4"/>
    <w:rsid w:val="659B6143"/>
    <w:rsid w:val="659C2148"/>
    <w:rsid w:val="659DEC99"/>
    <w:rsid w:val="65A14B09"/>
    <w:rsid w:val="65A20761"/>
    <w:rsid w:val="65A4E3F0"/>
    <w:rsid w:val="65A6CC84"/>
    <w:rsid w:val="65A7AC26"/>
    <w:rsid w:val="65B0D432"/>
    <w:rsid w:val="65B2139C"/>
    <w:rsid w:val="65B43838"/>
    <w:rsid w:val="65B48236"/>
    <w:rsid w:val="65BE177B"/>
    <w:rsid w:val="65BE80CB"/>
    <w:rsid w:val="65C82996"/>
    <w:rsid w:val="65C8D409"/>
    <w:rsid w:val="65CCE7C5"/>
    <w:rsid w:val="65CFE6A9"/>
    <w:rsid w:val="65D189A9"/>
    <w:rsid w:val="65D1F53F"/>
    <w:rsid w:val="65D29722"/>
    <w:rsid w:val="65D3EA3F"/>
    <w:rsid w:val="65D661D6"/>
    <w:rsid w:val="65D806BB"/>
    <w:rsid w:val="65DB0D7C"/>
    <w:rsid w:val="65DE5788"/>
    <w:rsid w:val="65E2628F"/>
    <w:rsid w:val="65E53E7F"/>
    <w:rsid w:val="65E8C3D7"/>
    <w:rsid w:val="65E9FD34"/>
    <w:rsid w:val="65EE6E60"/>
    <w:rsid w:val="65EEAA34"/>
    <w:rsid w:val="65EF1495"/>
    <w:rsid w:val="65F24F4F"/>
    <w:rsid w:val="65F44593"/>
    <w:rsid w:val="65F89CF4"/>
    <w:rsid w:val="66025E47"/>
    <w:rsid w:val="6602D078"/>
    <w:rsid w:val="660A0327"/>
    <w:rsid w:val="660C6C54"/>
    <w:rsid w:val="660CAA9C"/>
    <w:rsid w:val="660D6B5D"/>
    <w:rsid w:val="660E025C"/>
    <w:rsid w:val="660F268E"/>
    <w:rsid w:val="661527F7"/>
    <w:rsid w:val="66154539"/>
    <w:rsid w:val="66214003"/>
    <w:rsid w:val="66223591"/>
    <w:rsid w:val="662704DE"/>
    <w:rsid w:val="6627D80E"/>
    <w:rsid w:val="662E7707"/>
    <w:rsid w:val="66310615"/>
    <w:rsid w:val="663B5E3C"/>
    <w:rsid w:val="664230E2"/>
    <w:rsid w:val="664274CA"/>
    <w:rsid w:val="664384DC"/>
    <w:rsid w:val="664608FF"/>
    <w:rsid w:val="66465E7B"/>
    <w:rsid w:val="664746D6"/>
    <w:rsid w:val="664762B3"/>
    <w:rsid w:val="664CA70F"/>
    <w:rsid w:val="664D8757"/>
    <w:rsid w:val="664D9C76"/>
    <w:rsid w:val="665A35A1"/>
    <w:rsid w:val="666391A9"/>
    <w:rsid w:val="666B36FF"/>
    <w:rsid w:val="666EB3C2"/>
    <w:rsid w:val="66717B95"/>
    <w:rsid w:val="66740E8E"/>
    <w:rsid w:val="6674830E"/>
    <w:rsid w:val="6674ECB6"/>
    <w:rsid w:val="667C25A0"/>
    <w:rsid w:val="667E9F0D"/>
    <w:rsid w:val="6681E964"/>
    <w:rsid w:val="66828459"/>
    <w:rsid w:val="6687B970"/>
    <w:rsid w:val="668EC731"/>
    <w:rsid w:val="668F6B84"/>
    <w:rsid w:val="6690A451"/>
    <w:rsid w:val="66937CA3"/>
    <w:rsid w:val="669A4287"/>
    <w:rsid w:val="669D11A8"/>
    <w:rsid w:val="66A50ED3"/>
    <w:rsid w:val="66A5962D"/>
    <w:rsid w:val="66ABDC96"/>
    <w:rsid w:val="66ACAD5A"/>
    <w:rsid w:val="66B38C01"/>
    <w:rsid w:val="66B3F9F0"/>
    <w:rsid w:val="66B5C50B"/>
    <w:rsid w:val="66BA6D40"/>
    <w:rsid w:val="66BF9C5E"/>
    <w:rsid w:val="66C307AB"/>
    <w:rsid w:val="66C90671"/>
    <w:rsid w:val="66CD75AC"/>
    <w:rsid w:val="66D0CF12"/>
    <w:rsid w:val="66D2FAEA"/>
    <w:rsid w:val="66D85E58"/>
    <w:rsid w:val="66DDC5AC"/>
    <w:rsid w:val="66DEE08F"/>
    <w:rsid w:val="66E19BD0"/>
    <w:rsid w:val="66E2B2A6"/>
    <w:rsid w:val="66EB2DA3"/>
    <w:rsid w:val="66EBD821"/>
    <w:rsid w:val="66ECCF3C"/>
    <w:rsid w:val="66EE3220"/>
    <w:rsid w:val="66F0C406"/>
    <w:rsid w:val="66F11AAC"/>
    <w:rsid w:val="66F2D713"/>
    <w:rsid w:val="66F32D48"/>
    <w:rsid w:val="66F38DA9"/>
    <w:rsid w:val="66F5D95F"/>
    <w:rsid w:val="66FA8982"/>
    <w:rsid w:val="66FEDEF4"/>
    <w:rsid w:val="6700B82E"/>
    <w:rsid w:val="6706391F"/>
    <w:rsid w:val="6706AF1C"/>
    <w:rsid w:val="670940FB"/>
    <w:rsid w:val="670A8BD3"/>
    <w:rsid w:val="670BC8C5"/>
    <w:rsid w:val="670FBF06"/>
    <w:rsid w:val="671298B1"/>
    <w:rsid w:val="67135FB3"/>
    <w:rsid w:val="6713C63D"/>
    <w:rsid w:val="671A6436"/>
    <w:rsid w:val="671F9A80"/>
    <w:rsid w:val="6727D671"/>
    <w:rsid w:val="67292D2C"/>
    <w:rsid w:val="672D532C"/>
    <w:rsid w:val="672FFB63"/>
    <w:rsid w:val="67310913"/>
    <w:rsid w:val="67319777"/>
    <w:rsid w:val="673276FE"/>
    <w:rsid w:val="673587BB"/>
    <w:rsid w:val="673872B3"/>
    <w:rsid w:val="673E4B52"/>
    <w:rsid w:val="673EE74B"/>
    <w:rsid w:val="673FBFCF"/>
    <w:rsid w:val="674176F7"/>
    <w:rsid w:val="6742B21E"/>
    <w:rsid w:val="674782BE"/>
    <w:rsid w:val="6748F54F"/>
    <w:rsid w:val="674C3134"/>
    <w:rsid w:val="674EBFFB"/>
    <w:rsid w:val="6750BDEF"/>
    <w:rsid w:val="6751DFA7"/>
    <w:rsid w:val="6755CF5A"/>
    <w:rsid w:val="6756D722"/>
    <w:rsid w:val="675C7160"/>
    <w:rsid w:val="67606B11"/>
    <w:rsid w:val="6761BB27"/>
    <w:rsid w:val="6761FAD3"/>
    <w:rsid w:val="6767CDCC"/>
    <w:rsid w:val="676F98FE"/>
    <w:rsid w:val="677F453A"/>
    <w:rsid w:val="677F891E"/>
    <w:rsid w:val="67823360"/>
    <w:rsid w:val="67837DA6"/>
    <w:rsid w:val="6783B302"/>
    <w:rsid w:val="6783C6F7"/>
    <w:rsid w:val="6784BEB5"/>
    <w:rsid w:val="6784BEF8"/>
    <w:rsid w:val="67866725"/>
    <w:rsid w:val="67870A97"/>
    <w:rsid w:val="678A5F3B"/>
    <w:rsid w:val="678CBD4E"/>
    <w:rsid w:val="678E5B6C"/>
    <w:rsid w:val="67935A42"/>
    <w:rsid w:val="67945C75"/>
    <w:rsid w:val="6795630F"/>
    <w:rsid w:val="679C8594"/>
    <w:rsid w:val="679F087B"/>
    <w:rsid w:val="67A00013"/>
    <w:rsid w:val="67A6988B"/>
    <w:rsid w:val="67AB93A4"/>
    <w:rsid w:val="67AD6074"/>
    <w:rsid w:val="67AF2C0C"/>
    <w:rsid w:val="67B0B9B9"/>
    <w:rsid w:val="67BE3EC0"/>
    <w:rsid w:val="67C35ECB"/>
    <w:rsid w:val="67C3C8B7"/>
    <w:rsid w:val="67C51DBD"/>
    <w:rsid w:val="67C5F01B"/>
    <w:rsid w:val="67CE230E"/>
    <w:rsid w:val="67CEB0E3"/>
    <w:rsid w:val="67D0D88F"/>
    <w:rsid w:val="67D0EF0C"/>
    <w:rsid w:val="67D29158"/>
    <w:rsid w:val="67D6A5B7"/>
    <w:rsid w:val="67D85793"/>
    <w:rsid w:val="67D8F83D"/>
    <w:rsid w:val="67DC444B"/>
    <w:rsid w:val="67DF31F6"/>
    <w:rsid w:val="67E567D5"/>
    <w:rsid w:val="67E7BF7D"/>
    <w:rsid w:val="67EDA11C"/>
    <w:rsid w:val="67EDEF5C"/>
    <w:rsid w:val="67F0B56C"/>
    <w:rsid w:val="67F0E5FC"/>
    <w:rsid w:val="67F17A18"/>
    <w:rsid w:val="67F55903"/>
    <w:rsid w:val="67F62039"/>
    <w:rsid w:val="67F89D69"/>
    <w:rsid w:val="67F8FD7E"/>
    <w:rsid w:val="67FA29CB"/>
    <w:rsid w:val="68006834"/>
    <w:rsid w:val="68024EC3"/>
    <w:rsid w:val="6802F201"/>
    <w:rsid w:val="68065307"/>
    <w:rsid w:val="680E5114"/>
    <w:rsid w:val="680E5CA6"/>
    <w:rsid w:val="68178847"/>
    <w:rsid w:val="68188768"/>
    <w:rsid w:val="681CBDB4"/>
    <w:rsid w:val="681FBAA6"/>
    <w:rsid w:val="6820C368"/>
    <w:rsid w:val="682137E5"/>
    <w:rsid w:val="68213C8C"/>
    <w:rsid w:val="682AD10F"/>
    <w:rsid w:val="682D570B"/>
    <w:rsid w:val="6837BF08"/>
    <w:rsid w:val="684061AE"/>
    <w:rsid w:val="6843D815"/>
    <w:rsid w:val="684A6B9B"/>
    <w:rsid w:val="684DC0EA"/>
    <w:rsid w:val="6850DEFF"/>
    <w:rsid w:val="68520914"/>
    <w:rsid w:val="6853C8F7"/>
    <w:rsid w:val="6859E6E6"/>
    <w:rsid w:val="685A683A"/>
    <w:rsid w:val="685DB9BF"/>
    <w:rsid w:val="686339AF"/>
    <w:rsid w:val="68654343"/>
    <w:rsid w:val="686EED18"/>
    <w:rsid w:val="68736DC7"/>
    <w:rsid w:val="6873E6E7"/>
    <w:rsid w:val="688251F4"/>
    <w:rsid w:val="6882EA11"/>
    <w:rsid w:val="68847109"/>
    <w:rsid w:val="688BF39C"/>
    <w:rsid w:val="688E049B"/>
    <w:rsid w:val="68909FE5"/>
    <w:rsid w:val="6896BDDE"/>
    <w:rsid w:val="68A10456"/>
    <w:rsid w:val="68A81409"/>
    <w:rsid w:val="68A82FA3"/>
    <w:rsid w:val="68A8B608"/>
    <w:rsid w:val="68A9EB3E"/>
    <w:rsid w:val="68B1B0F4"/>
    <w:rsid w:val="68B1D806"/>
    <w:rsid w:val="68B39042"/>
    <w:rsid w:val="68B4F00D"/>
    <w:rsid w:val="68B6385B"/>
    <w:rsid w:val="68B84D57"/>
    <w:rsid w:val="68B9105A"/>
    <w:rsid w:val="68B9282F"/>
    <w:rsid w:val="68B999D0"/>
    <w:rsid w:val="68BD3D49"/>
    <w:rsid w:val="68BE3F76"/>
    <w:rsid w:val="68BEBCD6"/>
    <w:rsid w:val="68C415F7"/>
    <w:rsid w:val="68C51DD4"/>
    <w:rsid w:val="68C7718C"/>
    <w:rsid w:val="68C8F8FB"/>
    <w:rsid w:val="68CA3791"/>
    <w:rsid w:val="68CCD780"/>
    <w:rsid w:val="68CFEAB4"/>
    <w:rsid w:val="68D578EE"/>
    <w:rsid w:val="68D5DB6D"/>
    <w:rsid w:val="68D60E93"/>
    <w:rsid w:val="68D9720B"/>
    <w:rsid w:val="68DB7612"/>
    <w:rsid w:val="68E13C33"/>
    <w:rsid w:val="68E14964"/>
    <w:rsid w:val="68E1692F"/>
    <w:rsid w:val="68E2BF70"/>
    <w:rsid w:val="68E32675"/>
    <w:rsid w:val="68E3D941"/>
    <w:rsid w:val="68ED3BB1"/>
    <w:rsid w:val="68EFC492"/>
    <w:rsid w:val="68EFCF1F"/>
    <w:rsid w:val="68F1D28C"/>
    <w:rsid w:val="68F69608"/>
    <w:rsid w:val="68F8661A"/>
    <w:rsid w:val="69010A36"/>
    <w:rsid w:val="69029975"/>
    <w:rsid w:val="69066844"/>
    <w:rsid w:val="690E7066"/>
    <w:rsid w:val="6912E416"/>
    <w:rsid w:val="6913DE4E"/>
    <w:rsid w:val="6913E854"/>
    <w:rsid w:val="691477B7"/>
    <w:rsid w:val="69174CFB"/>
    <w:rsid w:val="6919632A"/>
    <w:rsid w:val="691F4F13"/>
    <w:rsid w:val="692206AD"/>
    <w:rsid w:val="69220B19"/>
    <w:rsid w:val="6927F5FD"/>
    <w:rsid w:val="693102BA"/>
    <w:rsid w:val="6934BF88"/>
    <w:rsid w:val="6937DECB"/>
    <w:rsid w:val="693B7248"/>
    <w:rsid w:val="69430602"/>
    <w:rsid w:val="69443144"/>
    <w:rsid w:val="69499D98"/>
    <w:rsid w:val="694FAE86"/>
    <w:rsid w:val="69532AE2"/>
    <w:rsid w:val="6959FD85"/>
    <w:rsid w:val="695B59EE"/>
    <w:rsid w:val="6967F147"/>
    <w:rsid w:val="696B2317"/>
    <w:rsid w:val="69742430"/>
    <w:rsid w:val="6974BE92"/>
    <w:rsid w:val="69767406"/>
    <w:rsid w:val="697895D3"/>
    <w:rsid w:val="6978E28D"/>
    <w:rsid w:val="697D9C13"/>
    <w:rsid w:val="697EE07B"/>
    <w:rsid w:val="6980BE48"/>
    <w:rsid w:val="6985C082"/>
    <w:rsid w:val="6987CA20"/>
    <w:rsid w:val="698C1008"/>
    <w:rsid w:val="6990F66B"/>
    <w:rsid w:val="6992240D"/>
    <w:rsid w:val="6993670C"/>
    <w:rsid w:val="6997A3EE"/>
    <w:rsid w:val="699DD720"/>
    <w:rsid w:val="699E2CBF"/>
    <w:rsid w:val="699EC147"/>
    <w:rsid w:val="69A20F1C"/>
    <w:rsid w:val="69A30B65"/>
    <w:rsid w:val="69A64DD2"/>
    <w:rsid w:val="69AA3D2D"/>
    <w:rsid w:val="69AB374A"/>
    <w:rsid w:val="69AB5744"/>
    <w:rsid w:val="69ABA42B"/>
    <w:rsid w:val="69AF75E9"/>
    <w:rsid w:val="69B36B3D"/>
    <w:rsid w:val="69B51C74"/>
    <w:rsid w:val="69C81095"/>
    <w:rsid w:val="69D1E9AD"/>
    <w:rsid w:val="69D2B82A"/>
    <w:rsid w:val="69D4748D"/>
    <w:rsid w:val="69D8C128"/>
    <w:rsid w:val="69DB5A2F"/>
    <w:rsid w:val="69DFA132"/>
    <w:rsid w:val="69E1EB96"/>
    <w:rsid w:val="69E25C59"/>
    <w:rsid w:val="69E4D184"/>
    <w:rsid w:val="69E5A867"/>
    <w:rsid w:val="69EA28C3"/>
    <w:rsid w:val="69EAF15E"/>
    <w:rsid w:val="69EF451E"/>
    <w:rsid w:val="69F1E1CA"/>
    <w:rsid w:val="69FDA1CB"/>
    <w:rsid w:val="69FDFE41"/>
    <w:rsid w:val="69FE3572"/>
    <w:rsid w:val="69FE5D18"/>
    <w:rsid w:val="69FEB21C"/>
    <w:rsid w:val="6A00650F"/>
    <w:rsid w:val="6A024005"/>
    <w:rsid w:val="6A0A9BAC"/>
    <w:rsid w:val="6A139120"/>
    <w:rsid w:val="6A1697BD"/>
    <w:rsid w:val="6A1E2255"/>
    <w:rsid w:val="6A1F7EFE"/>
    <w:rsid w:val="6A22EA2F"/>
    <w:rsid w:val="6A2A31B1"/>
    <w:rsid w:val="6A2B701A"/>
    <w:rsid w:val="6A2E883A"/>
    <w:rsid w:val="6A2E932B"/>
    <w:rsid w:val="6A2FE7E1"/>
    <w:rsid w:val="6A32273A"/>
    <w:rsid w:val="6A38D156"/>
    <w:rsid w:val="6A3C2EFD"/>
    <w:rsid w:val="6A43C7B3"/>
    <w:rsid w:val="6A51B41E"/>
    <w:rsid w:val="6A5FDB22"/>
    <w:rsid w:val="6A61B6D0"/>
    <w:rsid w:val="6A6CD61C"/>
    <w:rsid w:val="6A6EB39A"/>
    <w:rsid w:val="6A6F9206"/>
    <w:rsid w:val="6A6FF2B2"/>
    <w:rsid w:val="6A7BF911"/>
    <w:rsid w:val="6A7D1B45"/>
    <w:rsid w:val="6A95C153"/>
    <w:rsid w:val="6A97A72C"/>
    <w:rsid w:val="6A9B028E"/>
    <w:rsid w:val="6AA3BF9A"/>
    <w:rsid w:val="6AA459A0"/>
    <w:rsid w:val="6AA482F1"/>
    <w:rsid w:val="6AA56662"/>
    <w:rsid w:val="6AAA57CA"/>
    <w:rsid w:val="6AAB33BE"/>
    <w:rsid w:val="6ABAC6F7"/>
    <w:rsid w:val="6ABC1B93"/>
    <w:rsid w:val="6ABE3A03"/>
    <w:rsid w:val="6ACBCA0A"/>
    <w:rsid w:val="6ACC5A4B"/>
    <w:rsid w:val="6AD279E2"/>
    <w:rsid w:val="6AD971D5"/>
    <w:rsid w:val="6ADBC005"/>
    <w:rsid w:val="6ADBD1C6"/>
    <w:rsid w:val="6AE11136"/>
    <w:rsid w:val="6AE36FC9"/>
    <w:rsid w:val="6AE4066D"/>
    <w:rsid w:val="6AE83100"/>
    <w:rsid w:val="6AEF58A6"/>
    <w:rsid w:val="6AF0C019"/>
    <w:rsid w:val="6AF571E7"/>
    <w:rsid w:val="6AFDBBC5"/>
    <w:rsid w:val="6B037AEE"/>
    <w:rsid w:val="6B051727"/>
    <w:rsid w:val="6B054961"/>
    <w:rsid w:val="6B05E8DF"/>
    <w:rsid w:val="6B064617"/>
    <w:rsid w:val="6B084930"/>
    <w:rsid w:val="6B084EAB"/>
    <w:rsid w:val="6B0A6583"/>
    <w:rsid w:val="6B0C0984"/>
    <w:rsid w:val="6B0D5897"/>
    <w:rsid w:val="6B0DEE6A"/>
    <w:rsid w:val="6B1019CD"/>
    <w:rsid w:val="6B104C85"/>
    <w:rsid w:val="6B1DF7E1"/>
    <w:rsid w:val="6B200DDC"/>
    <w:rsid w:val="6B223314"/>
    <w:rsid w:val="6B2BF399"/>
    <w:rsid w:val="6B2DDAC4"/>
    <w:rsid w:val="6B394BF6"/>
    <w:rsid w:val="6B39689C"/>
    <w:rsid w:val="6B40F113"/>
    <w:rsid w:val="6B41DCAC"/>
    <w:rsid w:val="6B46F4D4"/>
    <w:rsid w:val="6B4D1051"/>
    <w:rsid w:val="6B567AFA"/>
    <w:rsid w:val="6B591965"/>
    <w:rsid w:val="6B5DDA47"/>
    <w:rsid w:val="6B60AB47"/>
    <w:rsid w:val="6B6421FF"/>
    <w:rsid w:val="6B6A099D"/>
    <w:rsid w:val="6B6B118D"/>
    <w:rsid w:val="6B6CBF12"/>
    <w:rsid w:val="6B6DB3AA"/>
    <w:rsid w:val="6B768830"/>
    <w:rsid w:val="6B79D8CC"/>
    <w:rsid w:val="6B7B5920"/>
    <w:rsid w:val="6B7E4A4F"/>
    <w:rsid w:val="6B88D6D0"/>
    <w:rsid w:val="6B896E48"/>
    <w:rsid w:val="6B8D7DD2"/>
    <w:rsid w:val="6B92DACC"/>
    <w:rsid w:val="6B972345"/>
    <w:rsid w:val="6B98F8B5"/>
    <w:rsid w:val="6B9C901D"/>
    <w:rsid w:val="6BA39EBC"/>
    <w:rsid w:val="6BA49173"/>
    <w:rsid w:val="6BA50086"/>
    <w:rsid w:val="6BA949BC"/>
    <w:rsid w:val="6BB082C8"/>
    <w:rsid w:val="6BB09A50"/>
    <w:rsid w:val="6BB2C322"/>
    <w:rsid w:val="6BB39199"/>
    <w:rsid w:val="6BB79EFC"/>
    <w:rsid w:val="6BC0A2F6"/>
    <w:rsid w:val="6BC2D525"/>
    <w:rsid w:val="6BC863D8"/>
    <w:rsid w:val="6BC99D60"/>
    <w:rsid w:val="6BCC1E27"/>
    <w:rsid w:val="6BD0B7F7"/>
    <w:rsid w:val="6BD609C1"/>
    <w:rsid w:val="6BD7FAD9"/>
    <w:rsid w:val="6BD92B3D"/>
    <w:rsid w:val="6BDB2E9C"/>
    <w:rsid w:val="6BDDC972"/>
    <w:rsid w:val="6BDE9817"/>
    <w:rsid w:val="6BDEA713"/>
    <w:rsid w:val="6BDEB5E1"/>
    <w:rsid w:val="6BE0D976"/>
    <w:rsid w:val="6BE2C9DA"/>
    <w:rsid w:val="6BE9EDAF"/>
    <w:rsid w:val="6BEA8F27"/>
    <w:rsid w:val="6BEBEEC3"/>
    <w:rsid w:val="6BEC361E"/>
    <w:rsid w:val="6BED16DF"/>
    <w:rsid w:val="6BEF4F83"/>
    <w:rsid w:val="6BF19249"/>
    <w:rsid w:val="6BF2C15C"/>
    <w:rsid w:val="6BF6D1D0"/>
    <w:rsid w:val="6BF79E7B"/>
    <w:rsid w:val="6BF85ACF"/>
    <w:rsid w:val="6BFD80B6"/>
    <w:rsid w:val="6C03154C"/>
    <w:rsid w:val="6C08A002"/>
    <w:rsid w:val="6C09A44A"/>
    <w:rsid w:val="6C0B49BD"/>
    <w:rsid w:val="6C0BF6F8"/>
    <w:rsid w:val="6C0E0577"/>
    <w:rsid w:val="6C1091A5"/>
    <w:rsid w:val="6C17C3F3"/>
    <w:rsid w:val="6C182421"/>
    <w:rsid w:val="6C1EA131"/>
    <w:rsid w:val="6C1FA9D6"/>
    <w:rsid w:val="6C202935"/>
    <w:rsid w:val="6C22BB7B"/>
    <w:rsid w:val="6C2CE935"/>
    <w:rsid w:val="6C33D937"/>
    <w:rsid w:val="6C436FA7"/>
    <w:rsid w:val="6C43D342"/>
    <w:rsid w:val="6C56516D"/>
    <w:rsid w:val="6C57C6B7"/>
    <w:rsid w:val="6C5A5E7F"/>
    <w:rsid w:val="6C5A5F20"/>
    <w:rsid w:val="6C5E1A6F"/>
    <w:rsid w:val="6C60448E"/>
    <w:rsid w:val="6C642AA3"/>
    <w:rsid w:val="6C69EDAA"/>
    <w:rsid w:val="6C6A3915"/>
    <w:rsid w:val="6C6B0244"/>
    <w:rsid w:val="6C6C02C3"/>
    <w:rsid w:val="6C794425"/>
    <w:rsid w:val="6C7999B3"/>
    <w:rsid w:val="6C7A925B"/>
    <w:rsid w:val="6C89630D"/>
    <w:rsid w:val="6C8F50A3"/>
    <w:rsid w:val="6C91A076"/>
    <w:rsid w:val="6C9DB908"/>
    <w:rsid w:val="6C9EAF3B"/>
    <w:rsid w:val="6CA5933C"/>
    <w:rsid w:val="6CA7FA7B"/>
    <w:rsid w:val="6CAA5F19"/>
    <w:rsid w:val="6CAC6C71"/>
    <w:rsid w:val="6CACE013"/>
    <w:rsid w:val="6CAE75CB"/>
    <w:rsid w:val="6CB21DE6"/>
    <w:rsid w:val="6CB25FC8"/>
    <w:rsid w:val="6CB60CBF"/>
    <w:rsid w:val="6CBBE764"/>
    <w:rsid w:val="6CC1D0D1"/>
    <w:rsid w:val="6CCCE6D0"/>
    <w:rsid w:val="6CCD2792"/>
    <w:rsid w:val="6CCDCD65"/>
    <w:rsid w:val="6CCF9311"/>
    <w:rsid w:val="6CD02D2A"/>
    <w:rsid w:val="6CD1CF0B"/>
    <w:rsid w:val="6CD2BA5A"/>
    <w:rsid w:val="6CD47345"/>
    <w:rsid w:val="6CD53606"/>
    <w:rsid w:val="6CDA081F"/>
    <w:rsid w:val="6CDC91A8"/>
    <w:rsid w:val="6CE14CFC"/>
    <w:rsid w:val="6CE8416A"/>
    <w:rsid w:val="6CEA115E"/>
    <w:rsid w:val="6CEAF418"/>
    <w:rsid w:val="6CEEFA58"/>
    <w:rsid w:val="6CEF6D80"/>
    <w:rsid w:val="6CF164A8"/>
    <w:rsid w:val="6CF18399"/>
    <w:rsid w:val="6CF7D38B"/>
    <w:rsid w:val="6CF8DCA9"/>
    <w:rsid w:val="6D022AEC"/>
    <w:rsid w:val="6D08551B"/>
    <w:rsid w:val="6D0B8BF9"/>
    <w:rsid w:val="6D0CA828"/>
    <w:rsid w:val="6D102D3D"/>
    <w:rsid w:val="6D105A2F"/>
    <w:rsid w:val="6D106F08"/>
    <w:rsid w:val="6D114A26"/>
    <w:rsid w:val="6D146915"/>
    <w:rsid w:val="6D1A52AA"/>
    <w:rsid w:val="6D1BD503"/>
    <w:rsid w:val="6D1C48ED"/>
    <w:rsid w:val="6D20B01E"/>
    <w:rsid w:val="6D20DE8F"/>
    <w:rsid w:val="6D250A59"/>
    <w:rsid w:val="6D25ACB5"/>
    <w:rsid w:val="6D282C6A"/>
    <w:rsid w:val="6D2CB062"/>
    <w:rsid w:val="6D2CDC8B"/>
    <w:rsid w:val="6D2D625B"/>
    <w:rsid w:val="6D2EDF61"/>
    <w:rsid w:val="6D329E07"/>
    <w:rsid w:val="6D3467A2"/>
    <w:rsid w:val="6D34799F"/>
    <w:rsid w:val="6D3A556E"/>
    <w:rsid w:val="6D3AC43D"/>
    <w:rsid w:val="6D3ADCD4"/>
    <w:rsid w:val="6D45879C"/>
    <w:rsid w:val="6D467CC8"/>
    <w:rsid w:val="6D4AF1FB"/>
    <w:rsid w:val="6D4C4C5D"/>
    <w:rsid w:val="6D555B5B"/>
    <w:rsid w:val="6D55780B"/>
    <w:rsid w:val="6D559209"/>
    <w:rsid w:val="6D57519B"/>
    <w:rsid w:val="6D5FACA0"/>
    <w:rsid w:val="6D6087E4"/>
    <w:rsid w:val="6D63FA48"/>
    <w:rsid w:val="6D64AA6A"/>
    <w:rsid w:val="6D65351D"/>
    <w:rsid w:val="6D667A23"/>
    <w:rsid w:val="6D669F2F"/>
    <w:rsid w:val="6D6735B9"/>
    <w:rsid w:val="6D6D2876"/>
    <w:rsid w:val="6D6F5749"/>
    <w:rsid w:val="6D700049"/>
    <w:rsid w:val="6D701A4D"/>
    <w:rsid w:val="6D705A3C"/>
    <w:rsid w:val="6D7508E0"/>
    <w:rsid w:val="6D7A5873"/>
    <w:rsid w:val="6D7C241A"/>
    <w:rsid w:val="6D8078FA"/>
    <w:rsid w:val="6D819DDD"/>
    <w:rsid w:val="6D81DC0D"/>
    <w:rsid w:val="6D82922D"/>
    <w:rsid w:val="6D833DC9"/>
    <w:rsid w:val="6D849F8A"/>
    <w:rsid w:val="6D84AFAA"/>
    <w:rsid w:val="6D85B0E1"/>
    <w:rsid w:val="6D85B6DA"/>
    <w:rsid w:val="6D8874FF"/>
    <w:rsid w:val="6D887AE7"/>
    <w:rsid w:val="6D9242F9"/>
    <w:rsid w:val="6D979642"/>
    <w:rsid w:val="6D97CE88"/>
    <w:rsid w:val="6D99909B"/>
    <w:rsid w:val="6DA18D19"/>
    <w:rsid w:val="6DA19CC9"/>
    <w:rsid w:val="6DA81437"/>
    <w:rsid w:val="6DB16A3B"/>
    <w:rsid w:val="6DB68C38"/>
    <w:rsid w:val="6DB97990"/>
    <w:rsid w:val="6DBB97A3"/>
    <w:rsid w:val="6DBF9B2C"/>
    <w:rsid w:val="6DCB2D64"/>
    <w:rsid w:val="6DCCD145"/>
    <w:rsid w:val="6DCCFEA7"/>
    <w:rsid w:val="6DD2DBBD"/>
    <w:rsid w:val="6DD51A75"/>
    <w:rsid w:val="6DDCD330"/>
    <w:rsid w:val="6DE5A295"/>
    <w:rsid w:val="6DE63292"/>
    <w:rsid w:val="6DE96924"/>
    <w:rsid w:val="6DE9696D"/>
    <w:rsid w:val="6DEA63A0"/>
    <w:rsid w:val="6DEEFB15"/>
    <w:rsid w:val="6DF0E6B9"/>
    <w:rsid w:val="6DF60268"/>
    <w:rsid w:val="6DF86865"/>
    <w:rsid w:val="6DFC857A"/>
    <w:rsid w:val="6E04C682"/>
    <w:rsid w:val="6E05D2CB"/>
    <w:rsid w:val="6E066FA5"/>
    <w:rsid w:val="6E085189"/>
    <w:rsid w:val="6E0D4204"/>
    <w:rsid w:val="6E0DAE43"/>
    <w:rsid w:val="6E0E5BA3"/>
    <w:rsid w:val="6E12A7AD"/>
    <w:rsid w:val="6E12B4D2"/>
    <w:rsid w:val="6E159CA6"/>
    <w:rsid w:val="6E1739B5"/>
    <w:rsid w:val="6E18B0E8"/>
    <w:rsid w:val="6E1FF518"/>
    <w:rsid w:val="6E21666E"/>
    <w:rsid w:val="6E238F8C"/>
    <w:rsid w:val="6E24F597"/>
    <w:rsid w:val="6E3345B3"/>
    <w:rsid w:val="6E33F204"/>
    <w:rsid w:val="6E396D84"/>
    <w:rsid w:val="6E3A0FED"/>
    <w:rsid w:val="6E3BCFDA"/>
    <w:rsid w:val="6E3BFB53"/>
    <w:rsid w:val="6E3E8D7E"/>
    <w:rsid w:val="6E3FA3B0"/>
    <w:rsid w:val="6E43CE72"/>
    <w:rsid w:val="6E4679C3"/>
    <w:rsid w:val="6E46A93B"/>
    <w:rsid w:val="6E474AB4"/>
    <w:rsid w:val="6E584B4C"/>
    <w:rsid w:val="6E5E405F"/>
    <w:rsid w:val="6E62F358"/>
    <w:rsid w:val="6E668F44"/>
    <w:rsid w:val="6E6FCD78"/>
    <w:rsid w:val="6E7745EB"/>
    <w:rsid w:val="6E7B7E18"/>
    <w:rsid w:val="6E7C861F"/>
    <w:rsid w:val="6E7D51B1"/>
    <w:rsid w:val="6E807BE8"/>
    <w:rsid w:val="6E85AAE7"/>
    <w:rsid w:val="6E87F423"/>
    <w:rsid w:val="6E8A4172"/>
    <w:rsid w:val="6E8AD481"/>
    <w:rsid w:val="6E903793"/>
    <w:rsid w:val="6E9348B7"/>
    <w:rsid w:val="6E936CFE"/>
    <w:rsid w:val="6E939A53"/>
    <w:rsid w:val="6E9797C1"/>
    <w:rsid w:val="6E99126F"/>
    <w:rsid w:val="6EA16E88"/>
    <w:rsid w:val="6EA1A8E0"/>
    <w:rsid w:val="6EA40E7B"/>
    <w:rsid w:val="6EA44549"/>
    <w:rsid w:val="6EA7196A"/>
    <w:rsid w:val="6EB01B1C"/>
    <w:rsid w:val="6EB4DAC7"/>
    <w:rsid w:val="6EB53A3F"/>
    <w:rsid w:val="6EB63F32"/>
    <w:rsid w:val="6EBA81C6"/>
    <w:rsid w:val="6EBE05E5"/>
    <w:rsid w:val="6EC0FE68"/>
    <w:rsid w:val="6EC1BD76"/>
    <w:rsid w:val="6EC5744B"/>
    <w:rsid w:val="6ED1E7D8"/>
    <w:rsid w:val="6ED1ECED"/>
    <w:rsid w:val="6ED29304"/>
    <w:rsid w:val="6ED7CE90"/>
    <w:rsid w:val="6EDB8D36"/>
    <w:rsid w:val="6EDF04D1"/>
    <w:rsid w:val="6EE2F476"/>
    <w:rsid w:val="6EE835EF"/>
    <w:rsid w:val="6EED0873"/>
    <w:rsid w:val="6EEEF77C"/>
    <w:rsid w:val="6EF16755"/>
    <w:rsid w:val="6EF3675C"/>
    <w:rsid w:val="6EF594BA"/>
    <w:rsid w:val="6EFA9ED3"/>
    <w:rsid w:val="6F02DABC"/>
    <w:rsid w:val="6F08300F"/>
    <w:rsid w:val="6F0963F9"/>
    <w:rsid w:val="6F0A8FAC"/>
    <w:rsid w:val="6F117F47"/>
    <w:rsid w:val="6F18E24F"/>
    <w:rsid w:val="6F1E56FB"/>
    <w:rsid w:val="6F204CF3"/>
    <w:rsid w:val="6F2140A8"/>
    <w:rsid w:val="6F21977A"/>
    <w:rsid w:val="6F23D291"/>
    <w:rsid w:val="6F259C0B"/>
    <w:rsid w:val="6F2BD518"/>
    <w:rsid w:val="6F2CC080"/>
    <w:rsid w:val="6F2F710F"/>
    <w:rsid w:val="6F3185ED"/>
    <w:rsid w:val="6F338BB2"/>
    <w:rsid w:val="6F3DE55E"/>
    <w:rsid w:val="6F3EEA23"/>
    <w:rsid w:val="6F434A40"/>
    <w:rsid w:val="6F46D05B"/>
    <w:rsid w:val="6F46D93C"/>
    <w:rsid w:val="6F46ED11"/>
    <w:rsid w:val="6F4838E2"/>
    <w:rsid w:val="6F4B0CBF"/>
    <w:rsid w:val="6F4B425E"/>
    <w:rsid w:val="6F54D124"/>
    <w:rsid w:val="6F59CE0B"/>
    <w:rsid w:val="6F5AE305"/>
    <w:rsid w:val="6F5D0C38"/>
    <w:rsid w:val="6F5F76BC"/>
    <w:rsid w:val="6F638361"/>
    <w:rsid w:val="6F65FF8F"/>
    <w:rsid w:val="6F681EDA"/>
    <w:rsid w:val="6F6A0AE1"/>
    <w:rsid w:val="6F6FA2A1"/>
    <w:rsid w:val="6F70A2DD"/>
    <w:rsid w:val="6F739C52"/>
    <w:rsid w:val="6F779FD9"/>
    <w:rsid w:val="6F7BE965"/>
    <w:rsid w:val="6F7D0DBF"/>
    <w:rsid w:val="6F83B3A7"/>
    <w:rsid w:val="6F8774AB"/>
    <w:rsid w:val="6F8892D2"/>
    <w:rsid w:val="6F89164A"/>
    <w:rsid w:val="6F8937DF"/>
    <w:rsid w:val="6F89A4EF"/>
    <w:rsid w:val="6F8E8C7A"/>
    <w:rsid w:val="6F965E7A"/>
    <w:rsid w:val="6F98F021"/>
    <w:rsid w:val="6F9B5084"/>
    <w:rsid w:val="6F9B91F6"/>
    <w:rsid w:val="6FA48D80"/>
    <w:rsid w:val="6FA91CD6"/>
    <w:rsid w:val="6FAAA248"/>
    <w:rsid w:val="6FAD1BCA"/>
    <w:rsid w:val="6FB38EA4"/>
    <w:rsid w:val="6FB7BB2D"/>
    <w:rsid w:val="6FB91D24"/>
    <w:rsid w:val="6FBA35E9"/>
    <w:rsid w:val="6FBF5FED"/>
    <w:rsid w:val="6FC268C8"/>
    <w:rsid w:val="6FC4EF4F"/>
    <w:rsid w:val="6FC54E74"/>
    <w:rsid w:val="6FCDAEB9"/>
    <w:rsid w:val="6FCDFBFD"/>
    <w:rsid w:val="6FD3886A"/>
    <w:rsid w:val="6FD6A53C"/>
    <w:rsid w:val="6FDDF200"/>
    <w:rsid w:val="6FE18D2D"/>
    <w:rsid w:val="6FE1CC5D"/>
    <w:rsid w:val="6FE1FFD6"/>
    <w:rsid w:val="6FE4435A"/>
    <w:rsid w:val="6FE923DE"/>
    <w:rsid w:val="6FE98CD2"/>
    <w:rsid w:val="6FF563F7"/>
    <w:rsid w:val="6FF5780D"/>
    <w:rsid w:val="6FF63B46"/>
    <w:rsid w:val="6FFC83D0"/>
    <w:rsid w:val="70010966"/>
    <w:rsid w:val="700275BF"/>
    <w:rsid w:val="7003CEFE"/>
    <w:rsid w:val="7003E4BB"/>
    <w:rsid w:val="7004AC72"/>
    <w:rsid w:val="70060002"/>
    <w:rsid w:val="700BDEC0"/>
    <w:rsid w:val="7010E377"/>
    <w:rsid w:val="701150A0"/>
    <w:rsid w:val="7015C9C9"/>
    <w:rsid w:val="701C5C29"/>
    <w:rsid w:val="70211AD1"/>
    <w:rsid w:val="7022F19A"/>
    <w:rsid w:val="7026B53F"/>
    <w:rsid w:val="702851A3"/>
    <w:rsid w:val="7029ABB4"/>
    <w:rsid w:val="702E8EFA"/>
    <w:rsid w:val="70316392"/>
    <w:rsid w:val="7032D9F0"/>
    <w:rsid w:val="70361287"/>
    <w:rsid w:val="7036E22C"/>
    <w:rsid w:val="7044FCF2"/>
    <w:rsid w:val="70473256"/>
    <w:rsid w:val="704A35A5"/>
    <w:rsid w:val="704F83D0"/>
    <w:rsid w:val="70511B15"/>
    <w:rsid w:val="7051236B"/>
    <w:rsid w:val="705DFA17"/>
    <w:rsid w:val="705FE49A"/>
    <w:rsid w:val="706A5911"/>
    <w:rsid w:val="706BBC49"/>
    <w:rsid w:val="707359C3"/>
    <w:rsid w:val="7073F9F9"/>
    <w:rsid w:val="707AFFF6"/>
    <w:rsid w:val="70813EB3"/>
    <w:rsid w:val="7089180D"/>
    <w:rsid w:val="70913CAF"/>
    <w:rsid w:val="7093D460"/>
    <w:rsid w:val="709A7E67"/>
    <w:rsid w:val="709B31DF"/>
    <w:rsid w:val="70A24E48"/>
    <w:rsid w:val="70A3BE05"/>
    <w:rsid w:val="70A4B802"/>
    <w:rsid w:val="70A560B0"/>
    <w:rsid w:val="70A72D93"/>
    <w:rsid w:val="70A74223"/>
    <w:rsid w:val="70A94CF5"/>
    <w:rsid w:val="70AF4CEF"/>
    <w:rsid w:val="70AF7832"/>
    <w:rsid w:val="70B0BE88"/>
    <w:rsid w:val="70B10604"/>
    <w:rsid w:val="70B21DAB"/>
    <w:rsid w:val="70B858D6"/>
    <w:rsid w:val="70B98FE4"/>
    <w:rsid w:val="70BA57B9"/>
    <w:rsid w:val="70BBC686"/>
    <w:rsid w:val="70BCA225"/>
    <w:rsid w:val="70C41C6C"/>
    <w:rsid w:val="70C74E96"/>
    <w:rsid w:val="70CD8EA6"/>
    <w:rsid w:val="70CF8248"/>
    <w:rsid w:val="70D60ACA"/>
    <w:rsid w:val="70DD3107"/>
    <w:rsid w:val="70DDE642"/>
    <w:rsid w:val="70E17654"/>
    <w:rsid w:val="70E86462"/>
    <w:rsid w:val="70E874FF"/>
    <w:rsid w:val="70E90F1A"/>
    <w:rsid w:val="70EC0AED"/>
    <w:rsid w:val="70F58841"/>
    <w:rsid w:val="7102E789"/>
    <w:rsid w:val="7104D32E"/>
    <w:rsid w:val="71084774"/>
    <w:rsid w:val="710956AE"/>
    <w:rsid w:val="7111F4E2"/>
    <w:rsid w:val="711849C1"/>
    <w:rsid w:val="711C516C"/>
    <w:rsid w:val="711D2805"/>
    <w:rsid w:val="711EF2C5"/>
    <w:rsid w:val="71244673"/>
    <w:rsid w:val="712805E3"/>
    <w:rsid w:val="713401CC"/>
    <w:rsid w:val="713452BD"/>
    <w:rsid w:val="7135D6F4"/>
    <w:rsid w:val="713A2F76"/>
    <w:rsid w:val="713DD92F"/>
    <w:rsid w:val="7142E22D"/>
    <w:rsid w:val="7144B965"/>
    <w:rsid w:val="71509BA6"/>
    <w:rsid w:val="7150FE6C"/>
    <w:rsid w:val="71539338"/>
    <w:rsid w:val="715394F4"/>
    <w:rsid w:val="715516CA"/>
    <w:rsid w:val="71582559"/>
    <w:rsid w:val="7158D191"/>
    <w:rsid w:val="715A1DAA"/>
    <w:rsid w:val="715DAEF1"/>
    <w:rsid w:val="715FA47D"/>
    <w:rsid w:val="715FBD47"/>
    <w:rsid w:val="71641BD2"/>
    <w:rsid w:val="71644A50"/>
    <w:rsid w:val="716B2203"/>
    <w:rsid w:val="717AF40A"/>
    <w:rsid w:val="717B6CD7"/>
    <w:rsid w:val="717BD30E"/>
    <w:rsid w:val="717DB1E0"/>
    <w:rsid w:val="7184CD62"/>
    <w:rsid w:val="71884EF2"/>
    <w:rsid w:val="7188DC96"/>
    <w:rsid w:val="718AB4DF"/>
    <w:rsid w:val="718D0EB3"/>
    <w:rsid w:val="719D782D"/>
    <w:rsid w:val="719D9489"/>
    <w:rsid w:val="719DEBA2"/>
    <w:rsid w:val="719E2796"/>
    <w:rsid w:val="719F4022"/>
    <w:rsid w:val="719F7A58"/>
    <w:rsid w:val="71A319B9"/>
    <w:rsid w:val="71A3F5D6"/>
    <w:rsid w:val="71A5B7F8"/>
    <w:rsid w:val="71A8550B"/>
    <w:rsid w:val="71AA4809"/>
    <w:rsid w:val="71AC7A1F"/>
    <w:rsid w:val="71B08F24"/>
    <w:rsid w:val="71B3B75E"/>
    <w:rsid w:val="71B3CEDB"/>
    <w:rsid w:val="71B69D06"/>
    <w:rsid w:val="71B882EB"/>
    <w:rsid w:val="71B93B80"/>
    <w:rsid w:val="71C05EAE"/>
    <w:rsid w:val="71C6433A"/>
    <w:rsid w:val="71C7F8DB"/>
    <w:rsid w:val="71CB2ECB"/>
    <w:rsid w:val="71CBCBBB"/>
    <w:rsid w:val="71CCC209"/>
    <w:rsid w:val="71CD9B77"/>
    <w:rsid w:val="71D0139C"/>
    <w:rsid w:val="71D101C4"/>
    <w:rsid w:val="71D13D4F"/>
    <w:rsid w:val="71DA4245"/>
    <w:rsid w:val="71DC5DB6"/>
    <w:rsid w:val="71DDF474"/>
    <w:rsid w:val="71DEA4AF"/>
    <w:rsid w:val="71DFBBBA"/>
    <w:rsid w:val="71E22AC5"/>
    <w:rsid w:val="71F3DF78"/>
    <w:rsid w:val="71F98CBA"/>
    <w:rsid w:val="720649CD"/>
    <w:rsid w:val="720BAB7F"/>
    <w:rsid w:val="720FCCB5"/>
    <w:rsid w:val="7210A1A8"/>
    <w:rsid w:val="721148C8"/>
    <w:rsid w:val="7219A1E7"/>
    <w:rsid w:val="721D21FF"/>
    <w:rsid w:val="7220631E"/>
    <w:rsid w:val="7221CFFC"/>
    <w:rsid w:val="7225D076"/>
    <w:rsid w:val="7226251C"/>
    <w:rsid w:val="7227F8F3"/>
    <w:rsid w:val="72289852"/>
    <w:rsid w:val="722B921A"/>
    <w:rsid w:val="722D789E"/>
    <w:rsid w:val="72325FA5"/>
    <w:rsid w:val="723CA5B3"/>
    <w:rsid w:val="723FBF8F"/>
    <w:rsid w:val="72405E4B"/>
    <w:rsid w:val="724294BC"/>
    <w:rsid w:val="724689CF"/>
    <w:rsid w:val="724BF724"/>
    <w:rsid w:val="724CB683"/>
    <w:rsid w:val="725F7BFB"/>
    <w:rsid w:val="7261AE81"/>
    <w:rsid w:val="72642F29"/>
    <w:rsid w:val="7264E262"/>
    <w:rsid w:val="7267E252"/>
    <w:rsid w:val="726BE4DC"/>
    <w:rsid w:val="727032AA"/>
    <w:rsid w:val="727A6D1F"/>
    <w:rsid w:val="727DC423"/>
    <w:rsid w:val="727DCDC3"/>
    <w:rsid w:val="727F3E0F"/>
    <w:rsid w:val="7280C1B3"/>
    <w:rsid w:val="728DE3D5"/>
    <w:rsid w:val="72939B19"/>
    <w:rsid w:val="7299FD74"/>
    <w:rsid w:val="72A20DCC"/>
    <w:rsid w:val="72A554B1"/>
    <w:rsid w:val="72A5B806"/>
    <w:rsid w:val="72A81295"/>
    <w:rsid w:val="72A88CE2"/>
    <w:rsid w:val="72A8F38A"/>
    <w:rsid w:val="72ACD941"/>
    <w:rsid w:val="72BADD47"/>
    <w:rsid w:val="72C10B72"/>
    <w:rsid w:val="72C27E34"/>
    <w:rsid w:val="72C4CD29"/>
    <w:rsid w:val="72C6B93D"/>
    <w:rsid w:val="72C91774"/>
    <w:rsid w:val="72C9A0A4"/>
    <w:rsid w:val="72C9ACA8"/>
    <w:rsid w:val="72CA98CD"/>
    <w:rsid w:val="72CCCBC2"/>
    <w:rsid w:val="72D1AB53"/>
    <w:rsid w:val="72D36EA9"/>
    <w:rsid w:val="72D805C3"/>
    <w:rsid w:val="72DA3532"/>
    <w:rsid w:val="72E09E31"/>
    <w:rsid w:val="72E12CED"/>
    <w:rsid w:val="72E14462"/>
    <w:rsid w:val="72E23AF9"/>
    <w:rsid w:val="72E86475"/>
    <w:rsid w:val="72E8FDCF"/>
    <w:rsid w:val="72EAF03B"/>
    <w:rsid w:val="72EB4250"/>
    <w:rsid w:val="72EC6C28"/>
    <w:rsid w:val="72EE9593"/>
    <w:rsid w:val="72F34646"/>
    <w:rsid w:val="72F37A1F"/>
    <w:rsid w:val="72F3C2E9"/>
    <w:rsid w:val="73016739"/>
    <w:rsid w:val="73036917"/>
    <w:rsid w:val="730558F0"/>
    <w:rsid w:val="73132764"/>
    <w:rsid w:val="73140EF4"/>
    <w:rsid w:val="7314E73D"/>
    <w:rsid w:val="731C5063"/>
    <w:rsid w:val="731DC8FD"/>
    <w:rsid w:val="731E7B14"/>
    <w:rsid w:val="73288FE0"/>
    <w:rsid w:val="73298DD7"/>
    <w:rsid w:val="732A1221"/>
    <w:rsid w:val="732BBD6E"/>
    <w:rsid w:val="732E92AF"/>
    <w:rsid w:val="732FF1FA"/>
    <w:rsid w:val="7334CBCB"/>
    <w:rsid w:val="7336AED9"/>
    <w:rsid w:val="7337C123"/>
    <w:rsid w:val="7338ACE5"/>
    <w:rsid w:val="7339794A"/>
    <w:rsid w:val="733AE031"/>
    <w:rsid w:val="733B84BE"/>
    <w:rsid w:val="733DFDB4"/>
    <w:rsid w:val="733EF666"/>
    <w:rsid w:val="7341C801"/>
    <w:rsid w:val="7342015F"/>
    <w:rsid w:val="73429F9C"/>
    <w:rsid w:val="734372CF"/>
    <w:rsid w:val="7346AC4E"/>
    <w:rsid w:val="73470EB4"/>
    <w:rsid w:val="734975C0"/>
    <w:rsid w:val="734C053B"/>
    <w:rsid w:val="734CC8A6"/>
    <w:rsid w:val="734D2A99"/>
    <w:rsid w:val="734EC28E"/>
    <w:rsid w:val="73513190"/>
    <w:rsid w:val="735589E7"/>
    <w:rsid w:val="73562F7A"/>
    <w:rsid w:val="735D7187"/>
    <w:rsid w:val="7363C8CA"/>
    <w:rsid w:val="73673CF6"/>
    <w:rsid w:val="7368E9AB"/>
    <w:rsid w:val="736958A7"/>
    <w:rsid w:val="73722490"/>
    <w:rsid w:val="73767342"/>
    <w:rsid w:val="73812EE0"/>
    <w:rsid w:val="7385D38D"/>
    <w:rsid w:val="7388734A"/>
    <w:rsid w:val="738F8098"/>
    <w:rsid w:val="73902174"/>
    <w:rsid w:val="7393E736"/>
    <w:rsid w:val="739491DC"/>
    <w:rsid w:val="73984A1A"/>
    <w:rsid w:val="7398605F"/>
    <w:rsid w:val="739DAF48"/>
    <w:rsid w:val="739E42F7"/>
    <w:rsid w:val="73A0A0D7"/>
    <w:rsid w:val="73A14F91"/>
    <w:rsid w:val="73A43492"/>
    <w:rsid w:val="73A73076"/>
    <w:rsid w:val="73A77FF2"/>
    <w:rsid w:val="73A9A5E4"/>
    <w:rsid w:val="73AEEA63"/>
    <w:rsid w:val="73B87A09"/>
    <w:rsid w:val="73B88845"/>
    <w:rsid w:val="73C6F72A"/>
    <w:rsid w:val="73C737FF"/>
    <w:rsid w:val="73C7D05A"/>
    <w:rsid w:val="73CE201B"/>
    <w:rsid w:val="73CF1686"/>
    <w:rsid w:val="73CF38B7"/>
    <w:rsid w:val="73CF677A"/>
    <w:rsid w:val="73D02B62"/>
    <w:rsid w:val="73D2DD01"/>
    <w:rsid w:val="73D9CA94"/>
    <w:rsid w:val="73DAF77D"/>
    <w:rsid w:val="73DC68F1"/>
    <w:rsid w:val="73DD9932"/>
    <w:rsid w:val="73E00820"/>
    <w:rsid w:val="73E50C30"/>
    <w:rsid w:val="73E6301B"/>
    <w:rsid w:val="73E8011B"/>
    <w:rsid w:val="73E8CDBB"/>
    <w:rsid w:val="73E92371"/>
    <w:rsid w:val="73E94EB3"/>
    <w:rsid w:val="73EA5974"/>
    <w:rsid w:val="73EBE82E"/>
    <w:rsid w:val="73ECFE8E"/>
    <w:rsid w:val="73F0633B"/>
    <w:rsid w:val="73F21047"/>
    <w:rsid w:val="73F6F62E"/>
    <w:rsid w:val="73F9219D"/>
    <w:rsid w:val="73FED72B"/>
    <w:rsid w:val="73FFB0AD"/>
    <w:rsid w:val="7400DF5C"/>
    <w:rsid w:val="7405F9CC"/>
    <w:rsid w:val="7412044B"/>
    <w:rsid w:val="741A5286"/>
    <w:rsid w:val="74268328"/>
    <w:rsid w:val="7427FC9F"/>
    <w:rsid w:val="742BC39D"/>
    <w:rsid w:val="742E0EB4"/>
    <w:rsid w:val="742FFA27"/>
    <w:rsid w:val="74303149"/>
    <w:rsid w:val="7438733F"/>
    <w:rsid w:val="743BC760"/>
    <w:rsid w:val="743F48D3"/>
    <w:rsid w:val="74413A3F"/>
    <w:rsid w:val="74422096"/>
    <w:rsid w:val="7442B9F8"/>
    <w:rsid w:val="74465B24"/>
    <w:rsid w:val="7446D687"/>
    <w:rsid w:val="74474F5A"/>
    <w:rsid w:val="744CFCF5"/>
    <w:rsid w:val="744F6D3E"/>
    <w:rsid w:val="7453E939"/>
    <w:rsid w:val="7455D68E"/>
    <w:rsid w:val="745923C1"/>
    <w:rsid w:val="7459D442"/>
    <w:rsid w:val="745BB56D"/>
    <w:rsid w:val="745E2D49"/>
    <w:rsid w:val="7462C070"/>
    <w:rsid w:val="74644A29"/>
    <w:rsid w:val="7473E2E0"/>
    <w:rsid w:val="74754A4E"/>
    <w:rsid w:val="74779392"/>
    <w:rsid w:val="747B7016"/>
    <w:rsid w:val="747F0FFB"/>
    <w:rsid w:val="7480B2AE"/>
    <w:rsid w:val="74823A7D"/>
    <w:rsid w:val="7483996B"/>
    <w:rsid w:val="748543CC"/>
    <w:rsid w:val="7491BB16"/>
    <w:rsid w:val="74937F48"/>
    <w:rsid w:val="7494E2E3"/>
    <w:rsid w:val="749A682A"/>
    <w:rsid w:val="749A910A"/>
    <w:rsid w:val="749BBF74"/>
    <w:rsid w:val="749DFB53"/>
    <w:rsid w:val="74A55D8B"/>
    <w:rsid w:val="74A9BB30"/>
    <w:rsid w:val="74AAFD4E"/>
    <w:rsid w:val="74AC93FD"/>
    <w:rsid w:val="74ADEA94"/>
    <w:rsid w:val="74B3698A"/>
    <w:rsid w:val="74B897F9"/>
    <w:rsid w:val="74C04E07"/>
    <w:rsid w:val="74C0C0D4"/>
    <w:rsid w:val="74C1E7FB"/>
    <w:rsid w:val="74C207ED"/>
    <w:rsid w:val="74C5CF6E"/>
    <w:rsid w:val="74C70D83"/>
    <w:rsid w:val="74CEEAD1"/>
    <w:rsid w:val="74CFC33E"/>
    <w:rsid w:val="74D79468"/>
    <w:rsid w:val="74DADF10"/>
    <w:rsid w:val="74DB0558"/>
    <w:rsid w:val="74DC19A4"/>
    <w:rsid w:val="74E597C4"/>
    <w:rsid w:val="74E877E7"/>
    <w:rsid w:val="74E96DBF"/>
    <w:rsid w:val="74EC9823"/>
    <w:rsid w:val="74EDB0E8"/>
    <w:rsid w:val="74EED434"/>
    <w:rsid w:val="74F08A9D"/>
    <w:rsid w:val="74F83B31"/>
    <w:rsid w:val="74FD7F55"/>
    <w:rsid w:val="750233F3"/>
    <w:rsid w:val="750A96DF"/>
    <w:rsid w:val="75130F85"/>
    <w:rsid w:val="75134624"/>
    <w:rsid w:val="75174DC7"/>
    <w:rsid w:val="75188C15"/>
    <w:rsid w:val="7518E8FD"/>
    <w:rsid w:val="75218546"/>
    <w:rsid w:val="75235664"/>
    <w:rsid w:val="7523653E"/>
    <w:rsid w:val="7523867A"/>
    <w:rsid w:val="7523A9DD"/>
    <w:rsid w:val="7540DCD2"/>
    <w:rsid w:val="75411EC4"/>
    <w:rsid w:val="75450B23"/>
    <w:rsid w:val="75459ABF"/>
    <w:rsid w:val="75464F43"/>
    <w:rsid w:val="7548205A"/>
    <w:rsid w:val="754B0F20"/>
    <w:rsid w:val="7550E5E5"/>
    <w:rsid w:val="75511C5A"/>
    <w:rsid w:val="75559740"/>
    <w:rsid w:val="75577B55"/>
    <w:rsid w:val="7557EAA4"/>
    <w:rsid w:val="755F1754"/>
    <w:rsid w:val="75609AEC"/>
    <w:rsid w:val="7560BA8D"/>
    <w:rsid w:val="756CC8B9"/>
    <w:rsid w:val="757C9A02"/>
    <w:rsid w:val="758177DB"/>
    <w:rsid w:val="7581E554"/>
    <w:rsid w:val="75827A2E"/>
    <w:rsid w:val="758D21B9"/>
    <w:rsid w:val="758E79E6"/>
    <w:rsid w:val="758F66D3"/>
    <w:rsid w:val="75906AB6"/>
    <w:rsid w:val="7592D164"/>
    <w:rsid w:val="7593D83A"/>
    <w:rsid w:val="759DA10D"/>
    <w:rsid w:val="75A1E93B"/>
    <w:rsid w:val="75A48C81"/>
    <w:rsid w:val="75A8A270"/>
    <w:rsid w:val="75B04FA2"/>
    <w:rsid w:val="75B46E38"/>
    <w:rsid w:val="75BE9210"/>
    <w:rsid w:val="75C0C717"/>
    <w:rsid w:val="75C145CC"/>
    <w:rsid w:val="75C7B021"/>
    <w:rsid w:val="75C7D8C3"/>
    <w:rsid w:val="75CBE6B1"/>
    <w:rsid w:val="75CCDB2C"/>
    <w:rsid w:val="75CF598B"/>
    <w:rsid w:val="75CFD86C"/>
    <w:rsid w:val="75D280A3"/>
    <w:rsid w:val="75D4CC8B"/>
    <w:rsid w:val="75D6AE04"/>
    <w:rsid w:val="75D883BB"/>
    <w:rsid w:val="75DFDEF5"/>
    <w:rsid w:val="75E4F1AE"/>
    <w:rsid w:val="75E76D09"/>
    <w:rsid w:val="75E8BD4A"/>
    <w:rsid w:val="75E8D1DE"/>
    <w:rsid w:val="75EA6013"/>
    <w:rsid w:val="75EB1053"/>
    <w:rsid w:val="75EC2440"/>
    <w:rsid w:val="75EF174A"/>
    <w:rsid w:val="75F61C7E"/>
    <w:rsid w:val="75F766A7"/>
    <w:rsid w:val="7600D616"/>
    <w:rsid w:val="7605789D"/>
    <w:rsid w:val="7605E6DF"/>
    <w:rsid w:val="76062865"/>
    <w:rsid w:val="760EC00C"/>
    <w:rsid w:val="760F1EEE"/>
    <w:rsid w:val="760F88F6"/>
    <w:rsid w:val="7611E4C5"/>
    <w:rsid w:val="7617743E"/>
    <w:rsid w:val="7617C16A"/>
    <w:rsid w:val="76186B56"/>
    <w:rsid w:val="761C1609"/>
    <w:rsid w:val="761EFDAA"/>
    <w:rsid w:val="761FEF7F"/>
    <w:rsid w:val="76224BC3"/>
    <w:rsid w:val="762970F2"/>
    <w:rsid w:val="762BD3C5"/>
    <w:rsid w:val="762BE0DB"/>
    <w:rsid w:val="762C6AF7"/>
    <w:rsid w:val="762E7D87"/>
    <w:rsid w:val="762F8645"/>
    <w:rsid w:val="76300099"/>
    <w:rsid w:val="76300134"/>
    <w:rsid w:val="7634F945"/>
    <w:rsid w:val="7635852A"/>
    <w:rsid w:val="763805E8"/>
    <w:rsid w:val="76395916"/>
    <w:rsid w:val="763DC3D0"/>
    <w:rsid w:val="763E2D40"/>
    <w:rsid w:val="7645E3E4"/>
    <w:rsid w:val="764B83FB"/>
    <w:rsid w:val="764CADA9"/>
    <w:rsid w:val="764D2A64"/>
    <w:rsid w:val="76503CBE"/>
    <w:rsid w:val="76515785"/>
    <w:rsid w:val="7651974C"/>
    <w:rsid w:val="7651A87B"/>
    <w:rsid w:val="765A7D87"/>
    <w:rsid w:val="765A881F"/>
    <w:rsid w:val="765E2801"/>
    <w:rsid w:val="7662F84E"/>
    <w:rsid w:val="76646DE3"/>
    <w:rsid w:val="76679674"/>
    <w:rsid w:val="766DCE4E"/>
    <w:rsid w:val="7671A524"/>
    <w:rsid w:val="7673FC69"/>
    <w:rsid w:val="7679E47F"/>
    <w:rsid w:val="767B2B38"/>
    <w:rsid w:val="767C3596"/>
    <w:rsid w:val="76800ED0"/>
    <w:rsid w:val="7680CADE"/>
    <w:rsid w:val="768AE30A"/>
    <w:rsid w:val="768ED386"/>
    <w:rsid w:val="76901542"/>
    <w:rsid w:val="76927639"/>
    <w:rsid w:val="7698D769"/>
    <w:rsid w:val="769AC555"/>
    <w:rsid w:val="769DE608"/>
    <w:rsid w:val="769E9402"/>
    <w:rsid w:val="769EDE61"/>
    <w:rsid w:val="76AD25C2"/>
    <w:rsid w:val="76AF572E"/>
    <w:rsid w:val="76B02E11"/>
    <w:rsid w:val="76B586C9"/>
    <w:rsid w:val="76BAD4E9"/>
    <w:rsid w:val="76BB2EF8"/>
    <w:rsid w:val="76BD786C"/>
    <w:rsid w:val="76BDEE15"/>
    <w:rsid w:val="76C0C166"/>
    <w:rsid w:val="76C2DD1B"/>
    <w:rsid w:val="76C4F99A"/>
    <w:rsid w:val="76C632E0"/>
    <w:rsid w:val="76C82490"/>
    <w:rsid w:val="76CB3C05"/>
    <w:rsid w:val="76CE1019"/>
    <w:rsid w:val="76D4E4AE"/>
    <w:rsid w:val="76D557BF"/>
    <w:rsid w:val="76D6C07D"/>
    <w:rsid w:val="76D84156"/>
    <w:rsid w:val="76D90DAB"/>
    <w:rsid w:val="76D94296"/>
    <w:rsid w:val="76DE7488"/>
    <w:rsid w:val="76DFB419"/>
    <w:rsid w:val="76E564F7"/>
    <w:rsid w:val="76E63FA4"/>
    <w:rsid w:val="76EED4A2"/>
    <w:rsid w:val="76F30825"/>
    <w:rsid w:val="76F396D8"/>
    <w:rsid w:val="76F3B9A2"/>
    <w:rsid w:val="76F66DF5"/>
    <w:rsid w:val="76F8A85A"/>
    <w:rsid w:val="76F992B5"/>
    <w:rsid w:val="76FB2A03"/>
    <w:rsid w:val="76FD790B"/>
    <w:rsid w:val="7702386D"/>
    <w:rsid w:val="77026626"/>
    <w:rsid w:val="77028963"/>
    <w:rsid w:val="77048031"/>
    <w:rsid w:val="770F8272"/>
    <w:rsid w:val="7711DFAD"/>
    <w:rsid w:val="7713458B"/>
    <w:rsid w:val="7713A5ED"/>
    <w:rsid w:val="7714A8AF"/>
    <w:rsid w:val="77158225"/>
    <w:rsid w:val="7720E491"/>
    <w:rsid w:val="77218BB0"/>
    <w:rsid w:val="7724EF28"/>
    <w:rsid w:val="7727E25B"/>
    <w:rsid w:val="772A45F0"/>
    <w:rsid w:val="772C2B67"/>
    <w:rsid w:val="77323272"/>
    <w:rsid w:val="7734E456"/>
    <w:rsid w:val="773714BD"/>
    <w:rsid w:val="773C2905"/>
    <w:rsid w:val="773F301B"/>
    <w:rsid w:val="7742FAEF"/>
    <w:rsid w:val="7743B8D4"/>
    <w:rsid w:val="77442F4D"/>
    <w:rsid w:val="774B110D"/>
    <w:rsid w:val="7750BD2F"/>
    <w:rsid w:val="77524047"/>
    <w:rsid w:val="7755E0E4"/>
    <w:rsid w:val="7756379D"/>
    <w:rsid w:val="775FC49B"/>
    <w:rsid w:val="77635344"/>
    <w:rsid w:val="7770499B"/>
    <w:rsid w:val="77747822"/>
    <w:rsid w:val="77758DA4"/>
    <w:rsid w:val="777DC21F"/>
    <w:rsid w:val="777E595B"/>
    <w:rsid w:val="7781D9FA"/>
    <w:rsid w:val="7782DC1C"/>
    <w:rsid w:val="77901BCA"/>
    <w:rsid w:val="77905FE1"/>
    <w:rsid w:val="77912A7A"/>
    <w:rsid w:val="7795D4FF"/>
    <w:rsid w:val="77969A0F"/>
    <w:rsid w:val="7799C59D"/>
    <w:rsid w:val="779A86F4"/>
    <w:rsid w:val="779F9D87"/>
    <w:rsid w:val="77A029B6"/>
    <w:rsid w:val="77A16E87"/>
    <w:rsid w:val="77A9A5E6"/>
    <w:rsid w:val="77B06472"/>
    <w:rsid w:val="77B2EB9C"/>
    <w:rsid w:val="77B39642"/>
    <w:rsid w:val="77B794D0"/>
    <w:rsid w:val="77BA79FB"/>
    <w:rsid w:val="77BD22A4"/>
    <w:rsid w:val="77BF0937"/>
    <w:rsid w:val="77C60469"/>
    <w:rsid w:val="77C64C6E"/>
    <w:rsid w:val="77C726BA"/>
    <w:rsid w:val="77C7F62C"/>
    <w:rsid w:val="77CD8931"/>
    <w:rsid w:val="77CF8759"/>
    <w:rsid w:val="77D026BC"/>
    <w:rsid w:val="77D34EC4"/>
    <w:rsid w:val="77D414A8"/>
    <w:rsid w:val="77D7A48D"/>
    <w:rsid w:val="77D9BFDF"/>
    <w:rsid w:val="77E0DD64"/>
    <w:rsid w:val="77E14BA1"/>
    <w:rsid w:val="77E3908D"/>
    <w:rsid w:val="77EEEEAC"/>
    <w:rsid w:val="77F8FA44"/>
    <w:rsid w:val="77FA0AF9"/>
    <w:rsid w:val="77FEB7C4"/>
    <w:rsid w:val="780A86BE"/>
    <w:rsid w:val="780ADB6A"/>
    <w:rsid w:val="78103B4C"/>
    <w:rsid w:val="7815074E"/>
    <w:rsid w:val="78196A15"/>
    <w:rsid w:val="781AF103"/>
    <w:rsid w:val="782B47D2"/>
    <w:rsid w:val="782C5D26"/>
    <w:rsid w:val="782D37C9"/>
    <w:rsid w:val="782E1921"/>
    <w:rsid w:val="7833FEFD"/>
    <w:rsid w:val="78358C60"/>
    <w:rsid w:val="783A218B"/>
    <w:rsid w:val="783AE29F"/>
    <w:rsid w:val="783DED27"/>
    <w:rsid w:val="784151FE"/>
    <w:rsid w:val="7849B1B1"/>
    <w:rsid w:val="784A727A"/>
    <w:rsid w:val="784DE97A"/>
    <w:rsid w:val="784FB4DE"/>
    <w:rsid w:val="78553993"/>
    <w:rsid w:val="7855D14E"/>
    <w:rsid w:val="785679AC"/>
    <w:rsid w:val="7856E7BF"/>
    <w:rsid w:val="7856FE4D"/>
    <w:rsid w:val="7858571C"/>
    <w:rsid w:val="785A73A0"/>
    <w:rsid w:val="785C4E2C"/>
    <w:rsid w:val="7863C628"/>
    <w:rsid w:val="78698318"/>
    <w:rsid w:val="7869F174"/>
    <w:rsid w:val="7872AB96"/>
    <w:rsid w:val="7873D44E"/>
    <w:rsid w:val="787822F6"/>
    <w:rsid w:val="7878B63D"/>
    <w:rsid w:val="7878D01A"/>
    <w:rsid w:val="787A0647"/>
    <w:rsid w:val="787B06CF"/>
    <w:rsid w:val="7880FE9F"/>
    <w:rsid w:val="7885288E"/>
    <w:rsid w:val="788BEAA4"/>
    <w:rsid w:val="788DCA16"/>
    <w:rsid w:val="78926AD6"/>
    <w:rsid w:val="7892E176"/>
    <w:rsid w:val="78946D58"/>
    <w:rsid w:val="789595DE"/>
    <w:rsid w:val="7895D072"/>
    <w:rsid w:val="789752C4"/>
    <w:rsid w:val="78AB28D1"/>
    <w:rsid w:val="78ABC926"/>
    <w:rsid w:val="78ACA43F"/>
    <w:rsid w:val="78ACC90E"/>
    <w:rsid w:val="78AEFD20"/>
    <w:rsid w:val="78B1FFC8"/>
    <w:rsid w:val="78B2361C"/>
    <w:rsid w:val="78B2B0DB"/>
    <w:rsid w:val="78B2F1CF"/>
    <w:rsid w:val="78B44510"/>
    <w:rsid w:val="78B4A6CC"/>
    <w:rsid w:val="78B76F43"/>
    <w:rsid w:val="78BEFCF3"/>
    <w:rsid w:val="78C86F13"/>
    <w:rsid w:val="78C9B6E0"/>
    <w:rsid w:val="78CA83F7"/>
    <w:rsid w:val="78CBE4BD"/>
    <w:rsid w:val="78CCF6F5"/>
    <w:rsid w:val="78D43305"/>
    <w:rsid w:val="78D435F4"/>
    <w:rsid w:val="78DD01F8"/>
    <w:rsid w:val="78DE8D09"/>
    <w:rsid w:val="78E2039E"/>
    <w:rsid w:val="78E2378F"/>
    <w:rsid w:val="78E3CA40"/>
    <w:rsid w:val="78E9D207"/>
    <w:rsid w:val="78EF0B78"/>
    <w:rsid w:val="78F5F620"/>
    <w:rsid w:val="78F6703B"/>
    <w:rsid w:val="78F7D0EB"/>
    <w:rsid w:val="78F9DB90"/>
    <w:rsid w:val="78FDDE64"/>
    <w:rsid w:val="7909D3A6"/>
    <w:rsid w:val="790B0B8C"/>
    <w:rsid w:val="790CB85F"/>
    <w:rsid w:val="790E1ADC"/>
    <w:rsid w:val="79129112"/>
    <w:rsid w:val="7913FF45"/>
    <w:rsid w:val="791B3794"/>
    <w:rsid w:val="791B7D15"/>
    <w:rsid w:val="791CFAF2"/>
    <w:rsid w:val="791E40FA"/>
    <w:rsid w:val="7921429D"/>
    <w:rsid w:val="792434CF"/>
    <w:rsid w:val="792BBB8F"/>
    <w:rsid w:val="792F5BDE"/>
    <w:rsid w:val="792FBCEC"/>
    <w:rsid w:val="79304C2B"/>
    <w:rsid w:val="7930C4A6"/>
    <w:rsid w:val="7931138A"/>
    <w:rsid w:val="793174B3"/>
    <w:rsid w:val="793937FE"/>
    <w:rsid w:val="793975AA"/>
    <w:rsid w:val="793F1620"/>
    <w:rsid w:val="794193B7"/>
    <w:rsid w:val="79498587"/>
    <w:rsid w:val="794B1A0F"/>
    <w:rsid w:val="794DBD00"/>
    <w:rsid w:val="7950783A"/>
    <w:rsid w:val="7951DA0B"/>
    <w:rsid w:val="7955AF7A"/>
    <w:rsid w:val="7956231A"/>
    <w:rsid w:val="795917BE"/>
    <w:rsid w:val="7962ADE4"/>
    <w:rsid w:val="7968F18C"/>
    <w:rsid w:val="796CF727"/>
    <w:rsid w:val="796F4716"/>
    <w:rsid w:val="796FEE7E"/>
    <w:rsid w:val="797054AF"/>
    <w:rsid w:val="7980AA4E"/>
    <w:rsid w:val="798746FE"/>
    <w:rsid w:val="798AD63D"/>
    <w:rsid w:val="799D0E2E"/>
    <w:rsid w:val="799F4C0F"/>
    <w:rsid w:val="799FCE2B"/>
    <w:rsid w:val="799FDF6A"/>
    <w:rsid w:val="79A23599"/>
    <w:rsid w:val="79A29794"/>
    <w:rsid w:val="79A4D6DA"/>
    <w:rsid w:val="79A56A38"/>
    <w:rsid w:val="79A88AAB"/>
    <w:rsid w:val="79ADF501"/>
    <w:rsid w:val="79B27D22"/>
    <w:rsid w:val="79B2ADD8"/>
    <w:rsid w:val="79B2C6A4"/>
    <w:rsid w:val="79B312C2"/>
    <w:rsid w:val="79C2CDE8"/>
    <w:rsid w:val="79C7D10D"/>
    <w:rsid w:val="79C85D8E"/>
    <w:rsid w:val="79C924C1"/>
    <w:rsid w:val="79CCF01A"/>
    <w:rsid w:val="79D816E6"/>
    <w:rsid w:val="79D844E5"/>
    <w:rsid w:val="79DB400C"/>
    <w:rsid w:val="79DC85AB"/>
    <w:rsid w:val="79E0A999"/>
    <w:rsid w:val="79E6D282"/>
    <w:rsid w:val="79E85E11"/>
    <w:rsid w:val="79EA25F5"/>
    <w:rsid w:val="79F02100"/>
    <w:rsid w:val="79F042CF"/>
    <w:rsid w:val="79F14BD3"/>
    <w:rsid w:val="79F181C6"/>
    <w:rsid w:val="79F2B731"/>
    <w:rsid w:val="79FAA8D4"/>
    <w:rsid w:val="79FE66C7"/>
    <w:rsid w:val="79FF2F13"/>
    <w:rsid w:val="7A0557B6"/>
    <w:rsid w:val="7A0B7710"/>
    <w:rsid w:val="7A0CBE0A"/>
    <w:rsid w:val="7A0D4054"/>
    <w:rsid w:val="7A0ED3EB"/>
    <w:rsid w:val="7A11EFBE"/>
    <w:rsid w:val="7A11FE11"/>
    <w:rsid w:val="7A185D05"/>
    <w:rsid w:val="7A1CF229"/>
    <w:rsid w:val="7A1F7440"/>
    <w:rsid w:val="7A21204D"/>
    <w:rsid w:val="7A271C27"/>
    <w:rsid w:val="7A2922B6"/>
    <w:rsid w:val="7A2D3EBF"/>
    <w:rsid w:val="7A2FA641"/>
    <w:rsid w:val="7A3089BF"/>
    <w:rsid w:val="7A370C10"/>
    <w:rsid w:val="7A376F65"/>
    <w:rsid w:val="7A3AD370"/>
    <w:rsid w:val="7A40C214"/>
    <w:rsid w:val="7A476CED"/>
    <w:rsid w:val="7A47F402"/>
    <w:rsid w:val="7A4E9110"/>
    <w:rsid w:val="7A500DE7"/>
    <w:rsid w:val="7A536633"/>
    <w:rsid w:val="7A54D1DB"/>
    <w:rsid w:val="7A569DFA"/>
    <w:rsid w:val="7A584B47"/>
    <w:rsid w:val="7A5A4C07"/>
    <w:rsid w:val="7A683C8F"/>
    <w:rsid w:val="7A68A6A5"/>
    <w:rsid w:val="7A6C623A"/>
    <w:rsid w:val="7A7106BE"/>
    <w:rsid w:val="7A76A037"/>
    <w:rsid w:val="7A7AA8B4"/>
    <w:rsid w:val="7A7C5BEA"/>
    <w:rsid w:val="7A810452"/>
    <w:rsid w:val="7A84BAAE"/>
    <w:rsid w:val="7A887F51"/>
    <w:rsid w:val="7A88E4E8"/>
    <w:rsid w:val="7A894E7A"/>
    <w:rsid w:val="7A904CDB"/>
    <w:rsid w:val="7A926A48"/>
    <w:rsid w:val="7A95727F"/>
    <w:rsid w:val="7A95E758"/>
    <w:rsid w:val="7A9C39D1"/>
    <w:rsid w:val="7A9DB07F"/>
    <w:rsid w:val="7A9F30E8"/>
    <w:rsid w:val="7AA08931"/>
    <w:rsid w:val="7AA2CAAE"/>
    <w:rsid w:val="7AA6423A"/>
    <w:rsid w:val="7AADF08C"/>
    <w:rsid w:val="7AAEFF66"/>
    <w:rsid w:val="7AB1DA60"/>
    <w:rsid w:val="7AB45A7A"/>
    <w:rsid w:val="7AB6362C"/>
    <w:rsid w:val="7ABC2E6D"/>
    <w:rsid w:val="7ABF4E2E"/>
    <w:rsid w:val="7AC0075B"/>
    <w:rsid w:val="7AC59918"/>
    <w:rsid w:val="7AD29988"/>
    <w:rsid w:val="7AD2F76B"/>
    <w:rsid w:val="7AD32CC7"/>
    <w:rsid w:val="7AD79A4C"/>
    <w:rsid w:val="7ADE6DF6"/>
    <w:rsid w:val="7ADEE8C8"/>
    <w:rsid w:val="7AE02C6C"/>
    <w:rsid w:val="7AE616FC"/>
    <w:rsid w:val="7AE6509F"/>
    <w:rsid w:val="7AE6CC8B"/>
    <w:rsid w:val="7AE98111"/>
    <w:rsid w:val="7AEB9B45"/>
    <w:rsid w:val="7AF2E19C"/>
    <w:rsid w:val="7AFA56BF"/>
    <w:rsid w:val="7AFA9EC0"/>
    <w:rsid w:val="7AFB5A0C"/>
    <w:rsid w:val="7AFF6FB0"/>
    <w:rsid w:val="7B0024F2"/>
    <w:rsid w:val="7B059AEB"/>
    <w:rsid w:val="7B0D5395"/>
    <w:rsid w:val="7B169A29"/>
    <w:rsid w:val="7B178D61"/>
    <w:rsid w:val="7B1A7646"/>
    <w:rsid w:val="7B1F6AC7"/>
    <w:rsid w:val="7B1FABB1"/>
    <w:rsid w:val="7B2566D3"/>
    <w:rsid w:val="7B27F962"/>
    <w:rsid w:val="7B291227"/>
    <w:rsid w:val="7B33A3E0"/>
    <w:rsid w:val="7B37EADC"/>
    <w:rsid w:val="7B424EBE"/>
    <w:rsid w:val="7B459F1B"/>
    <w:rsid w:val="7B492F56"/>
    <w:rsid w:val="7B496C76"/>
    <w:rsid w:val="7B4A3E1C"/>
    <w:rsid w:val="7B5837A7"/>
    <w:rsid w:val="7B5B7543"/>
    <w:rsid w:val="7B5E2F75"/>
    <w:rsid w:val="7B62789D"/>
    <w:rsid w:val="7B690B79"/>
    <w:rsid w:val="7B6C623E"/>
    <w:rsid w:val="7B6D0788"/>
    <w:rsid w:val="7B6DBE04"/>
    <w:rsid w:val="7B7355E4"/>
    <w:rsid w:val="7B76A1D5"/>
    <w:rsid w:val="7B7877AE"/>
    <w:rsid w:val="7B78DB49"/>
    <w:rsid w:val="7B7E52D7"/>
    <w:rsid w:val="7B8202BA"/>
    <w:rsid w:val="7B821F4D"/>
    <w:rsid w:val="7B8380F4"/>
    <w:rsid w:val="7B872759"/>
    <w:rsid w:val="7B89AFAD"/>
    <w:rsid w:val="7B8E1ECE"/>
    <w:rsid w:val="7B90D504"/>
    <w:rsid w:val="7B9D2C05"/>
    <w:rsid w:val="7B9F0E3A"/>
    <w:rsid w:val="7BA15600"/>
    <w:rsid w:val="7BA70347"/>
    <w:rsid w:val="7BA8FD04"/>
    <w:rsid w:val="7BB37D35"/>
    <w:rsid w:val="7BB6C136"/>
    <w:rsid w:val="7BBA3BCB"/>
    <w:rsid w:val="7BBB6754"/>
    <w:rsid w:val="7BC5AEBC"/>
    <w:rsid w:val="7BC8B745"/>
    <w:rsid w:val="7BC9EFF9"/>
    <w:rsid w:val="7BD5D5E6"/>
    <w:rsid w:val="7BD60E37"/>
    <w:rsid w:val="7BD7436A"/>
    <w:rsid w:val="7BD7D49F"/>
    <w:rsid w:val="7BDA55DA"/>
    <w:rsid w:val="7BDB2FBE"/>
    <w:rsid w:val="7BDEE3A4"/>
    <w:rsid w:val="7BE10ECA"/>
    <w:rsid w:val="7BE187D5"/>
    <w:rsid w:val="7BE796E0"/>
    <w:rsid w:val="7BEE0AF5"/>
    <w:rsid w:val="7BF0B906"/>
    <w:rsid w:val="7BF7AD8C"/>
    <w:rsid w:val="7C0106CE"/>
    <w:rsid w:val="7C019A37"/>
    <w:rsid w:val="7C069889"/>
    <w:rsid w:val="7C0D3E97"/>
    <w:rsid w:val="7C0D6430"/>
    <w:rsid w:val="7C0FCFDF"/>
    <w:rsid w:val="7C126F59"/>
    <w:rsid w:val="7C17675F"/>
    <w:rsid w:val="7C17FDAF"/>
    <w:rsid w:val="7C189A96"/>
    <w:rsid w:val="7C1AEB80"/>
    <w:rsid w:val="7C1CF8D7"/>
    <w:rsid w:val="7C2129F5"/>
    <w:rsid w:val="7C21B47B"/>
    <w:rsid w:val="7C268C9D"/>
    <w:rsid w:val="7C29D314"/>
    <w:rsid w:val="7C2C64C4"/>
    <w:rsid w:val="7C30B4DC"/>
    <w:rsid w:val="7C375F49"/>
    <w:rsid w:val="7C426955"/>
    <w:rsid w:val="7C4B345D"/>
    <w:rsid w:val="7C4B7D81"/>
    <w:rsid w:val="7C56BEFD"/>
    <w:rsid w:val="7C58635F"/>
    <w:rsid w:val="7C58BC32"/>
    <w:rsid w:val="7C59BA52"/>
    <w:rsid w:val="7C5A3EB6"/>
    <w:rsid w:val="7C5DAFF0"/>
    <w:rsid w:val="7C600F93"/>
    <w:rsid w:val="7C6617A0"/>
    <w:rsid w:val="7C6C8FBF"/>
    <w:rsid w:val="7C6F98BD"/>
    <w:rsid w:val="7C768929"/>
    <w:rsid w:val="7C792472"/>
    <w:rsid w:val="7C7E47C0"/>
    <w:rsid w:val="7C812649"/>
    <w:rsid w:val="7C81C484"/>
    <w:rsid w:val="7C82F71C"/>
    <w:rsid w:val="7C93BEA8"/>
    <w:rsid w:val="7C99D3FB"/>
    <w:rsid w:val="7C9A4EA6"/>
    <w:rsid w:val="7C9E17A6"/>
    <w:rsid w:val="7CA047EF"/>
    <w:rsid w:val="7CA6187C"/>
    <w:rsid w:val="7CA6FF1B"/>
    <w:rsid w:val="7CA93B67"/>
    <w:rsid w:val="7CA9B097"/>
    <w:rsid w:val="7CADFAD5"/>
    <w:rsid w:val="7CB08DC7"/>
    <w:rsid w:val="7CB46C8B"/>
    <w:rsid w:val="7CB9F2FC"/>
    <w:rsid w:val="7CC0952F"/>
    <w:rsid w:val="7CC6843F"/>
    <w:rsid w:val="7CC7F7AD"/>
    <w:rsid w:val="7CC95C18"/>
    <w:rsid w:val="7CCBA865"/>
    <w:rsid w:val="7CCBF422"/>
    <w:rsid w:val="7CDB3640"/>
    <w:rsid w:val="7CDEE62B"/>
    <w:rsid w:val="7CE5CABE"/>
    <w:rsid w:val="7CE78812"/>
    <w:rsid w:val="7CEA5B20"/>
    <w:rsid w:val="7CF3EF6E"/>
    <w:rsid w:val="7CF401DF"/>
    <w:rsid w:val="7CF5F5AE"/>
    <w:rsid w:val="7CF63317"/>
    <w:rsid w:val="7CFFAE31"/>
    <w:rsid w:val="7D01B360"/>
    <w:rsid w:val="7D020575"/>
    <w:rsid w:val="7D021847"/>
    <w:rsid w:val="7D06E43C"/>
    <w:rsid w:val="7D06F3BE"/>
    <w:rsid w:val="7D0F4666"/>
    <w:rsid w:val="7D119F83"/>
    <w:rsid w:val="7D121D00"/>
    <w:rsid w:val="7D17A62B"/>
    <w:rsid w:val="7D196FA4"/>
    <w:rsid w:val="7D19ECD4"/>
    <w:rsid w:val="7D20C822"/>
    <w:rsid w:val="7D31B78D"/>
    <w:rsid w:val="7D36092C"/>
    <w:rsid w:val="7D366BB3"/>
    <w:rsid w:val="7D3948A7"/>
    <w:rsid w:val="7D39FB00"/>
    <w:rsid w:val="7D3A6654"/>
    <w:rsid w:val="7D3CE3CF"/>
    <w:rsid w:val="7D3EAB2D"/>
    <w:rsid w:val="7D4075C8"/>
    <w:rsid w:val="7D42C4D5"/>
    <w:rsid w:val="7D43A854"/>
    <w:rsid w:val="7D4E01A9"/>
    <w:rsid w:val="7D55EF5F"/>
    <w:rsid w:val="7D58804B"/>
    <w:rsid w:val="7D5E095D"/>
    <w:rsid w:val="7D601520"/>
    <w:rsid w:val="7D65A9CA"/>
    <w:rsid w:val="7D68B2B6"/>
    <w:rsid w:val="7D6A0261"/>
    <w:rsid w:val="7D6A6BD3"/>
    <w:rsid w:val="7D6BAB52"/>
    <w:rsid w:val="7D6FF54D"/>
    <w:rsid w:val="7D7021DA"/>
    <w:rsid w:val="7D712D7A"/>
    <w:rsid w:val="7D723F22"/>
    <w:rsid w:val="7D74F605"/>
    <w:rsid w:val="7D76BD63"/>
    <w:rsid w:val="7D76FEFF"/>
    <w:rsid w:val="7D7A5727"/>
    <w:rsid w:val="7D817D5B"/>
    <w:rsid w:val="7D83C822"/>
    <w:rsid w:val="7D8D6C03"/>
    <w:rsid w:val="7D8DCFF7"/>
    <w:rsid w:val="7D908897"/>
    <w:rsid w:val="7DA063F4"/>
    <w:rsid w:val="7DAD3A11"/>
    <w:rsid w:val="7DAFB762"/>
    <w:rsid w:val="7DB19F51"/>
    <w:rsid w:val="7DB7C1E5"/>
    <w:rsid w:val="7DB80BA5"/>
    <w:rsid w:val="7DB982D9"/>
    <w:rsid w:val="7DBBD1D2"/>
    <w:rsid w:val="7DBCD61C"/>
    <w:rsid w:val="7DC11C27"/>
    <w:rsid w:val="7DCBBD29"/>
    <w:rsid w:val="7DCD7497"/>
    <w:rsid w:val="7DD8DC54"/>
    <w:rsid w:val="7DDC408D"/>
    <w:rsid w:val="7DE44436"/>
    <w:rsid w:val="7DE76707"/>
    <w:rsid w:val="7DEB8FD9"/>
    <w:rsid w:val="7DECB8AF"/>
    <w:rsid w:val="7DEE782A"/>
    <w:rsid w:val="7DEE9644"/>
    <w:rsid w:val="7DEEF9B9"/>
    <w:rsid w:val="7DEF150D"/>
    <w:rsid w:val="7DF02AC5"/>
    <w:rsid w:val="7DF0DFFB"/>
    <w:rsid w:val="7DF74E7B"/>
    <w:rsid w:val="7DFC5A76"/>
    <w:rsid w:val="7DFF52A0"/>
    <w:rsid w:val="7E00FB92"/>
    <w:rsid w:val="7E06EAB6"/>
    <w:rsid w:val="7E08DA41"/>
    <w:rsid w:val="7E0993EB"/>
    <w:rsid w:val="7E0A900A"/>
    <w:rsid w:val="7E131DAF"/>
    <w:rsid w:val="7E13625C"/>
    <w:rsid w:val="7E1598D6"/>
    <w:rsid w:val="7E1AA8AD"/>
    <w:rsid w:val="7E1ADEB5"/>
    <w:rsid w:val="7E1F81CF"/>
    <w:rsid w:val="7E252A13"/>
    <w:rsid w:val="7E263CEA"/>
    <w:rsid w:val="7E324F32"/>
    <w:rsid w:val="7E32FACE"/>
    <w:rsid w:val="7E33CFE9"/>
    <w:rsid w:val="7E3751DF"/>
    <w:rsid w:val="7E3F8B4D"/>
    <w:rsid w:val="7E420235"/>
    <w:rsid w:val="7E421BAE"/>
    <w:rsid w:val="7E42F800"/>
    <w:rsid w:val="7E442EBA"/>
    <w:rsid w:val="7E445BDF"/>
    <w:rsid w:val="7E466EE5"/>
    <w:rsid w:val="7E467F3E"/>
    <w:rsid w:val="7E46C8C3"/>
    <w:rsid w:val="7E535E3B"/>
    <w:rsid w:val="7E6249A7"/>
    <w:rsid w:val="7E6F665D"/>
    <w:rsid w:val="7E7669B9"/>
    <w:rsid w:val="7E7A0AD8"/>
    <w:rsid w:val="7E7C3D68"/>
    <w:rsid w:val="7E7EE4FC"/>
    <w:rsid w:val="7E80670B"/>
    <w:rsid w:val="7E82CCB5"/>
    <w:rsid w:val="7E84283C"/>
    <w:rsid w:val="7E856866"/>
    <w:rsid w:val="7E869338"/>
    <w:rsid w:val="7E87BDEA"/>
    <w:rsid w:val="7E8F1A7F"/>
    <w:rsid w:val="7E9A613E"/>
    <w:rsid w:val="7E9D22C4"/>
    <w:rsid w:val="7E9DF7A5"/>
    <w:rsid w:val="7E9F016D"/>
    <w:rsid w:val="7E9F176D"/>
    <w:rsid w:val="7EA65A30"/>
    <w:rsid w:val="7EA83E92"/>
    <w:rsid w:val="7EBA6B04"/>
    <w:rsid w:val="7EBFD8EC"/>
    <w:rsid w:val="7EC27435"/>
    <w:rsid w:val="7EC85B28"/>
    <w:rsid w:val="7EC86BD6"/>
    <w:rsid w:val="7ECF76A0"/>
    <w:rsid w:val="7ED60CFE"/>
    <w:rsid w:val="7EDC9018"/>
    <w:rsid w:val="7EDCA1B7"/>
    <w:rsid w:val="7EDF4A36"/>
    <w:rsid w:val="7EDF65D0"/>
    <w:rsid w:val="7EE9AE4A"/>
    <w:rsid w:val="7EEC1EFB"/>
    <w:rsid w:val="7EF13A52"/>
    <w:rsid w:val="7EF81FF2"/>
    <w:rsid w:val="7EF920D1"/>
    <w:rsid w:val="7EFD32D8"/>
    <w:rsid w:val="7EFD5199"/>
    <w:rsid w:val="7EFD76FC"/>
    <w:rsid w:val="7EFF5BE8"/>
    <w:rsid w:val="7F014B29"/>
    <w:rsid w:val="7F06DCAF"/>
    <w:rsid w:val="7F097249"/>
    <w:rsid w:val="7F182113"/>
    <w:rsid w:val="7F1C5C35"/>
    <w:rsid w:val="7F1E6B24"/>
    <w:rsid w:val="7F203AD5"/>
    <w:rsid w:val="7F212C24"/>
    <w:rsid w:val="7F2250FF"/>
    <w:rsid w:val="7F228B4C"/>
    <w:rsid w:val="7F239F6C"/>
    <w:rsid w:val="7F26222C"/>
    <w:rsid w:val="7F2AEFB7"/>
    <w:rsid w:val="7F2C9FA7"/>
    <w:rsid w:val="7F32E5AD"/>
    <w:rsid w:val="7F39F440"/>
    <w:rsid w:val="7F3E76DE"/>
    <w:rsid w:val="7F423C87"/>
    <w:rsid w:val="7F42BD22"/>
    <w:rsid w:val="7F4D185D"/>
    <w:rsid w:val="7F5AA481"/>
    <w:rsid w:val="7F5E1078"/>
    <w:rsid w:val="7F60B16A"/>
    <w:rsid w:val="7F620DAC"/>
    <w:rsid w:val="7F62E4A0"/>
    <w:rsid w:val="7F635B55"/>
    <w:rsid w:val="7F6385A4"/>
    <w:rsid w:val="7F76E162"/>
    <w:rsid w:val="7F7A06F4"/>
    <w:rsid w:val="7F7BD184"/>
    <w:rsid w:val="7F81BEB8"/>
    <w:rsid w:val="7F82BAD7"/>
    <w:rsid w:val="7F83524F"/>
    <w:rsid w:val="7F866200"/>
    <w:rsid w:val="7F8860B9"/>
    <w:rsid w:val="7F89DF0A"/>
    <w:rsid w:val="7F8DEE01"/>
    <w:rsid w:val="7F9069D9"/>
    <w:rsid w:val="7F94F22A"/>
    <w:rsid w:val="7F9B9F67"/>
    <w:rsid w:val="7FA18671"/>
    <w:rsid w:val="7FA5005D"/>
    <w:rsid w:val="7FAFD41C"/>
    <w:rsid w:val="7FB1064F"/>
    <w:rsid w:val="7FB1AE39"/>
    <w:rsid w:val="7FB292F2"/>
    <w:rsid w:val="7FBAA927"/>
    <w:rsid w:val="7FBD7214"/>
    <w:rsid w:val="7FBEC917"/>
    <w:rsid w:val="7FC0E50B"/>
    <w:rsid w:val="7FDD2B3E"/>
    <w:rsid w:val="7FDD500D"/>
    <w:rsid w:val="7FE8DA45"/>
    <w:rsid w:val="7FE95F1C"/>
    <w:rsid w:val="7FEA308D"/>
    <w:rsid w:val="7FF1148C"/>
    <w:rsid w:val="7FF74280"/>
    <w:rsid w:val="7FF8194B"/>
    <w:rsid w:val="7FF8FF3F"/>
    <w:rsid w:val="7FFA8180"/>
    <w:rsid w:val="7FFEA4CD"/>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C5F5D38"/>
  <w15:chartTrackingRefBased/>
  <w15:docId w15:val="{9466DDB5-053F-418C-AFD5-FD2E386A65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11B9A"/>
    <w:pPr>
      <w:spacing w:after="240" w:line="276" w:lineRule="auto"/>
      <w:ind w:right="1701"/>
    </w:pPr>
    <w:rPr>
      <w:rFonts w:ascii="Arial" w:hAnsi="Arial"/>
      <w:sz w:val="20"/>
    </w:rPr>
  </w:style>
  <w:style w:type="paragraph" w:styleId="Heading1">
    <w:name w:val="heading 1"/>
    <w:basedOn w:val="Normal"/>
    <w:next w:val="Normal"/>
    <w:link w:val="Heading1Char"/>
    <w:uiPriority w:val="9"/>
    <w:qFormat/>
    <w:rsid w:val="00257ABD"/>
    <w:pPr>
      <w:keepNext/>
      <w:keepLines/>
      <w:spacing w:before="360"/>
      <w:ind w:right="0"/>
      <w:outlineLvl w:val="0"/>
    </w:pPr>
    <w:rPr>
      <w:rFonts w:eastAsiaTheme="majorEastAsia" w:cstheme="majorBidi"/>
      <w:iCs/>
      <w:color w:val="347B9F"/>
      <w:sz w:val="48"/>
      <w:szCs w:val="32"/>
    </w:rPr>
  </w:style>
  <w:style w:type="paragraph" w:styleId="Heading2">
    <w:name w:val="heading 2"/>
    <w:basedOn w:val="Normal"/>
    <w:next w:val="Normal"/>
    <w:link w:val="Heading2Char"/>
    <w:uiPriority w:val="9"/>
    <w:unhideWhenUsed/>
    <w:qFormat/>
    <w:rsid w:val="00B132DB"/>
    <w:pPr>
      <w:keepNext/>
      <w:keepLines/>
      <w:outlineLvl w:val="1"/>
    </w:pPr>
    <w:rPr>
      <w:rFonts w:eastAsiaTheme="majorEastAsia" w:cstheme="majorBidi"/>
      <w:color w:val="347B9F"/>
      <w:sz w:val="36"/>
      <w:szCs w:val="26"/>
    </w:rPr>
  </w:style>
  <w:style w:type="paragraph" w:styleId="Heading3">
    <w:name w:val="heading 3"/>
    <w:basedOn w:val="Normal"/>
    <w:next w:val="Normal"/>
    <w:link w:val="Heading3Char"/>
    <w:uiPriority w:val="9"/>
    <w:unhideWhenUsed/>
    <w:qFormat/>
    <w:rsid w:val="00173B61"/>
    <w:pPr>
      <w:keepNext/>
      <w:keepLines/>
      <w:ind w:right="1987"/>
      <w:outlineLvl w:val="2"/>
    </w:pPr>
    <w:rPr>
      <w:rFonts w:eastAsiaTheme="majorEastAsia" w:cstheme="majorBidi"/>
      <w:color w:val="347B9F"/>
      <w:sz w:val="28"/>
      <w:szCs w:val="24"/>
    </w:rPr>
  </w:style>
  <w:style w:type="paragraph" w:styleId="Heading4">
    <w:name w:val="heading 4"/>
    <w:basedOn w:val="Normal"/>
    <w:next w:val="Normal"/>
    <w:link w:val="Heading4Char"/>
    <w:uiPriority w:val="9"/>
    <w:unhideWhenUsed/>
    <w:qFormat/>
    <w:rsid w:val="00173B61"/>
    <w:pPr>
      <w:keepNext/>
      <w:keepLines/>
      <w:ind w:right="1987"/>
      <w:outlineLvl w:val="3"/>
    </w:pPr>
    <w:rPr>
      <w:rFonts w:eastAsiaTheme="majorEastAsia" w:cstheme="majorBidi"/>
      <w:iCs/>
      <w:color w:val="347B9F"/>
      <w:sz w:val="24"/>
    </w:rPr>
  </w:style>
  <w:style w:type="paragraph" w:styleId="Heading5">
    <w:name w:val="heading 5"/>
    <w:basedOn w:val="Normal"/>
    <w:next w:val="Normal"/>
    <w:link w:val="Heading5Char"/>
    <w:uiPriority w:val="9"/>
    <w:unhideWhenUsed/>
    <w:qFormat/>
    <w:rsid w:val="00A81854"/>
    <w:pPr>
      <w:keepNext/>
      <w:keepLines/>
      <w:outlineLvl w:val="4"/>
    </w:pPr>
    <w:rPr>
      <w:rFonts w:eastAsiaTheme="majorEastAsia" w:cstheme="majorBidi"/>
      <w:b/>
      <w:color w:val="000000" w:themeColor="text1"/>
    </w:rPr>
  </w:style>
  <w:style w:type="paragraph" w:styleId="Heading6">
    <w:name w:val="heading 6"/>
    <w:basedOn w:val="Normal"/>
    <w:next w:val="Normal"/>
    <w:link w:val="Heading6Char"/>
    <w:uiPriority w:val="9"/>
    <w:unhideWhenUsed/>
    <w:rsid w:val="008E5F01"/>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73B61"/>
    <w:rPr>
      <w:rFonts w:ascii="Arial" w:eastAsiaTheme="majorEastAsia" w:hAnsi="Arial" w:cstheme="majorBidi"/>
      <w:iCs/>
      <w:color w:val="347B9F"/>
      <w:sz w:val="48"/>
      <w:szCs w:val="32"/>
    </w:rPr>
  </w:style>
  <w:style w:type="character" w:customStyle="1" w:styleId="Heading2Char">
    <w:name w:val="Heading 2 Char"/>
    <w:basedOn w:val="DefaultParagraphFont"/>
    <w:link w:val="Heading2"/>
    <w:uiPriority w:val="9"/>
    <w:rsid w:val="00173B61"/>
    <w:rPr>
      <w:rFonts w:ascii="Arial" w:eastAsiaTheme="majorEastAsia" w:hAnsi="Arial" w:cstheme="majorBidi"/>
      <w:color w:val="347B9F"/>
      <w:sz w:val="36"/>
      <w:szCs w:val="26"/>
    </w:rPr>
  </w:style>
  <w:style w:type="character" w:customStyle="1" w:styleId="Heading3Char">
    <w:name w:val="Heading 3 Char"/>
    <w:basedOn w:val="DefaultParagraphFont"/>
    <w:link w:val="Heading3"/>
    <w:uiPriority w:val="9"/>
    <w:rsid w:val="00173B61"/>
    <w:rPr>
      <w:rFonts w:ascii="Arial" w:eastAsiaTheme="majorEastAsia" w:hAnsi="Arial" w:cstheme="majorBidi"/>
      <w:color w:val="347B9F"/>
      <w:sz w:val="28"/>
      <w:szCs w:val="24"/>
    </w:rPr>
  </w:style>
  <w:style w:type="paragraph" w:customStyle="1" w:styleId="Sectiontitle">
    <w:name w:val="Section title"/>
    <w:basedOn w:val="Heading1"/>
    <w:qFormat/>
    <w:rsid w:val="007868A2"/>
    <w:pPr>
      <w:spacing w:before="0" w:after="0"/>
      <w:contextualSpacing/>
    </w:pPr>
    <w:rPr>
      <w:color w:val="FFFFFF" w:themeColor="background1"/>
      <w:sz w:val="96"/>
      <w:szCs w:val="72"/>
    </w:rPr>
  </w:style>
  <w:style w:type="character" w:customStyle="1" w:styleId="Heading4Char">
    <w:name w:val="Heading 4 Char"/>
    <w:basedOn w:val="DefaultParagraphFont"/>
    <w:link w:val="Heading4"/>
    <w:uiPriority w:val="9"/>
    <w:rsid w:val="00173B61"/>
    <w:rPr>
      <w:rFonts w:ascii="Arial" w:eastAsiaTheme="majorEastAsia" w:hAnsi="Arial" w:cstheme="majorBidi"/>
      <w:iCs/>
      <w:color w:val="347B9F"/>
      <w:sz w:val="24"/>
    </w:rPr>
  </w:style>
  <w:style w:type="paragraph" w:customStyle="1" w:styleId="Recommendations">
    <w:name w:val="Recommendations"/>
    <w:basedOn w:val="Normal"/>
    <w:qFormat/>
    <w:rsid w:val="002C2F8E"/>
    <w:pPr>
      <w:spacing w:before="480" w:after="480"/>
      <w:ind w:left="810" w:right="1987"/>
    </w:pPr>
    <w:rPr>
      <w:b/>
      <w:color w:val="347B9F"/>
    </w:rPr>
  </w:style>
  <w:style w:type="table" w:styleId="TableGrid">
    <w:name w:val="Table Grid"/>
    <w:basedOn w:val="TableNormal"/>
    <w:uiPriority w:val="39"/>
    <w:rsid w:val="007C01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paragraph-123">
    <w:name w:val="List paragraph - 123"/>
    <w:basedOn w:val="Normal"/>
    <w:qFormat/>
    <w:rsid w:val="007C01C7"/>
    <w:pPr>
      <w:numPr>
        <w:numId w:val="1"/>
      </w:numPr>
      <w:ind w:right="1987"/>
      <w:contextualSpacing/>
    </w:pPr>
  </w:style>
  <w:style w:type="paragraph" w:customStyle="1" w:styleId="Listparagraph-bulleted">
    <w:name w:val="List paragraph - bulleted"/>
    <w:basedOn w:val="Normal"/>
    <w:qFormat/>
    <w:rsid w:val="00432F57"/>
    <w:pPr>
      <w:numPr>
        <w:numId w:val="3"/>
      </w:numPr>
      <w:ind w:right="1987"/>
      <w:contextualSpacing/>
    </w:pPr>
  </w:style>
  <w:style w:type="paragraph" w:styleId="Quote">
    <w:name w:val="Quote"/>
    <w:aliases w:val="Quote - standard"/>
    <w:basedOn w:val="Normal"/>
    <w:next w:val="Normal"/>
    <w:link w:val="QuoteChar"/>
    <w:uiPriority w:val="29"/>
    <w:qFormat/>
    <w:rsid w:val="002C2F8E"/>
    <w:pPr>
      <w:ind w:left="851" w:right="864"/>
    </w:pPr>
    <w:rPr>
      <w:i/>
      <w:iCs/>
      <w:color w:val="000000" w:themeColor="text1"/>
    </w:rPr>
  </w:style>
  <w:style w:type="character" w:customStyle="1" w:styleId="QuoteChar">
    <w:name w:val="Quote Char"/>
    <w:aliases w:val="Quote - standard Char"/>
    <w:basedOn w:val="DefaultParagraphFont"/>
    <w:link w:val="Quote"/>
    <w:uiPriority w:val="29"/>
    <w:rsid w:val="002C2F8E"/>
    <w:rPr>
      <w:rFonts w:ascii="Arial" w:hAnsi="Arial"/>
      <w:i/>
      <w:iCs/>
      <w:color w:val="000000" w:themeColor="text1"/>
    </w:rPr>
  </w:style>
  <w:style w:type="paragraph" w:styleId="IntenseQuote">
    <w:name w:val="Intense Quote"/>
    <w:aliases w:val="Quote - feature"/>
    <w:basedOn w:val="Normal"/>
    <w:next w:val="Normal"/>
    <w:link w:val="IntenseQuoteChar"/>
    <w:uiPriority w:val="30"/>
    <w:qFormat/>
    <w:rsid w:val="002C2F8E"/>
    <w:pPr>
      <w:spacing w:after="480"/>
      <w:ind w:left="864" w:right="567"/>
      <w:jc w:val="right"/>
    </w:pPr>
    <w:rPr>
      <w:i/>
      <w:iCs/>
      <w:color w:val="347B9F"/>
      <w:sz w:val="28"/>
    </w:rPr>
  </w:style>
  <w:style w:type="character" w:customStyle="1" w:styleId="IntenseQuoteChar">
    <w:name w:val="Intense Quote Char"/>
    <w:aliases w:val="Quote - feature Char"/>
    <w:basedOn w:val="DefaultParagraphFont"/>
    <w:link w:val="IntenseQuote"/>
    <w:uiPriority w:val="30"/>
    <w:rsid w:val="002C2F8E"/>
    <w:rPr>
      <w:rFonts w:ascii="Arial" w:hAnsi="Arial"/>
      <w:i/>
      <w:iCs/>
      <w:color w:val="347B9F"/>
      <w:sz w:val="28"/>
    </w:rPr>
  </w:style>
  <w:style w:type="paragraph" w:customStyle="1" w:styleId="Casestudyheading">
    <w:name w:val="Case study heading"/>
    <w:basedOn w:val="Normal"/>
    <w:qFormat/>
    <w:rsid w:val="00794D44"/>
    <w:pPr>
      <w:ind w:left="1134" w:right="1987"/>
    </w:pPr>
    <w:rPr>
      <w:color w:val="347B9F"/>
      <w:sz w:val="36"/>
      <w:szCs w:val="36"/>
    </w:rPr>
  </w:style>
  <w:style w:type="paragraph" w:customStyle="1" w:styleId="Casestudytext">
    <w:name w:val="Case study text"/>
    <w:basedOn w:val="Normal"/>
    <w:qFormat/>
    <w:rsid w:val="00794D44"/>
    <w:pPr>
      <w:ind w:left="1134" w:right="1987"/>
    </w:pPr>
    <w:rPr>
      <w:color w:val="347B9F"/>
    </w:rPr>
  </w:style>
  <w:style w:type="paragraph" w:customStyle="1" w:styleId="Tableheading">
    <w:name w:val="Table heading"/>
    <w:basedOn w:val="Normal"/>
    <w:qFormat/>
    <w:rsid w:val="007C01C7"/>
    <w:pPr>
      <w:spacing w:before="120" w:after="120"/>
      <w:ind w:right="0"/>
    </w:pPr>
    <w:rPr>
      <w:b/>
      <w:color w:val="347B9F"/>
    </w:rPr>
  </w:style>
  <w:style w:type="paragraph" w:styleId="FootnoteText">
    <w:name w:val="footnote text"/>
    <w:aliases w:val="Footnote text"/>
    <w:basedOn w:val="Normal"/>
    <w:link w:val="FootnoteTextChar"/>
    <w:uiPriority w:val="99"/>
    <w:unhideWhenUsed/>
    <w:rsid w:val="007B7282"/>
    <w:pPr>
      <w:spacing w:after="0" w:line="240" w:lineRule="auto"/>
      <w:ind w:right="0"/>
    </w:pPr>
    <w:rPr>
      <w:color w:val="000000" w:themeColor="text1"/>
      <w:sz w:val="16"/>
      <w:szCs w:val="20"/>
    </w:rPr>
  </w:style>
  <w:style w:type="character" w:customStyle="1" w:styleId="FootnoteTextChar">
    <w:name w:val="Footnote Text Char"/>
    <w:aliases w:val="Footnote text Char"/>
    <w:basedOn w:val="DefaultParagraphFont"/>
    <w:link w:val="FootnoteText"/>
    <w:uiPriority w:val="99"/>
    <w:rsid w:val="00766BCB"/>
    <w:rPr>
      <w:rFonts w:ascii="Arial" w:hAnsi="Arial"/>
      <w:color w:val="000000" w:themeColor="text1"/>
      <w:sz w:val="16"/>
      <w:szCs w:val="20"/>
    </w:rPr>
  </w:style>
  <w:style w:type="paragraph" w:customStyle="1" w:styleId="Tabletext">
    <w:name w:val="Table text"/>
    <w:basedOn w:val="Normal"/>
    <w:qFormat/>
    <w:rsid w:val="007C01C7"/>
    <w:pPr>
      <w:spacing w:before="120" w:after="120"/>
      <w:ind w:right="0"/>
    </w:pPr>
  </w:style>
  <w:style w:type="paragraph" w:styleId="Caption">
    <w:name w:val="caption"/>
    <w:basedOn w:val="Normal"/>
    <w:next w:val="Normal"/>
    <w:unhideWhenUsed/>
    <w:qFormat/>
    <w:rsid w:val="009038B8"/>
    <w:pPr>
      <w:spacing w:line="240" w:lineRule="auto"/>
      <w:ind w:right="1987"/>
    </w:pPr>
    <w:rPr>
      <w:i/>
      <w:iCs/>
      <w:color w:val="000000" w:themeColor="text1"/>
      <w:szCs w:val="18"/>
    </w:rPr>
  </w:style>
  <w:style w:type="character" w:customStyle="1" w:styleId="Heading5Char">
    <w:name w:val="Heading 5 Char"/>
    <w:basedOn w:val="DefaultParagraphFont"/>
    <w:link w:val="Heading5"/>
    <w:uiPriority w:val="9"/>
    <w:rsid w:val="00A81854"/>
    <w:rPr>
      <w:rFonts w:ascii="Arial" w:eastAsiaTheme="majorEastAsia" w:hAnsi="Arial" w:cstheme="majorBidi"/>
      <w:b/>
      <w:color w:val="000000" w:themeColor="text1"/>
    </w:rPr>
  </w:style>
  <w:style w:type="character" w:styleId="FootnoteReference">
    <w:name w:val="footnote reference"/>
    <w:aliases w:val="4_G,Footnote number,Footnotes refss,Footnote,Stinking Styles"/>
    <w:basedOn w:val="DefaultParagraphFont"/>
    <w:uiPriority w:val="99"/>
    <w:unhideWhenUsed/>
    <w:rsid w:val="007C01C7"/>
    <w:rPr>
      <w:vertAlign w:val="superscript"/>
    </w:rPr>
  </w:style>
  <w:style w:type="paragraph" w:styleId="Footer">
    <w:name w:val="footer"/>
    <w:basedOn w:val="Normal"/>
    <w:link w:val="FooterChar"/>
    <w:uiPriority w:val="99"/>
    <w:unhideWhenUsed/>
    <w:rsid w:val="00847A69"/>
    <w:pPr>
      <w:tabs>
        <w:tab w:val="center" w:pos="4513"/>
        <w:tab w:val="right" w:pos="9026"/>
      </w:tabs>
      <w:spacing w:after="0" w:line="240" w:lineRule="auto"/>
      <w:ind w:right="1134"/>
    </w:pPr>
    <w:rPr>
      <w:color w:val="347B9F"/>
      <w:sz w:val="18"/>
    </w:rPr>
  </w:style>
  <w:style w:type="character" w:customStyle="1" w:styleId="FooterChar">
    <w:name w:val="Footer Char"/>
    <w:basedOn w:val="DefaultParagraphFont"/>
    <w:link w:val="Footer"/>
    <w:uiPriority w:val="99"/>
    <w:rsid w:val="00847A69"/>
    <w:rPr>
      <w:rFonts w:ascii="Arial" w:hAnsi="Arial"/>
      <w:color w:val="347B9F"/>
      <w:sz w:val="18"/>
    </w:rPr>
  </w:style>
  <w:style w:type="paragraph" w:styleId="Header">
    <w:name w:val="header"/>
    <w:basedOn w:val="Normal"/>
    <w:link w:val="HeaderChar"/>
    <w:uiPriority w:val="99"/>
    <w:unhideWhenUsed/>
    <w:rsid w:val="00FA519B"/>
    <w:pPr>
      <w:tabs>
        <w:tab w:val="center" w:pos="4513"/>
        <w:tab w:val="right" w:pos="9026"/>
      </w:tabs>
      <w:spacing w:after="0" w:line="240" w:lineRule="auto"/>
    </w:pPr>
  </w:style>
  <w:style w:type="character" w:customStyle="1" w:styleId="HeaderChar">
    <w:name w:val="Header Char"/>
    <w:basedOn w:val="DefaultParagraphFont"/>
    <w:link w:val="Header"/>
    <w:uiPriority w:val="99"/>
    <w:rsid w:val="00FA519B"/>
    <w:rPr>
      <w:rFonts w:ascii="Arial" w:hAnsi="Arial"/>
    </w:rPr>
  </w:style>
  <w:style w:type="character" w:customStyle="1" w:styleId="Heading6Char">
    <w:name w:val="Heading 6 Char"/>
    <w:basedOn w:val="DefaultParagraphFont"/>
    <w:link w:val="Heading6"/>
    <w:uiPriority w:val="9"/>
    <w:rsid w:val="008E5F01"/>
    <w:rPr>
      <w:rFonts w:asciiTheme="majorHAnsi" w:eastAsiaTheme="majorEastAsia" w:hAnsiTheme="majorHAnsi" w:cstheme="majorBidi"/>
      <w:color w:val="1F3763" w:themeColor="accent1" w:themeShade="7F"/>
    </w:rPr>
  </w:style>
  <w:style w:type="character" w:styleId="Hyperlink">
    <w:name w:val="Hyperlink"/>
    <w:basedOn w:val="DefaultParagraphFont"/>
    <w:uiPriority w:val="99"/>
    <w:unhideWhenUsed/>
    <w:rsid w:val="00D115FC"/>
    <w:rPr>
      <w:color w:val="337B9E"/>
      <w:u w:val="single"/>
    </w:rPr>
  </w:style>
  <w:style w:type="paragraph" w:customStyle="1" w:styleId="TableTextHeading">
    <w:name w:val="Table Text Heading"/>
    <w:basedOn w:val="Normal"/>
    <w:uiPriority w:val="13"/>
    <w:qFormat/>
    <w:rsid w:val="007A0EBB"/>
    <w:pPr>
      <w:keepLines/>
      <w:widowControl w:val="0"/>
      <w:spacing w:before="60" w:after="60" w:line="264" w:lineRule="auto"/>
      <w:ind w:right="0"/>
    </w:pPr>
    <w:rPr>
      <w:color w:val="347B9F"/>
      <w:sz w:val="24"/>
      <w:szCs w:val="18"/>
    </w:rPr>
  </w:style>
  <w:style w:type="paragraph" w:customStyle="1" w:styleId="TableText0">
    <w:name w:val="Table Text"/>
    <w:basedOn w:val="Normal"/>
    <w:uiPriority w:val="14"/>
    <w:rsid w:val="007A0EBB"/>
    <w:pPr>
      <w:keepLines/>
      <w:widowControl w:val="0"/>
      <w:spacing w:before="60" w:after="60"/>
      <w:ind w:right="0"/>
    </w:pPr>
    <w:rPr>
      <w:sz w:val="24"/>
      <w:szCs w:val="18"/>
    </w:rPr>
  </w:style>
  <w:style w:type="paragraph" w:styleId="TOC1">
    <w:name w:val="toc 1"/>
    <w:basedOn w:val="Normal"/>
    <w:next w:val="Normal"/>
    <w:autoRedefine/>
    <w:uiPriority w:val="39"/>
    <w:unhideWhenUsed/>
    <w:rsid w:val="00CF4104"/>
    <w:pPr>
      <w:tabs>
        <w:tab w:val="left" w:leader="dot" w:pos="8496"/>
      </w:tabs>
      <w:spacing w:before="120" w:after="0"/>
      <w:ind w:right="115"/>
    </w:pPr>
    <w:rPr>
      <w:rFonts w:cstheme="minorHAnsi"/>
      <w:b/>
      <w:bCs/>
      <w:szCs w:val="20"/>
    </w:rPr>
  </w:style>
  <w:style w:type="paragraph" w:styleId="TOC2">
    <w:name w:val="toc 2"/>
    <w:basedOn w:val="TOC1"/>
    <w:next w:val="Normal"/>
    <w:autoRedefine/>
    <w:uiPriority w:val="39"/>
    <w:unhideWhenUsed/>
    <w:rsid w:val="00701FA9"/>
    <w:rPr>
      <w:rFonts w:eastAsia="Times New Roman" w:cs="Times New Roman"/>
      <w:b w:val="0"/>
      <w:iCs/>
      <w:noProof/>
      <w:color w:val="000000" w:themeColor="text1"/>
      <w:kern w:val="36"/>
      <w:lang w:eastAsia="en-AU"/>
    </w:rPr>
  </w:style>
  <w:style w:type="paragraph" w:styleId="TOC3">
    <w:name w:val="toc 3"/>
    <w:basedOn w:val="Normal"/>
    <w:next w:val="Normal"/>
    <w:autoRedefine/>
    <w:uiPriority w:val="39"/>
    <w:unhideWhenUsed/>
    <w:rsid w:val="004405CB"/>
    <w:pPr>
      <w:tabs>
        <w:tab w:val="left" w:leader="dot" w:pos="8496"/>
      </w:tabs>
      <w:spacing w:after="0"/>
      <w:ind w:left="360" w:right="1987"/>
    </w:pPr>
    <w:rPr>
      <w:rFonts w:cstheme="minorHAnsi"/>
      <w:szCs w:val="20"/>
    </w:rPr>
  </w:style>
  <w:style w:type="paragraph" w:styleId="TOC4">
    <w:name w:val="toc 4"/>
    <w:basedOn w:val="Normal"/>
    <w:next w:val="Normal"/>
    <w:autoRedefine/>
    <w:uiPriority w:val="39"/>
    <w:unhideWhenUsed/>
    <w:rsid w:val="002D4CFC"/>
    <w:pPr>
      <w:spacing w:after="0"/>
      <w:ind w:left="660"/>
    </w:pPr>
    <w:rPr>
      <w:rFonts w:asciiTheme="minorHAnsi" w:hAnsiTheme="minorHAnsi" w:cstheme="minorHAnsi"/>
      <w:szCs w:val="20"/>
    </w:rPr>
  </w:style>
  <w:style w:type="paragraph" w:styleId="TOC5">
    <w:name w:val="toc 5"/>
    <w:basedOn w:val="Normal"/>
    <w:next w:val="Normal"/>
    <w:autoRedefine/>
    <w:uiPriority w:val="39"/>
    <w:unhideWhenUsed/>
    <w:rsid w:val="002D4CFC"/>
    <w:pPr>
      <w:spacing w:after="0"/>
      <w:ind w:left="880"/>
    </w:pPr>
    <w:rPr>
      <w:rFonts w:asciiTheme="minorHAnsi" w:hAnsiTheme="minorHAnsi" w:cstheme="minorHAnsi"/>
      <w:szCs w:val="20"/>
    </w:rPr>
  </w:style>
  <w:style w:type="paragraph" w:styleId="TOC6">
    <w:name w:val="toc 6"/>
    <w:basedOn w:val="Normal"/>
    <w:next w:val="Normal"/>
    <w:autoRedefine/>
    <w:uiPriority w:val="39"/>
    <w:unhideWhenUsed/>
    <w:rsid w:val="002D4CFC"/>
    <w:pPr>
      <w:spacing w:after="0"/>
      <w:ind w:left="1100"/>
    </w:pPr>
    <w:rPr>
      <w:rFonts w:asciiTheme="minorHAnsi" w:hAnsiTheme="minorHAnsi" w:cstheme="minorHAnsi"/>
      <w:szCs w:val="20"/>
    </w:rPr>
  </w:style>
  <w:style w:type="paragraph" w:styleId="TOC7">
    <w:name w:val="toc 7"/>
    <w:basedOn w:val="Normal"/>
    <w:next w:val="Normal"/>
    <w:autoRedefine/>
    <w:uiPriority w:val="39"/>
    <w:unhideWhenUsed/>
    <w:rsid w:val="002D4CFC"/>
    <w:pPr>
      <w:spacing w:after="0"/>
      <w:ind w:left="1320"/>
    </w:pPr>
    <w:rPr>
      <w:rFonts w:asciiTheme="minorHAnsi" w:hAnsiTheme="minorHAnsi" w:cstheme="minorHAnsi"/>
      <w:szCs w:val="20"/>
    </w:rPr>
  </w:style>
  <w:style w:type="paragraph" w:styleId="TOC8">
    <w:name w:val="toc 8"/>
    <w:basedOn w:val="Normal"/>
    <w:next w:val="Normal"/>
    <w:autoRedefine/>
    <w:uiPriority w:val="39"/>
    <w:unhideWhenUsed/>
    <w:rsid w:val="002D4CFC"/>
    <w:pPr>
      <w:spacing w:after="0"/>
      <w:ind w:left="1540"/>
    </w:pPr>
    <w:rPr>
      <w:rFonts w:asciiTheme="minorHAnsi" w:hAnsiTheme="minorHAnsi" w:cstheme="minorHAnsi"/>
      <w:szCs w:val="20"/>
    </w:rPr>
  </w:style>
  <w:style w:type="paragraph" w:styleId="TOC9">
    <w:name w:val="toc 9"/>
    <w:basedOn w:val="Normal"/>
    <w:next w:val="Normal"/>
    <w:autoRedefine/>
    <w:uiPriority w:val="39"/>
    <w:unhideWhenUsed/>
    <w:rsid w:val="002D4CFC"/>
    <w:pPr>
      <w:spacing w:after="0"/>
      <w:ind w:left="1760"/>
    </w:pPr>
    <w:rPr>
      <w:rFonts w:asciiTheme="minorHAnsi" w:hAnsiTheme="minorHAnsi" w:cstheme="minorHAnsi"/>
      <w:szCs w:val="20"/>
    </w:rPr>
  </w:style>
  <w:style w:type="character" w:styleId="CommentReference">
    <w:name w:val="annotation reference"/>
    <w:basedOn w:val="DefaultParagraphFont"/>
    <w:uiPriority w:val="99"/>
    <w:semiHidden/>
    <w:unhideWhenUsed/>
    <w:rsid w:val="0002787C"/>
    <w:rPr>
      <w:sz w:val="16"/>
      <w:szCs w:val="16"/>
    </w:rPr>
  </w:style>
  <w:style w:type="paragraph" w:styleId="CommentText">
    <w:name w:val="annotation text"/>
    <w:basedOn w:val="Normal"/>
    <w:link w:val="CommentTextChar"/>
    <w:uiPriority w:val="99"/>
    <w:unhideWhenUsed/>
    <w:rsid w:val="0002787C"/>
    <w:pPr>
      <w:spacing w:line="240" w:lineRule="auto"/>
    </w:pPr>
    <w:rPr>
      <w:szCs w:val="20"/>
    </w:rPr>
  </w:style>
  <w:style w:type="character" w:customStyle="1" w:styleId="CommentTextChar">
    <w:name w:val="Comment Text Char"/>
    <w:basedOn w:val="DefaultParagraphFont"/>
    <w:link w:val="CommentText"/>
    <w:uiPriority w:val="99"/>
    <w:rsid w:val="0002787C"/>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02787C"/>
    <w:rPr>
      <w:b/>
      <w:bCs/>
    </w:rPr>
  </w:style>
  <w:style w:type="character" w:customStyle="1" w:styleId="CommentSubjectChar">
    <w:name w:val="Comment Subject Char"/>
    <w:basedOn w:val="CommentTextChar"/>
    <w:link w:val="CommentSubject"/>
    <w:uiPriority w:val="99"/>
    <w:semiHidden/>
    <w:rsid w:val="0002787C"/>
    <w:rPr>
      <w:rFonts w:ascii="Arial" w:hAnsi="Arial"/>
      <w:b/>
      <w:bCs/>
      <w:sz w:val="20"/>
      <w:szCs w:val="20"/>
    </w:rPr>
  </w:style>
  <w:style w:type="paragraph" w:styleId="Title">
    <w:name w:val="Title"/>
    <w:basedOn w:val="Normal"/>
    <w:next w:val="Normal"/>
    <w:link w:val="TitleChar"/>
    <w:uiPriority w:val="10"/>
    <w:qFormat/>
    <w:rsid w:val="00AE7CFA"/>
    <w:pPr>
      <w:keepLines/>
      <w:widowControl w:val="0"/>
      <w:spacing w:after="0" w:line="240" w:lineRule="auto"/>
      <w:ind w:right="2160"/>
      <w:contextualSpacing/>
    </w:pPr>
    <w:rPr>
      <w:rFonts w:eastAsiaTheme="majorEastAsia" w:cstheme="majorBidi"/>
      <w:spacing w:val="-10"/>
      <w:kern w:val="28"/>
      <w:sz w:val="72"/>
      <w:szCs w:val="56"/>
    </w:rPr>
  </w:style>
  <w:style w:type="character" w:customStyle="1" w:styleId="TitleChar">
    <w:name w:val="Title Char"/>
    <w:basedOn w:val="DefaultParagraphFont"/>
    <w:link w:val="Title"/>
    <w:uiPriority w:val="10"/>
    <w:rsid w:val="00AE7CFA"/>
    <w:rPr>
      <w:rFonts w:ascii="Arial" w:eastAsiaTheme="majorEastAsia" w:hAnsi="Arial" w:cstheme="majorBidi"/>
      <w:spacing w:val="-10"/>
      <w:kern w:val="28"/>
      <w:sz w:val="72"/>
      <w:szCs w:val="56"/>
    </w:rPr>
  </w:style>
  <w:style w:type="paragraph" w:styleId="ListParagraph">
    <w:name w:val="List Paragraph"/>
    <w:aliases w:val="Bullet,NFP GP Bulleted List,List Paragraph1,Recommendation,List Paragraph11,FooterText,numbered,Paragraphe de liste1,Bulletr List Paragraph,列出段落,列出段落1,List Paragraph2,List Paragraph21,Listeafsnit1,Parágrafo da Lista1,Párrafo de lista1,L"/>
    <w:basedOn w:val="Normal"/>
    <w:link w:val="ListParagraphChar"/>
    <w:uiPriority w:val="34"/>
    <w:qFormat/>
    <w:rsid w:val="004F5B86"/>
    <w:pPr>
      <w:keepLines/>
      <w:widowControl w:val="0"/>
      <w:numPr>
        <w:numId w:val="2"/>
      </w:numPr>
      <w:ind w:right="2160"/>
      <w:contextualSpacing/>
    </w:pPr>
    <w:rPr>
      <w:rFonts w:eastAsiaTheme="minorEastAsia"/>
      <w:iCs/>
      <w:color w:val="000000" w:themeColor="text1"/>
      <w:szCs w:val="20"/>
    </w:rPr>
  </w:style>
  <w:style w:type="character" w:customStyle="1" w:styleId="ListParagraphChar">
    <w:name w:val="List Paragraph Char"/>
    <w:aliases w:val="Bullet Char,NFP GP Bulleted List Char,List Paragraph1 Char,Recommendation Char,List Paragraph11 Char,FooterText Char,numbered Char,Paragraphe de liste1 Char,Bulletr List Paragraph Char,列出段落 Char,列出段落1 Char,List Paragraph2 Char,L Char"/>
    <w:link w:val="ListParagraph"/>
    <w:uiPriority w:val="34"/>
    <w:qFormat/>
    <w:locked/>
    <w:rsid w:val="004F5B86"/>
    <w:rPr>
      <w:rFonts w:ascii="Arial" w:eastAsiaTheme="minorEastAsia" w:hAnsi="Arial"/>
      <w:iCs/>
      <w:color w:val="000000" w:themeColor="text1"/>
      <w:sz w:val="20"/>
      <w:szCs w:val="20"/>
    </w:rPr>
  </w:style>
  <w:style w:type="paragraph" w:styleId="TOCHeading">
    <w:name w:val="TOC Heading"/>
    <w:basedOn w:val="Heading1"/>
    <w:next w:val="Normal"/>
    <w:uiPriority w:val="39"/>
    <w:unhideWhenUsed/>
    <w:qFormat/>
    <w:rsid w:val="009261F5"/>
    <w:pPr>
      <w:spacing w:before="240" w:after="0" w:line="259" w:lineRule="auto"/>
      <w:outlineLvl w:val="9"/>
    </w:pPr>
    <w:rPr>
      <w:rFonts w:asciiTheme="majorHAnsi" w:hAnsiTheme="majorHAnsi"/>
      <w:color w:val="2F5496" w:themeColor="accent1" w:themeShade="BF"/>
      <w:sz w:val="32"/>
      <w:lang w:val="en-US"/>
    </w:rPr>
  </w:style>
  <w:style w:type="character" w:styleId="Strong">
    <w:name w:val="Strong"/>
    <w:basedOn w:val="DefaultParagraphFont"/>
    <w:uiPriority w:val="22"/>
    <w:qFormat/>
    <w:rsid w:val="0051646F"/>
    <w:rPr>
      <w:b/>
      <w:bCs/>
    </w:rPr>
  </w:style>
  <w:style w:type="paragraph" w:customStyle="1" w:styleId="Chapterheading">
    <w:name w:val="Chapter heading"/>
    <w:qFormat/>
    <w:rsid w:val="00EF6EE1"/>
    <w:pPr>
      <w:spacing w:before="1440" w:after="240"/>
    </w:pPr>
    <w:rPr>
      <w:rFonts w:ascii="Arial" w:eastAsia="Times New Roman" w:hAnsi="Arial" w:cs="Times New Roman"/>
      <w:bCs/>
      <w:color w:val="FFFFFF" w:themeColor="background1"/>
      <w:kern w:val="36"/>
      <w:sz w:val="72"/>
      <w:szCs w:val="48"/>
      <w:lang w:eastAsia="en-AU"/>
    </w:rPr>
  </w:style>
  <w:style w:type="character" w:styleId="Emphasis">
    <w:name w:val="Emphasis"/>
    <w:basedOn w:val="DefaultParagraphFont"/>
    <w:uiPriority w:val="20"/>
    <w:qFormat/>
    <w:rsid w:val="004C374F"/>
    <w:rPr>
      <w:i/>
      <w:iCs/>
    </w:rPr>
  </w:style>
  <w:style w:type="character" w:styleId="HTMLCite">
    <w:name w:val="HTML Cite"/>
    <w:basedOn w:val="DefaultParagraphFont"/>
    <w:uiPriority w:val="99"/>
    <w:semiHidden/>
    <w:unhideWhenUsed/>
    <w:rsid w:val="004C374F"/>
    <w:rPr>
      <w:i/>
      <w:iCs/>
    </w:rPr>
  </w:style>
  <w:style w:type="character" w:customStyle="1" w:styleId="UnresolvedMention1">
    <w:name w:val="Unresolved Mention1"/>
    <w:basedOn w:val="DefaultParagraphFont"/>
    <w:uiPriority w:val="99"/>
    <w:unhideWhenUsed/>
    <w:rsid w:val="00485AE0"/>
    <w:rPr>
      <w:color w:val="605E5C"/>
      <w:shd w:val="clear" w:color="auto" w:fill="E1DFDD"/>
    </w:rPr>
  </w:style>
  <w:style w:type="paragraph" w:styleId="NoSpacing">
    <w:name w:val="No Spacing"/>
    <w:uiPriority w:val="1"/>
    <w:qFormat/>
    <w:rsid w:val="009271E0"/>
    <w:pPr>
      <w:spacing w:after="0" w:line="240" w:lineRule="auto"/>
      <w:ind w:right="1985"/>
    </w:pPr>
    <w:rPr>
      <w:rFonts w:ascii="Arial" w:hAnsi="Arial"/>
    </w:rPr>
  </w:style>
  <w:style w:type="character" w:customStyle="1" w:styleId="Mention1">
    <w:name w:val="Mention1"/>
    <w:basedOn w:val="DefaultParagraphFont"/>
    <w:uiPriority w:val="99"/>
    <w:unhideWhenUsed/>
    <w:rsid w:val="001E246F"/>
    <w:rPr>
      <w:color w:val="2B579A"/>
      <w:shd w:val="clear" w:color="auto" w:fill="E1DFDD"/>
    </w:rPr>
  </w:style>
  <w:style w:type="paragraph" w:styleId="Revision">
    <w:name w:val="Revision"/>
    <w:hidden/>
    <w:uiPriority w:val="99"/>
    <w:semiHidden/>
    <w:rsid w:val="00DB0D72"/>
    <w:pPr>
      <w:spacing w:after="0" w:line="240" w:lineRule="auto"/>
    </w:pPr>
    <w:rPr>
      <w:rFonts w:ascii="Arial" w:hAnsi="Arial"/>
    </w:rPr>
  </w:style>
  <w:style w:type="character" w:styleId="FollowedHyperlink">
    <w:name w:val="FollowedHyperlink"/>
    <w:basedOn w:val="DefaultParagraphFont"/>
    <w:uiPriority w:val="99"/>
    <w:semiHidden/>
    <w:unhideWhenUsed/>
    <w:rsid w:val="00F47B4B"/>
    <w:rPr>
      <w:color w:val="954F72" w:themeColor="followedHyperlink"/>
      <w:u w:val="single"/>
    </w:rPr>
  </w:style>
  <w:style w:type="paragraph" w:customStyle="1" w:styleId="Default">
    <w:name w:val="Default"/>
    <w:rsid w:val="00853526"/>
    <w:pPr>
      <w:autoSpaceDE w:val="0"/>
      <w:autoSpaceDN w:val="0"/>
      <w:adjustRightInd w:val="0"/>
      <w:spacing w:after="0" w:line="240" w:lineRule="auto"/>
    </w:pPr>
    <w:rPr>
      <w:rFonts w:ascii="Arial" w:hAnsi="Arial" w:cs="Arial"/>
      <w:color w:val="000000"/>
      <w:sz w:val="24"/>
      <w:szCs w:val="24"/>
    </w:rPr>
  </w:style>
  <w:style w:type="paragraph" w:customStyle="1" w:styleId="paragraph">
    <w:name w:val="paragraph"/>
    <w:basedOn w:val="Normal"/>
    <w:rsid w:val="0045481B"/>
    <w:pPr>
      <w:spacing w:before="100" w:beforeAutospacing="1" w:after="100" w:afterAutospacing="1" w:line="240" w:lineRule="auto"/>
      <w:ind w:right="0"/>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45481B"/>
  </w:style>
  <w:style w:type="character" w:customStyle="1" w:styleId="eop">
    <w:name w:val="eop"/>
    <w:basedOn w:val="DefaultParagraphFont"/>
    <w:rsid w:val="0045481B"/>
  </w:style>
  <w:style w:type="character" w:customStyle="1" w:styleId="superscript">
    <w:name w:val="superscript"/>
    <w:basedOn w:val="DefaultParagraphFont"/>
    <w:rsid w:val="0045481B"/>
  </w:style>
  <w:style w:type="character" w:customStyle="1" w:styleId="pagebreaktextspan">
    <w:name w:val="pagebreaktextspan"/>
    <w:basedOn w:val="DefaultParagraphFont"/>
    <w:rsid w:val="0045481B"/>
  </w:style>
  <w:style w:type="paragraph" w:customStyle="1" w:styleId="FootnoteText1">
    <w:name w:val="Footnote Text1"/>
    <w:basedOn w:val="Normal"/>
    <w:next w:val="FootnoteText"/>
    <w:uiPriority w:val="99"/>
    <w:rsid w:val="00C90591"/>
    <w:pPr>
      <w:keepLines/>
      <w:widowControl w:val="0"/>
      <w:spacing w:after="0" w:line="240" w:lineRule="auto"/>
      <w:ind w:right="0"/>
    </w:pPr>
    <w:rPr>
      <w:rFonts w:ascii="Calibri" w:eastAsia="Times New Roman" w:hAnsi="Calibri" w:cs="Times New Roman"/>
      <w:color w:val="000000"/>
      <w:szCs w:val="20"/>
      <w:lang w:eastAsia="en-AU"/>
    </w:rPr>
  </w:style>
  <w:style w:type="paragraph" w:styleId="EndnoteText">
    <w:name w:val="endnote text"/>
    <w:basedOn w:val="Normal"/>
    <w:link w:val="EndnoteTextChar"/>
    <w:uiPriority w:val="99"/>
    <w:semiHidden/>
    <w:unhideWhenUsed/>
    <w:rsid w:val="006645EA"/>
    <w:pPr>
      <w:spacing w:after="0" w:line="240" w:lineRule="auto"/>
    </w:pPr>
    <w:rPr>
      <w:szCs w:val="20"/>
    </w:rPr>
  </w:style>
  <w:style w:type="character" w:customStyle="1" w:styleId="EndnoteTextChar">
    <w:name w:val="Endnote Text Char"/>
    <w:basedOn w:val="DefaultParagraphFont"/>
    <w:link w:val="EndnoteText"/>
    <w:uiPriority w:val="99"/>
    <w:semiHidden/>
    <w:rsid w:val="006645EA"/>
    <w:rPr>
      <w:rFonts w:ascii="Arial" w:hAnsi="Arial"/>
      <w:sz w:val="20"/>
      <w:szCs w:val="20"/>
    </w:rPr>
  </w:style>
  <w:style w:type="character" w:styleId="EndnoteReference">
    <w:name w:val="endnote reference"/>
    <w:basedOn w:val="DefaultParagraphFont"/>
    <w:uiPriority w:val="99"/>
    <w:semiHidden/>
    <w:unhideWhenUsed/>
    <w:rsid w:val="006645EA"/>
    <w:rPr>
      <w:vertAlign w:val="superscript"/>
    </w:rPr>
  </w:style>
  <w:style w:type="paragraph" w:customStyle="1" w:styleId="xmsonormal">
    <w:name w:val="x_msonormal"/>
    <w:basedOn w:val="Normal"/>
    <w:uiPriority w:val="1"/>
    <w:rsid w:val="00FD4BC7"/>
    <w:pPr>
      <w:spacing w:after="0"/>
    </w:pPr>
    <w:rPr>
      <w:rFonts w:ascii="Calibri" w:hAnsi="Calibri" w:cs="Calibri"/>
      <w:lang w:eastAsia="en-AU"/>
    </w:rPr>
  </w:style>
  <w:style w:type="paragraph" w:customStyle="1" w:styleId="xmsolistparagraph">
    <w:name w:val="x_msolistparagraph"/>
    <w:basedOn w:val="Normal"/>
    <w:uiPriority w:val="1"/>
    <w:rsid w:val="00FD4BC7"/>
    <w:pPr>
      <w:spacing w:after="0"/>
      <w:ind w:left="720"/>
    </w:pPr>
    <w:rPr>
      <w:rFonts w:ascii="Calibri" w:hAnsi="Calibri" w:cs="Calibri"/>
      <w:lang w:eastAsia="en-AU"/>
    </w:rPr>
  </w:style>
  <w:style w:type="paragraph" w:customStyle="1" w:styleId="pf0">
    <w:name w:val="pf0"/>
    <w:basedOn w:val="Normal"/>
    <w:rsid w:val="00BA1F45"/>
    <w:pPr>
      <w:spacing w:before="100" w:beforeAutospacing="1" w:after="100" w:afterAutospacing="1" w:line="240" w:lineRule="auto"/>
      <w:ind w:right="0"/>
    </w:pPr>
    <w:rPr>
      <w:rFonts w:ascii="Times New Roman" w:eastAsia="Times New Roman" w:hAnsi="Times New Roman" w:cs="Times New Roman"/>
      <w:sz w:val="24"/>
      <w:szCs w:val="24"/>
      <w:lang w:eastAsia="en-AU"/>
    </w:rPr>
  </w:style>
  <w:style w:type="character" w:customStyle="1" w:styleId="cf01">
    <w:name w:val="cf01"/>
    <w:basedOn w:val="DefaultParagraphFont"/>
    <w:rsid w:val="00BA1F45"/>
    <w:rPr>
      <w:rFonts w:ascii="Segoe UI" w:hAnsi="Segoe UI" w:cs="Segoe UI" w:hint="default"/>
      <w:sz w:val="18"/>
      <w:szCs w:val="18"/>
    </w:rPr>
  </w:style>
  <w:style w:type="paragraph" w:styleId="NormalWeb">
    <w:name w:val="Normal (Web)"/>
    <w:basedOn w:val="Normal"/>
    <w:uiPriority w:val="99"/>
    <w:unhideWhenUsed/>
    <w:rsid w:val="002D48BE"/>
    <w:pPr>
      <w:spacing w:before="100" w:beforeAutospacing="1" w:after="100" w:afterAutospacing="1" w:line="240" w:lineRule="auto"/>
      <w:ind w:right="0"/>
    </w:pPr>
    <w:rPr>
      <w:rFonts w:ascii="Times New Roman" w:eastAsia="Times New Roman" w:hAnsi="Times New Roman" w:cs="Times New Roman"/>
      <w:sz w:val="24"/>
      <w:szCs w:val="24"/>
      <w:lang w:eastAsia="en-AU"/>
    </w:rPr>
  </w:style>
  <w:style w:type="paragraph" w:styleId="BalloonText">
    <w:name w:val="Balloon Text"/>
    <w:basedOn w:val="Normal"/>
    <w:link w:val="BalloonTextChar"/>
    <w:uiPriority w:val="99"/>
    <w:semiHidden/>
    <w:unhideWhenUsed/>
    <w:rsid w:val="0031188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11886"/>
    <w:rPr>
      <w:rFonts w:ascii="Segoe UI" w:hAnsi="Segoe UI" w:cs="Segoe UI"/>
      <w:sz w:val="18"/>
      <w:szCs w:val="18"/>
    </w:rPr>
  </w:style>
  <w:style w:type="paragraph" w:customStyle="1" w:styleId="count">
    <w:name w:val="count"/>
    <w:basedOn w:val="Normal"/>
    <w:rsid w:val="001B1FA1"/>
    <w:pPr>
      <w:numPr>
        <w:numId w:val="25"/>
      </w:numPr>
      <w:spacing w:after="160" w:line="252" w:lineRule="auto"/>
      <w:ind w:right="0"/>
    </w:pPr>
    <w:rPr>
      <w:rFonts w:eastAsia="Times New Roman" w:cs="Arial"/>
      <w:i/>
      <w:iCs/>
    </w:rPr>
  </w:style>
  <w:style w:type="character" w:customStyle="1" w:styleId="UnresolvedMention2">
    <w:name w:val="Unresolved Mention2"/>
    <w:basedOn w:val="DefaultParagraphFont"/>
    <w:uiPriority w:val="99"/>
    <w:semiHidden/>
    <w:unhideWhenUsed/>
    <w:rsid w:val="00E275A3"/>
    <w:rPr>
      <w:color w:val="605E5C"/>
      <w:shd w:val="clear" w:color="auto" w:fill="E1DFDD"/>
    </w:rPr>
  </w:style>
  <w:style w:type="character" w:customStyle="1" w:styleId="Mention2">
    <w:name w:val="Mention2"/>
    <w:basedOn w:val="DefaultParagraphFont"/>
    <w:uiPriority w:val="99"/>
    <w:unhideWhenUsed/>
    <w:rsid w:val="001405A6"/>
    <w:rPr>
      <w:color w:val="2B579A"/>
      <w:shd w:val="clear" w:color="auto" w:fill="E1DFDD"/>
    </w:rPr>
  </w:style>
  <w:style w:type="character" w:styleId="Mention">
    <w:name w:val="Mention"/>
    <w:basedOn w:val="DefaultParagraphFont"/>
    <w:uiPriority w:val="99"/>
    <w:unhideWhenUsed/>
    <w:rPr>
      <w:color w:val="2B579A"/>
      <w:shd w:val="clear" w:color="auto" w:fill="E6E6E6"/>
    </w:rPr>
  </w:style>
  <w:style w:type="character" w:styleId="UnresolvedMention">
    <w:name w:val="Unresolved Mention"/>
    <w:basedOn w:val="DefaultParagraphFont"/>
    <w:uiPriority w:val="99"/>
    <w:semiHidden/>
    <w:unhideWhenUsed/>
    <w:rsid w:val="009C7D3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507787">
      <w:bodyDiv w:val="1"/>
      <w:marLeft w:val="0"/>
      <w:marRight w:val="0"/>
      <w:marTop w:val="0"/>
      <w:marBottom w:val="0"/>
      <w:divBdr>
        <w:top w:val="none" w:sz="0" w:space="0" w:color="auto"/>
        <w:left w:val="none" w:sz="0" w:space="0" w:color="auto"/>
        <w:bottom w:val="none" w:sz="0" w:space="0" w:color="auto"/>
        <w:right w:val="none" w:sz="0" w:space="0" w:color="auto"/>
      </w:divBdr>
    </w:div>
    <w:div w:id="99035400">
      <w:bodyDiv w:val="1"/>
      <w:marLeft w:val="0"/>
      <w:marRight w:val="0"/>
      <w:marTop w:val="0"/>
      <w:marBottom w:val="0"/>
      <w:divBdr>
        <w:top w:val="none" w:sz="0" w:space="0" w:color="auto"/>
        <w:left w:val="none" w:sz="0" w:space="0" w:color="auto"/>
        <w:bottom w:val="none" w:sz="0" w:space="0" w:color="auto"/>
        <w:right w:val="none" w:sz="0" w:space="0" w:color="auto"/>
      </w:divBdr>
    </w:div>
    <w:div w:id="181406757">
      <w:bodyDiv w:val="1"/>
      <w:marLeft w:val="0"/>
      <w:marRight w:val="0"/>
      <w:marTop w:val="0"/>
      <w:marBottom w:val="0"/>
      <w:divBdr>
        <w:top w:val="none" w:sz="0" w:space="0" w:color="auto"/>
        <w:left w:val="none" w:sz="0" w:space="0" w:color="auto"/>
        <w:bottom w:val="none" w:sz="0" w:space="0" w:color="auto"/>
        <w:right w:val="none" w:sz="0" w:space="0" w:color="auto"/>
      </w:divBdr>
    </w:div>
    <w:div w:id="185559529">
      <w:bodyDiv w:val="1"/>
      <w:marLeft w:val="0"/>
      <w:marRight w:val="0"/>
      <w:marTop w:val="0"/>
      <w:marBottom w:val="0"/>
      <w:divBdr>
        <w:top w:val="none" w:sz="0" w:space="0" w:color="auto"/>
        <w:left w:val="none" w:sz="0" w:space="0" w:color="auto"/>
        <w:bottom w:val="none" w:sz="0" w:space="0" w:color="auto"/>
        <w:right w:val="none" w:sz="0" w:space="0" w:color="auto"/>
      </w:divBdr>
    </w:div>
    <w:div w:id="189344901">
      <w:bodyDiv w:val="1"/>
      <w:marLeft w:val="0"/>
      <w:marRight w:val="0"/>
      <w:marTop w:val="0"/>
      <w:marBottom w:val="0"/>
      <w:divBdr>
        <w:top w:val="none" w:sz="0" w:space="0" w:color="auto"/>
        <w:left w:val="none" w:sz="0" w:space="0" w:color="auto"/>
        <w:bottom w:val="none" w:sz="0" w:space="0" w:color="auto"/>
        <w:right w:val="none" w:sz="0" w:space="0" w:color="auto"/>
      </w:divBdr>
    </w:div>
    <w:div w:id="211162976">
      <w:bodyDiv w:val="1"/>
      <w:marLeft w:val="0"/>
      <w:marRight w:val="0"/>
      <w:marTop w:val="0"/>
      <w:marBottom w:val="0"/>
      <w:divBdr>
        <w:top w:val="none" w:sz="0" w:space="0" w:color="auto"/>
        <w:left w:val="none" w:sz="0" w:space="0" w:color="auto"/>
        <w:bottom w:val="none" w:sz="0" w:space="0" w:color="auto"/>
        <w:right w:val="none" w:sz="0" w:space="0" w:color="auto"/>
      </w:divBdr>
    </w:div>
    <w:div w:id="216665804">
      <w:bodyDiv w:val="1"/>
      <w:marLeft w:val="0"/>
      <w:marRight w:val="0"/>
      <w:marTop w:val="0"/>
      <w:marBottom w:val="0"/>
      <w:divBdr>
        <w:top w:val="none" w:sz="0" w:space="0" w:color="auto"/>
        <w:left w:val="none" w:sz="0" w:space="0" w:color="auto"/>
        <w:bottom w:val="none" w:sz="0" w:space="0" w:color="auto"/>
        <w:right w:val="none" w:sz="0" w:space="0" w:color="auto"/>
      </w:divBdr>
    </w:div>
    <w:div w:id="222911383">
      <w:bodyDiv w:val="1"/>
      <w:marLeft w:val="0"/>
      <w:marRight w:val="0"/>
      <w:marTop w:val="0"/>
      <w:marBottom w:val="0"/>
      <w:divBdr>
        <w:top w:val="none" w:sz="0" w:space="0" w:color="auto"/>
        <w:left w:val="none" w:sz="0" w:space="0" w:color="auto"/>
        <w:bottom w:val="none" w:sz="0" w:space="0" w:color="auto"/>
        <w:right w:val="none" w:sz="0" w:space="0" w:color="auto"/>
      </w:divBdr>
    </w:div>
    <w:div w:id="233244691">
      <w:bodyDiv w:val="1"/>
      <w:marLeft w:val="0"/>
      <w:marRight w:val="0"/>
      <w:marTop w:val="0"/>
      <w:marBottom w:val="0"/>
      <w:divBdr>
        <w:top w:val="none" w:sz="0" w:space="0" w:color="auto"/>
        <w:left w:val="none" w:sz="0" w:space="0" w:color="auto"/>
        <w:bottom w:val="none" w:sz="0" w:space="0" w:color="auto"/>
        <w:right w:val="none" w:sz="0" w:space="0" w:color="auto"/>
      </w:divBdr>
    </w:div>
    <w:div w:id="264197567">
      <w:bodyDiv w:val="1"/>
      <w:marLeft w:val="0"/>
      <w:marRight w:val="0"/>
      <w:marTop w:val="0"/>
      <w:marBottom w:val="0"/>
      <w:divBdr>
        <w:top w:val="none" w:sz="0" w:space="0" w:color="auto"/>
        <w:left w:val="none" w:sz="0" w:space="0" w:color="auto"/>
        <w:bottom w:val="none" w:sz="0" w:space="0" w:color="auto"/>
        <w:right w:val="none" w:sz="0" w:space="0" w:color="auto"/>
      </w:divBdr>
    </w:div>
    <w:div w:id="307784062">
      <w:bodyDiv w:val="1"/>
      <w:marLeft w:val="0"/>
      <w:marRight w:val="0"/>
      <w:marTop w:val="0"/>
      <w:marBottom w:val="0"/>
      <w:divBdr>
        <w:top w:val="none" w:sz="0" w:space="0" w:color="auto"/>
        <w:left w:val="none" w:sz="0" w:space="0" w:color="auto"/>
        <w:bottom w:val="none" w:sz="0" w:space="0" w:color="auto"/>
        <w:right w:val="none" w:sz="0" w:space="0" w:color="auto"/>
      </w:divBdr>
    </w:div>
    <w:div w:id="472797823">
      <w:bodyDiv w:val="1"/>
      <w:marLeft w:val="0"/>
      <w:marRight w:val="0"/>
      <w:marTop w:val="0"/>
      <w:marBottom w:val="0"/>
      <w:divBdr>
        <w:top w:val="none" w:sz="0" w:space="0" w:color="auto"/>
        <w:left w:val="none" w:sz="0" w:space="0" w:color="auto"/>
        <w:bottom w:val="none" w:sz="0" w:space="0" w:color="auto"/>
        <w:right w:val="none" w:sz="0" w:space="0" w:color="auto"/>
      </w:divBdr>
    </w:div>
    <w:div w:id="478769651">
      <w:bodyDiv w:val="1"/>
      <w:marLeft w:val="0"/>
      <w:marRight w:val="0"/>
      <w:marTop w:val="0"/>
      <w:marBottom w:val="0"/>
      <w:divBdr>
        <w:top w:val="none" w:sz="0" w:space="0" w:color="auto"/>
        <w:left w:val="none" w:sz="0" w:space="0" w:color="auto"/>
        <w:bottom w:val="none" w:sz="0" w:space="0" w:color="auto"/>
        <w:right w:val="none" w:sz="0" w:space="0" w:color="auto"/>
      </w:divBdr>
    </w:div>
    <w:div w:id="496697970">
      <w:bodyDiv w:val="1"/>
      <w:marLeft w:val="0"/>
      <w:marRight w:val="0"/>
      <w:marTop w:val="0"/>
      <w:marBottom w:val="0"/>
      <w:divBdr>
        <w:top w:val="none" w:sz="0" w:space="0" w:color="auto"/>
        <w:left w:val="none" w:sz="0" w:space="0" w:color="auto"/>
        <w:bottom w:val="none" w:sz="0" w:space="0" w:color="auto"/>
        <w:right w:val="none" w:sz="0" w:space="0" w:color="auto"/>
      </w:divBdr>
    </w:div>
    <w:div w:id="507331410">
      <w:bodyDiv w:val="1"/>
      <w:marLeft w:val="0"/>
      <w:marRight w:val="0"/>
      <w:marTop w:val="0"/>
      <w:marBottom w:val="0"/>
      <w:divBdr>
        <w:top w:val="none" w:sz="0" w:space="0" w:color="auto"/>
        <w:left w:val="none" w:sz="0" w:space="0" w:color="auto"/>
        <w:bottom w:val="none" w:sz="0" w:space="0" w:color="auto"/>
        <w:right w:val="none" w:sz="0" w:space="0" w:color="auto"/>
      </w:divBdr>
    </w:div>
    <w:div w:id="519509619">
      <w:bodyDiv w:val="1"/>
      <w:marLeft w:val="0"/>
      <w:marRight w:val="0"/>
      <w:marTop w:val="0"/>
      <w:marBottom w:val="0"/>
      <w:divBdr>
        <w:top w:val="none" w:sz="0" w:space="0" w:color="auto"/>
        <w:left w:val="none" w:sz="0" w:space="0" w:color="auto"/>
        <w:bottom w:val="none" w:sz="0" w:space="0" w:color="auto"/>
        <w:right w:val="none" w:sz="0" w:space="0" w:color="auto"/>
      </w:divBdr>
    </w:div>
    <w:div w:id="527833911">
      <w:bodyDiv w:val="1"/>
      <w:marLeft w:val="0"/>
      <w:marRight w:val="0"/>
      <w:marTop w:val="0"/>
      <w:marBottom w:val="0"/>
      <w:divBdr>
        <w:top w:val="none" w:sz="0" w:space="0" w:color="auto"/>
        <w:left w:val="none" w:sz="0" w:space="0" w:color="auto"/>
        <w:bottom w:val="none" w:sz="0" w:space="0" w:color="auto"/>
        <w:right w:val="none" w:sz="0" w:space="0" w:color="auto"/>
      </w:divBdr>
    </w:div>
    <w:div w:id="565185461">
      <w:bodyDiv w:val="1"/>
      <w:marLeft w:val="0"/>
      <w:marRight w:val="0"/>
      <w:marTop w:val="0"/>
      <w:marBottom w:val="0"/>
      <w:divBdr>
        <w:top w:val="none" w:sz="0" w:space="0" w:color="auto"/>
        <w:left w:val="none" w:sz="0" w:space="0" w:color="auto"/>
        <w:bottom w:val="none" w:sz="0" w:space="0" w:color="auto"/>
        <w:right w:val="none" w:sz="0" w:space="0" w:color="auto"/>
      </w:divBdr>
    </w:div>
    <w:div w:id="576718667">
      <w:bodyDiv w:val="1"/>
      <w:marLeft w:val="0"/>
      <w:marRight w:val="0"/>
      <w:marTop w:val="0"/>
      <w:marBottom w:val="0"/>
      <w:divBdr>
        <w:top w:val="none" w:sz="0" w:space="0" w:color="auto"/>
        <w:left w:val="none" w:sz="0" w:space="0" w:color="auto"/>
        <w:bottom w:val="none" w:sz="0" w:space="0" w:color="auto"/>
        <w:right w:val="none" w:sz="0" w:space="0" w:color="auto"/>
      </w:divBdr>
    </w:div>
    <w:div w:id="591352798">
      <w:bodyDiv w:val="1"/>
      <w:marLeft w:val="0"/>
      <w:marRight w:val="0"/>
      <w:marTop w:val="0"/>
      <w:marBottom w:val="0"/>
      <w:divBdr>
        <w:top w:val="none" w:sz="0" w:space="0" w:color="auto"/>
        <w:left w:val="none" w:sz="0" w:space="0" w:color="auto"/>
        <w:bottom w:val="none" w:sz="0" w:space="0" w:color="auto"/>
        <w:right w:val="none" w:sz="0" w:space="0" w:color="auto"/>
      </w:divBdr>
    </w:div>
    <w:div w:id="622731206">
      <w:bodyDiv w:val="1"/>
      <w:marLeft w:val="0"/>
      <w:marRight w:val="0"/>
      <w:marTop w:val="0"/>
      <w:marBottom w:val="0"/>
      <w:divBdr>
        <w:top w:val="none" w:sz="0" w:space="0" w:color="auto"/>
        <w:left w:val="none" w:sz="0" w:space="0" w:color="auto"/>
        <w:bottom w:val="none" w:sz="0" w:space="0" w:color="auto"/>
        <w:right w:val="none" w:sz="0" w:space="0" w:color="auto"/>
      </w:divBdr>
    </w:div>
    <w:div w:id="634870756">
      <w:bodyDiv w:val="1"/>
      <w:marLeft w:val="0"/>
      <w:marRight w:val="0"/>
      <w:marTop w:val="0"/>
      <w:marBottom w:val="0"/>
      <w:divBdr>
        <w:top w:val="none" w:sz="0" w:space="0" w:color="auto"/>
        <w:left w:val="none" w:sz="0" w:space="0" w:color="auto"/>
        <w:bottom w:val="none" w:sz="0" w:space="0" w:color="auto"/>
        <w:right w:val="none" w:sz="0" w:space="0" w:color="auto"/>
      </w:divBdr>
      <w:divsChild>
        <w:div w:id="1475637821">
          <w:marLeft w:val="360"/>
          <w:marRight w:val="0"/>
          <w:marTop w:val="200"/>
          <w:marBottom w:val="0"/>
          <w:divBdr>
            <w:top w:val="none" w:sz="0" w:space="0" w:color="auto"/>
            <w:left w:val="none" w:sz="0" w:space="0" w:color="auto"/>
            <w:bottom w:val="none" w:sz="0" w:space="0" w:color="auto"/>
            <w:right w:val="none" w:sz="0" w:space="0" w:color="auto"/>
          </w:divBdr>
        </w:div>
      </w:divsChild>
    </w:div>
    <w:div w:id="646470465">
      <w:bodyDiv w:val="1"/>
      <w:marLeft w:val="0"/>
      <w:marRight w:val="0"/>
      <w:marTop w:val="0"/>
      <w:marBottom w:val="0"/>
      <w:divBdr>
        <w:top w:val="none" w:sz="0" w:space="0" w:color="auto"/>
        <w:left w:val="none" w:sz="0" w:space="0" w:color="auto"/>
        <w:bottom w:val="none" w:sz="0" w:space="0" w:color="auto"/>
        <w:right w:val="none" w:sz="0" w:space="0" w:color="auto"/>
      </w:divBdr>
    </w:div>
    <w:div w:id="670841654">
      <w:bodyDiv w:val="1"/>
      <w:marLeft w:val="0"/>
      <w:marRight w:val="0"/>
      <w:marTop w:val="0"/>
      <w:marBottom w:val="0"/>
      <w:divBdr>
        <w:top w:val="none" w:sz="0" w:space="0" w:color="auto"/>
        <w:left w:val="none" w:sz="0" w:space="0" w:color="auto"/>
        <w:bottom w:val="none" w:sz="0" w:space="0" w:color="auto"/>
        <w:right w:val="none" w:sz="0" w:space="0" w:color="auto"/>
      </w:divBdr>
    </w:div>
    <w:div w:id="673538032">
      <w:bodyDiv w:val="1"/>
      <w:marLeft w:val="0"/>
      <w:marRight w:val="0"/>
      <w:marTop w:val="0"/>
      <w:marBottom w:val="0"/>
      <w:divBdr>
        <w:top w:val="none" w:sz="0" w:space="0" w:color="auto"/>
        <w:left w:val="none" w:sz="0" w:space="0" w:color="auto"/>
        <w:bottom w:val="none" w:sz="0" w:space="0" w:color="auto"/>
        <w:right w:val="none" w:sz="0" w:space="0" w:color="auto"/>
      </w:divBdr>
    </w:div>
    <w:div w:id="679813705">
      <w:bodyDiv w:val="1"/>
      <w:marLeft w:val="0"/>
      <w:marRight w:val="0"/>
      <w:marTop w:val="0"/>
      <w:marBottom w:val="0"/>
      <w:divBdr>
        <w:top w:val="none" w:sz="0" w:space="0" w:color="auto"/>
        <w:left w:val="none" w:sz="0" w:space="0" w:color="auto"/>
        <w:bottom w:val="none" w:sz="0" w:space="0" w:color="auto"/>
        <w:right w:val="none" w:sz="0" w:space="0" w:color="auto"/>
      </w:divBdr>
    </w:div>
    <w:div w:id="704984397">
      <w:bodyDiv w:val="1"/>
      <w:marLeft w:val="0"/>
      <w:marRight w:val="0"/>
      <w:marTop w:val="0"/>
      <w:marBottom w:val="0"/>
      <w:divBdr>
        <w:top w:val="none" w:sz="0" w:space="0" w:color="auto"/>
        <w:left w:val="none" w:sz="0" w:space="0" w:color="auto"/>
        <w:bottom w:val="none" w:sz="0" w:space="0" w:color="auto"/>
        <w:right w:val="none" w:sz="0" w:space="0" w:color="auto"/>
      </w:divBdr>
    </w:div>
    <w:div w:id="738332849">
      <w:bodyDiv w:val="1"/>
      <w:marLeft w:val="0"/>
      <w:marRight w:val="0"/>
      <w:marTop w:val="0"/>
      <w:marBottom w:val="0"/>
      <w:divBdr>
        <w:top w:val="none" w:sz="0" w:space="0" w:color="auto"/>
        <w:left w:val="none" w:sz="0" w:space="0" w:color="auto"/>
        <w:bottom w:val="none" w:sz="0" w:space="0" w:color="auto"/>
        <w:right w:val="none" w:sz="0" w:space="0" w:color="auto"/>
      </w:divBdr>
      <w:divsChild>
        <w:div w:id="1880360501">
          <w:marLeft w:val="0"/>
          <w:marRight w:val="0"/>
          <w:marTop w:val="0"/>
          <w:marBottom w:val="450"/>
          <w:divBdr>
            <w:top w:val="none" w:sz="0" w:space="0" w:color="auto"/>
            <w:left w:val="none" w:sz="0" w:space="0" w:color="auto"/>
            <w:bottom w:val="none" w:sz="0" w:space="0" w:color="auto"/>
            <w:right w:val="none" w:sz="0" w:space="0" w:color="auto"/>
          </w:divBdr>
        </w:div>
      </w:divsChild>
    </w:div>
    <w:div w:id="788203220">
      <w:bodyDiv w:val="1"/>
      <w:marLeft w:val="0"/>
      <w:marRight w:val="0"/>
      <w:marTop w:val="0"/>
      <w:marBottom w:val="0"/>
      <w:divBdr>
        <w:top w:val="none" w:sz="0" w:space="0" w:color="auto"/>
        <w:left w:val="none" w:sz="0" w:space="0" w:color="auto"/>
        <w:bottom w:val="none" w:sz="0" w:space="0" w:color="auto"/>
        <w:right w:val="none" w:sz="0" w:space="0" w:color="auto"/>
      </w:divBdr>
    </w:div>
    <w:div w:id="795678140">
      <w:bodyDiv w:val="1"/>
      <w:marLeft w:val="0"/>
      <w:marRight w:val="0"/>
      <w:marTop w:val="0"/>
      <w:marBottom w:val="0"/>
      <w:divBdr>
        <w:top w:val="none" w:sz="0" w:space="0" w:color="auto"/>
        <w:left w:val="none" w:sz="0" w:space="0" w:color="auto"/>
        <w:bottom w:val="none" w:sz="0" w:space="0" w:color="auto"/>
        <w:right w:val="none" w:sz="0" w:space="0" w:color="auto"/>
      </w:divBdr>
    </w:div>
    <w:div w:id="827407356">
      <w:bodyDiv w:val="1"/>
      <w:marLeft w:val="0"/>
      <w:marRight w:val="0"/>
      <w:marTop w:val="0"/>
      <w:marBottom w:val="0"/>
      <w:divBdr>
        <w:top w:val="none" w:sz="0" w:space="0" w:color="auto"/>
        <w:left w:val="none" w:sz="0" w:space="0" w:color="auto"/>
        <w:bottom w:val="none" w:sz="0" w:space="0" w:color="auto"/>
        <w:right w:val="none" w:sz="0" w:space="0" w:color="auto"/>
      </w:divBdr>
    </w:div>
    <w:div w:id="840581476">
      <w:bodyDiv w:val="1"/>
      <w:marLeft w:val="0"/>
      <w:marRight w:val="0"/>
      <w:marTop w:val="0"/>
      <w:marBottom w:val="0"/>
      <w:divBdr>
        <w:top w:val="none" w:sz="0" w:space="0" w:color="auto"/>
        <w:left w:val="none" w:sz="0" w:space="0" w:color="auto"/>
        <w:bottom w:val="none" w:sz="0" w:space="0" w:color="auto"/>
        <w:right w:val="none" w:sz="0" w:space="0" w:color="auto"/>
      </w:divBdr>
    </w:div>
    <w:div w:id="884289804">
      <w:bodyDiv w:val="1"/>
      <w:marLeft w:val="0"/>
      <w:marRight w:val="0"/>
      <w:marTop w:val="0"/>
      <w:marBottom w:val="0"/>
      <w:divBdr>
        <w:top w:val="none" w:sz="0" w:space="0" w:color="auto"/>
        <w:left w:val="none" w:sz="0" w:space="0" w:color="auto"/>
        <w:bottom w:val="none" w:sz="0" w:space="0" w:color="auto"/>
        <w:right w:val="none" w:sz="0" w:space="0" w:color="auto"/>
      </w:divBdr>
    </w:div>
    <w:div w:id="1021007247">
      <w:bodyDiv w:val="1"/>
      <w:marLeft w:val="0"/>
      <w:marRight w:val="0"/>
      <w:marTop w:val="0"/>
      <w:marBottom w:val="0"/>
      <w:divBdr>
        <w:top w:val="none" w:sz="0" w:space="0" w:color="auto"/>
        <w:left w:val="none" w:sz="0" w:space="0" w:color="auto"/>
        <w:bottom w:val="none" w:sz="0" w:space="0" w:color="auto"/>
        <w:right w:val="none" w:sz="0" w:space="0" w:color="auto"/>
      </w:divBdr>
    </w:div>
    <w:div w:id="1036126825">
      <w:bodyDiv w:val="1"/>
      <w:marLeft w:val="0"/>
      <w:marRight w:val="0"/>
      <w:marTop w:val="0"/>
      <w:marBottom w:val="0"/>
      <w:divBdr>
        <w:top w:val="none" w:sz="0" w:space="0" w:color="auto"/>
        <w:left w:val="none" w:sz="0" w:space="0" w:color="auto"/>
        <w:bottom w:val="none" w:sz="0" w:space="0" w:color="auto"/>
        <w:right w:val="none" w:sz="0" w:space="0" w:color="auto"/>
      </w:divBdr>
    </w:div>
    <w:div w:id="1050500972">
      <w:bodyDiv w:val="1"/>
      <w:marLeft w:val="0"/>
      <w:marRight w:val="0"/>
      <w:marTop w:val="0"/>
      <w:marBottom w:val="0"/>
      <w:divBdr>
        <w:top w:val="none" w:sz="0" w:space="0" w:color="auto"/>
        <w:left w:val="none" w:sz="0" w:space="0" w:color="auto"/>
        <w:bottom w:val="none" w:sz="0" w:space="0" w:color="auto"/>
        <w:right w:val="none" w:sz="0" w:space="0" w:color="auto"/>
      </w:divBdr>
    </w:div>
    <w:div w:id="1065686503">
      <w:bodyDiv w:val="1"/>
      <w:marLeft w:val="0"/>
      <w:marRight w:val="0"/>
      <w:marTop w:val="0"/>
      <w:marBottom w:val="0"/>
      <w:divBdr>
        <w:top w:val="none" w:sz="0" w:space="0" w:color="auto"/>
        <w:left w:val="none" w:sz="0" w:space="0" w:color="auto"/>
        <w:bottom w:val="none" w:sz="0" w:space="0" w:color="auto"/>
        <w:right w:val="none" w:sz="0" w:space="0" w:color="auto"/>
      </w:divBdr>
    </w:div>
    <w:div w:id="1125733394">
      <w:bodyDiv w:val="1"/>
      <w:marLeft w:val="0"/>
      <w:marRight w:val="0"/>
      <w:marTop w:val="0"/>
      <w:marBottom w:val="0"/>
      <w:divBdr>
        <w:top w:val="none" w:sz="0" w:space="0" w:color="auto"/>
        <w:left w:val="none" w:sz="0" w:space="0" w:color="auto"/>
        <w:bottom w:val="none" w:sz="0" w:space="0" w:color="auto"/>
        <w:right w:val="none" w:sz="0" w:space="0" w:color="auto"/>
      </w:divBdr>
    </w:div>
    <w:div w:id="1165703918">
      <w:bodyDiv w:val="1"/>
      <w:marLeft w:val="0"/>
      <w:marRight w:val="0"/>
      <w:marTop w:val="0"/>
      <w:marBottom w:val="0"/>
      <w:divBdr>
        <w:top w:val="none" w:sz="0" w:space="0" w:color="auto"/>
        <w:left w:val="none" w:sz="0" w:space="0" w:color="auto"/>
        <w:bottom w:val="none" w:sz="0" w:space="0" w:color="auto"/>
        <w:right w:val="none" w:sz="0" w:space="0" w:color="auto"/>
      </w:divBdr>
    </w:div>
    <w:div w:id="1191802306">
      <w:bodyDiv w:val="1"/>
      <w:marLeft w:val="0"/>
      <w:marRight w:val="0"/>
      <w:marTop w:val="0"/>
      <w:marBottom w:val="0"/>
      <w:divBdr>
        <w:top w:val="none" w:sz="0" w:space="0" w:color="auto"/>
        <w:left w:val="none" w:sz="0" w:space="0" w:color="auto"/>
        <w:bottom w:val="none" w:sz="0" w:space="0" w:color="auto"/>
        <w:right w:val="none" w:sz="0" w:space="0" w:color="auto"/>
      </w:divBdr>
    </w:div>
    <w:div w:id="1221286112">
      <w:bodyDiv w:val="1"/>
      <w:marLeft w:val="0"/>
      <w:marRight w:val="0"/>
      <w:marTop w:val="0"/>
      <w:marBottom w:val="0"/>
      <w:divBdr>
        <w:top w:val="none" w:sz="0" w:space="0" w:color="auto"/>
        <w:left w:val="none" w:sz="0" w:space="0" w:color="auto"/>
        <w:bottom w:val="none" w:sz="0" w:space="0" w:color="auto"/>
        <w:right w:val="none" w:sz="0" w:space="0" w:color="auto"/>
      </w:divBdr>
    </w:div>
    <w:div w:id="1238899119">
      <w:bodyDiv w:val="1"/>
      <w:marLeft w:val="0"/>
      <w:marRight w:val="0"/>
      <w:marTop w:val="0"/>
      <w:marBottom w:val="0"/>
      <w:divBdr>
        <w:top w:val="none" w:sz="0" w:space="0" w:color="auto"/>
        <w:left w:val="none" w:sz="0" w:space="0" w:color="auto"/>
        <w:bottom w:val="none" w:sz="0" w:space="0" w:color="auto"/>
        <w:right w:val="none" w:sz="0" w:space="0" w:color="auto"/>
      </w:divBdr>
    </w:div>
    <w:div w:id="1250843940">
      <w:bodyDiv w:val="1"/>
      <w:marLeft w:val="0"/>
      <w:marRight w:val="0"/>
      <w:marTop w:val="0"/>
      <w:marBottom w:val="0"/>
      <w:divBdr>
        <w:top w:val="none" w:sz="0" w:space="0" w:color="auto"/>
        <w:left w:val="none" w:sz="0" w:space="0" w:color="auto"/>
        <w:bottom w:val="none" w:sz="0" w:space="0" w:color="auto"/>
        <w:right w:val="none" w:sz="0" w:space="0" w:color="auto"/>
      </w:divBdr>
    </w:div>
    <w:div w:id="1289510430">
      <w:bodyDiv w:val="1"/>
      <w:marLeft w:val="0"/>
      <w:marRight w:val="0"/>
      <w:marTop w:val="0"/>
      <w:marBottom w:val="0"/>
      <w:divBdr>
        <w:top w:val="none" w:sz="0" w:space="0" w:color="auto"/>
        <w:left w:val="none" w:sz="0" w:space="0" w:color="auto"/>
        <w:bottom w:val="none" w:sz="0" w:space="0" w:color="auto"/>
        <w:right w:val="none" w:sz="0" w:space="0" w:color="auto"/>
      </w:divBdr>
    </w:div>
    <w:div w:id="1310479726">
      <w:bodyDiv w:val="1"/>
      <w:marLeft w:val="0"/>
      <w:marRight w:val="0"/>
      <w:marTop w:val="0"/>
      <w:marBottom w:val="0"/>
      <w:divBdr>
        <w:top w:val="none" w:sz="0" w:space="0" w:color="auto"/>
        <w:left w:val="none" w:sz="0" w:space="0" w:color="auto"/>
        <w:bottom w:val="none" w:sz="0" w:space="0" w:color="auto"/>
        <w:right w:val="none" w:sz="0" w:space="0" w:color="auto"/>
      </w:divBdr>
    </w:div>
    <w:div w:id="1314456194">
      <w:bodyDiv w:val="1"/>
      <w:marLeft w:val="0"/>
      <w:marRight w:val="0"/>
      <w:marTop w:val="0"/>
      <w:marBottom w:val="0"/>
      <w:divBdr>
        <w:top w:val="none" w:sz="0" w:space="0" w:color="auto"/>
        <w:left w:val="none" w:sz="0" w:space="0" w:color="auto"/>
        <w:bottom w:val="none" w:sz="0" w:space="0" w:color="auto"/>
        <w:right w:val="none" w:sz="0" w:space="0" w:color="auto"/>
      </w:divBdr>
    </w:div>
    <w:div w:id="1321154588">
      <w:bodyDiv w:val="1"/>
      <w:marLeft w:val="0"/>
      <w:marRight w:val="0"/>
      <w:marTop w:val="0"/>
      <w:marBottom w:val="0"/>
      <w:divBdr>
        <w:top w:val="none" w:sz="0" w:space="0" w:color="auto"/>
        <w:left w:val="none" w:sz="0" w:space="0" w:color="auto"/>
        <w:bottom w:val="none" w:sz="0" w:space="0" w:color="auto"/>
        <w:right w:val="none" w:sz="0" w:space="0" w:color="auto"/>
      </w:divBdr>
    </w:div>
    <w:div w:id="1348172058">
      <w:bodyDiv w:val="1"/>
      <w:marLeft w:val="0"/>
      <w:marRight w:val="0"/>
      <w:marTop w:val="0"/>
      <w:marBottom w:val="0"/>
      <w:divBdr>
        <w:top w:val="none" w:sz="0" w:space="0" w:color="auto"/>
        <w:left w:val="none" w:sz="0" w:space="0" w:color="auto"/>
        <w:bottom w:val="none" w:sz="0" w:space="0" w:color="auto"/>
        <w:right w:val="none" w:sz="0" w:space="0" w:color="auto"/>
      </w:divBdr>
    </w:div>
    <w:div w:id="1352491799">
      <w:bodyDiv w:val="1"/>
      <w:marLeft w:val="0"/>
      <w:marRight w:val="0"/>
      <w:marTop w:val="0"/>
      <w:marBottom w:val="0"/>
      <w:divBdr>
        <w:top w:val="none" w:sz="0" w:space="0" w:color="auto"/>
        <w:left w:val="none" w:sz="0" w:space="0" w:color="auto"/>
        <w:bottom w:val="none" w:sz="0" w:space="0" w:color="auto"/>
        <w:right w:val="none" w:sz="0" w:space="0" w:color="auto"/>
      </w:divBdr>
    </w:div>
    <w:div w:id="1354500957">
      <w:bodyDiv w:val="1"/>
      <w:marLeft w:val="0"/>
      <w:marRight w:val="0"/>
      <w:marTop w:val="0"/>
      <w:marBottom w:val="0"/>
      <w:divBdr>
        <w:top w:val="none" w:sz="0" w:space="0" w:color="auto"/>
        <w:left w:val="none" w:sz="0" w:space="0" w:color="auto"/>
        <w:bottom w:val="none" w:sz="0" w:space="0" w:color="auto"/>
        <w:right w:val="none" w:sz="0" w:space="0" w:color="auto"/>
      </w:divBdr>
    </w:div>
    <w:div w:id="1357003251">
      <w:bodyDiv w:val="1"/>
      <w:marLeft w:val="0"/>
      <w:marRight w:val="0"/>
      <w:marTop w:val="0"/>
      <w:marBottom w:val="0"/>
      <w:divBdr>
        <w:top w:val="none" w:sz="0" w:space="0" w:color="auto"/>
        <w:left w:val="none" w:sz="0" w:space="0" w:color="auto"/>
        <w:bottom w:val="none" w:sz="0" w:space="0" w:color="auto"/>
        <w:right w:val="none" w:sz="0" w:space="0" w:color="auto"/>
      </w:divBdr>
    </w:div>
    <w:div w:id="1411193259">
      <w:bodyDiv w:val="1"/>
      <w:marLeft w:val="0"/>
      <w:marRight w:val="0"/>
      <w:marTop w:val="0"/>
      <w:marBottom w:val="0"/>
      <w:divBdr>
        <w:top w:val="none" w:sz="0" w:space="0" w:color="auto"/>
        <w:left w:val="none" w:sz="0" w:space="0" w:color="auto"/>
        <w:bottom w:val="none" w:sz="0" w:space="0" w:color="auto"/>
        <w:right w:val="none" w:sz="0" w:space="0" w:color="auto"/>
      </w:divBdr>
    </w:div>
    <w:div w:id="1427383270">
      <w:bodyDiv w:val="1"/>
      <w:marLeft w:val="0"/>
      <w:marRight w:val="0"/>
      <w:marTop w:val="0"/>
      <w:marBottom w:val="0"/>
      <w:divBdr>
        <w:top w:val="none" w:sz="0" w:space="0" w:color="auto"/>
        <w:left w:val="none" w:sz="0" w:space="0" w:color="auto"/>
        <w:bottom w:val="none" w:sz="0" w:space="0" w:color="auto"/>
        <w:right w:val="none" w:sz="0" w:space="0" w:color="auto"/>
      </w:divBdr>
    </w:div>
    <w:div w:id="1510875706">
      <w:bodyDiv w:val="1"/>
      <w:marLeft w:val="0"/>
      <w:marRight w:val="0"/>
      <w:marTop w:val="0"/>
      <w:marBottom w:val="0"/>
      <w:divBdr>
        <w:top w:val="none" w:sz="0" w:space="0" w:color="auto"/>
        <w:left w:val="none" w:sz="0" w:space="0" w:color="auto"/>
        <w:bottom w:val="none" w:sz="0" w:space="0" w:color="auto"/>
        <w:right w:val="none" w:sz="0" w:space="0" w:color="auto"/>
      </w:divBdr>
    </w:div>
    <w:div w:id="1531722142">
      <w:bodyDiv w:val="1"/>
      <w:marLeft w:val="0"/>
      <w:marRight w:val="0"/>
      <w:marTop w:val="0"/>
      <w:marBottom w:val="0"/>
      <w:divBdr>
        <w:top w:val="none" w:sz="0" w:space="0" w:color="auto"/>
        <w:left w:val="none" w:sz="0" w:space="0" w:color="auto"/>
        <w:bottom w:val="none" w:sz="0" w:space="0" w:color="auto"/>
        <w:right w:val="none" w:sz="0" w:space="0" w:color="auto"/>
      </w:divBdr>
    </w:div>
    <w:div w:id="1541287540">
      <w:bodyDiv w:val="1"/>
      <w:marLeft w:val="0"/>
      <w:marRight w:val="0"/>
      <w:marTop w:val="0"/>
      <w:marBottom w:val="0"/>
      <w:divBdr>
        <w:top w:val="none" w:sz="0" w:space="0" w:color="auto"/>
        <w:left w:val="none" w:sz="0" w:space="0" w:color="auto"/>
        <w:bottom w:val="none" w:sz="0" w:space="0" w:color="auto"/>
        <w:right w:val="none" w:sz="0" w:space="0" w:color="auto"/>
      </w:divBdr>
    </w:div>
    <w:div w:id="1563131632">
      <w:bodyDiv w:val="1"/>
      <w:marLeft w:val="0"/>
      <w:marRight w:val="0"/>
      <w:marTop w:val="0"/>
      <w:marBottom w:val="0"/>
      <w:divBdr>
        <w:top w:val="none" w:sz="0" w:space="0" w:color="auto"/>
        <w:left w:val="none" w:sz="0" w:space="0" w:color="auto"/>
        <w:bottom w:val="none" w:sz="0" w:space="0" w:color="auto"/>
        <w:right w:val="none" w:sz="0" w:space="0" w:color="auto"/>
      </w:divBdr>
    </w:div>
    <w:div w:id="1571113082">
      <w:bodyDiv w:val="1"/>
      <w:marLeft w:val="0"/>
      <w:marRight w:val="0"/>
      <w:marTop w:val="0"/>
      <w:marBottom w:val="0"/>
      <w:divBdr>
        <w:top w:val="none" w:sz="0" w:space="0" w:color="auto"/>
        <w:left w:val="none" w:sz="0" w:space="0" w:color="auto"/>
        <w:bottom w:val="none" w:sz="0" w:space="0" w:color="auto"/>
        <w:right w:val="none" w:sz="0" w:space="0" w:color="auto"/>
      </w:divBdr>
    </w:div>
    <w:div w:id="1635520369">
      <w:bodyDiv w:val="1"/>
      <w:marLeft w:val="0"/>
      <w:marRight w:val="0"/>
      <w:marTop w:val="0"/>
      <w:marBottom w:val="0"/>
      <w:divBdr>
        <w:top w:val="none" w:sz="0" w:space="0" w:color="auto"/>
        <w:left w:val="none" w:sz="0" w:space="0" w:color="auto"/>
        <w:bottom w:val="none" w:sz="0" w:space="0" w:color="auto"/>
        <w:right w:val="none" w:sz="0" w:space="0" w:color="auto"/>
      </w:divBdr>
    </w:div>
    <w:div w:id="1636640235">
      <w:bodyDiv w:val="1"/>
      <w:marLeft w:val="0"/>
      <w:marRight w:val="0"/>
      <w:marTop w:val="0"/>
      <w:marBottom w:val="0"/>
      <w:divBdr>
        <w:top w:val="none" w:sz="0" w:space="0" w:color="auto"/>
        <w:left w:val="none" w:sz="0" w:space="0" w:color="auto"/>
        <w:bottom w:val="none" w:sz="0" w:space="0" w:color="auto"/>
        <w:right w:val="none" w:sz="0" w:space="0" w:color="auto"/>
      </w:divBdr>
    </w:div>
    <w:div w:id="1680278510">
      <w:bodyDiv w:val="1"/>
      <w:marLeft w:val="0"/>
      <w:marRight w:val="0"/>
      <w:marTop w:val="0"/>
      <w:marBottom w:val="0"/>
      <w:divBdr>
        <w:top w:val="none" w:sz="0" w:space="0" w:color="auto"/>
        <w:left w:val="none" w:sz="0" w:space="0" w:color="auto"/>
        <w:bottom w:val="none" w:sz="0" w:space="0" w:color="auto"/>
        <w:right w:val="none" w:sz="0" w:space="0" w:color="auto"/>
      </w:divBdr>
    </w:div>
    <w:div w:id="1682588925">
      <w:bodyDiv w:val="1"/>
      <w:marLeft w:val="0"/>
      <w:marRight w:val="0"/>
      <w:marTop w:val="0"/>
      <w:marBottom w:val="0"/>
      <w:divBdr>
        <w:top w:val="none" w:sz="0" w:space="0" w:color="auto"/>
        <w:left w:val="none" w:sz="0" w:space="0" w:color="auto"/>
        <w:bottom w:val="none" w:sz="0" w:space="0" w:color="auto"/>
        <w:right w:val="none" w:sz="0" w:space="0" w:color="auto"/>
      </w:divBdr>
    </w:div>
    <w:div w:id="1698433396">
      <w:bodyDiv w:val="1"/>
      <w:marLeft w:val="0"/>
      <w:marRight w:val="0"/>
      <w:marTop w:val="0"/>
      <w:marBottom w:val="0"/>
      <w:divBdr>
        <w:top w:val="none" w:sz="0" w:space="0" w:color="auto"/>
        <w:left w:val="none" w:sz="0" w:space="0" w:color="auto"/>
        <w:bottom w:val="none" w:sz="0" w:space="0" w:color="auto"/>
        <w:right w:val="none" w:sz="0" w:space="0" w:color="auto"/>
      </w:divBdr>
    </w:div>
    <w:div w:id="1703748801">
      <w:bodyDiv w:val="1"/>
      <w:marLeft w:val="0"/>
      <w:marRight w:val="0"/>
      <w:marTop w:val="0"/>
      <w:marBottom w:val="0"/>
      <w:divBdr>
        <w:top w:val="none" w:sz="0" w:space="0" w:color="auto"/>
        <w:left w:val="none" w:sz="0" w:space="0" w:color="auto"/>
        <w:bottom w:val="none" w:sz="0" w:space="0" w:color="auto"/>
        <w:right w:val="none" w:sz="0" w:space="0" w:color="auto"/>
      </w:divBdr>
      <w:divsChild>
        <w:div w:id="26688263">
          <w:marLeft w:val="0"/>
          <w:marRight w:val="0"/>
          <w:marTop w:val="0"/>
          <w:marBottom w:val="0"/>
          <w:divBdr>
            <w:top w:val="none" w:sz="0" w:space="0" w:color="auto"/>
            <w:left w:val="none" w:sz="0" w:space="0" w:color="auto"/>
            <w:bottom w:val="none" w:sz="0" w:space="0" w:color="auto"/>
            <w:right w:val="none" w:sz="0" w:space="0" w:color="auto"/>
          </w:divBdr>
        </w:div>
        <w:div w:id="29032761">
          <w:marLeft w:val="0"/>
          <w:marRight w:val="0"/>
          <w:marTop w:val="0"/>
          <w:marBottom w:val="0"/>
          <w:divBdr>
            <w:top w:val="none" w:sz="0" w:space="0" w:color="auto"/>
            <w:left w:val="none" w:sz="0" w:space="0" w:color="auto"/>
            <w:bottom w:val="none" w:sz="0" w:space="0" w:color="auto"/>
            <w:right w:val="none" w:sz="0" w:space="0" w:color="auto"/>
          </w:divBdr>
        </w:div>
        <w:div w:id="41252704">
          <w:marLeft w:val="0"/>
          <w:marRight w:val="0"/>
          <w:marTop w:val="0"/>
          <w:marBottom w:val="0"/>
          <w:divBdr>
            <w:top w:val="none" w:sz="0" w:space="0" w:color="auto"/>
            <w:left w:val="none" w:sz="0" w:space="0" w:color="auto"/>
            <w:bottom w:val="none" w:sz="0" w:space="0" w:color="auto"/>
            <w:right w:val="none" w:sz="0" w:space="0" w:color="auto"/>
          </w:divBdr>
        </w:div>
        <w:div w:id="47536197">
          <w:marLeft w:val="0"/>
          <w:marRight w:val="0"/>
          <w:marTop w:val="0"/>
          <w:marBottom w:val="0"/>
          <w:divBdr>
            <w:top w:val="none" w:sz="0" w:space="0" w:color="auto"/>
            <w:left w:val="none" w:sz="0" w:space="0" w:color="auto"/>
            <w:bottom w:val="none" w:sz="0" w:space="0" w:color="auto"/>
            <w:right w:val="none" w:sz="0" w:space="0" w:color="auto"/>
          </w:divBdr>
        </w:div>
        <w:div w:id="79371878">
          <w:marLeft w:val="0"/>
          <w:marRight w:val="0"/>
          <w:marTop w:val="0"/>
          <w:marBottom w:val="0"/>
          <w:divBdr>
            <w:top w:val="none" w:sz="0" w:space="0" w:color="auto"/>
            <w:left w:val="none" w:sz="0" w:space="0" w:color="auto"/>
            <w:bottom w:val="none" w:sz="0" w:space="0" w:color="auto"/>
            <w:right w:val="none" w:sz="0" w:space="0" w:color="auto"/>
          </w:divBdr>
        </w:div>
        <w:div w:id="127935240">
          <w:marLeft w:val="0"/>
          <w:marRight w:val="0"/>
          <w:marTop w:val="0"/>
          <w:marBottom w:val="0"/>
          <w:divBdr>
            <w:top w:val="none" w:sz="0" w:space="0" w:color="auto"/>
            <w:left w:val="none" w:sz="0" w:space="0" w:color="auto"/>
            <w:bottom w:val="none" w:sz="0" w:space="0" w:color="auto"/>
            <w:right w:val="none" w:sz="0" w:space="0" w:color="auto"/>
          </w:divBdr>
        </w:div>
        <w:div w:id="145821289">
          <w:marLeft w:val="0"/>
          <w:marRight w:val="0"/>
          <w:marTop w:val="0"/>
          <w:marBottom w:val="0"/>
          <w:divBdr>
            <w:top w:val="none" w:sz="0" w:space="0" w:color="auto"/>
            <w:left w:val="none" w:sz="0" w:space="0" w:color="auto"/>
            <w:bottom w:val="none" w:sz="0" w:space="0" w:color="auto"/>
            <w:right w:val="none" w:sz="0" w:space="0" w:color="auto"/>
          </w:divBdr>
        </w:div>
        <w:div w:id="160127109">
          <w:marLeft w:val="0"/>
          <w:marRight w:val="0"/>
          <w:marTop w:val="0"/>
          <w:marBottom w:val="0"/>
          <w:divBdr>
            <w:top w:val="none" w:sz="0" w:space="0" w:color="auto"/>
            <w:left w:val="none" w:sz="0" w:space="0" w:color="auto"/>
            <w:bottom w:val="none" w:sz="0" w:space="0" w:color="auto"/>
            <w:right w:val="none" w:sz="0" w:space="0" w:color="auto"/>
          </w:divBdr>
        </w:div>
        <w:div w:id="167410115">
          <w:marLeft w:val="0"/>
          <w:marRight w:val="0"/>
          <w:marTop w:val="0"/>
          <w:marBottom w:val="0"/>
          <w:divBdr>
            <w:top w:val="none" w:sz="0" w:space="0" w:color="auto"/>
            <w:left w:val="none" w:sz="0" w:space="0" w:color="auto"/>
            <w:bottom w:val="none" w:sz="0" w:space="0" w:color="auto"/>
            <w:right w:val="none" w:sz="0" w:space="0" w:color="auto"/>
          </w:divBdr>
        </w:div>
        <w:div w:id="187570925">
          <w:marLeft w:val="0"/>
          <w:marRight w:val="0"/>
          <w:marTop w:val="0"/>
          <w:marBottom w:val="0"/>
          <w:divBdr>
            <w:top w:val="none" w:sz="0" w:space="0" w:color="auto"/>
            <w:left w:val="none" w:sz="0" w:space="0" w:color="auto"/>
            <w:bottom w:val="none" w:sz="0" w:space="0" w:color="auto"/>
            <w:right w:val="none" w:sz="0" w:space="0" w:color="auto"/>
          </w:divBdr>
        </w:div>
        <w:div w:id="209651299">
          <w:marLeft w:val="0"/>
          <w:marRight w:val="0"/>
          <w:marTop w:val="0"/>
          <w:marBottom w:val="0"/>
          <w:divBdr>
            <w:top w:val="none" w:sz="0" w:space="0" w:color="auto"/>
            <w:left w:val="none" w:sz="0" w:space="0" w:color="auto"/>
            <w:bottom w:val="none" w:sz="0" w:space="0" w:color="auto"/>
            <w:right w:val="none" w:sz="0" w:space="0" w:color="auto"/>
          </w:divBdr>
        </w:div>
        <w:div w:id="229659153">
          <w:marLeft w:val="0"/>
          <w:marRight w:val="0"/>
          <w:marTop w:val="0"/>
          <w:marBottom w:val="0"/>
          <w:divBdr>
            <w:top w:val="none" w:sz="0" w:space="0" w:color="auto"/>
            <w:left w:val="none" w:sz="0" w:space="0" w:color="auto"/>
            <w:bottom w:val="none" w:sz="0" w:space="0" w:color="auto"/>
            <w:right w:val="none" w:sz="0" w:space="0" w:color="auto"/>
          </w:divBdr>
        </w:div>
        <w:div w:id="273437877">
          <w:marLeft w:val="0"/>
          <w:marRight w:val="0"/>
          <w:marTop w:val="0"/>
          <w:marBottom w:val="0"/>
          <w:divBdr>
            <w:top w:val="none" w:sz="0" w:space="0" w:color="auto"/>
            <w:left w:val="none" w:sz="0" w:space="0" w:color="auto"/>
            <w:bottom w:val="none" w:sz="0" w:space="0" w:color="auto"/>
            <w:right w:val="none" w:sz="0" w:space="0" w:color="auto"/>
          </w:divBdr>
        </w:div>
        <w:div w:id="301734407">
          <w:marLeft w:val="0"/>
          <w:marRight w:val="0"/>
          <w:marTop w:val="0"/>
          <w:marBottom w:val="0"/>
          <w:divBdr>
            <w:top w:val="none" w:sz="0" w:space="0" w:color="auto"/>
            <w:left w:val="none" w:sz="0" w:space="0" w:color="auto"/>
            <w:bottom w:val="none" w:sz="0" w:space="0" w:color="auto"/>
            <w:right w:val="none" w:sz="0" w:space="0" w:color="auto"/>
          </w:divBdr>
        </w:div>
        <w:div w:id="309792626">
          <w:marLeft w:val="0"/>
          <w:marRight w:val="0"/>
          <w:marTop w:val="0"/>
          <w:marBottom w:val="0"/>
          <w:divBdr>
            <w:top w:val="none" w:sz="0" w:space="0" w:color="auto"/>
            <w:left w:val="none" w:sz="0" w:space="0" w:color="auto"/>
            <w:bottom w:val="none" w:sz="0" w:space="0" w:color="auto"/>
            <w:right w:val="none" w:sz="0" w:space="0" w:color="auto"/>
          </w:divBdr>
        </w:div>
        <w:div w:id="359167182">
          <w:marLeft w:val="0"/>
          <w:marRight w:val="0"/>
          <w:marTop w:val="0"/>
          <w:marBottom w:val="0"/>
          <w:divBdr>
            <w:top w:val="none" w:sz="0" w:space="0" w:color="auto"/>
            <w:left w:val="none" w:sz="0" w:space="0" w:color="auto"/>
            <w:bottom w:val="none" w:sz="0" w:space="0" w:color="auto"/>
            <w:right w:val="none" w:sz="0" w:space="0" w:color="auto"/>
          </w:divBdr>
        </w:div>
        <w:div w:id="386223840">
          <w:marLeft w:val="0"/>
          <w:marRight w:val="0"/>
          <w:marTop w:val="0"/>
          <w:marBottom w:val="0"/>
          <w:divBdr>
            <w:top w:val="none" w:sz="0" w:space="0" w:color="auto"/>
            <w:left w:val="none" w:sz="0" w:space="0" w:color="auto"/>
            <w:bottom w:val="none" w:sz="0" w:space="0" w:color="auto"/>
            <w:right w:val="none" w:sz="0" w:space="0" w:color="auto"/>
          </w:divBdr>
        </w:div>
        <w:div w:id="414135216">
          <w:marLeft w:val="0"/>
          <w:marRight w:val="0"/>
          <w:marTop w:val="0"/>
          <w:marBottom w:val="0"/>
          <w:divBdr>
            <w:top w:val="none" w:sz="0" w:space="0" w:color="auto"/>
            <w:left w:val="none" w:sz="0" w:space="0" w:color="auto"/>
            <w:bottom w:val="none" w:sz="0" w:space="0" w:color="auto"/>
            <w:right w:val="none" w:sz="0" w:space="0" w:color="auto"/>
          </w:divBdr>
        </w:div>
        <w:div w:id="482627234">
          <w:marLeft w:val="0"/>
          <w:marRight w:val="0"/>
          <w:marTop w:val="0"/>
          <w:marBottom w:val="0"/>
          <w:divBdr>
            <w:top w:val="none" w:sz="0" w:space="0" w:color="auto"/>
            <w:left w:val="none" w:sz="0" w:space="0" w:color="auto"/>
            <w:bottom w:val="none" w:sz="0" w:space="0" w:color="auto"/>
            <w:right w:val="none" w:sz="0" w:space="0" w:color="auto"/>
          </w:divBdr>
        </w:div>
        <w:div w:id="546841602">
          <w:marLeft w:val="0"/>
          <w:marRight w:val="0"/>
          <w:marTop w:val="0"/>
          <w:marBottom w:val="0"/>
          <w:divBdr>
            <w:top w:val="none" w:sz="0" w:space="0" w:color="auto"/>
            <w:left w:val="none" w:sz="0" w:space="0" w:color="auto"/>
            <w:bottom w:val="none" w:sz="0" w:space="0" w:color="auto"/>
            <w:right w:val="none" w:sz="0" w:space="0" w:color="auto"/>
          </w:divBdr>
        </w:div>
        <w:div w:id="548147751">
          <w:marLeft w:val="0"/>
          <w:marRight w:val="0"/>
          <w:marTop w:val="0"/>
          <w:marBottom w:val="0"/>
          <w:divBdr>
            <w:top w:val="none" w:sz="0" w:space="0" w:color="auto"/>
            <w:left w:val="none" w:sz="0" w:space="0" w:color="auto"/>
            <w:bottom w:val="none" w:sz="0" w:space="0" w:color="auto"/>
            <w:right w:val="none" w:sz="0" w:space="0" w:color="auto"/>
          </w:divBdr>
        </w:div>
        <w:div w:id="606304468">
          <w:marLeft w:val="0"/>
          <w:marRight w:val="0"/>
          <w:marTop w:val="0"/>
          <w:marBottom w:val="0"/>
          <w:divBdr>
            <w:top w:val="none" w:sz="0" w:space="0" w:color="auto"/>
            <w:left w:val="none" w:sz="0" w:space="0" w:color="auto"/>
            <w:bottom w:val="none" w:sz="0" w:space="0" w:color="auto"/>
            <w:right w:val="none" w:sz="0" w:space="0" w:color="auto"/>
          </w:divBdr>
        </w:div>
        <w:div w:id="617567356">
          <w:marLeft w:val="0"/>
          <w:marRight w:val="0"/>
          <w:marTop w:val="0"/>
          <w:marBottom w:val="0"/>
          <w:divBdr>
            <w:top w:val="none" w:sz="0" w:space="0" w:color="auto"/>
            <w:left w:val="none" w:sz="0" w:space="0" w:color="auto"/>
            <w:bottom w:val="none" w:sz="0" w:space="0" w:color="auto"/>
            <w:right w:val="none" w:sz="0" w:space="0" w:color="auto"/>
          </w:divBdr>
        </w:div>
        <w:div w:id="698821498">
          <w:marLeft w:val="0"/>
          <w:marRight w:val="0"/>
          <w:marTop w:val="0"/>
          <w:marBottom w:val="0"/>
          <w:divBdr>
            <w:top w:val="none" w:sz="0" w:space="0" w:color="auto"/>
            <w:left w:val="none" w:sz="0" w:space="0" w:color="auto"/>
            <w:bottom w:val="none" w:sz="0" w:space="0" w:color="auto"/>
            <w:right w:val="none" w:sz="0" w:space="0" w:color="auto"/>
          </w:divBdr>
        </w:div>
        <w:div w:id="715200362">
          <w:marLeft w:val="0"/>
          <w:marRight w:val="0"/>
          <w:marTop w:val="0"/>
          <w:marBottom w:val="0"/>
          <w:divBdr>
            <w:top w:val="none" w:sz="0" w:space="0" w:color="auto"/>
            <w:left w:val="none" w:sz="0" w:space="0" w:color="auto"/>
            <w:bottom w:val="none" w:sz="0" w:space="0" w:color="auto"/>
            <w:right w:val="none" w:sz="0" w:space="0" w:color="auto"/>
          </w:divBdr>
        </w:div>
        <w:div w:id="743259016">
          <w:marLeft w:val="0"/>
          <w:marRight w:val="0"/>
          <w:marTop w:val="0"/>
          <w:marBottom w:val="0"/>
          <w:divBdr>
            <w:top w:val="none" w:sz="0" w:space="0" w:color="auto"/>
            <w:left w:val="none" w:sz="0" w:space="0" w:color="auto"/>
            <w:bottom w:val="none" w:sz="0" w:space="0" w:color="auto"/>
            <w:right w:val="none" w:sz="0" w:space="0" w:color="auto"/>
          </w:divBdr>
        </w:div>
        <w:div w:id="744228134">
          <w:marLeft w:val="0"/>
          <w:marRight w:val="0"/>
          <w:marTop w:val="0"/>
          <w:marBottom w:val="0"/>
          <w:divBdr>
            <w:top w:val="none" w:sz="0" w:space="0" w:color="auto"/>
            <w:left w:val="none" w:sz="0" w:space="0" w:color="auto"/>
            <w:bottom w:val="none" w:sz="0" w:space="0" w:color="auto"/>
            <w:right w:val="none" w:sz="0" w:space="0" w:color="auto"/>
          </w:divBdr>
        </w:div>
        <w:div w:id="762839788">
          <w:marLeft w:val="0"/>
          <w:marRight w:val="0"/>
          <w:marTop w:val="0"/>
          <w:marBottom w:val="0"/>
          <w:divBdr>
            <w:top w:val="none" w:sz="0" w:space="0" w:color="auto"/>
            <w:left w:val="none" w:sz="0" w:space="0" w:color="auto"/>
            <w:bottom w:val="none" w:sz="0" w:space="0" w:color="auto"/>
            <w:right w:val="none" w:sz="0" w:space="0" w:color="auto"/>
          </w:divBdr>
        </w:div>
        <w:div w:id="776102784">
          <w:marLeft w:val="0"/>
          <w:marRight w:val="0"/>
          <w:marTop w:val="0"/>
          <w:marBottom w:val="0"/>
          <w:divBdr>
            <w:top w:val="none" w:sz="0" w:space="0" w:color="auto"/>
            <w:left w:val="none" w:sz="0" w:space="0" w:color="auto"/>
            <w:bottom w:val="none" w:sz="0" w:space="0" w:color="auto"/>
            <w:right w:val="none" w:sz="0" w:space="0" w:color="auto"/>
          </w:divBdr>
        </w:div>
        <w:div w:id="782653485">
          <w:marLeft w:val="0"/>
          <w:marRight w:val="0"/>
          <w:marTop w:val="0"/>
          <w:marBottom w:val="0"/>
          <w:divBdr>
            <w:top w:val="none" w:sz="0" w:space="0" w:color="auto"/>
            <w:left w:val="none" w:sz="0" w:space="0" w:color="auto"/>
            <w:bottom w:val="none" w:sz="0" w:space="0" w:color="auto"/>
            <w:right w:val="none" w:sz="0" w:space="0" w:color="auto"/>
          </w:divBdr>
        </w:div>
        <w:div w:id="883830527">
          <w:marLeft w:val="0"/>
          <w:marRight w:val="0"/>
          <w:marTop w:val="0"/>
          <w:marBottom w:val="0"/>
          <w:divBdr>
            <w:top w:val="none" w:sz="0" w:space="0" w:color="auto"/>
            <w:left w:val="none" w:sz="0" w:space="0" w:color="auto"/>
            <w:bottom w:val="none" w:sz="0" w:space="0" w:color="auto"/>
            <w:right w:val="none" w:sz="0" w:space="0" w:color="auto"/>
          </w:divBdr>
        </w:div>
        <w:div w:id="915820746">
          <w:marLeft w:val="0"/>
          <w:marRight w:val="0"/>
          <w:marTop w:val="0"/>
          <w:marBottom w:val="0"/>
          <w:divBdr>
            <w:top w:val="none" w:sz="0" w:space="0" w:color="auto"/>
            <w:left w:val="none" w:sz="0" w:space="0" w:color="auto"/>
            <w:bottom w:val="none" w:sz="0" w:space="0" w:color="auto"/>
            <w:right w:val="none" w:sz="0" w:space="0" w:color="auto"/>
          </w:divBdr>
        </w:div>
        <w:div w:id="951204630">
          <w:marLeft w:val="0"/>
          <w:marRight w:val="0"/>
          <w:marTop w:val="0"/>
          <w:marBottom w:val="0"/>
          <w:divBdr>
            <w:top w:val="none" w:sz="0" w:space="0" w:color="auto"/>
            <w:left w:val="none" w:sz="0" w:space="0" w:color="auto"/>
            <w:bottom w:val="none" w:sz="0" w:space="0" w:color="auto"/>
            <w:right w:val="none" w:sz="0" w:space="0" w:color="auto"/>
          </w:divBdr>
        </w:div>
        <w:div w:id="963191970">
          <w:marLeft w:val="0"/>
          <w:marRight w:val="0"/>
          <w:marTop w:val="0"/>
          <w:marBottom w:val="0"/>
          <w:divBdr>
            <w:top w:val="none" w:sz="0" w:space="0" w:color="auto"/>
            <w:left w:val="none" w:sz="0" w:space="0" w:color="auto"/>
            <w:bottom w:val="none" w:sz="0" w:space="0" w:color="auto"/>
            <w:right w:val="none" w:sz="0" w:space="0" w:color="auto"/>
          </w:divBdr>
        </w:div>
        <w:div w:id="985937054">
          <w:marLeft w:val="0"/>
          <w:marRight w:val="0"/>
          <w:marTop w:val="0"/>
          <w:marBottom w:val="0"/>
          <w:divBdr>
            <w:top w:val="none" w:sz="0" w:space="0" w:color="auto"/>
            <w:left w:val="none" w:sz="0" w:space="0" w:color="auto"/>
            <w:bottom w:val="none" w:sz="0" w:space="0" w:color="auto"/>
            <w:right w:val="none" w:sz="0" w:space="0" w:color="auto"/>
          </w:divBdr>
        </w:div>
        <w:div w:id="1002203739">
          <w:marLeft w:val="0"/>
          <w:marRight w:val="0"/>
          <w:marTop w:val="0"/>
          <w:marBottom w:val="0"/>
          <w:divBdr>
            <w:top w:val="none" w:sz="0" w:space="0" w:color="auto"/>
            <w:left w:val="none" w:sz="0" w:space="0" w:color="auto"/>
            <w:bottom w:val="none" w:sz="0" w:space="0" w:color="auto"/>
            <w:right w:val="none" w:sz="0" w:space="0" w:color="auto"/>
          </w:divBdr>
        </w:div>
        <w:div w:id="1085758734">
          <w:marLeft w:val="0"/>
          <w:marRight w:val="0"/>
          <w:marTop w:val="0"/>
          <w:marBottom w:val="0"/>
          <w:divBdr>
            <w:top w:val="none" w:sz="0" w:space="0" w:color="auto"/>
            <w:left w:val="none" w:sz="0" w:space="0" w:color="auto"/>
            <w:bottom w:val="none" w:sz="0" w:space="0" w:color="auto"/>
            <w:right w:val="none" w:sz="0" w:space="0" w:color="auto"/>
          </w:divBdr>
        </w:div>
        <w:div w:id="1115371492">
          <w:marLeft w:val="0"/>
          <w:marRight w:val="0"/>
          <w:marTop w:val="0"/>
          <w:marBottom w:val="0"/>
          <w:divBdr>
            <w:top w:val="none" w:sz="0" w:space="0" w:color="auto"/>
            <w:left w:val="none" w:sz="0" w:space="0" w:color="auto"/>
            <w:bottom w:val="none" w:sz="0" w:space="0" w:color="auto"/>
            <w:right w:val="none" w:sz="0" w:space="0" w:color="auto"/>
          </w:divBdr>
        </w:div>
        <w:div w:id="1153183883">
          <w:marLeft w:val="0"/>
          <w:marRight w:val="0"/>
          <w:marTop w:val="0"/>
          <w:marBottom w:val="0"/>
          <w:divBdr>
            <w:top w:val="none" w:sz="0" w:space="0" w:color="auto"/>
            <w:left w:val="none" w:sz="0" w:space="0" w:color="auto"/>
            <w:bottom w:val="none" w:sz="0" w:space="0" w:color="auto"/>
            <w:right w:val="none" w:sz="0" w:space="0" w:color="auto"/>
          </w:divBdr>
        </w:div>
        <w:div w:id="1192960593">
          <w:marLeft w:val="0"/>
          <w:marRight w:val="0"/>
          <w:marTop w:val="0"/>
          <w:marBottom w:val="0"/>
          <w:divBdr>
            <w:top w:val="none" w:sz="0" w:space="0" w:color="auto"/>
            <w:left w:val="none" w:sz="0" w:space="0" w:color="auto"/>
            <w:bottom w:val="none" w:sz="0" w:space="0" w:color="auto"/>
            <w:right w:val="none" w:sz="0" w:space="0" w:color="auto"/>
          </w:divBdr>
        </w:div>
        <w:div w:id="1206214956">
          <w:marLeft w:val="0"/>
          <w:marRight w:val="0"/>
          <w:marTop w:val="0"/>
          <w:marBottom w:val="0"/>
          <w:divBdr>
            <w:top w:val="none" w:sz="0" w:space="0" w:color="auto"/>
            <w:left w:val="none" w:sz="0" w:space="0" w:color="auto"/>
            <w:bottom w:val="none" w:sz="0" w:space="0" w:color="auto"/>
            <w:right w:val="none" w:sz="0" w:space="0" w:color="auto"/>
          </w:divBdr>
        </w:div>
        <w:div w:id="1218321109">
          <w:marLeft w:val="0"/>
          <w:marRight w:val="0"/>
          <w:marTop w:val="0"/>
          <w:marBottom w:val="0"/>
          <w:divBdr>
            <w:top w:val="none" w:sz="0" w:space="0" w:color="auto"/>
            <w:left w:val="none" w:sz="0" w:space="0" w:color="auto"/>
            <w:bottom w:val="none" w:sz="0" w:space="0" w:color="auto"/>
            <w:right w:val="none" w:sz="0" w:space="0" w:color="auto"/>
          </w:divBdr>
        </w:div>
        <w:div w:id="1233001536">
          <w:marLeft w:val="0"/>
          <w:marRight w:val="0"/>
          <w:marTop w:val="0"/>
          <w:marBottom w:val="0"/>
          <w:divBdr>
            <w:top w:val="none" w:sz="0" w:space="0" w:color="auto"/>
            <w:left w:val="none" w:sz="0" w:space="0" w:color="auto"/>
            <w:bottom w:val="none" w:sz="0" w:space="0" w:color="auto"/>
            <w:right w:val="none" w:sz="0" w:space="0" w:color="auto"/>
          </w:divBdr>
        </w:div>
        <w:div w:id="1249079339">
          <w:marLeft w:val="0"/>
          <w:marRight w:val="0"/>
          <w:marTop w:val="0"/>
          <w:marBottom w:val="0"/>
          <w:divBdr>
            <w:top w:val="none" w:sz="0" w:space="0" w:color="auto"/>
            <w:left w:val="none" w:sz="0" w:space="0" w:color="auto"/>
            <w:bottom w:val="none" w:sz="0" w:space="0" w:color="auto"/>
            <w:right w:val="none" w:sz="0" w:space="0" w:color="auto"/>
          </w:divBdr>
        </w:div>
        <w:div w:id="1375039184">
          <w:marLeft w:val="0"/>
          <w:marRight w:val="0"/>
          <w:marTop w:val="0"/>
          <w:marBottom w:val="0"/>
          <w:divBdr>
            <w:top w:val="none" w:sz="0" w:space="0" w:color="auto"/>
            <w:left w:val="none" w:sz="0" w:space="0" w:color="auto"/>
            <w:bottom w:val="none" w:sz="0" w:space="0" w:color="auto"/>
            <w:right w:val="none" w:sz="0" w:space="0" w:color="auto"/>
          </w:divBdr>
        </w:div>
        <w:div w:id="1397708238">
          <w:marLeft w:val="0"/>
          <w:marRight w:val="0"/>
          <w:marTop w:val="0"/>
          <w:marBottom w:val="0"/>
          <w:divBdr>
            <w:top w:val="none" w:sz="0" w:space="0" w:color="auto"/>
            <w:left w:val="none" w:sz="0" w:space="0" w:color="auto"/>
            <w:bottom w:val="none" w:sz="0" w:space="0" w:color="auto"/>
            <w:right w:val="none" w:sz="0" w:space="0" w:color="auto"/>
          </w:divBdr>
        </w:div>
        <w:div w:id="1416392746">
          <w:marLeft w:val="0"/>
          <w:marRight w:val="0"/>
          <w:marTop w:val="0"/>
          <w:marBottom w:val="0"/>
          <w:divBdr>
            <w:top w:val="none" w:sz="0" w:space="0" w:color="auto"/>
            <w:left w:val="none" w:sz="0" w:space="0" w:color="auto"/>
            <w:bottom w:val="none" w:sz="0" w:space="0" w:color="auto"/>
            <w:right w:val="none" w:sz="0" w:space="0" w:color="auto"/>
          </w:divBdr>
        </w:div>
        <w:div w:id="1446927305">
          <w:marLeft w:val="0"/>
          <w:marRight w:val="0"/>
          <w:marTop w:val="0"/>
          <w:marBottom w:val="0"/>
          <w:divBdr>
            <w:top w:val="none" w:sz="0" w:space="0" w:color="auto"/>
            <w:left w:val="none" w:sz="0" w:space="0" w:color="auto"/>
            <w:bottom w:val="none" w:sz="0" w:space="0" w:color="auto"/>
            <w:right w:val="none" w:sz="0" w:space="0" w:color="auto"/>
          </w:divBdr>
        </w:div>
        <w:div w:id="1486776340">
          <w:marLeft w:val="0"/>
          <w:marRight w:val="0"/>
          <w:marTop w:val="0"/>
          <w:marBottom w:val="0"/>
          <w:divBdr>
            <w:top w:val="none" w:sz="0" w:space="0" w:color="auto"/>
            <w:left w:val="none" w:sz="0" w:space="0" w:color="auto"/>
            <w:bottom w:val="none" w:sz="0" w:space="0" w:color="auto"/>
            <w:right w:val="none" w:sz="0" w:space="0" w:color="auto"/>
          </w:divBdr>
        </w:div>
        <w:div w:id="1512066384">
          <w:marLeft w:val="0"/>
          <w:marRight w:val="0"/>
          <w:marTop w:val="0"/>
          <w:marBottom w:val="0"/>
          <w:divBdr>
            <w:top w:val="none" w:sz="0" w:space="0" w:color="auto"/>
            <w:left w:val="none" w:sz="0" w:space="0" w:color="auto"/>
            <w:bottom w:val="none" w:sz="0" w:space="0" w:color="auto"/>
            <w:right w:val="none" w:sz="0" w:space="0" w:color="auto"/>
          </w:divBdr>
        </w:div>
        <w:div w:id="1512185769">
          <w:marLeft w:val="0"/>
          <w:marRight w:val="0"/>
          <w:marTop w:val="0"/>
          <w:marBottom w:val="0"/>
          <w:divBdr>
            <w:top w:val="none" w:sz="0" w:space="0" w:color="auto"/>
            <w:left w:val="none" w:sz="0" w:space="0" w:color="auto"/>
            <w:bottom w:val="none" w:sz="0" w:space="0" w:color="auto"/>
            <w:right w:val="none" w:sz="0" w:space="0" w:color="auto"/>
          </w:divBdr>
        </w:div>
        <w:div w:id="1538815994">
          <w:marLeft w:val="0"/>
          <w:marRight w:val="0"/>
          <w:marTop w:val="0"/>
          <w:marBottom w:val="0"/>
          <w:divBdr>
            <w:top w:val="none" w:sz="0" w:space="0" w:color="auto"/>
            <w:left w:val="none" w:sz="0" w:space="0" w:color="auto"/>
            <w:bottom w:val="none" w:sz="0" w:space="0" w:color="auto"/>
            <w:right w:val="none" w:sz="0" w:space="0" w:color="auto"/>
          </w:divBdr>
        </w:div>
        <w:div w:id="1554072978">
          <w:marLeft w:val="0"/>
          <w:marRight w:val="0"/>
          <w:marTop w:val="0"/>
          <w:marBottom w:val="0"/>
          <w:divBdr>
            <w:top w:val="none" w:sz="0" w:space="0" w:color="auto"/>
            <w:left w:val="none" w:sz="0" w:space="0" w:color="auto"/>
            <w:bottom w:val="none" w:sz="0" w:space="0" w:color="auto"/>
            <w:right w:val="none" w:sz="0" w:space="0" w:color="auto"/>
          </w:divBdr>
        </w:div>
        <w:div w:id="1571766885">
          <w:marLeft w:val="0"/>
          <w:marRight w:val="0"/>
          <w:marTop w:val="0"/>
          <w:marBottom w:val="0"/>
          <w:divBdr>
            <w:top w:val="none" w:sz="0" w:space="0" w:color="auto"/>
            <w:left w:val="none" w:sz="0" w:space="0" w:color="auto"/>
            <w:bottom w:val="none" w:sz="0" w:space="0" w:color="auto"/>
            <w:right w:val="none" w:sz="0" w:space="0" w:color="auto"/>
          </w:divBdr>
        </w:div>
        <w:div w:id="1589343734">
          <w:marLeft w:val="0"/>
          <w:marRight w:val="0"/>
          <w:marTop w:val="0"/>
          <w:marBottom w:val="0"/>
          <w:divBdr>
            <w:top w:val="none" w:sz="0" w:space="0" w:color="auto"/>
            <w:left w:val="none" w:sz="0" w:space="0" w:color="auto"/>
            <w:bottom w:val="none" w:sz="0" w:space="0" w:color="auto"/>
            <w:right w:val="none" w:sz="0" w:space="0" w:color="auto"/>
          </w:divBdr>
        </w:div>
        <w:div w:id="1618952282">
          <w:marLeft w:val="0"/>
          <w:marRight w:val="0"/>
          <w:marTop w:val="0"/>
          <w:marBottom w:val="0"/>
          <w:divBdr>
            <w:top w:val="none" w:sz="0" w:space="0" w:color="auto"/>
            <w:left w:val="none" w:sz="0" w:space="0" w:color="auto"/>
            <w:bottom w:val="none" w:sz="0" w:space="0" w:color="auto"/>
            <w:right w:val="none" w:sz="0" w:space="0" w:color="auto"/>
          </w:divBdr>
        </w:div>
        <w:div w:id="1634214417">
          <w:marLeft w:val="0"/>
          <w:marRight w:val="0"/>
          <w:marTop w:val="0"/>
          <w:marBottom w:val="0"/>
          <w:divBdr>
            <w:top w:val="none" w:sz="0" w:space="0" w:color="auto"/>
            <w:left w:val="none" w:sz="0" w:space="0" w:color="auto"/>
            <w:bottom w:val="none" w:sz="0" w:space="0" w:color="auto"/>
            <w:right w:val="none" w:sz="0" w:space="0" w:color="auto"/>
          </w:divBdr>
        </w:div>
        <w:div w:id="1643122812">
          <w:marLeft w:val="0"/>
          <w:marRight w:val="0"/>
          <w:marTop w:val="0"/>
          <w:marBottom w:val="0"/>
          <w:divBdr>
            <w:top w:val="none" w:sz="0" w:space="0" w:color="auto"/>
            <w:left w:val="none" w:sz="0" w:space="0" w:color="auto"/>
            <w:bottom w:val="none" w:sz="0" w:space="0" w:color="auto"/>
            <w:right w:val="none" w:sz="0" w:space="0" w:color="auto"/>
          </w:divBdr>
        </w:div>
        <w:div w:id="1648973927">
          <w:marLeft w:val="0"/>
          <w:marRight w:val="0"/>
          <w:marTop w:val="0"/>
          <w:marBottom w:val="0"/>
          <w:divBdr>
            <w:top w:val="none" w:sz="0" w:space="0" w:color="auto"/>
            <w:left w:val="none" w:sz="0" w:space="0" w:color="auto"/>
            <w:bottom w:val="none" w:sz="0" w:space="0" w:color="auto"/>
            <w:right w:val="none" w:sz="0" w:space="0" w:color="auto"/>
          </w:divBdr>
        </w:div>
        <w:div w:id="1658679933">
          <w:marLeft w:val="0"/>
          <w:marRight w:val="0"/>
          <w:marTop w:val="0"/>
          <w:marBottom w:val="0"/>
          <w:divBdr>
            <w:top w:val="none" w:sz="0" w:space="0" w:color="auto"/>
            <w:left w:val="none" w:sz="0" w:space="0" w:color="auto"/>
            <w:bottom w:val="none" w:sz="0" w:space="0" w:color="auto"/>
            <w:right w:val="none" w:sz="0" w:space="0" w:color="auto"/>
          </w:divBdr>
        </w:div>
        <w:div w:id="1672173563">
          <w:marLeft w:val="0"/>
          <w:marRight w:val="0"/>
          <w:marTop w:val="0"/>
          <w:marBottom w:val="0"/>
          <w:divBdr>
            <w:top w:val="none" w:sz="0" w:space="0" w:color="auto"/>
            <w:left w:val="none" w:sz="0" w:space="0" w:color="auto"/>
            <w:bottom w:val="none" w:sz="0" w:space="0" w:color="auto"/>
            <w:right w:val="none" w:sz="0" w:space="0" w:color="auto"/>
          </w:divBdr>
        </w:div>
        <w:div w:id="1684940651">
          <w:marLeft w:val="0"/>
          <w:marRight w:val="0"/>
          <w:marTop w:val="0"/>
          <w:marBottom w:val="0"/>
          <w:divBdr>
            <w:top w:val="none" w:sz="0" w:space="0" w:color="auto"/>
            <w:left w:val="none" w:sz="0" w:space="0" w:color="auto"/>
            <w:bottom w:val="none" w:sz="0" w:space="0" w:color="auto"/>
            <w:right w:val="none" w:sz="0" w:space="0" w:color="auto"/>
          </w:divBdr>
        </w:div>
        <w:div w:id="1687635446">
          <w:marLeft w:val="0"/>
          <w:marRight w:val="0"/>
          <w:marTop w:val="0"/>
          <w:marBottom w:val="0"/>
          <w:divBdr>
            <w:top w:val="none" w:sz="0" w:space="0" w:color="auto"/>
            <w:left w:val="none" w:sz="0" w:space="0" w:color="auto"/>
            <w:bottom w:val="none" w:sz="0" w:space="0" w:color="auto"/>
            <w:right w:val="none" w:sz="0" w:space="0" w:color="auto"/>
          </w:divBdr>
        </w:div>
        <w:div w:id="1688630933">
          <w:marLeft w:val="0"/>
          <w:marRight w:val="0"/>
          <w:marTop w:val="0"/>
          <w:marBottom w:val="0"/>
          <w:divBdr>
            <w:top w:val="none" w:sz="0" w:space="0" w:color="auto"/>
            <w:left w:val="none" w:sz="0" w:space="0" w:color="auto"/>
            <w:bottom w:val="none" w:sz="0" w:space="0" w:color="auto"/>
            <w:right w:val="none" w:sz="0" w:space="0" w:color="auto"/>
          </w:divBdr>
        </w:div>
        <w:div w:id="1692874271">
          <w:marLeft w:val="0"/>
          <w:marRight w:val="0"/>
          <w:marTop w:val="0"/>
          <w:marBottom w:val="0"/>
          <w:divBdr>
            <w:top w:val="none" w:sz="0" w:space="0" w:color="auto"/>
            <w:left w:val="none" w:sz="0" w:space="0" w:color="auto"/>
            <w:bottom w:val="none" w:sz="0" w:space="0" w:color="auto"/>
            <w:right w:val="none" w:sz="0" w:space="0" w:color="auto"/>
          </w:divBdr>
        </w:div>
        <w:div w:id="1707608134">
          <w:marLeft w:val="0"/>
          <w:marRight w:val="0"/>
          <w:marTop w:val="0"/>
          <w:marBottom w:val="0"/>
          <w:divBdr>
            <w:top w:val="none" w:sz="0" w:space="0" w:color="auto"/>
            <w:left w:val="none" w:sz="0" w:space="0" w:color="auto"/>
            <w:bottom w:val="none" w:sz="0" w:space="0" w:color="auto"/>
            <w:right w:val="none" w:sz="0" w:space="0" w:color="auto"/>
          </w:divBdr>
        </w:div>
        <w:div w:id="1761949199">
          <w:marLeft w:val="0"/>
          <w:marRight w:val="0"/>
          <w:marTop w:val="0"/>
          <w:marBottom w:val="0"/>
          <w:divBdr>
            <w:top w:val="none" w:sz="0" w:space="0" w:color="auto"/>
            <w:left w:val="none" w:sz="0" w:space="0" w:color="auto"/>
            <w:bottom w:val="none" w:sz="0" w:space="0" w:color="auto"/>
            <w:right w:val="none" w:sz="0" w:space="0" w:color="auto"/>
          </w:divBdr>
        </w:div>
        <w:div w:id="1781874165">
          <w:marLeft w:val="0"/>
          <w:marRight w:val="0"/>
          <w:marTop w:val="0"/>
          <w:marBottom w:val="0"/>
          <w:divBdr>
            <w:top w:val="none" w:sz="0" w:space="0" w:color="auto"/>
            <w:left w:val="none" w:sz="0" w:space="0" w:color="auto"/>
            <w:bottom w:val="none" w:sz="0" w:space="0" w:color="auto"/>
            <w:right w:val="none" w:sz="0" w:space="0" w:color="auto"/>
          </w:divBdr>
        </w:div>
        <w:div w:id="1813710234">
          <w:marLeft w:val="0"/>
          <w:marRight w:val="0"/>
          <w:marTop w:val="0"/>
          <w:marBottom w:val="0"/>
          <w:divBdr>
            <w:top w:val="none" w:sz="0" w:space="0" w:color="auto"/>
            <w:left w:val="none" w:sz="0" w:space="0" w:color="auto"/>
            <w:bottom w:val="none" w:sz="0" w:space="0" w:color="auto"/>
            <w:right w:val="none" w:sz="0" w:space="0" w:color="auto"/>
          </w:divBdr>
        </w:div>
        <w:div w:id="1846558064">
          <w:marLeft w:val="0"/>
          <w:marRight w:val="0"/>
          <w:marTop w:val="0"/>
          <w:marBottom w:val="0"/>
          <w:divBdr>
            <w:top w:val="none" w:sz="0" w:space="0" w:color="auto"/>
            <w:left w:val="none" w:sz="0" w:space="0" w:color="auto"/>
            <w:bottom w:val="none" w:sz="0" w:space="0" w:color="auto"/>
            <w:right w:val="none" w:sz="0" w:space="0" w:color="auto"/>
          </w:divBdr>
        </w:div>
        <w:div w:id="1849175136">
          <w:marLeft w:val="0"/>
          <w:marRight w:val="0"/>
          <w:marTop w:val="0"/>
          <w:marBottom w:val="0"/>
          <w:divBdr>
            <w:top w:val="none" w:sz="0" w:space="0" w:color="auto"/>
            <w:left w:val="none" w:sz="0" w:space="0" w:color="auto"/>
            <w:bottom w:val="none" w:sz="0" w:space="0" w:color="auto"/>
            <w:right w:val="none" w:sz="0" w:space="0" w:color="auto"/>
          </w:divBdr>
        </w:div>
        <w:div w:id="1853058630">
          <w:marLeft w:val="0"/>
          <w:marRight w:val="0"/>
          <w:marTop w:val="0"/>
          <w:marBottom w:val="0"/>
          <w:divBdr>
            <w:top w:val="none" w:sz="0" w:space="0" w:color="auto"/>
            <w:left w:val="none" w:sz="0" w:space="0" w:color="auto"/>
            <w:bottom w:val="none" w:sz="0" w:space="0" w:color="auto"/>
            <w:right w:val="none" w:sz="0" w:space="0" w:color="auto"/>
          </w:divBdr>
          <w:divsChild>
            <w:div w:id="19085090">
              <w:marLeft w:val="0"/>
              <w:marRight w:val="0"/>
              <w:marTop w:val="0"/>
              <w:marBottom w:val="0"/>
              <w:divBdr>
                <w:top w:val="none" w:sz="0" w:space="0" w:color="auto"/>
                <w:left w:val="none" w:sz="0" w:space="0" w:color="auto"/>
                <w:bottom w:val="none" w:sz="0" w:space="0" w:color="auto"/>
                <w:right w:val="none" w:sz="0" w:space="0" w:color="auto"/>
              </w:divBdr>
            </w:div>
            <w:div w:id="76564368">
              <w:marLeft w:val="0"/>
              <w:marRight w:val="0"/>
              <w:marTop w:val="0"/>
              <w:marBottom w:val="0"/>
              <w:divBdr>
                <w:top w:val="none" w:sz="0" w:space="0" w:color="auto"/>
                <w:left w:val="none" w:sz="0" w:space="0" w:color="auto"/>
                <w:bottom w:val="none" w:sz="0" w:space="0" w:color="auto"/>
                <w:right w:val="none" w:sz="0" w:space="0" w:color="auto"/>
              </w:divBdr>
            </w:div>
            <w:div w:id="169217560">
              <w:marLeft w:val="0"/>
              <w:marRight w:val="0"/>
              <w:marTop w:val="0"/>
              <w:marBottom w:val="0"/>
              <w:divBdr>
                <w:top w:val="none" w:sz="0" w:space="0" w:color="auto"/>
                <w:left w:val="none" w:sz="0" w:space="0" w:color="auto"/>
                <w:bottom w:val="none" w:sz="0" w:space="0" w:color="auto"/>
                <w:right w:val="none" w:sz="0" w:space="0" w:color="auto"/>
              </w:divBdr>
            </w:div>
            <w:div w:id="189417516">
              <w:marLeft w:val="0"/>
              <w:marRight w:val="0"/>
              <w:marTop w:val="0"/>
              <w:marBottom w:val="0"/>
              <w:divBdr>
                <w:top w:val="none" w:sz="0" w:space="0" w:color="auto"/>
                <w:left w:val="none" w:sz="0" w:space="0" w:color="auto"/>
                <w:bottom w:val="none" w:sz="0" w:space="0" w:color="auto"/>
                <w:right w:val="none" w:sz="0" w:space="0" w:color="auto"/>
              </w:divBdr>
            </w:div>
            <w:div w:id="194387884">
              <w:marLeft w:val="0"/>
              <w:marRight w:val="0"/>
              <w:marTop w:val="0"/>
              <w:marBottom w:val="0"/>
              <w:divBdr>
                <w:top w:val="none" w:sz="0" w:space="0" w:color="auto"/>
                <w:left w:val="none" w:sz="0" w:space="0" w:color="auto"/>
                <w:bottom w:val="none" w:sz="0" w:space="0" w:color="auto"/>
                <w:right w:val="none" w:sz="0" w:space="0" w:color="auto"/>
              </w:divBdr>
            </w:div>
            <w:div w:id="198662473">
              <w:marLeft w:val="0"/>
              <w:marRight w:val="0"/>
              <w:marTop w:val="0"/>
              <w:marBottom w:val="0"/>
              <w:divBdr>
                <w:top w:val="none" w:sz="0" w:space="0" w:color="auto"/>
                <w:left w:val="none" w:sz="0" w:space="0" w:color="auto"/>
                <w:bottom w:val="none" w:sz="0" w:space="0" w:color="auto"/>
                <w:right w:val="none" w:sz="0" w:space="0" w:color="auto"/>
              </w:divBdr>
            </w:div>
            <w:div w:id="438985011">
              <w:marLeft w:val="0"/>
              <w:marRight w:val="0"/>
              <w:marTop w:val="0"/>
              <w:marBottom w:val="0"/>
              <w:divBdr>
                <w:top w:val="none" w:sz="0" w:space="0" w:color="auto"/>
                <w:left w:val="none" w:sz="0" w:space="0" w:color="auto"/>
                <w:bottom w:val="none" w:sz="0" w:space="0" w:color="auto"/>
                <w:right w:val="none" w:sz="0" w:space="0" w:color="auto"/>
              </w:divBdr>
            </w:div>
            <w:div w:id="479425361">
              <w:marLeft w:val="0"/>
              <w:marRight w:val="0"/>
              <w:marTop w:val="0"/>
              <w:marBottom w:val="0"/>
              <w:divBdr>
                <w:top w:val="none" w:sz="0" w:space="0" w:color="auto"/>
                <w:left w:val="none" w:sz="0" w:space="0" w:color="auto"/>
                <w:bottom w:val="none" w:sz="0" w:space="0" w:color="auto"/>
                <w:right w:val="none" w:sz="0" w:space="0" w:color="auto"/>
              </w:divBdr>
            </w:div>
            <w:div w:id="599143188">
              <w:marLeft w:val="0"/>
              <w:marRight w:val="0"/>
              <w:marTop w:val="0"/>
              <w:marBottom w:val="0"/>
              <w:divBdr>
                <w:top w:val="none" w:sz="0" w:space="0" w:color="auto"/>
                <w:left w:val="none" w:sz="0" w:space="0" w:color="auto"/>
                <w:bottom w:val="none" w:sz="0" w:space="0" w:color="auto"/>
                <w:right w:val="none" w:sz="0" w:space="0" w:color="auto"/>
              </w:divBdr>
            </w:div>
            <w:div w:id="654798431">
              <w:marLeft w:val="0"/>
              <w:marRight w:val="0"/>
              <w:marTop w:val="0"/>
              <w:marBottom w:val="0"/>
              <w:divBdr>
                <w:top w:val="none" w:sz="0" w:space="0" w:color="auto"/>
                <w:left w:val="none" w:sz="0" w:space="0" w:color="auto"/>
                <w:bottom w:val="none" w:sz="0" w:space="0" w:color="auto"/>
                <w:right w:val="none" w:sz="0" w:space="0" w:color="auto"/>
              </w:divBdr>
            </w:div>
            <w:div w:id="679044863">
              <w:marLeft w:val="0"/>
              <w:marRight w:val="0"/>
              <w:marTop w:val="0"/>
              <w:marBottom w:val="0"/>
              <w:divBdr>
                <w:top w:val="none" w:sz="0" w:space="0" w:color="auto"/>
                <w:left w:val="none" w:sz="0" w:space="0" w:color="auto"/>
                <w:bottom w:val="none" w:sz="0" w:space="0" w:color="auto"/>
                <w:right w:val="none" w:sz="0" w:space="0" w:color="auto"/>
              </w:divBdr>
            </w:div>
            <w:div w:id="753478877">
              <w:marLeft w:val="0"/>
              <w:marRight w:val="0"/>
              <w:marTop w:val="0"/>
              <w:marBottom w:val="0"/>
              <w:divBdr>
                <w:top w:val="none" w:sz="0" w:space="0" w:color="auto"/>
                <w:left w:val="none" w:sz="0" w:space="0" w:color="auto"/>
                <w:bottom w:val="none" w:sz="0" w:space="0" w:color="auto"/>
                <w:right w:val="none" w:sz="0" w:space="0" w:color="auto"/>
              </w:divBdr>
            </w:div>
            <w:div w:id="875044194">
              <w:marLeft w:val="0"/>
              <w:marRight w:val="0"/>
              <w:marTop w:val="0"/>
              <w:marBottom w:val="0"/>
              <w:divBdr>
                <w:top w:val="none" w:sz="0" w:space="0" w:color="auto"/>
                <w:left w:val="none" w:sz="0" w:space="0" w:color="auto"/>
                <w:bottom w:val="none" w:sz="0" w:space="0" w:color="auto"/>
                <w:right w:val="none" w:sz="0" w:space="0" w:color="auto"/>
              </w:divBdr>
            </w:div>
            <w:div w:id="902369995">
              <w:marLeft w:val="0"/>
              <w:marRight w:val="0"/>
              <w:marTop w:val="0"/>
              <w:marBottom w:val="0"/>
              <w:divBdr>
                <w:top w:val="none" w:sz="0" w:space="0" w:color="auto"/>
                <w:left w:val="none" w:sz="0" w:space="0" w:color="auto"/>
                <w:bottom w:val="none" w:sz="0" w:space="0" w:color="auto"/>
                <w:right w:val="none" w:sz="0" w:space="0" w:color="auto"/>
              </w:divBdr>
            </w:div>
            <w:div w:id="978799306">
              <w:marLeft w:val="0"/>
              <w:marRight w:val="0"/>
              <w:marTop w:val="0"/>
              <w:marBottom w:val="0"/>
              <w:divBdr>
                <w:top w:val="none" w:sz="0" w:space="0" w:color="auto"/>
                <w:left w:val="none" w:sz="0" w:space="0" w:color="auto"/>
                <w:bottom w:val="none" w:sz="0" w:space="0" w:color="auto"/>
                <w:right w:val="none" w:sz="0" w:space="0" w:color="auto"/>
              </w:divBdr>
            </w:div>
            <w:div w:id="1031566133">
              <w:marLeft w:val="0"/>
              <w:marRight w:val="0"/>
              <w:marTop w:val="0"/>
              <w:marBottom w:val="0"/>
              <w:divBdr>
                <w:top w:val="none" w:sz="0" w:space="0" w:color="auto"/>
                <w:left w:val="none" w:sz="0" w:space="0" w:color="auto"/>
                <w:bottom w:val="none" w:sz="0" w:space="0" w:color="auto"/>
                <w:right w:val="none" w:sz="0" w:space="0" w:color="auto"/>
              </w:divBdr>
            </w:div>
            <w:div w:id="1153067075">
              <w:marLeft w:val="0"/>
              <w:marRight w:val="0"/>
              <w:marTop w:val="0"/>
              <w:marBottom w:val="0"/>
              <w:divBdr>
                <w:top w:val="none" w:sz="0" w:space="0" w:color="auto"/>
                <w:left w:val="none" w:sz="0" w:space="0" w:color="auto"/>
                <w:bottom w:val="none" w:sz="0" w:space="0" w:color="auto"/>
                <w:right w:val="none" w:sz="0" w:space="0" w:color="auto"/>
              </w:divBdr>
            </w:div>
            <w:div w:id="1243560866">
              <w:marLeft w:val="0"/>
              <w:marRight w:val="0"/>
              <w:marTop w:val="0"/>
              <w:marBottom w:val="0"/>
              <w:divBdr>
                <w:top w:val="none" w:sz="0" w:space="0" w:color="auto"/>
                <w:left w:val="none" w:sz="0" w:space="0" w:color="auto"/>
                <w:bottom w:val="none" w:sz="0" w:space="0" w:color="auto"/>
                <w:right w:val="none" w:sz="0" w:space="0" w:color="auto"/>
              </w:divBdr>
            </w:div>
            <w:div w:id="1329823127">
              <w:marLeft w:val="0"/>
              <w:marRight w:val="0"/>
              <w:marTop w:val="0"/>
              <w:marBottom w:val="0"/>
              <w:divBdr>
                <w:top w:val="none" w:sz="0" w:space="0" w:color="auto"/>
                <w:left w:val="none" w:sz="0" w:space="0" w:color="auto"/>
                <w:bottom w:val="none" w:sz="0" w:space="0" w:color="auto"/>
                <w:right w:val="none" w:sz="0" w:space="0" w:color="auto"/>
              </w:divBdr>
            </w:div>
            <w:div w:id="1333020899">
              <w:marLeft w:val="0"/>
              <w:marRight w:val="0"/>
              <w:marTop w:val="0"/>
              <w:marBottom w:val="0"/>
              <w:divBdr>
                <w:top w:val="none" w:sz="0" w:space="0" w:color="auto"/>
                <w:left w:val="none" w:sz="0" w:space="0" w:color="auto"/>
                <w:bottom w:val="none" w:sz="0" w:space="0" w:color="auto"/>
                <w:right w:val="none" w:sz="0" w:space="0" w:color="auto"/>
              </w:divBdr>
            </w:div>
            <w:div w:id="1413164016">
              <w:marLeft w:val="0"/>
              <w:marRight w:val="0"/>
              <w:marTop w:val="0"/>
              <w:marBottom w:val="0"/>
              <w:divBdr>
                <w:top w:val="none" w:sz="0" w:space="0" w:color="auto"/>
                <w:left w:val="none" w:sz="0" w:space="0" w:color="auto"/>
                <w:bottom w:val="none" w:sz="0" w:space="0" w:color="auto"/>
                <w:right w:val="none" w:sz="0" w:space="0" w:color="auto"/>
              </w:divBdr>
            </w:div>
            <w:div w:id="1446537423">
              <w:marLeft w:val="0"/>
              <w:marRight w:val="0"/>
              <w:marTop w:val="0"/>
              <w:marBottom w:val="0"/>
              <w:divBdr>
                <w:top w:val="none" w:sz="0" w:space="0" w:color="auto"/>
                <w:left w:val="none" w:sz="0" w:space="0" w:color="auto"/>
                <w:bottom w:val="none" w:sz="0" w:space="0" w:color="auto"/>
                <w:right w:val="none" w:sz="0" w:space="0" w:color="auto"/>
              </w:divBdr>
            </w:div>
            <w:div w:id="1468007931">
              <w:marLeft w:val="0"/>
              <w:marRight w:val="0"/>
              <w:marTop w:val="0"/>
              <w:marBottom w:val="0"/>
              <w:divBdr>
                <w:top w:val="none" w:sz="0" w:space="0" w:color="auto"/>
                <w:left w:val="none" w:sz="0" w:space="0" w:color="auto"/>
                <w:bottom w:val="none" w:sz="0" w:space="0" w:color="auto"/>
                <w:right w:val="none" w:sz="0" w:space="0" w:color="auto"/>
              </w:divBdr>
            </w:div>
            <w:div w:id="1515532221">
              <w:marLeft w:val="0"/>
              <w:marRight w:val="0"/>
              <w:marTop w:val="0"/>
              <w:marBottom w:val="0"/>
              <w:divBdr>
                <w:top w:val="none" w:sz="0" w:space="0" w:color="auto"/>
                <w:left w:val="none" w:sz="0" w:space="0" w:color="auto"/>
                <w:bottom w:val="none" w:sz="0" w:space="0" w:color="auto"/>
                <w:right w:val="none" w:sz="0" w:space="0" w:color="auto"/>
              </w:divBdr>
            </w:div>
            <w:div w:id="1527519757">
              <w:marLeft w:val="0"/>
              <w:marRight w:val="0"/>
              <w:marTop w:val="0"/>
              <w:marBottom w:val="0"/>
              <w:divBdr>
                <w:top w:val="none" w:sz="0" w:space="0" w:color="auto"/>
                <w:left w:val="none" w:sz="0" w:space="0" w:color="auto"/>
                <w:bottom w:val="none" w:sz="0" w:space="0" w:color="auto"/>
                <w:right w:val="none" w:sz="0" w:space="0" w:color="auto"/>
              </w:divBdr>
            </w:div>
            <w:div w:id="1558935119">
              <w:marLeft w:val="0"/>
              <w:marRight w:val="0"/>
              <w:marTop w:val="0"/>
              <w:marBottom w:val="0"/>
              <w:divBdr>
                <w:top w:val="none" w:sz="0" w:space="0" w:color="auto"/>
                <w:left w:val="none" w:sz="0" w:space="0" w:color="auto"/>
                <w:bottom w:val="none" w:sz="0" w:space="0" w:color="auto"/>
                <w:right w:val="none" w:sz="0" w:space="0" w:color="auto"/>
              </w:divBdr>
            </w:div>
            <w:div w:id="1586305459">
              <w:marLeft w:val="0"/>
              <w:marRight w:val="0"/>
              <w:marTop w:val="0"/>
              <w:marBottom w:val="0"/>
              <w:divBdr>
                <w:top w:val="none" w:sz="0" w:space="0" w:color="auto"/>
                <w:left w:val="none" w:sz="0" w:space="0" w:color="auto"/>
                <w:bottom w:val="none" w:sz="0" w:space="0" w:color="auto"/>
                <w:right w:val="none" w:sz="0" w:space="0" w:color="auto"/>
              </w:divBdr>
            </w:div>
            <w:div w:id="1625381083">
              <w:marLeft w:val="0"/>
              <w:marRight w:val="0"/>
              <w:marTop w:val="0"/>
              <w:marBottom w:val="0"/>
              <w:divBdr>
                <w:top w:val="none" w:sz="0" w:space="0" w:color="auto"/>
                <w:left w:val="none" w:sz="0" w:space="0" w:color="auto"/>
                <w:bottom w:val="none" w:sz="0" w:space="0" w:color="auto"/>
                <w:right w:val="none" w:sz="0" w:space="0" w:color="auto"/>
              </w:divBdr>
            </w:div>
            <w:div w:id="1646741104">
              <w:marLeft w:val="0"/>
              <w:marRight w:val="0"/>
              <w:marTop w:val="0"/>
              <w:marBottom w:val="0"/>
              <w:divBdr>
                <w:top w:val="none" w:sz="0" w:space="0" w:color="auto"/>
                <w:left w:val="none" w:sz="0" w:space="0" w:color="auto"/>
                <w:bottom w:val="none" w:sz="0" w:space="0" w:color="auto"/>
                <w:right w:val="none" w:sz="0" w:space="0" w:color="auto"/>
              </w:divBdr>
            </w:div>
            <w:div w:id="1762526565">
              <w:marLeft w:val="0"/>
              <w:marRight w:val="0"/>
              <w:marTop w:val="0"/>
              <w:marBottom w:val="0"/>
              <w:divBdr>
                <w:top w:val="none" w:sz="0" w:space="0" w:color="auto"/>
                <w:left w:val="none" w:sz="0" w:space="0" w:color="auto"/>
                <w:bottom w:val="none" w:sz="0" w:space="0" w:color="auto"/>
                <w:right w:val="none" w:sz="0" w:space="0" w:color="auto"/>
              </w:divBdr>
            </w:div>
            <w:div w:id="1819417077">
              <w:marLeft w:val="0"/>
              <w:marRight w:val="0"/>
              <w:marTop w:val="0"/>
              <w:marBottom w:val="0"/>
              <w:divBdr>
                <w:top w:val="none" w:sz="0" w:space="0" w:color="auto"/>
                <w:left w:val="none" w:sz="0" w:space="0" w:color="auto"/>
                <w:bottom w:val="none" w:sz="0" w:space="0" w:color="auto"/>
                <w:right w:val="none" w:sz="0" w:space="0" w:color="auto"/>
              </w:divBdr>
            </w:div>
            <w:div w:id="1838350740">
              <w:marLeft w:val="0"/>
              <w:marRight w:val="0"/>
              <w:marTop w:val="0"/>
              <w:marBottom w:val="0"/>
              <w:divBdr>
                <w:top w:val="none" w:sz="0" w:space="0" w:color="auto"/>
                <w:left w:val="none" w:sz="0" w:space="0" w:color="auto"/>
                <w:bottom w:val="none" w:sz="0" w:space="0" w:color="auto"/>
                <w:right w:val="none" w:sz="0" w:space="0" w:color="auto"/>
              </w:divBdr>
            </w:div>
            <w:div w:id="1936278036">
              <w:marLeft w:val="0"/>
              <w:marRight w:val="0"/>
              <w:marTop w:val="0"/>
              <w:marBottom w:val="0"/>
              <w:divBdr>
                <w:top w:val="none" w:sz="0" w:space="0" w:color="auto"/>
                <w:left w:val="none" w:sz="0" w:space="0" w:color="auto"/>
                <w:bottom w:val="none" w:sz="0" w:space="0" w:color="auto"/>
                <w:right w:val="none" w:sz="0" w:space="0" w:color="auto"/>
              </w:divBdr>
            </w:div>
            <w:div w:id="1975134542">
              <w:marLeft w:val="0"/>
              <w:marRight w:val="0"/>
              <w:marTop w:val="0"/>
              <w:marBottom w:val="0"/>
              <w:divBdr>
                <w:top w:val="none" w:sz="0" w:space="0" w:color="auto"/>
                <w:left w:val="none" w:sz="0" w:space="0" w:color="auto"/>
                <w:bottom w:val="none" w:sz="0" w:space="0" w:color="auto"/>
                <w:right w:val="none" w:sz="0" w:space="0" w:color="auto"/>
              </w:divBdr>
            </w:div>
            <w:div w:id="2004116270">
              <w:marLeft w:val="0"/>
              <w:marRight w:val="0"/>
              <w:marTop w:val="0"/>
              <w:marBottom w:val="0"/>
              <w:divBdr>
                <w:top w:val="none" w:sz="0" w:space="0" w:color="auto"/>
                <w:left w:val="none" w:sz="0" w:space="0" w:color="auto"/>
                <w:bottom w:val="none" w:sz="0" w:space="0" w:color="auto"/>
                <w:right w:val="none" w:sz="0" w:space="0" w:color="auto"/>
              </w:divBdr>
            </w:div>
          </w:divsChild>
        </w:div>
        <w:div w:id="1864129141">
          <w:marLeft w:val="0"/>
          <w:marRight w:val="0"/>
          <w:marTop w:val="0"/>
          <w:marBottom w:val="0"/>
          <w:divBdr>
            <w:top w:val="none" w:sz="0" w:space="0" w:color="auto"/>
            <w:left w:val="none" w:sz="0" w:space="0" w:color="auto"/>
            <w:bottom w:val="none" w:sz="0" w:space="0" w:color="auto"/>
            <w:right w:val="none" w:sz="0" w:space="0" w:color="auto"/>
          </w:divBdr>
        </w:div>
        <w:div w:id="1896039807">
          <w:marLeft w:val="0"/>
          <w:marRight w:val="0"/>
          <w:marTop w:val="0"/>
          <w:marBottom w:val="0"/>
          <w:divBdr>
            <w:top w:val="none" w:sz="0" w:space="0" w:color="auto"/>
            <w:left w:val="none" w:sz="0" w:space="0" w:color="auto"/>
            <w:bottom w:val="none" w:sz="0" w:space="0" w:color="auto"/>
            <w:right w:val="none" w:sz="0" w:space="0" w:color="auto"/>
          </w:divBdr>
        </w:div>
        <w:div w:id="1917787474">
          <w:marLeft w:val="0"/>
          <w:marRight w:val="0"/>
          <w:marTop w:val="0"/>
          <w:marBottom w:val="0"/>
          <w:divBdr>
            <w:top w:val="none" w:sz="0" w:space="0" w:color="auto"/>
            <w:left w:val="none" w:sz="0" w:space="0" w:color="auto"/>
            <w:bottom w:val="none" w:sz="0" w:space="0" w:color="auto"/>
            <w:right w:val="none" w:sz="0" w:space="0" w:color="auto"/>
          </w:divBdr>
        </w:div>
        <w:div w:id="1929725349">
          <w:marLeft w:val="0"/>
          <w:marRight w:val="0"/>
          <w:marTop w:val="0"/>
          <w:marBottom w:val="0"/>
          <w:divBdr>
            <w:top w:val="none" w:sz="0" w:space="0" w:color="auto"/>
            <w:left w:val="none" w:sz="0" w:space="0" w:color="auto"/>
            <w:bottom w:val="none" w:sz="0" w:space="0" w:color="auto"/>
            <w:right w:val="none" w:sz="0" w:space="0" w:color="auto"/>
          </w:divBdr>
        </w:div>
        <w:div w:id="1958370408">
          <w:marLeft w:val="0"/>
          <w:marRight w:val="0"/>
          <w:marTop w:val="0"/>
          <w:marBottom w:val="0"/>
          <w:divBdr>
            <w:top w:val="none" w:sz="0" w:space="0" w:color="auto"/>
            <w:left w:val="none" w:sz="0" w:space="0" w:color="auto"/>
            <w:bottom w:val="none" w:sz="0" w:space="0" w:color="auto"/>
            <w:right w:val="none" w:sz="0" w:space="0" w:color="auto"/>
          </w:divBdr>
        </w:div>
        <w:div w:id="1970668296">
          <w:marLeft w:val="0"/>
          <w:marRight w:val="0"/>
          <w:marTop w:val="0"/>
          <w:marBottom w:val="0"/>
          <w:divBdr>
            <w:top w:val="none" w:sz="0" w:space="0" w:color="auto"/>
            <w:left w:val="none" w:sz="0" w:space="0" w:color="auto"/>
            <w:bottom w:val="none" w:sz="0" w:space="0" w:color="auto"/>
            <w:right w:val="none" w:sz="0" w:space="0" w:color="auto"/>
          </w:divBdr>
        </w:div>
        <w:div w:id="2008710077">
          <w:marLeft w:val="0"/>
          <w:marRight w:val="0"/>
          <w:marTop w:val="0"/>
          <w:marBottom w:val="0"/>
          <w:divBdr>
            <w:top w:val="none" w:sz="0" w:space="0" w:color="auto"/>
            <w:left w:val="none" w:sz="0" w:space="0" w:color="auto"/>
            <w:bottom w:val="none" w:sz="0" w:space="0" w:color="auto"/>
            <w:right w:val="none" w:sz="0" w:space="0" w:color="auto"/>
          </w:divBdr>
        </w:div>
        <w:div w:id="2025402960">
          <w:marLeft w:val="0"/>
          <w:marRight w:val="0"/>
          <w:marTop w:val="0"/>
          <w:marBottom w:val="0"/>
          <w:divBdr>
            <w:top w:val="none" w:sz="0" w:space="0" w:color="auto"/>
            <w:left w:val="none" w:sz="0" w:space="0" w:color="auto"/>
            <w:bottom w:val="none" w:sz="0" w:space="0" w:color="auto"/>
            <w:right w:val="none" w:sz="0" w:space="0" w:color="auto"/>
          </w:divBdr>
        </w:div>
        <w:div w:id="2027442836">
          <w:marLeft w:val="0"/>
          <w:marRight w:val="0"/>
          <w:marTop w:val="0"/>
          <w:marBottom w:val="0"/>
          <w:divBdr>
            <w:top w:val="none" w:sz="0" w:space="0" w:color="auto"/>
            <w:left w:val="none" w:sz="0" w:space="0" w:color="auto"/>
            <w:bottom w:val="none" w:sz="0" w:space="0" w:color="auto"/>
            <w:right w:val="none" w:sz="0" w:space="0" w:color="auto"/>
          </w:divBdr>
        </w:div>
        <w:div w:id="2066561107">
          <w:marLeft w:val="0"/>
          <w:marRight w:val="0"/>
          <w:marTop w:val="0"/>
          <w:marBottom w:val="0"/>
          <w:divBdr>
            <w:top w:val="none" w:sz="0" w:space="0" w:color="auto"/>
            <w:left w:val="none" w:sz="0" w:space="0" w:color="auto"/>
            <w:bottom w:val="none" w:sz="0" w:space="0" w:color="auto"/>
            <w:right w:val="none" w:sz="0" w:space="0" w:color="auto"/>
          </w:divBdr>
        </w:div>
        <w:div w:id="2076733264">
          <w:marLeft w:val="0"/>
          <w:marRight w:val="0"/>
          <w:marTop w:val="0"/>
          <w:marBottom w:val="0"/>
          <w:divBdr>
            <w:top w:val="none" w:sz="0" w:space="0" w:color="auto"/>
            <w:left w:val="none" w:sz="0" w:space="0" w:color="auto"/>
            <w:bottom w:val="none" w:sz="0" w:space="0" w:color="auto"/>
            <w:right w:val="none" w:sz="0" w:space="0" w:color="auto"/>
          </w:divBdr>
        </w:div>
        <w:div w:id="2107769758">
          <w:marLeft w:val="0"/>
          <w:marRight w:val="0"/>
          <w:marTop w:val="0"/>
          <w:marBottom w:val="0"/>
          <w:divBdr>
            <w:top w:val="none" w:sz="0" w:space="0" w:color="auto"/>
            <w:left w:val="none" w:sz="0" w:space="0" w:color="auto"/>
            <w:bottom w:val="none" w:sz="0" w:space="0" w:color="auto"/>
            <w:right w:val="none" w:sz="0" w:space="0" w:color="auto"/>
          </w:divBdr>
        </w:div>
        <w:div w:id="2111965891">
          <w:marLeft w:val="0"/>
          <w:marRight w:val="0"/>
          <w:marTop w:val="0"/>
          <w:marBottom w:val="0"/>
          <w:divBdr>
            <w:top w:val="none" w:sz="0" w:space="0" w:color="auto"/>
            <w:left w:val="none" w:sz="0" w:space="0" w:color="auto"/>
            <w:bottom w:val="none" w:sz="0" w:space="0" w:color="auto"/>
            <w:right w:val="none" w:sz="0" w:space="0" w:color="auto"/>
          </w:divBdr>
        </w:div>
        <w:div w:id="2118476486">
          <w:marLeft w:val="0"/>
          <w:marRight w:val="0"/>
          <w:marTop w:val="0"/>
          <w:marBottom w:val="0"/>
          <w:divBdr>
            <w:top w:val="none" w:sz="0" w:space="0" w:color="auto"/>
            <w:left w:val="none" w:sz="0" w:space="0" w:color="auto"/>
            <w:bottom w:val="none" w:sz="0" w:space="0" w:color="auto"/>
            <w:right w:val="none" w:sz="0" w:space="0" w:color="auto"/>
          </w:divBdr>
        </w:div>
        <w:div w:id="2121562148">
          <w:marLeft w:val="0"/>
          <w:marRight w:val="0"/>
          <w:marTop w:val="0"/>
          <w:marBottom w:val="0"/>
          <w:divBdr>
            <w:top w:val="none" w:sz="0" w:space="0" w:color="auto"/>
            <w:left w:val="none" w:sz="0" w:space="0" w:color="auto"/>
            <w:bottom w:val="none" w:sz="0" w:space="0" w:color="auto"/>
            <w:right w:val="none" w:sz="0" w:space="0" w:color="auto"/>
          </w:divBdr>
        </w:div>
      </w:divsChild>
    </w:div>
    <w:div w:id="1775587102">
      <w:bodyDiv w:val="1"/>
      <w:marLeft w:val="0"/>
      <w:marRight w:val="0"/>
      <w:marTop w:val="0"/>
      <w:marBottom w:val="0"/>
      <w:divBdr>
        <w:top w:val="none" w:sz="0" w:space="0" w:color="auto"/>
        <w:left w:val="none" w:sz="0" w:space="0" w:color="auto"/>
        <w:bottom w:val="none" w:sz="0" w:space="0" w:color="auto"/>
        <w:right w:val="none" w:sz="0" w:space="0" w:color="auto"/>
      </w:divBdr>
    </w:div>
    <w:div w:id="1872835844">
      <w:bodyDiv w:val="1"/>
      <w:marLeft w:val="0"/>
      <w:marRight w:val="0"/>
      <w:marTop w:val="0"/>
      <w:marBottom w:val="0"/>
      <w:divBdr>
        <w:top w:val="none" w:sz="0" w:space="0" w:color="auto"/>
        <w:left w:val="none" w:sz="0" w:space="0" w:color="auto"/>
        <w:bottom w:val="none" w:sz="0" w:space="0" w:color="auto"/>
        <w:right w:val="none" w:sz="0" w:space="0" w:color="auto"/>
      </w:divBdr>
    </w:div>
    <w:div w:id="1969778865">
      <w:bodyDiv w:val="1"/>
      <w:marLeft w:val="0"/>
      <w:marRight w:val="0"/>
      <w:marTop w:val="0"/>
      <w:marBottom w:val="0"/>
      <w:divBdr>
        <w:top w:val="none" w:sz="0" w:space="0" w:color="auto"/>
        <w:left w:val="none" w:sz="0" w:space="0" w:color="auto"/>
        <w:bottom w:val="none" w:sz="0" w:space="0" w:color="auto"/>
        <w:right w:val="none" w:sz="0" w:space="0" w:color="auto"/>
      </w:divBdr>
    </w:div>
    <w:div w:id="2041012055">
      <w:bodyDiv w:val="1"/>
      <w:marLeft w:val="0"/>
      <w:marRight w:val="0"/>
      <w:marTop w:val="0"/>
      <w:marBottom w:val="0"/>
      <w:divBdr>
        <w:top w:val="none" w:sz="0" w:space="0" w:color="auto"/>
        <w:left w:val="none" w:sz="0" w:space="0" w:color="auto"/>
        <w:bottom w:val="none" w:sz="0" w:space="0" w:color="auto"/>
        <w:right w:val="none" w:sz="0" w:space="0" w:color="auto"/>
      </w:divBdr>
    </w:div>
    <w:div w:id="2041659126">
      <w:bodyDiv w:val="1"/>
      <w:marLeft w:val="0"/>
      <w:marRight w:val="0"/>
      <w:marTop w:val="0"/>
      <w:marBottom w:val="0"/>
      <w:divBdr>
        <w:top w:val="none" w:sz="0" w:space="0" w:color="auto"/>
        <w:left w:val="none" w:sz="0" w:space="0" w:color="auto"/>
        <w:bottom w:val="none" w:sz="0" w:space="0" w:color="auto"/>
        <w:right w:val="none" w:sz="0" w:space="0" w:color="auto"/>
      </w:divBdr>
    </w:div>
    <w:div w:id="2086223249">
      <w:bodyDiv w:val="1"/>
      <w:marLeft w:val="0"/>
      <w:marRight w:val="0"/>
      <w:marTop w:val="0"/>
      <w:marBottom w:val="0"/>
      <w:divBdr>
        <w:top w:val="none" w:sz="0" w:space="0" w:color="auto"/>
        <w:left w:val="none" w:sz="0" w:space="0" w:color="auto"/>
        <w:bottom w:val="none" w:sz="0" w:space="0" w:color="auto"/>
        <w:right w:val="none" w:sz="0" w:space="0" w:color="auto"/>
      </w:divBdr>
    </w:div>
    <w:div w:id="21202515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5.png"/><Relationship Id="rId26" Type="http://schemas.openxmlformats.org/officeDocument/2006/relationships/hyperlink" Target="https://www.queenslandjudgments.com.au/caselaw/qsc/2021/273" TargetMode="External"/><Relationship Id="rId39" Type="http://schemas.openxmlformats.org/officeDocument/2006/relationships/image" Target="media/image21.jpg"/><Relationship Id="rId21" Type="http://schemas.openxmlformats.org/officeDocument/2006/relationships/image" Target="media/image8.jpeg"/><Relationship Id="rId34" Type="http://schemas.openxmlformats.org/officeDocument/2006/relationships/chart" Target="charts/chart2.xml"/><Relationship Id="rId42"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www.qhrc.qld.gov.au" TargetMode="External"/><Relationship Id="rId20" Type="http://schemas.openxmlformats.org/officeDocument/2006/relationships/image" Target="media/image7.emf"/><Relationship Id="rId29" Type="http://schemas.openxmlformats.org/officeDocument/2006/relationships/image" Target="media/image15.jpe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1.png"/><Relationship Id="rId32" Type="http://schemas.openxmlformats.org/officeDocument/2006/relationships/image" Target="media/image18.png"/><Relationship Id="rId37" Type="http://schemas.openxmlformats.org/officeDocument/2006/relationships/image" Target="media/image19.png"/><Relationship Id="rId40"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hyperlink" Target="http://creativecommons.org/licenses/by/4.0/" TargetMode="External"/><Relationship Id="rId23" Type="http://schemas.openxmlformats.org/officeDocument/2006/relationships/image" Target="media/image10.jpeg"/><Relationship Id="rId28" Type="http://schemas.openxmlformats.org/officeDocument/2006/relationships/image" Target="media/image14.png"/><Relationship Id="rId36" Type="http://schemas.openxmlformats.org/officeDocument/2006/relationships/chart" Target="charts/chart4.xml"/><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image" Target="media/image17.png"/><Relationship Id="rId44" Type="http://schemas.microsoft.com/office/2020/10/relationships/intelligence" Target="intelligence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emf"/><Relationship Id="rId22" Type="http://schemas.openxmlformats.org/officeDocument/2006/relationships/image" Target="media/image9.png"/><Relationship Id="rId27" Type="http://schemas.openxmlformats.org/officeDocument/2006/relationships/image" Target="media/image13.jpeg"/><Relationship Id="rId30" Type="http://schemas.openxmlformats.org/officeDocument/2006/relationships/image" Target="media/image16.png"/><Relationship Id="rId35" Type="http://schemas.openxmlformats.org/officeDocument/2006/relationships/chart" Target="charts/chart3.xml"/><Relationship Id="rId43"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image" Target="media/image4.png"/><Relationship Id="rId25" Type="http://schemas.openxmlformats.org/officeDocument/2006/relationships/image" Target="media/image12.jpeg"/><Relationship Id="rId33" Type="http://schemas.openxmlformats.org/officeDocument/2006/relationships/chart" Target="charts/chart1.xml"/><Relationship Id="rId38" Type="http://schemas.openxmlformats.org/officeDocument/2006/relationships/image" Target="media/image20.jpeg"/></Relationships>
</file>

<file path=word/charts/_rels/chart1.xml.rels><?xml version="1.0" encoding="UTF-8" standalone="yes"?>
<Relationships xmlns="http://schemas.openxmlformats.org/package/2006/relationships"><Relationship Id="rId3" Type="http://schemas.openxmlformats.org/officeDocument/2006/relationships/oleObject" Target="https://qldhrc.sharepoint.com/sites/Annualreporting/Shared%20Documents/HRA%202022-23/Data%20spreadsheets/2023.08.03%20Human%20rights%20-%20all%20finalised.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qldhrc.sharepoint.com/sites/Annualreporting/Shared%20Documents/HRA%202022-23/Data%20spreadsheets/2023.08.03%20Human%20rights%20-%20HR%20only-%20finalised.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qldhrc.sharepoint.com/sites/Annualreporting/Shared%20Documents/HRA%202022-23/Data%20spreadsheets/2023.08.03%20Finalised%20complaints%20by%20sector%20-%20all.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qldhrc.sharepoint.com/sites/Annualreporting/Shared%20Documents/HRA%202022-23/Data%20spreadsheets/2023.08.03%20Finalised%20complaints%20by%20sector%20-%20human%20rights%20only.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Export!$B$29</c:f>
              <c:strCache>
                <c:ptCount val="1"/>
                <c:pt idx="0">
                  <c:v>Accepted and finalised</c:v>
                </c:pt>
              </c:strCache>
            </c:strRef>
          </c:tx>
          <c:spPr>
            <a:solidFill>
              <a:srgbClr val="D46228"/>
            </a:solidFill>
            <a:ln>
              <a:noFill/>
            </a:ln>
            <a:effectLst/>
          </c:spPr>
          <c:invertIfNegative val="0"/>
          <c:cat>
            <c:strRef>
              <c:f>Export!$A$30:$A$52</c:f>
              <c:strCache>
                <c:ptCount val="23"/>
                <c:pt idx="0">
                  <c:v>Protection from retrospective criminal laws</c:v>
                </c:pt>
                <c:pt idx="1">
                  <c:v>Freedom from forced work</c:v>
                </c:pt>
                <c:pt idx="2">
                  <c:v>Protection of children in the criminal process</c:v>
                </c:pt>
                <c:pt idx="3">
                  <c:v>Right not to be tried or punished more than once</c:v>
                </c:pt>
                <c:pt idx="4">
                  <c:v>Rights in criminal proceedings</c:v>
                </c:pt>
                <c:pt idx="5">
                  <c:v>Cultural rights—generally</c:v>
                </c:pt>
                <c:pt idx="6">
                  <c:v>Cultural rights—First Nations peoples</c:v>
                </c:pt>
                <c:pt idx="7">
                  <c:v>Taking part in public life</c:v>
                </c:pt>
                <c:pt idx="8">
                  <c:v>Right to education</c:v>
                </c:pt>
                <c:pt idx="9">
                  <c:v>Property rights</c:v>
                </c:pt>
                <c:pt idx="10">
                  <c:v>Right to life</c:v>
                </c:pt>
                <c:pt idx="11">
                  <c:v>Fair hearing</c:v>
                </c:pt>
                <c:pt idx="12">
                  <c:v>Freedom of expression</c:v>
                </c:pt>
                <c:pt idx="13">
                  <c:v>Freedom of movement</c:v>
                </c:pt>
                <c:pt idx="14">
                  <c:v>Right to health services</c:v>
                </c:pt>
                <c:pt idx="15">
                  <c:v>Protection of families and children</c:v>
                </c:pt>
                <c:pt idx="16">
                  <c:v>Humane treatment when deprived of liberty</c:v>
                </c:pt>
                <c:pt idx="17">
                  <c:v>Peaceful assembly and freedom of association</c:v>
                </c:pt>
                <c:pt idx="18">
                  <c:v>Freedom of thought, conscience, religion</c:v>
                </c:pt>
                <c:pt idx="19">
                  <c:v>Right to liberty and security of person</c:v>
                </c:pt>
                <c:pt idx="20">
                  <c:v>Recognition and equality before the law</c:v>
                </c:pt>
                <c:pt idx="21">
                  <c:v>Torture &amp; cruel, inhuman, degrading t'ment</c:v>
                </c:pt>
                <c:pt idx="22">
                  <c:v>Privacy and reputation</c:v>
                </c:pt>
              </c:strCache>
            </c:strRef>
          </c:cat>
          <c:val>
            <c:numRef>
              <c:f>Export!$B$30:$B$52</c:f>
              <c:numCache>
                <c:formatCode>General</c:formatCode>
                <c:ptCount val="23"/>
                <c:pt idx="2" formatCode="0">
                  <c:v>1</c:v>
                </c:pt>
                <c:pt idx="4" formatCode="0">
                  <c:v>1</c:v>
                </c:pt>
                <c:pt idx="5" formatCode="0">
                  <c:v>5</c:v>
                </c:pt>
                <c:pt idx="6" formatCode="0">
                  <c:v>9</c:v>
                </c:pt>
                <c:pt idx="7" formatCode="0">
                  <c:v>7</c:v>
                </c:pt>
                <c:pt idx="8" formatCode="0">
                  <c:v>15</c:v>
                </c:pt>
                <c:pt idx="9" formatCode="0">
                  <c:v>3</c:v>
                </c:pt>
                <c:pt idx="10" formatCode="0">
                  <c:v>3</c:v>
                </c:pt>
                <c:pt idx="11" formatCode="0">
                  <c:v>3</c:v>
                </c:pt>
                <c:pt idx="12" formatCode="0">
                  <c:v>16</c:v>
                </c:pt>
                <c:pt idx="13" formatCode="0">
                  <c:v>14</c:v>
                </c:pt>
                <c:pt idx="14" formatCode="0">
                  <c:v>26</c:v>
                </c:pt>
                <c:pt idx="15" formatCode="0">
                  <c:v>34</c:v>
                </c:pt>
                <c:pt idx="16" formatCode="0">
                  <c:v>39</c:v>
                </c:pt>
                <c:pt idx="17" formatCode="0">
                  <c:v>1</c:v>
                </c:pt>
                <c:pt idx="18" formatCode="0">
                  <c:v>12</c:v>
                </c:pt>
                <c:pt idx="19" formatCode="0">
                  <c:v>8</c:v>
                </c:pt>
                <c:pt idx="20" formatCode="0">
                  <c:v>180</c:v>
                </c:pt>
                <c:pt idx="21" formatCode="0">
                  <c:v>47</c:v>
                </c:pt>
                <c:pt idx="22" formatCode="0">
                  <c:v>106</c:v>
                </c:pt>
              </c:numCache>
            </c:numRef>
          </c:val>
          <c:extLst>
            <c:ext xmlns:c16="http://schemas.microsoft.com/office/drawing/2014/chart" uri="{C3380CC4-5D6E-409C-BE32-E72D297353CC}">
              <c16:uniqueId val="{00000000-EF56-4824-9C52-D6B49AB9133C}"/>
            </c:ext>
          </c:extLst>
        </c:ser>
        <c:ser>
          <c:idx val="1"/>
          <c:order val="1"/>
          <c:tx>
            <c:strRef>
              <c:f>Export!$C$29</c:f>
              <c:strCache>
                <c:ptCount val="1"/>
                <c:pt idx="0">
                  <c:v>Not accepted and finalised </c:v>
                </c:pt>
              </c:strCache>
            </c:strRef>
          </c:tx>
          <c:spPr>
            <a:solidFill>
              <a:srgbClr val="6CCBE1"/>
            </a:solidFill>
            <a:ln>
              <a:noFill/>
            </a:ln>
            <a:effectLst/>
          </c:spPr>
          <c:invertIfNegative val="0"/>
          <c:cat>
            <c:strRef>
              <c:f>Export!$A$30:$A$52</c:f>
              <c:strCache>
                <c:ptCount val="23"/>
                <c:pt idx="0">
                  <c:v>Protection from retrospective criminal laws</c:v>
                </c:pt>
                <c:pt idx="1">
                  <c:v>Freedom from forced work</c:v>
                </c:pt>
                <c:pt idx="2">
                  <c:v>Protection of children in the criminal process</c:v>
                </c:pt>
                <c:pt idx="3">
                  <c:v>Right not to be tried or punished more than once</c:v>
                </c:pt>
                <c:pt idx="4">
                  <c:v>Rights in criminal proceedings</c:v>
                </c:pt>
                <c:pt idx="5">
                  <c:v>Cultural rights—generally</c:v>
                </c:pt>
                <c:pt idx="6">
                  <c:v>Cultural rights—First Nations peoples</c:v>
                </c:pt>
                <c:pt idx="7">
                  <c:v>Taking part in public life</c:v>
                </c:pt>
                <c:pt idx="8">
                  <c:v>Right to education</c:v>
                </c:pt>
                <c:pt idx="9">
                  <c:v>Property rights</c:v>
                </c:pt>
                <c:pt idx="10">
                  <c:v>Right to life</c:v>
                </c:pt>
                <c:pt idx="11">
                  <c:v>Fair hearing</c:v>
                </c:pt>
                <c:pt idx="12">
                  <c:v>Freedom of expression</c:v>
                </c:pt>
                <c:pt idx="13">
                  <c:v>Freedom of movement</c:v>
                </c:pt>
                <c:pt idx="14">
                  <c:v>Right to health services</c:v>
                </c:pt>
                <c:pt idx="15">
                  <c:v>Protection of families and children</c:v>
                </c:pt>
                <c:pt idx="16">
                  <c:v>Humane treatment when deprived of liberty</c:v>
                </c:pt>
                <c:pt idx="17">
                  <c:v>Peaceful assembly and freedom of association</c:v>
                </c:pt>
                <c:pt idx="18">
                  <c:v>Freedom of thought, conscience, religion</c:v>
                </c:pt>
                <c:pt idx="19">
                  <c:v>Right to liberty and security of person</c:v>
                </c:pt>
                <c:pt idx="20">
                  <c:v>Recognition and equality before the law</c:v>
                </c:pt>
                <c:pt idx="21">
                  <c:v>Torture &amp; cruel, inhuman, degrading t'ment</c:v>
                </c:pt>
                <c:pt idx="22">
                  <c:v>Privacy and reputation</c:v>
                </c:pt>
              </c:strCache>
            </c:strRef>
          </c:cat>
          <c:val>
            <c:numRef>
              <c:f>Export!$C$30:$C$52</c:f>
              <c:numCache>
                <c:formatCode>General</c:formatCode>
                <c:ptCount val="23"/>
                <c:pt idx="0">
                  <c:v>1</c:v>
                </c:pt>
                <c:pt idx="1">
                  <c:v>5</c:v>
                </c:pt>
                <c:pt idx="2">
                  <c:v>1</c:v>
                </c:pt>
                <c:pt idx="3">
                  <c:v>5</c:v>
                </c:pt>
                <c:pt idx="4">
                  <c:v>10</c:v>
                </c:pt>
                <c:pt idx="5">
                  <c:v>8</c:v>
                </c:pt>
                <c:pt idx="6">
                  <c:v>13</c:v>
                </c:pt>
                <c:pt idx="7">
                  <c:v>14</c:v>
                </c:pt>
                <c:pt idx="8">
                  <c:v>9</c:v>
                </c:pt>
                <c:pt idx="9">
                  <c:v>24</c:v>
                </c:pt>
                <c:pt idx="10" formatCode="0">
                  <c:v>30</c:v>
                </c:pt>
                <c:pt idx="11" formatCode="0">
                  <c:v>36</c:v>
                </c:pt>
                <c:pt idx="12" formatCode="0">
                  <c:v>25</c:v>
                </c:pt>
                <c:pt idx="13" formatCode="0">
                  <c:v>29</c:v>
                </c:pt>
                <c:pt idx="14" formatCode="0">
                  <c:v>32</c:v>
                </c:pt>
                <c:pt idx="15" formatCode="0">
                  <c:v>30</c:v>
                </c:pt>
                <c:pt idx="16" formatCode="0">
                  <c:v>31</c:v>
                </c:pt>
                <c:pt idx="17" formatCode="0">
                  <c:v>179</c:v>
                </c:pt>
                <c:pt idx="18" formatCode="0">
                  <c:v>195</c:v>
                </c:pt>
                <c:pt idx="19" formatCode="0">
                  <c:v>204</c:v>
                </c:pt>
                <c:pt idx="20" formatCode="0">
                  <c:v>71</c:v>
                </c:pt>
                <c:pt idx="21" formatCode="0">
                  <c:v>219</c:v>
                </c:pt>
                <c:pt idx="22" formatCode="0">
                  <c:v>213</c:v>
                </c:pt>
              </c:numCache>
            </c:numRef>
          </c:val>
          <c:extLst>
            <c:ext xmlns:c16="http://schemas.microsoft.com/office/drawing/2014/chart" uri="{C3380CC4-5D6E-409C-BE32-E72D297353CC}">
              <c16:uniqueId val="{00000001-EF56-4824-9C52-D6B49AB9133C}"/>
            </c:ext>
          </c:extLst>
        </c:ser>
        <c:dLbls>
          <c:showLegendKey val="0"/>
          <c:showVal val="0"/>
          <c:showCatName val="0"/>
          <c:showSerName val="0"/>
          <c:showPercent val="0"/>
          <c:showBubbleSize val="0"/>
        </c:dLbls>
        <c:gapWidth val="45"/>
        <c:overlap val="100"/>
        <c:axId val="812571071"/>
        <c:axId val="812571903"/>
      </c:barChart>
      <c:catAx>
        <c:axId val="81257107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812571903"/>
        <c:crosses val="autoZero"/>
        <c:auto val="1"/>
        <c:lblAlgn val="ctr"/>
        <c:lblOffset val="100"/>
        <c:noMultiLvlLbl val="0"/>
      </c:catAx>
      <c:valAx>
        <c:axId val="81257190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812571071"/>
        <c:crosses val="autoZero"/>
        <c:crossBetween val="between"/>
      </c:valAx>
      <c:spPr>
        <a:noFill/>
        <a:ln>
          <a:noFill/>
        </a:ln>
        <a:effectLst/>
      </c:spPr>
    </c:plotArea>
    <c:legend>
      <c:legendPos val="b"/>
      <c:layout>
        <c:manualLayout>
          <c:xMode val="edge"/>
          <c:yMode val="edge"/>
          <c:x val="0.67506991100485503"/>
          <c:y val="0.66469442533550382"/>
          <c:w val="0.22183413334763527"/>
          <c:h val="0.1334697541417209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Export!$B$30</c:f>
              <c:strCache>
                <c:ptCount val="1"/>
                <c:pt idx="0">
                  <c:v>Accepted and finalised</c:v>
                </c:pt>
              </c:strCache>
            </c:strRef>
          </c:tx>
          <c:spPr>
            <a:solidFill>
              <a:srgbClr val="E66A37"/>
            </a:solidFill>
            <a:ln>
              <a:noFill/>
            </a:ln>
            <a:effectLst/>
          </c:spPr>
          <c:invertIfNegative val="0"/>
          <c:cat>
            <c:strRef>
              <c:f>Export!$A$31:$A$50</c:f>
              <c:strCache>
                <c:ptCount val="20"/>
                <c:pt idx="0">
                  <c:v>Protection from retrospective criminal laws</c:v>
                </c:pt>
                <c:pt idx="1">
                  <c:v>Freedom from forced work</c:v>
                </c:pt>
                <c:pt idx="2">
                  <c:v>Protection of children in the criminal process</c:v>
                </c:pt>
                <c:pt idx="3">
                  <c:v>Cultural rights—generally</c:v>
                </c:pt>
                <c:pt idx="4">
                  <c:v>Peaceful assembly and freedom of association</c:v>
                </c:pt>
                <c:pt idx="5">
                  <c:v>Right not to be tried or punished more than once</c:v>
                </c:pt>
                <c:pt idx="6">
                  <c:v>Cultural rights—First Nations peoples</c:v>
                </c:pt>
                <c:pt idx="7">
                  <c:v>Right to education</c:v>
                </c:pt>
                <c:pt idx="8">
                  <c:v>Rights in criminal proceedings</c:v>
                </c:pt>
                <c:pt idx="9">
                  <c:v>Taking part in public life</c:v>
                </c:pt>
                <c:pt idx="10">
                  <c:v>Freedom of thought, conscience, religion</c:v>
                </c:pt>
                <c:pt idx="11">
                  <c:v>Property rights</c:v>
                </c:pt>
                <c:pt idx="12">
                  <c:v>Right to life</c:v>
                </c:pt>
                <c:pt idx="13">
                  <c:v>Right to liberty and security of person</c:v>
                </c:pt>
                <c:pt idx="14">
                  <c:v>Freedom of expression</c:v>
                </c:pt>
                <c:pt idx="15">
                  <c:v>Freedom of movement</c:v>
                </c:pt>
                <c:pt idx="16">
                  <c:v>Fair hearing</c:v>
                </c:pt>
                <c:pt idx="17">
                  <c:v>Right to health services</c:v>
                </c:pt>
                <c:pt idx="18">
                  <c:v>Protection of families and children</c:v>
                </c:pt>
                <c:pt idx="19">
                  <c:v>Humane treatment when deprived of liberty</c:v>
                </c:pt>
              </c:strCache>
            </c:strRef>
          </c:cat>
          <c:val>
            <c:numRef>
              <c:f>Export!$B$31:$B$50</c:f>
              <c:numCache>
                <c:formatCode>General</c:formatCode>
                <c:ptCount val="20"/>
                <c:pt idx="2" formatCode="0">
                  <c:v>1</c:v>
                </c:pt>
                <c:pt idx="4" formatCode="0">
                  <c:v>1</c:v>
                </c:pt>
                <c:pt idx="6" formatCode="0">
                  <c:v>2</c:v>
                </c:pt>
                <c:pt idx="7" formatCode="0">
                  <c:v>3</c:v>
                </c:pt>
                <c:pt idx="11" formatCode="0">
                  <c:v>3</c:v>
                </c:pt>
                <c:pt idx="12" formatCode="0">
                  <c:v>2</c:v>
                </c:pt>
                <c:pt idx="13" formatCode="0">
                  <c:v>5</c:v>
                </c:pt>
                <c:pt idx="14" formatCode="0">
                  <c:v>8</c:v>
                </c:pt>
                <c:pt idx="15" formatCode="0">
                  <c:v>6</c:v>
                </c:pt>
                <c:pt idx="16" formatCode="0">
                  <c:v>1</c:v>
                </c:pt>
                <c:pt idx="17" formatCode="0">
                  <c:v>13</c:v>
                </c:pt>
                <c:pt idx="18" formatCode="0">
                  <c:v>16</c:v>
                </c:pt>
                <c:pt idx="19" formatCode="0">
                  <c:v>19</c:v>
                </c:pt>
              </c:numCache>
            </c:numRef>
          </c:val>
          <c:extLst>
            <c:ext xmlns:c16="http://schemas.microsoft.com/office/drawing/2014/chart" uri="{C3380CC4-5D6E-409C-BE32-E72D297353CC}">
              <c16:uniqueId val="{00000000-219C-4DB6-8C43-278847A6351E}"/>
            </c:ext>
          </c:extLst>
        </c:ser>
        <c:ser>
          <c:idx val="1"/>
          <c:order val="1"/>
          <c:tx>
            <c:strRef>
              <c:f>Export!$C$30</c:f>
              <c:strCache>
                <c:ptCount val="1"/>
                <c:pt idx="0">
                  <c:v>Not accepted and finalised</c:v>
                </c:pt>
              </c:strCache>
            </c:strRef>
          </c:tx>
          <c:spPr>
            <a:solidFill>
              <a:srgbClr val="6CCBE1"/>
            </a:solidFill>
            <a:ln>
              <a:noFill/>
            </a:ln>
            <a:effectLst/>
          </c:spPr>
          <c:invertIfNegative val="0"/>
          <c:cat>
            <c:strRef>
              <c:f>Export!$A$31:$A$50</c:f>
              <c:strCache>
                <c:ptCount val="20"/>
                <c:pt idx="0">
                  <c:v>Protection from retrospective criminal laws</c:v>
                </c:pt>
                <c:pt idx="1">
                  <c:v>Freedom from forced work</c:v>
                </c:pt>
                <c:pt idx="2">
                  <c:v>Protection of children in the criminal process</c:v>
                </c:pt>
                <c:pt idx="3">
                  <c:v>Cultural rights—generally</c:v>
                </c:pt>
                <c:pt idx="4">
                  <c:v>Peaceful assembly and freedom of association</c:v>
                </c:pt>
                <c:pt idx="5">
                  <c:v>Right not to be tried or punished more than once</c:v>
                </c:pt>
                <c:pt idx="6">
                  <c:v>Cultural rights—First Nations peoples</c:v>
                </c:pt>
                <c:pt idx="7">
                  <c:v>Right to education</c:v>
                </c:pt>
                <c:pt idx="8">
                  <c:v>Rights in criminal proceedings</c:v>
                </c:pt>
                <c:pt idx="9">
                  <c:v>Taking part in public life</c:v>
                </c:pt>
                <c:pt idx="10">
                  <c:v>Freedom of thought, conscience, religion</c:v>
                </c:pt>
                <c:pt idx="11">
                  <c:v>Property rights</c:v>
                </c:pt>
                <c:pt idx="12">
                  <c:v>Right to life</c:v>
                </c:pt>
                <c:pt idx="13">
                  <c:v>Right to liberty and security of person</c:v>
                </c:pt>
                <c:pt idx="14">
                  <c:v>Freedom of expression</c:v>
                </c:pt>
                <c:pt idx="15">
                  <c:v>Freedom of movement</c:v>
                </c:pt>
                <c:pt idx="16">
                  <c:v>Fair hearing</c:v>
                </c:pt>
                <c:pt idx="17">
                  <c:v>Right to health services</c:v>
                </c:pt>
                <c:pt idx="18">
                  <c:v>Protection of families and children</c:v>
                </c:pt>
                <c:pt idx="19">
                  <c:v>Humane treatment when deprived of liberty</c:v>
                </c:pt>
              </c:strCache>
            </c:strRef>
          </c:cat>
          <c:val>
            <c:numRef>
              <c:f>Export!$C$31:$C$50</c:f>
              <c:numCache>
                <c:formatCode>General</c:formatCode>
                <c:ptCount val="20"/>
                <c:pt idx="0">
                  <c:v>1</c:v>
                </c:pt>
                <c:pt idx="1">
                  <c:v>2</c:v>
                </c:pt>
                <c:pt idx="2">
                  <c:v>1</c:v>
                </c:pt>
                <c:pt idx="3">
                  <c:v>4</c:v>
                </c:pt>
                <c:pt idx="4">
                  <c:v>3</c:v>
                </c:pt>
                <c:pt idx="5">
                  <c:v>4</c:v>
                </c:pt>
                <c:pt idx="6">
                  <c:v>5</c:v>
                </c:pt>
                <c:pt idx="7">
                  <c:v>5</c:v>
                </c:pt>
                <c:pt idx="8">
                  <c:v>9</c:v>
                </c:pt>
                <c:pt idx="9">
                  <c:v>9</c:v>
                </c:pt>
                <c:pt idx="10">
                  <c:v>14</c:v>
                </c:pt>
                <c:pt idx="11">
                  <c:v>21</c:v>
                </c:pt>
                <c:pt idx="12">
                  <c:v>22</c:v>
                </c:pt>
                <c:pt idx="13">
                  <c:v>20</c:v>
                </c:pt>
                <c:pt idx="14">
                  <c:v>18</c:v>
                </c:pt>
                <c:pt idx="15">
                  <c:v>20</c:v>
                </c:pt>
                <c:pt idx="16">
                  <c:v>27</c:v>
                </c:pt>
                <c:pt idx="17">
                  <c:v>25</c:v>
                </c:pt>
                <c:pt idx="18">
                  <c:v>24</c:v>
                </c:pt>
                <c:pt idx="19" formatCode="0">
                  <c:v>26</c:v>
                </c:pt>
              </c:numCache>
            </c:numRef>
          </c:val>
          <c:extLst>
            <c:ext xmlns:c16="http://schemas.microsoft.com/office/drawing/2014/chart" uri="{C3380CC4-5D6E-409C-BE32-E72D297353CC}">
              <c16:uniqueId val="{00000001-219C-4DB6-8C43-278847A6351E}"/>
            </c:ext>
          </c:extLst>
        </c:ser>
        <c:dLbls>
          <c:showLegendKey val="0"/>
          <c:showVal val="0"/>
          <c:showCatName val="0"/>
          <c:showSerName val="0"/>
          <c:showPercent val="0"/>
          <c:showBubbleSize val="0"/>
        </c:dLbls>
        <c:gapWidth val="45"/>
        <c:overlap val="100"/>
        <c:axId val="968443808"/>
        <c:axId val="968446304"/>
      </c:barChart>
      <c:catAx>
        <c:axId val="9684438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968446304"/>
        <c:crosses val="autoZero"/>
        <c:auto val="1"/>
        <c:lblAlgn val="ctr"/>
        <c:lblOffset val="100"/>
        <c:noMultiLvlLbl val="0"/>
      </c:catAx>
      <c:valAx>
        <c:axId val="9684463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968443808"/>
        <c:crosses val="autoZero"/>
        <c:crossBetween val="between"/>
      </c:valAx>
      <c:spPr>
        <a:noFill/>
        <a:ln>
          <a:noFill/>
        </a:ln>
        <a:effectLst/>
      </c:spPr>
    </c:plotArea>
    <c:legend>
      <c:legendPos val="b"/>
      <c:layout>
        <c:manualLayout>
          <c:xMode val="edge"/>
          <c:yMode val="edge"/>
          <c:x val="0.68633451655547462"/>
          <c:y val="0.57856792958224135"/>
          <c:w val="0.1716284142896235"/>
          <c:h val="0.11393563211387167"/>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Export!$B$19</c:f>
              <c:strCache>
                <c:ptCount val="1"/>
                <c:pt idx="0">
                  <c:v>Accepted and finalised </c:v>
                </c:pt>
              </c:strCache>
            </c:strRef>
          </c:tx>
          <c:spPr>
            <a:solidFill>
              <a:srgbClr val="E66A37"/>
            </a:solidFill>
            <a:ln>
              <a:noFill/>
            </a:ln>
            <a:effectLst/>
          </c:spPr>
          <c:invertIfNegative val="0"/>
          <c:cat>
            <c:strRef>
              <c:f>Export!$A$20:$A$31</c:f>
              <c:strCache>
                <c:ptCount val="12"/>
                <c:pt idx="0">
                  <c:v>Transport</c:v>
                </c:pt>
                <c:pt idx="1">
                  <c:v>Disability</c:v>
                </c:pt>
                <c:pt idx="2">
                  <c:v>Not a public entity</c:v>
                </c:pt>
                <c:pt idx="3">
                  <c:v>Child Safety</c:v>
                </c:pt>
                <c:pt idx="4">
                  <c:v>Accommodation/Housing</c:v>
                </c:pt>
                <c:pt idx="5">
                  <c:v>Council</c:v>
                </c:pt>
                <c:pt idx="6">
                  <c:v>Education</c:v>
                </c:pt>
                <c:pt idx="7">
                  <c:v>Other</c:v>
                </c:pt>
                <c:pt idx="8">
                  <c:v>Corrections</c:v>
                </c:pt>
                <c:pt idx="9">
                  <c:v>Police</c:v>
                </c:pt>
                <c:pt idx="10">
                  <c:v>Health</c:v>
                </c:pt>
                <c:pt idx="11">
                  <c:v>Work</c:v>
                </c:pt>
              </c:strCache>
            </c:strRef>
          </c:cat>
          <c:val>
            <c:numRef>
              <c:f>Export!$B$20:$B$31</c:f>
              <c:numCache>
                <c:formatCode>0</c:formatCode>
                <c:ptCount val="12"/>
                <c:pt idx="0">
                  <c:v>5</c:v>
                </c:pt>
                <c:pt idx="1">
                  <c:v>2</c:v>
                </c:pt>
                <c:pt idx="3">
                  <c:v>9</c:v>
                </c:pt>
                <c:pt idx="4">
                  <c:v>14</c:v>
                </c:pt>
                <c:pt idx="5">
                  <c:v>12</c:v>
                </c:pt>
                <c:pt idx="6">
                  <c:v>28</c:v>
                </c:pt>
                <c:pt idx="7">
                  <c:v>24</c:v>
                </c:pt>
                <c:pt idx="8">
                  <c:v>25</c:v>
                </c:pt>
                <c:pt idx="9">
                  <c:v>38</c:v>
                </c:pt>
                <c:pt idx="10">
                  <c:v>45</c:v>
                </c:pt>
                <c:pt idx="11">
                  <c:v>68</c:v>
                </c:pt>
              </c:numCache>
            </c:numRef>
          </c:val>
          <c:extLst>
            <c:ext xmlns:c16="http://schemas.microsoft.com/office/drawing/2014/chart" uri="{C3380CC4-5D6E-409C-BE32-E72D297353CC}">
              <c16:uniqueId val="{00000000-F4E4-453D-A5B2-5C10327DE8AD}"/>
            </c:ext>
          </c:extLst>
        </c:ser>
        <c:ser>
          <c:idx val="1"/>
          <c:order val="1"/>
          <c:tx>
            <c:strRef>
              <c:f>Export!$C$19</c:f>
              <c:strCache>
                <c:ptCount val="1"/>
                <c:pt idx="0">
                  <c:v>Not accepted and finalised </c:v>
                </c:pt>
              </c:strCache>
            </c:strRef>
          </c:tx>
          <c:spPr>
            <a:solidFill>
              <a:srgbClr val="6CCBE1"/>
            </a:solidFill>
            <a:ln>
              <a:noFill/>
            </a:ln>
            <a:effectLst/>
          </c:spPr>
          <c:invertIfNegative val="0"/>
          <c:cat>
            <c:strRef>
              <c:f>Export!$A$20:$A$31</c:f>
              <c:strCache>
                <c:ptCount val="12"/>
                <c:pt idx="0">
                  <c:v>Transport</c:v>
                </c:pt>
                <c:pt idx="1">
                  <c:v>Disability</c:v>
                </c:pt>
                <c:pt idx="2">
                  <c:v>Not a public entity</c:v>
                </c:pt>
                <c:pt idx="3">
                  <c:v>Child Safety</c:v>
                </c:pt>
                <c:pt idx="4">
                  <c:v>Accommodation/Housing</c:v>
                </c:pt>
                <c:pt idx="5">
                  <c:v>Council</c:v>
                </c:pt>
                <c:pt idx="6">
                  <c:v>Education</c:v>
                </c:pt>
                <c:pt idx="7">
                  <c:v>Other</c:v>
                </c:pt>
                <c:pt idx="8">
                  <c:v>Corrections</c:v>
                </c:pt>
                <c:pt idx="9">
                  <c:v>Police</c:v>
                </c:pt>
                <c:pt idx="10">
                  <c:v>Health</c:v>
                </c:pt>
                <c:pt idx="11">
                  <c:v>Work</c:v>
                </c:pt>
              </c:strCache>
            </c:strRef>
          </c:cat>
          <c:val>
            <c:numRef>
              <c:f>Export!$C$20:$C$31</c:f>
              <c:numCache>
                <c:formatCode>General</c:formatCode>
                <c:ptCount val="12"/>
                <c:pt idx="0">
                  <c:v>1</c:v>
                </c:pt>
                <c:pt idx="1">
                  <c:v>4</c:v>
                </c:pt>
                <c:pt idx="2">
                  <c:v>16</c:v>
                </c:pt>
                <c:pt idx="3">
                  <c:v>8</c:v>
                </c:pt>
                <c:pt idx="4">
                  <c:v>4</c:v>
                </c:pt>
                <c:pt idx="5">
                  <c:v>13</c:v>
                </c:pt>
                <c:pt idx="6">
                  <c:v>4</c:v>
                </c:pt>
                <c:pt idx="7">
                  <c:v>25</c:v>
                </c:pt>
                <c:pt idx="8" formatCode="0">
                  <c:v>27</c:v>
                </c:pt>
                <c:pt idx="9" formatCode="0">
                  <c:v>29</c:v>
                </c:pt>
                <c:pt idx="10" formatCode="0">
                  <c:v>34</c:v>
                </c:pt>
                <c:pt idx="11" formatCode="0">
                  <c:v>189</c:v>
                </c:pt>
              </c:numCache>
            </c:numRef>
          </c:val>
          <c:extLst>
            <c:ext xmlns:c16="http://schemas.microsoft.com/office/drawing/2014/chart" uri="{C3380CC4-5D6E-409C-BE32-E72D297353CC}">
              <c16:uniqueId val="{00000001-F4E4-453D-A5B2-5C10327DE8AD}"/>
            </c:ext>
          </c:extLst>
        </c:ser>
        <c:dLbls>
          <c:showLegendKey val="0"/>
          <c:showVal val="0"/>
          <c:showCatName val="0"/>
          <c:showSerName val="0"/>
          <c:showPercent val="0"/>
          <c:showBubbleSize val="0"/>
        </c:dLbls>
        <c:gapWidth val="45"/>
        <c:overlap val="100"/>
        <c:axId val="1377406768"/>
        <c:axId val="1377409680"/>
      </c:barChart>
      <c:catAx>
        <c:axId val="13774067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377409680"/>
        <c:crosses val="autoZero"/>
        <c:auto val="1"/>
        <c:lblAlgn val="ctr"/>
        <c:lblOffset val="100"/>
        <c:noMultiLvlLbl val="0"/>
      </c:catAx>
      <c:valAx>
        <c:axId val="137740968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377406768"/>
        <c:crosses val="autoZero"/>
        <c:crossBetween val="between"/>
      </c:valAx>
      <c:spPr>
        <a:noFill/>
        <a:ln>
          <a:noFill/>
        </a:ln>
        <a:effectLst/>
      </c:spPr>
    </c:plotArea>
    <c:legend>
      <c:legendPos val="b"/>
      <c:layout>
        <c:manualLayout>
          <c:xMode val="edge"/>
          <c:yMode val="edge"/>
          <c:x val="0.55113881392243058"/>
          <c:y val="0.53909085099126342"/>
          <c:w val="0.2731536225029213"/>
          <c:h val="0.2117882225345285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Export!$B$19</c:f>
              <c:strCache>
                <c:ptCount val="1"/>
                <c:pt idx="0">
                  <c:v>Accepted and finalised</c:v>
                </c:pt>
              </c:strCache>
            </c:strRef>
          </c:tx>
          <c:spPr>
            <a:solidFill>
              <a:srgbClr val="E66A37"/>
            </a:solidFill>
            <a:ln>
              <a:noFill/>
            </a:ln>
            <a:effectLst/>
          </c:spPr>
          <c:invertIfNegative val="0"/>
          <c:cat>
            <c:strRef>
              <c:f>Export!$A$20:$A$32</c:f>
              <c:strCache>
                <c:ptCount val="13"/>
                <c:pt idx="0">
                  <c:v>Transport</c:v>
                </c:pt>
                <c:pt idx="1">
                  <c:v>Disability</c:v>
                </c:pt>
                <c:pt idx="2">
                  <c:v>Accommodation/Housing</c:v>
                </c:pt>
                <c:pt idx="3">
                  <c:v> Education</c:v>
                </c:pt>
                <c:pt idx="4">
                  <c:v>Child Safety</c:v>
                </c:pt>
                <c:pt idx="5">
                  <c:v>Court Services</c:v>
                </c:pt>
                <c:pt idx="6">
                  <c:v>Not a public entity</c:v>
                </c:pt>
                <c:pt idx="7">
                  <c:v>Councils</c:v>
                </c:pt>
                <c:pt idx="8">
                  <c:v>Work</c:v>
                </c:pt>
                <c:pt idx="9">
                  <c:v>Other</c:v>
                </c:pt>
                <c:pt idx="10">
                  <c:v>Police</c:v>
                </c:pt>
                <c:pt idx="11">
                  <c:v>Health</c:v>
                </c:pt>
                <c:pt idx="12">
                  <c:v>Corrections</c:v>
                </c:pt>
              </c:strCache>
            </c:strRef>
          </c:cat>
          <c:val>
            <c:numRef>
              <c:f>Export!$B$20:$B$32</c:f>
              <c:numCache>
                <c:formatCode>0</c:formatCode>
                <c:ptCount val="13"/>
                <c:pt idx="0">
                  <c:v>1</c:v>
                </c:pt>
                <c:pt idx="1">
                  <c:v>1</c:v>
                </c:pt>
                <c:pt idx="2">
                  <c:v>3</c:v>
                </c:pt>
                <c:pt idx="3">
                  <c:v>5</c:v>
                </c:pt>
                <c:pt idx="4">
                  <c:v>3</c:v>
                </c:pt>
                <c:pt idx="7">
                  <c:v>5</c:v>
                </c:pt>
                <c:pt idx="8">
                  <c:v>7</c:v>
                </c:pt>
                <c:pt idx="9">
                  <c:v>4</c:v>
                </c:pt>
                <c:pt idx="10">
                  <c:v>12</c:v>
                </c:pt>
                <c:pt idx="11">
                  <c:v>14</c:v>
                </c:pt>
                <c:pt idx="12">
                  <c:v>21</c:v>
                </c:pt>
              </c:numCache>
            </c:numRef>
          </c:val>
          <c:extLst>
            <c:ext xmlns:c16="http://schemas.microsoft.com/office/drawing/2014/chart" uri="{C3380CC4-5D6E-409C-BE32-E72D297353CC}">
              <c16:uniqueId val="{00000000-D5EF-46C4-89C8-4CA480CAC1DD}"/>
            </c:ext>
          </c:extLst>
        </c:ser>
        <c:ser>
          <c:idx val="1"/>
          <c:order val="1"/>
          <c:tx>
            <c:strRef>
              <c:f>Export!$C$19</c:f>
              <c:strCache>
                <c:ptCount val="1"/>
                <c:pt idx="0">
                  <c:v>Not accepted and finalised </c:v>
                </c:pt>
              </c:strCache>
            </c:strRef>
          </c:tx>
          <c:spPr>
            <a:solidFill>
              <a:srgbClr val="6CCBE1"/>
            </a:solidFill>
            <a:ln>
              <a:noFill/>
            </a:ln>
            <a:effectLst/>
          </c:spPr>
          <c:invertIfNegative val="0"/>
          <c:cat>
            <c:strRef>
              <c:f>Export!$A$20:$A$32</c:f>
              <c:strCache>
                <c:ptCount val="13"/>
                <c:pt idx="0">
                  <c:v>Transport</c:v>
                </c:pt>
                <c:pt idx="1">
                  <c:v>Disability</c:v>
                </c:pt>
                <c:pt idx="2">
                  <c:v>Accommodation/Housing</c:v>
                </c:pt>
                <c:pt idx="3">
                  <c:v> Education</c:v>
                </c:pt>
                <c:pt idx="4">
                  <c:v>Child Safety</c:v>
                </c:pt>
                <c:pt idx="5">
                  <c:v>Court Services</c:v>
                </c:pt>
                <c:pt idx="6">
                  <c:v>Not a public entity</c:v>
                </c:pt>
                <c:pt idx="7">
                  <c:v>Councils</c:v>
                </c:pt>
                <c:pt idx="8">
                  <c:v>Work</c:v>
                </c:pt>
                <c:pt idx="9">
                  <c:v>Other</c:v>
                </c:pt>
                <c:pt idx="10">
                  <c:v>Police</c:v>
                </c:pt>
                <c:pt idx="11">
                  <c:v>Health</c:v>
                </c:pt>
                <c:pt idx="12">
                  <c:v>Corrections</c:v>
                </c:pt>
              </c:strCache>
            </c:strRef>
          </c:cat>
          <c:val>
            <c:numRef>
              <c:f>Export!$C$20:$C$32</c:f>
              <c:numCache>
                <c:formatCode>General</c:formatCode>
                <c:ptCount val="13"/>
                <c:pt idx="0">
                  <c:v>1</c:v>
                </c:pt>
                <c:pt idx="1">
                  <c:v>3</c:v>
                </c:pt>
                <c:pt idx="2">
                  <c:v>3</c:v>
                </c:pt>
                <c:pt idx="3">
                  <c:v>3</c:v>
                </c:pt>
                <c:pt idx="4">
                  <c:v>9</c:v>
                </c:pt>
                <c:pt idx="5">
                  <c:v>11</c:v>
                </c:pt>
                <c:pt idx="6">
                  <c:v>14</c:v>
                </c:pt>
                <c:pt idx="7">
                  <c:v>12</c:v>
                </c:pt>
                <c:pt idx="8">
                  <c:v>11</c:v>
                </c:pt>
                <c:pt idx="9">
                  <c:v>24</c:v>
                </c:pt>
                <c:pt idx="10">
                  <c:v>27</c:v>
                </c:pt>
                <c:pt idx="11">
                  <c:v>32</c:v>
                </c:pt>
                <c:pt idx="12">
                  <c:v>26</c:v>
                </c:pt>
              </c:numCache>
            </c:numRef>
          </c:val>
          <c:extLst>
            <c:ext xmlns:c16="http://schemas.microsoft.com/office/drawing/2014/chart" uri="{C3380CC4-5D6E-409C-BE32-E72D297353CC}">
              <c16:uniqueId val="{00000001-D5EF-46C4-89C8-4CA480CAC1DD}"/>
            </c:ext>
          </c:extLst>
        </c:ser>
        <c:dLbls>
          <c:showLegendKey val="0"/>
          <c:showVal val="0"/>
          <c:showCatName val="0"/>
          <c:showSerName val="0"/>
          <c:showPercent val="0"/>
          <c:showBubbleSize val="0"/>
        </c:dLbls>
        <c:gapWidth val="45"/>
        <c:overlap val="100"/>
        <c:axId val="1967409488"/>
        <c:axId val="1967413232"/>
      </c:barChart>
      <c:catAx>
        <c:axId val="1967409488"/>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967413232"/>
        <c:crosses val="autoZero"/>
        <c:auto val="1"/>
        <c:lblAlgn val="ctr"/>
        <c:lblOffset val="100"/>
        <c:noMultiLvlLbl val="0"/>
      </c:catAx>
      <c:valAx>
        <c:axId val="196741323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967409488"/>
        <c:crosses val="autoZero"/>
        <c:crossBetween val="between"/>
      </c:valAx>
      <c:spPr>
        <a:noFill/>
        <a:ln>
          <a:noFill/>
        </a:ln>
        <a:effectLst/>
      </c:spPr>
    </c:plotArea>
    <c:legend>
      <c:legendPos val="b"/>
      <c:layout>
        <c:manualLayout>
          <c:xMode val="edge"/>
          <c:yMode val="edge"/>
          <c:x val="0.62154087275498227"/>
          <c:y val="0.51527507527387462"/>
          <c:w val="0.28796981627296592"/>
          <c:h val="0.2107514279593083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50E670C0B708384A9FE68EDDD2FCA27F" ma:contentTypeVersion="13" ma:contentTypeDescription="Create a new document." ma:contentTypeScope="" ma:versionID="18f552dbadd2d2224b96f62ed71ea1e0">
  <xsd:schema xmlns:xsd="http://www.w3.org/2001/XMLSchema" xmlns:xs="http://www.w3.org/2001/XMLSchema" xmlns:p="http://schemas.microsoft.com/office/2006/metadata/properties" xmlns:ns2="a9ec758c-7b29-4bbd-836f-c599af6fef2b" xmlns:ns3="4895baa6-ac4c-4d1e-b231-8483c88111dc" targetNamespace="http://schemas.microsoft.com/office/2006/metadata/properties" ma:root="true" ma:fieldsID="dd53542ccc8d44a87a987d7bbad8d34c" ns2:_="" ns3:_="">
    <xsd:import namespace="a9ec758c-7b29-4bbd-836f-c599af6fef2b"/>
    <xsd:import namespace="4895baa6-ac4c-4d1e-b231-8483c88111dc"/>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lcf76f155ced4ddcb4097134ff3c332f" minOccurs="0"/>
                <xsd:element ref="ns2:TaxCatchAll" minOccurs="0"/>
                <xsd:element ref="ns3:MediaServiceOCR" minOccurs="0"/>
                <xsd:element ref="ns3:MediaServiceGenerationTime" minOccurs="0"/>
                <xsd:element ref="ns3:MediaServiceEventHashCode"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9ec758c-7b29-4bbd-836f-c599af6fef2b"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c3d8b5d0-2ee8-4dd3-9ecf-95c4818ff50d}" ma:internalName="TaxCatchAll" ma:showField="CatchAllData" ma:web="a9ec758c-7b29-4bbd-836f-c599af6fef2b">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895baa6-ac4c-4d1e-b231-8483c88111d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6155ed63-341b-4a6d-8d92-bc71a3205411"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haredWithUsers xmlns="a9ec758c-7b29-4bbd-836f-c599af6fef2b">
      <UserInfo>
        <DisplayName/>
        <AccountId xsi:nil="true"/>
        <AccountType/>
      </UserInfo>
    </SharedWithUsers>
    <TaxCatchAll xmlns="a9ec758c-7b29-4bbd-836f-c599af6fef2b" xsi:nil="true"/>
    <lcf76f155ced4ddcb4097134ff3c332f xmlns="4895baa6-ac4c-4d1e-b231-8483c88111dc">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5B1AE2C-8E80-4748-BF8E-4BD14B13DB7B}">
  <ds:schemaRefs>
    <ds:schemaRef ds:uri="http://schemas.openxmlformats.org/officeDocument/2006/bibliography"/>
  </ds:schemaRefs>
</ds:datastoreItem>
</file>

<file path=customXml/itemProps2.xml><?xml version="1.0" encoding="utf-8"?>
<ds:datastoreItem xmlns:ds="http://schemas.openxmlformats.org/officeDocument/2006/customXml" ds:itemID="{DFB47DCF-A250-41C8-A284-E6921FC98D8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9ec758c-7b29-4bbd-836f-c599af6fef2b"/>
    <ds:schemaRef ds:uri="4895baa6-ac4c-4d1e-b231-8483c88111d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B59B4AF-0A4B-4CCC-B476-9120B8158963}">
  <ds:schemaRefs>
    <ds:schemaRef ds:uri="http://schemas.microsoft.com/office/2006/metadata/properties"/>
    <ds:schemaRef ds:uri="http://schemas.microsoft.com/office/infopath/2007/PartnerControls"/>
    <ds:schemaRef ds:uri="a9ec758c-7b29-4bbd-836f-c599af6fef2b"/>
    <ds:schemaRef ds:uri="4895baa6-ac4c-4d1e-b231-8483c88111dc"/>
  </ds:schemaRefs>
</ds:datastoreItem>
</file>

<file path=customXml/itemProps4.xml><?xml version="1.0" encoding="utf-8"?>
<ds:datastoreItem xmlns:ds="http://schemas.openxmlformats.org/officeDocument/2006/customXml" ds:itemID="{8C3F4E3F-4C6B-4612-9BFC-AD16434919A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40601</Words>
  <Characters>231428</Characters>
  <Application>Microsoft Office Word</Application>
  <DocSecurity>0</DocSecurity>
  <Lines>1928</Lines>
  <Paragraphs>542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271487</CharactersWithSpaces>
  <SharedDoc>false</SharedDoc>
  <HLinks>
    <vt:vector size="18" baseType="variant">
      <vt:variant>
        <vt:i4>3538979</vt:i4>
      </vt:variant>
      <vt:variant>
        <vt:i4>129</vt:i4>
      </vt:variant>
      <vt:variant>
        <vt:i4>0</vt:i4>
      </vt:variant>
      <vt:variant>
        <vt:i4>5</vt:i4>
      </vt:variant>
      <vt:variant>
        <vt:lpwstr>https://www.queenslandjudgments.com.au/caselaw/qsc/2021/273</vt:lpwstr>
      </vt:variant>
      <vt:variant>
        <vt:lpwstr/>
      </vt:variant>
      <vt:variant>
        <vt:i4>7340094</vt:i4>
      </vt:variant>
      <vt:variant>
        <vt:i4>3</vt:i4>
      </vt:variant>
      <vt:variant>
        <vt:i4>0</vt:i4>
      </vt:variant>
      <vt:variant>
        <vt:i4>5</vt:i4>
      </vt:variant>
      <vt:variant>
        <vt:lpwstr>http://www.qhrc.qld.gov.au/</vt:lpwstr>
      </vt:variant>
      <vt:variant>
        <vt:lpwstr/>
      </vt:variant>
      <vt:variant>
        <vt:i4>6488166</vt:i4>
      </vt:variant>
      <vt:variant>
        <vt:i4>0</vt:i4>
      </vt:variant>
      <vt:variant>
        <vt:i4>0</vt:i4>
      </vt:variant>
      <vt:variant>
        <vt:i4>5</vt:i4>
      </vt:variant>
      <vt:variant>
        <vt:lpwstr>http://creativecommons.org/licenses/by/4.0/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Kate Marsh</dc:creator>
  <cp:keywords/>
  <dc:description/>
  <cp:lastModifiedBy>Kate Marsh</cp:lastModifiedBy>
  <cp:revision>2</cp:revision>
  <cp:lastPrinted>2023-10-30T17:42:00Z</cp:lastPrinted>
  <dcterms:created xsi:type="dcterms:W3CDTF">2023-11-27T23:08:00Z</dcterms:created>
  <dcterms:modified xsi:type="dcterms:W3CDTF">2023-11-27T23:08:00Z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0x01010050E670C0B708384A9FE68EDDD2FCA27F</vt:lpwstr>
  </property>
  <property fmtid="{D5CDD505-2E9C-101B-9397-08002B2CF9AE}" pid="3" name="Order">
    <vt:r8>276400</vt:r8>
  </property>
  <property fmtid="{D5CDD505-2E9C-101B-9397-08002B2CF9AE}" pid="4" name="xd_Signature">
    <vt:bool>false</vt:bool>
  </property>
  <property fmtid="{D5CDD505-2E9C-101B-9397-08002B2CF9AE}" pid="5" name="xd_ProgID">
    <vt:lpwstr/>
  </property>
  <property fmtid="{D5CDD505-2E9C-101B-9397-08002B2CF9AE}" pid="6" name="_ExtendedDescription">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y fmtid="{D5CDD505-2E9C-101B-9397-08002B2CF9AE}" pid="10" name="MediaServiceImageTags">
    <vt:lpwstr/>
  </property>
  <property fmtid="{D5CDD505-2E9C-101B-9397-08002B2CF9AE}" pid="11" name="ZOTERO_PREF_2">
    <vt:lpwstr>ldType" value="Field"/&gt;&lt;/prefs&gt;&lt;/data&gt;</vt:lpwstr>
  </property>
  <property fmtid="{D5CDD505-2E9C-101B-9397-08002B2CF9AE}" pid="12" name="ZOTERO_PREF_1">
    <vt:lpwstr>&lt;data data-version="3" zotero-version="6.0.27"&gt;&lt;session id="XnhGVoNI"/&gt;&lt;style id="http://www.zotero.org/styles/australian-guide-to-legal-citation" hasBibliography="1" bibliographyStyleHasBeenSet="0"/&gt;&lt;prefs&gt;&lt;pref name="noteType" value="1"/&gt;&lt;pref name="fie</vt:lpwstr>
  </property>
</Properties>
</file>