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color w:val="347B9F"/>
          <w:sz w:val="24"/>
          <w:szCs w:val="24"/>
        </w:rPr>
        <w:id w:val="-934660533"/>
        <w:docPartObj>
          <w:docPartGallery w:val="Cover Pages"/>
          <w:docPartUnique/>
        </w:docPartObj>
      </w:sdtPr>
      <w:sdtEndPr/>
      <w:sdtContent>
        <w:p w14:paraId="29B9E908" w14:textId="77777777" w:rsidR="00EE63B5" w:rsidRDefault="00EE63B5">
          <w:pPr>
            <w:rPr>
              <w:rFonts w:cs="Arial"/>
              <w:b/>
              <w:sz w:val="24"/>
              <w:szCs w:val="24"/>
            </w:rPr>
          </w:pPr>
        </w:p>
        <w:p w14:paraId="5C2D981E" w14:textId="77777777"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14:anchorId="3911AA67" wp14:editId="75C30B8E">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31AA49" w14:textId="77777777" w:rsidR="00EE63B5" w:rsidRDefault="00EE63B5">
          <w:pPr>
            <w:rPr>
              <w:rFonts w:cs="Arial"/>
              <w:b/>
              <w:sz w:val="24"/>
              <w:szCs w:val="24"/>
            </w:rPr>
          </w:pPr>
        </w:p>
        <w:p w14:paraId="785EA83B" w14:textId="77777777" w:rsidR="00EE63B5" w:rsidRDefault="00EE63B5">
          <w:pPr>
            <w:rPr>
              <w:rFonts w:cs="Arial"/>
              <w:b/>
              <w:sz w:val="24"/>
              <w:szCs w:val="24"/>
            </w:rPr>
          </w:pPr>
        </w:p>
        <w:p w14:paraId="6268C6FC" w14:textId="77777777" w:rsidR="00EE63B5" w:rsidRDefault="00EE63B5">
          <w:pPr>
            <w:rPr>
              <w:rFonts w:cs="Arial"/>
              <w:b/>
              <w:sz w:val="24"/>
              <w:szCs w:val="24"/>
            </w:rPr>
          </w:pPr>
        </w:p>
        <w:p w14:paraId="68A68C95" w14:textId="77777777" w:rsidR="00EE63B5" w:rsidRDefault="00EE63B5">
          <w:pPr>
            <w:rPr>
              <w:rFonts w:cs="Arial"/>
              <w:b/>
              <w:sz w:val="24"/>
              <w:szCs w:val="24"/>
            </w:rPr>
          </w:pPr>
        </w:p>
        <w:p w14:paraId="586C2491" w14:textId="77777777" w:rsidR="00EE63B5" w:rsidRDefault="00EE63B5">
          <w:pPr>
            <w:rPr>
              <w:rFonts w:cs="Arial"/>
              <w:b/>
              <w:sz w:val="24"/>
              <w:szCs w:val="24"/>
            </w:rPr>
          </w:pPr>
        </w:p>
        <w:p w14:paraId="47C3B2DB" w14:textId="77777777" w:rsidR="00EE63B5" w:rsidRDefault="00EE63B5">
          <w:pPr>
            <w:rPr>
              <w:rFonts w:cs="Arial"/>
              <w:b/>
              <w:sz w:val="24"/>
              <w:szCs w:val="24"/>
            </w:rPr>
          </w:pPr>
        </w:p>
        <w:p w14:paraId="39B14FC7" w14:textId="77777777" w:rsidR="00EE63B5" w:rsidRDefault="00EE63B5">
          <w:pPr>
            <w:rPr>
              <w:rFonts w:cs="Arial"/>
              <w:b/>
              <w:sz w:val="24"/>
              <w:szCs w:val="24"/>
            </w:rPr>
          </w:pPr>
        </w:p>
        <w:p w14:paraId="624E656D" w14:textId="77777777" w:rsidR="00EE63B5" w:rsidRDefault="00EE63B5">
          <w:pPr>
            <w:rPr>
              <w:rFonts w:cs="Arial"/>
              <w:b/>
              <w:sz w:val="24"/>
              <w:szCs w:val="24"/>
            </w:rPr>
          </w:pPr>
        </w:p>
        <w:p w14:paraId="7495E228" w14:textId="77777777" w:rsidR="00EE63B5" w:rsidRDefault="00EE63B5">
          <w:pPr>
            <w:rPr>
              <w:rFonts w:cs="Arial"/>
              <w:b/>
              <w:sz w:val="24"/>
              <w:szCs w:val="24"/>
            </w:rPr>
          </w:pPr>
        </w:p>
        <w:p w14:paraId="35121763" w14:textId="77777777" w:rsidR="00EE63B5" w:rsidRDefault="00EE63B5">
          <w:pPr>
            <w:rPr>
              <w:rFonts w:cs="Arial"/>
              <w:b/>
              <w:sz w:val="24"/>
              <w:szCs w:val="24"/>
            </w:rPr>
          </w:pPr>
        </w:p>
        <w:p w14:paraId="1217F860" w14:textId="77777777" w:rsidR="00EE63B5" w:rsidRDefault="00EE63B5">
          <w:pPr>
            <w:rPr>
              <w:rFonts w:cs="Arial"/>
              <w:b/>
              <w:sz w:val="24"/>
              <w:szCs w:val="24"/>
            </w:rPr>
          </w:pPr>
        </w:p>
        <w:p w14:paraId="3CA03253" w14:textId="77777777" w:rsidR="00EE63B5" w:rsidRDefault="00EE63B5">
          <w:pPr>
            <w:rPr>
              <w:rFonts w:cs="Arial"/>
              <w:b/>
              <w:sz w:val="24"/>
              <w:szCs w:val="24"/>
            </w:rPr>
          </w:pPr>
        </w:p>
        <w:p w14:paraId="68B75D83" w14:textId="77777777" w:rsidR="00EE63B5" w:rsidRDefault="00EE63B5">
          <w:pPr>
            <w:rPr>
              <w:rFonts w:cs="Arial"/>
              <w:b/>
              <w:sz w:val="24"/>
              <w:szCs w:val="24"/>
            </w:rPr>
          </w:pPr>
        </w:p>
        <w:p w14:paraId="5D8B4FBE" w14:textId="77777777" w:rsidR="00EE63B5" w:rsidRDefault="00EE63B5">
          <w:pPr>
            <w:rPr>
              <w:rFonts w:cs="Arial"/>
              <w:b/>
              <w:sz w:val="24"/>
              <w:szCs w:val="24"/>
            </w:rPr>
          </w:pPr>
        </w:p>
        <w:p w14:paraId="447F0E1B" w14:textId="77777777" w:rsidR="00EE63B5" w:rsidRDefault="00EE63B5">
          <w:pPr>
            <w:rPr>
              <w:rFonts w:cs="Arial"/>
              <w:b/>
              <w:sz w:val="24"/>
              <w:szCs w:val="24"/>
            </w:rPr>
          </w:pPr>
        </w:p>
        <w:p w14:paraId="594CF2BB" w14:textId="77777777" w:rsidR="00EE63B5" w:rsidRDefault="00EE63B5">
          <w:pPr>
            <w:rPr>
              <w:rFonts w:cs="Arial"/>
              <w:b/>
              <w:sz w:val="24"/>
              <w:szCs w:val="24"/>
            </w:rPr>
          </w:pPr>
        </w:p>
        <w:p w14:paraId="7808D05D" w14:textId="77777777" w:rsidR="004C0311" w:rsidRDefault="004C0311" w:rsidP="004C0311">
          <w:pPr>
            <w:rPr>
              <w:rFonts w:cs="Arial"/>
              <w:b/>
              <w:sz w:val="24"/>
              <w:szCs w:val="24"/>
            </w:rPr>
          </w:pPr>
        </w:p>
        <w:p w14:paraId="052E773A" w14:textId="77777777" w:rsidR="004C0311" w:rsidRPr="00583C1B" w:rsidRDefault="004C0311" w:rsidP="004C0311">
          <w:pPr>
            <w:pStyle w:val="Heading1"/>
            <w:ind w:left="1440"/>
            <w:rPr>
              <w:b/>
              <w:color w:val="373D41"/>
              <w:sz w:val="48"/>
              <w:szCs w:val="48"/>
            </w:rPr>
          </w:pPr>
        </w:p>
        <w:p w14:paraId="62A08DDC" w14:textId="77777777" w:rsidR="00583C1B" w:rsidRPr="00583C1B" w:rsidRDefault="00DB7061" w:rsidP="004C0311">
          <w:pPr>
            <w:pStyle w:val="Heading1"/>
            <w:ind w:left="1440"/>
          </w:pPr>
          <w:bookmarkStart w:id="0" w:name="_Toc45027852"/>
          <w:r>
            <w:rPr>
              <w:b/>
              <w:color w:val="373D41"/>
              <w:sz w:val="48"/>
              <w:szCs w:val="48"/>
            </w:rPr>
            <w:t>Discrimination and sexual harassment in the workplace: prevention and resolution of complaints</w:t>
          </w:r>
          <w:bookmarkEnd w:id="0"/>
        </w:p>
        <w:p w14:paraId="446F2E0D" w14:textId="77777777" w:rsidR="00583C1B" w:rsidRDefault="00583C1B" w:rsidP="00583C1B">
          <w:pPr>
            <w:pStyle w:val="Heading1"/>
            <w:ind w:left="1440"/>
          </w:pPr>
          <w:bookmarkStart w:id="1" w:name="_Toc8285930"/>
          <w:bookmarkStart w:id="2" w:name="_Toc14702240"/>
          <w:bookmarkStart w:id="3" w:name="_Toc40798731"/>
          <w:bookmarkStart w:id="4" w:name="_Toc45027853"/>
          <w:r w:rsidRPr="0082693E">
            <w:rPr>
              <w:i/>
              <w:noProof/>
              <w:color w:val="373D41"/>
              <w:sz w:val="60"/>
              <w:szCs w:val="60"/>
            </w:rPr>
            <w:drawing>
              <wp:anchor distT="0" distB="0" distL="114300" distR="114300" simplePos="0" relativeHeight="251659264" behindDoc="0" locked="0" layoutInCell="1" allowOverlap="1" wp14:anchorId="569F3421" wp14:editId="349FC568">
                <wp:simplePos x="0" y="0"/>
                <wp:positionH relativeFrom="leftMargin">
                  <wp:posOffset>-5028565</wp:posOffset>
                </wp:positionH>
                <wp:positionV relativeFrom="margin">
                  <wp:posOffset>4338320</wp:posOffset>
                </wp:positionV>
                <wp:extent cx="10733405" cy="651510"/>
                <wp:effectExtent l="0" t="7302" r="3492" b="349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bookmarkEnd w:id="1"/>
          <w:r w:rsidR="00DB7061">
            <w:t>June</w:t>
          </w:r>
          <w:r w:rsidR="004C0311">
            <w:t xml:space="preserve"> </w:t>
          </w:r>
          <w:bookmarkEnd w:id="2"/>
          <w:bookmarkEnd w:id="3"/>
          <w:r w:rsidR="00DB7061">
            <w:t>2020</w:t>
          </w:r>
          <w:bookmarkEnd w:id="4"/>
        </w:p>
        <w:p w14:paraId="78468F99" w14:textId="77777777" w:rsidR="009F7A60" w:rsidRDefault="009F7A60" w:rsidP="009F7A60"/>
        <w:p w14:paraId="45FFC97B" w14:textId="77777777" w:rsidR="009F7A60" w:rsidRDefault="009F7A60" w:rsidP="009F7A60"/>
        <w:p w14:paraId="00E158EA" w14:textId="77777777" w:rsidR="009F7A60" w:rsidRDefault="009F7A60" w:rsidP="009F7A60"/>
        <w:p w14:paraId="601CCBB1" w14:textId="77777777" w:rsidR="009F7A60" w:rsidRDefault="009F7A60" w:rsidP="009F7A60"/>
        <w:p w14:paraId="4BBF3877" w14:textId="77777777" w:rsidR="009F7A60" w:rsidRDefault="009F7A60" w:rsidP="009F7A60"/>
        <w:p w14:paraId="01E61982" w14:textId="77777777" w:rsidR="009F7A60" w:rsidRDefault="009F7A60" w:rsidP="009F7A60"/>
        <w:p w14:paraId="736D2F65" w14:textId="77777777" w:rsidR="009F7A60" w:rsidRDefault="009F7A60" w:rsidP="009F7A60"/>
        <w:p w14:paraId="3EC0251D" w14:textId="77777777" w:rsidR="009F7A60" w:rsidRDefault="009F7A60" w:rsidP="009F7A60"/>
        <w:p w14:paraId="6C5C97D5" w14:textId="77777777" w:rsidR="009F7A60" w:rsidRPr="009F7A60" w:rsidRDefault="009F7A60" w:rsidP="009F7A60"/>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9F7A60" w14:paraId="3D730016" w14:textId="77777777" w:rsidTr="00DB70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3739BF77" w14:textId="77777777" w:rsidR="009F7A60" w:rsidRPr="003A32FF" w:rsidRDefault="009F7A60" w:rsidP="00DB7061">
                <w:pPr>
                  <w:rPr>
                    <w:rFonts w:cs="Arial"/>
                    <w:b w:val="0"/>
                    <w:sz w:val="24"/>
                    <w:szCs w:val="24"/>
                  </w:rPr>
                </w:pPr>
                <w:r w:rsidRPr="003A32FF">
                  <w:rPr>
                    <w:rFonts w:cs="Arial"/>
                    <w:b w:val="0"/>
                    <w:sz w:val="24"/>
                    <w:szCs w:val="24"/>
                  </w:rPr>
                  <w:t xml:space="preserve">Approved </w:t>
                </w:r>
              </w:p>
            </w:tc>
          </w:tr>
          <w:tr w:rsidR="009F7A60" w14:paraId="14D5755E" w14:textId="77777777" w:rsidTr="00DB706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14:paraId="7FD72D3F" w14:textId="77777777" w:rsidR="009F7A60" w:rsidRPr="003A32FF" w:rsidRDefault="009F7A60" w:rsidP="00DB7061">
                <w:pPr>
                  <w:rPr>
                    <w:rFonts w:cs="Arial"/>
                    <w:b w:val="0"/>
                    <w:sz w:val="24"/>
                    <w:szCs w:val="24"/>
                  </w:rPr>
                </w:pPr>
              </w:p>
              <w:p w14:paraId="7CEFC13E" w14:textId="0F5FEC78" w:rsidR="009F7A60" w:rsidRPr="003A32FF" w:rsidRDefault="003A32FF" w:rsidP="00DB7061">
                <w:pPr>
                  <w:rPr>
                    <w:rFonts w:cs="Arial"/>
                    <w:b w:val="0"/>
                    <w:sz w:val="24"/>
                    <w:szCs w:val="24"/>
                  </w:rPr>
                </w:pPr>
                <w:r w:rsidRPr="003A32FF">
                  <w:rPr>
                    <w:rFonts w:cs="Arial"/>
                    <w:noProof/>
                    <w:sz w:val="24"/>
                    <w:szCs w:val="24"/>
                  </w:rPr>
                  <w:drawing>
                    <wp:inline distT="0" distB="0" distL="0" distR="0" wp14:anchorId="6DFF5F01" wp14:editId="4B421893">
                      <wp:extent cx="847725" cy="3409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S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602" cy="346146"/>
                              </a:xfrm>
                              <a:prstGeom prst="rect">
                                <a:avLst/>
                              </a:prstGeom>
                            </pic:spPr>
                          </pic:pic>
                        </a:graphicData>
                      </a:graphic>
                    </wp:inline>
                  </w:drawing>
                </w:r>
              </w:p>
            </w:tc>
          </w:tr>
          <w:tr w:rsidR="009F7A60" w14:paraId="7D2F40E8" w14:textId="77777777" w:rsidTr="00DB7061">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C0444C7" w14:textId="77777777" w:rsidR="009F7A60" w:rsidRPr="003A32FF" w:rsidRDefault="009F7A60" w:rsidP="00DB7061">
                <w:pPr>
                  <w:rPr>
                    <w:rFonts w:cs="Arial"/>
                    <w:b w:val="0"/>
                    <w:sz w:val="24"/>
                    <w:szCs w:val="24"/>
                  </w:rPr>
                </w:pPr>
                <w:r w:rsidRPr="003A32FF">
                  <w:rPr>
                    <w:rFonts w:cs="Arial"/>
                    <w:b w:val="0"/>
                    <w:sz w:val="24"/>
                    <w:szCs w:val="24"/>
                  </w:rPr>
                  <w:t>Scott McDougall</w:t>
                </w:r>
              </w:p>
              <w:p w14:paraId="2ACF77E3" w14:textId="77777777" w:rsidR="009F7A60" w:rsidRPr="003A32FF" w:rsidRDefault="009F7A60" w:rsidP="00DB7061">
                <w:pPr>
                  <w:rPr>
                    <w:rFonts w:cs="Arial"/>
                    <w:b w:val="0"/>
                    <w:sz w:val="24"/>
                    <w:szCs w:val="24"/>
                  </w:rPr>
                </w:pPr>
                <w:r w:rsidRPr="003A32FF">
                  <w:rPr>
                    <w:rFonts w:cs="Arial"/>
                    <w:b w:val="0"/>
                    <w:sz w:val="24"/>
                    <w:szCs w:val="24"/>
                  </w:rPr>
                  <w:t xml:space="preserve">Commissioner </w:t>
                </w:r>
              </w:p>
              <w:p w14:paraId="74370106" w14:textId="55DF1BE4" w:rsidR="009F7A60" w:rsidRPr="003A32FF" w:rsidRDefault="00C62008" w:rsidP="009F7A60">
                <w:pPr>
                  <w:rPr>
                    <w:rFonts w:cs="Arial"/>
                    <w:b w:val="0"/>
                    <w:sz w:val="24"/>
                    <w:szCs w:val="24"/>
                  </w:rPr>
                </w:pPr>
                <w:r w:rsidRPr="003A32FF">
                  <w:rPr>
                    <w:rFonts w:cs="Arial"/>
                    <w:b w:val="0"/>
                    <w:sz w:val="24"/>
                    <w:szCs w:val="24"/>
                  </w:rPr>
                  <w:t>5 November 2020</w:t>
                </w:r>
              </w:p>
            </w:tc>
          </w:tr>
        </w:tbl>
        <w:p w14:paraId="18D9FCB2" w14:textId="77777777" w:rsidR="009F7A60" w:rsidRDefault="009F7A60" w:rsidP="009F7A60">
          <w:pPr>
            <w:rPr>
              <w:rFonts w:cs="Arial"/>
              <w:b/>
              <w:sz w:val="24"/>
              <w:szCs w:val="24"/>
            </w:rPr>
          </w:pPr>
          <w:r>
            <w:rPr>
              <w:rFonts w:cs="Arial"/>
              <w:b/>
              <w:sz w:val="24"/>
              <w:szCs w:val="24"/>
            </w:rPr>
            <w:br w:type="page"/>
          </w:r>
        </w:p>
        <w:p w14:paraId="7DBFE83D" w14:textId="77777777" w:rsidR="00583C1B" w:rsidRDefault="00583C1B" w:rsidP="00583C1B"/>
        <w:p w14:paraId="463D797A" w14:textId="77777777" w:rsidR="009F7A60" w:rsidRPr="00FC04E2" w:rsidRDefault="009F7A60" w:rsidP="009F7A60">
          <w:pPr>
            <w:pStyle w:val="Heading1"/>
          </w:pPr>
          <w:bookmarkStart w:id="5" w:name="_Toc14702241"/>
          <w:bookmarkStart w:id="6" w:name="_Toc45027854"/>
          <w:r w:rsidRPr="00FC04E2">
            <w:t>Table of Contents</w:t>
          </w:r>
          <w:bookmarkEnd w:id="5"/>
          <w:bookmarkEnd w:id="6"/>
        </w:p>
        <w:p w14:paraId="3F6A06FA" w14:textId="77777777" w:rsidR="009F7A60" w:rsidRDefault="009F7A60" w:rsidP="009F7A60">
          <w:pPr>
            <w:tabs>
              <w:tab w:val="right" w:leader="dot" w:pos="9072"/>
              <w:tab w:val="right" w:leader="dot" w:pos="9639"/>
            </w:tabs>
            <w:spacing w:after="120"/>
            <w:rPr>
              <w:rFonts w:cs="Arial"/>
              <w:sz w:val="22"/>
              <w:szCs w:val="22"/>
            </w:rPr>
          </w:pPr>
        </w:p>
        <w:p w14:paraId="4F2CFE78" w14:textId="6BF27E8C" w:rsidR="008818B4" w:rsidRDefault="009F7A60">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45027855" w:history="1">
            <w:r w:rsidR="008818B4" w:rsidRPr="001A767A">
              <w:rPr>
                <w:rStyle w:val="Hyperlink"/>
              </w:rPr>
              <w:t>Introduction</w:t>
            </w:r>
            <w:r w:rsidR="008818B4">
              <w:rPr>
                <w:webHidden/>
              </w:rPr>
              <w:tab/>
            </w:r>
            <w:r w:rsidR="008818B4">
              <w:rPr>
                <w:webHidden/>
              </w:rPr>
              <w:fldChar w:fldCharType="begin"/>
            </w:r>
            <w:r w:rsidR="008818B4">
              <w:rPr>
                <w:webHidden/>
              </w:rPr>
              <w:instrText xml:space="preserve"> PAGEREF _Toc45027855 \h </w:instrText>
            </w:r>
            <w:r w:rsidR="008818B4">
              <w:rPr>
                <w:webHidden/>
              </w:rPr>
            </w:r>
            <w:r w:rsidR="008818B4">
              <w:rPr>
                <w:webHidden/>
              </w:rPr>
              <w:fldChar w:fldCharType="separate"/>
            </w:r>
            <w:r w:rsidR="008818B4">
              <w:rPr>
                <w:webHidden/>
              </w:rPr>
              <w:t>5</w:t>
            </w:r>
            <w:r w:rsidR="008818B4">
              <w:rPr>
                <w:webHidden/>
              </w:rPr>
              <w:fldChar w:fldCharType="end"/>
            </w:r>
          </w:hyperlink>
        </w:p>
        <w:p w14:paraId="0C2B0E2D" w14:textId="77777777" w:rsidR="008818B4" w:rsidRDefault="002B40C5">
          <w:pPr>
            <w:pStyle w:val="TOC1"/>
            <w:rPr>
              <w:rFonts w:asciiTheme="minorHAnsi" w:eastAsiaTheme="minorEastAsia" w:hAnsiTheme="minorHAnsi" w:cstheme="minorBidi"/>
              <w:bCs w:val="0"/>
              <w:color w:val="auto"/>
              <w:szCs w:val="22"/>
            </w:rPr>
          </w:pPr>
          <w:hyperlink w:anchor="_Toc45027856" w:history="1">
            <w:r w:rsidR="008818B4" w:rsidRPr="001A767A">
              <w:rPr>
                <w:rStyle w:val="Hyperlink"/>
              </w:rPr>
              <w:t>Objective</w:t>
            </w:r>
            <w:r w:rsidR="008818B4">
              <w:rPr>
                <w:webHidden/>
              </w:rPr>
              <w:tab/>
            </w:r>
            <w:r w:rsidR="008818B4">
              <w:rPr>
                <w:webHidden/>
              </w:rPr>
              <w:fldChar w:fldCharType="begin"/>
            </w:r>
            <w:r w:rsidR="008818B4">
              <w:rPr>
                <w:webHidden/>
              </w:rPr>
              <w:instrText xml:space="preserve"> PAGEREF _Toc45027856 \h </w:instrText>
            </w:r>
            <w:r w:rsidR="008818B4">
              <w:rPr>
                <w:webHidden/>
              </w:rPr>
            </w:r>
            <w:r w:rsidR="008818B4">
              <w:rPr>
                <w:webHidden/>
              </w:rPr>
              <w:fldChar w:fldCharType="separate"/>
            </w:r>
            <w:r w:rsidR="008818B4">
              <w:rPr>
                <w:webHidden/>
              </w:rPr>
              <w:t>5</w:t>
            </w:r>
            <w:r w:rsidR="008818B4">
              <w:rPr>
                <w:webHidden/>
              </w:rPr>
              <w:fldChar w:fldCharType="end"/>
            </w:r>
          </w:hyperlink>
        </w:p>
        <w:p w14:paraId="6ACB79E2" w14:textId="77777777" w:rsidR="008818B4" w:rsidRDefault="002B40C5">
          <w:pPr>
            <w:pStyle w:val="TOC1"/>
            <w:rPr>
              <w:rFonts w:asciiTheme="minorHAnsi" w:eastAsiaTheme="minorEastAsia" w:hAnsiTheme="minorHAnsi" w:cstheme="minorBidi"/>
              <w:bCs w:val="0"/>
              <w:color w:val="auto"/>
              <w:szCs w:val="22"/>
            </w:rPr>
          </w:pPr>
          <w:hyperlink w:anchor="_Toc45027857" w:history="1">
            <w:r w:rsidR="008818B4" w:rsidRPr="001A767A">
              <w:rPr>
                <w:rStyle w:val="Hyperlink"/>
              </w:rPr>
              <w:t>Authority</w:t>
            </w:r>
            <w:r w:rsidR="008818B4">
              <w:rPr>
                <w:webHidden/>
              </w:rPr>
              <w:tab/>
            </w:r>
            <w:r w:rsidR="008818B4">
              <w:rPr>
                <w:webHidden/>
              </w:rPr>
              <w:fldChar w:fldCharType="begin"/>
            </w:r>
            <w:r w:rsidR="008818B4">
              <w:rPr>
                <w:webHidden/>
              </w:rPr>
              <w:instrText xml:space="preserve"> PAGEREF _Toc45027857 \h </w:instrText>
            </w:r>
            <w:r w:rsidR="008818B4">
              <w:rPr>
                <w:webHidden/>
              </w:rPr>
            </w:r>
            <w:r w:rsidR="008818B4">
              <w:rPr>
                <w:webHidden/>
              </w:rPr>
              <w:fldChar w:fldCharType="separate"/>
            </w:r>
            <w:r w:rsidR="008818B4">
              <w:rPr>
                <w:webHidden/>
              </w:rPr>
              <w:t>5</w:t>
            </w:r>
            <w:r w:rsidR="008818B4">
              <w:rPr>
                <w:webHidden/>
              </w:rPr>
              <w:fldChar w:fldCharType="end"/>
            </w:r>
          </w:hyperlink>
        </w:p>
        <w:p w14:paraId="1B0FD362" w14:textId="77777777" w:rsidR="008818B4" w:rsidRDefault="002B40C5">
          <w:pPr>
            <w:pStyle w:val="TOC1"/>
            <w:rPr>
              <w:rFonts w:asciiTheme="minorHAnsi" w:eastAsiaTheme="minorEastAsia" w:hAnsiTheme="minorHAnsi" w:cstheme="minorBidi"/>
              <w:bCs w:val="0"/>
              <w:color w:val="auto"/>
              <w:szCs w:val="22"/>
            </w:rPr>
          </w:pPr>
          <w:hyperlink w:anchor="_Toc45027858" w:history="1">
            <w:r w:rsidR="008818B4" w:rsidRPr="001A767A">
              <w:rPr>
                <w:rStyle w:val="Hyperlink"/>
              </w:rPr>
              <w:t>Human rights</w:t>
            </w:r>
            <w:r w:rsidR="008818B4">
              <w:rPr>
                <w:webHidden/>
              </w:rPr>
              <w:tab/>
            </w:r>
            <w:r w:rsidR="008818B4">
              <w:rPr>
                <w:webHidden/>
              </w:rPr>
              <w:fldChar w:fldCharType="begin"/>
            </w:r>
            <w:r w:rsidR="008818B4">
              <w:rPr>
                <w:webHidden/>
              </w:rPr>
              <w:instrText xml:space="preserve"> PAGEREF _Toc45027858 \h </w:instrText>
            </w:r>
            <w:r w:rsidR="008818B4">
              <w:rPr>
                <w:webHidden/>
              </w:rPr>
            </w:r>
            <w:r w:rsidR="008818B4">
              <w:rPr>
                <w:webHidden/>
              </w:rPr>
              <w:fldChar w:fldCharType="separate"/>
            </w:r>
            <w:r w:rsidR="008818B4">
              <w:rPr>
                <w:webHidden/>
              </w:rPr>
              <w:t>5</w:t>
            </w:r>
            <w:r w:rsidR="008818B4">
              <w:rPr>
                <w:webHidden/>
              </w:rPr>
              <w:fldChar w:fldCharType="end"/>
            </w:r>
          </w:hyperlink>
        </w:p>
        <w:p w14:paraId="492D08E1" w14:textId="77777777" w:rsidR="008818B4" w:rsidRDefault="002B40C5">
          <w:pPr>
            <w:pStyle w:val="TOC1"/>
            <w:rPr>
              <w:rFonts w:asciiTheme="minorHAnsi" w:eastAsiaTheme="minorEastAsia" w:hAnsiTheme="minorHAnsi" w:cstheme="minorBidi"/>
              <w:bCs w:val="0"/>
              <w:color w:val="auto"/>
              <w:szCs w:val="22"/>
            </w:rPr>
          </w:pPr>
          <w:hyperlink w:anchor="_Toc45027859" w:history="1">
            <w:r w:rsidR="008818B4" w:rsidRPr="001A767A">
              <w:rPr>
                <w:rStyle w:val="Hyperlink"/>
              </w:rPr>
              <w:t>Harassment in the workplace</w:t>
            </w:r>
            <w:r w:rsidR="008818B4">
              <w:rPr>
                <w:webHidden/>
              </w:rPr>
              <w:tab/>
            </w:r>
            <w:r w:rsidR="008818B4">
              <w:rPr>
                <w:webHidden/>
              </w:rPr>
              <w:fldChar w:fldCharType="begin"/>
            </w:r>
            <w:r w:rsidR="008818B4">
              <w:rPr>
                <w:webHidden/>
              </w:rPr>
              <w:instrText xml:space="preserve"> PAGEREF _Toc45027859 \h </w:instrText>
            </w:r>
            <w:r w:rsidR="008818B4">
              <w:rPr>
                <w:webHidden/>
              </w:rPr>
            </w:r>
            <w:r w:rsidR="008818B4">
              <w:rPr>
                <w:webHidden/>
              </w:rPr>
              <w:fldChar w:fldCharType="separate"/>
            </w:r>
            <w:r w:rsidR="008818B4">
              <w:rPr>
                <w:webHidden/>
              </w:rPr>
              <w:t>6</w:t>
            </w:r>
            <w:r w:rsidR="008818B4">
              <w:rPr>
                <w:webHidden/>
              </w:rPr>
              <w:fldChar w:fldCharType="end"/>
            </w:r>
          </w:hyperlink>
        </w:p>
        <w:p w14:paraId="5FBA7501" w14:textId="77777777" w:rsidR="008818B4" w:rsidRDefault="002B40C5">
          <w:pPr>
            <w:pStyle w:val="TOC1"/>
            <w:rPr>
              <w:rFonts w:asciiTheme="minorHAnsi" w:eastAsiaTheme="minorEastAsia" w:hAnsiTheme="minorHAnsi" w:cstheme="minorBidi"/>
              <w:bCs w:val="0"/>
              <w:color w:val="auto"/>
              <w:szCs w:val="22"/>
            </w:rPr>
          </w:pPr>
          <w:hyperlink w:anchor="_Toc45027860" w:history="1">
            <w:r w:rsidR="008818B4" w:rsidRPr="001A767A">
              <w:rPr>
                <w:rStyle w:val="Hyperlink"/>
              </w:rPr>
              <w:t>Discrimination</w:t>
            </w:r>
            <w:r w:rsidR="008818B4">
              <w:rPr>
                <w:webHidden/>
              </w:rPr>
              <w:tab/>
            </w:r>
            <w:r w:rsidR="008818B4">
              <w:rPr>
                <w:webHidden/>
              </w:rPr>
              <w:fldChar w:fldCharType="begin"/>
            </w:r>
            <w:r w:rsidR="008818B4">
              <w:rPr>
                <w:webHidden/>
              </w:rPr>
              <w:instrText xml:space="preserve"> PAGEREF _Toc45027860 \h </w:instrText>
            </w:r>
            <w:r w:rsidR="008818B4">
              <w:rPr>
                <w:webHidden/>
              </w:rPr>
            </w:r>
            <w:r w:rsidR="008818B4">
              <w:rPr>
                <w:webHidden/>
              </w:rPr>
              <w:fldChar w:fldCharType="separate"/>
            </w:r>
            <w:r w:rsidR="008818B4">
              <w:rPr>
                <w:webHidden/>
              </w:rPr>
              <w:t>6</w:t>
            </w:r>
            <w:r w:rsidR="008818B4">
              <w:rPr>
                <w:webHidden/>
              </w:rPr>
              <w:fldChar w:fldCharType="end"/>
            </w:r>
          </w:hyperlink>
        </w:p>
        <w:p w14:paraId="7DA50ABE" w14:textId="77777777" w:rsidR="008818B4" w:rsidRDefault="002B40C5">
          <w:pPr>
            <w:pStyle w:val="TOC1"/>
            <w:rPr>
              <w:rFonts w:asciiTheme="minorHAnsi" w:eastAsiaTheme="minorEastAsia" w:hAnsiTheme="minorHAnsi" w:cstheme="minorBidi"/>
              <w:bCs w:val="0"/>
              <w:color w:val="auto"/>
              <w:szCs w:val="22"/>
            </w:rPr>
          </w:pPr>
          <w:hyperlink w:anchor="_Toc45027862" w:history="1">
            <w:r w:rsidR="008818B4" w:rsidRPr="001A767A">
              <w:rPr>
                <w:rStyle w:val="Hyperlink"/>
              </w:rPr>
              <w:t>Sexual harassment</w:t>
            </w:r>
            <w:r w:rsidR="008818B4">
              <w:rPr>
                <w:webHidden/>
              </w:rPr>
              <w:tab/>
            </w:r>
            <w:r w:rsidR="008818B4">
              <w:rPr>
                <w:webHidden/>
              </w:rPr>
              <w:fldChar w:fldCharType="begin"/>
            </w:r>
            <w:r w:rsidR="008818B4">
              <w:rPr>
                <w:webHidden/>
              </w:rPr>
              <w:instrText xml:space="preserve"> PAGEREF _Toc45027862 \h </w:instrText>
            </w:r>
            <w:r w:rsidR="008818B4">
              <w:rPr>
                <w:webHidden/>
              </w:rPr>
            </w:r>
            <w:r w:rsidR="008818B4">
              <w:rPr>
                <w:webHidden/>
              </w:rPr>
              <w:fldChar w:fldCharType="separate"/>
            </w:r>
            <w:r w:rsidR="008818B4">
              <w:rPr>
                <w:webHidden/>
              </w:rPr>
              <w:t>7</w:t>
            </w:r>
            <w:r w:rsidR="008818B4">
              <w:rPr>
                <w:webHidden/>
              </w:rPr>
              <w:fldChar w:fldCharType="end"/>
            </w:r>
          </w:hyperlink>
        </w:p>
        <w:p w14:paraId="64842199" w14:textId="77777777" w:rsidR="008818B4" w:rsidRDefault="002B40C5">
          <w:pPr>
            <w:pStyle w:val="TOC1"/>
            <w:rPr>
              <w:rFonts w:asciiTheme="minorHAnsi" w:eastAsiaTheme="minorEastAsia" w:hAnsiTheme="minorHAnsi" w:cstheme="minorBidi"/>
              <w:bCs w:val="0"/>
              <w:color w:val="auto"/>
              <w:szCs w:val="22"/>
            </w:rPr>
          </w:pPr>
          <w:hyperlink w:anchor="_Toc45027865" w:history="1">
            <w:r w:rsidR="008818B4" w:rsidRPr="001A767A">
              <w:rPr>
                <w:rStyle w:val="Hyperlink"/>
              </w:rPr>
              <w:t>Other inappropriate behaviour</w:t>
            </w:r>
            <w:r w:rsidR="008818B4">
              <w:rPr>
                <w:webHidden/>
              </w:rPr>
              <w:tab/>
            </w:r>
            <w:r w:rsidR="008818B4">
              <w:rPr>
                <w:webHidden/>
              </w:rPr>
              <w:fldChar w:fldCharType="begin"/>
            </w:r>
            <w:r w:rsidR="008818B4">
              <w:rPr>
                <w:webHidden/>
              </w:rPr>
              <w:instrText xml:space="preserve"> PAGEREF _Toc45027865 \h </w:instrText>
            </w:r>
            <w:r w:rsidR="008818B4">
              <w:rPr>
                <w:webHidden/>
              </w:rPr>
            </w:r>
            <w:r w:rsidR="008818B4">
              <w:rPr>
                <w:webHidden/>
              </w:rPr>
              <w:fldChar w:fldCharType="separate"/>
            </w:r>
            <w:r w:rsidR="008818B4">
              <w:rPr>
                <w:webHidden/>
              </w:rPr>
              <w:t>7</w:t>
            </w:r>
            <w:r w:rsidR="008818B4">
              <w:rPr>
                <w:webHidden/>
              </w:rPr>
              <w:fldChar w:fldCharType="end"/>
            </w:r>
          </w:hyperlink>
        </w:p>
        <w:p w14:paraId="3C09C82B" w14:textId="77777777" w:rsidR="008818B4" w:rsidRDefault="002B40C5">
          <w:pPr>
            <w:pStyle w:val="TOC1"/>
            <w:rPr>
              <w:rFonts w:asciiTheme="minorHAnsi" w:eastAsiaTheme="minorEastAsia" w:hAnsiTheme="minorHAnsi" w:cstheme="minorBidi"/>
              <w:bCs w:val="0"/>
              <w:color w:val="auto"/>
              <w:szCs w:val="22"/>
            </w:rPr>
          </w:pPr>
          <w:hyperlink w:anchor="_Toc45027866" w:history="1">
            <w:r w:rsidR="008818B4" w:rsidRPr="001A767A">
              <w:rPr>
                <w:rStyle w:val="Hyperlink"/>
              </w:rPr>
              <w:t>Preventing harassment</w:t>
            </w:r>
            <w:r w:rsidR="008818B4">
              <w:rPr>
                <w:webHidden/>
              </w:rPr>
              <w:tab/>
            </w:r>
            <w:r w:rsidR="008818B4">
              <w:rPr>
                <w:webHidden/>
              </w:rPr>
              <w:fldChar w:fldCharType="begin"/>
            </w:r>
            <w:r w:rsidR="008818B4">
              <w:rPr>
                <w:webHidden/>
              </w:rPr>
              <w:instrText xml:space="preserve"> PAGEREF _Toc45027866 \h </w:instrText>
            </w:r>
            <w:r w:rsidR="008818B4">
              <w:rPr>
                <w:webHidden/>
              </w:rPr>
            </w:r>
            <w:r w:rsidR="008818B4">
              <w:rPr>
                <w:webHidden/>
              </w:rPr>
              <w:fldChar w:fldCharType="separate"/>
            </w:r>
            <w:r w:rsidR="008818B4">
              <w:rPr>
                <w:webHidden/>
              </w:rPr>
              <w:t>8</w:t>
            </w:r>
            <w:r w:rsidR="008818B4">
              <w:rPr>
                <w:webHidden/>
              </w:rPr>
              <w:fldChar w:fldCharType="end"/>
            </w:r>
          </w:hyperlink>
        </w:p>
        <w:p w14:paraId="30072E50" w14:textId="77777777" w:rsidR="008818B4" w:rsidRDefault="002B40C5">
          <w:pPr>
            <w:pStyle w:val="TOC1"/>
            <w:rPr>
              <w:rFonts w:asciiTheme="minorHAnsi" w:eastAsiaTheme="minorEastAsia" w:hAnsiTheme="minorHAnsi" w:cstheme="minorBidi"/>
              <w:bCs w:val="0"/>
              <w:color w:val="auto"/>
              <w:szCs w:val="22"/>
            </w:rPr>
          </w:pPr>
          <w:hyperlink w:anchor="_Toc45027871" w:history="1">
            <w:r w:rsidR="008818B4" w:rsidRPr="001A767A">
              <w:rPr>
                <w:rStyle w:val="Hyperlink"/>
              </w:rPr>
              <w:t>Equity Contact Officers (ECO)</w:t>
            </w:r>
            <w:r w:rsidR="008818B4">
              <w:rPr>
                <w:webHidden/>
              </w:rPr>
              <w:tab/>
            </w:r>
            <w:r w:rsidR="008818B4">
              <w:rPr>
                <w:webHidden/>
              </w:rPr>
              <w:fldChar w:fldCharType="begin"/>
            </w:r>
            <w:r w:rsidR="008818B4">
              <w:rPr>
                <w:webHidden/>
              </w:rPr>
              <w:instrText xml:space="preserve"> PAGEREF _Toc45027871 \h </w:instrText>
            </w:r>
            <w:r w:rsidR="008818B4">
              <w:rPr>
                <w:webHidden/>
              </w:rPr>
            </w:r>
            <w:r w:rsidR="008818B4">
              <w:rPr>
                <w:webHidden/>
              </w:rPr>
              <w:fldChar w:fldCharType="separate"/>
            </w:r>
            <w:r w:rsidR="008818B4">
              <w:rPr>
                <w:webHidden/>
              </w:rPr>
              <w:t>9</w:t>
            </w:r>
            <w:r w:rsidR="008818B4">
              <w:rPr>
                <w:webHidden/>
              </w:rPr>
              <w:fldChar w:fldCharType="end"/>
            </w:r>
          </w:hyperlink>
        </w:p>
        <w:p w14:paraId="1A154D42" w14:textId="77777777" w:rsidR="008818B4" w:rsidRDefault="002B40C5">
          <w:pPr>
            <w:pStyle w:val="TOC1"/>
            <w:rPr>
              <w:rFonts w:asciiTheme="minorHAnsi" w:eastAsiaTheme="minorEastAsia" w:hAnsiTheme="minorHAnsi" w:cstheme="minorBidi"/>
              <w:bCs w:val="0"/>
              <w:color w:val="auto"/>
              <w:szCs w:val="22"/>
            </w:rPr>
          </w:pPr>
          <w:hyperlink w:anchor="_Toc45027875" w:history="1">
            <w:r w:rsidR="008818B4" w:rsidRPr="001A767A">
              <w:rPr>
                <w:rStyle w:val="Hyperlink"/>
              </w:rPr>
              <w:t>The complaint process</w:t>
            </w:r>
            <w:r w:rsidR="008818B4">
              <w:rPr>
                <w:webHidden/>
              </w:rPr>
              <w:tab/>
            </w:r>
            <w:r w:rsidR="008818B4">
              <w:rPr>
                <w:webHidden/>
              </w:rPr>
              <w:fldChar w:fldCharType="begin"/>
            </w:r>
            <w:r w:rsidR="008818B4">
              <w:rPr>
                <w:webHidden/>
              </w:rPr>
              <w:instrText xml:space="preserve"> PAGEREF _Toc45027875 \h </w:instrText>
            </w:r>
            <w:r w:rsidR="008818B4">
              <w:rPr>
                <w:webHidden/>
              </w:rPr>
            </w:r>
            <w:r w:rsidR="008818B4">
              <w:rPr>
                <w:webHidden/>
              </w:rPr>
              <w:fldChar w:fldCharType="separate"/>
            </w:r>
            <w:r w:rsidR="008818B4">
              <w:rPr>
                <w:webHidden/>
              </w:rPr>
              <w:t>10</w:t>
            </w:r>
            <w:r w:rsidR="008818B4">
              <w:rPr>
                <w:webHidden/>
              </w:rPr>
              <w:fldChar w:fldCharType="end"/>
            </w:r>
          </w:hyperlink>
        </w:p>
        <w:p w14:paraId="5CC63AA4" w14:textId="77777777" w:rsidR="008818B4" w:rsidRDefault="002B40C5">
          <w:pPr>
            <w:pStyle w:val="TOC1"/>
            <w:rPr>
              <w:rFonts w:asciiTheme="minorHAnsi" w:eastAsiaTheme="minorEastAsia" w:hAnsiTheme="minorHAnsi" w:cstheme="minorBidi"/>
              <w:bCs w:val="0"/>
              <w:color w:val="auto"/>
              <w:szCs w:val="22"/>
            </w:rPr>
          </w:pPr>
          <w:hyperlink w:anchor="_Toc45027886" w:history="1">
            <w:r w:rsidR="008818B4" w:rsidRPr="001A767A">
              <w:rPr>
                <w:rStyle w:val="Hyperlink"/>
                <w:lang w:val="en-US"/>
              </w:rPr>
              <w:t>Rights of respondents</w:t>
            </w:r>
            <w:r w:rsidR="008818B4">
              <w:rPr>
                <w:webHidden/>
              </w:rPr>
              <w:tab/>
            </w:r>
            <w:r w:rsidR="008818B4">
              <w:rPr>
                <w:webHidden/>
              </w:rPr>
              <w:fldChar w:fldCharType="begin"/>
            </w:r>
            <w:r w:rsidR="008818B4">
              <w:rPr>
                <w:webHidden/>
              </w:rPr>
              <w:instrText xml:space="preserve"> PAGEREF _Toc45027886 \h </w:instrText>
            </w:r>
            <w:r w:rsidR="008818B4">
              <w:rPr>
                <w:webHidden/>
              </w:rPr>
            </w:r>
            <w:r w:rsidR="008818B4">
              <w:rPr>
                <w:webHidden/>
              </w:rPr>
              <w:fldChar w:fldCharType="separate"/>
            </w:r>
            <w:r w:rsidR="008818B4">
              <w:rPr>
                <w:webHidden/>
              </w:rPr>
              <w:t>13</w:t>
            </w:r>
            <w:r w:rsidR="008818B4">
              <w:rPr>
                <w:webHidden/>
              </w:rPr>
              <w:fldChar w:fldCharType="end"/>
            </w:r>
          </w:hyperlink>
        </w:p>
        <w:p w14:paraId="3BC49419" w14:textId="77777777" w:rsidR="008818B4" w:rsidRDefault="002B40C5">
          <w:pPr>
            <w:pStyle w:val="TOC1"/>
            <w:rPr>
              <w:rFonts w:asciiTheme="minorHAnsi" w:eastAsiaTheme="minorEastAsia" w:hAnsiTheme="minorHAnsi" w:cstheme="minorBidi"/>
              <w:bCs w:val="0"/>
              <w:color w:val="auto"/>
              <w:szCs w:val="22"/>
            </w:rPr>
          </w:pPr>
          <w:hyperlink w:anchor="_Toc45027887" w:history="1">
            <w:r w:rsidR="008818B4" w:rsidRPr="001A767A">
              <w:rPr>
                <w:rStyle w:val="Hyperlink"/>
                <w:lang w:val="en-US"/>
              </w:rPr>
              <w:t>Possible outcomes of investigation</w:t>
            </w:r>
            <w:r w:rsidR="008818B4">
              <w:rPr>
                <w:webHidden/>
              </w:rPr>
              <w:tab/>
            </w:r>
            <w:r w:rsidR="008818B4">
              <w:rPr>
                <w:webHidden/>
              </w:rPr>
              <w:fldChar w:fldCharType="begin"/>
            </w:r>
            <w:r w:rsidR="008818B4">
              <w:rPr>
                <w:webHidden/>
              </w:rPr>
              <w:instrText xml:space="preserve"> PAGEREF _Toc45027887 \h </w:instrText>
            </w:r>
            <w:r w:rsidR="008818B4">
              <w:rPr>
                <w:webHidden/>
              </w:rPr>
            </w:r>
            <w:r w:rsidR="008818B4">
              <w:rPr>
                <w:webHidden/>
              </w:rPr>
              <w:fldChar w:fldCharType="separate"/>
            </w:r>
            <w:r w:rsidR="008818B4">
              <w:rPr>
                <w:webHidden/>
              </w:rPr>
              <w:t>13</w:t>
            </w:r>
            <w:r w:rsidR="008818B4">
              <w:rPr>
                <w:webHidden/>
              </w:rPr>
              <w:fldChar w:fldCharType="end"/>
            </w:r>
          </w:hyperlink>
        </w:p>
        <w:p w14:paraId="3067EC54" w14:textId="77777777" w:rsidR="008818B4" w:rsidRDefault="002B40C5">
          <w:pPr>
            <w:pStyle w:val="TOC1"/>
            <w:rPr>
              <w:rFonts w:asciiTheme="minorHAnsi" w:eastAsiaTheme="minorEastAsia" w:hAnsiTheme="minorHAnsi" w:cstheme="minorBidi"/>
              <w:bCs w:val="0"/>
              <w:color w:val="auto"/>
              <w:szCs w:val="22"/>
            </w:rPr>
          </w:pPr>
          <w:hyperlink w:anchor="_Toc45027894" w:history="1">
            <w:r w:rsidR="008818B4" w:rsidRPr="001A767A">
              <w:rPr>
                <w:rStyle w:val="Hyperlink"/>
                <w:lang w:val="en-US"/>
              </w:rPr>
              <w:t>Confidentiality</w:t>
            </w:r>
            <w:r w:rsidR="008818B4">
              <w:rPr>
                <w:webHidden/>
              </w:rPr>
              <w:tab/>
            </w:r>
            <w:r w:rsidR="008818B4">
              <w:rPr>
                <w:webHidden/>
              </w:rPr>
              <w:fldChar w:fldCharType="begin"/>
            </w:r>
            <w:r w:rsidR="008818B4">
              <w:rPr>
                <w:webHidden/>
              </w:rPr>
              <w:instrText xml:space="preserve"> PAGEREF _Toc45027894 \h </w:instrText>
            </w:r>
            <w:r w:rsidR="008818B4">
              <w:rPr>
                <w:webHidden/>
              </w:rPr>
            </w:r>
            <w:r w:rsidR="008818B4">
              <w:rPr>
                <w:webHidden/>
              </w:rPr>
              <w:fldChar w:fldCharType="separate"/>
            </w:r>
            <w:r w:rsidR="008818B4">
              <w:rPr>
                <w:webHidden/>
              </w:rPr>
              <w:t>14</w:t>
            </w:r>
            <w:r w:rsidR="008818B4">
              <w:rPr>
                <w:webHidden/>
              </w:rPr>
              <w:fldChar w:fldCharType="end"/>
            </w:r>
          </w:hyperlink>
        </w:p>
        <w:p w14:paraId="1DE231D4" w14:textId="77777777" w:rsidR="008818B4" w:rsidRDefault="002B40C5">
          <w:pPr>
            <w:pStyle w:val="TOC1"/>
            <w:rPr>
              <w:rFonts w:asciiTheme="minorHAnsi" w:eastAsiaTheme="minorEastAsia" w:hAnsiTheme="minorHAnsi" w:cstheme="minorBidi"/>
              <w:bCs w:val="0"/>
              <w:color w:val="auto"/>
              <w:szCs w:val="22"/>
            </w:rPr>
          </w:pPr>
          <w:hyperlink w:anchor="_Toc45027895" w:history="1">
            <w:r w:rsidR="008818B4" w:rsidRPr="001A767A">
              <w:rPr>
                <w:rStyle w:val="Hyperlink"/>
                <w:lang w:val="en-US"/>
              </w:rPr>
              <w:t>Natural justice</w:t>
            </w:r>
            <w:r w:rsidR="008818B4">
              <w:rPr>
                <w:webHidden/>
              </w:rPr>
              <w:tab/>
            </w:r>
            <w:r w:rsidR="008818B4">
              <w:rPr>
                <w:webHidden/>
              </w:rPr>
              <w:fldChar w:fldCharType="begin"/>
            </w:r>
            <w:r w:rsidR="008818B4">
              <w:rPr>
                <w:webHidden/>
              </w:rPr>
              <w:instrText xml:space="preserve"> PAGEREF _Toc45027895 \h </w:instrText>
            </w:r>
            <w:r w:rsidR="008818B4">
              <w:rPr>
                <w:webHidden/>
              </w:rPr>
            </w:r>
            <w:r w:rsidR="008818B4">
              <w:rPr>
                <w:webHidden/>
              </w:rPr>
              <w:fldChar w:fldCharType="separate"/>
            </w:r>
            <w:r w:rsidR="008818B4">
              <w:rPr>
                <w:webHidden/>
              </w:rPr>
              <w:t>14</w:t>
            </w:r>
            <w:r w:rsidR="008818B4">
              <w:rPr>
                <w:webHidden/>
              </w:rPr>
              <w:fldChar w:fldCharType="end"/>
            </w:r>
          </w:hyperlink>
        </w:p>
        <w:p w14:paraId="099E474B" w14:textId="77777777" w:rsidR="008818B4" w:rsidRDefault="002B40C5">
          <w:pPr>
            <w:pStyle w:val="TOC1"/>
            <w:rPr>
              <w:rFonts w:asciiTheme="minorHAnsi" w:eastAsiaTheme="minorEastAsia" w:hAnsiTheme="minorHAnsi" w:cstheme="minorBidi"/>
              <w:bCs w:val="0"/>
              <w:color w:val="auto"/>
              <w:szCs w:val="22"/>
            </w:rPr>
          </w:pPr>
          <w:hyperlink w:anchor="_Toc45027896" w:history="1">
            <w:r w:rsidR="008818B4" w:rsidRPr="001A767A">
              <w:rPr>
                <w:rStyle w:val="Hyperlink"/>
                <w:lang w:val="en-US"/>
              </w:rPr>
              <w:t>Employee Assistance Program</w:t>
            </w:r>
            <w:r w:rsidR="008818B4">
              <w:rPr>
                <w:webHidden/>
              </w:rPr>
              <w:tab/>
            </w:r>
            <w:r w:rsidR="008818B4">
              <w:rPr>
                <w:webHidden/>
              </w:rPr>
              <w:fldChar w:fldCharType="begin"/>
            </w:r>
            <w:r w:rsidR="008818B4">
              <w:rPr>
                <w:webHidden/>
              </w:rPr>
              <w:instrText xml:space="preserve"> PAGEREF _Toc45027896 \h </w:instrText>
            </w:r>
            <w:r w:rsidR="008818B4">
              <w:rPr>
                <w:webHidden/>
              </w:rPr>
            </w:r>
            <w:r w:rsidR="008818B4">
              <w:rPr>
                <w:webHidden/>
              </w:rPr>
              <w:fldChar w:fldCharType="separate"/>
            </w:r>
            <w:r w:rsidR="008818B4">
              <w:rPr>
                <w:webHidden/>
              </w:rPr>
              <w:t>14</w:t>
            </w:r>
            <w:r w:rsidR="008818B4">
              <w:rPr>
                <w:webHidden/>
              </w:rPr>
              <w:fldChar w:fldCharType="end"/>
            </w:r>
          </w:hyperlink>
        </w:p>
        <w:p w14:paraId="1821C158" w14:textId="77777777" w:rsidR="008818B4" w:rsidRDefault="002B40C5">
          <w:pPr>
            <w:pStyle w:val="TOC1"/>
            <w:rPr>
              <w:rFonts w:asciiTheme="minorHAnsi" w:eastAsiaTheme="minorEastAsia" w:hAnsiTheme="minorHAnsi" w:cstheme="minorBidi"/>
              <w:bCs w:val="0"/>
              <w:color w:val="auto"/>
              <w:szCs w:val="22"/>
            </w:rPr>
          </w:pPr>
          <w:hyperlink w:anchor="_Toc45027897" w:history="1">
            <w:r w:rsidR="008818B4" w:rsidRPr="001A767A">
              <w:rPr>
                <w:rStyle w:val="Hyperlink"/>
              </w:rPr>
              <w:t>Further information and assistance</w:t>
            </w:r>
            <w:r w:rsidR="008818B4">
              <w:rPr>
                <w:webHidden/>
              </w:rPr>
              <w:tab/>
            </w:r>
            <w:r w:rsidR="008818B4">
              <w:rPr>
                <w:webHidden/>
              </w:rPr>
              <w:fldChar w:fldCharType="begin"/>
            </w:r>
            <w:r w:rsidR="008818B4">
              <w:rPr>
                <w:webHidden/>
              </w:rPr>
              <w:instrText xml:space="preserve"> PAGEREF _Toc45027897 \h </w:instrText>
            </w:r>
            <w:r w:rsidR="008818B4">
              <w:rPr>
                <w:webHidden/>
              </w:rPr>
            </w:r>
            <w:r w:rsidR="008818B4">
              <w:rPr>
                <w:webHidden/>
              </w:rPr>
              <w:fldChar w:fldCharType="separate"/>
            </w:r>
            <w:r w:rsidR="008818B4">
              <w:rPr>
                <w:webHidden/>
              </w:rPr>
              <w:t>15</w:t>
            </w:r>
            <w:r w:rsidR="008818B4">
              <w:rPr>
                <w:webHidden/>
              </w:rPr>
              <w:fldChar w:fldCharType="end"/>
            </w:r>
          </w:hyperlink>
        </w:p>
        <w:p w14:paraId="6203102D" w14:textId="77777777" w:rsidR="008818B4" w:rsidRDefault="002B40C5">
          <w:pPr>
            <w:pStyle w:val="TOC1"/>
            <w:rPr>
              <w:rFonts w:asciiTheme="minorHAnsi" w:eastAsiaTheme="minorEastAsia" w:hAnsiTheme="minorHAnsi" w:cstheme="minorBidi"/>
              <w:bCs w:val="0"/>
              <w:color w:val="auto"/>
              <w:szCs w:val="22"/>
            </w:rPr>
          </w:pPr>
          <w:hyperlink w:anchor="_Toc45027898" w:history="1">
            <w:r w:rsidR="008818B4" w:rsidRPr="001A767A">
              <w:rPr>
                <w:rStyle w:val="Hyperlink"/>
              </w:rPr>
              <w:t>Policy administration</w:t>
            </w:r>
            <w:r w:rsidR="008818B4">
              <w:rPr>
                <w:webHidden/>
              </w:rPr>
              <w:tab/>
            </w:r>
            <w:r w:rsidR="008818B4">
              <w:rPr>
                <w:webHidden/>
              </w:rPr>
              <w:fldChar w:fldCharType="begin"/>
            </w:r>
            <w:r w:rsidR="008818B4">
              <w:rPr>
                <w:webHidden/>
              </w:rPr>
              <w:instrText xml:space="preserve"> PAGEREF _Toc45027898 \h </w:instrText>
            </w:r>
            <w:r w:rsidR="008818B4">
              <w:rPr>
                <w:webHidden/>
              </w:rPr>
            </w:r>
            <w:r w:rsidR="008818B4">
              <w:rPr>
                <w:webHidden/>
              </w:rPr>
              <w:fldChar w:fldCharType="separate"/>
            </w:r>
            <w:r w:rsidR="008818B4">
              <w:rPr>
                <w:webHidden/>
              </w:rPr>
              <w:t>15</w:t>
            </w:r>
            <w:r w:rsidR="008818B4">
              <w:rPr>
                <w:webHidden/>
              </w:rPr>
              <w:fldChar w:fldCharType="end"/>
            </w:r>
          </w:hyperlink>
        </w:p>
        <w:p w14:paraId="03251869" w14:textId="77777777" w:rsidR="00583C1B" w:rsidRDefault="009F7A60" w:rsidP="009F7A60">
          <w:r w:rsidRPr="00D56FAA">
            <w:rPr>
              <w:rFonts w:cs="Arial"/>
              <w:b/>
              <w:sz w:val="22"/>
              <w:szCs w:val="22"/>
            </w:rPr>
            <w:fldChar w:fldCharType="end"/>
          </w:r>
        </w:p>
        <w:p w14:paraId="41263542" w14:textId="77777777" w:rsidR="00583C1B" w:rsidRDefault="00583C1B" w:rsidP="00583C1B"/>
        <w:p w14:paraId="71D5F8E5" w14:textId="77777777" w:rsidR="00583C1B" w:rsidRDefault="00583C1B" w:rsidP="00583C1B"/>
        <w:p w14:paraId="38BA6AD1" w14:textId="77777777" w:rsidR="00583C1B" w:rsidRDefault="00583C1B" w:rsidP="00583C1B"/>
        <w:p w14:paraId="62A0B70E" w14:textId="77777777" w:rsidR="00583C1B" w:rsidRDefault="00583C1B" w:rsidP="00583C1B"/>
        <w:p w14:paraId="4A9B79D7" w14:textId="77777777" w:rsidR="00583C1B" w:rsidRDefault="00583C1B" w:rsidP="00583C1B"/>
        <w:p w14:paraId="4C949992" w14:textId="77777777" w:rsidR="00583C1B" w:rsidRDefault="00583C1B" w:rsidP="00583C1B"/>
        <w:p w14:paraId="7BD45977" w14:textId="77777777" w:rsidR="00583C1B" w:rsidRDefault="00583C1B" w:rsidP="00583C1B"/>
        <w:p w14:paraId="1C792BDC" w14:textId="77777777" w:rsidR="00583C1B" w:rsidRDefault="00583C1B" w:rsidP="00583C1B"/>
        <w:p w14:paraId="6F9453B0" w14:textId="77777777" w:rsidR="00583C1B" w:rsidRPr="00583C1B" w:rsidRDefault="00583C1B" w:rsidP="00583C1B"/>
        <w:p w14:paraId="285B6CB1" w14:textId="77777777" w:rsidR="00934386" w:rsidRDefault="002B40C5" w:rsidP="00583C1B">
          <w:pPr>
            <w:pStyle w:val="Heading1"/>
            <w:ind w:left="1440"/>
            <w:rPr>
              <w:rFonts w:cs="Arial"/>
              <w:b/>
              <w:sz w:val="24"/>
              <w:szCs w:val="24"/>
            </w:rPr>
          </w:pPr>
        </w:p>
      </w:sdtContent>
    </w:sdt>
    <w:p w14:paraId="56658F8D" w14:textId="77777777" w:rsidR="00583C1B" w:rsidRDefault="00583C1B">
      <w:pPr>
        <w:rPr>
          <w:rFonts w:cs="Arial"/>
          <w:b/>
          <w:sz w:val="24"/>
          <w:szCs w:val="24"/>
        </w:rPr>
      </w:pPr>
      <w:r>
        <w:rPr>
          <w:rFonts w:cs="Arial"/>
          <w:b/>
          <w:sz w:val="24"/>
          <w:szCs w:val="24"/>
        </w:rPr>
        <w:br w:type="page"/>
      </w:r>
    </w:p>
    <w:p w14:paraId="1140F87B" w14:textId="77777777" w:rsidR="00583C1B" w:rsidRPr="00C705CC" w:rsidRDefault="00583C1B" w:rsidP="00ED51AD">
      <w:pPr>
        <w:pStyle w:val="TOC2"/>
      </w:pPr>
    </w:p>
    <w:p w14:paraId="04893B83" w14:textId="77777777" w:rsidR="006077BC" w:rsidRDefault="006077BC" w:rsidP="00D56FAA">
      <w:pPr>
        <w:pStyle w:val="Heading1"/>
      </w:pPr>
      <w:bookmarkStart w:id="7" w:name="_Toc45027855"/>
      <w:bookmarkStart w:id="8" w:name="_Toc40798733"/>
      <w:r>
        <w:t>Introduction</w:t>
      </w:r>
      <w:bookmarkEnd w:id="7"/>
    </w:p>
    <w:p w14:paraId="1FBCC63E" w14:textId="77777777" w:rsidR="006077BC" w:rsidRPr="00A45EA5" w:rsidRDefault="006077BC" w:rsidP="006077BC">
      <w:pPr>
        <w:rPr>
          <w:sz w:val="24"/>
          <w:szCs w:val="22"/>
        </w:rPr>
      </w:pPr>
      <w:r w:rsidRPr="00A45EA5">
        <w:rPr>
          <w:sz w:val="24"/>
          <w:szCs w:val="22"/>
        </w:rPr>
        <w:t xml:space="preserve">All employees are entitled to work in an environment free from the embarrassment, intimidation or humiliation caused by discrimination, sexual harassment and other forms of inappropriate behaviours. </w:t>
      </w:r>
    </w:p>
    <w:p w14:paraId="280DEE19" w14:textId="77777777" w:rsidR="006077BC" w:rsidRPr="00A45EA5" w:rsidRDefault="006077BC" w:rsidP="006077BC">
      <w:pPr>
        <w:rPr>
          <w:sz w:val="24"/>
          <w:szCs w:val="22"/>
        </w:rPr>
      </w:pPr>
    </w:p>
    <w:p w14:paraId="39740A0D" w14:textId="77777777" w:rsidR="006077BC" w:rsidRPr="00A45EA5" w:rsidRDefault="006077BC" w:rsidP="006077BC">
      <w:pPr>
        <w:rPr>
          <w:sz w:val="24"/>
          <w:szCs w:val="22"/>
        </w:rPr>
      </w:pPr>
      <w:r w:rsidRPr="00A45EA5">
        <w:rPr>
          <w:sz w:val="24"/>
          <w:szCs w:val="22"/>
        </w:rPr>
        <w:t xml:space="preserve">The Queensland Human Rights Commission (QHRC) seeks to ensure that staff are not subjected to hostility, offensiveness and intimidation. This means that they must be free from sexual harassment, as well as other forms of discrimination. </w:t>
      </w:r>
    </w:p>
    <w:p w14:paraId="33B26DD0" w14:textId="77777777" w:rsidR="006077BC" w:rsidRPr="00A45EA5" w:rsidRDefault="006077BC" w:rsidP="006077BC">
      <w:pPr>
        <w:rPr>
          <w:sz w:val="24"/>
          <w:szCs w:val="22"/>
        </w:rPr>
      </w:pPr>
    </w:p>
    <w:p w14:paraId="5F2B9D47" w14:textId="77777777" w:rsidR="006077BC" w:rsidRPr="00A45EA5" w:rsidRDefault="006077BC" w:rsidP="006077BC">
      <w:pPr>
        <w:rPr>
          <w:sz w:val="24"/>
          <w:szCs w:val="22"/>
        </w:rPr>
      </w:pPr>
      <w:r w:rsidRPr="00A45EA5">
        <w:rPr>
          <w:sz w:val="24"/>
          <w:szCs w:val="22"/>
        </w:rPr>
        <w:t xml:space="preserve">To achieve its corporate goals, the QHRC requires all staff to maintain high standards of professionalism, courtesy and efficiency. Inappropriate workplace behaviour, such as discrimination and sexual harassment, can interfere with service delivery and therefore the achievement of agency goals. It can also result directly in the loss of self-confidence of another staff member and adversely affect their ability to act independently in the workplace. </w:t>
      </w:r>
    </w:p>
    <w:p w14:paraId="273D8908" w14:textId="77777777" w:rsidR="006077BC" w:rsidRPr="00A45EA5" w:rsidRDefault="006077BC" w:rsidP="006077BC">
      <w:pPr>
        <w:rPr>
          <w:sz w:val="24"/>
          <w:szCs w:val="22"/>
        </w:rPr>
      </w:pPr>
    </w:p>
    <w:p w14:paraId="7EBEC262" w14:textId="77777777" w:rsidR="006077BC" w:rsidRPr="00A45EA5" w:rsidRDefault="006077BC" w:rsidP="006077BC">
      <w:pPr>
        <w:rPr>
          <w:sz w:val="24"/>
          <w:szCs w:val="22"/>
        </w:rPr>
      </w:pPr>
      <w:r w:rsidRPr="00A45EA5">
        <w:rPr>
          <w:sz w:val="24"/>
          <w:szCs w:val="22"/>
        </w:rPr>
        <w:t xml:space="preserve">Discrimination and sexual harassment complaints are to be taken seriously and will be investigated promptly, confidentially, objectively and rigorously. </w:t>
      </w:r>
    </w:p>
    <w:p w14:paraId="77341891" w14:textId="77777777" w:rsidR="006077BC" w:rsidRDefault="006077BC" w:rsidP="006077BC">
      <w:pPr>
        <w:rPr>
          <w:sz w:val="22"/>
          <w:szCs w:val="22"/>
        </w:rPr>
      </w:pPr>
    </w:p>
    <w:p w14:paraId="249F7354" w14:textId="77777777" w:rsidR="006077BC" w:rsidRDefault="006077BC" w:rsidP="006077BC">
      <w:pPr>
        <w:pStyle w:val="Heading1"/>
      </w:pPr>
      <w:bookmarkStart w:id="9" w:name="_Toc45027856"/>
      <w:r>
        <w:t>Objective</w:t>
      </w:r>
      <w:bookmarkEnd w:id="9"/>
    </w:p>
    <w:p w14:paraId="141832B6" w14:textId="77777777" w:rsidR="006077BC" w:rsidRPr="00A45EA5" w:rsidRDefault="006077BC" w:rsidP="006077BC">
      <w:pPr>
        <w:rPr>
          <w:sz w:val="24"/>
          <w:szCs w:val="22"/>
        </w:rPr>
      </w:pPr>
      <w:r w:rsidRPr="00A45EA5">
        <w:rPr>
          <w:sz w:val="24"/>
          <w:szCs w:val="22"/>
        </w:rPr>
        <w:t xml:space="preserve">The objectives of this policy are to: </w:t>
      </w:r>
    </w:p>
    <w:p w14:paraId="7F5E37BF" w14:textId="77777777" w:rsidR="006077BC" w:rsidRPr="00A45EA5" w:rsidRDefault="006077BC" w:rsidP="000B3F93">
      <w:pPr>
        <w:pStyle w:val="ListParagraph"/>
        <w:numPr>
          <w:ilvl w:val="0"/>
          <w:numId w:val="14"/>
        </w:numPr>
        <w:rPr>
          <w:sz w:val="24"/>
          <w:szCs w:val="22"/>
        </w:rPr>
      </w:pPr>
      <w:r w:rsidRPr="00A45EA5">
        <w:rPr>
          <w:sz w:val="24"/>
          <w:szCs w:val="22"/>
        </w:rPr>
        <w:t xml:space="preserve">prevent discrimination and harassment at work and in work-related activities; </w:t>
      </w:r>
    </w:p>
    <w:p w14:paraId="5C8D8D1A" w14:textId="77777777" w:rsidR="006077BC" w:rsidRPr="00A45EA5" w:rsidRDefault="006077BC" w:rsidP="006077BC">
      <w:pPr>
        <w:pStyle w:val="ListParagraph"/>
        <w:numPr>
          <w:ilvl w:val="0"/>
          <w:numId w:val="14"/>
        </w:numPr>
        <w:rPr>
          <w:sz w:val="24"/>
          <w:szCs w:val="22"/>
        </w:rPr>
      </w:pPr>
      <w:r w:rsidRPr="00A45EA5">
        <w:rPr>
          <w:sz w:val="24"/>
          <w:szCs w:val="22"/>
        </w:rPr>
        <w:t xml:space="preserve">provide guidance for managers and Equity Contact Officers (ECOs) for the informal and formal resolution of incidents of sexual harassment; </w:t>
      </w:r>
    </w:p>
    <w:p w14:paraId="3D6AFBE2" w14:textId="77777777" w:rsidR="006077BC" w:rsidRPr="00A45EA5" w:rsidRDefault="006077BC" w:rsidP="006077BC">
      <w:pPr>
        <w:pStyle w:val="ListParagraph"/>
        <w:numPr>
          <w:ilvl w:val="0"/>
          <w:numId w:val="14"/>
        </w:numPr>
        <w:rPr>
          <w:sz w:val="24"/>
          <w:szCs w:val="22"/>
        </w:rPr>
      </w:pPr>
      <w:r w:rsidRPr="00A45EA5">
        <w:rPr>
          <w:sz w:val="24"/>
          <w:szCs w:val="22"/>
        </w:rPr>
        <w:t>reinforce effective personnel management and appropriate workplace behaviour and encourage respect for others and high ethical standards; and</w:t>
      </w:r>
    </w:p>
    <w:p w14:paraId="4C4DD3FC" w14:textId="77777777" w:rsidR="006077BC" w:rsidRPr="00A45EA5" w:rsidRDefault="006077BC" w:rsidP="006077BC">
      <w:pPr>
        <w:pStyle w:val="ListParagraph"/>
        <w:numPr>
          <w:ilvl w:val="0"/>
          <w:numId w:val="14"/>
        </w:numPr>
        <w:rPr>
          <w:sz w:val="24"/>
          <w:szCs w:val="22"/>
        </w:rPr>
      </w:pPr>
      <w:r w:rsidRPr="00A45EA5">
        <w:rPr>
          <w:sz w:val="24"/>
          <w:szCs w:val="22"/>
        </w:rPr>
        <w:t xml:space="preserve">manage risks by reducing the potential for direct and indirect financial costs associated with discrimination and sexual harassment. </w:t>
      </w:r>
    </w:p>
    <w:p w14:paraId="60CA3DF1" w14:textId="77777777" w:rsidR="006077BC" w:rsidRDefault="006077BC" w:rsidP="006077BC">
      <w:pPr>
        <w:rPr>
          <w:sz w:val="22"/>
          <w:szCs w:val="22"/>
        </w:rPr>
      </w:pPr>
    </w:p>
    <w:p w14:paraId="49B726C2" w14:textId="77777777" w:rsidR="006077BC" w:rsidRDefault="006077BC" w:rsidP="006077BC">
      <w:pPr>
        <w:pStyle w:val="Heading1"/>
      </w:pPr>
      <w:bookmarkStart w:id="10" w:name="_Toc45027857"/>
      <w:r>
        <w:t>Authority</w:t>
      </w:r>
      <w:bookmarkEnd w:id="10"/>
    </w:p>
    <w:p w14:paraId="1256C303" w14:textId="77777777" w:rsidR="006077BC" w:rsidRPr="00A45EA5" w:rsidRDefault="006077BC" w:rsidP="006077BC">
      <w:pPr>
        <w:pStyle w:val="ListParagraph"/>
        <w:numPr>
          <w:ilvl w:val="0"/>
          <w:numId w:val="15"/>
        </w:numPr>
        <w:rPr>
          <w:sz w:val="24"/>
          <w:szCs w:val="22"/>
        </w:rPr>
      </w:pPr>
      <w:r w:rsidRPr="00A45EA5">
        <w:rPr>
          <w:i/>
          <w:sz w:val="24"/>
          <w:szCs w:val="22"/>
        </w:rPr>
        <w:t xml:space="preserve">Age Discrimination Act 2004 </w:t>
      </w:r>
      <w:r w:rsidRPr="00A45EA5">
        <w:rPr>
          <w:sz w:val="24"/>
          <w:szCs w:val="22"/>
        </w:rPr>
        <w:t>(Federal)</w:t>
      </w:r>
    </w:p>
    <w:p w14:paraId="2583F819" w14:textId="77777777" w:rsidR="006077BC" w:rsidRPr="00A45EA5" w:rsidRDefault="006077BC" w:rsidP="006077BC">
      <w:pPr>
        <w:pStyle w:val="ListParagraph"/>
        <w:numPr>
          <w:ilvl w:val="0"/>
          <w:numId w:val="15"/>
        </w:numPr>
        <w:rPr>
          <w:sz w:val="24"/>
          <w:szCs w:val="22"/>
        </w:rPr>
      </w:pPr>
      <w:r w:rsidRPr="00A45EA5">
        <w:rPr>
          <w:i/>
          <w:sz w:val="24"/>
          <w:szCs w:val="22"/>
        </w:rPr>
        <w:t xml:space="preserve">Anti-Discrimination Act 1991 </w:t>
      </w:r>
      <w:r w:rsidRPr="00A45EA5">
        <w:rPr>
          <w:sz w:val="24"/>
          <w:szCs w:val="22"/>
        </w:rPr>
        <w:t>(Qld)</w:t>
      </w:r>
    </w:p>
    <w:p w14:paraId="52D19ECA" w14:textId="77777777" w:rsidR="006077BC" w:rsidRPr="00A45EA5" w:rsidRDefault="006077BC" w:rsidP="006077BC">
      <w:pPr>
        <w:pStyle w:val="ListParagraph"/>
        <w:numPr>
          <w:ilvl w:val="0"/>
          <w:numId w:val="15"/>
        </w:numPr>
        <w:rPr>
          <w:sz w:val="24"/>
          <w:szCs w:val="22"/>
        </w:rPr>
      </w:pPr>
      <w:r w:rsidRPr="00A45EA5">
        <w:rPr>
          <w:i/>
          <w:sz w:val="24"/>
          <w:szCs w:val="22"/>
        </w:rPr>
        <w:t>Disability Discrimination Act 1992</w:t>
      </w:r>
      <w:r w:rsidRPr="00A45EA5">
        <w:rPr>
          <w:sz w:val="24"/>
          <w:szCs w:val="22"/>
        </w:rPr>
        <w:t xml:space="preserve"> (Federal)</w:t>
      </w:r>
    </w:p>
    <w:p w14:paraId="4EC57EB4" w14:textId="77777777" w:rsidR="006077BC" w:rsidRPr="00A45EA5" w:rsidRDefault="006077BC" w:rsidP="006077BC">
      <w:pPr>
        <w:pStyle w:val="ListParagraph"/>
        <w:numPr>
          <w:ilvl w:val="0"/>
          <w:numId w:val="15"/>
        </w:numPr>
        <w:rPr>
          <w:sz w:val="24"/>
          <w:szCs w:val="22"/>
        </w:rPr>
      </w:pPr>
      <w:r w:rsidRPr="00A45EA5">
        <w:rPr>
          <w:i/>
          <w:sz w:val="24"/>
          <w:szCs w:val="22"/>
        </w:rPr>
        <w:t>Equal Opportunity in Public Employment Act 1992</w:t>
      </w:r>
      <w:r w:rsidR="00C72CCE" w:rsidRPr="00A45EA5">
        <w:rPr>
          <w:i/>
          <w:sz w:val="24"/>
          <w:szCs w:val="22"/>
        </w:rPr>
        <w:t xml:space="preserve"> </w:t>
      </w:r>
      <w:r w:rsidR="00C72CCE" w:rsidRPr="00A45EA5">
        <w:rPr>
          <w:sz w:val="24"/>
          <w:szCs w:val="22"/>
        </w:rPr>
        <w:t>(Qld)</w:t>
      </w:r>
    </w:p>
    <w:p w14:paraId="099A98A2" w14:textId="77777777" w:rsidR="00C72CCE" w:rsidRPr="00A45EA5" w:rsidRDefault="00C72CCE" w:rsidP="006077BC">
      <w:pPr>
        <w:pStyle w:val="ListParagraph"/>
        <w:numPr>
          <w:ilvl w:val="0"/>
          <w:numId w:val="15"/>
        </w:numPr>
        <w:rPr>
          <w:sz w:val="24"/>
          <w:szCs w:val="22"/>
        </w:rPr>
      </w:pPr>
      <w:r w:rsidRPr="00A45EA5">
        <w:rPr>
          <w:i/>
          <w:sz w:val="24"/>
          <w:szCs w:val="22"/>
        </w:rPr>
        <w:t xml:space="preserve">Public Service Act 2008 </w:t>
      </w:r>
      <w:r w:rsidRPr="00A45EA5">
        <w:rPr>
          <w:sz w:val="24"/>
          <w:szCs w:val="22"/>
        </w:rPr>
        <w:t>(Qld)</w:t>
      </w:r>
    </w:p>
    <w:p w14:paraId="0ADE3F25" w14:textId="77777777" w:rsidR="00C72CCE" w:rsidRPr="00A45EA5" w:rsidRDefault="00C72CCE" w:rsidP="006077BC">
      <w:pPr>
        <w:pStyle w:val="ListParagraph"/>
        <w:numPr>
          <w:ilvl w:val="0"/>
          <w:numId w:val="15"/>
        </w:numPr>
        <w:rPr>
          <w:sz w:val="24"/>
          <w:szCs w:val="22"/>
        </w:rPr>
      </w:pPr>
      <w:r w:rsidRPr="00A45EA5">
        <w:rPr>
          <w:i/>
          <w:sz w:val="24"/>
          <w:szCs w:val="22"/>
        </w:rPr>
        <w:t xml:space="preserve">Racial Discrimination Act 1975 </w:t>
      </w:r>
      <w:r w:rsidRPr="00A45EA5">
        <w:rPr>
          <w:sz w:val="24"/>
          <w:szCs w:val="22"/>
        </w:rPr>
        <w:t>(Federal)</w:t>
      </w:r>
    </w:p>
    <w:p w14:paraId="0B291C14" w14:textId="77777777" w:rsidR="00C72CCE" w:rsidRPr="00A45EA5" w:rsidRDefault="00C72CCE" w:rsidP="006077BC">
      <w:pPr>
        <w:pStyle w:val="ListParagraph"/>
        <w:numPr>
          <w:ilvl w:val="0"/>
          <w:numId w:val="15"/>
        </w:numPr>
        <w:rPr>
          <w:sz w:val="24"/>
          <w:szCs w:val="22"/>
        </w:rPr>
      </w:pPr>
      <w:r w:rsidRPr="00A45EA5">
        <w:rPr>
          <w:i/>
          <w:sz w:val="24"/>
          <w:szCs w:val="22"/>
        </w:rPr>
        <w:t xml:space="preserve">Sex Discrimination Act 1984 </w:t>
      </w:r>
      <w:r w:rsidRPr="00A45EA5">
        <w:rPr>
          <w:sz w:val="24"/>
          <w:szCs w:val="22"/>
        </w:rPr>
        <w:t>(Federal)</w:t>
      </w:r>
    </w:p>
    <w:p w14:paraId="4326D021" w14:textId="77777777" w:rsidR="00C72CCE" w:rsidRPr="00A45EA5" w:rsidRDefault="00C72CCE" w:rsidP="006077BC">
      <w:pPr>
        <w:pStyle w:val="ListParagraph"/>
        <w:numPr>
          <w:ilvl w:val="0"/>
          <w:numId w:val="15"/>
        </w:numPr>
        <w:rPr>
          <w:sz w:val="24"/>
          <w:szCs w:val="22"/>
        </w:rPr>
      </w:pPr>
      <w:r w:rsidRPr="00A45EA5">
        <w:rPr>
          <w:i/>
          <w:sz w:val="24"/>
          <w:szCs w:val="22"/>
        </w:rPr>
        <w:t xml:space="preserve">Work Health and Safety Act 2011 </w:t>
      </w:r>
      <w:r w:rsidRPr="00A45EA5">
        <w:rPr>
          <w:sz w:val="24"/>
          <w:szCs w:val="22"/>
        </w:rPr>
        <w:t>(Qld)</w:t>
      </w:r>
    </w:p>
    <w:p w14:paraId="430B69EA" w14:textId="28CAA692" w:rsidR="00C72CCE" w:rsidRPr="00A45EA5" w:rsidRDefault="001D6ED6" w:rsidP="006077BC">
      <w:pPr>
        <w:pStyle w:val="ListParagraph"/>
        <w:numPr>
          <w:ilvl w:val="0"/>
          <w:numId w:val="15"/>
        </w:numPr>
        <w:rPr>
          <w:sz w:val="24"/>
          <w:szCs w:val="22"/>
        </w:rPr>
      </w:pPr>
      <w:r>
        <w:rPr>
          <w:sz w:val="24"/>
          <w:szCs w:val="22"/>
        </w:rPr>
        <w:t>Individual employee grievances Directive 11/20</w:t>
      </w:r>
    </w:p>
    <w:p w14:paraId="27EB0D60" w14:textId="50066AAF" w:rsidR="00C72CCE" w:rsidRPr="00A45EA5" w:rsidRDefault="00C72CCE" w:rsidP="006077BC">
      <w:pPr>
        <w:pStyle w:val="ListParagraph"/>
        <w:numPr>
          <w:ilvl w:val="0"/>
          <w:numId w:val="15"/>
        </w:numPr>
        <w:rPr>
          <w:sz w:val="24"/>
          <w:szCs w:val="22"/>
        </w:rPr>
      </w:pPr>
      <w:r w:rsidRPr="00A45EA5">
        <w:rPr>
          <w:sz w:val="24"/>
          <w:szCs w:val="22"/>
        </w:rPr>
        <w:t xml:space="preserve">Appeals Directive </w:t>
      </w:r>
      <w:r w:rsidR="001D6ED6">
        <w:rPr>
          <w:sz w:val="24"/>
          <w:szCs w:val="22"/>
        </w:rPr>
        <w:t>07/20</w:t>
      </w:r>
    </w:p>
    <w:p w14:paraId="7F6CEDC5" w14:textId="77777777" w:rsidR="00C72CCE" w:rsidRPr="00A45EA5" w:rsidRDefault="00C72CCE" w:rsidP="006077BC">
      <w:pPr>
        <w:pStyle w:val="ListParagraph"/>
        <w:numPr>
          <w:ilvl w:val="0"/>
          <w:numId w:val="15"/>
        </w:numPr>
        <w:rPr>
          <w:sz w:val="24"/>
          <w:szCs w:val="22"/>
        </w:rPr>
      </w:pPr>
      <w:r w:rsidRPr="00A45EA5">
        <w:rPr>
          <w:sz w:val="24"/>
          <w:szCs w:val="22"/>
        </w:rPr>
        <w:t>Code of Conduct for Queensland public service</w:t>
      </w:r>
    </w:p>
    <w:p w14:paraId="10EA8CDD" w14:textId="77777777" w:rsidR="000B3F93" w:rsidRDefault="000B3F93" w:rsidP="000B3F93">
      <w:pPr>
        <w:rPr>
          <w:sz w:val="22"/>
          <w:szCs w:val="22"/>
        </w:rPr>
      </w:pPr>
    </w:p>
    <w:p w14:paraId="112ABC26" w14:textId="77777777" w:rsidR="000B3F93" w:rsidRDefault="000B3F93" w:rsidP="000B3F93">
      <w:pPr>
        <w:pStyle w:val="Heading1"/>
      </w:pPr>
      <w:bookmarkStart w:id="11" w:name="_Toc45027858"/>
      <w:r>
        <w:t>Human rights</w:t>
      </w:r>
      <w:bookmarkEnd w:id="11"/>
    </w:p>
    <w:p w14:paraId="2F80CAAF" w14:textId="77777777" w:rsidR="000B3F93" w:rsidRPr="00A45EA5" w:rsidRDefault="000B3F93" w:rsidP="001B6B3B">
      <w:pPr>
        <w:rPr>
          <w:sz w:val="24"/>
          <w:szCs w:val="24"/>
        </w:rPr>
      </w:pPr>
      <w:r w:rsidRPr="00A45EA5">
        <w:rPr>
          <w:sz w:val="24"/>
          <w:szCs w:val="24"/>
        </w:rPr>
        <w:t xml:space="preserve">In applying this policy, QHRC staff will consider whether: </w:t>
      </w:r>
    </w:p>
    <w:p w14:paraId="7AEC5CFC" w14:textId="77777777" w:rsidR="000B3F93" w:rsidRPr="00A45EA5" w:rsidRDefault="000B3F93" w:rsidP="000B3F93">
      <w:pPr>
        <w:pStyle w:val="ListParagraph"/>
        <w:numPr>
          <w:ilvl w:val="0"/>
          <w:numId w:val="38"/>
        </w:numPr>
        <w:rPr>
          <w:sz w:val="24"/>
          <w:szCs w:val="24"/>
        </w:rPr>
      </w:pPr>
      <w:r w:rsidRPr="00A45EA5">
        <w:rPr>
          <w:sz w:val="24"/>
          <w:szCs w:val="24"/>
        </w:rPr>
        <w:t>any human rights may be affected by decisions made under the policy</w:t>
      </w:r>
    </w:p>
    <w:p w14:paraId="58B81F57" w14:textId="77777777" w:rsidR="000B3F93" w:rsidRPr="00A45EA5" w:rsidRDefault="000B3F93" w:rsidP="000B3F93">
      <w:pPr>
        <w:pStyle w:val="ListParagraph"/>
        <w:numPr>
          <w:ilvl w:val="0"/>
          <w:numId w:val="38"/>
        </w:numPr>
        <w:rPr>
          <w:sz w:val="24"/>
          <w:szCs w:val="24"/>
        </w:rPr>
      </w:pPr>
      <w:r w:rsidRPr="00A45EA5">
        <w:rPr>
          <w:sz w:val="24"/>
          <w:szCs w:val="24"/>
        </w:rPr>
        <w:t xml:space="preserve">any legislation or other law requires a decision to be made in a certain way, regardless of the </w:t>
      </w:r>
      <w:proofErr w:type="spellStart"/>
      <w:r w:rsidRPr="00A45EA5">
        <w:rPr>
          <w:sz w:val="24"/>
          <w:szCs w:val="24"/>
        </w:rPr>
        <w:t>affect</w:t>
      </w:r>
      <w:proofErr w:type="spellEnd"/>
      <w:r w:rsidRPr="00A45EA5">
        <w:rPr>
          <w:sz w:val="24"/>
          <w:szCs w:val="24"/>
        </w:rPr>
        <w:t xml:space="preserve"> on any human rights. </w:t>
      </w:r>
    </w:p>
    <w:p w14:paraId="2A9726BF" w14:textId="77777777" w:rsidR="001B6B3B" w:rsidRPr="00A45EA5" w:rsidRDefault="001B6B3B" w:rsidP="001B6B3B">
      <w:pPr>
        <w:pStyle w:val="ListParagraph"/>
        <w:rPr>
          <w:sz w:val="24"/>
          <w:szCs w:val="24"/>
        </w:rPr>
      </w:pPr>
    </w:p>
    <w:p w14:paraId="03B63493" w14:textId="77777777" w:rsidR="000B3F93" w:rsidRPr="00A45EA5" w:rsidRDefault="000B3F93" w:rsidP="001B6B3B">
      <w:pPr>
        <w:rPr>
          <w:sz w:val="24"/>
          <w:szCs w:val="24"/>
        </w:rPr>
      </w:pPr>
      <w:r w:rsidRPr="00A45EA5">
        <w:rPr>
          <w:sz w:val="24"/>
          <w:szCs w:val="24"/>
        </w:rPr>
        <w:t xml:space="preserve">If there is a discretion in making the decision, we will consider: </w:t>
      </w:r>
    </w:p>
    <w:p w14:paraId="000B8DF3" w14:textId="77777777" w:rsidR="000B3F93" w:rsidRPr="00A45EA5" w:rsidRDefault="000B3F93" w:rsidP="000B3F93">
      <w:pPr>
        <w:pStyle w:val="ListParagraph"/>
        <w:numPr>
          <w:ilvl w:val="0"/>
          <w:numId w:val="41"/>
        </w:numPr>
        <w:rPr>
          <w:sz w:val="24"/>
          <w:szCs w:val="24"/>
        </w:rPr>
      </w:pPr>
      <w:r w:rsidRPr="00A45EA5">
        <w:rPr>
          <w:sz w:val="24"/>
          <w:szCs w:val="24"/>
        </w:rPr>
        <w:lastRenderedPageBreak/>
        <w:t>whether any human rights that are identified as being affected by the decision are being limited</w:t>
      </w:r>
    </w:p>
    <w:p w14:paraId="56514CA3" w14:textId="77777777" w:rsidR="000B3F93" w:rsidRPr="00A45EA5" w:rsidRDefault="000B3F93" w:rsidP="000B3F93">
      <w:pPr>
        <w:pStyle w:val="ListParagraph"/>
        <w:numPr>
          <w:ilvl w:val="0"/>
          <w:numId w:val="41"/>
        </w:numPr>
        <w:rPr>
          <w:sz w:val="24"/>
          <w:szCs w:val="24"/>
        </w:rPr>
      </w:pPr>
      <w:r w:rsidRPr="00A45EA5">
        <w:rPr>
          <w:sz w:val="24"/>
          <w:szCs w:val="24"/>
        </w:rPr>
        <w:t xml:space="preserve">whether any limitation of a human right is reasonable, and is demonstrably justified in a free and democratic society based on human dignity, equality and freedom. </w:t>
      </w:r>
    </w:p>
    <w:p w14:paraId="07F5ED40" w14:textId="77777777" w:rsidR="000B3F93" w:rsidRPr="00A45EA5" w:rsidRDefault="000B3F93" w:rsidP="001B6B3B">
      <w:pPr>
        <w:rPr>
          <w:sz w:val="24"/>
          <w:szCs w:val="24"/>
        </w:rPr>
      </w:pPr>
      <w:r w:rsidRPr="00A45EA5">
        <w:rPr>
          <w:sz w:val="24"/>
          <w:szCs w:val="24"/>
        </w:rPr>
        <w:t xml:space="preserve">In deciding whether a limit is reasonable and justified, we will take into consideration and balance the following matters: </w:t>
      </w:r>
    </w:p>
    <w:p w14:paraId="009B5DD0" w14:textId="77777777" w:rsidR="000B3F93" w:rsidRPr="00A45EA5" w:rsidRDefault="000B3F93" w:rsidP="008818B4">
      <w:pPr>
        <w:pStyle w:val="ListParagraph"/>
        <w:numPr>
          <w:ilvl w:val="0"/>
          <w:numId w:val="42"/>
        </w:numPr>
        <w:rPr>
          <w:sz w:val="24"/>
          <w:szCs w:val="24"/>
        </w:rPr>
      </w:pPr>
      <w:r w:rsidRPr="00A45EA5">
        <w:rPr>
          <w:sz w:val="24"/>
          <w:szCs w:val="24"/>
        </w:rPr>
        <w:t>the nature of the human right</w:t>
      </w:r>
    </w:p>
    <w:p w14:paraId="636A9275" w14:textId="77777777" w:rsidR="000B3F93" w:rsidRPr="00A45EA5" w:rsidRDefault="000B3F93" w:rsidP="008818B4">
      <w:pPr>
        <w:pStyle w:val="ListParagraph"/>
        <w:numPr>
          <w:ilvl w:val="0"/>
          <w:numId w:val="42"/>
        </w:numPr>
        <w:rPr>
          <w:sz w:val="24"/>
          <w:szCs w:val="24"/>
        </w:rPr>
      </w:pPr>
      <w:r w:rsidRPr="00A45EA5">
        <w:rPr>
          <w:sz w:val="24"/>
          <w:szCs w:val="24"/>
        </w:rPr>
        <w:t>the nature and purpose of the limitation, including whether it is consistent with a free and democratic society based on human dignity, equality, and freedom</w:t>
      </w:r>
    </w:p>
    <w:p w14:paraId="0A817E8E" w14:textId="77777777" w:rsidR="000B3F93" w:rsidRPr="00A45EA5" w:rsidRDefault="000B3F93" w:rsidP="008818B4">
      <w:pPr>
        <w:pStyle w:val="ListParagraph"/>
        <w:numPr>
          <w:ilvl w:val="0"/>
          <w:numId w:val="42"/>
        </w:numPr>
        <w:rPr>
          <w:sz w:val="24"/>
          <w:szCs w:val="24"/>
        </w:rPr>
      </w:pPr>
      <w:r w:rsidRPr="00A45EA5">
        <w:rPr>
          <w:sz w:val="24"/>
          <w:szCs w:val="24"/>
        </w:rPr>
        <w:t>the relationship between the limitation and its purpose, including whether the limitation helps to achieve the purpose</w:t>
      </w:r>
    </w:p>
    <w:p w14:paraId="24E0C9AE" w14:textId="77777777" w:rsidR="000B3F93" w:rsidRPr="00A45EA5" w:rsidRDefault="000B3F93" w:rsidP="000B3F93">
      <w:pPr>
        <w:pStyle w:val="ListParagraph"/>
        <w:numPr>
          <w:ilvl w:val="0"/>
          <w:numId w:val="42"/>
        </w:numPr>
        <w:rPr>
          <w:sz w:val="24"/>
          <w:szCs w:val="24"/>
        </w:rPr>
      </w:pPr>
      <w:r w:rsidRPr="00A45EA5">
        <w:rPr>
          <w:sz w:val="24"/>
          <w:szCs w:val="24"/>
        </w:rPr>
        <w:t>whether there are any less restrictive and reasonable ways to achieve the purpose of the limitation</w:t>
      </w:r>
    </w:p>
    <w:p w14:paraId="5EA5E59C" w14:textId="77777777" w:rsidR="000B3F93" w:rsidRPr="00A45EA5" w:rsidRDefault="000B3F93" w:rsidP="000B3F93">
      <w:pPr>
        <w:pStyle w:val="ListParagraph"/>
        <w:numPr>
          <w:ilvl w:val="0"/>
          <w:numId w:val="42"/>
        </w:numPr>
        <w:rPr>
          <w:sz w:val="24"/>
          <w:szCs w:val="24"/>
        </w:rPr>
      </w:pPr>
      <w:r w:rsidRPr="00A45EA5">
        <w:rPr>
          <w:sz w:val="24"/>
          <w:szCs w:val="24"/>
        </w:rPr>
        <w:t>the importance of the purpose of the limitation</w:t>
      </w:r>
    </w:p>
    <w:p w14:paraId="1D6683DD" w14:textId="77777777" w:rsidR="000B3F93" w:rsidRPr="00A45EA5" w:rsidRDefault="000B3F93" w:rsidP="008818B4">
      <w:pPr>
        <w:pStyle w:val="ListParagraph"/>
        <w:numPr>
          <w:ilvl w:val="0"/>
          <w:numId w:val="42"/>
        </w:numPr>
        <w:rPr>
          <w:sz w:val="24"/>
          <w:szCs w:val="24"/>
        </w:rPr>
      </w:pPr>
      <w:r w:rsidRPr="00A45EA5">
        <w:rPr>
          <w:sz w:val="24"/>
          <w:szCs w:val="24"/>
        </w:rPr>
        <w:t>the importance of preserving the human right, taking into account the nature and extent of the limitation on the human right</w:t>
      </w:r>
    </w:p>
    <w:p w14:paraId="00DD883C" w14:textId="77777777" w:rsidR="000B3F93" w:rsidRPr="00A45EA5" w:rsidRDefault="000B3F93" w:rsidP="000B3F93">
      <w:pPr>
        <w:pStyle w:val="ListParagraph"/>
        <w:numPr>
          <w:ilvl w:val="0"/>
          <w:numId w:val="42"/>
        </w:numPr>
        <w:rPr>
          <w:sz w:val="24"/>
          <w:szCs w:val="24"/>
        </w:rPr>
      </w:pPr>
      <w:r w:rsidRPr="00A45EA5">
        <w:rPr>
          <w:sz w:val="24"/>
          <w:szCs w:val="24"/>
        </w:rPr>
        <w:t>Any other relevant matter</w:t>
      </w:r>
      <w:r w:rsidR="001B6B3B" w:rsidRPr="00A45EA5">
        <w:rPr>
          <w:sz w:val="24"/>
          <w:szCs w:val="24"/>
        </w:rPr>
        <w:t>.</w:t>
      </w:r>
    </w:p>
    <w:p w14:paraId="4DC01C32" w14:textId="77777777" w:rsidR="001B6B3B" w:rsidRPr="00A45EA5" w:rsidRDefault="001B6B3B" w:rsidP="001B6B3B">
      <w:pPr>
        <w:pStyle w:val="ListParagraph"/>
        <w:rPr>
          <w:sz w:val="24"/>
          <w:szCs w:val="24"/>
        </w:rPr>
      </w:pPr>
    </w:p>
    <w:p w14:paraId="5E067F0F" w14:textId="77777777" w:rsidR="000B3F93" w:rsidRPr="00A45EA5" w:rsidRDefault="000B3F93" w:rsidP="001B6B3B">
      <w:pPr>
        <w:rPr>
          <w:sz w:val="24"/>
          <w:szCs w:val="24"/>
        </w:rPr>
      </w:pPr>
      <w:r w:rsidRPr="00A45EA5">
        <w:rPr>
          <w:sz w:val="24"/>
          <w:szCs w:val="24"/>
        </w:rPr>
        <w:t xml:space="preserve">Human rights means the rights in the </w:t>
      </w:r>
      <w:r w:rsidRPr="00A45EA5">
        <w:rPr>
          <w:i/>
          <w:sz w:val="24"/>
          <w:szCs w:val="24"/>
        </w:rPr>
        <w:t>Human Rights Act 2019.</w:t>
      </w:r>
    </w:p>
    <w:p w14:paraId="3A454009" w14:textId="77777777" w:rsidR="000B3F93" w:rsidRPr="000B3F93" w:rsidRDefault="000B3F93" w:rsidP="000B3F93">
      <w:pPr>
        <w:rPr>
          <w:sz w:val="22"/>
          <w:szCs w:val="24"/>
        </w:rPr>
      </w:pPr>
    </w:p>
    <w:p w14:paraId="0DB66E17" w14:textId="77777777" w:rsidR="00C72CCE" w:rsidRDefault="00C72CCE" w:rsidP="00C72CCE">
      <w:pPr>
        <w:rPr>
          <w:sz w:val="22"/>
          <w:szCs w:val="22"/>
        </w:rPr>
      </w:pPr>
    </w:p>
    <w:p w14:paraId="2AAA3383" w14:textId="77777777" w:rsidR="00C72CCE" w:rsidRDefault="00C72CCE" w:rsidP="00C72CCE">
      <w:pPr>
        <w:pStyle w:val="Heading1"/>
      </w:pPr>
      <w:bookmarkStart w:id="12" w:name="_Toc45027859"/>
      <w:r>
        <w:t>Harassment in the workplace</w:t>
      </w:r>
      <w:bookmarkEnd w:id="12"/>
    </w:p>
    <w:p w14:paraId="5E86E32F" w14:textId="77777777" w:rsidR="00C72CCE" w:rsidRPr="00A45EA5" w:rsidRDefault="00C72CCE" w:rsidP="00C72CCE">
      <w:pPr>
        <w:rPr>
          <w:sz w:val="24"/>
          <w:szCs w:val="22"/>
        </w:rPr>
      </w:pPr>
      <w:r w:rsidRPr="00A45EA5">
        <w:rPr>
          <w:sz w:val="24"/>
          <w:szCs w:val="22"/>
        </w:rPr>
        <w:t>The term harassment can include a range of behaviours, such as discrimination, sexual harassment and other inappropriate actions including bullying.</w:t>
      </w:r>
    </w:p>
    <w:p w14:paraId="77C65D8F" w14:textId="77777777" w:rsidR="00C72CCE" w:rsidRPr="00A45EA5" w:rsidRDefault="00C72CCE" w:rsidP="00C72CCE">
      <w:pPr>
        <w:rPr>
          <w:sz w:val="24"/>
          <w:szCs w:val="22"/>
        </w:rPr>
      </w:pPr>
      <w:r w:rsidRPr="00A45EA5">
        <w:rPr>
          <w:sz w:val="24"/>
          <w:szCs w:val="22"/>
        </w:rPr>
        <w:t xml:space="preserve"> </w:t>
      </w:r>
    </w:p>
    <w:p w14:paraId="10002ED6" w14:textId="77777777" w:rsidR="00C72CCE" w:rsidRPr="00A45EA5" w:rsidRDefault="00C72CCE" w:rsidP="00C72CCE">
      <w:pPr>
        <w:rPr>
          <w:sz w:val="24"/>
          <w:szCs w:val="22"/>
        </w:rPr>
      </w:pPr>
      <w:r w:rsidRPr="00A45EA5">
        <w:rPr>
          <w:sz w:val="24"/>
          <w:szCs w:val="22"/>
        </w:rPr>
        <w:t>This policy is about preventing and resolving issues of inappropriate workplace behaviour and includes reference to all types of behaviour mentioned above. For ease of reading, all behaviours are referred to as harassment.</w:t>
      </w:r>
    </w:p>
    <w:p w14:paraId="72119331" w14:textId="77777777" w:rsidR="009369E3" w:rsidRDefault="009369E3" w:rsidP="00C72CCE">
      <w:pPr>
        <w:rPr>
          <w:sz w:val="22"/>
          <w:szCs w:val="22"/>
        </w:rPr>
      </w:pPr>
    </w:p>
    <w:p w14:paraId="2748BBA2" w14:textId="77777777" w:rsidR="00C72CCE" w:rsidRDefault="00C72CCE" w:rsidP="00C72CCE">
      <w:pPr>
        <w:pStyle w:val="Heading1"/>
      </w:pPr>
      <w:bookmarkStart w:id="13" w:name="_Toc45027860"/>
      <w:r>
        <w:t>Discrimination</w:t>
      </w:r>
      <w:bookmarkEnd w:id="13"/>
    </w:p>
    <w:p w14:paraId="2C530102" w14:textId="77777777" w:rsidR="00C72CCE" w:rsidRPr="00A45EA5" w:rsidRDefault="00C72CCE" w:rsidP="00C72CCE">
      <w:pPr>
        <w:rPr>
          <w:sz w:val="24"/>
          <w:szCs w:val="22"/>
        </w:rPr>
      </w:pPr>
      <w:r w:rsidRPr="00A45EA5">
        <w:rPr>
          <w:sz w:val="24"/>
          <w:szCs w:val="22"/>
        </w:rPr>
        <w:t xml:space="preserve">Discrimination in the workplace can occur when someone is treated unfairly or inappropriately. By definition, the workplace includes areas of activity beyond the normal workplace, including residential training courses and officially sponsored social functions. </w:t>
      </w:r>
    </w:p>
    <w:p w14:paraId="075A6453" w14:textId="77777777" w:rsidR="00C72CCE" w:rsidRPr="00A45EA5" w:rsidRDefault="00C72CCE" w:rsidP="00C72CCE">
      <w:pPr>
        <w:rPr>
          <w:sz w:val="24"/>
          <w:szCs w:val="22"/>
        </w:rPr>
      </w:pPr>
    </w:p>
    <w:p w14:paraId="31C77947" w14:textId="77777777" w:rsidR="00C72CCE" w:rsidRPr="00A45EA5" w:rsidRDefault="00C72CCE" w:rsidP="00C72CCE">
      <w:pPr>
        <w:rPr>
          <w:sz w:val="24"/>
          <w:szCs w:val="22"/>
        </w:rPr>
      </w:pPr>
      <w:r w:rsidRPr="00A45EA5">
        <w:rPr>
          <w:sz w:val="24"/>
          <w:szCs w:val="22"/>
        </w:rPr>
        <w:t xml:space="preserve">Not all discrimination is against the law, even if it is unfair. In Queensland, the </w:t>
      </w:r>
      <w:r w:rsidRPr="00A45EA5">
        <w:rPr>
          <w:i/>
          <w:sz w:val="24"/>
          <w:szCs w:val="22"/>
        </w:rPr>
        <w:t xml:space="preserve">Anti-Discrimination Act 1991 </w:t>
      </w:r>
      <w:r w:rsidRPr="00A45EA5">
        <w:rPr>
          <w:sz w:val="24"/>
          <w:szCs w:val="22"/>
        </w:rPr>
        <w:t xml:space="preserve">(henceforth referred to as ‘the Act’) determines what kind of discrimination is unlawful by identifying particular grounds and types of discrimination which are prohibited. The Act also prohibits discrimination in certain areas of activity (see Part 4 of the Act). While it is unlawful to discriminate against people in areas of activity outside the workplace, the focus of this document is on work. </w:t>
      </w:r>
    </w:p>
    <w:p w14:paraId="4C846A51" w14:textId="77777777" w:rsidR="00C72CCE" w:rsidRPr="00A45EA5" w:rsidRDefault="00C72CCE" w:rsidP="00C72CCE">
      <w:pPr>
        <w:rPr>
          <w:sz w:val="24"/>
          <w:szCs w:val="22"/>
        </w:rPr>
      </w:pPr>
    </w:p>
    <w:p w14:paraId="0EEF70E2" w14:textId="77777777" w:rsidR="00B879B5" w:rsidRPr="00A45EA5" w:rsidRDefault="00C72CCE" w:rsidP="00C72CCE">
      <w:pPr>
        <w:rPr>
          <w:sz w:val="24"/>
          <w:szCs w:val="22"/>
        </w:rPr>
      </w:pPr>
      <w:r w:rsidRPr="00A45EA5">
        <w:rPr>
          <w:sz w:val="24"/>
          <w:szCs w:val="22"/>
        </w:rPr>
        <w:t xml:space="preserve">The definition of work included in the Act is a broad definition and can be found in Schedule 1 of the Act. Managers and staff are encouraged to familiarise themselves with this definition. The Act also specifically prohibits discrimination in particular areas and types of work activity, including pre-work activities, </w:t>
      </w:r>
      <w:r w:rsidR="00B879B5" w:rsidRPr="00A45EA5">
        <w:rPr>
          <w:sz w:val="24"/>
          <w:szCs w:val="22"/>
        </w:rPr>
        <w:t xml:space="preserve">such as recruitment and selection processes. With regard to discrimination in the work area, Section 15(1) of the Act states a person must not discriminate: </w:t>
      </w:r>
    </w:p>
    <w:p w14:paraId="12CA3E35" w14:textId="77777777" w:rsidR="00B879B5" w:rsidRPr="00A45EA5" w:rsidRDefault="00B879B5" w:rsidP="00B879B5">
      <w:pPr>
        <w:pStyle w:val="ListParagraph"/>
        <w:numPr>
          <w:ilvl w:val="0"/>
          <w:numId w:val="16"/>
        </w:numPr>
        <w:rPr>
          <w:sz w:val="24"/>
        </w:rPr>
      </w:pPr>
      <w:r w:rsidRPr="00A45EA5">
        <w:rPr>
          <w:sz w:val="24"/>
        </w:rPr>
        <w:t>In any variation of the terms of work; or</w:t>
      </w:r>
    </w:p>
    <w:p w14:paraId="73C14241" w14:textId="77777777" w:rsidR="00B879B5" w:rsidRPr="00A45EA5" w:rsidRDefault="00B879B5" w:rsidP="00B879B5">
      <w:pPr>
        <w:pStyle w:val="ListParagraph"/>
        <w:numPr>
          <w:ilvl w:val="0"/>
          <w:numId w:val="16"/>
        </w:numPr>
        <w:rPr>
          <w:sz w:val="24"/>
        </w:rPr>
      </w:pPr>
      <w:r w:rsidRPr="00A45EA5">
        <w:rPr>
          <w:sz w:val="24"/>
        </w:rPr>
        <w:t>In denying or limiting access to opportunities for promotion, transfer, training or other benefit to a worker; or</w:t>
      </w:r>
    </w:p>
    <w:p w14:paraId="5817B0FF" w14:textId="77777777" w:rsidR="00B879B5" w:rsidRPr="00A45EA5" w:rsidRDefault="00B879B5" w:rsidP="00B879B5">
      <w:pPr>
        <w:pStyle w:val="ListParagraph"/>
        <w:numPr>
          <w:ilvl w:val="0"/>
          <w:numId w:val="16"/>
        </w:numPr>
        <w:rPr>
          <w:sz w:val="24"/>
        </w:rPr>
      </w:pPr>
      <w:r w:rsidRPr="00A45EA5">
        <w:rPr>
          <w:sz w:val="24"/>
        </w:rPr>
        <w:t>In dismissing the worker; or</w:t>
      </w:r>
    </w:p>
    <w:p w14:paraId="1FEE0A5E" w14:textId="77777777" w:rsidR="00B879B5" w:rsidRPr="00A45EA5" w:rsidRDefault="00B879B5" w:rsidP="00B879B5">
      <w:pPr>
        <w:pStyle w:val="ListParagraph"/>
        <w:numPr>
          <w:ilvl w:val="0"/>
          <w:numId w:val="16"/>
        </w:numPr>
        <w:rPr>
          <w:sz w:val="24"/>
        </w:rPr>
      </w:pPr>
      <w:r w:rsidRPr="00A45EA5">
        <w:rPr>
          <w:sz w:val="24"/>
        </w:rPr>
        <w:lastRenderedPageBreak/>
        <w:t>By denying access to a guidance program, an apprenticeship training program or other occupational training or retraining program; or</w:t>
      </w:r>
    </w:p>
    <w:p w14:paraId="0A1088ED" w14:textId="77777777" w:rsidR="00B879B5" w:rsidRPr="00A45EA5" w:rsidRDefault="00B879B5" w:rsidP="00B879B5">
      <w:pPr>
        <w:pStyle w:val="ListParagraph"/>
        <w:numPr>
          <w:ilvl w:val="0"/>
          <w:numId w:val="16"/>
        </w:numPr>
        <w:rPr>
          <w:sz w:val="24"/>
        </w:rPr>
      </w:pPr>
      <w:r w:rsidRPr="00A45EA5">
        <w:rPr>
          <w:sz w:val="24"/>
        </w:rPr>
        <w:t>In developing the scope or range of such a program; or</w:t>
      </w:r>
    </w:p>
    <w:p w14:paraId="3761983B" w14:textId="77777777" w:rsidR="00B879B5" w:rsidRPr="00A45EA5" w:rsidRDefault="00B879B5" w:rsidP="00B879B5">
      <w:pPr>
        <w:pStyle w:val="ListParagraph"/>
        <w:numPr>
          <w:ilvl w:val="0"/>
          <w:numId w:val="16"/>
        </w:numPr>
        <w:rPr>
          <w:sz w:val="24"/>
        </w:rPr>
      </w:pPr>
      <w:r w:rsidRPr="00A45EA5">
        <w:rPr>
          <w:sz w:val="24"/>
        </w:rPr>
        <w:t>By treating a worker unfavourably in any way in connection with work.</w:t>
      </w:r>
    </w:p>
    <w:p w14:paraId="3619E8C0" w14:textId="77777777" w:rsidR="00B879B5" w:rsidRDefault="00B879B5" w:rsidP="00B879B5"/>
    <w:p w14:paraId="1B02D502" w14:textId="77777777" w:rsidR="00B879B5" w:rsidRDefault="00B879B5" w:rsidP="00B879B5">
      <w:pPr>
        <w:pStyle w:val="Heading2"/>
      </w:pPr>
      <w:bookmarkStart w:id="14" w:name="_Toc45027861"/>
      <w:r>
        <w:t>Exemptions</w:t>
      </w:r>
      <w:bookmarkEnd w:id="14"/>
    </w:p>
    <w:p w14:paraId="56B27D99" w14:textId="0E1199B4" w:rsidR="00B879B5" w:rsidRPr="00A45EA5" w:rsidRDefault="00B879B5" w:rsidP="00B879B5">
      <w:pPr>
        <w:rPr>
          <w:sz w:val="24"/>
          <w:szCs w:val="22"/>
        </w:rPr>
      </w:pPr>
      <w:r w:rsidRPr="00A45EA5">
        <w:rPr>
          <w:sz w:val="24"/>
          <w:szCs w:val="22"/>
        </w:rPr>
        <w:t xml:space="preserve">Not all discrimination is against the law. The legislation is very specific and provides a range of exemptions that can be raised and argued. Exemptions recognise that in some circumstances discrimination can be acceptable provided it occurs for particular reasons or purposes. This may allow, for example, the employment of </w:t>
      </w:r>
      <w:r w:rsidR="008818B4" w:rsidRPr="00A45EA5">
        <w:rPr>
          <w:sz w:val="24"/>
          <w:szCs w:val="22"/>
        </w:rPr>
        <w:t>a</w:t>
      </w:r>
      <w:r w:rsidRPr="00A45EA5">
        <w:rPr>
          <w:sz w:val="24"/>
          <w:szCs w:val="22"/>
        </w:rPr>
        <w:t xml:space="preserve"> person of a particular gender or age when it is necessary. </w:t>
      </w:r>
    </w:p>
    <w:p w14:paraId="1889488D" w14:textId="77777777" w:rsidR="00B879B5" w:rsidRDefault="00B879B5" w:rsidP="00B879B5">
      <w:pPr>
        <w:rPr>
          <w:sz w:val="22"/>
          <w:szCs w:val="22"/>
        </w:rPr>
      </w:pPr>
    </w:p>
    <w:p w14:paraId="65B10743" w14:textId="77777777" w:rsidR="00B879B5" w:rsidRDefault="00B879B5" w:rsidP="00B879B5">
      <w:pPr>
        <w:pStyle w:val="Heading1"/>
      </w:pPr>
      <w:bookmarkStart w:id="15" w:name="_Toc45027862"/>
      <w:r>
        <w:t>Sexual harassment</w:t>
      </w:r>
      <w:bookmarkEnd w:id="15"/>
    </w:p>
    <w:p w14:paraId="53707E77" w14:textId="77777777" w:rsidR="00B879B5" w:rsidRPr="00A45EA5" w:rsidRDefault="00B879B5" w:rsidP="00B879B5">
      <w:pPr>
        <w:rPr>
          <w:sz w:val="24"/>
          <w:szCs w:val="22"/>
        </w:rPr>
      </w:pPr>
      <w:r w:rsidRPr="00A45EA5">
        <w:rPr>
          <w:sz w:val="24"/>
          <w:szCs w:val="22"/>
        </w:rPr>
        <w:t xml:space="preserve">Sexual harassment means engaging in unwelcome conduct of a sexual nature in relation to another person, either with the intention of offending, humiliating or intimidating the other person, or in circumstances where a reasonable person would expect that it would give offence. </w:t>
      </w:r>
    </w:p>
    <w:p w14:paraId="1DB06F01" w14:textId="77777777" w:rsidR="00B879B5" w:rsidRDefault="00B879B5" w:rsidP="00B879B5">
      <w:pPr>
        <w:rPr>
          <w:sz w:val="22"/>
          <w:szCs w:val="22"/>
        </w:rPr>
      </w:pPr>
    </w:p>
    <w:p w14:paraId="149F2FB0" w14:textId="77777777" w:rsidR="00B879B5" w:rsidRDefault="00B879B5" w:rsidP="00B879B5">
      <w:pPr>
        <w:pStyle w:val="Heading2"/>
      </w:pPr>
      <w:bookmarkStart w:id="16" w:name="_Toc45027863"/>
      <w:r>
        <w:t>What constitutes sexual harassment?</w:t>
      </w:r>
      <w:bookmarkEnd w:id="16"/>
    </w:p>
    <w:p w14:paraId="39F540DD" w14:textId="77777777" w:rsidR="00B879B5" w:rsidRPr="00A45EA5" w:rsidRDefault="00B879B5" w:rsidP="00B879B5">
      <w:pPr>
        <w:rPr>
          <w:sz w:val="24"/>
          <w:szCs w:val="22"/>
        </w:rPr>
      </w:pPr>
      <w:r w:rsidRPr="00A45EA5">
        <w:rPr>
          <w:sz w:val="24"/>
          <w:szCs w:val="22"/>
        </w:rPr>
        <w:t xml:space="preserve">Sexual harassment is defined in section 119 of the </w:t>
      </w:r>
      <w:r w:rsidRPr="00A45EA5">
        <w:rPr>
          <w:i/>
          <w:sz w:val="24"/>
          <w:szCs w:val="22"/>
        </w:rPr>
        <w:t>Anti-Discrimination Act 1991</w:t>
      </w:r>
      <w:r w:rsidRPr="00A45EA5">
        <w:rPr>
          <w:sz w:val="24"/>
          <w:szCs w:val="22"/>
        </w:rPr>
        <w:t xml:space="preserve"> as follows: </w:t>
      </w:r>
    </w:p>
    <w:p w14:paraId="10C63488" w14:textId="77777777" w:rsidR="00B879B5" w:rsidRPr="00A45EA5" w:rsidRDefault="00B879B5" w:rsidP="00B879B5">
      <w:pPr>
        <w:rPr>
          <w:sz w:val="24"/>
          <w:szCs w:val="22"/>
        </w:rPr>
      </w:pPr>
    </w:p>
    <w:p w14:paraId="1ED9FB82" w14:textId="77777777" w:rsidR="00B879B5" w:rsidRPr="00A45EA5" w:rsidRDefault="00B879B5" w:rsidP="00B879B5">
      <w:pPr>
        <w:rPr>
          <w:sz w:val="24"/>
          <w:szCs w:val="22"/>
        </w:rPr>
      </w:pPr>
      <w:r w:rsidRPr="00A45EA5">
        <w:rPr>
          <w:sz w:val="24"/>
          <w:szCs w:val="22"/>
        </w:rPr>
        <w:t xml:space="preserve">Sexual harassment happens if a person – </w:t>
      </w:r>
    </w:p>
    <w:p w14:paraId="2B926340" w14:textId="77777777" w:rsidR="00B879B5" w:rsidRPr="00A45EA5" w:rsidRDefault="00622D06" w:rsidP="00B879B5">
      <w:pPr>
        <w:pStyle w:val="ListParagraph"/>
        <w:numPr>
          <w:ilvl w:val="0"/>
          <w:numId w:val="17"/>
        </w:numPr>
        <w:rPr>
          <w:sz w:val="24"/>
          <w:szCs w:val="22"/>
        </w:rPr>
      </w:pPr>
      <w:r w:rsidRPr="00A45EA5">
        <w:rPr>
          <w:sz w:val="24"/>
          <w:szCs w:val="22"/>
        </w:rPr>
        <w:t>s</w:t>
      </w:r>
      <w:r w:rsidR="00B879B5" w:rsidRPr="00A45EA5">
        <w:rPr>
          <w:sz w:val="24"/>
          <w:szCs w:val="22"/>
        </w:rPr>
        <w:t>ubjects another person to an unsolicited act of physical intimacy; or</w:t>
      </w:r>
    </w:p>
    <w:p w14:paraId="29F64A7E" w14:textId="77777777" w:rsidR="00B879B5" w:rsidRPr="00A45EA5" w:rsidRDefault="00622D06" w:rsidP="00B879B5">
      <w:pPr>
        <w:pStyle w:val="ListParagraph"/>
        <w:numPr>
          <w:ilvl w:val="0"/>
          <w:numId w:val="17"/>
        </w:numPr>
        <w:rPr>
          <w:sz w:val="24"/>
          <w:szCs w:val="22"/>
        </w:rPr>
      </w:pPr>
      <w:r w:rsidRPr="00A45EA5">
        <w:rPr>
          <w:sz w:val="24"/>
          <w:szCs w:val="22"/>
        </w:rPr>
        <w:t>m</w:t>
      </w:r>
      <w:r w:rsidR="00B879B5" w:rsidRPr="00A45EA5">
        <w:rPr>
          <w:sz w:val="24"/>
          <w:szCs w:val="22"/>
        </w:rPr>
        <w:t>akes an unsolicited demand or request (whether directly or by implication) for sexual favours from the other person; or</w:t>
      </w:r>
    </w:p>
    <w:p w14:paraId="68949F1C" w14:textId="77777777" w:rsidR="00B879B5" w:rsidRPr="00A45EA5" w:rsidRDefault="00622D06" w:rsidP="00B879B5">
      <w:pPr>
        <w:pStyle w:val="ListParagraph"/>
        <w:numPr>
          <w:ilvl w:val="0"/>
          <w:numId w:val="17"/>
        </w:numPr>
        <w:rPr>
          <w:sz w:val="24"/>
          <w:szCs w:val="22"/>
        </w:rPr>
      </w:pPr>
      <w:r w:rsidRPr="00A45EA5">
        <w:rPr>
          <w:sz w:val="24"/>
          <w:szCs w:val="22"/>
        </w:rPr>
        <w:t>makes a remark with sexual connotations relating to the other person; or</w:t>
      </w:r>
    </w:p>
    <w:p w14:paraId="28A8DF1F" w14:textId="77777777" w:rsidR="00622D06" w:rsidRPr="00A45EA5" w:rsidRDefault="00622D06" w:rsidP="00B879B5">
      <w:pPr>
        <w:pStyle w:val="ListParagraph"/>
        <w:numPr>
          <w:ilvl w:val="0"/>
          <w:numId w:val="17"/>
        </w:numPr>
        <w:rPr>
          <w:sz w:val="24"/>
          <w:szCs w:val="22"/>
        </w:rPr>
      </w:pPr>
      <w:r w:rsidRPr="00A45EA5">
        <w:rPr>
          <w:sz w:val="24"/>
          <w:szCs w:val="22"/>
        </w:rPr>
        <w:t>engages in any other unwelcome conduct of a sexual nature in relation to the other person;</w:t>
      </w:r>
    </w:p>
    <w:p w14:paraId="71847BF4" w14:textId="77777777" w:rsidR="00622D06" w:rsidRPr="00A45EA5" w:rsidRDefault="00622D06" w:rsidP="00622D06">
      <w:pPr>
        <w:rPr>
          <w:sz w:val="24"/>
          <w:szCs w:val="22"/>
        </w:rPr>
      </w:pPr>
    </w:p>
    <w:p w14:paraId="02943BBA" w14:textId="77777777" w:rsidR="00622D06" w:rsidRPr="00A45EA5" w:rsidRDefault="00622D06" w:rsidP="00622D06">
      <w:pPr>
        <w:rPr>
          <w:sz w:val="24"/>
          <w:szCs w:val="22"/>
        </w:rPr>
      </w:pPr>
      <w:r w:rsidRPr="00A45EA5">
        <w:rPr>
          <w:sz w:val="24"/>
          <w:szCs w:val="22"/>
        </w:rPr>
        <w:t xml:space="preserve">and the person engaging in the conduct described in paragraphs (a), (b), (c) or (d) does so – </w:t>
      </w:r>
    </w:p>
    <w:p w14:paraId="0BC3FA42" w14:textId="77777777" w:rsidR="00622D06" w:rsidRPr="00A45EA5" w:rsidRDefault="00622D06" w:rsidP="00622D06">
      <w:pPr>
        <w:rPr>
          <w:sz w:val="24"/>
          <w:szCs w:val="22"/>
        </w:rPr>
      </w:pPr>
    </w:p>
    <w:p w14:paraId="7864657B" w14:textId="77777777" w:rsidR="00622D06" w:rsidRPr="00A45EA5" w:rsidRDefault="00622D06" w:rsidP="00622D06">
      <w:pPr>
        <w:pStyle w:val="ListParagraph"/>
        <w:numPr>
          <w:ilvl w:val="0"/>
          <w:numId w:val="17"/>
        </w:numPr>
        <w:rPr>
          <w:sz w:val="24"/>
          <w:szCs w:val="22"/>
        </w:rPr>
      </w:pPr>
      <w:r w:rsidRPr="00A45EA5">
        <w:rPr>
          <w:sz w:val="24"/>
          <w:szCs w:val="22"/>
        </w:rPr>
        <w:t xml:space="preserve">with the intention of offending, humiliating or intimidating the other person; or </w:t>
      </w:r>
    </w:p>
    <w:p w14:paraId="3E9616A9" w14:textId="77777777" w:rsidR="00622D06" w:rsidRPr="00A45EA5" w:rsidRDefault="00622D06" w:rsidP="00622D06">
      <w:pPr>
        <w:pStyle w:val="ListParagraph"/>
        <w:numPr>
          <w:ilvl w:val="0"/>
          <w:numId w:val="17"/>
        </w:numPr>
        <w:rPr>
          <w:sz w:val="24"/>
          <w:szCs w:val="22"/>
        </w:rPr>
      </w:pPr>
      <w:r w:rsidRPr="00A45EA5">
        <w:rPr>
          <w:sz w:val="24"/>
          <w:szCs w:val="22"/>
        </w:rPr>
        <w:t xml:space="preserve">in circumstances where a reasonable person would have anticipated the possibility that the other person would be offended, humiliated or intimidated by the conduct. </w:t>
      </w:r>
    </w:p>
    <w:p w14:paraId="1EF02D2F" w14:textId="77777777" w:rsidR="00622D06" w:rsidRPr="00A45EA5" w:rsidRDefault="00622D06" w:rsidP="00622D06">
      <w:pPr>
        <w:rPr>
          <w:sz w:val="24"/>
          <w:szCs w:val="22"/>
        </w:rPr>
      </w:pPr>
    </w:p>
    <w:p w14:paraId="7F022B1A" w14:textId="77777777" w:rsidR="00622D06" w:rsidRPr="00A45EA5" w:rsidRDefault="00622D06" w:rsidP="00622D06">
      <w:pPr>
        <w:rPr>
          <w:sz w:val="24"/>
          <w:szCs w:val="22"/>
        </w:rPr>
      </w:pPr>
      <w:r w:rsidRPr="00A45EA5">
        <w:rPr>
          <w:sz w:val="24"/>
          <w:szCs w:val="22"/>
        </w:rPr>
        <w:t xml:space="preserve">The Act’s definition of sexual harassment forms a legislative minimum with which Queensland public sector agencies must comply. </w:t>
      </w:r>
    </w:p>
    <w:p w14:paraId="113C8C25" w14:textId="77777777" w:rsidR="00B879B5" w:rsidRDefault="00B879B5" w:rsidP="00B879B5"/>
    <w:p w14:paraId="5AD9191E" w14:textId="77777777" w:rsidR="00622D06" w:rsidRDefault="00622D06" w:rsidP="00622D06">
      <w:pPr>
        <w:pStyle w:val="Heading2"/>
      </w:pPr>
      <w:bookmarkStart w:id="17" w:name="_Toc45027864"/>
      <w:r>
        <w:t>What behaviour is interpreted as sexual harassment?</w:t>
      </w:r>
      <w:bookmarkEnd w:id="17"/>
    </w:p>
    <w:p w14:paraId="55A57E25" w14:textId="77777777" w:rsidR="00622D06" w:rsidRPr="00A45EA5" w:rsidRDefault="00622D06" w:rsidP="00622D06">
      <w:pPr>
        <w:rPr>
          <w:sz w:val="24"/>
          <w:szCs w:val="22"/>
        </w:rPr>
      </w:pPr>
      <w:r w:rsidRPr="00A45EA5">
        <w:rPr>
          <w:sz w:val="24"/>
          <w:szCs w:val="22"/>
        </w:rPr>
        <w:t xml:space="preserve">In its most general sense, sexual harassment is any behaviour of a sexual nature that is ‘unwelcome’. It is a form of inappropriate workplace behaviour that should be dealt with by management. </w:t>
      </w:r>
    </w:p>
    <w:p w14:paraId="48E54102" w14:textId="77777777" w:rsidR="00622D06" w:rsidRPr="00A45EA5" w:rsidRDefault="00622D06" w:rsidP="00622D06">
      <w:pPr>
        <w:rPr>
          <w:sz w:val="24"/>
          <w:szCs w:val="22"/>
        </w:rPr>
      </w:pPr>
    </w:p>
    <w:p w14:paraId="1DFBD553" w14:textId="77777777" w:rsidR="00622D06" w:rsidRPr="00A45EA5" w:rsidRDefault="00622D06" w:rsidP="00622D06">
      <w:pPr>
        <w:rPr>
          <w:sz w:val="24"/>
          <w:szCs w:val="22"/>
        </w:rPr>
      </w:pPr>
      <w:r w:rsidRPr="00A45EA5">
        <w:rPr>
          <w:sz w:val="24"/>
          <w:szCs w:val="22"/>
        </w:rPr>
        <w:t xml:space="preserve">The person who decides whether behaviours are unwelcome is the person on the receiving end. In identifying sexual harassment, the intent of the person whose behaviour caused offence may be largely immaterial, as it is the way their behaviour is received and its effects that are relevant. </w:t>
      </w:r>
    </w:p>
    <w:p w14:paraId="6133A4B2" w14:textId="77777777" w:rsidR="00622D06" w:rsidRPr="00A45EA5" w:rsidRDefault="00622D06" w:rsidP="00622D06">
      <w:pPr>
        <w:rPr>
          <w:sz w:val="24"/>
          <w:szCs w:val="22"/>
        </w:rPr>
      </w:pPr>
    </w:p>
    <w:p w14:paraId="15422ED0" w14:textId="77777777" w:rsidR="00622D06" w:rsidRPr="00A45EA5" w:rsidRDefault="00622D06" w:rsidP="00622D06">
      <w:pPr>
        <w:rPr>
          <w:sz w:val="24"/>
          <w:szCs w:val="22"/>
        </w:rPr>
      </w:pPr>
      <w:r w:rsidRPr="00A45EA5">
        <w:rPr>
          <w:sz w:val="24"/>
          <w:szCs w:val="22"/>
        </w:rPr>
        <w:lastRenderedPageBreak/>
        <w:t xml:space="preserve">When considering whether behaviour constitutes sexual harassment, it is important to remember the application of the reasonable person test, as explained in Section 119 (f) of the Act. Also, what constitutes sexual harassment to one person may be acceptable and inoffensive behaviour to another. Different social or cultural backgrounds may lead people to perceive the same conduct differently. It is also important to note that sexual harassment may involve a single incident or series of incidents. There does not necessarily have to be continuing inappropriate sexual conduct for the behaviour to be regarded as sexual harassment. </w:t>
      </w:r>
    </w:p>
    <w:p w14:paraId="270A957D" w14:textId="77777777" w:rsidR="00622D06" w:rsidRDefault="00622D06" w:rsidP="00622D06">
      <w:pPr>
        <w:rPr>
          <w:sz w:val="22"/>
          <w:szCs w:val="22"/>
        </w:rPr>
      </w:pPr>
    </w:p>
    <w:p w14:paraId="5C15B187" w14:textId="77777777" w:rsidR="00622D06" w:rsidRDefault="00622D06" w:rsidP="00622D06">
      <w:pPr>
        <w:pStyle w:val="Heading1"/>
      </w:pPr>
      <w:bookmarkStart w:id="18" w:name="_Toc45027865"/>
      <w:r>
        <w:t>Other inappropriate behaviour</w:t>
      </w:r>
      <w:bookmarkEnd w:id="18"/>
    </w:p>
    <w:p w14:paraId="47486F12" w14:textId="39B2B044" w:rsidR="00622D06" w:rsidRPr="00A45EA5" w:rsidRDefault="00622D06" w:rsidP="00622D06">
      <w:pPr>
        <w:rPr>
          <w:sz w:val="24"/>
          <w:szCs w:val="22"/>
        </w:rPr>
      </w:pPr>
      <w:r w:rsidRPr="00A45EA5">
        <w:rPr>
          <w:sz w:val="24"/>
          <w:szCs w:val="22"/>
        </w:rPr>
        <w:t xml:space="preserve">Other types of behaviour occurring in the workplace may seem inappropriate or unfair, but are not covered under legislation because they are not linked to the person’s age, sex, religion, disability or other grounds listed in legislation. The most common of these is workplace bullying or harassment. </w:t>
      </w:r>
    </w:p>
    <w:p w14:paraId="40D9D603" w14:textId="77777777" w:rsidR="00622D06" w:rsidRPr="00A45EA5" w:rsidRDefault="00622D06" w:rsidP="00622D06">
      <w:pPr>
        <w:rPr>
          <w:sz w:val="24"/>
          <w:szCs w:val="22"/>
        </w:rPr>
      </w:pPr>
    </w:p>
    <w:p w14:paraId="7FF40E13" w14:textId="77777777" w:rsidR="00C72CCE" w:rsidRPr="00A45EA5" w:rsidRDefault="00E94D9E" w:rsidP="00622D06">
      <w:pPr>
        <w:rPr>
          <w:sz w:val="24"/>
          <w:szCs w:val="22"/>
        </w:rPr>
      </w:pPr>
      <w:r w:rsidRPr="00A45EA5">
        <w:rPr>
          <w:sz w:val="24"/>
          <w:szCs w:val="22"/>
        </w:rPr>
        <w:t xml:space="preserve">Workplace bullying or harassment is repeated and unreasonable behaviour directed towards a worker or a group of workers that creates a risk to health and safety. It is a risk to health and safety because it may affect the mental and physical health of workers. </w:t>
      </w:r>
    </w:p>
    <w:p w14:paraId="50CCD8B3" w14:textId="77777777" w:rsidR="00E94D9E" w:rsidRPr="00A45EA5" w:rsidRDefault="00E94D9E" w:rsidP="00622D06">
      <w:pPr>
        <w:rPr>
          <w:sz w:val="24"/>
          <w:szCs w:val="22"/>
        </w:rPr>
      </w:pPr>
    </w:p>
    <w:p w14:paraId="5DA23726" w14:textId="77777777" w:rsidR="00E94D9E" w:rsidRPr="00A45EA5" w:rsidRDefault="00E94D9E" w:rsidP="00622D06">
      <w:pPr>
        <w:rPr>
          <w:sz w:val="24"/>
          <w:szCs w:val="22"/>
        </w:rPr>
      </w:pPr>
      <w:r w:rsidRPr="00A45EA5">
        <w:rPr>
          <w:sz w:val="24"/>
          <w:szCs w:val="22"/>
        </w:rPr>
        <w:t>This type of behaviour is incompatible with professional, efficiently run workplaces and is unacceptable to management of the QHRC (see Workplace behaviour policy and Code of Conduct for Queensland public service).</w:t>
      </w:r>
    </w:p>
    <w:p w14:paraId="332A8AC4" w14:textId="77777777" w:rsidR="00E94D9E" w:rsidRPr="00A45EA5" w:rsidRDefault="00E94D9E" w:rsidP="00622D06">
      <w:pPr>
        <w:rPr>
          <w:sz w:val="24"/>
          <w:szCs w:val="22"/>
        </w:rPr>
      </w:pPr>
    </w:p>
    <w:p w14:paraId="021A5281" w14:textId="77777777" w:rsidR="00E94D9E" w:rsidRPr="00A45EA5" w:rsidRDefault="00E94D9E" w:rsidP="00622D06">
      <w:pPr>
        <w:rPr>
          <w:sz w:val="24"/>
          <w:szCs w:val="22"/>
        </w:rPr>
      </w:pPr>
      <w:r w:rsidRPr="00A45EA5">
        <w:rPr>
          <w:sz w:val="24"/>
          <w:szCs w:val="22"/>
        </w:rPr>
        <w:t xml:space="preserve">Further information on workplace harassment may be obtained from Safe Work Australia. </w:t>
      </w:r>
    </w:p>
    <w:p w14:paraId="46DBD569" w14:textId="77777777" w:rsidR="00E94D9E" w:rsidRDefault="00E94D9E" w:rsidP="00622D06">
      <w:pPr>
        <w:rPr>
          <w:sz w:val="22"/>
          <w:szCs w:val="22"/>
        </w:rPr>
      </w:pPr>
    </w:p>
    <w:p w14:paraId="7A96FFF9" w14:textId="77777777" w:rsidR="00E94D9E" w:rsidRDefault="00E94D9E" w:rsidP="00E94D9E">
      <w:pPr>
        <w:pStyle w:val="Heading1"/>
      </w:pPr>
      <w:bookmarkStart w:id="19" w:name="_Toc45027866"/>
      <w:r>
        <w:t>Preventing harassment</w:t>
      </w:r>
      <w:bookmarkEnd w:id="19"/>
    </w:p>
    <w:p w14:paraId="0DE6FAB5" w14:textId="77777777" w:rsidR="00E94D9E" w:rsidRPr="00E94D9E" w:rsidRDefault="00E94D9E" w:rsidP="00E94D9E"/>
    <w:p w14:paraId="712C9FFB" w14:textId="77777777" w:rsidR="006077BC" w:rsidRDefault="00E94D9E" w:rsidP="00E94D9E">
      <w:pPr>
        <w:pStyle w:val="Heading2"/>
      </w:pPr>
      <w:bookmarkStart w:id="20" w:name="_Toc45027867"/>
      <w:r>
        <w:t>What are my responsibilities as a staff member?</w:t>
      </w:r>
      <w:bookmarkEnd w:id="20"/>
    </w:p>
    <w:p w14:paraId="58026328" w14:textId="77777777" w:rsidR="00E94D9E" w:rsidRPr="00A45EA5" w:rsidRDefault="00E94D9E" w:rsidP="00E94D9E">
      <w:pPr>
        <w:rPr>
          <w:sz w:val="24"/>
          <w:szCs w:val="22"/>
        </w:rPr>
      </w:pPr>
      <w:r w:rsidRPr="00A45EA5">
        <w:rPr>
          <w:sz w:val="24"/>
          <w:szCs w:val="22"/>
        </w:rPr>
        <w:t xml:space="preserve">QHRC, through its Code of Conduct, requires all staff members to treat colleagues, clients and contractors with respect and dignity. The Code of Conduct specifically prohibits harassment and discrimination. </w:t>
      </w:r>
    </w:p>
    <w:p w14:paraId="6EA2E2D9" w14:textId="77777777" w:rsidR="00E94D9E" w:rsidRPr="00A45EA5" w:rsidRDefault="00E94D9E" w:rsidP="00E94D9E">
      <w:pPr>
        <w:rPr>
          <w:sz w:val="24"/>
          <w:szCs w:val="22"/>
        </w:rPr>
      </w:pPr>
    </w:p>
    <w:p w14:paraId="79E59F8E" w14:textId="77777777" w:rsidR="003E014D" w:rsidRPr="00A45EA5" w:rsidRDefault="00E94D9E" w:rsidP="00E94D9E">
      <w:pPr>
        <w:rPr>
          <w:sz w:val="24"/>
          <w:szCs w:val="22"/>
        </w:rPr>
      </w:pPr>
      <w:r w:rsidRPr="00A45EA5">
        <w:rPr>
          <w:sz w:val="24"/>
          <w:szCs w:val="22"/>
        </w:rPr>
        <w:t>Harassment will not be tolerated at QHRC.</w:t>
      </w:r>
      <w:r w:rsidR="003E014D" w:rsidRPr="00A45EA5">
        <w:rPr>
          <w:sz w:val="24"/>
          <w:szCs w:val="22"/>
        </w:rPr>
        <w:t xml:space="preserve"> All staff are responsible for: </w:t>
      </w:r>
    </w:p>
    <w:p w14:paraId="79270D2F" w14:textId="77777777" w:rsidR="00E94D9E" w:rsidRPr="00A45EA5" w:rsidRDefault="003E014D" w:rsidP="003E014D">
      <w:pPr>
        <w:pStyle w:val="ListParagraph"/>
        <w:numPr>
          <w:ilvl w:val="0"/>
          <w:numId w:val="18"/>
        </w:numPr>
        <w:rPr>
          <w:sz w:val="24"/>
          <w:szCs w:val="22"/>
        </w:rPr>
      </w:pPr>
      <w:r w:rsidRPr="00A45EA5">
        <w:rPr>
          <w:sz w:val="24"/>
          <w:szCs w:val="22"/>
        </w:rPr>
        <w:t xml:space="preserve">ensuring that they avoid perpetrating harassment. If any behaviour could be perceived to be harassment, then officers should not engage in such behaviour or cease the behaviour immediately. </w:t>
      </w:r>
    </w:p>
    <w:p w14:paraId="6A31B4FD" w14:textId="77777777" w:rsidR="003E014D" w:rsidRPr="00A45EA5" w:rsidRDefault="003E014D" w:rsidP="003E014D">
      <w:pPr>
        <w:pStyle w:val="ListParagraph"/>
        <w:numPr>
          <w:ilvl w:val="0"/>
          <w:numId w:val="18"/>
        </w:numPr>
        <w:rPr>
          <w:sz w:val="24"/>
          <w:szCs w:val="22"/>
        </w:rPr>
      </w:pPr>
      <w:r w:rsidRPr="00A45EA5">
        <w:rPr>
          <w:sz w:val="24"/>
          <w:szCs w:val="22"/>
        </w:rPr>
        <w:t xml:space="preserve">Offering support to anyone affected by harassment. There is no onus on the person being harassed to say they find the conduct objectionable. Many people find it difficult to speak up. </w:t>
      </w:r>
    </w:p>
    <w:p w14:paraId="0FF943ED" w14:textId="77777777" w:rsidR="003E014D" w:rsidRPr="00A45EA5" w:rsidRDefault="003E014D" w:rsidP="003E014D">
      <w:pPr>
        <w:pStyle w:val="ListParagraph"/>
        <w:numPr>
          <w:ilvl w:val="0"/>
          <w:numId w:val="18"/>
        </w:numPr>
        <w:rPr>
          <w:sz w:val="24"/>
          <w:szCs w:val="22"/>
        </w:rPr>
      </w:pPr>
      <w:r w:rsidRPr="00A45EA5">
        <w:rPr>
          <w:sz w:val="24"/>
          <w:szCs w:val="22"/>
        </w:rPr>
        <w:t xml:space="preserve">Reporting any example of harassment that they observe to their manager, supervisor or Equity Contact Officer. </w:t>
      </w:r>
    </w:p>
    <w:p w14:paraId="68AF91CB" w14:textId="77777777" w:rsidR="003E014D" w:rsidRPr="00A45EA5" w:rsidRDefault="003E014D" w:rsidP="003E014D">
      <w:pPr>
        <w:rPr>
          <w:sz w:val="24"/>
          <w:szCs w:val="22"/>
        </w:rPr>
      </w:pPr>
    </w:p>
    <w:p w14:paraId="32790984" w14:textId="77777777" w:rsidR="003E014D" w:rsidRPr="00A45EA5" w:rsidRDefault="003E014D" w:rsidP="003E014D">
      <w:pPr>
        <w:rPr>
          <w:sz w:val="24"/>
          <w:szCs w:val="22"/>
        </w:rPr>
      </w:pPr>
      <w:r w:rsidRPr="00A45EA5">
        <w:rPr>
          <w:sz w:val="24"/>
          <w:szCs w:val="22"/>
        </w:rPr>
        <w:t xml:space="preserve">All staff are responsible for their own behaviour. Staff are also responsible for any complaints they may lodge. They should be aware that frivolous, fabricated or vexatious complaints might result in management initiating disciplinary action against the complainant. </w:t>
      </w:r>
    </w:p>
    <w:p w14:paraId="686ECE97" w14:textId="77777777" w:rsidR="003E014D" w:rsidRPr="00A45EA5" w:rsidRDefault="003E014D" w:rsidP="003E014D">
      <w:pPr>
        <w:rPr>
          <w:sz w:val="24"/>
          <w:szCs w:val="22"/>
        </w:rPr>
      </w:pPr>
    </w:p>
    <w:p w14:paraId="7DF85530" w14:textId="77777777" w:rsidR="003E014D" w:rsidRDefault="003E014D" w:rsidP="003E014D">
      <w:pPr>
        <w:pStyle w:val="Heading2"/>
      </w:pPr>
      <w:bookmarkStart w:id="21" w:name="_Toc45027868"/>
      <w:r>
        <w:t>What are my responsibilities as a manager/supervisor?</w:t>
      </w:r>
      <w:bookmarkEnd w:id="21"/>
    </w:p>
    <w:p w14:paraId="3AE90694" w14:textId="77777777" w:rsidR="003E014D" w:rsidRPr="00A45EA5" w:rsidRDefault="003E014D" w:rsidP="003E014D">
      <w:pPr>
        <w:rPr>
          <w:sz w:val="24"/>
          <w:szCs w:val="22"/>
        </w:rPr>
      </w:pPr>
      <w:r w:rsidRPr="00A45EA5">
        <w:rPr>
          <w:sz w:val="24"/>
          <w:szCs w:val="22"/>
        </w:rPr>
        <w:t xml:space="preserve">Managers and organisations can incur legal liability and costs for allowing such behaviour to occur. Discrimination and sexual harassment can seriously affect productivity, service </w:t>
      </w:r>
      <w:r w:rsidRPr="00A45EA5">
        <w:rPr>
          <w:sz w:val="24"/>
          <w:szCs w:val="22"/>
        </w:rPr>
        <w:lastRenderedPageBreak/>
        <w:t xml:space="preserve">delivery and the health and careers of staff. Management, therefore, has a compelling interest in preventing it. </w:t>
      </w:r>
    </w:p>
    <w:p w14:paraId="18AE2439" w14:textId="77777777" w:rsidR="003E014D" w:rsidRPr="00A45EA5" w:rsidRDefault="003E014D" w:rsidP="003E014D">
      <w:pPr>
        <w:rPr>
          <w:sz w:val="24"/>
          <w:szCs w:val="22"/>
        </w:rPr>
      </w:pPr>
    </w:p>
    <w:p w14:paraId="6BB06AFB" w14:textId="77777777" w:rsidR="003E014D" w:rsidRPr="00A45EA5" w:rsidRDefault="003E014D" w:rsidP="003E014D">
      <w:pPr>
        <w:rPr>
          <w:sz w:val="24"/>
          <w:szCs w:val="22"/>
        </w:rPr>
      </w:pPr>
      <w:r w:rsidRPr="00A45EA5">
        <w:rPr>
          <w:sz w:val="24"/>
          <w:szCs w:val="22"/>
        </w:rPr>
        <w:t xml:space="preserve">In discharging their responsibility, managers need to ensure they are conversant with this policy and their responsibilities. In particular, managers are expected to explain and model appropriate workplace behaviour and monitor the behaviour of staff to prevent any harassment or discrimination. </w:t>
      </w:r>
    </w:p>
    <w:p w14:paraId="6A051BF0" w14:textId="77777777" w:rsidR="003E014D" w:rsidRPr="00A45EA5" w:rsidRDefault="003E014D" w:rsidP="003E014D">
      <w:pPr>
        <w:rPr>
          <w:sz w:val="24"/>
          <w:szCs w:val="22"/>
        </w:rPr>
      </w:pPr>
    </w:p>
    <w:p w14:paraId="610DB0A9" w14:textId="77777777" w:rsidR="003E014D" w:rsidRPr="00A45EA5" w:rsidRDefault="003E014D" w:rsidP="003E014D">
      <w:pPr>
        <w:rPr>
          <w:sz w:val="24"/>
          <w:szCs w:val="22"/>
        </w:rPr>
      </w:pPr>
      <w:r w:rsidRPr="00A45EA5">
        <w:rPr>
          <w:sz w:val="24"/>
          <w:szCs w:val="22"/>
        </w:rPr>
        <w:t>In addition to the responsibilities outlined in this and other QHRC policies, managers also have a responsibility to ensure that staff are protected from harassment and/or discrimination, as outlined in:</w:t>
      </w:r>
    </w:p>
    <w:p w14:paraId="653F2181" w14:textId="77777777" w:rsidR="003E014D" w:rsidRPr="00A45EA5" w:rsidRDefault="003E014D" w:rsidP="003E014D">
      <w:pPr>
        <w:pStyle w:val="ListParagraph"/>
        <w:numPr>
          <w:ilvl w:val="0"/>
          <w:numId w:val="19"/>
        </w:numPr>
        <w:rPr>
          <w:i/>
          <w:sz w:val="24"/>
          <w:szCs w:val="22"/>
        </w:rPr>
      </w:pPr>
      <w:r w:rsidRPr="00A45EA5">
        <w:rPr>
          <w:i/>
          <w:sz w:val="24"/>
          <w:szCs w:val="22"/>
        </w:rPr>
        <w:t>Anti-Discrimination Act 1991</w:t>
      </w:r>
    </w:p>
    <w:p w14:paraId="41F53119" w14:textId="77777777" w:rsidR="003E014D" w:rsidRPr="00A45EA5" w:rsidRDefault="003E014D" w:rsidP="003E014D">
      <w:pPr>
        <w:pStyle w:val="ListParagraph"/>
        <w:numPr>
          <w:ilvl w:val="0"/>
          <w:numId w:val="19"/>
        </w:numPr>
        <w:rPr>
          <w:i/>
          <w:sz w:val="24"/>
          <w:szCs w:val="22"/>
        </w:rPr>
      </w:pPr>
      <w:r w:rsidRPr="00A45EA5">
        <w:rPr>
          <w:i/>
          <w:sz w:val="24"/>
          <w:szCs w:val="22"/>
        </w:rPr>
        <w:t>Work Health and Safety Act 2011</w:t>
      </w:r>
    </w:p>
    <w:p w14:paraId="766960BF" w14:textId="77777777" w:rsidR="00782356" w:rsidRPr="00A45EA5" w:rsidRDefault="00782356" w:rsidP="003E014D">
      <w:pPr>
        <w:pStyle w:val="ListParagraph"/>
        <w:numPr>
          <w:ilvl w:val="0"/>
          <w:numId w:val="19"/>
        </w:numPr>
        <w:rPr>
          <w:sz w:val="24"/>
          <w:szCs w:val="22"/>
        </w:rPr>
      </w:pPr>
      <w:r w:rsidRPr="00A45EA5">
        <w:rPr>
          <w:sz w:val="24"/>
          <w:szCs w:val="22"/>
        </w:rPr>
        <w:t>Code of Conduct for Queensland public service</w:t>
      </w:r>
    </w:p>
    <w:p w14:paraId="43B18954" w14:textId="77777777" w:rsidR="00782356" w:rsidRPr="00A45EA5" w:rsidRDefault="00782356" w:rsidP="003E014D">
      <w:pPr>
        <w:pStyle w:val="ListParagraph"/>
        <w:numPr>
          <w:ilvl w:val="0"/>
          <w:numId w:val="19"/>
        </w:numPr>
        <w:rPr>
          <w:sz w:val="24"/>
          <w:szCs w:val="22"/>
        </w:rPr>
      </w:pPr>
      <w:r w:rsidRPr="00A45EA5">
        <w:rPr>
          <w:i/>
          <w:sz w:val="24"/>
          <w:szCs w:val="22"/>
        </w:rPr>
        <w:t>Equal Opportunity in Public Employment Act 1992</w:t>
      </w:r>
      <w:r w:rsidRPr="00A45EA5">
        <w:rPr>
          <w:sz w:val="24"/>
          <w:szCs w:val="22"/>
        </w:rPr>
        <w:t>; and</w:t>
      </w:r>
    </w:p>
    <w:p w14:paraId="0CEE44CB" w14:textId="42AE8E52" w:rsidR="00782356" w:rsidRPr="00A45EA5" w:rsidRDefault="001D6ED6" w:rsidP="003E014D">
      <w:pPr>
        <w:pStyle w:val="ListParagraph"/>
        <w:numPr>
          <w:ilvl w:val="0"/>
          <w:numId w:val="19"/>
        </w:numPr>
        <w:rPr>
          <w:sz w:val="24"/>
          <w:szCs w:val="22"/>
        </w:rPr>
      </w:pPr>
      <w:r>
        <w:rPr>
          <w:sz w:val="24"/>
          <w:szCs w:val="22"/>
        </w:rPr>
        <w:t>Individual employee grievances Directive 11/20</w:t>
      </w:r>
    </w:p>
    <w:p w14:paraId="2BD1DB17" w14:textId="77777777" w:rsidR="006077BC" w:rsidRPr="00A45EA5" w:rsidRDefault="006077BC" w:rsidP="006077BC">
      <w:pPr>
        <w:rPr>
          <w:sz w:val="22"/>
        </w:rPr>
      </w:pPr>
    </w:p>
    <w:p w14:paraId="2CCED5CD" w14:textId="77777777" w:rsidR="00782356" w:rsidRPr="00A45EA5" w:rsidRDefault="00782356" w:rsidP="006077BC">
      <w:pPr>
        <w:rPr>
          <w:sz w:val="24"/>
          <w:szCs w:val="22"/>
        </w:rPr>
      </w:pPr>
      <w:r w:rsidRPr="00A45EA5">
        <w:rPr>
          <w:sz w:val="24"/>
          <w:szCs w:val="22"/>
        </w:rPr>
        <w:t xml:space="preserve">Section 98 of the </w:t>
      </w:r>
      <w:r w:rsidRPr="00A45EA5">
        <w:rPr>
          <w:i/>
          <w:sz w:val="24"/>
          <w:szCs w:val="22"/>
        </w:rPr>
        <w:t>Public Service Act 2008</w:t>
      </w:r>
      <w:r w:rsidRPr="00A45EA5">
        <w:rPr>
          <w:sz w:val="24"/>
          <w:szCs w:val="22"/>
        </w:rPr>
        <w:t xml:space="preserve"> also requires chief executives to ensure that all agency employees are treated fairly. </w:t>
      </w:r>
    </w:p>
    <w:p w14:paraId="15ECE826" w14:textId="77777777" w:rsidR="00782356" w:rsidRPr="00A45EA5" w:rsidRDefault="00782356" w:rsidP="006077BC">
      <w:pPr>
        <w:rPr>
          <w:sz w:val="24"/>
          <w:szCs w:val="22"/>
        </w:rPr>
      </w:pPr>
    </w:p>
    <w:p w14:paraId="3C92C901" w14:textId="5C8A710A" w:rsidR="00782356" w:rsidRPr="00A45EA5" w:rsidRDefault="00782356" w:rsidP="006077BC">
      <w:pPr>
        <w:rPr>
          <w:sz w:val="24"/>
          <w:szCs w:val="22"/>
        </w:rPr>
      </w:pPr>
      <w:r w:rsidRPr="00A45EA5">
        <w:rPr>
          <w:sz w:val="24"/>
          <w:szCs w:val="22"/>
        </w:rPr>
        <w:t xml:space="preserve">A manager or supervisor also needs to be particularly aware of the concept of vicarious liability. That is, liability for the actions of others, especially employees or agents. One of the purposes of the </w:t>
      </w:r>
      <w:r w:rsidRPr="00A45EA5">
        <w:rPr>
          <w:i/>
          <w:sz w:val="24"/>
          <w:szCs w:val="22"/>
        </w:rPr>
        <w:t xml:space="preserve">Anti-Discrimination Act 1991 </w:t>
      </w:r>
      <w:r w:rsidRPr="00A45EA5">
        <w:rPr>
          <w:sz w:val="24"/>
          <w:szCs w:val="22"/>
        </w:rPr>
        <w:t>is to promote equality of opportunity by making a person liable for certain acts of the</w:t>
      </w:r>
      <w:r w:rsidR="00B1384F" w:rsidRPr="00A45EA5">
        <w:rPr>
          <w:sz w:val="24"/>
          <w:szCs w:val="22"/>
        </w:rPr>
        <w:t>i</w:t>
      </w:r>
      <w:r w:rsidRPr="00A45EA5">
        <w:rPr>
          <w:sz w:val="24"/>
          <w:szCs w:val="22"/>
        </w:rPr>
        <w:t xml:space="preserve">r employees or agents. </w:t>
      </w:r>
    </w:p>
    <w:p w14:paraId="663604FA" w14:textId="77777777" w:rsidR="00782356" w:rsidRPr="00A45EA5" w:rsidRDefault="00782356" w:rsidP="006077BC">
      <w:pPr>
        <w:rPr>
          <w:sz w:val="24"/>
          <w:szCs w:val="22"/>
        </w:rPr>
      </w:pPr>
    </w:p>
    <w:p w14:paraId="4169CDF3" w14:textId="77777777" w:rsidR="00782356" w:rsidRPr="00A45EA5" w:rsidRDefault="00782356" w:rsidP="006077BC">
      <w:pPr>
        <w:rPr>
          <w:sz w:val="24"/>
          <w:szCs w:val="22"/>
        </w:rPr>
      </w:pPr>
      <w:r w:rsidRPr="00A45EA5">
        <w:rPr>
          <w:sz w:val="24"/>
          <w:szCs w:val="22"/>
        </w:rPr>
        <w:t xml:space="preserve">Section 133 of the Act explains the vicarious liability provisions pertaining to matters of discrimination. Managers are encouraged to familiarise themselves with their responsibilities in this regard, and to read QHRC’s Vicarious liability policy. </w:t>
      </w:r>
    </w:p>
    <w:p w14:paraId="130EC908" w14:textId="77777777" w:rsidR="00782356" w:rsidRPr="00A45EA5" w:rsidRDefault="00782356" w:rsidP="006077BC">
      <w:pPr>
        <w:rPr>
          <w:sz w:val="24"/>
          <w:szCs w:val="22"/>
        </w:rPr>
      </w:pPr>
    </w:p>
    <w:p w14:paraId="39430502" w14:textId="77777777" w:rsidR="00782356" w:rsidRPr="00A45EA5" w:rsidRDefault="00782356" w:rsidP="006077BC">
      <w:pPr>
        <w:rPr>
          <w:sz w:val="24"/>
          <w:szCs w:val="22"/>
        </w:rPr>
      </w:pPr>
      <w:r w:rsidRPr="00A45EA5">
        <w:rPr>
          <w:sz w:val="24"/>
          <w:szCs w:val="22"/>
        </w:rPr>
        <w:t xml:space="preserve">It is important to note that, where a case proceeds under the </w:t>
      </w:r>
      <w:r w:rsidRPr="00A45EA5">
        <w:rPr>
          <w:i/>
          <w:sz w:val="24"/>
          <w:szCs w:val="22"/>
        </w:rPr>
        <w:t xml:space="preserve">Anti-Discrimination Act 1991, </w:t>
      </w:r>
      <w:r w:rsidRPr="00A45EA5">
        <w:rPr>
          <w:sz w:val="24"/>
          <w:szCs w:val="22"/>
        </w:rPr>
        <w:t xml:space="preserve">managers need to be able to demonstrate that all reasonable steps were taken to prevent discrimination and sexual harassment. It is not enough to show that the organisation has a mission statement, or policy forbidding discrimination and sexual harassment. Managers need to demonstrate, for example, evidence of training and/or induction conducted, lists of people attending and when. </w:t>
      </w:r>
    </w:p>
    <w:p w14:paraId="5B23F40B" w14:textId="77777777" w:rsidR="00782356" w:rsidRDefault="00782356" w:rsidP="006077BC">
      <w:pPr>
        <w:rPr>
          <w:sz w:val="22"/>
          <w:szCs w:val="22"/>
        </w:rPr>
      </w:pPr>
    </w:p>
    <w:p w14:paraId="0D562D6E" w14:textId="77777777" w:rsidR="00782356" w:rsidRDefault="00782356" w:rsidP="00782356">
      <w:pPr>
        <w:pStyle w:val="Heading2"/>
      </w:pPr>
      <w:bookmarkStart w:id="22" w:name="_Toc45027869"/>
      <w:r>
        <w:t>What is victimisation?</w:t>
      </w:r>
      <w:bookmarkEnd w:id="22"/>
    </w:p>
    <w:p w14:paraId="3E1989DC" w14:textId="3371422C" w:rsidR="00782356" w:rsidRPr="00A45EA5" w:rsidRDefault="00782356" w:rsidP="00782356">
      <w:pPr>
        <w:rPr>
          <w:sz w:val="24"/>
          <w:szCs w:val="22"/>
        </w:rPr>
      </w:pPr>
      <w:r w:rsidRPr="00A45EA5">
        <w:rPr>
          <w:sz w:val="24"/>
          <w:szCs w:val="22"/>
        </w:rPr>
        <w:t>Victimisation happens when someone who believes th</w:t>
      </w:r>
      <w:r w:rsidR="008818B4" w:rsidRPr="00A45EA5">
        <w:rPr>
          <w:sz w:val="24"/>
          <w:szCs w:val="22"/>
        </w:rPr>
        <w:t>ey</w:t>
      </w:r>
      <w:r w:rsidRPr="00A45EA5">
        <w:rPr>
          <w:sz w:val="24"/>
          <w:szCs w:val="22"/>
        </w:rPr>
        <w:t xml:space="preserve"> have been, or might be complained about, threatens or harasses others involved in the complaint. Under the </w:t>
      </w:r>
      <w:r w:rsidRPr="00A45EA5">
        <w:rPr>
          <w:i/>
          <w:sz w:val="24"/>
          <w:szCs w:val="22"/>
        </w:rPr>
        <w:t xml:space="preserve">Anti-Discrimination Act 1991, </w:t>
      </w:r>
      <w:r w:rsidRPr="00A45EA5">
        <w:rPr>
          <w:sz w:val="24"/>
          <w:szCs w:val="22"/>
        </w:rPr>
        <w:t xml:space="preserve">this is prohibited and strong penalties can be imposed on those responsible. Any victimisation is also prohibited under this policy and in accordance with QHRC’s Code of Conduct. </w:t>
      </w:r>
    </w:p>
    <w:p w14:paraId="74CA9FE6" w14:textId="77777777" w:rsidR="00782356" w:rsidRDefault="00782356" w:rsidP="00782356">
      <w:pPr>
        <w:rPr>
          <w:sz w:val="22"/>
          <w:szCs w:val="22"/>
        </w:rPr>
      </w:pPr>
    </w:p>
    <w:p w14:paraId="1C6538BD" w14:textId="77777777" w:rsidR="00782356" w:rsidRDefault="00782356" w:rsidP="00782356">
      <w:pPr>
        <w:pStyle w:val="Heading2"/>
      </w:pPr>
      <w:bookmarkStart w:id="23" w:name="_Toc45027870"/>
      <w:r>
        <w:t>What is the role of the union?</w:t>
      </w:r>
      <w:bookmarkEnd w:id="23"/>
    </w:p>
    <w:p w14:paraId="723E59A3" w14:textId="77777777" w:rsidR="00782356" w:rsidRPr="00A45EA5" w:rsidRDefault="00B24850" w:rsidP="00782356">
      <w:pPr>
        <w:rPr>
          <w:sz w:val="24"/>
          <w:szCs w:val="22"/>
        </w:rPr>
      </w:pPr>
      <w:r w:rsidRPr="00A45EA5">
        <w:rPr>
          <w:sz w:val="24"/>
          <w:szCs w:val="22"/>
        </w:rPr>
        <w:t xml:space="preserve">Staff are entitled to contact their union (local union delegate and/or union official) at any time. This is true for both employees who report discrimination or sexual harassment and those employees who have complaints made against them. The union’s role is a supportive one and at times may involve acting on an employee’s behalf. Unions will also advise on award conditions. </w:t>
      </w:r>
    </w:p>
    <w:p w14:paraId="5D01BE25" w14:textId="77777777" w:rsidR="00B24850" w:rsidRDefault="00B24850" w:rsidP="00782356">
      <w:pPr>
        <w:rPr>
          <w:sz w:val="22"/>
          <w:szCs w:val="22"/>
        </w:rPr>
      </w:pPr>
    </w:p>
    <w:p w14:paraId="26E87C11" w14:textId="77777777" w:rsidR="00B24850" w:rsidRPr="00A45EA5" w:rsidRDefault="00B24850" w:rsidP="00782356">
      <w:pPr>
        <w:rPr>
          <w:sz w:val="24"/>
          <w:szCs w:val="22"/>
        </w:rPr>
      </w:pPr>
      <w:r w:rsidRPr="00A45EA5">
        <w:rPr>
          <w:sz w:val="24"/>
          <w:szCs w:val="22"/>
        </w:rPr>
        <w:lastRenderedPageBreak/>
        <w:t xml:space="preserve">It is not the role of managers, supervisors or Equity Contact Officers to contact the union on behalf of a staff member, nor is it the union’s role to resolve or investigate complaints of sexual harassment. </w:t>
      </w:r>
    </w:p>
    <w:p w14:paraId="3FEC5DDC" w14:textId="77777777" w:rsidR="00B24850" w:rsidRDefault="00B24850" w:rsidP="00782356">
      <w:pPr>
        <w:rPr>
          <w:sz w:val="22"/>
          <w:szCs w:val="22"/>
        </w:rPr>
      </w:pPr>
    </w:p>
    <w:p w14:paraId="69D997E9" w14:textId="77777777" w:rsidR="00B24850" w:rsidRDefault="00B24850" w:rsidP="00B24850">
      <w:pPr>
        <w:pStyle w:val="Heading1"/>
      </w:pPr>
      <w:bookmarkStart w:id="24" w:name="_Toc45027871"/>
      <w:r>
        <w:t>Equity Contact Officers (ECO)</w:t>
      </w:r>
      <w:bookmarkEnd w:id="24"/>
    </w:p>
    <w:p w14:paraId="5BA5C16D" w14:textId="77777777" w:rsidR="00B24850" w:rsidRPr="00B24850" w:rsidRDefault="00B24850" w:rsidP="00B24850">
      <w:pPr>
        <w:pStyle w:val="Heading2"/>
      </w:pPr>
      <w:bookmarkStart w:id="25" w:name="_Toc45027872"/>
      <w:r>
        <w:t>What is the ECO?</w:t>
      </w:r>
      <w:bookmarkEnd w:id="25"/>
    </w:p>
    <w:p w14:paraId="00FA4F23" w14:textId="77777777" w:rsidR="00B24850" w:rsidRPr="00A45EA5" w:rsidRDefault="00B24850" w:rsidP="00782356">
      <w:pPr>
        <w:rPr>
          <w:i/>
          <w:sz w:val="24"/>
          <w:szCs w:val="22"/>
        </w:rPr>
      </w:pPr>
      <w:r w:rsidRPr="00A45EA5">
        <w:rPr>
          <w:sz w:val="24"/>
          <w:szCs w:val="22"/>
        </w:rPr>
        <w:t xml:space="preserve">Equity Contact Officers are personnel specially trained to provide information to staff who are subjected to discrimination and harassment. They also assist management to take reasonable steps to prevent discrimination and harassment from occurring in the workplace and to discharge its responsibilities under the vicarious liability provisions of the </w:t>
      </w:r>
      <w:r w:rsidRPr="00A45EA5">
        <w:rPr>
          <w:i/>
          <w:sz w:val="24"/>
          <w:szCs w:val="22"/>
        </w:rPr>
        <w:t xml:space="preserve">Anti-Discrimination Act 1991. </w:t>
      </w:r>
    </w:p>
    <w:p w14:paraId="1DBAB1B5" w14:textId="77777777" w:rsidR="00B24850" w:rsidRPr="00A45EA5" w:rsidRDefault="00B24850" w:rsidP="00782356">
      <w:pPr>
        <w:rPr>
          <w:i/>
          <w:sz w:val="24"/>
          <w:szCs w:val="22"/>
        </w:rPr>
      </w:pPr>
    </w:p>
    <w:p w14:paraId="1E4024E1" w14:textId="77777777" w:rsidR="00B24850" w:rsidRPr="00A45EA5" w:rsidRDefault="00B24850" w:rsidP="00782356">
      <w:pPr>
        <w:rPr>
          <w:sz w:val="24"/>
          <w:szCs w:val="22"/>
        </w:rPr>
      </w:pPr>
      <w:r w:rsidRPr="00A45EA5">
        <w:rPr>
          <w:sz w:val="24"/>
          <w:szCs w:val="22"/>
        </w:rPr>
        <w:t xml:space="preserve">The appointment of ECOs is an indication that QHRC views discrimination and harassment seriously and will not tolerate it in its workplaces. </w:t>
      </w:r>
    </w:p>
    <w:p w14:paraId="1DD38C97" w14:textId="77777777" w:rsidR="00B24850" w:rsidRPr="00A45EA5" w:rsidRDefault="00B24850" w:rsidP="00782356">
      <w:pPr>
        <w:rPr>
          <w:sz w:val="24"/>
          <w:szCs w:val="22"/>
        </w:rPr>
      </w:pPr>
    </w:p>
    <w:p w14:paraId="57C54B91" w14:textId="77777777" w:rsidR="00B24850" w:rsidRPr="00A45EA5" w:rsidRDefault="00B24850" w:rsidP="00782356">
      <w:pPr>
        <w:rPr>
          <w:sz w:val="24"/>
          <w:szCs w:val="22"/>
        </w:rPr>
      </w:pPr>
      <w:r w:rsidRPr="00A45EA5">
        <w:rPr>
          <w:sz w:val="24"/>
          <w:szCs w:val="22"/>
        </w:rPr>
        <w:t xml:space="preserve">The responsibilities of ECOs will be in addition to those of their normal position. The number and location of ECOs will vary from time to time and they will be deployed so that every staff member has easy access to them. QHRC will provide training for ECOs, inform staff about the role and functions of ECOs through the induction process and general training. </w:t>
      </w:r>
    </w:p>
    <w:p w14:paraId="46F0DF8A" w14:textId="77777777" w:rsidR="00B24850" w:rsidRDefault="00B24850" w:rsidP="00782356">
      <w:pPr>
        <w:rPr>
          <w:sz w:val="22"/>
          <w:szCs w:val="22"/>
        </w:rPr>
      </w:pPr>
    </w:p>
    <w:p w14:paraId="21BC9BD5" w14:textId="77777777" w:rsidR="00B24850" w:rsidRDefault="00B24850" w:rsidP="00B24850">
      <w:pPr>
        <w:pStyle w:val="Heading2"/>
      </w:pPr>
      <w:bookmarkStart w:id="26" w:name="_Toc45027873"/>
      <w:r>
        <w:t>What is the role of an Equity Contact Officer?</w:t>
      </w:r>
      <w:bookmarkEnd w:id="26"/>
    </w:p>
    <w:p w14:paraId="5BB30707" w14:textId="77777777" w:rsidR="00B24850" w:rsidRPr="00A45EA5" w:rsidRDefault="00B24850" w:rsidP="00B24850">
      <w:pPr>
        <w:rPr>
          <w:sz w:val="24"/>
          <w:szCs w:val="22"/>
        </w:rPr>
      </w:pPr>
      <w:r w:rsidRPr="00A45EA5">
        <w:rPr>
          <w:sz w:val="24"/>
          <w:szCs w:val="22"/>
        </w:rPr>
        <w:t>Equity Contact Offic</w:t>
      </w:r>
      <w:r w:rsidR="00E252FC" w:rsidRPr="00A45EA5">
        <w:rPr>
          <w:sz w:val="24"/>
          <w:szCs w:val="22"/>
        </w:rPr>
        <w:t>ers (ECOs) will be required to:</w:t>
      </w:r>
    </w:p>
    <w:p w14:paraId="7E2190C6" w14:textId="77777777" w:rsidR="00B24850" w:rsidRPr="00A45EA5" w:rsidRDefault="00E252FC" w:rsidP="00B24850">
      <w:pPr>
        <w:pStyle w:val="ListParagraph"/>
        <w:numPr>
          <w:ilvl w:val="0"/>
          <w:numId w:val="20"/>
        </w:numPr>
        <w:rPr>
          <w:sz w:val="24"/>
          <w:szCs w:val="22"/>
        </w:rPr>
      </w:pPr>
      <w:r w:rsidRPr="00A45EA5">
        <w:rPr>
          <w:sz w:val="24"/>
          <w:szCs w:val="22"/>
        </w:rPr>
        <w:t>b</w:t>
      </w:r>
      <w:r w:rsidR="00B24850" w:rsidRPr="00A45EA5">
        <w:rPr>
          <w:sz w:val="24"/>
          <w:szCs w:val="22"/>
        </w:rPr>
        <w:t>ehave as a positive role model in the workplace</w:t>
      </w:r>
    </w:p>
    <w:p w14:paraId="68BBF815" w14:textId="77777777" w:rsidR="00B24850" w:rsidRPr="00A45EA5" w:rsidRDefault="00E252FC" w:rsidP="00B24850">
      <w:pPr>
        <w:pStyle w:val="ListParagraph"/>
        <w:numPr>
          <w:ilvl w:val="0"/>
          <w:numId w:val="20"/>
        </w:numPr>
        <w:rPr>
          <w:sz w:val="24"/>
          <w:szCs w:val="22"/>
        </w:rPr>
      </w:pPr>
      <w:r w:rsidRPr="00A45EA5">
        <w:rPr>
          <w:sz w:val="24"/>
          <w:szCs w:val="22"/>
        </w:rPr>
        <w:t>r</w:t>
      </w:r>
      <w:r w:rsidR="00B24850" w:rsidRPr="00A45EA5">
        <w:rPr>
          <w:sz w:val="24"/>
          <w:szCs w:val="22"/>
        </w:rPr>
        <w:t>aise staff awareness on harassment issues</w:t>
      </w:r>
    </w:p>
    <w:p w14:paraId="0E293D16" w14:textId="77777777" w:rsidR="00B24850" w:rsidRPr="00A45EA5" w:rsidRDefault="00E252FC" w:rsidP="00B24850">
      <w:pPr>
        <w:pStyle w:val="ListParagraph"/>
        <w:numPr>
          <w:ilvl w:val="0"/>
          <w:numId w:val="20"/>
        </w:numPr>
        <w:rPr>
          <w:sz w:val="24"/>
          <w:szCs w:val="22"/>
        </w:rPr>
      </w:pPr>
      <w:r w:rsidRPr="00A45EA5">
        <w:rPr>
          <w:sz w:val="24"/>
          <w:szCs w:val="22"/>
        </w:rPr>
        <w:t>g</w:t>
      </w:r>
      <w:r w:rsidR="00B24850" w:rsidRPr="00A45EA5">
        <w:rPr>
          <w:sz w:val="24"/>
          <w:szCs w:val="22"/>
        </w:rPr>
        <w:t xml:space="preserve">ive advice on options available and information to staff who believe they are being subjected to discrimination or harassment – they will listen and discuss options for resolving a complaint; </w:t>
      </w:r>
    </w:p>
    <w:p w14:paraId="5F192758" w14:textId="77777777" w:rsidR="00B24850" w:rsidRPr="00A45EA5" w:rsidRDefault="00E252FC" w:rsidP="00B24850">
      <w:pPr>
        <w:pStyle w:val="ListParagraph"/>
        <w:numPr>
          <w:ilvl w:val="0"/>
          <w:numId w:val="20"/>
        </w:numPr>
        <w:rPr>
          <w:sz w:val="24"/>
          <w:szCs w:val="22"/>
        </w:rPr>
      </w:pPr>
      <w:r w:rsidRPr="00A45EA5">
        <w:rPr>
          <w:sz w:val="24"/>
          <w:szCs w:val="22"/>
        </w:rPr>
        <w:t>a</w:t>
      </w:r>
      <w:r w:rsidR="00B24850" w:rsidRPr="00A45EA5">
        <w:rPr>
          <w:sz w:val="24"/>
          <w:szCs w:val="22"/>
        </w:rPr>
        <w:t xml:space="preserve">ct as a resource for providing information to any staff member about the nature of discrimination or harassment, its effect and complaint resolution mechanisms; and </w:t>
      </w:r>
    </w:p>
    <w:p w14:paraId="63073734" w14:textId="77777777" w:rsidR="00B24850" w:rsidRPr="00A45EA5" w:rsidRDefault="00E252FC" w:rsidP="00B24850">
      <w:pPr>
        <w:pStyle w:val="ListParagraph"/>
        <w:numPr>
          <w:ilvl w:val="0"/>
          <w:numId w:val="20"/>
        </w:numPr>
        <w:rPr>
          <w:sz w:val="24"/>
          <w:szCs w:val="22"/>
        </w:rPr>
      </w:pPr>
      <w:r w:rsidRPr="00A45EA5">
        <w:rPr>
          <w:sz w:val="24"/>
          <w:szCs w:val="22"/>
        </w:rPr>
        <w:t>p</w:t>
      </w:r>
      <w:r w:rsidR="00B24850" w:rsidRPr="00A45EA5">
        <w:rPr>
          <w:sz w:val="24"/>
          <w:szCs w:val="22"/>
        </w:rPr>
        <w:t>rovide de-identified statistics to the Exec</w:t>
      </w:r>
      <w:r w:rsidRPr="00A45EA5">
        <w:rPr>
          <w:sz w:val="24"/>
          <w:szCs w:val="22"/>
        </w:rPr>
        <w:t xml:space="preserve">utive Leadership Team on a quarterly basis for identification of trends and action as necessary. </w:t>
      </w:r>
    </w:p>
    <w:p w14:paraId="26DDB6BC" w14:textId="77777777" w:rsidR="00B24850" w:rsidRDefault="00B24850" w:rsidP="00782356">
      <w:pPr>
        <w:rPr>
          <w:sz w:val="22"/>
          <w:szCs w:val="22"/>
        </w:rPr>
      </w:pPr>
    </w:p>
    <w:p w14:paraId="22B812E8" w14:textId="77777777" w:rsidR="00E252FC" w:rsidRDefault="00E252FC" w:rsidP="00E252FC">
      <w:pPr>
        <w:pStyle w:val="Heading2"/>
      </w:pPr>
      <w:bookmarkStart w:id="27" w:name="_Toc45027874"/>
      <w:r>
        <w:t>What support is available to Equity Contact Officers?</w:t>
      </w:r>
      <w:bookmarkEnd w:id="27"/>
    </w:p>
    <w:p w14:paraId="0ABA0223" w14:textId="77777777" w:rsidR="00E252FC" w:rsidRPr="00A45EA5" w:rsidRDefault="00E252FC" w:rsidP="00E252FC">
      <w:pPr>
        <w:rPr>
          <w:sz w:val="24"/>
          <w:szCs w:val="22"/>
        </w:rPr>
      </w:pPr>
      <w:r w:rsidRPr="00A45EA5">
        <w:rPr>
          <w:sz w:val="24"/>
          <w:szCs w:val="22"/>
        </w:rPr>
        <w:t xml:space="preserve">The Deputy Commissioner can assist ECOs where: </w:t>
      </w:r>
    </w:p>
    <w:p w14:paraId="1CF0A081" w14:textId="77777777" w:rsidR="00E252FC" w:rsidRPr="00A45EA5" w:rsidRDefault="00E252FC" w:rsidP="00E252FC">
      <w:pPr>
        <w:pStyle w:val="ListParagraph"/>
        <w:numPr>
          <w:ilvl w:val="0"/>
          <w:numId w:val="21"/>
        </w:numPr>
        <w:rPr>
          <w:sz w:val="24"/>
          <w:szCs w:val="22"/>
        </w:rPr>
      </w:pPr>
      <w:r w:rsidRPr="00A45EA5">
        <w:rPr>
          <w:sz w:val="24"/>
          <w:szCs w:val="22"/>
        </w:rPr>
        <w:t xml:space="preserve">complex issues/complaints arise where they feel they need assistance; </w:t>
      </w:r>
    </w:p>
    <w:p w14:paraId="564A39A5" w14:textId="77777777" w:rsidR="00E252FC" w:rsidRPr="00A45EA5" w:rsidRDefault="00E252FC" w:rsidP="00E252FC">
      <w:pPr>
        <w:pStyle w:val="ListParagraph"/>
        <w:numPr>
          <w:ilvl w:val="0"/>
          <w:numId w:val="21"/>
        </w:numPr>
        <w:rPr>
          <w:sz w:val="24"/>
          <w:szCs w:val="22"/>
        </w:rPr>
      </w:pPr>
      <w:r w:rsidRPr="00A45EA5">
        <w:rPr>
          <w:sz w:val="24"/>
          <w:szCs w:val="22"/>
        </w:rPr>
        <w:t xml:space="preserve">an ECO is unfamiliar with the complaint processes or the possible outcomes of particular courses of action, such as disciplinary action; </w:t>
      </w:r>
    </w:p>
    <w:p w14:paraId="78926566" w14:textId="77777777" w:rsidR="00E252FC" w:rsidRPr="00A45EA5" w:rsidRDefault="00E252FC" w:rsidP="00E252FC">
      <w:pPr>
        <w:pStyle w:val="ListParagraph"/>
        <w:numPr>
          <w:ilvl w:val="0"/>
          <w:numId w:val="21"/>
        </w:numPr>
        <w:rPr>
          <w:sz w:val="24"/>
          <w:szCs w:val="22"/>
        </w:rPr>
      </w:pPr>
      <w:r w:rsidRPr="00A45EA5">
        <w:rPr>
          <w:sz w:val="24"/>
          <w:szCs w:val="22"/>
        </w:rPr>
        <w:t xml:space="preserve">the alleged harasser is also seeking information – in these cases another ECO may also be able to assist; </w:t>
      </w:r>
    </w:p>
    <w:p w14:paraId="234900ED" w14:textId="77777777" w:rsidR="00E252FC" w:rsidRPr="00A45EA5" w:rsidRDefault="00C25068" w:rsidP="00E252FC">
      <w:pPr>
        <w:pStyle w:val="ListParagraph"/>
        <w:numPr>
          <w:ilvl w:val="0"/>
          <w:numId w:val="21"/>
        </w:numPr>
        <w:rPr>
          <w:sz w:val="24"/>
          <w:szCs w:val="22"/>
        </w:rPr>
      </w:pPr>
      <w:r w:rsidRPr="00A45EA5">
        <w:rPr>
          <w:sz w:val="24"/>
          <w:szCs w:val="22"/>
        </w:rPr>
        <w:t>the complaint is about inappropriate behaviour, but a type not covered under legislation.</w:t>
      </w:r>
    </w:p>
    <w:p w14:paraId="42B55C23" w14:textId="77777777" w:rsidR="00C25068" w:rsidRPr="00A45EA5" w:rsidRDefault="00C25068" w:rsidP="00C25068">
      <w:pPr>
        <w:rPr>
          <w:sz w:val="24"/>
          <w:szCs w:val="22"/>
        </w:rPr>
      </w:pPr>
    </w:p>
    <w:p w14:paraId="429C94F7" w14:textId="77777777" w:rsidR="00C25068" w:rsidRDefault="00C25068" w:rsidP="00C25068">
      <w:pPr>
        <w:pStyle w:val="Heading1"/>
      </w:pPr>
      <w:bookmarkStart w:id="28" w:name="_Toc45027875"/>
      <w:r>
        <w:lastRenderedPageBreak/>
        <w:t>The complaint process</w:t>
      </w:r>
      <w:bookmarkEnd w:id="28"/>
    </w:p>
    <w:p w14:paraId="0C0B90F0" w14:textId="77777777" w:rsidR="00C25068" w:rsidRDefault="00C25068" w:rsidP="00C25068">
      <w:pPr>
        <w:pStyle w:val="Heading2"/>
      </w:pPr>
      <w:bookmarkStart w:id="29" w:name="_Toc45027876"/>
      <w:r>
        <w:t>What action can I take?</w:t>
      </w:r>
      <w:bookmarkEnd w:id="29"/>
    </w:p>
    <w:p w14:paraId="32C40C6C" w14:textId="77777777" w:rsidR="00C25068" w:rsidRPr="00A45EA5" w:rsidRDefault="00C25068" w:rsidP="00C25068">
      <w:pPr>
        <w:rPr>
          <w:sz w:val="24"/>
          <w:szCs w:val="22"/>
        </w:rPr>
      </w:pPr>
      <w:r w:rsidRPr="00A45EA5">
        <w:rPr>
          <w:sz w:val="24"/>
          <w:szCs w:val="22"/>
        </w:rPr>
        <w:t xml:space="preserve">Staff who consider that they are experiencing discrimination or harassment have a range of options which they may pursue within the QHRC. The recommended processes include informal and formal options. </w:t>
      </w:r>
    </w:p>
    <w:p w14:paraId="261D5EC8" w14:textId="77777777" w:rsidR="00C25068" w:rsidRDefault="00C25068" w:rsidP="00C25068">
      <w:pPr>
        <w:rPr>
          <w:sz w:val="22"/>
          <w:szCs w:val="22"/>
        </w:rPr>
      </w:pPr>
    </w:p>
    <w:p w14:paraId="4FC9E670" w14:textId="77777777" w:rsidR="00C25068" w:rsidRDefault="00C25068" w:rsidP="00C25068">
      <w:pPr>
        <w:pStyle w:val="Heading2"/>
      </w:pPr>
      <w:bookmarkStart w:id="30" w:name="_Toc45027877"/>
      <w:r>
        <w:t>Informal action</w:t>
      </w:r>
      <w:bookmarkEnd w:id="30"/>
    </w:p>
    <w:p w14:paraId="0F9A30FB" w14:textId="77777777" w:rsidR="00C25068" w:rsidRPr="00A45EA5" w:rsidRDefault="00C25068" w:rsidP="00C25068">
      <w:pPr>
        <w:rPr>
          <w:sz w:val="24"/>
          <w:szCs w:val="22"/>
        </w:rPr>
      </w:pPr>
      <w:r w:rsidRPr="00A45EA5">
        <w:rPr>
          <w:sz w:val="24"/>
          <w:szCs w:val="22"/>
        </w:rPr>
        <w:t xml:space="preserve">QHRC encourages all complainants to attempt to resolve the matter informally, as a first option, whenever possible. The resolution processes recognise a person’s right to decide whether to lodge a complaint or not. Access to an ECO will give staff members the opportunity to acquire information before deciding whether or not to follow through with a written complaint. </w:t>
      </w:r>
    </w:p>
    <w:p w14:paraId="2955BBF1" w14:textId="77777777" w:rsidR="00C25068" w:rsidRPr="00A45EA5" w:rsidRDefault="00C25068" w:rsidP="00C25068">
      <w:pPr>
        <w:rPr>
          <w:sz w:val="24"/>
          <w:szCs w:val="22"/>
        </w:rPr>
      </w:pPr>
    </w:p>
    <w:p w14:paraId="5917CD36" w14:textId="77777777" w:rsidR="00C25068" w:rsidRPr="00A45EA5" w:rsidRDefault="00C25068" w:rsidP="00C25068">
      <w:pPr>
        <w:rPr>
          <w:sz w:val="24"/>
          <w:szCs w:val="22"/>
        </w:rPr>
      </w:pPr>
      <w:r w:rsidRPr="00A45EA5">
        <w:rPr>
          <w:sz w:val="24"/>
          <w:szCs w:val="22"/>
        </w:rPr>
        <w:t xml:space="preserve">Informal resolution options include the complainant: </w:t>
      </w:r>
    </w:p>
    <w:p w14:paraId="01288775" w14:textId="77777777" w:rsidR="00C25068" w:rsidRPr="00A45EA5" w:rsidRDefault="00C25068" w:rsidP="00C25068">
      <w:pPr>
        <w:pStyle w:val="ListParagraph"/>
        <w:numPr>
          <w:ilvl w:val="0"/>
          <w:numId w:val="22"/>
        </w:numPr>
        <w:rPr>
          <w:sz w:val="24"/>
          <w:szCs w:val="22"/>
        </w:rPr>
      </w:pPr>
      <w:r w:rsidRPr="00A45EA5">
        <w:rPr>
          <w:sz w:val="24"/>
          <w:szCs w:val="22"/>
        </w:rPr>
        <w:t>dealing with the matter themselves, either face-to-face, by phone or written correspondence; or</w:t>
      </w:r>
    </w:p>
    <w:p w14:paraId="0AE14A21" w14:textId="77777777" w:rsidR="00C25068" w:rsidRPr="00A45EA5" w:rsidRDefault="00C25068" w:rsidP="00C25068">
      <w:pPr>
        <w:pStyle w:val="ListParagraph"/>
        <w:numPr>
          <w:ilvl w:val="0"/>
          <w:numId w:val="22"/>
        </w:numPr>
        <w:rPr>
          <w:sz w:val="24"/>
          <w:szCs w:val="22"/>
        </w:rPr>
      </w:pPr>
      <w:r w:rsidRPr="00A45EA5">
        <w:rPr>
          <w:sz w:val="24"/>
          <w:szCs w:val="22"/>
        </w:rPr>
        <w:t>taking no action.</w:t>
      </w:r>
    </w:p>
    <w:p w14:paraId="7FE5976C" w14:textId="77777777" w:rsidR="00C25068" w:rsidRPr="00A45EA5" w:rsidRDefault="00C25068" w:rsidP="00C25068">
      <w:pPr>
        <w:rPr>
          <w:sz w:val="24"/>
          <w:szCs w:val="22"/>
        </w:rPr>
      </w:pPr>
    </w:p>
    <w:p w14:paraId="25EF01DC" w14:textId="77777777" w:rsidR="00C25068" w:rsidRPr="00A45EA5" w:rsidRDefault="00C25068" w:rsidP="00C25068">
      <w:pPr>
        <w:rPr>
          <w:i/>
          <w:sz w:val="24"/>
          <w:szCs w:val="22"/>
        </w:rPr>
      </w:pPr>
      <w:r w:rsidRPr="00A45EA5">
        <w:rPr>
          <w:sz w:val="24"/>
          <w:szCs w:val="22"/>
        </w:rPr>
        <w:t xml:space="preserve">Note: When deciding on a course of action an officer must consider their responsibility to report incidents or behaviour that may affect the safety of themselves or others. Officers are also required to report incidences of official misconduct in line with QHRC policies and the </w:t>
      </w:r>
      <w:r w:rsidRPr="00A45EA5">
        <w:rPr>
          <w:i/>
          <w:sz w:val="24"/>
          <w:szCs w:val="22"/>
        </w:rPr>
        <w:t>Public Service Act 2008.</w:t>
      </w:r>
    </w:p>
    <w:p w14:paraId="5D271B47" w14:textId="77777777" w:rsidR="00C25068" w:rsidRPr="00A45EA5" w:rsidRDefault="00C25068" w:rsidP="00C25068">
      <w:pPr>
        <w:rPr>
          <w:i/>
          <w:sz w:val="24"/>
          <w:szCs w:val="22"/>
        </w:rPr>
      </w:pPr>
    </w:p>
    <w:p w14:paraId="404E6223" w14:textId="77777777" w:rsidR="00C25068" w:rsidRPr="00A45EA5" w:rsidRDefault="00C25068" w:rsidP="00C25068">
      <w:pPr>
        <w:rPr>
          <w:sz w:val="24"/>
          <w:szCs w:val="22"/>
        </w:rPr>
      </w:pPr>
      <w:r w:rsidRPr="00A45EA5">
        <w:rPr>
          <w:sz w:val="24"/>
          <w:szCs w:val="22"/>
        </w:rPr>
        <w:t xml:space="preserve">Strategies for dealing with the matter informally can be discussed with: </w:t>
      </w:r>
    </w:p>
    <w:p w14:paraId="1A17AF69" w14:textId="77777777" w:rsidR="00C25068" w:rsidRPr="00A45EA5" w:rsidRDefault="00C25068" w:rsidP="00C25068">
      <w:pPr>
        <w:pStyle w:val="ListParagraph"/>
        <w:numPr>
          <w:ilvl w:val="0"/>
          <w:numId w:val="23"/>
        </w:numPr>
        <w:rPr>
          <w:sz w:val="24"/>
          <w:szCs w:val="22"/>
        </w:rPr>
      </w:pPr>
      <w:r w:rsidRPr="00A45EA5">
        <w:rPr>
          <w:sz w:val="24"/>
          <w:szCs w:val="22"/>
        </w:rPr>
        <w:t xml:space="preserve">an ECO; </w:t>
      </w:r>
    </w:p>
    <w:p w14:paraId="19B108B1" w14:textId="77777777" w:rsidR="00C25068" w:rsidRPr="00A45EA5" w:rsidRDefault="00C25068" w:rsidP="00C25068">
      <w:pPr>
        <w:pStyle w:val="ListParagraph"/>
        <w:numPr>
          <w:ilvl w:val="0"/>
          <w:numId w:val="23"/>
        </w:numPr>
        <w:rPr>
          <w:sz w:val="24"/>
          <w:szCs w:val="22"/>
        </w:rPr>
      </w:pPr>
      <w:r w:rsidRPr="00A45EA5">
        <w:rPr>
          <w:sz w:val="24"/>
          <w:szCs w:val="22"/>
        </w:rPr>
        <w:t>a manager or supervisor;</w:t>
      </w:r>
    </w:p>
    <w:p w14:paraId="37A734F6" w14:textId="77777777" w:rsidR="00C25068" w:rsidRPr="00A45EA5" w:rsidRDefault="00C25068" w:rsidP="00C25068">
      <w:pPr>
        <w:pStyle w:val="ListParagraph"/>
        <w:numPr>
          <w:ilvl w:val="0"/>
          <w:numId w:val="23"/>
        </w:numPr>
        <w:rPr>
          <w:sz w:val="24"/>
          <w:szCs w:val="22"/>
        </w:rPr>
      </w:pPr>
      <w:r w:rsidRPr="00A45EA5">
        <w:rPr>
          <w:sz w:val="24"/>
          <w:szCs w:val="22"/>
        </w:rPr>
        <w:t xml:space="preserve">an employee assistance provider through the Employee Assistance Program. </w:t>
      </w:r>
    </w:p>
    <w:p w14:paraId="24A77FDC" w14:textId="77777777" w:rsidR="00C25068" w:rsidRPr="00A45EA5" w:rsidRDefault="00C25068" w:rsidP="00C25068">
      <w:pPr>
        <w:rPr>
          <w:sz w:val="24"/>
          <w:szCs w:val="22"/>
        </w:rPr>
      </w:pPr>
    </w:p>
    <w:p w14:paraId="48E0E121" w14:textId="77777777" w:rsidR="00C25068" w:rsidRPr="00A45EA5" w:rsidRDefault="00C25068" w:rsidP="00C25068">
      <w:pPr>
        <w:rPr>
          <w:sz w:val="24"/>
          <w:szCs w:val="22"/>
        </w:rPr>
      </w:pPr>
      <w:r w:rsidRPr="00A45EA5">
        <w:rPr>
          <w:sz w:val="24"/>
          <w:szCs w:val="22"/>
        </w:rPr>
        <w:t xml:space="preserve">It is acknowledged that harassment can sometimes be experienced over a period of time prior to a complainant taking action. QHRC encourages complainants to take action regarding harassment or discrimination at the earliest opportunity. Early intervention in these situations will usually lead to a more successful outcome for all concerned. </w:t>
      </w:r>
    </w:p>
    <w:p w14:paraId="76299064" w14:textId="77777777" w:rsidR="00C25068" w:rsidRPr="00A45EA5" w:rsidRDefault="00C25068" w:rsidP="00C25068">
      <w:pPr>
        <w:rPr>
          <w:sz w:val="24"/>
          <w:szCs w:val="22"/>
        </w:rPr>
      </w:pPr>
    </w:p>
    <w:p w14:paraId="339551A0" w14:textId="77777777" w:rsidR="00C25068" w:rsidRDefault="00C25068" w:rsidP="00C25068">
      <w:pPr>
        <w:pStyle w:val="Heading2"/>
      </w:pPr>
      <w:bookmarkStart w:id="31" w:name="_Toc45027878"/>
      <w:r>
        <w:t>Formal action</w:t>
      </w:r>
      <w:bookmarkEnd w:id="31"/>
    </w:p>
    <w:p w14:paraId="0269465D" w14:textId="77777777" w:rsidR="00BE2BD8" w:rsidRPr="00A45EA5" w:rsidRDefault="000006F3" w:rsidP="00BE2BD8">
      <w:pPr>
        <w:rPr>
          <w:sz w:val="24"/>
          <w:szCs w:val="22"/>
        </w:rPr>
      </w:pPr>
      <w:r w:rsidRPr="00A45EA5">
        <w:rPr>
          <w:sz w:val="24"/>
          <w:szCs w:val="22"/>
        </w:rPr>
        <w:t xml:space="preserve">There will be occasions where early intervention does not prove successful and/or a complainant chooses the option of formal action. In such situations the complainant may: </w:t>
      </w:r>
    </w:p>
    <w:p w14:paraId="1BBD0C18" w14:textId="77777777" w:rsidR="000006F3" w:rsidRPr="00A45EA5" w:rsidRDefault="000006F3" w:rsidP="000006F3">
      <w:pPr>
        <w:pStyle w:val="ListParagraph"/>
        <w:numPr>
          <w:ilvl w:val="0"/>
          <w:numId w:val="24"/>
        </w:numPr>
        <w:rPr>
          <w:sz w:val="24"/>
          <w:szCs w:val="22"/>
        </w:rPr>
      </w:pPr>
      <w:r w:rsidRPr="00A45EA5">
        <w:rPr>
          <w:sz w:val="24"/>
          <w:szCs w:val="22"/>
        </w:rPr>
        <w:t xml:space="preserve">seek assistance and advice from the manager or supervisor; or </w:t>
      </w:r>
    </w:p>
    <w:p w14:paraId="3E85B1F0" w14:textId="77777777" w:rsidR="000006F3" w:rsidRPr="00A45EA5" w:rsidRDefault="000006F3" w:rsidP="000006F3">
      <w:pPr>
        <w:pStyle w:val="ListParagraph"/>
        <w:numPr>
          <w:ilvl w:val="0"/>
          <w:numId w:val="24"/>
        </w:numPr>
        <w:rPr>
          <w:sz w:val="24"/>
          <w:szCs w:val="22"/>
        </w:rPr>
      </w:pPr>
      <w:r w:rsidRPr="00A45EA5">
        <w:rPr>
          <w:sz w:val="24"/>
          <w:szCs w:val="22"/>
        </w:rPr>
        <w:t>lodge a complaint within QHRC; or</w:t>
      </w:r>
    </w:p>
    <w:p w14:paraId="2A081E07" w14:textId="77777777" w:rsidR="000006F3" w:rsidRPr="00A45EA5" w:rsidRDefault="000006F3" w:rsidP="000006F3">
      <w:pPr>
        <w:pStyle w:val="ListParagraph"/>
        <w:numPr>
          <w:ilvl w:val="0"/>
          <w:numId w:val="24"/>
        </w:numPr>
        <w:rPr>
          <w:sz w:val="24"/>
          <w:szCs w:val="22"/>
        </w:rPr>
      </w:pPr>
      <w:r w:rsidRPr="00A45EA5">
        <w:rPr>
          <w:sz w:val="24"/>
          <w:szCs w:val="22"/>
        </w:rPr>
        <w:t xml:space="preserve">lodge a complaint external to QHRC. </w:t>
      </w:r>
    </w:p>
    <w:p w14:paraId="1474C438" w14:textId="77777777" w:rsidR="000006F3" w:rsidRDefault="000006F3" w:rsidP="000006F3">
      <w:pPr>
        <w:rPr>
          <w:sz w:val="22"/>
          <w:szCs w:val="22"/>
        </w:rPr>
      </w:pPr>
    </w:p>
    <w:p w14:paraId="5E984B5E" w14:textId="77777777" w:rsidR="000006F3" w:rsidRDefault="000006F3" w:rsidP="000006F3">
      <w:pPr>
        <w:pStyle w:val="Heading2"/>
      </w:pPr>
      <w:bookmarkStart w:id="32" w:name="_Toc45027879"/>
      <w:r>
        <w:t>How do I lodge a complaint?</w:t>
      </w:r>
      <w:bookmarkEnd w:id="32"/>
    </w:p>
    <w:p w14:paraId="139049BD" w14:textId="3D96BDD3" w:rsidR="000006F3" w:rsidRPr="00A45EA5" w:rsidRDefault="000006F3" w:rsidP="000006F3">
      <w:pPr>
        <w:rPr>
          <w:sz w:val="24"/>
          <w:szCs w:val="22"/>
        </w:rPr>
      </w:pPr>
      <w:r w:rsidRPr="00A45EA5">
        <w:rPr>
          <w:sz w:val="24"/>
          <w:szCs w:val="22"/>
        </w:rPr>
        <w:t xml:space="preserve">The process for lodging a complaint is outlined in the </w:t>
      </w:r>
      <w:r w:rsidR="00A45EA5">
        <w:rPr>
          <w:sz w:val="24"/>
          <w:szCs w:val="22"/>
        </w:rPr>
        <w:t xml:space="preserve">Individual employee grievances </w:t>
      </w:r>
      <w:r w:rsidRPr="00A45EA5">
        <w:rPr>
          <w:sz w:val="24"/>
          <w:szCs w:val="22"/>
        </w:rPr>
        <w:t xml:space="preserve">Directive </w:t>
      </w:r>
      <w:r w:rsidR="00A45EA5">
        <w:rPr>
          <w:sz w:val="24"/>
          <w:szCs w:val="22"/>
        </w:rPr>
        <w:t>11/20</w:t>
      </w:r>
      <w:r w:rsidRPr="00A45EA5">
        <w:rPr>
          <w:sz w:val="24"/>
          <w:szCs w:val="22"/>
        </w:rPr>
        <w:t xml:space="preserve"> and QHRC Employee complaints policy. </w:t>
      </w:r>
    </w:p>
    <w:p w14:paraId="2169A36A" w14:textId="77777777" w:rsidR="000006F3" w:rsidRPr="00A45EA5" w:rsidRDefault="000006F3" w:rsidP="000006F3">
      <w:pPr>
        <w:rPr>
          <w:sz w:val="24"/>
          <w:szCs w:val="22"/>
        </w:rPr>
      </w:pPr>
    </w:p>
    <w:p w14:paraId="6CAEE57C" w14:textId="77777777" w:rsidR="000006F3" w:rsidRPr="00A45EA5" w:rsidRDefault="000006F3" w:rsidP="000006F3">
      <w:pPr>
        <w:rPr>
          <w:sz w:val="24"/>
          <w:szCs w:val="22"/>
        </w:rPr>
      </w:pPr>
      <w:r w:rsidRPr="00A45EA5">
        <w:rPr>
          <w:sz w:val="24"/>
          <w:szCs w:val="22"/>
        </w:rPr>
        <w:t>As outlined in the Directive, the formal complaints process has three stages:</w:t>
      </w:r>
    </w:p>
    <w:p w14:paraId="0CA6A6EF" w14:textId="77777777" w:rsidR="000006F3" w:rsidRPr="00A45EA5" w:rsidRDefault="000006F3" w:rsidP="000006F3">
      <w:pPr>
        <w:rPr>
          <w:sz w:val="24"/>
          <w:szCs w:val="22"/>
        </w:rPr>
      </w:pPr>
    </w:p>
    <w:p w14:paraId="705ECD0D" w14:textId="77777777" w:rsidR="000006F3" w:rsidRPr="00A45EA5" w:rsidRDefault="000006F3" w:rsidP="000006F3">
      <w:pPr>
        <w:rPr>
          <w:sz w:val="24"/>
          <w:szCs w:val="22"/>
          <w:lang w:val="en-US"/>
        </w:rPr>
      </w:pPr>
      <w:r w:rsidRPr="00A45EA5">
        <w:rPr>
          <w:sz w:val="24"/>
          <w:szCs w:val="22"/>
          <w:lang w:val="en-US"/>
        </w:rPr>
        <w:t xml:space="preserve">Stage 1: </w:t>
      </w:r>
      <w:r w:rsidRPr="00A45EA5">
        <w:rPr>
          <w:sz w:val="24"/>
          <w:szCs w:val="22"/>
          <w:lang w:val="en-US"/>
        </w:rPr>
        <w:tab/>
        <w:t>Local action</w:t>
      </w:r>
    </w:p>
    <w:p w14:paraId="7FED6EB2" w14:textId="77777777" w:rsidR="000006F3" w:rsidRPr="00A45EA5" w:rsidRDefault="000006F3" w:rsidP="000006F3">
      <w:pPr>
        <w:rPr>
          <w:sz w:val="24"/>
          <w:szCs w:val="24"/>
          <w:lang w:val="en-US"/>
        </w:rPr>
      </w:pPr>
      <w:r w:rsidRPr="00A45EA5">
        <w:rPr>
          <w:sz w:val="24"/>
          <w:szCs w:val="24"/>
          <w:lang w:val="en-US"/>
        </w:rPr>
        <w:lastRenderedPageBreak/>
        <w:t>Stage 2:</w:t>
      </w:r>
      <w:r w:rsidRPr="00A45EA5">
        <w:rPr>
          <w:sz w:val="24"/>
          <w:szCs w:val="24"/>
          <w:lang w:val="en-US"/>
        </w:rPr>
        <w:tab/>
        <w:t>Internal review of a decision made following local action</w:t>
      </w:r>
    </w:p>
    <w:p w14:paraId="52BC8FFC" w14:textId="77777777" w:rsidR="000006F3" w:rsidRPr="00A45EA5" w:rsidRDefault="000006F3" w:rsidP="000006F3">
      <w:pPr>
        <w:rPr>
          <w:sz w:val="24"/>
          <w:szCs w:val="24"/>
          <w:lang w:val="en-US"/>
        </w:rPr>
      </w:pPr>
      <w:r w:rsidRPr="00A45EA5">
        <w:rPr>
          <w:sz w:val="24"/>
          <w:szCs w:val="24"/>
          <w:lang w:val="en-US"/>
        </w:rPr>
        <w:t>Stage 3:</w:t>
      </w:r>
      <w:r w:rsidRPr="00A45EA5">
        <w:rPr>
          <w:sz w:val="24"/>
          <w:szCs w:val="24"/>
          <w:lang w:val="en-US"/>
        </w:rPr>
        <w:tab/>
        <w:t>External review of a decision made at internal review</w:t>
      </w:r>
    </w:p>
    <w:p w14:paraId="26EC90FD" w14:textId="77777777" w:rsidR="000006F3" w:rsidRDefault="000006F3" w:rsidP="000006F3">
      <w:pPr>
        <w:rPr>
          <w:sz w:val="22"/>
          <w:szCs w:val="22"/>
          <w:lang w:val="en-US"/>
        </w:rPr>
      </w:pPr>
    </w:p>
    <w:p w14:paraId="5C82F69A" w14:textId="77777777" w:rsidR="000006F3" w:rsidRDefault="000006F3" w:rsidP="000006F3">
      <w:pPr>
        <w:pStyle w:val="Heading2"/>
        <w:rPr>
          <w:lang w:val="en-US"/>
        </w:rPr>
      </w:pPr>
      <w:bookmarkStart w:id="33" w:name="_Toc45027880"/>
      <w:r>
        <w:rPr>
          <w:lang w:val="en-US"/>
        </w:rPr>
        <w:t>Do I need to lodge a complaint through my manager/supervisor?</w:t>
      </w:r>
      <w:bookmarkEnd w:id="33"/>
    </w:p>
    <w:p w14:paraId="273B50BB" w14:textId="77777777" w:rsidR="000006F3" w:rsidRDefault="000006F3" w:rsidP="000006F3">
      <w:pPr>
        <w:rPr>
          <w:sz w:val="22"/>
          <w:szCs w:val="22"/>
          <w:lang w:val="en-US"/>
        </w:rPr>
      </w:pPr>
    </w:p>
    <w:p w14:paraId="2994E728" w14:textId="77777777" w:rsidR="000006F3" w:rsidRPr="00A45EA5" w:rsidRDefault="000006F3" w:rsidP="000006F3">
      <w:pPr>
        <w:rPr>
          <w:sz w:val="24"/>
          <w:szCs w:val="22"/>
          <w:lang w:val="en-US"/>
        </w:rPr>
      </w:pPr>
      <w:r w:rsidRPr="00A45EA5">
        <w:rPr>
          <w:sz w:val="24"/>
          <w:szCs w:val="22"/>
          <w:lang w:val="en-US"/>
        </w:rPr>
        <w:t xml:space="preserve">All managers within QHRC have delegation to receive and manage stage 1 employee complaints. If a staff member is worried about lodging a complaint with their manager or supervisor, they should discuss it with an ECO and consider lodging a written complaint with another manager within QHRC, including the Director, Engagement &amp; Corporate Services, the Deputy Commissioner or the Commissioner. </w:t>
      </w:r>
    </w:p>
    <w:p w14:paraId="5074BF79" w14:textId="77777777" w:rsidR="000006F3" w:rsidRPr="00A45EA5" w:rsidRDefault="000006F3" w:rsidP="000006F3">
      <w:pPr>
        <w:rPr>
          <w:sz w:val="24"/>
          <w:szCs w:val="22"/>
          <w:lang w:val="en-US"/>
        </w:rPr>
      </w:pPr>
    </w:p>
    <w:p w14:paraId="29E26BE9" w14:textId="77777777" w:rsidR="000006F3" w:rsidRPr="00A45EA5" w:rsidRDefault="000006F3" w:rsidP="000006F3">
      <w:pPr>
        <w:rPr>
          <w:sz w:val="24"/>
          <w:szCs w:val="22"/>
        </w:rPr>
      </w:pPr>
      <w:r w:rsidRPr="00A45EA5">
        <w:rPr>
          <w:sz w:val="24"/>
          <w:szCs w:val="22"/>
        </w:rPr>
        <w:t xml:space="preserve">QHRC encourages employees to attempt to resolve complaints of harassment or discrimination within the agency if possible. However, other options for resolving such complaints are through external agencies. Complainants can discuss these options with an ECO, or seek information directly from the relevant agency. </w:t>
      </w:r>
    </w:p>
    <w:p w14:paraId="6E529326" w14:textId="77777777" w:rsidR="000006F3" w:rsidRDefault="000006F3" w:rsidP="000006F3">
      <w:pPr>
        <w:rPr>
          <w:sz w:val="22"/>
          <w:szCs w:val="22"/>
        </w:rPr>
      </w:pPr>
    </w:p>
    <w:p w14:paraId="70E3F9E9" w14:textId="77777777" w:rsidR="000006F3" w:rsidRDefault="000006F3" w:rsidP="000006F3">
      <w:pPr>
        <w:pStyle w:val="Heading2"/>
      </w:pPr>
      <w:bookmarkStart w:id="34" w:name="_Toc45027881"/>
      <w:r>
        <w:t>Resolving complaints externally</w:t>
      </w:r>
      <w:bookmarkEnd w:id="34"/>
    </w:p>
    <w:p w14:paraId="74F74911" w14:textId="77777777" w:rsidR="000006F3" w:rsidRPr="00A45EA5" w:rsidRDefault="000006F3" w:rsidP="000006F3">
      <w:pPr>
        <w:rPr>
          <w:sz w:val="24"/>
          <w:szCs w:val="22"/>
        </w:rPr>
      </w:pPr>
      <w:r w:rsidRPr="00A45EA5">
        <w:rPr>
          <w:sz w:val="24"/>
          <w:szCs w:val="22"/>
        </w:rPr>
        <w:t xml:space="preserve">Various external options are available to staff who wish to lodge a complaint about discrimination or harassment. They include: </w:t>
      </w:r>
    </w:p>
    <w:p w14:paraId="4DBB00E5" w14:textId="77777777" w:rsidR="000006F3" w:rsidRPr="00A45EA5" w:rsidRDefault="000006F3" w:rsidP="000006F3">
      <w:pPr>
        <w:pStyle w:val="ListParagraph"/>
        <w:numPr>
          <w:ilvl w:val="0"/>
          <w:numId w:val="26"/>
        </w:numPr>
        <w:rPr>
          <w:sz w:val="24"/>
          <w:szCs w:val="22"/>
        </w:rPr>
      </w:pPr>
      <w:r w:rsidRPr="00A45EA5">
        <w:rPr>
          <w:sz w:val="24"/>
          <w:szCs w:val="22"/>
        </w:rPr>
        <w:t xml:space="preserve">An appeal to the Queensland Industrial Relations Commission </w:t>
      </w:r>
    </w:p>
    <w:p w14:paraId="1A1E2470" w14:textId="77777777" w:rsidR="000006F3" w:rsidRPr="00A45EA5" w:rsidRDefault="000006F3" w:rsidP="000006F3">
      <w:pPr>
        <w:pStyle w:val="ListParagraph"/>
        <w:numPr>
          <w:ilvl w:val="0"/>
          <w:numId w:val="26"/>
        </w:numPr>
        <w:rPr>
          <w:sz w:val="24"/>
          <w:szCs w:val="22"/>
        </w:rPr>
      </w:pPr>
      <w:r w:rsidRPr="00A45EA5">
        <w:rPr>
          <w:sz w:val="24"/>
          <w:szCs w:val="22"/>
        </w:rPr>
        <w:t xml:space="preserve">Lodging a formal complaint with the Queensland Human Rights Commission (QHRC). To avoid a conflict of interest such complaints will generally be referred to the Australian Human Rights Commission (AHRC). </w:t>
      </w:r>
    </w:p>
    <w:p w14:paraId="1168AEF6" w14:textId="77777777" w:rsidR="000006F3" w:rsidRPr="00A45EA5" w:rsidRDefault="000006F3" w:rsidP="000006F3">
      <w:pPr>
        <w:pStyle w:val="ListParagraph"/>
        <w:numPr>
          <w:ilvl w:val="0"/>
          <w:numId w:val="26"/>
        </w:numPr>
        <w:rPr>
          <w:sz w:val="24"/>
          <w:szCs w:val="22"/>
        </w:rPr>
      </w:pPr>
      <w:r w:rsidRPr="00A45EA5">
        <w:rPr>
          <w:sz w:val="24"/>
          <w:szCs w:val="22"/>
        </w:rPr>
        <w:t xml:space="preserve">Referral to the Department of Justice and Attorney-General Dispute Resolution Centre (DRC) for mediation. </w:t>
      </w:r>
    </w:p>
    <w:p w14:paraId="780CD7C6" w14:textId="77777777" w:rsidR="000006F3" w:rsidRPr="00A45EA5" w:rsidRDefault="000006F3" w:rsidP="000006F3">
      <w:pPr>
        <w:pStyle w:val="ListParagraph"/>
        <w:numPr>
          <w:ilvl w:val="0"/>
          <w:numId w:val="26"/>
        </w:numPr>
        <w:rPr>
          <w:sz w:val="24"/>
          <w:szCs w:val="22"/>
        </w:rPr>
      </w:pPr>
      <w:r w:rsidRPr="00A45EA5">
        <w:rPr>
          <w:sz w:val="24"/>
          <w:szCs w:val="22"/>
        </w:rPr>
        <w:t xml:space="preserve">Referral to the police or </w:t>
      </w:r>
      <w:r w:rsidR="006D38E2" w:rsidRPr="00A45EA5">
        <w:rPr>
          <w:sz w:val="24"/>
          <w:szCs w:val="22"/>
        </w:rPr>
        <w:t>Crime and Corruption Commission (CCC), in cases of serious assault and/or those involving criminal conduct/official misconduct. ##</w:t>
      </w:r>
    </w:p>
    <w:p w14:paraId="1FBEC0EA" w14:textId="77777777" w:rsidR="006D38E2" w:rsidRPr="00A45EA5" w:rsidRDefault="006D38E2" w:rsidP="006D38E2">
      <w:pPr>
        <w:rPr>
          <w:sz w:val="24"/>
          <w:szCs w:val="22"/>
        </w:rPr>
      </w:pPr>
      <w:r w:rsidRPr="00A45EA5">
        <w:rPr>
          <w:sz w:val="24"/>
          <w:szCs w:val="22"/>
        </w:rPr>
        <w:t>## Where a serious assault is alleged, employees are strongly encouraged to contact their manager and/or the Deputy Commission</w:t>
      </w:r>
      <w:r w:rsidR="008818B4" w:rsidRPr="00A45EA5">
        <w:rPr>
          <w:sz w:val="24"/>
          <w:szCs w:val="22"/>
        </w:rPr>
        <w:t>er</w:t>
      </w:r>
      <w:r w:rsidRPr="00A45EA5">
        <w:rPr>
          <w:sz w:val="24"/>
          <w:szCs w:val="22"/>
        </w:rPr>
        <w:t>. In situations where the police are notified, managers are asked to advise the Deputy Commission</w:t>
      </w:r>
      <w:r w:rsidR="008818B4" w:rsidRPr="00A45EA5">
        <w:rPr>
          <w:sz w:val="24"/>
          <w:szCs w:val="22"/>
        </w:rPr>
        <w:t>er</w:t>
      </w:r>
      <w:r w:rsidRPr="00A45EA5">
        <w:rPr>
          <w:sz w:val="24"/>
          <w:szCs w:val="22"/>
        </w:rPr>
        <w:t xml:space="preserve"> and the Director, Engagement and Corporate Services to facilitate referral of the matter to the CCC. </w:t>
      </w:r>
    </w:p>
    <w:p w14:paraId="73FB9FC1" w14:textId="77777777" w:rsidR="006D38E2" w:rsidRDefault="006D38E2" w:rsidP="006D38E2">
      <w:pPr>
        <w:rPr>
          <w:sz w:val="22"/>
          <w:szCs w:val="22"/>
        </w:rPr>
      </w:pPr>
    </w:p>
    <w:p w14:paraId="172CABA6" w14:textId="77777777" w:rsidR="006D38E2" w:rsidRDefault="006D38E2" w:rsidP="006D38E2">
      <w:pPr>
        <w:pStyle w:val="Heading2"/>
      </w:pPr>
      <w:bookmarkStart w:id="35" w:name="_Toc45027882"/>
      <w:r>
        <w:t>Appeals to the Queensland Industrial Relations Commission (QIRC)</w:t>
      </w:r>
      <w:bookmarkEnd w:id="35"/>
    </w:p>
    <w:p w14:paraId="27C1AE96" w14:textId="77777777" w:rsidR="006D38E2" w:rsidRPr="00A45EA5" w:rsidRDefault="006D38E2" w:rsidP="006D38E2">
      <w:pPr>
        <w:rPr>
          <w:sz w:val="24"/>
          <w:szCs w:val="22"/>
          <w:lang w:val="en-US"/>
        </w:rPr>
      </w:pPr>
      <w:r w:rsidRPr="00A45EA5">
        <w:rPr>
          <w:sz w:val="24"/>
          <w:szCs w:val="22"/>
          <w:lang w:val="en-US"/>
        </w:rPr>
        <w:t xml:space="preserve">The Queensland Industrial Relations Commission (QIRC) administers the public service appeals function. </w:t>
      </w:r>
    </w:p>
    <w:p w14:paraId="4C537B92" w14:textId="77777777" w:rsidR="006D38E2" w:rsidRPr="00A45EA5" w:rsidRDefault="006D38E2" w:rsidP="006D38E2">
      <w:pPr>
        <w:rPr>
          <w:sz w:val="24"/>
          <w:szCs w:val="22"/>
          <w:lang w:val="en-US"/>
        </w:rPr>
      </w:pPr>
      <w:r w:rsidRPr="00A45EA5">
        <w:rPr>
          <w:sz w:val="24"/>
          <w:szCs w:val="22"/>
          <w:lang w:val="en-US"/>
        </w:rPr>
        <w:t xml:space="preserve">Public service employees may appeal certain decisions that affect their employment. The </w:t>
      </w:r>
      <w:r w:rsidRPr="00A45EA5">
        <w:rPr>
          <w:i/>
          <w:sz w:val="24"/>
          <w:szCs w:val="22"/>
          <w:lang w:val="en-US"/>
        </w:rPr>
        <w:t>Public Service Act 2008</w:t>
      </w:r>
      <w:r w:rsidRPr="00A45EA5">
        <w:rPr>
          <w:sz w:val="24"/>
          <w:szCs w:val="22"/>
          <w:lang w:val="en-US"/>
        </w:rPr>
        <w:t xml:space="preserve"> states: </w:t>
      </w:r>
    </w:p>
    <w:p w14:paraId="39B86A07" w14:textId="77777777" w:rsidR="006D38E2" w:rsidRPr="00A45EA5" w:rsidRDefault="006D38E2" w:rsidP="006D38E2">
      <w:pPr>
        <w:pStyle w:val="ListParagraph"/>
        <w:numPr>
          <w:ilvl w:val="0"/>
          <w:numId w:val="27"/>
        </w:numPr>
        <w:spacing w:after="200" w:line="276" w:lineRule="auto"/>
        <w:rPr>
          <w:sz w:val="24"/>
          <w:szCs w:val="22"/>
          <w:lang w:val="en-US"/>
        </w:rPr>
      </w:pPr>
      <w:r w:rsidRPr="00A45EA5">
        <w:rPr>
          <w:sz w:val="24"/>
          <w:szCs w:val="22"/>
          <w:lang w:val="en-US"/>
        </w:rPr>
        <w:t>Which decisions may be appealed against</w:t>
      </w:r>
    </w:p>
    <w:p w14:paraId="72C86E26" w14:textId="77777777" w:rsidR="006D38E2" w:rsidRPr="00A45EA5" w:rsidRDefault="006D38E2" w:rsidP="006D38E2">
      <w:pPr>
        <w:pStyle w:val="ListParagraph"/>
        <w:numPr>
          <w:ilvl w:val="0"/>
          <w:numId w:val="27"/>
        </w:numPr>
        <w:spacing w:after="200" w:line="276" w:lineRule="auto"/>
        <w:rPr>
          <w:sz w:val="24"/>
          <w:szCs w:val="22"/>
          <w:lang w:val="en-US"/>
        </w:rPr>
      </w:pPr>
      <w:r w:rsidRPr="00A45EA5">
        <w:rPr>
          <w:sz w:val="24"/>
          <w:szCs w:val="22"/>
          <w:lang w:val="en-US"/>
        </w:rPr>
        <w:t>Who can appeal</w:t>
      </w:r>
    </w:p>
    <w:p w14:paraId="0E369F52" w14:textId="77777777" w:rsidR="006D38E2" w:rsidRPr="00A45EA5" w:rsidRDefault="006D38E2" w:rsidP="006D38E2">
      <w:pPr>
        <w:pStyle w:val="ListParagraph"/>
        <w:numPr>
          <w:ilvl w:val="0"/>
          <w:numId w:val="27"/>
        </w:numPr>
        <w:spacing w:after="200" w:line="276" w:lineRule="auto"/>
        <w:rPr>
          <w:sz w:val="24"/>
          <w:szCs w:val="22"/>
          <w:lang w:val="en-US"/>
        </w:rPr>
      </w:pPr>
      <w:r w:rsidRPr="00A45EA5">
        <w:rPr>
          <w:sz w:val="24"/>
          <w:szCs w:val="22"/>
          <w:lang w:val="en-US"/>
        </w:rPr>
        <w:t>Requirements for lodging an appeal</w:t>
      </w:r>
    </w:p>
    <w:p w14:paraId="608AB579" w14:textId="77777777" w:rsidR="006D38E2" w:rsidRPr="00A45EA5" w:rsidRDefault="006D38E2" w:rsidP="006D38E2">
      <w:pPr>
        <w:pStyle w:val="ListParagraph"/>
        <w:numPr>
          <w:ilvl w:val="0"/>
          <w:numId w:val="27"/>
        </w:numPr>
        <w:spacing w:after="200" w:line="276" w:lineRule="auto"/>
        <w:rPr>
          <w:sz w:val="24"/>
          <w:szCs w:val="22"/>
          <w:lang w:val="en-US"/>
        </w:rPr>
      </w:pPr>
      <w:r w:rsidRPr="00A45EA5">
        <w:rPr>
          <w:sz w:val="24"/>
          <w:szCs w:val="22"/>
          <w:lang w:val="en-US"/>
        </w:rPr>
        <w:t>How the process is conducted</w:t>
      </w:r>
    </w:p>
    <w:p w14:paraId="4460D4FF" w14:textId="77777777" w:rsidR="006D38E2" w:rsidRPr="00A45EA5" w:rsidRDefault="006D38E2" w:rsidP="006D38E2">
      <w:pPr>
        <w:rPr>
          <w:sz w:val="24"/>
          <w:szCs w:val="22"/>
          <w:lang w:val="en-US"/>
        </w:rPr>
      </w:pPr>
      <w:r w:rsidRPr="00A45EA5">
        <w:rPr>
          <w:sz w:val="24"/>
          <w:szCs w:val="22"/>
          <w:lang w:val="en-US"/>
        </w:rPr>
        <w:t xml:space="preserve">Appeals can be made against: </w:t>
      </w:r>
    </w:p>
    <w:p w14:paraId="51D82602"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Decisions under a directive</w:t>
      </w:r>
    </w:p>
    <w:p w14:paraId="6C36FFBA"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Discipline decisions</w:t>
      </w:r>
    </w:p>
    <w:p w14:paraId="14FD7D15"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 xml:space="preserve">Promotion decisions </w:t>
      </w:r>
    </w:p>
    <w:p w14:paraId="5BB44181"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Transfer decisions</w:t>
      </w:r>
    </w:p>
    <w:p w14:paraId="2D41D884"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Temporary or casual employment decisions</w:t>
      </w:r>
    </w:p>
    <w:p w14:paraId="521C13F2"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lastRenderedPageBreak/>
        <w:t>Fair treatment decisions</w:t>
      </w:r>
    </w:p>
    <w:p w14:paraId="1A361C82" w14:textId="77777777" w:rsidR="006D38E2" w:rsidRPr="00A45EA5" w:rsidRDefault="006D38E2" w:rsidP="006D38E2">
      <w:pPr>
        <w:pStyle w:val="ListParagraph"/>
        <w:numPr>
          <w:ilvl w:val="0"/>
          <w:numId w:val="28"/>
        </w:numPr>
        <w:spacing w:after="200" w:line="276" w:lineRule="auto"/>
        <w:rPr>
          <w:sz w:val="24"/>
          <w:szCs w:val="22"/>
          <w:lang w:val="en-US"/>
        </w:rPr>
      </w:pPr>
      <w:r w:rsidRPr="00A45EA5">
        <w:rPr>
          <w:sz w:val="24"/>
          <w:szCs w:val="22"/>
          <w:lang w:val="en-US"/>
        </w:rPr>
        <w:t xml:space="preserve">Other decisions. </w:t>
      </w:r>
    </w:p>
    <w:p w14:paraId="28F068CA" w14:textId="77777777" w:rsidR="006D38E2" w:rsidRPr="00A45EA5" w:rsidRDefault="006D38E2" w:rsidP="006D38E2">
      <w:pPr>
        <w:rPr>
          <w:sz w:val="24"/>
          <w:szCs w:val="22"/>
          <w:lang w:val="en-US"/>
        </w:rPr>
      </w:pPr>
      <w:r w:rsidRPr="00A45EA5">
        <w:rPr>
          <w:sz w:val="24"/>
          <w:szCs w:val="22"/>
          <w:lang w:val="en-US"/>
        </w:rPr>
        <w:t xml:space="preserve">In discrimination or sexual harassment complaint matters, it may be appropriate to lodge a discipline or fair treatment appeal. </w:t>
      </w:r>
    </w:p>
    <w:p w14:paraId="29F0E4C0" w14:textId="77777777" w:rsidR="009369E3" w:rsidRPr="00A45EA5" w:rsidRDefault="009369E3" w:rsidP="006D38E2">
      <w:pPr>
        <w:rPr>
          <w:sz w:val="24"/>
          <w:szCs w:val="22"/>
          <w:lang w:val="en-US"/>
        </w:rPr>
      </w:pPr>
    </w:p>
    <w:p w14:paraId="19846BA6" w14:textId="02B95A8F" w:rsidR="006D38E2" w:rsidRPr="00A45EA5" w:rsidRDefault="006D38E2" w:rsidP="006D38E2">
      <w:pPr>
        <w:rPr>
          <w:sz w:val="24"/>
          <w:szCs w:val="22"/>
          <w:lang w:val="en-US"/>
        </w:rPr>
      </w:pPr>
      <w:r w:rsidRPr="00A45EA5">
        <w:rPr>
          <w:sz w:val="24"/>
          <w:szCs w:val="22"/>
          <w:lang w:val="en-US"/>
        </w:rPr>
        <w:t xml:space="preserve">The QIRC provides an independent and impartial way for public service employees to have decisions reviewed. The Appeals directive </w:t>
      </w:r>
      <w:r w:rsidR="00A45EA5">
        <w:rPr>
          <w:sz w:val="24"/>
          <w:szCs w:val="22"/>
          <w:lang w:val="en-US"/>
        </w:rPr>
        <w:t>07/20</w:t>
      </w:r>
      <w:r w:rsidRPr="00A45EA5">
        <w:rPr>
          <w:sz w:val="24"/>
          <w:szCs w:val="22"/>
          <w:lang w:val="en-US"/>
        </w:rPr>
        <w:t xml:space="preserve"> provides more specific rules about appeal entitlements and requirements for the appeal process. </w:t>
      </w:r>
    </w:p>
    <w:p w14:paraId="0822873D" w14:textId="77777777" w:rsidR="00584E50" w:rsidRDefault="00584E50" w:rsidP="006D38E2">
      <w:pPr>
        <w:rPr>
          <w:sz w:val="22"/>
          <w:szCs w:val="22"/>
          <w:lang w:val="en-US"/>
        </w:rPr>
      </w:pPr>
    </w:p>
    <w:p w14:paraId="2FAAF106" w14:textId="77777777" w:rsidR="00584E50" w:rsidRDefault="00584E50" w:rsidP="00584E50">
      <w:pPr>
        <w:pStyle w:val="Heading2"/>
        <w:rPr>
          <w:lang w:val="en-US"/>
        </w:rPr>
      </w:pPr>
      <w:bookmarkStart w:id="36" w:name="_Toc45027883"/>
      <w:r>
        <w:rPr>
          <w:lang w:val="en-US"/>
        </w:rPr>
        <w:t>Queensland Human Rights Commission</w:t>
      </w:r>
      <w:bookmarkEnd w:id="36"/>
    </w:p>
    <w:p w14:paraId="4BED400E" w14:textId="77777777" w:rsidR="00584E50" w:rsidRPr="00A45EA5" w:rsidRDefault="00584E50" w:rsidP="00584E50">
      <w:pPr>
        <w:rPr>
          <w:sz w:val="24"/>
          <w:szCs w:val="22"/>
          <w:lang w:val="en-US"/>
        </w:rPr>
      </w:pPr>
      <w:r w:rsidRPr="00A45EA5">
        <w:rPr>
          <w:sz w:val="24"/>
          <w:szCs w:val="22"/>
          <w:lang w:val="en-US"/>
        </w:rPr>
        <w:t xml:space="preserve">The Commission has functions under the </w:t>
      </w:r>
      <w:r w:rsidRPr="00A45EA5">
        <w:rPr>
          <w:i/>
          <w:sz w:val="24"/>
          <w:szCs w:val="22"/>
          <w:lang w:val="en-US"/>
        </w:rPr>
        <w:t xml:space="preserve">Anti-Discrimination Act 1991 </w:t>
      </w:r>
      <w:r w:rsidRPr="00A45EA5">
        <w:rPr>
          <w:sz w:val="24"/>
          <w:szCs w:val="22"/>
          <w:lang w:val="en-US"/>
        </w:rPr>
        <w:t xml:space="preserve">to receive and attempt to resolve complaints of discrimination and sexual harassment. A person can simultaneously lodge a formal complaint with QHRC. If this occurs, QHRC will refer the matter to the Australian Human Rights Commission (AHRC) to deal with it in order to avoid a conflict of interest. AHRC will first attempt to resolve the matter informally by discussion and conciliation. If this proves unsatisfactory, a further attempt at resolution can be made by referral to a Tribunal hearing. This is a more formal process that may result in costs being awarded and the Tribunal’s decision is binding. </w:t>
      </w:r>
    </w:p>
    <w:p w14:paraId="67BF40DC" w14:textId="77777777" w:rsidR="00584E50" w:rsidRDefault="00584E50" w:rsidP="00584E50">
      <w:pPr>
        <w:rPr>
          <w:sz w:val="22"/>
          <w:szCs w:val="22"/>
          <w:lang w:val="en-US"/>
        </w:rPr>
      </w:pPr>
    </w:p>
    <w:p w14:paraId="2F2827B7" w14:textId="77777777" w:rsidR="00584E50" w:rsidRDefault="00584E50" w:rsidP="00584E50">
      <w:pPr>
        <w:pStyle w:val="Heading2"/>
        <w:rPr>
          <w:lang w:val="en-US"/>
        </w:rPr>
      </w:pPr>
      <w:bookmarkStart w:id="37" w:name="_Toc45027884"/>
      <w:r>
        <w:rPr>
          <w:lang w:val="en-US"/>
        </w:rPr>
        <w:t>Mediation</w:t>
      </w:r>
      <w:bookmarkEnd w:id="37"/>
    </w:p>
    <w:p w14:paraId="3288719F" w14:textId="77777777" w:rsidR="00584E50" w:rsidRPr="00A45EA5" w:rsidRDefault="00584E50" w:rsidP="00584E50">
      <w:pPr>
        <w:rPr>
          <w:sz w:val="24"/>
          <w:szCs w:val="22"/>
          <w:lang w:val="en-US"/>
        </w:rPr>
      </w:pPr>
      <w:r w:rsidRPr="00A45EA5">
        <w:rPr>
          <w:sz w:val="24"/>
          <w:szCs w:val="22"/>
          <w:lang w:val="en-US"/>
        </w:rPr>
        <w:t xml:space="preserve">A number of sources/providers are available to offer mediation services for the resolution of workplace complaints, including discrimination or harassment complaints. For example, the Department of Justice and Attorney-General’s Dispute Resolution Branch (DRB), or Employee Assistance Program. </w:t>
      </w:r>
    </w:p>
    <w:p w14:paraId="377BA7F2" w14:textId="77777777" w:rsidR="00584E50" w:rsidRPr="00A45EA5" w:rsidRDefault="00584E50" w:rsidP="00584E50">
      <w:pPr>
        <w:rPr>
          <w:sz w:val="24"/>
          <w:szCs w:val="22"/>
          <w:lang w:val="en-US"/>
        </w:rPr>
      </w:pPr>
    </w:p>
    <w:p w14:paraId="1DE6B7D2" w14:textId="77777777" w:rsidR="00584E50" w:rsidRPr="00A45EA5" w:rsidRDefault="00584E50" w:rsidP="00584E50">
      <w:pPr>
        <w:rPr>
          <w:sz w:val="24"/>
          <w:szCs w:val="22"/>
          <w:lang w:val="en-US"/>
        </w:rPr>
      </w:pPr>
      <w:r w:rsidRPr="00A45EA5">
        <w:rPr>
          <w:sz w:val="24"/>
          <w:szCs w:val="22"/>
          <w:lang w:val="en-US"/>
        </w:rPr>
        <w:t xml:space="preserve">Benefits of mediation include: </w:t>
      </w:r>
    </w:p>
    <w:p w14:paraId="3726C303"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m</w:t>
      </w:r>
      <w:r w:rsidR="00584E50" w:rsidRPr="00A45EA5">
        <w:rPr>
          <w:sz w:val="24"/>
          <w:szCs w:val="22"/>
          <w:lang w:val="en-US"/>
        </w:rPr>
        <w:t xml:space="preserve">inimal disruption to the </w:t>
      </w:r>
      <w:proofErr w:type="spellStart"/>
      <w:r w:rsidR="00584E50" w:rsidRPr="00A45EA5">
        <w:rPr>
          <w:sz w:val="24"/>
          <w:szCs w:val="22"/>
          <w:lang w:val="en-US"/>
        </w:rPr>
        <w:t>organisation</w:t>
      </w:r>
      <w:proofErr w:type="spellEnd"/>
      <w:r w:rsidR="00584E50" w:rsidRPr="00A45EA5">
        <w:rPr>
          <w:sz w:val="24"/>
          <w:szCs w:val="22"/>
          <w:lang w:val="en-US"/>
        </w:rPr>
        <w:t xml:space="preserve">; </w:t>
      </w:r>
    </w:p>
    <w:p w14:paraId="65142E1E"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c</w:t>
      </w:r>
      <w:r w:rsidR="00584E50" w:rsidRPr="00A45EA5">
        <w:rPr>
          <w:sz w:val="24"/>
          <w:szCs w:val="22"/>
          <w:lang w:val="en-US"/>
        </w:rPr>
        <w:t>onfidentiality;</w:t>
      </w:r>
    </w:p>
    <w:p w14:paraId="523A218B"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n</w:t>
      </w:r>
      <w:r w:rsidR="00584E50" w:rsidRPr="00A45EA5">
        <w:rPr>
          <w:sz w:val="24"/>
          <w:szCs w:val="22"/>
          <w:lang w:val="en-US"/>
        </w:rPr>
        <w:t>eutrality of mediators</w:t>
      </w:r>
    </w:p>
    <w:p w14:paraId="1B25B9E0"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h</w:t>
      </w:r>
      <w:r w:rsidR="00584E50" w:rsidRPr="00A45EA5">
        <w:rPr>
          <w:sz w:val="24"/>
          <w:szCs w:val="22"/>
          <w:lang w:val="en-US"/>
        </w:rPr>
        <w:t xml:space="preserve">elping people to understand how their </w:t>
      </w:r>
      <w:proofErr w:type="spellStart"/>
      <w:r w:rsidR="00584E50" w:rsidRPr="00A45EA5">
        <w:rPr>
          <w:sz w:val="24"/>
          <w:szCs w:val="22"/>
          <w:lang w:val="en-US"/>
        </w:rPr>
        <w:t>behaviour</w:t>
      </w:r>
      <w:proofErr w:type="spellEnd"/>
      <w:r w:rsidR="00584E50" w:rsidRPr="00A45EA5">
        <w:rPr>
          <w:sz w:val="24"/>
          <w:szCs w:val="22"/>
          <w:lang w:val="en-US"/>
        </w:rPr>
        <w:t xml:space="preserve"> affects others;</w:t>
      </w:r>
    </w:p>
    <w:p w14:paraId="11587AD4"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i</w:t>
      </w:r>
      <w:r w:rsidR="00584E50" w:rsidRPr="00A45EA5">
        <w:rPr>
          <w:sz w:val="24"/>
          <w:szCs w:val="22"/>
          <w:lang w:val="en-US"/>
        </w:rPr>
        <w:t>mproved working relationship between the parties and improved working environment; and</w:t>
      </w:r>
    </w:p>
    <w:p w14:paraId="0A6CD031" w14:textId="77777777" w:rsidR="00584E50" w:rsidRPr="00A45EA5" w:rsidRDefault="00003DF6" w:rsidP="00584E50">
      <w:pPr>
        <w:pStyle w:val="ListParagraph"/>
        <w:numPr>
          <w:ilvl w:val="0"/>
          <w:numId w:val="29"/>
        </w:numPr>
        <w:rPr>
          <w:sz w:val="24"/>
          <w:szCs w:val="22"/>
          <w:lang w:val="en-US"/>
        </w:rPr>
      </w:pPr>
      <w:r w:rsidRPr="00A45EA5">
        <w:rPr>
          <w:sz w:val="24"/>
          <w:szCs w:val="22"/>
          <w:lang w:val="en-US"/>
        </w:rPr>
        <w:t>p</w:t>
      </w:r>
      <w:r w:rsidR="00584E50" w:rsidRPr="00A45EA5">
        <w:rPr>
          <w:sz w:val="24"/>
          <w:szCs w:val="22"/>
          <w:lang w:val="en-US"/>
        </w:rPr>
        <w:t xml:space="preserve">reventing the escalation of the dispute. </w:t>
      </w:r>
    </w:p>
    <w:p w14:paraId="0B7B8B9F" w14:textId="77777777" w:rsidR="00584E50" w:rsidRPr="00A45EA5" w:rsidRDefault="00584E50" w:rsidP="00584E50">
      <w:pPr>
        <w:pStyle w:val="ListParagraph"/>
        <w:rPr>
          <w:sz w:val="24"/>
          <w:szCs w:val="22"/>
          <w:lang w:val="en-US"/>
        </w:rPr>
      </w:pPr>
    </w:p>
    <w:p w14:paraId="1DA7FF7F" w14:textId="77777777" w:rsidR="00584E50" w:rsidRPr="00A45EA5" w:rsidRDefault="00584E50" w:rsidP="00584E50">
      <w:pPr>
        <w:rPr>
          <w:sz w:val="24"/>
          <w:szCs w:val="22"/>
          <w:lang w:val="en-US"/>
        </w:rPr>
      </w:pPr>
      <w:r w:rsidRPr="00A45EA5">
        <w:rPr>
          <w:sz w:val="24"/>
          <w:szCs w:val="22"/>
          <w:lang w:val="en-US"/>
        </w:rPr>
        <w:t xml:space="preserve">It is an alternative to more formal processes, such as </w:t>
      </w:r>
      <w:proofErr w:type="spellStart"/>
      <w:r w:rsidRPr="00A45EA5">
        <w:rPr>
          <w:sz w:val="24"/>
          <w:szCs w:val="22"/>
          <w:lang w:val="en-US"/>
        </w:rPr>
        <w:t>organisational</w:t>
      </w:r>
      <w:proofErr w:type="spellEnd"/>
      <w:r w:rsidRPr="00A45EA5">
        <w:rPr>
          <w:sz w:val="24"/>
          <w:szCs w:val="22"/>
          <w:lang w:val="en-US"/>
        </w:rPr>
        <w:t xml:space="preserve"> complaint procedures or lodging a formal complaint with QHRC.</w:t>
      </w:r>
    </w:p>
    <w:p w14:paraId="51016F78" w14:textId="77777777" w:rsidR="00584E50" w:rsidRPr="00A45EA5" w:rsidRDefault="00584E50" w:rsidP="00584E50">
      <w:pPr>
        <w:rPr>
          <w:sz w:val="24"/>
          <w:szCs w:val="22"/>
          <w:lang w:val="en-US"/>
        </w:rPr>
      </w:pPr>
    </w:p>
    <w:p w14:paraId="3F1E419C" w14:textId="77777777" w:rsidR="00584E50" w:rsidRPr="00A45EA5" w:rsidRDefault="00584E50" w:rsidP="00584E50">
      <w:pPr>
        <w:rPr>
          <w:sz w:val="24"/>
          <w:szCs w:val="22"/>
          <w:lang w:val="en-US"/>
        </w:rPr>
      </w:pPr>
      <w:r w:rsidRPr="00A45EA5">
        <w:rPr>
          <w:sz w:val="24"/>
          <w:szCs w:val="22"/>
          <w:lang w:val="en-US"/>
        </w:rPr>
        <w:t>Participation in mediation is strictly</w:t>
      </w:r>
      <w:r w:rsidR="00003DF6" w:rsidRPr="00A45EA5">
        <w:rPr>
          <w:sz w:val="24"/>
          <w:szCs w:val="22"/>
          <w:lang w:val="en-US"/>
        </w:rPr>
        <w:t xml:space="preserve"> voluntary. Mediators will ensure the matter is suitable for mediation and that all parties are willing to attend. </w:t>
      </w:r>
    </w:p>
    <w:p w14:paraId="06C7D08C" w14:textId="77777777" w:rsidR="00003DF6" w:rsidRDefault="00003DF6" w:rsidP="00584E50">
      <w:pPr>
        <w:rPr>
          <w:sz w:val="22"/>
          <w:szCs w:val="22"/>
          <w:lang w:val="en-US"/>
        </w:rPr>
      </w:pPr>
    </w:p>
    <w:p w14:paraId="3A983A4A" w14:textId="77777777" w:rsidR="00003DF6" w:rsidRDefault="00003DF6" w:rsidP="00003DF6">
      <w:pPr>
        <w:pStyle w:val="Heading2"/>
        <w:rPr>
          <w:lang w:val="en-US"/>
        </w:rPr>
      </w:pPr>
      <w:bookmarkStart w:id="38" w:name="_Toc45027885"/>
      <w:r>
        <w:rPr>
          <w:lang w:val="en-US"/>
        </w:rPr>
        <w:t>Queensland Police Service (QPS) and Crime and Corruption Commission</w:t>
      </w:r>
      <w:bookmarkEnd w:id="38"/>
    </w:p>
    <w:p w14:paraId="7D0101E5" w14:textId="77777777" w:rsidR="00003DF6" w:rsidRPr="00A45EA5" w:rsidRDefault="00003DF6" w:rsidP="00003DF6">
      <w:pPr>
        <w:rPr>
          <w:sz w:val="24"/>
          <w:szCs w:val="22"/>
          <w:lang w:val="en-US"/>
        </w:rPr>
      </w:pPr>
      <w:r w:rsidRPr="00A45EA5">
        <w:rPr>
          <w:sz w:val="24"/>
          <w:szCs w:val="22"/>
          <w:lang w:val="en-US"/>
        </w:rPr>
        <w:t xml:space="preserve">Complainants may take serious assaults involving criminal conduct to the police for investigation. Individuals may also complain to the Crime and Corruption Commission about discrimination or harassment where the </w:t>
      </w:r>
      <w:proofErr w:type="spellStart"/>
      <w:r w:rsidRPr="00A45EA5">
        <w:rPr>
          <w:sz w:val="24"/>
          <w:szCs w:val="22"/>
          <w:lang w:val="en-US"/>
        </w:rPr>
        <w:t>behaviour</w:t>
      </w:r>
      <w:proofErr w:type="spellEnd"/>
      <w:r w:rsidRPr="00A45EA5">
        <w:rPr>
          <w:sz w:val="24"/>
          <w:szCs w:val="22"/>
          <w:lang w:val="en-US"/>
        </w:rPr>
        <w:t xml:space="preserve"> is perceived to be, or may be, official misconduct. </w:t>
      </w:r>
    </w:p>
    <w:p w14:paraId="2AB2A64E" w14:textId="77777777" w:rsidR="00003DF6" w:rsidRDefault="00003DF6" w:rsidP="00003DF6">
      <w:pPr>
        <w:rPr>
          <w:sz w:val="22"/>
          <w:szCs w:val="22"/>
          <w:lang w:val="en-US"/>
        </w:rPr>
      </w:pPr>
    </w:p>
    <w:p w14:paraId="22A2B868" w14:textId="77777777" w:rsidR="009369E3" w:rsidRDefault="009369E3">
      <w:pPr>
        <w:rPr>
          <w:color w:val="347B9F"/>
          <w:sz w:val="36"/>
          <w:lang w:val="en-US"/>
        </w:rPr>
      </w:pPr>
      <w:r>
        <w:rPr>
          <w:lang w:val="en-US"/>
        </w:rPr>
        <w:br w:type="page"/>
      </w:r>
    </w:p>
    <w:p w14:paraId="57893EDA" w14:textId="77777777" w:rsidR="00003DF6" w:rsidRDefault="00003DF6" w:rsidP="00003DF6">
      <w:pPr>
        <w:pStyle w:val="Heading1"/>
        <w:rPr>
          <w:lang w:val="en-US"/>
        </w:rPr>
      </w:pPr>
      <w:bookmarkStart w:id="39" w:name="_Toc45027886"/>
      <w:r>
        <w:rPr>
          <w:lang w:val="en-US"/>
        </w:rPr>
        <w:lastRenderedPageBreak/>
        <w:t>Rights of respondents</w:t>
      </w:r>
      <w:bookmarkEnd w:id="39"/>
    </w:p>
    <w:p w14:paraId="473D1F91" w14:textId="77777777" w:rsidR="00003DF6" w:rsidRPr="00A45EA5" w:rsidRDefault="00003DF6" w:rsidP="00003DF6">
      <w:pPr>
        <w:rPr>
          <w:sz w:val="24"/>
          <w:szCs w:val="22"/>
          <w:lang w:val="en-US"/>
        </w:rPr>
      </w:pPr>
      <w:r w:rsidRPr="00A45EA5">
        <w:rPr>
          <w:sz w:val="24"/>
          <w:szCs w:val="22"/>
          <w:lang w:val="en-US"/>
        </w:rPr>
        <w:t xml:space="preserve">People who are accused of discrimination or harassment have the right to: </w:t>
      </w:r>
    </w:p>
    <w:p w14:paraId="0EF0C682" w14:textId="77777777" w:rsidR="00003DF6" w:rsidRPr="00A45EA5" w:rsidRDefault="00003DF6" w:rsidP="00003DF6">
      <w:pPr>
        <w:pStyle w:val="ListParagraph"/>
        <w:numPr>
          <w:ilvl w:val="0"/>
          <w:numId w:val="30"/>
        </w:numPr>
        <w:rPr>
          <w:sz w:val="24"/>
          <w:szCs w:val="22"/>
          <w:lang w:val="en-US"/>
        </w:rPr>
      </w:pPr>
      <w:r w:rsidRPr="00A45EA5">
        <w:rPr>
          <w:sz w:val="24"/>
          <w:szCs w:val="22"/>
          <w:lang w:val="en-US"/>
        </w:rPr>
        <w:t xml:space="preserve">be informed of the nature of the allegations; </w:t>
      </w:r>
    </w:p>
    <w:p w14:paraId="45FC31FB" w14:textId="77777777" w:rsidR="00003DF6" w:rsidRPr="00A45EA5" w:rsidRDefault="00003DF6" w:rsidP="00003DF6">
      <w:pPr>
        <w:pStyle w:val="ListParagraph"/>
        <w:numPr>
          <w:ilvl w:val="0"/>
          <w:numId w:val="30"/>
        </w:numPr>
        <w:rPr>
          <w:sz w:val="24"/>
          <w:szCs w:val="22"/>
          <w:lang w:val="en-US"/>
        </w:rPr>
      </w:pPr>
      <w:r w:rsidRPr="00A45EA5">
        <w:rPr>
          <w:sz w:val="24"/>
          <w:szCs w:val="22"/>
          <w:lang w:val="en-US"/>
        </w:rPr>
        <w:t xml:space="preserve">respond to the allegations; </w:t>
      </w:r>
    </w:p>
    <w:p w14:paraId="77165255" w14:textId="77777777" w:rsidR="00003DF6" w:rsidRPr="00A45EA5" w:rsidRDefault="00003DF6" w:rsidP="00003DF6">
      <w:pPr>
        <w:pStyle w:val="ListParagraph"/>
        <w:numPr>
          <w:ilvl w:val="0"/>
          <w:numId w:val="30"/>
        </w:numPr>
        <w:rPr>
          <w:sz w:val="24"/>
          <w:szCs w:val="22"/>
          <w:lang w:val="en-US"/>
        </w:rPr>
      </w:pPr>
      <w:r w:rsidRPr="00A45EA5">
        <w:rPr>
          <w:sz w:val="24"/>
          <w:szCs w:val="22"/>
          <w:lang w:val="en-US"/>
        </w:rPr>
        <w:t xml:space="preserve">an impartial investigation applying the principles of natural justice; and </w:t>
      </w:r>
    </w:p>
    <w:p w14:paraId="2E617327" w14:textId="77777777" w:rsidR="00003DF6" w:rsidRPr="00A45EA5" w:rsidRDefault="00003DF6" w:rsidP="00003DF6">
      <w:pPr>
        <w:pStyle w:val="ListParagraph"/>
        <w:numPr>
          <w:ilvl w:val="0"/>
          <w:numId w:val="30"/>
        </w:numPr>
        <w:rPr>
          <w:sz w:val="24"/>
          <w:szCs w:val="22"/>
          <w:lang w:val="en-US"/>
        </w:rPr>
      </w:pPr>
      <w:r w:rsidRPr="00A45EA5">
        <w:rPr>
          <w:sz w:val="24"/>
          <w:szCs w:val="22"/>
          <w:lang w:val="en-US"/>
        </w:rPr>
        <w:t xml:space="preserve">confidentiality. </w:t>
      </w:r>
    </w:p>
    <w:p w14:paraId="6B8B64C6" w14:textId="77777777" w:rsidR="00003DF6" w:rsidRPr="00A45EA5" w:rsidRDefault="00003DF6" w:rsidP="00003DF6">
      <w:pPr>
        <w:rPr>
          <w:sz w:val="24"/>
          <w:szCs w:val="22"/>
          <w:lang w:val="en-US"/>
        </w:rPr>
      </w:pPr>
    </w:p>
    <w:p w14:paraId="5DA5F651" w14:textId="77777777" w:rsidR="00003DF6" w:rsidRPr="00A45EA5" w:rsidRDefault="00003DF6" w:rsidP="00003DF6">
      <w:pPr>
        <w:rPr>
          <w:sz w:val="24"/>
          <w:szCs w:val="22"/>
          <w:lang w:val="en-US"/>
        </w:rPr>
      </w:pPr>
      <w:r w:rsidRPr="00A45EA5">
        <w:rPr>
          <w:sz w:val="24"/>
          <w:szCs w:val="22"/>
          <w:lang w:val="en-US"/>
        </w:rPr>
        <w:t xml:space="preserve">If the complaint is found to be unsubstantiated, an alleged harasser may be entitled to: </w:t>
      </w:r>
    </w:p>
    <w:p w14:paraId="42E75AF7" w14:textId="77777777" w:rsidR="00003DF6" w:rsidRPr="00A45EA5" w:rsidRDefault="00003DF6" w:rsidP="00003DF6">
      <w:pPr>
        <w:pStyle w:val="ListParagraph"/>
        <w:numPr>
          <w:ilvl w:val="0"/>
          <w:numId w:val="31"/>
        </w:numPr>
        <w:jc w:val="both"/>
        <w:rPr>
          <w:sz w:val="24"/>
          <w:szCs w:val="22"/>
          <w:lang w:val="en-US"/>
        </w:rPr>
      </w:pPr>
      <w:r w:rsidRPr="00A45EA5">
        <w:rPr>
          <w:sz w:val="24"/>
          <w:szCs w:val="22"/>
          <w:lang w:val="en-US"/>
        </w:rPr>
        <w:t xml:space="preserve">an apology or some other type of acknowledgement by management; </w:t>
      </w:r>
    </w:p>
    <w:p w14:paraId="409991E4" w14:textId="77777777" w:rsidR="00003DF6" w:rsidRPr="00A45EA5" w:rsidRDefault="00003DF6" w:rsidP="00003DF6">
      <w:pPr>
        <w:pStyle w:val="ListParagraph"/>
        <w:numPr>
          <w:ilvl w:val="0"/>
          <w:numId w:val="31"/>
        </w:numPr>
        <w:jc w:val="both"/>
        <w:rPr>
          <w:sz w:val="24"/>
          <w:szCs w:val="22"/>
          <w:lang w:val="en-US"/>
        </w:rPr>
      </w:pPr>
      <w:r w:rsidRPr="00A45EA5">
        <w:rPr>
          <w:sz w:val="24"/>
          <w:szCs w:val="22"/>
          <w:lang w:val="en-US"/>
        </w:rPr>
        <w:t xml:space="preserve">reinstatement of any loss of privileges; </w:t>
      </w:r>
    </w:p>
    <w:p w14:paraId="5E7EC1B3" w14:textId="77777777" w:rsidR="00003DF6" w:rsidRPr="00A45EA5" w:rsidRDefault="00003DF6" w:rsidP="00003DF6">
      <w:pPr>
        <w:pStyle w:val="ListParagraph"/>
        <w:numPr>
          <w:ilvl w:val="0"/>
          <w:numId w:val="31"/>
        </w:numPr>
        <w:jc w:val="both"/>
        <w:rPr>
          <w:sz w:val="24"/>
          <w:szCs w:val="22"/>
          <w:lang w:val="en-US"/>
        </w:rPr>
      </w:pPr>
      <w:r w:rsidRPr="00A45EA5">
        <w:rPr>
          <w:sz w:val="24"/>
          <w:szCs w:val="22"/>
          <w:lang w:val="en-US"/>
        </w:rPr>
        <w:t xml:space="preserve">removal of all records of the matter from relevant files. </w:t>
      </w:r>
    </w:p>
    <w:p w14:paraId="3FD9E31E" w14:textId="77777777" w:rsidR="00003DF6" w:rsidRPr="00A45EA5" w:rsidRDefault="00003DF6" w:rsidP="00003DF6">
      <w:pPr>
        <w:jc w:val="both"/>
        <w:rPr>
          <w:sz w:val="24"/>
          <w:szCs w:val="22"/>
          <w:lang w:val="en-US"/>
        </w:rPr>
      </w:pPr>
    </w:p>
    <w:p w14:paraId="24EACFBD" w14:textId="77777777" w:rsidR="00003DF6" w:rsidRPr="00A45EA5" w:rsidRDefault="00003DF6" w:rsidP="00003DF6">
      <w:pPr>
        <w:jc w:val="both"/>
        <w:rPr>
          <w:sz w:val="24"/>
          <w:szCs w:val="22"/>
          <w:lang w:val="en-US"/>
        </w:rPr>
      </w:pPr>
      <w:r w:rsidRPr="00A45EA5">
        <w:rPr>
          <w:sz w:val="24"/>
          <w:szCs w:val="22"/>
          <w:lang w:val="en-US"/>
        </w:rPr>
        <w:t xml:space="preserve">If the complaint is found to be vexatious or malicious, QHRC may initiate disciplinary action against the complainant. </w:t>
      </w:r>
    </w:p>
    <w:p w14:paraId="5F305755" w14:textId="77777777" w:rsidR="00003DF6" w:rsidRDefault="00003DF6" w:rsidP="00003DF6">
      <w:pPr>
        <w:jc w:val="both"/>
        <w:rPr>
          <w:sz w:val="22"/>
          <w:szCs w:val="22"/>
          <w:lang w:val="en-US"/>
        </w:rPr>
      </w:pPr>
    </w:p>
    <w:p w14:paraId="5C933144" w14:textId="77777777" w:rsidR="00003DF6" w:rsidRDefault="00003DF6" w:rsidP="00003DF6">
      <w:pPr>
        <w:pStyle w:val="Heading1"/>
        <w:rPr>
          <w:lang w:val="en-US"/>
        </w:rPr>
      </w:pPr>
      <w:bookmarkStart w:id="40" w:name="_Toc45027887"/>
      <w:r>
        <w:rPr>
          <w:lang w:val="en-US"/>
        </w:rPr>
        <w:t>Possible outcomes of investigation</w:t>
      </w:r>
      <w:bookmarkEnd w:id="40"/>
    </w:p>
    <w:p w14:paraId="15D5F24B" w14:textId="77777777" w:rsidR="00003DF6" w:rsidRPr="00A45EA5" w:rsidRDefault="009D4383" w:rsidP="00003DF6">
      <w:pPr>
        <w:rPr>
          <w:sz w:val="24"/>
          <w:szCs w:val="22"/>
          <w:lang w:val="en-US"/>
        </w:rPr>
      </w:pPr>
      <w:r w:rsidRPr="00A45EA5">
        <w:rPr>
          <w:sz w:val="24"/>
          <w:szCs w:val="22"/>
          <w:lang w:val="en-US"/>
        </w:rPr>
        <w:t xml:space="preserve">Generally, people who lodge a complaint are looking for two outcomes – for the inappropriate </w:t>
      </w:r>
      <w:proofErr w:type="spellStart"/>
      <w:r w:rsidRPr="00A45EA5">
        <w:rPr>
          <w:sz w:val="24"/>
          <w:szCs w:val="22"/>
          <w:lang w:val="en-US"/>
        </w:rPr>
        <w:t>behaviour</w:t>
      </w:r>
      <w:proofErr w:type="spellEnd"/>
      <w:r w:rsidRPr="00A45EA5">
        <w:rPr>
          <w:sz w:val="24"/>
          <w:szCs w:val="22"/>
          <w:lang w:val="en-US"/>
        </w:rPr>
        <w:t xml:space="preserve"> to stop and for no one else to experience the </w:t>
      </w:r>
      <w:proofErr w:type="spellStart"/>
      <w:r w:rsidRPr="00A45EA5">
        <w:rPr>
          <w:sz w:val="24"/>
          <w:szCs w:val="22"/>
          <w:lang w:val="en-US"/>
        </w:rPr>
        <w:t>behaviour</w:t>
      </w:r>
      <w:proofErr w:type="spellEnd"/>
      <w:r w:rsidRPr="00A45EA5">
        <w:rPr>
          <w:sz w:val="24"/>
          <w:szCs w:val="22"/>
          <w:lang w:val="en-US"/>
        </w:rPr>
        <w:t xml:space="preserve">. Outcomes from a complaint may include one or more of the following. </w:t>
      </w:r>
    </w:p>
    <w:p w14:paraId="4BBCF300" w14:textId="77777777" w:rsidR="009D4383" w:rsidRDefault="009D4383" w:rsidP="00003DF6">
      <w:pPr>
        <w:rPr>
          <w:sz w:val="22"/>
          <w:szCs w:val="22"/>
          <w:lang w:val="en-US"/>
        </w:rPr>
      </w:pPr>
    </w:p>
    <w:p w14:paraId="2AC312FB" w14:textId="77777777" w:rsidR="009D4383" w:rsidRDefault="009D4383" w:rsidP="009D4383">
      <w:pPr>
        <w:pStyle w:val="Heading2"/>
        <w:rPr>
          <w:lang w:val="en-US"/>
        </w:rPr>
      </w:pPr>
      <w:bookmarkStart w:id="41" w:name="_Toc45027888"/>
      <w:r>
        <w:rPr>
          <w:lang w:val="en-US"/>
        </w:rPr>
        <w:t>Complaint substantiated</w:t>
      </w:r>
      <w:bookmarkEnd w:id="41"/>
    </w:p>
    <w:p w14:paraId="18BBE1B5" w14:textId="77777777" w:rsidR="009D4383" w:rsidRDefault="009D4383" w:rsidP="009D4383">
      <w:pPr>
        <w:pStyle w:val="Heading3"/>
        <w:rPr>
          <w:lang w:val="en-US"/>
        </w:rPr>
      </w:pPr>
      <w:bookmarkStart w:id="42" w:name="_Toc45027889"/>
      <w:r>
        <w:rPr>
          <w:lang w:val="en-US"/>
        </w:rPr>
        <w:t>For the complainant</w:t>
      </w:r>
      <w:bookmarkEnd w:id="42"/>
    </w:p>
    <w:p w14:paraId="7ACE8AE8"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An undertaking that the </w:t>
      </w:r>
      <w:proofErr w:type="spellStart"/>
      <w:r w:rsidRPr="00A45EA5">
        <w:rPr>
          <w:sz w:val="24"/>
          <w:szCs w:val="22"/>
          <w:lang w:val="en-US"/>
        </w:rPr>
        <w:t>behaviour</w:t>
      </w:r>
      <w:proofErr w:type="spellEnd"/>
      <w:r w:rsidRPr="00A45EA5">
        <w:rPr>
          <w:sz w:val="24"/>
          <w:szCs w:val="22"/>
          <w:lang w:val="en-US"/>
        </w:rPr>
        <w:t xml:space="preserve"> will cease. This may also involve an apology. </w:t>
      </w:r>
    </w:p>
    <w:p w14:paraId="60B3E249"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 recommendation that </w:t>
      </w:r>
      <w:proofErr w:type="spellStart"/>
      <w:r w:rsidRPr="00A45EA5">
        <w:rPr>
          <w:sz w:val="24"/>
          <w:szCs w:val="22"/>
          <w:lang w:val="en-US"/>
        </w:rPr>
        <w:t>unfavourable</w:t>
      </w:r>
      <w:proofErr w:type="spellEnd"/>
      <w:r w:rsidRPr="00A45EA5">
        <w:rPr>
          <w:sz w:val="24"/>
          <w:szCs w:val="22"/>
          <w:lang w:val="en-US"/>
        </w:rPr>
        <w:t xml:space="preserve"> comments be removed from the complainant’s personal file. When people are harassed their work often suffers and if comments are made on this basis and placed on their service record, it would be inappropriate to leave them there. </w:t>
      </w:r>
    </w:p>
    <w:p w14:paraId="6FFCFC09"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 referral to the Employee Assistance Program (EAP) for professional counselling. </w:t>
      </w:r>
    </w:p>
    <w:p w14:paraId="575DC63A"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 recommendation that staff undertake an awareness session about harassment in the workplace. </w:t>
      </w:r>
    </w:p>
    <w:p w14:paraId="438A7AB5"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 recommendation that the complainant be compensated for financial costs incurred in connection with the harassment. For example, medical or counselling costs. </w:t>
      </w:r>
    </w:p>
    <w:p w14:paraId="32925137" w14:textId="77777777" w:rsidR="009D4383" w:rsidRPr="00A45EA5" w:rsidRDefault="009D4383" w:rsidP="009D4383">
      <w:pPr>
        <w:pStyle w:val="ListParagraph"/>
        <w:numPr>
          <w:ilvl w:val="0"/>
          <w:numId w:val="32"/>
        </w:numPr>
        <w:rPr>
          <w:sz w:val="24"/>
          <w:szCs w:val="22"/>
          <w:lang w:val="en-US"/>
        </w:rPr>
      </w:pPr>
      <w:r w:rsidRPr="00A45EA5">
        <w:rPr>
          <w:sz w:val="24"/>
          <w:szCs w:val="22"/>
          <w:lang w:val="en-US"/>
        </w:rPr>
        <w:t xml:space="preserve">A recommendation that leave taken as a result of the harassment be re-credited. </w:t>
      </w:r>
    </w:p>
    <w:p w14:paraId="32426E31" w14:textId="77777777" w:rsidR="009D4383" w:rsidRDefault="009D4383" w:rsidP="009D4383">
      <w:pPr>
        <w:pStyle w:val="Heading3"/>
        <w:rPr>
          <w:lang w:val="en-US"/>
        </w:rPr>
      </w:pPr>
      <w:bookmarkStart w:id="43" w:name="_Toc45027890"/>
      <w:r>
        <w:rPr>
          <w:lang w:val="en-US"/>
        </w:rPr>
        <w:t>For the respondent</w:t>
      </w:r>
      <w:bookmarkEnd w:id="43"/>
    </w:p>
    <w:p w14:paraId="398A2505" w14:textId="77777777" w:rsidR="009D4383" w:rsidRPr="00A45EA5" w:rsidRDefault="009D4383" w:rsidP="009D4383">
      <w:pPr>
        <w:pStyle w:val="ListParagraph"/>
        <w:numPr>
          <w:ilvl w:val="0"/>
          <w:numId w:val="33"/>
        </w:numPr>
        <w:rPr>
          <w:sz w:val="24"/>
          <w:lang w:val="en-US"/>
        </w:rPr>
      </w:pPr>
      <w:r w:rsidRPr="00A45EA5">
        <w:rPr>
          <w:sz w:val="24"/>
          <w:lang w:val="en-US"/>
        </w:rPr>
        <w:t xml:space="preserve">A recommendation of disciplinary action. This may include any penalty defined in the </w:t>
      </w:r>
      <w:r w:rsidRPr="00A45EA5">
        <w:rPr>
          <w:i/>
          <w:sz w:val="24"/>
          <w:lang w:val="en-US"/>
        </w:rPr>
        <w:t xml:space="preserve">Public Service Act 2008 </w:t>
      </w:r>
      <w:r w:rsidRPr="00A45EA5">
        <w:rPr>
          <w:sz w:val="24"/>
          <w:lang w:val="en-US"/>
        </w:rPr>
        <w:t xml:space="preserve">subject to the decision of the Human Rights Commissioner. If formal disciplinary action is warranted, one outcome may be placing a record of the outcome on the personal file of the person who was disciplined. </w:t>
      </w:r>
    </w:p>
    <w:p w14:paraId="03BAF4C8" w14:textId="77777777" w:rsidR="009D4383" w:rsidRPr="00A45EA5" w:rsidRDefault="009D4383" w:rsidP="009D4383">
      <w:pPr>
        <w:pStyle w:val="ListParagraph"/>
        <w:numPr>
          <w:ilvl w:val="0"/>
          <w:numId w:val="33"/>
        </w:numPr>
        <w:rPr>
          <w:sz w:val="24"/>
          <w:lang w:val="en-US"/>
        </w:rPr>
      </w:pPr>
      <w:r w:rsidRPr="00A45EA5">
        <w:rPr>
          <w:sz w:val="24"/>
          <w:lang w:val="en-US"/>
        </w:rPr>
        <w:t xml:space="preserve">Advice to the harasser of their right to lodge a fair treatment or discipline appeal with the Queensland Industrial Relations Commission (QIRC). </w:t>
      </w:r>
    </w:p>
    <w:p w14:paraId="364D4678" w14:textId="77777777" w:rsidR="009D4383" w:rsidRPr="00A45EA5" w:rsidRDefault="009D4383" w:rsidP="009D4383">
      <w:pPr>
        <w:pStyle w:val="ListParagraph"/>
        <w:numPr>
          <w:ilvl w:val="0"/>
          <w:numId w:val="33"/>
        </w:numPr>
        <w:rPr>
          <w:sz w:val="24"/>
          <w:lang w:val="en-US"/>
        </w:rPr>
      </w:pPr>
      <w:r w:rsidRPr="00A45EA5">
        <w:rPr>
          <w:sz w:val="24"/>
          <w:lang w:val="en-US"/>
        </w:rPr>
        <w:t>A referral for the harasser to the Employee Assistance Program (EAP).</w:t>
      </w:r>
    </w:p>
    <w:p w14:paraId="4D952AB5" w14:textId="77777777" w:rsidR="009D4383" w:rsidRDefault="009D4383" w:rsidP="009D4383">
      <w:pPr>
        <w:rPr>
          <w:sz w:val="22"/>
          <w:lang w:val="en-US"/>
        </w:rPr>
      </w:pPr>
    </w:p>
    <w:p w14:paraId="6E9435AC" w14:textId="77777777" w:rsidR="009D4383" w:rsidRDefault="009D4383" w:rsidP="009D4383">
      <w:pPr>
        <w:pStyle w:val="Heading2"/>
        <w:rPr>
          <w:lang w:val="en-US"/>
        </w:rPr>
      </w:pPr>
      <w:bookmarkStart w:id="44" w:name="_Toc45027891"/>
      <w:r>
        <w:rPr>
          <w:lang w:val="en-US"/>
        </w:rPr>
        <w:lastRenderedPageBreak/>
        <w:t>Complaint not substantiated</w:t>
      </w:r>
      <w:bookmarkEnd w:id="44"/>
    </w:p>
    <w:p w14:paraId="46DBF21B" w14:textId="77777777" w:rsidR="009D4383" w:rsidRDefault="009D4383" w:rsidP="009D4383">
      <w:pPr>
        <w:pStyle w:val="Heading3"/>
        <w:rPr>
          <w:lang w:val="en-US"/>
        </w:rPr>
      </w:pPr>
      <w:bookmarkStart w:id="45" w:name="_Toc45027892"/>
      <w:r>
        <w:rPr>
          <w:lang w:val="en-US"/>
        </w:rPr>
        <w:t>For the complainant</w:t>
      </w:r>
      <w:bookmarkEnd w:id="45"/>
    </w:p>
    <w:p w14:paraId="7EE3E1ED" w14:textId="77777777" w:rsidR="009D4383" w:rsidRPr="00A45EA5" w:rsidRDefault="009D4383" w:rsidP="009D4383">
      <w:pPr>
        <w:pStyle w:val="ListParagraph"/>
        <w:numPr>
          <w:ilvl w:val="0"/>
          <w:numId w:val="34"/>
        </w:numPr>
        <w:rPr>
          <w:sz w:val="24"/>
          <w:lang w:val="en-US"/>
        </w:rPr>
      </w:pPr>
      <w:r w:rsidRPr="00A45EA5">
        <w:rPr>
          <w:sz w:val="24"/>
          <w:lang w:val="en-US"/>
        </w:rPr>
        <w:t xml:space="preserve">Advice to the complainant that the complaint has been dismissed. </w:t>
      </w:r>
    </w:p>
    <w:p w14:paraId="075F456D" w14:textId="77777777" w:rsidR="009D4383" w:rsidRPr="00A45EA5" w:rsidRDefault="009D4383" w:rsidP="009D4383">
      <w:pPr>
        <w:pStyle w:val="ListParagraph"/>
        <w:numPr>
          <w:ilvl w:val="0"/>
          <w:numId w:val="34"/>
        </w:numPr>
        <w:rPr>
          <w:sz w:val="24"/>
          <w:lang w:val="en-US"/>
        </w:rPr>
      </w:pPr>
      <w:r w:rsidRPr="00A45EA5">
        <w:rPr>
          <w:sz w:val="24"/>
          <w:lang w:val="en-US"/>
        </w:rPr>
        <w:t xml:space="preserve">Advice to the complainant of further rights of complaint, including lodging a formal complaint with the QHRC under the </w:t>
      </w:r>
      <w:r w:rsidRPr="00A45EA5">
        <w:rPr>
          <w:i/>
          <w:sz w:val="24"/>
          <w:lang w:val="en-US"/>
        </w:rPr>
        <w:t>Anti-Discrimination Act 1991.</w:t>
      </w:r>
    </w:p>
    <w:p w14:paraId="6CF711AE" w14:textId="77777777" w:rsidR="009D4383" w:rsidRPr="00A45EA5" w:rsidRDefault="009D4383" w:rsidP="009D4383">
      <w:pPr>
        <w:pStyle w:val="ListParagraph"/>
        <w:numPr>
          <w:ilvl w:val="0"/>
          <w:numId w:val="34"/>
        </w:numPr>
        <w:rPr>
          <w:sz w:val="24"/>
          <w:lang w:val="en-US"/>
        </w:rPr>
      </w:pPr>
      <w:r w:rsidRPr="00A45EA5">
        <w:rPr>
          <w:sz w:val="24"/>
          <w:lang w:val="en-US"/>
        </w:rPr>
        <w:t xml:space="preserve">A referral for the complainant to the Employee Assistance Program. </w:t>
      </w:r>
    </w:p>
    <w:p w14:paraId="5D6E2B0F" w14:textId="77777777" w:rsidR="009D4383" w:rsidRPr="00A45EA5" w:rsidRDefault="009D4383" w:rsidP="009D4383">
      <w:pPr>
        <w:pStyle w:val="ListParagraph"/>
        <w:numPr>
          <w:ilvl w:val="0"/>
          <w:numId w:val="34"/>
        </w:numPr>
        <w:rPr>
          <w:sz w:val="24"/>
          <w:lang w:val="en-US"/>
        </w:rPr>
      </w:pPr>
      <w:r w:rsidRPr="00A45EA5">
        <w:rPr>
          <w:sz w:val="24"/>
          <w:lang w:val="en-US"/>
        </w:rPr>
        <w:t xml:space="preserve">Advice to the complainant to keep diary notes or try to obtain other witnesses if there are further incidents. </w:t>
      </w:r>
    </w:p>
    <w:p w14:paraId="6676B92F" w14:textId="77777777" w:rsidR="009D4383" w:rsidRPr="00A45EA5" w:rsidRDefault="009D4383" w:rsidP="009D4383">
      <w:pPr>
        <w:pStyle w:val="ListParagraph"/>
        <w:numPr>
          <w:ilvl w:val="0"/>
          <w:numId w:val="34"/>
        </w:numPr>
        <w:rPr>
          <w:sz w:val="24"/>
          <w:lang w:val="en-US"/>
        </w:rPr>
      </w:pPr>
      <w:r w:rsidRPr="00A45EA5">
        <w:rPr>
          <w:sz w:val="24"/>
          <w:lang w:val="en-US"/>
        </w:rPr>
        <w:t xml:space="preserve">A recommendation to consider disciplinary action against the complainant if the complaint was vexatious or malicious. </w:t>
      </w:r>
    </w:p>
    <w:p w14:paraId="73AB3F00" w14:textId="77777777" w:rsidR="009D4383" w:rsidRDefault="009D4383" w:rsidP="009D4383">
      <w:pPr>
        <w:pStyle w:val="Heading3"/>
        <w:rPr>
          <w:lang w:val="en-US"/>
        </w:rPr>
      </w:pPr>
      <w:bookmarkStart w:id="46" w:name="_Toc45027893"/>
      <w:r>
        <w:rPr>
          <w:lang w:val="en-US"/>
        </w:rPr>
        <w:t>For the respondent</w:t>
      </w:r>
      <w:bookmarkEnd w:id="46"/>
    </w:p>
    <w:p w14:paraId="0B9CD7AB" w14:textId="77777777" w:rsidR="009D4383" w:rsidRPr="00A45EA5" w:rsidRDefault="009D4383" w:rsidP="009D4383">
      <w:pPr>
        <w:pStyle w:val="ListParagraph"/>
        <w:numPr>
          <w:ilvl w:val="0"/>
          <w:numId w:val="35"/>
        </w:numPr>
        <w:rPr>
          <w:sz w:val="24"/>
          <w:lang w:val="en-US"/>
        </w:rPr>
      </w:pPr>
      <w:r w:rsidRPr="00A45EA5">
        <w:rPr>
          <w:sz w:val="24"/>
          <w:lang w:val="en-US"/>
        </w:rPr>
        <w:t xml:space="preserve">A recommendation that an apology or some form of acknowledgement be made by management that the complaint was not substantiated. </w:t>
      </w:r>
    </w:p>
    <w:p w14:paraId="1B0A678E" w14:textId="77777777" w:rsidR="009D4383" w:rsidRPr="00A45EA5" w:rsidRDefault="009D4383" w:rsidP="009D4383">
      <w:pPr>
        <w:pStyle w:val="ListParagraph"/>
        <w:numPr>
          <w:ilvl w:val="0"/>
          <w:numId w:val="35"/>
        </w:numPr>
        <w:rPr>
          <w:sz w:val="24"/>
          <w:lang w:val="en-US"/>
        </w:rPr>
      </w:pPr>
      <w:r w:rsidRPr="00A45EA5">
        <w:rPr>
          <w:sz w:val="24"/>
          <w:lang w:val="en-US"/>
        </w:rPr>
        <w:t xml:space="preserve">A referral for the respondent to the Employee Assistance Program. </w:t>
      </w:r>
    </w:p>
    <w:p w14:paraId="79338168" w14:textId="77777777" w:rsidR="009D4383" w:rsidRDefault="009D4383" w:rsidP="009D4383">
      <w:pPr>
        <w:pStyle w:val="Heading1"/>
        <w:rPr>
          <w:lang w:val="en-US"/>
        </w:rPr>
      </w:pPr>
    </w:p>
    <w:p w14:paraId="47F87648" w14:textId="77777777" w:rsidR="009D4383" w:rsidRDefault="009D4383" w:rsidP="009D4383">
      <w:pPr>
        <w:pStyle w:val="Heading1"/>
        <w:rPr>
          <w:lang w:val="en-US"/>
        </w:rPr>
      </w:pPr>
      <w:bookmarkStart w:id="47" w:name="_Toc45027894"/>
      <w:r>
        <w:rPr>
          <w:lang w:val="en-US"/>
        </w:rPr>
        <w:t>Confidentiality</w:t>
      </w:r>
      <w:bookmarkEnd w:id="47"/>
    </w:p>
    <w:p w14:paraId="21DE799B" w14:textId="77777777" w:rsidR="009D4383" w:rsidRPr="00A45EA5" w:rsidRDefault="009D4383" w:rsidP="009D4383">
      <w:pPr>
        <w:rPr>
          <w:sz w:val="24"/>
          <w:lang w:val="en-US"/>
        </w:rPr>
      </w:pPr>
      <w:r w:rsidRPr="00A45EA5">
        <w:rPr>
          <w:sz w:val="24"/>
          <w:lang w:val="en-US"/>
        </w:rPr>
        <w:t xml:space="preserve">Any allegation of discrimination or harassment is potentially damaging to a person’s reputation and credibility. Therefore it is necessary to treat all cases in the strictest confidence. To ensure the integrity and confidentiality of harassment cases, officers must ensure that files are kept in a locked filing cabinet and are not left on desks or any other accessible areas. A break in confidentiality or communication of damaging material may result in legal action being commenced by the respondent or other parties. </w:t>
      </w:r>
    </w:p>
    <w:p w14:paraId="6EEBF3CA" w14:textId="77777777" w:rsidR="009D4383" w:rsidRDefault="009D4383" w:rsidP="009D4383">
      <w:pPr>
        <w:rPr>
          <w:sz w:val="22"/>
          <w:lang w:val="en-US"/>
        </w:rPr>
      </w:pPr>
    </w:p>
    <w:p w14:paraId="6CF48D55" w14:textId="77777777" w:rsidR="009D4383" w:rsidRDefault="009D4383" w:rsidP="009D4383">
      <w:pPr>
        <w:pStyle w:val="Heading1"/>
        <w:rPr>
          <w:lang w:val="en-US"/>
        </w:rPr>
      </w:pPr>
      <w:bookmarkStart w:id="48" w:name="_Toc45027895"/>
      <w:r>
        <w:rPr>
          <w:lang w:val="en-US"/>
        </w:rPr>
        <w:t>Natural justice</w:t>
      </w:r>
      <w:bookmarkEnd w:id="48"/>
    </w:p>
    <w:p w14:paraId="7CDEE6F1" w14:textId="77777777" w:rsidR="009D4383" w:rsidRPr="00A45EA5" w:rsidRDefault="00FF7A72" w:rsidP="009D4383">
      <w:pPr>
        <w:rPr>
          <w:sz w:val="24"/>
          <w:lang w:val="en-US"/>
        </w:rPr>
      </w:pPr>
      <w:r w:rsidRPr="00A45EA5">
        <w:rPr>
          <w:sz w:val="24"/>
          <w:lang w:val="en-US"/>
        </w:rPr>
        <w:t xml:space="preserve">The principles of natural justice should be followed in proceedings for discrimination or sexual harassment action. Natural justice refers to procedural fairness, ensuring a fair decision is reached by an objective decision-maker. </w:t>
      </w:r>
    </w:p>
    <w:p w14:paraId="0E4EAF81" w14:textId="77777777" w:rsidR="00FF7A72" w:rsidRPr="00A45EA5" w:rsidRDefault="00FF7A72" w:rsidP="009D4383">
      <w:pPr>
        <w:rPr>
          <w:sz w:val="24"/>
          <w:lang w:val="en-US"/>
        </w:rPr>
      </w:pPr>
    </w:p>
    <w:p w14:paraId="7BAF9664" w14:textId="77777777" w:rsidR="00FF7A72" w:rsidRPr="00A45EA5" w:rsidRDefault="00FF7A72" w:rsidP="009D4383">
      <w:pPr>
        <w:rPr>
          <w:sz w:val="24"/>
          <w:lang w:val="en-US"/>
        </w:rPr>
      </w:pPr>
      <w:r w:rsidRPr="00A45EA5">
        <w:rPr>
          <w:sz w:val="24"/>
          <w:lang w:val="en-US"/>
        </w:rPr>
        <w:t xml:space="preserve">Natural justice requires two rules to be observed: </w:t>
      </w:r>
    </w:p>
    <w:p w14:paraId="1A2972D1" w14:textId="77777777" w:rsidR="00FF7A72" w:rsidRPr="00A45EA5" w:rsidRDefault="00FF7A72" w:rsidP="00FF7A72">
      <w:pPr>
        <w:pStyle w:val="ListParagraph"/>
        <w:numPr>
          <w:ilvl w:val="0"/>
          <w:numId w:val="36"/>
        </w:numPr>
        <w:rPr>
          <w:sz w:val="24"/>
          <w:lang w:val="en-US"/>
        </w:rPr>
      </w:pPr>
      <w:r w:rsidRPr="00A45EA5">
        <w:rPr>
          <w:sz w:val="24"/>
          <w:lang w:val="en-US"/>
        </w:rPr>
        <w:t xml:space="preserve">The hearing rule, which states that a person or body deciding a particular matter must ensure the affected person knows the case against them and has the opportunity to present their case before any decision is made. </w:t>
      </w:r>
    </w:p>
    <w:p w14:paraId="43267266" w14:textId="77777777" w:rsidR="00FF7A72" w:rsidRPr="00A45EA5" w:rsidRDefault="00FF7A72" w:rsidP="00FF7A72">
      <w:pPr>
        <w:pStyle w:val="ListParagraph"/>
        <w:numPr>
          <w:ilvl w:val="0"/>
          <w:numId w:val="36"/>
        </w:numPr>
        <w:rPr>
          <w:sz w:val="24"/>
          <w:lang w:val="en-US"/>
        </w:rPr>
      </w:pPr>
      <w:r w:rsidRPr="00A45EA5">
        <w:rPr>
          <w:sz w:val="24"/>
          <w:lang w:val="en-US"/>
        </w:rPr>
        <w:t xml:space="preserve">The rule against bias, which states that a decision-maker (including an investigation officer) should have no personal interest in the matter to be decided, have no bias as to the outcome and act in good faith throughout the process. Care should also be exercised to exclude perceived bias from the process. </w:t>
      </w:r>
    </w:p>
    <w:p w14:paraId="34FF8EEB" w14:textId="77777777" w:rsidR="00FF7A72" w:rsidRPr="00A45EA5" w:rsidRDefault="00FF7A72" w:rsidP="00FF7A72">
      <w:pPr>
        <w:rPr>
          <w:sz w:val="24"/>
          <w:lang w:val="en-US"/>
        </w:rPr>
      </w:pPr>
    </w:p>
    <w:p w14:paraId="4B1A9B5F" w14:textId="77777777" w:rsidR="00FF7A72" w:rsidRPr="00A45EA5" w:rsidRDefault="00FF7A72" w:rsidP="00FF7A72">
      <w:pPr>
        <w:rPr>
          <w:sz w:val="24"/>
          <w:lang w:val="en-US"/>
        </w:rPr>
      </w:pPr>
      <w:r w:rsidRPr="00A45EA5">
        <w:rPr>
          <w:sz w:val="24"/>
          <w:lang w:val="en-US"/>
        </w:rPr>
        <w:t xml:space="preserve">Managers/employees involved in the procedures must aim to strike a balance between the rights of the complainant and the right of the respondent to know the substance of allegations against them and to respond to them. </w:t>
      </w:r>
    </w:p>
    <w:p w14:paraId="56C768B9" w14:textId="77777777" w:rsidR="00FF7A72" w:rsidRPr="00A45EA5" w:rsidRDefault="00FF7A72" w:rsidP="00FF7A72">
      <w:pPr>
        <w:rPr>
          <w:sz w:val="24"/>
          <w:lang w:val="en-US"/>
        </w:rPr>
      </w:pPr>
    </w:p>
    <w:p w14:paraId="3B09598C" w14:textId="77777777" w:rsidR="00FF7A72" w:rsidRPr="00A45EA5" w:rsidRDefault="00FF7A72" w:rsidP="00FF7A72">
      <w:pPr>
        <w:rPr>
          <w:sz w:val="24"/>
          <w:lang w:val="en-US"/>
        </w:rPr>
      </w:pPr>
      <w:r w:rsidRPr="00A45EA5">
        <w:rPr>
          <w:sz w:val="24"/>
          <w:lang w:val="en-US"/>
        </w:rPr>
        <w:t xml:space="preserve">Where appropriate, allegations of inappropriate conduct should be resolved, where possible, by non-punitive, educational, advisory and conciliatory methods. The object is to alter </w:t>
      </w:r>
      <w:proofErr w:type="spellStart"/>
      <w:r w:rsidRPr="00A45EA5">
        <w:rPr>
          <w:sz w:val="24"/>
          <w:lang w:val="en-US"/>
        </w:rPr>
        <w:t>behaviour</w:t>
      </w:r>
      <w:proofErr w:type="spellEnd"/>
      <w:r w:rsidRPr="00A45EA5">
        <w:rPr>
          <w:sz w:val="24"/>
          <w:lang w:val="en-US"/>
        </w:rPr>
        <w:t xml:space="preserve"> and to change attitudes rather than to punish. It must be </w:t>
      </w:r>
      <w:proofErr w:type="spellStart"/>
      <w:r w:rsidRPr="00A45EA5">
        <w:rPr>
          <w:sz w:val="24"/>
          <w:lang w:val="en-US"/>
        </w:rPr>
        <w:t>recognised</w:t>
      </w:r>
      <w:proofErr w:type="spellEnd"/>
      <w:r w:rsidRPr="00A45EA5">
        <w:rPr>
          <w:sz w:val="24"/>
          <w:lang w:val="en-US"/>
        </w:rPr>
        <w:t xml:space="preserve"> that in some cases the </w:t>
      </w:r>
      <w:proofErr w:type="spellStart"/>
      <w:r w:rsidRPr="00A45EA5">
        <w:rPr>
          <w:sz w:val="24"/>
          <w:lang w:val="en-US"/>
        </w:rPr>
        <w:t>behaviour</w:t>
      </w:r>
      <w:proofErr w:type="spellEnd"/>
      <w:r w:rsidRPr="00A45EA5">
        <w:rPr>
          <w:sz w:val="24"/>
          <w:lang w:val="en-US"/>
        </w:rPr>
        <w:t xml:space="preserve"> may be unconscious or unintentionally offensive. There is every indication that the most frequent desire of a victim is not for punishment of the harasser, but the harassment to stop. </w:t>
      </w:r>
    </w:p>
    <w:p w14:paraId="70BD2F9D" w14:textId="77777777" w:rsidR="00FF7A72" w:rsidRDefault="00FF7A72" w:rsidP="00FF7A72">
      <w:pPr>
        <w:rPr>
          <w:sz w:val="22"/>
          <w:lang w:val="en-US"/>
        </w:rPr>
      </w:pPr>
    </w:p>
    <w:p w14:paraId="24D89F7C" w14:textId="77777777" w:rsidR="00FF7A72" w:rsidRDefault="008852A3" w:rsidP="008852A3">
      <w:pPr>
        <w:pStyle w:val="Heading1"/>
        <w:rPr>
          <w:lang w:val="en-US"/>
        </w:rPr>
      </w:pPr>
      <w:bookmarkStart w:id="49" w:name="_Toc45027896"/>
      <w:r>
        <w:rPr>
          <w:lang w:val="en-US"/>
        </w:rPr>
        <w:lastRenderedPageBreak/>
        <w:t>Employee Assistance Program</w:t>
      </w:r>
      <w:bookmarkEnd w:id="49"/>
    </w:p>
    <w:p w14:paraId="256B1EDB" w14:textId="77777777" w:rsidR="008852A3" w:rsidRPr="00A45EA5" w:rsidRDefault="008852A3" w:rsidP="008852A3">
      <w:pPr>
        <w:rPr>
          <w:sz w:val="24"/>
          <w:lang w:val="en-US"/>
        </w:rPr>
      </w:pPr>
      <w:r w:rsidRPr="00A45EA5">
        <w:rPr>
          <w:sz w:val="24"/>
          <w:lang w:val="en-US"/>
        </w:rPr>
        <w:t xml:space="preserve">QHRC’s Employee Assistance Program (EAP) is available on a confidential basis to all staff. The EAP may be a useful resource to provide: </w:t>
      </w:r>
    </w:p>
    <w:p w14:paraId="198B83FD" w14:textId="77777777" w:rsidR="008852A3" w:rsidRPr="00A45EA5" w:rsidRDefault="008852A3" w:rsidP="008852A3">
      <w:pPr>
        <w:pStyle w:val="ListParagraph"/>
        <w:numPr>
          <w:ilvl w:val="0"/>
          <w:numId w:val="37"/>
        </w:numPr>
        <w:rPr>
          <w:sz w:val="24"/>
          <w:lang w:val="en-US"/>
        </w:rPr>
      </w:pPr>
      <w:r w:rsidRPr="00A45EA5">
        <w:rPr>
          <w:sz w:val="24"/>
          <w:lang w:val="en-US"/>
        </w:rPr>
        <w:t>Counselling for the complainant; and</w:t>
      </w:r>
    </w:p>
    <w:p w14:paraId="18533EE1" w14:textId="77777777" w:rsidR="008852A3" w:rsidRPr="00A45EA5" w:rsidRDefault="008852A3" w:rsidP="008852A3">
      <w:pPr>
        <w:pStyle w:val="ListParagraph"/>
        <w:numPr>
          <w:ilvl w:val="0"/>
          <w:numId w:val="37"/>
        </w:numPr>
        <w:rPr>
          <w:sz w:val="24"/>
          <w:lang w:val="en-US"/>
        </w:rPr>
      </w:pPr>
      <w:r w:rsidRPr="00A45EA5">
        <w:rPr>
          <w:sz w:val="24"/>
          <w:lang w:val="en-US"/>
        </w:rPr>
        <w:t xml:space="preserve">Ongoing assistance and </w:t>
      </w:r>
      <w:proofErr w:type="spellStart"/>
      <w:r w:rsidRPr="00A45EA5">
        <w:rPr>
          <w:sz w:val="24"/>
          <w:lang w:val="en-US"/>
        </w:rPr>
        <w:t>behaviour</w:t>
      </w:r>
      <w:proofErr w:type="spellEnd"/>
      <w:r w:rsidRPr="00A45EA5">
        <w:rPr>
          <w:sz w:val="24"/>
          <w:lang w:val="en-US"/>
        </w:rPr>
        <w:t xml:space="preserve"> modification techniques for the alleged harasser. </w:t>
      </w:r>
    </w:p>
    <w:p w14:paraId="4C9FF988" w14:textId="77777777" w:rsidR="008852A3" w:rsidRPr="00A45EA5" w:rsidRDefault="008852A3" w:rsidP="008852A3">
      <w:pPr>
        <w:rPr>
          <w:sz w:val="24"/>
          <w:lang w:val="en-US"/>
        </w:rPr>
      </w:pPr>
      <w:r w:rsidRPr="00A45EA5">
        <w:rPr>
          <w:sz w:val="24"/>
          <w:lang w:val="en-US"/>
        </w:rPr>
        <w:t xml:space="preserve">It is not appropriate for the Employee Assistance Program to be involved in the resolution of complaints. The resolution of complaints remains management’s responsibility. </w:t>
      </w:r>
    </w:p>
    <w:p w14:paraId="3034AE4C" w14:textId="77777777" w:rsidR="00584E50" w:rsidRPr="00584E50" w:rsidRDefault="00584E50" w:rsidP="00584E50">
      <w:pPr>
        <w:rPr>
          <w:sz w:val="22"/>
          <w:szCs w:val="22"/>
          <w:lang w:val="en-US"/>
        </w:rPr>
      </w:pPr>
      <w:r>
        <w:rPr>
          <w:sz w:val="22"/>
          <w:szCs w:val="22"/>
          <w:lang w:val="en-US"/>
        </w:rPr>
        <w:t xml:space="preserve"> </w:t>
      </w:r>
    </w:p>
    <w:p w14:paraId="114E8B69" w14:textId="77777777" w:rsidR="009F7A60" w:rsidRPr="009F7A60" w:rsidRDefault="009F7A60" w:rsidP="009F7A60">
      <w:pPr>
        <w:keepNext/>
        <w:tabs>
          <w:tab w:val="right" w:pos="10490"/>
        </w:tabs>
        <w:outlineLvl w:val="0"/>
        <w:rPr>
          <w:color w:val="347B9F"/>
          <w:sz w:val="36"/>
        </w:rPr>
      </w:pPr>
      <w:bookmarkStart w:id="50" w:name="_Toc45027897"/>
      <w:bookmarkStart w:id="51" w:name="_Toc34019645"/>
      <w:bookmarkStart w:id="52" w:name="_Toc63070862"/>
      <w:bookmarkStart w:id="53" w:name="_Toc156730692"/>
      <w:bookmarkEnd w:id="8"/>
      <w:r w:rsidRPr="009F7A60">
        <w:rPr>
          <w:color w:val="347B9F"/>
          <w:sz w:val="36"/>
        </w:rPr>
        <w:t>Further information and assistance</w:t>
      </w:r>
      <w:bookmarkEnd w:id="50"/>
      <w:r w:rsidRPr="009F7A60">
        <w:rPr>
          <w:color w:val="347B9F"/>
          <w:sz w:val="36"/>
        </w:rPr>
        <w:t xml:space="preserve"> </w:t>
      </w:r>
    </w:p>
    <w:p w14:paraId="0D4701A8" w14:textId="77777777" w:rsidR="009F7A60" w:rsidRPr="009F7A60" w:rsidRDefault="009F7A60" w:rsidP="009F7A60">
      <w:pPr>
        <w:tabs>
          <w:tab w:val="left" w:pos="567"/>
        </w:tabs>
        <w:spacing w:after="120"/>
        <w:rPr>
          <w:rFonts w:cs="Arial"/>
          <w:sz w:val="22"/>
          <w:szCs w:val="22"/>
        </w:rPr>
      </w:pPr>
    </w:p>
    <w:p w14:paraId="78173A95" w14:textId="77777777" w:rsidR="009F7A60" w:rsidRPr="00A45EA5" w:rsidRDefault="009F7A60" w:rsidP="009F7A60">
      <w:pPr>
        <w:tabs>
          <w:tab w:val="left" w:pos="567"/>
        </w:tabs>
        <w:spacing w:after="120"/>
        <w:rPr>
          <w:rFonts w:cs="Arial"/>
          <w:sz w:val="24"/>
          <w:szCs w:val="22"/>
        </w:rPr>
      </w:pPr>
      <w:r w:rsidRPr="00A45EA5">
        <w:rPr>
          <w:rFonts w:cs="Arial"/>
          <w:sz w:val="24"/>
          <w:szCs w:val="22"/>
        </w:rPr>
        <w:t>Employees requiring further information or assistance in relation to this policy should contact their Regional Manager or the Responsible Officer.</w:t>
      </w:r>
    </w:p>
    <w:p w14:paraId="2E2F5AF2" w14:textId="77777777" w:rsidR="009F7A60" w:rsidRPr="00A45EA5" w:rsidRDefault="009F7A60" w:rsidP="009F7A60">
      <w:pPr>
        <w:tabs>
          <w:tab w:val="left" w:pos="567"/>
        </w:tabs>
        <w:spacing w:after="120"/>
        <w:rPr>
          <w:rFonts w:cs="Arial"/>
          <w:sz w:val="24"/>
          <w:szCs w:val="22"/>
        </w:rPr>
      </w:pPr>
      <w:r w:rsidRPr="00A45EA5">
        <w:rPr>
          <w:rFonts w:cs="Arial"/>
          <w:sz w:val="24"/>
          <w:szCs w:val="22"/>
        </w:rPr>
        <w:t>Implementation of this policy requires Managers to exercise professional judgement.  Managers are encouraged to consult with each other in making these determinations.</w:t>
      </w:r>
    </w:p>
    <w:p w14:paraId="69C0B048" w14:textId="77777777" w:rsidR="009F7A60" w:rsidRPr="009F7A60" w:rsidRDefault="009F7A60" w:rsidP="009F7A60">
      <w:pPr>
        <w:tabs>
          <w:tab w:val="left" w:pos="567"/>
        </w:tabs>
        <w:spacing w:after="120"/>
        <w:rPr>
          <w:rFonts w:cs="Arial"/>
          <w:sz w:val="22"/>
          <w:szCs w:val="22"/>
        </w:rPr>
      </w:pPr>
    </w:p>
    <w:p w14:paraId="2037A71B" w14:textId="77777777" w:rsidR="009F7A60" w:rsidRPr="009F7A60" w:rsidRDefault="009F7A60" w:rsidP="009F7A60">
      <w:pPr>
        <w:keepNext/>
        <w:tabs>
          <w:tab w:val="right" w:pos="10490"/>
        </w:tabs>
        <w:outlineLvl w:val="0"/>
        <w:rPr>
          <w:color w:val="347B9F"/>
          <w:sz w:val="36"/>
          <w:szCs w:val="28"/>
        </w:rPr>
      </w:pPr>
      <w:bookmarkStart w:id="54" w:name="_Toc45027898"/>
      <w:r w:rsidRPr="009F7A60">
        <w:rPr>
          <w:color w:val="347B9F"/>
          <w:sz w:val="36"/>
          <w:szCs w:val="28"/>
        </w:rPr>
        <w:t>Policy administration</w:t>
      </w:r>
      <w:bookmarkEnd w:id="54"/>
    </w:p>
    <w:p w14:paraId="12126E55" w14:textId="77777777" w:rsidR="009F7A60" w:rsidRPr="009F7A60" w:rsidRDefault="009F7A60" w:rsidP="009F7A60">
      <w:pPr>
        <w:jc w:val="both"/>
        <w:rPr>
          <w:sz w:val="22"/>
          <w:lang w:val="en-US"/>
        </w:rPr>
      </w:pPr>
    </w:p>
    <w:tbl>
      <w:tblPr>
        <w:tblStyle w:val="ListTable3-Accent5"/>
        <w:tblW w:w="0" w:type="auto"/>
        <w:tblLook w:val="01E0" w:firstRow="1" w:lastRow="1" w:firstColumn="1" w:lastColumn="1" w:noHBand="0" w:noVBand="0"/>
      </w:tblPr>
      <w:tblGrid>
        <w:gridCol w:w="3528"/>
        <w:gridCol w:w="5758"/>
      </w:tblGrid>
      <w:tr w:rsidR="009F7A60" w:rsidRPr="009F7A60" w14:paraId="4BD641FA" w14:textId="77777777" w:rsidTr="00DB70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14:paraId="681F7D35" w14:textId="77777777" w:rsidR="009F7A60" w:rsidRPr="009F7A60" w:rsidRDefault="009F7A60" w:rsidP="009F7A60">
            <w:pPr>
              <w:spacing w:after="120"/>
              <w:rPr>
                <w:sz w:val="22"/>
                <w:szCs w:val="22"/>
              </w:rPr>
            </w:pPr>
            <w:r w:rsidRPr="009F7A60">
              <w:rPr>
                <w:sz w:val="22"/>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14:paraId="1B133B4A" w14:textId="77777777" w:rsidR="009F7A60" w:rsidRPr="009F7A60" w:rsidRDefault="009369E3" w:rsidP="009F7A60">
            <w:pPr>
              <w:spacing w:after="120"/>
              <w:jc w:val="both"/>
              <w:rPr>
                <w:b w:val="0"/>
                <w:sz w:val="22"/>
                <w:szCs w:val="22"/>
              </w:rPr>
            </w:pPr>
            <w:r>
              <w:rPr>
                <w:b w:val="0"/>
                <w:sz w:val="22"/>
                <w:szCs w:val="22"/>
              </w:rPr>
              <w:t>Discrimination &amp; sexual harassment in the workplace</w:t>
            </w:r>
          </w:p>
        </w:tc>
      </w:tr>
      <w:tr w:rsidR="009F7A60" w:rsidRPr="009F7A60" w14:paraId="404841B7"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5ADE138" w14:textId="77777777" w:rsidR="009F7A60" w:rsidRPr="009F7A60" w:rsidRDefault="009F7A60" w:rsidP="009F7A60">
            <w:pPr>
              <w:spacing w:after="120"/>
              <w:rPr>
                <w:sz w:val="22"/>
                <w:szCs w:val="22"/>
              </w:rPr>
            </w:pPr>
            <w:r w:rsidRPr="009F7A60">
              <w:rPr>
                <w:sz w:val="22"/>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14:paraId="2AA61389" w14:textId="26834A87" w:rsidR="009F7A60" w:rsidRPr="009F7A60" w:rsidRDefault="00281181" w:rsidP="009F7A60">
            <w:pPr>
              <w:spacing w:after="120"/>
              <w:jc w:val="both"/>
              <w:rPr>
                <w:b w:val="0"/>
                <w:sz w:val="22"/>
                <w:szCs w:val="22"/>
              </w:rPr>
            </w:pPr>
            <w:r>
              <w:rPr>
                <w:b w:val="0"/>
                <w:sz w:val="22"/>
                <w:szCs w:val="22"/>
              </w:rPr>
              <w:t>BNE3415385</w:t>
            </w:r>
          </w:p>
        </w:tc>
      </w:tr>
      <w:tr w:rsidR="009F7A60" w:rsidRPr="009F7A60" w14:paraId="0977B3FF" w14:textId="77777777" w:rsidTr="00DB7061">
        <w:tc>
          <w:tcPr>
            <w:cnfStyle w:val="001000000000" w:firstRow="0" w:lastRow="0" w:firstColumn="1" w:lastColumn="0" w:oddVBand="0" w:evenVBand="0" w:oddHBand="0" w:evenHBand="0" w:firstRowFirstColumn="0" w:firstRowLastColumn="0" w:lastRowFirstColumn="0" w:lastRowLastColumn="0"/>
            <w:tcW w:w="3528" w:type="dxa"/>
          </w:tcPr>
          <w:p w14:paraId="2F0DE63E" w14:textId="77777777" w:rsidR="009F7A60" w:rsidRPr="009F7A60" w:rsidRDefault="009F7A60" w:rsidP="009F7A60">
            <w:pPr>
              <w:spacing w:after="120"/>
              <w:rPr>
                <w:sz w:val="22"/>
                <w:szCs w:val="22"/>
              </w:rPr>
            </w:pPr>
            <w:r w:rsidRPr="009F7A60">
              <w:rPr>
                <w:sz w:val="22"/>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14:paraId="4346AD6B" w14:textId="77777777" w:rsidR="009F7A60" w:rsidRPr="009F7A60" w:rsidRDefault="009369E3" w:rsidP="009F7A60">
            <w:pPr>
              <w:spacing w:after="120"/>
              <w:jc w:val="both"/>
              <w:rPr>
                <w:b w:val="0"/>
                <w:sz w:val="22"/>
                <w:szCs w:val="22"/>
              </w:rPr>
            </w:pPr>
            <w:r>
              <w:rPr>
                <w:b w:val="0"/>
                <w:sz w:val="22"/>
                <w:szCs w:val="22"/>
              </w:rPr>
              <w:t>Director, Engagement &amp; Corporate Services</w:t>
            </w:r>
          </w:p>
        </w:tc>
      </w:tr>
      <w:tr w:rsidR="009F7A60" w:rsidRPr="009F7A60" w14:paraId="7B77D144"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040F41C" w14:textId="77777777" w:rsidR="009F7A60" w:rsidRPr="009F7A60" w:rsidRDefault="009F7A60" w:rsidP="009F7A60">
            <w:pPr>
              <w:spacing w:after="120"/>
              <w:rPr>
                <w:sz w:val="22"/>
                <w:szCs w:val="22"/>
              </w:rPr>
            </w:pPr>
            <w:r w:rsidRPr="009F7A60">
              <w:rPr>
                <w:sz w:val="22"/>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14:paraId="66E1B208" w14:textId="77777777" w:rsidR="009F7A60" w:rsidRPr="009F7A60" w:rsidRDefault="009F7A60" w:rsidP="009F7A60">
            <w:pPr>
              <w:spacing w:after="120"/>
              <w:jc w:val="both"/>
              <w:rPr>
                <w:b w:val="0"/>
                <w:sz w:val="22"/>
                <w:szCs w:val="22"/>
              </w:rPr>
            </w:pPr>
            <w:r w:rsidRPr="009F7A60">
              <w:rPr>
                <w:b w:val="0"/>
                <w:sz w:val="22"/>
                <w:szCs w:val="22"/>
              </w:rPr>
              <w:t>Commissioner</w:t>
            </w:r>
          </w:p>
        </w:tc>
      </w:tr>
      <w:tr w:rsidR="009F7A60" w:rsidRPr="009F7A60" w14:paraId="693CED1C" w14:textId="77777777" w:rsidTr="00DB7061">
        <w:tc>
          <w:tcPr>
            <w:cnfStyle w:val="001000000000" w:firstRow="0" w:lastRow="0" w:firstColumn="1" w:lastColumn="0" w:oddVBand="0" w:evenVBand="0" w:oddHBand="0" w:evenHBand="0" w:firstRowFirstColumn="0" w:firstRowLastColumn="0" w:lastRowFirstColumn="0" w:lastRowLastColumn="0"/>
            <w:tcW w:w="3528" w:type="dxa"/>
          </w:tcPr>
          <w:p w14:paraId="3EA42147" w14:textId="77777777" w:rsidR="009F7A60" w:rsidRPr="009F7A60" w:rsidRDefault="009F7A60" w:rsidP="009F7A60">
            <w:pPr>
              <w:spacing w:after="120"/>
              <w:rPr>
                <w:sz w:val="22"/>
                <w:szCs w:val="22"/>
              </w:rPr>
            </w:pPr>
            <w:r w:rsidRPr="009F7A60">
              <w:rPr>
                <w:sz w:val="22"/>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14:paraId="399D7922" w14:textId="5CE217DA" w:rsidR="009F7A60" w:rsidRPr="009F7A60" w:rsidRDefault="009369E3" w:rsidP="00A45EA5">
            <w:pPr>
              <w:spacing w:after="120"/>
              <w:jc w:val="both"/>
              <w:rPr>
                <w:b w:val="0"/>
                <w:sz w:val="22"/>
                <w:szCs w:val="22"/>
              </w:rPr>
            </w:pPr>
            <w:r>
              <w:rPr>
                <w:b w:val="0"/>
                <w:sz w:val="22"/>
                <w:szCs w:val="22"/>
              </w:rPr>
              <w:t xml:space="preserve"> </w:t>
            </w:r>
            <w:r w:rsidR="00A45EA5">
              <w:rPr>
                <w:b w:val="0"/>
                <w:sz w:val="22"/>
                <w:szCs w:val="22"/>
              </w:rPr>
              <w:t xml:space="preserve">5 November </w:t>
            </w:r>
            <w:r>
              <w:rPr>
                <w:b w:val="0"/>
                <w:sz w:val="22"/>
                <w:szCs w:val="22"/>
              </w:rPr>
              <w:t>2020</w:t>
            </w:r>
          </w:p>
        </w:tc>
      </w:tr>
      <w:tr w:rsidR="009F7A60" w:rsidRPr="009F7A60" w14:paraId="56EBC793"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1612A41" w14:textId="77777777" w:rsidR="009F7A60" w:rsidRPr="009F7A60" w:rsidRDefault="009F7A60" w:rsidP="009F7A60">
            <w:pPr>
              <w:spacing w:after="120"/>
              <w:rPr>
                <w:sz w:val="22"/>
                <w:szCs w:val="22"/>
              </w:rPr>
            </w:pPr>
            <w:r w:rsidRPr="009F7A60">
              <w:rPr>
                <w:sz w:val="22"/>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14:paraId="679EECB5" w14:textId="17F54CDA" w:rsidR="009F7A60" w:rsidRPr="009F7A60" w:rsidRDefault="005F68B1" w:rsidP="005F68B1">
            <w:pPr>
              <w:spacing w:after="120"/>
              <w:jc w:val="both"/>
              <w:rPr>
                <w:b w:val="0"/>
                <w:sz w:val="22"/>
                <w:szCs w:val="22"/>
              </w:rPr>
            </w:pPr>
            <w:r>
              <w:rPr>
                <w:b w:val="0"/>
                <w:sz w:val="22"/>
                <w:szCs w:val="22"/>
              </w:rPr>
              <w:t xml:space="preserve">5 November </w:t>
            </w:r>
            <w:r w:rsidR="009F7A60" w:rsidRPr="009F7A60">
              <w:rPr>
                <w:b w:val="0"/>
                <w:sz w:val="22"/>
                <w:szCs w:val="22"/>
              </w:rPr>
              <w:t>20</w:t>
            </w:r>
            <w:r w:rsidR="009369E3">
              <w:rPr>
                <w:b w:val="0"/>
                <w:sz w:val="22"/>
                <w:szCs w:val="22"/>
              </w:rPr>
              <w:t>20</w:t>
            </w:r>
          </w:p>
        </w:tc>
      </w:tr>
      <w:tr w:rsidR="009F7A60" w:rsidRPr="009F7A60" w14:paraId="1279B83C" w14:textId="77777777" w:rsidTr="00DB7061">
        <w:tc>
          <w:tcPr>
            <w:cnfStyle w:val="001000000000" w:firstRow="0" w:lastRow="0" w:firstColumn="1" w:lastColumn="0" w:oddVBand="0" w:evenVBand="0" w:oddHBand="0" w:evenHBand="0" w:firstRowFirstColumn="0" w:firstRowLastColumn="0" w:lastRowFirstColumn="0" w:lastRowLastColumn="0"/>
            <w:tcW w:w="3528" w:type="dxa"/>
          </w:tcPr>
          <w:p w14:paraId="2E543ADB" w14:textId="77777777" w:rsidR="009F7A60" w:rsidRPr="009F7A60" w:rsidRDefault="009F7A60" w:rsidP="009F7A60">
            <w:pPr>
              <w:spacing w:after="120"/>
              <w:rPr>
                <w:sz w:val="22"/>
                <w:szCs w:val="22"/>
              </w:rPr>
            </w:pPr>
            <w:r w:rsidRPr="009F7A60">
              <w:rPr>
                <w:sz w:val="22"/>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14:paraId="70629EF9" w14:textId="24B5AB7D" w:rsidR="009F7A60" w:rsidRPr="009F7A60" w:rsidRDefault="005F68B1" w:rsidP="005F68B1">
            <w:pPr>
              <w:spacing w:after="120"/>
              <w:jc w:val="both"/>
              <w:rPr>
                <w:b w:val="0"/>
                <w:sz w:val="22"/>
                <w:szCs w:val="22"/>
              </w:rPr>
            </w:pPr>
            <w:r>
              <w:rPr>
                <w:b w:val="0"/>
                <w:sz w:val="22"/>
                <w:szCs w:val="22"/>
              </w:rPr>
              <w:t xml:space="preserve">5 November </w:t>
            </w:r>
            <w:r w:rsidR="009F7A60" w:rsidRPr="009F7A60">
              <w:rPr>
                <w:b w:val="0"/>
                <w:sz w:val="22"/>
                <w:szCs w:val="22"/>
              </w:rPr>
              <w:t>2</w:t>
            </w:r>
            <w:r w:rsidR="009369E3">
              <w:rPr>
                <w:b w:val="0"/>
                <w:sz w:val="22"/>
                <w:szCs w:val="22"/>
              </w:rPr>
              <w:t>023</w:t>
            </w:r>
          </w:p>
        </w:tc>
      </w:tr>
      <w:tr w:rsidR="009F7A60" w:rsidRPr="009F7A60" w14:paraId="07CF692A"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29DA059" w14:textId="77777777" w:rsidR="009F7A60" w:rsidRPr="009F7A60" w:rsidRDefault="009F7A60" w:rsidP="009F7A60">
            <w:pPr>
              <w:spacing w:after="120"/>
              <w:rPr>
                <w:sz w:val="22"/>
                <w:szCs w:val="22"/>
              </w:rPr>
            </w:pPr>
            <w:r w:rsidRPr="009F7A60">
              <w:rPr>
                <w:sz w:val="22"/>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14:paraId="541D6C45" w14:textId="77777777" w:rsidR="009F7A60" w:rsidRPr="009F7A60" w:rsidRDefault="009369E3" w:rsidP="009F7A60">
            <w:pPr>
              <w:spacing w:after="120"/>
              <w:jc w:val="both"/>
              <w:rPr>
                <w:b w:val="0"/>
                <w:sz w:val="22"/>
                <w:szCs w:val="22"/>
              </w:rPr>
            </w:pPr>
            <w:r>
              <w:rPr>
                <w:b w:val="0"/>
                <w:sz w:val="22"/>
                <w:szCs w:val="22"/>
              </w:rPr>
              <w:t>Commissioner</w:t>
            </w:r>
          </w:p>
        </w:tc>
      </w:tr>
      <w:tr w:rsidR="009F7A60" w:rsidRPr="009F7A60" w14:paraId="089FF1FF" w14:textId="77777777" w:rsidTr="00DB7061">
        <w:tc>
          <w:tcPr>
            <w:cnfStyle w:val="001000000000" w:firstRow="0" w:lastRow="0" w:firstColumn="1" w:lastColumn="0" w:oddVBand="0" w:evenVBand="0" w:oddHBand="0" w:evenHBand="0" w:firstRowFirstColumn="0" w:firstRowLastColumn="0" w:lastRowFirstColumn="0" w:lastRowLastColumn="0"/>
            <w:tcW w:w="3528" w:type="dxa"/>
          </w:tcPr>
          <w:p w14:paraId="3B02186C" w14:textId="77777777" w:rsidR="009F7A60" w:rsidRPr="009F7A60" w:rsidRDefault="009F7A60" w:rsidP="009F7A60">
            <w:pPr>
              <w:spacing w:after="120"/>
              <w:rPr>
                <w:sz w:val="22"/>
                <w:szCs w:val="22"/>
              </w:rPr>
            </w:pPr>
            <w:r w:rsidRPr="009F7A60">
              <w:rPr>
                <w:sz w:val="22"/>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14:paraId="5A6FA87F" w14:textId="77777777" w:rsidR="009F7A60" w:rsidRPr="009F7A60" w:rsidRDefault="009369E3" w:rsidP="009F7A60">
            <w:pPr>
              <w:spacing w:after="120"/>
              <w:jc w:val="both"/>
              <w:rPr>
                <w:b w:val="0"/>
                <w:sz w:val="22"/>
                <w:szCs w:val="22"/>
              </w:rPr>
            </w:pPr>
            <w:r>
              <w:rPr>
                <w:b w:val="0"/>
                <w:sz w:val="22"/>
                <w:szCs w:val="22"/>
              </w:rPr>
              <w:t>As per Authority section of this policy</w:t>
            </w:r>
          </w:p>
        </w:tc>
      </w:tr>
      <w:tr w:rsidR="009F7A60" w:rsidRPr="009F7A60" w14:paraId="620BA32D" w14:textId="77777777" w:rsidTr="00DB706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14:paraId="7B137FA7" w14:textId="77777777" w:rsidR="009F7A60" w:rsidRPr="009F7A60" w:rsidRDefault="009F7A60" w:rsidP="009F7A60">
            <w:pPr>
              <w:spacing w:after="120"/>
              <w:rPr>
                <w:sz w:val="22"/>
                <w:szCs w:val="22"/>
              </w:rPr>
            </w:pPr>
            <w:r w:rsidRPr="009F7A60">
              <w:rPr>
                <w:sz w:val="22"/>
                <w:szCs w:val="22"/>
              </w:rPr>
              <w:t>Network location</w:t>
            </w:r>
          </w:p>
        </w:tc>
        <w:tc>
          <w:tcPr>
            <w:cnfStyle w:val="000100000010" w:firstRow="0" w:lastRow="0" w:firstColumn="0" w:lastColumn="1" w:oddVBand="0" w:evenVBand="0" w:oddHBand="0" w:evenHBand="0" w:firstRowFirstColumn="0" w:firstRowLastColumn="0" w:lastRowFirstColumn="0" w:lastRowLastColumn="1"/>
            <w:tcW w:w="5758" w:type="dxa"/>
          </w:tcPr>
          <w:p w14:paraId="36151677" w14:textId="594F8839" w:rsidR="009F7A60" w:rsidRPr="009F7A60" w:rsidRDefault="009F7A60" w:rsidP="009F7A60">
            <w:pPr>
              <w:spacing w:after="120"/>
              <w:rPr>
                <w:b w:val="0"/>
                <w:sz w:val="22"/>
                <w:szCs w:val="22"/>
              </w:rPr>
            </w:pPr>
            <w:r>
              <w:rPr>
                <w:b w:val="0"/>
                <w:sz w:val="22"/>
                <w:szCs w:val="22"/>
              </w:rPr>
              <w:t>S:/</w:t>
            </w:r>
            <w:r w:rsidR="005F68B1">
              <w:rPr>
                <w:b w:val="0"/>
                <w:sz w:val="22"/>
                <w:szCs w:val="22"/>
              </w:rPr>
              <w:t>Policies/Current</w:t>
            </w:r>
            <w:r w:rsidR="00555ED2">
              <w:rPr>
                <w:b w:val="0"/>
                <w:sz w:val="22"/>
                <w:szCs w:val="22"/>
              </w:rPr>
              <w:t>/</w:t>
            </w:r>
            <w:r w:rsidR="009369E3">
              <w:rPr>
                <w:b w:val="0"/>
                <w:sz w:val="22"/>
                <w:szCs w:val="22"/>
              </w:rPr>
              <w:t>Discrimination &amp; sexual harassment</w:t>
            </w:r>
            <w:r w:rsidR="002B40C5">
              <w:rPr>
                <w:b w:val="0"/>
                <w:sz w:val="22"/>
                <w:szCs w:val="22"/>
              </w:rPr>
              <w:t xml:space="preserve"> in the workplace</w:t>
            </w:r>
          </w:p>
        </w:tc>
      </w:tr>
    </w:tbl>
    <w:p w14:paraId="737FEE47" w14:textId="77777777" w:rsidR="009F7A60" w:rsidRPr="009F7A60" w:rsidRDefault="009F7A60" w:rsidP="009F7A60">
      <w:pPr>
        <w:jc w:val="both"/>
        <w:rPr>
          <w:sz w:val="22"/>
          <w:lang w:val="en-US"/>
        </w:rPr>
      </w:pPr>
    </w:p>
    <w:p w14:paraId="0DE52071" w14:textId="77777777" w:rsidR="009F7A60" w:rsidRPr="009F7A60" w:rsidRDefault="009F7A60" w:rsidP="009F7A60">
      <w:pPr>
        <w:tabs>
          <w:tab w:val="left" w:pos="567"/>
        </w:tabs>
        <w:spacing w:after="120"/>
        <w:rPr>
          <w:rFonts w:cs="Arial"/>
          <w:sz w:val="22"/>
          <w:szCs w:val="22"/>
        </w:rPr>
      </w:pPr>
    </w:p>
    <w:p w14:paraId="2A1A5243" w14:textId="77777777" w:rsidR="009F7A60" w:rsidRPr="009F7A60" w:rsidRDefault="009F7A60" w:rsidP="009F7A60">
      <w:pPr>
        <w:keepNext/>
        <w:spacing w:before="240" w:after="60"/>
        <w:outlineLvl w:val="1"/>
        <w:rPr>
          <w:color w:val="E66A37"/>
          <w:sz w:val="28"/>
        </w:rPr>
      </w:pPr>
      <w:bookmarkStart w:id="55" w:name="_Toc45027899"/>
      <w:r w:rsidRPr="009F7A60">
        <w:rPr>
          <w:color w:val="E66A37"/>
          <w:sz w:val="28"/>
        </w:rPr>
        <w:t>Version History</w:t>
      </w:r>
      <w:bookmarkEnd w:id="55"/>
    </w:p>
    <w:p w14:paraId="4ED2AB8E" w14:textId="77777777" w:rsidR="009F7A60" w:rsidRPr="009F7A60" w:rsidRDefault="009F7A60" w:rsidP="009F7A60">
      <w:bookmarkStart w:id="56" w:name="_GoBack"/>
      <w:bookmarkEnd w:id="56"/>
    </w:p>
    <w:tbl>
      <w:tblPr>
        <w:tblStyle w:val="ListTable3-Accent5"/>
        <w:tblW w:w="0" w:type="auto"/>
        <w:tblLook w:val="04A0" w:firstRow="1" w:lastRow="0" w:firstColumn="1" w:lastColumn="0" w:noHBand="0" w:noVBand="1"/>
      </w:tblPr>
      <w:tblGrid>
        <w:gridCol w:w="4077"/>
        <w:gridCol w:w="2977"/>
        <w:gridCol w:w="2188"/>
      </w:tblGrid>
      <w:tr w:rsidR="009F7A60" w:rsidRPr="009F7A60" w14:paraId="032BA956" w14:textId="77777777" w:rsidTr="00DB70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14:paraId="030C50EA" w14:textId="77777777" w:rsidR="009F7A60" w:rsidRPr="009F7A60" w:rsidRDefault="009F7A60" w:rsidP="009F7A60">
            <w:pPr>
              <w:tabs>
                <w:tab w:val="left" w:pos="1440"/>
                <w:tab w:val="left" w:pos="1800"/>
                <w:tab w:val="left" w:pos="2880"/>
                <w:tab w:val="left" w:pos="3240"/>
                <w:tab w:val="left" w:pos="3600"/>
                <w:tab w:val="left" w:pos="3960"/>
              </w:tabs>
              <w:rPr>
                <w:rFonts w:cs="Arial"/>
                <w:sz w:val="22"/>
              </w:rPr>
            </w:pPr>
            <w:r w:rsidRPr="009F7A60">
              <w:rPr>
                <w:rFonts w:cs="Arial"/>
                <w:sz w:val="22"/>
              </w:rPr>
              <w:t>Action</w:t>
            </w:r>
          </w:p>
        </w:tc>
        <w:tc>
          <w:tcPr>
            <w:tcW w:w="2977" w:type="dxa"/>
          </w:tcPr>
          <w:p w14:paraId="0A88CAD2" w14:textId="77777777"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 xml:space="preserve">Approved by </w:t>
            </w:r>
          </w:p>
        </w:tc>
        <w:tc>
          <w:tcPr>
            <w:tcW w:w="2188" w:type="dxa"/>
          </w:tcPr>
          <w:p w14:paraId="3CD99B68" w14:textId="77777777"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Date</w:t>
            </w:r>
          </w:p>
        </w:tc>
      </w:tr>
      <w:tr w:rsidR="009F7A60" w:rsidRPr="009F7A60" w14:paraId="330FBA03"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D0BF427" w14:textId="77777777" w:rsidR="009F7A60" w:rsidRPr="00074173" w:rsidRDefault="00074173" w:rsidP="00074173">
            <w:pPr>
              <w:tabs>
                <w:tab w:val="left" w:pos="1440"/>
                <w:tab w:val="left" w:pos="1800"/>
                <w:tab w:val="left" w:pos="2880"/>
                <w:tab w:val="left" w:pos="3240"/>
                <w:tab w:val="left" w:pos="3600"/>
                <w:tab w:val="left" w:pos="3960"/>
              </w:tabs>
              <w:rPr>
                <w:rFonts w:cs="Arial"/>
                <w:b w:val="0"/>
                <w:sz w:val="22"/>
              </w:rPr>
            </w:pPr>
            <w:r w:rsidRPr="00074173">
              <w:rPr>
                <w:rFonts w:cs="Arial"/>
                <w:b w:val="0"/>
                <w:sz w:val="22"/>
              </w:rPr>
              <w:t>Created</w:t>
            </w:r>
          </w:p>
        </w:tc>
        <w:tc>
          <w:tcPr>
            <w:tcW w:w="2977" w:type="dxa"/>
          </w:tcPr>
          <w:p w14:paraId="0EA24095" w14:textId="77777777" w:rsidR="009F7A60" w:rsidRPr="009F7A60" w:rsidRDefault="009369E3"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Commissioner</w:t>
            </w:r>
          </w:p>
        </w:tc>
        <w:tc>
          <w:tcPr>
            <w:tcW w:w="2188" w:type="dxa"/>
          </w:tcPr>
          <w:p w14:paraId="01945865" w14:textId="77777777" w:rsidR="009F7A60" w:rsidRPr="009F7A60" w:rsidRDefault="00074173"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November 2007</w:t>
            </w:r>
          </w:p>
        </w:tc>
      </w:tr>
      <w:tr w:rsidR="009F7A60" w:rsidRPr="009F7A60" w14:paraId="37468CB2" w14:textId="77777777" w:rsidTr="00DB7061">
        <w:tc>
          <w:tcPr>
            <w:cnfStyle w:val="001000000000" w:firstRow="0" w:lastRow="0" w:firstColumn="1" w:lastColumn="0" w:oddVBand="0" w:evenVBand="0" w:oddHBand="0" w:evenHBand="0" w:firstRowFirstColumn="0" w:firstRowLastColumn="0" w:lastRowFirstColumn="0" w:lastRowLastColumn="0"/>
            <w:tcW w:w="4077" w:type="dxa"/>
          </w:tcPr>
          <w:p w14:paraId="7D5FDC14" w14:textId="77777777" w:rsidR="009F7A60" w:rsidRPr="00074173" w:rsidRDefault="00074173" w:rsidP="009F7A60">
            <w:pPr>
              <w:tabs>
                <w:tab w:val="left" w:pos="1440"/>
                <w:tab w:val="left" w:pos="1800"/>
                <w:tab w:val="left" w:pos="2880"/>
                <w:tab w:val="left" w:pos="3240"/>
                <w:tab w:val="left" w:pos="3600"/>
                <w:tab w:val="left" w:pos="3960"/>
              </w:tabs>
              <w:rPr>
                <w:rFonts w:cs="Arial"/>
                <w:b w:val="0"/>
                <w:sz w:val="22"/>
              </w:rPr>
            </w:pPr>
            <w:r w:rsidRPr="00074173">
              <w:rPr>
                <w:rFonts w:cs="Arial"/>
                <w:b w:val="0"/>
                <w:sz w:val="22"/>
              </w:rPr>
              <w:t>Review</w:t>
            </w:r>
          </w:p>
        </w:tc>
        <w:tc>
          <w:tcPr>
            <w:tcW w:w="2977" w:type="dxa"/>
          </w:tcPr>
          <w:p w14:paraId="618AF28C" w14:textId="77777777" w:rsidR="009F7A60" w:rsidRPr="009F7A60" w:rsidRDefault="00074173"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Commissioner</w:t>
            </w:r>
          </w:p>
        </w:tc>
        <w:tc>
          <w:tcPr>
            <w:tcW w:w="2188" w:type="dxa"/>
          </w:tcPr>
          <w:p w14:paraId="2A87D015" w14:textId="6521582F" w:rsidR="009F7A60" w:rsidRPr="009F7A60" w:rsidRDefault="005F68B1" w:rsidP="005F68B1">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5 November </w:t>
            </w:r>
            <w:r w:rsidR="00074173">
              <w:rPr>
                <w:rFonts w:cs="Arial"/>
                <w:sz w:val="22"/>
              </w:rPr>
              <w:t>2020</w:t>
            </w:r>
          </w:p>
        </w:tc>
      </w:tr>
      <w:tr w:rsidR="009F7A60" w:rsidRPr="009F7A60" w14:paraId="1A699704" w14:textId="77777777" w:rsidTr="00DB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890650D" w14:textId="77777777" w:rsidR="009F7A60" w:rsidRPr="009F7A60" w:rsidRDefault="009F7A60" w:rsidP="009F7A60">
            <w:pPr>
              <w:tabs>
                <w:tab w:val="left" w:pos="1440"/>
                <w:tab w:val="left" w:pos="1800"/>
                <w:tab w:val="left" w:pos="2880"/>
                <w:tab w:val="left" w:pos="3240"/>
                <w:tab w:val="left" w:pos="3600"/>
                <w:tab w:val="left" w:pos="3960"/>
              </w:tabs>
              <w:rPr>
                <w:rFonts w:cs="Arial"/>
                <w:sz w:val="22"/>
              </w:rPr>
            </w:pPr>
          </w:p>
        </w:tc>
        <w:tc>
          <w:tcPr>
            <w:tcW w:w="2977" w:type="dxa"/>
          </w:tcPr>
          <w:p w14:paraId="46817C23" w14:textId="77777777"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c>
          <w:tcPr>
            <w:tcW w:w="2188" w:type="dxa"/>
          </w:tcPr>
          <w:p w14:paraId="70843170" w14:textId="77777777"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r>
    </w:tbl>
    <w:p w14:paraId="5FD33BB5" w14:textId="77777777" w:rsidR="009F7A60" w:rsidRPr="009F7A60" w:rsidRDefault="009F7A60" w:rsidP="00EC349E"/>
    <w:bookmarkEnd w:id="51"/>
    <w:bookmarkEnd w:id="52"/>
    <w:bookmarkEnd w:id="53"/>
    <w:sectPr w:rsidR="009F7A60" w:rsidRPr="009F7A60" w:rsidSect="00DA1889">
      <w:headerReference w:type="default" r:id="rId11"/>
      <w:type w:val="oddPage"/>
      <w:pgSz w:w="11907" w:h="16840" w:code="9"/>
      <w:pgMar w:top="709" w:right="1134" w:bottom="993" w:left="1134" w:header="720" w:footer="4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D8CD" w14:textId="77777777" w:rsidR="008818B4" w:rsidRDefault="008818B4">
      <w:r>
        <w:separator/>
      </w:r>
    </w:p>
  </w:endnote>
  <w:endnote w:type="continuationSeparator" w:id="0">
    <w:p w14:paraId="57D133A3" w14:textId="77777777" w:rsidR="008818B4" w:rsidRDefault="0088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50FF" w14:textId="77777777" w:rsidR="008818B4" w:rsidRDefault="008818B4">
      <w:r>
        <w:separator/>
      </w:r>
    </w:p>
  </w:footnote>
  <w:footnote w:type="continuationSeparator" w:id="0">
    <w:p w14:paraId="40565A87" w14:textId="77777777" w:rsidR="008818B4" w:rsidRDefault="0088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85ED" w14:textId="77777777" w:rsidR="008818B4" w:rsidRDefault="008818B4">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E85"/>
    <w:multiLevelType w:val="hybridMultilevel"/>
    <w:tmpl w:val="5C1C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F76A2"/>
    <w:multiLevelType w:val="hybridMultilevel"/>
    <w:tmpl w:val="F590614A"/>
    <w:lvl w:ilvl="0" w:tplc="EBC695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65DD8"/>
    <w:multiLevelType w:val="hybridMultilevel"/>
    <w:tmpl w:val="C274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1AD4"/>
    <w:multiLevelType w:val="hybridMultilevel"/>
    <w:tmpl w:val="E48C8808"/>
    <w:lvl w:ilvl="0" w:tplc="1C5C668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A1ED9"/>
    <w:multiLevelType w:val="hybridMultilevel"/>
    <w:tmpl w:val="D2D6EEF6"/>
    <w:lvl w:ilvl="0" w:tplc="1BD2C9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B1659"/>
    <w:multiLevelType w:val="hybridMultilevel"/>
    <w:tmpl w:val="1532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B28FA"/>
    <w:multiLevelType w:val="hybridMultilevel"/>
    <w:tmpl w:val="7062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E0285"/>
    <w:multiLevelType w:val="hybridMultilevel"/>
    <w:tmpl w:val="B6E039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7C666F"/>
    <w:multiLevelType w:val="hybridMultilevel"/>
    <w:tmpl w:val="DAC8C7A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21E62"/>
    <w:multiLevelType w:val="hybridMultilevel"/>
    <w:tmpl w:val="94FE3DAA"/>
    <w:lvl w:ilvl="0" w:tplc="A3300B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7706B9"/>
    <w:multiLevelType w:val="hybridMultilevel"/>
    <w:tmpl w:val="10B0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9134E"/>
    <w:multiLevelType w:val="hybridMultilevel"/>
    <w:tmpl w:val="A0B2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56A9C"/>
    <w:multiLevelType w:val="hybridMultilevel"/>
    <w:tmpl w:val="41FA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E2BA0"/>
    <w:multiLevelType w:val="hybridMultilevel"/>
    <w:tmpl w:val="CB54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D110B"/>
    <w:multiLevelType w:val="hybridMultilevel"/>
    <w:tmpl w:val="18A6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099677B"/>
    <w:multiLevelType w:val="hybridMultilevel"/>
    <w:tmpl w:val="792C3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860C05"/>
    <w:multiLevelType w:val="hybridMultilevel"/>
    <w:tmpl w:val="63F4E79E"/>
    <w:lvl w:ilvl="0" w:tplc="ABDA4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1F537F"/>
    <w:multiLevelType w:val="hybridMultilevel"/>
    <w:tmpl w:val="F1DE7B06"/>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1D5911"/>
    <w:multiLevelType w:val="hybridMultilevel"/>
    <w:tmpl w:val="5B5C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267C6F"/>
    <w:multiLevelType w:val="hybridMultilevel"/>
    <w:tmpl w:val="1D3A90E6"/>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51A860E2"/>
    <w:multiLevelType w:val="hybridMultilevel"/>
    <w:tmpl w:val="0E1A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9690B"/>
    <w:multiLevelType w:val="hybridMultilevel"/>
    <w:tmpl w:val="2DEE48FE"/>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8F6177"/>
    <w:multiLevelType w:val="hybridMultilevel"/>
    <w:tmpl w:val="9E90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7E2252"/>
    <w:multiLevelType w:val="hybridMultilevel"/>
    <w:tmpl w:val="6476A204"/>
    <w:lvl w:ilvl="0" w:tplc="E5E046F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54D407A"/>
    <w:multiLevelType w:val="hybridMultilevel"/>
    <w:tmpl w:val="B566C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F1BC4"/>
    <w:multiLevelType w:val="hybridMultilevel"/>
    <w:tmpl w:val="A4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4184"/>
    <w:multiLevelType w:val="hybridMultilevel"/>
    <w:tmpl w:val="3A2E7DAE"/>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29" w15:restartNumberingAfterBreak="0">
    <w:nsid w:val="5C561948"/>
    <w:multiLevelType w:val="hybridMultilevel"/>
    <w:tmpl w:val="4850763A"/>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A249CB"/>
    <w:multiLevelType w:val="hybridMultilevel"/>
    <w:tmpl w:val="90D00184"/>
    <w:lvl w:ilvl="0" w:tplc="F6E8C6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406A14"/>
    <w:multiLevelType w:val="hybridMultilevel"/>
    <w:tmpl w:val="09685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5212A9"/>
    <w:multiLevelType w:val="hybridMultilevel"/>
    <w:tmpl w:val="51F45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B339F"/>
    <w:multiLevelType w:val="hybridMultilevel"/>
    <w:tmpl w:val="38B8609E"/>
    <w:lvl w:ilvl="0" w:tplc="8F448FC0">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20157"/>
    <w:multiLevelType w:val="hybridMultilevel"/>
    <w:tmpl w:val="1304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7F70D7"/>
    <w:multiLevelType w:val="hybridMultilevel"/>
    <w:tmpl w:val="5556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967DA1"/>
    <w:multiLevelType w:val="hybridMultilevel"/>
    <w:tmpl w:val="C458E49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F08E0"/>
    <w:multiLevelType w:val="hybridMultilevel"/>
    <w:tmpl w:val="474A4B5C"/>
    <w:lvl w:ilvl="0" w:tplc="9A5C61F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CA567D"/>
    <w:multiLevelType w:val="hybridMultilevel"/>
    <w:tmpl w:val="9E90A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313C60"/>
    <w:multiLevelType w:val="hybridMultilevel"/>
    <w:tmpl w:val="C8C6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037EB2"/>
    <w:multiLevelType w:val="hybridMultilevel"/>
    <w:tmpl w:val="6EB2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33516"/>
    <w:multiLevelType w:val="hybridMultilevel"/>
    <w:tmpl w:val="8CA6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E1AAE"/>
    <w:multiLevelType w:val="hybridMultilevel"/>
    <w:tmpl w:val="105255BC"/>
    <w:lvl w:ilvl="0" w:tplc="9620B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0"/>
  </w:num>
  <w:num w:numId="3">
    <w:abstractNumId w:val="33"/>
  </w:num>
  <w:num w:numId="4">
    <w:abstractNumId w:val="21"/>
  </w:num>
  <w:num w:numId="5">
    <w:abstractNumId w:val="3"/>
  </w:num>
  <w:num w:numId="6">
    <w:abstractNumId w:val="36"/>
  </w:num>
  <w:num w:numId="7">
    <w:abstractNumId w:val="28"/>
  </w:num>
  <w:num w:numId="8">
    <w:abstractNumId w:val="23"/>
  </w:num>
  <w:num w:numId="9">
    <w:abstractNumId w:val="18"/>
  </w:num>
  <w:num w:numId="10">
    <w:abstractNumId w:val="8"/>
  </w:num>
  <w:num w:numId="11">
    <w:abstractNumId w:val="29"/>
  </w:num>
  <w:num w:numId="12">
    <w:abstractNumId w:val="42"/>
  </w:num>
  <w:num w:numId="13">
    <w:abstractNumId w:val="25"/>
  </w:num>
  <w:num w:numId="14">
    <w:abstractNumId w:val="41"/>
  </w:num>
  <w:num w:numId="15">
    <w:abstractNumId w:val="11"/>
  </w:num>
  <w:num w:numId="16">
    <w:abstractNumId w:val="37"/>
  </w:num>
  <w:num w:numId="17">
    <w:abstractNumId w:val="4"/>
  </w:num>
  <w:num w:numId="18">
    <w:abstractNumId w:val="7"/>
  </w:num>
  <w:num w:numId="19">
    <w:abstractNumId w:val="13"/>
  </w:num>
  <w:num w:numId="20">
    <w:abstractNumId w:val="39"/>
  </w:num>
  <w:num w:numId="21">
    <w:abstractNumId w:val="26"/>
  </w:num>
  <w:num w:numId="22">
    <w:abstractNumId w:val="34"/>
  </w:num>
  <w:num w:numId="23">
    <w:abstractNumId w:val="2"/>
  </w:num>
  <w:num w:numId="24">
    <w:abstractNumId w:val="14"/>
  </w:num>
  <w:num w:numId="25">
    <w:abstractNumId w:val="16"/>
  </w:num>
  <w:num w:numId="26">
    <w:abstractNumId w:val="40"/>
  </w:num>
  <w:num w:numId="27">
    <w:abstractNumId w:val="22"/>
  </w:num>
  <w:num w:numId="28">
    <w:abstractNumId w:val="27"/>
  </w:num>
  <w:num w:numId="29">
    <w:abstractNumId w:val="5"/>
  </w:num>
  <w:num w:numId="30">
    <w:abstractNumId w:val="24"/>
  </w:num>
  <w:num w:numId="31">
    <w:abstractNumId w:val="10"/>
  </w:num>
  <w:num w:numId="32">
    <w:abstractNumId w:val="12"/>
  </w:num>
  <w:num w:numId="33">
    <w:abstractNumId w:val="35"/>
  </w:num>
  <w:num w:numId="34">
    <w:abstractNumId w:val="6"/>
  </w:num>
  <w:num w:numId="35">
    <w:abstractNumId w:val="0"/>
  </w:num>
  <w:num w:numId="36">
    <w:abstractNumId w:val="17"/>
  </w:num>
  <w:num w:numId="37">
    <w:abstractNumId w:val="38"/>
  </w:num>
  <w:num w:numId="38">
    <w:abstractNumId w:val="1"/>
  </w:num>
  <w:num w:numId="39">
    <w:abstractNumId w:val="19"/>
  </w:num>
  <w:num w:numId="40">
    <w:abstractNumId w:val="32"/>
  </w:num>
  <w:num w:numId="41">
    <w:abstractNumId w:val="9"/>
  </w:num>
  <w:num w:numId="42">
    <w:abstractNumId w:val="30"/>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A"/>
    <w:rsid w:val="000006F3"/>
    <w:rsid w:val="00003DF6"/>
    <w:rsid w:val="000206BE"/>
    <w:rsid w:val="00021B1D"/>
    <w:rsid w:val="00030C48"/>
    <w:rsid w:val="0003109E"/>
    <w:rsid w:val="00036EB8"/>
    <w:rsid w:val="00043657"/>
    <w:rsid w:val="00050C23"/>
    <w:rsid w:val="00057A3A"/>
    <w:rsid w:val="000610BD"/>
    <w:rsid w:val="00066F48"/>
    <w:rsid w:val="0006765E"/>
    <w:rsid w:val="00070962"/>
    <w:rsid w:val="00074173"/>
    <w:rsid w:val="00085BC4"/>
    <w:rsid w:val="0009665C"/>
    <w:rsid w:val="000A39E6"/>
    <w:rsid w:val="000A6D6D"/>
    <w:rsid w:val="000B1406"/>
    <w:rsid w:val="000B29F3"/>
    <w:rsid w:val="000B3F93"/>
    <w:rsid w:val="000D0EE1"/>
    <w:rsid w:val="000D1E5C"/>
    <w:rsid w:val="000D2100"/>
    <w:rsid w:val="000D261E"/>
    <w:rsid w:val="001217AD"/>
    <w:rsid w:val="001231DD"/>
    <w:rsid w:val="00147C12"/>
    <w:rsid w:val="00167AC8"/>
    <w:rsid w:val="00170EBB"/>
    <w:rsid w:val="001B1E8C"/>
    <w:rsid w:val="001B6625"/>
    <w:rsid w:val="001B6B3B"/>
    <w:rsid w:val="001C2E58"/>
    <w:rsid w:val="001D6ED6"/>
    <w:rsid w:val="001F4893"/>
    <w:rsid w:val="00206077"/>
    <w:rsid w:val="0021250C"/>
    <w:rsid w:val="00236153"/>
    <w:rsid w:val="002514ED"/>
    <w:rsid w:val="002539DE"/>
    <w:rsid w:val="00281181"/>
    <w:rsid w:val="00282398"/>
    <w:rsid w:val="002A2C48"/>
    <w:rsid w:val="002B0B79"/>
    <w:rsid w:val="002B40C5"/>
    <w:rsid w:val="002B44AA"/>
    <w:rsid w:val="002B773B"/>
    <w:rsid w:val="002D30F4"/>
    <w:rsid w:val="002E09D6"/>
    <w:rsid w:val="002F383C"/>
    <w:rsid w:val="003067FA"/>
    <w:rsid w:val="00310B3C"/>
    <w:rsid w:val="00345CE5"/>
    <w:rsid w:val="00355068"/>
    <w:rsid w:val="003660F2"/>
    <w:rsid w:val="003907BB"/>
    <w:rsid w:val="00396965"/>
    <w:rsid w:val="003A32FF"/>
    <w:rsid w:val="003A4954"/>
    <w:rsid w:val="003A715D"/>
    <w:rsid w:val="003B0C7E"/>
    <w:rsid w:val="003C3284"/>
    <w:rsid w:val="003D3A48"/>
    <w:rsid w:val="003D431F"/>
    <w:rsid w:val="003D6118"/>
    <w:rsid w:val="003E014D"/>
    <w:rsid w:val="003E43E0"/>
    <w:rsid w:val="004039E2"/>
    <w:rsid w:val="0040730B"/>
    <w:rsid w:val="00441754"/>
    <w:rsid w:val="00466124"/>
    <w:rsid w:val="004862D2"/>
    <w:rsid w:val="004A0302"/>
    <w:rsid w:val="004A5213"/>
    <w:rsid w:val="004C0311"/>
    <w:rsid w:val="004E5D12"/>
    <w:rsid w:val="00504D24"/>
    <w:rsid w:val="00507CD4"/>
    <w:rsid w:val="00511D19"/>
    <w:rsid w:val="00536847"/>
    <w:rsid w:val="00543979"/>
    <w:rsid w:val="00544D83"/>
    <w:rsid w:val="0054632E"/>
    <w:rsid w:val="00546AE3"/>
    <w:rsid w:val="00555ED2"/>
    <w:rsid w:val="00560AEC"/>
    <w:rsid w:val="00572C31"/>
    <w:rsid w:val="00573B63"/>
    <w:rsid w:val="0057778F"/>
    <w:rsid w:val="00583C1B"/>
    <w:rsid w:val="00584E50"/>
    <w:rsid w:val="00587271"/>
    <w:rsid w:val="005962DB"/>
    <w:rsid w:val="005A7D42"/>
    <w:rsid w:val="005D1435"/>
    <w:rsid w:val="005D6136"/>
    <w:rsid w:val="005F68B1"/>
    <w:rsid w:val="006077BC"/>
    <w:rsid w:val="00622D06"/>
    <w:rsid w:val="006232AC"/>
    <w:rsid w:val="00634512"/>
    <w:rsid w:val="00640551"/>
    <w:rsid w:val="0064126C"/>
    <w:rsid w:val="00647B7F"/>
    <w:rsid w:val="00652FF6"/>
    <w:rsid w:val="00654F32"/>
    <w:rsid w:val="0069652C"/>
    <w:rsid w:val="006B6DC2"/>
    <w:rsid w:val="006C0E7B"/>
    <w:rsid w:val="006D0612"/>
    <w:rsid w:val="006D38E2"/>
    <w:rsid w:val="006D624C"/>
    <w:rsid w:val="00701328"/>
    <w:rsid w:val="00701848"/>
    <w:rsid w:val="00707FAD"/>
    <w:rsid w:val="007264DF"/>
    <w:rsid w:val="007620BE"/>
    <w:rsid w:val="00782356"/>
    <w:rsid w:val="0079150B"/>
    <w:rsid w:val="007945FF"/>
    <w:rsid w:val="007C116A"/>
    <w:rsid w:val="007D0723"/>
    <w:rsid w:val="007E1F15"/>
    <w:rsid w:val="007F673E"/>
    <w:rsid w:val="0081032C"/>
    <w:rsid w:val="00810AE4"/>
    <w:rsid w:val="00816ED1"/>
    <w:rsid w:val="00841742"/>
    <w:rsid w:val="00855FF0"/>
    <w:rsid w:val="008818B4"/>
    <w:rsid w:val="008852A3"/>
    <w:rsid w:val="008873A4"/>
    <w:rsid w:val="0089630A"/>
    <w:rsid w:val="008E133E"/>
    <w:rsid w:val="008E60A4"/>
    <w:rsid w:val="008F64A1"/>
    <w:rsid w:val="00923B18"/>
    <w:rsid w:val="00934386"/>
    <w:rsid w:val="009369E3"/>
    <w:rsid w:val="00936EA6"/>
    <w:rsid w:val="0094114E"/>
    <w:rsid w:val="0096070E"/>
    <w:rsid w:val="0096715B"/>
    <w:rsid w:val="009709A0"/>
    <w:rsid w:val="00980211"/>
    <w:rsid w:val="009926D2"/>
    <w:rsid w:val="009D4383"/>
    <w:rsid w:val="009E3FE3"/>
    <w:rsid w:val="009F6C76"/>
    <w:rsid w:val="009F7A60"/>
    <w:rsid w:val="00A45EA5"/>
    <w:rsid w:val="00A5221C"/>
    <w:rsid w:val="00A56E8B"/>
    <w:rsid w:val="00A66F49"/>
    <w:rsid w:val="00A84DE4"/>
    <w:rsid w:val="00A95138"/>
    <w:rsid w:val="00AD2591"/>
    <w:rsid w:val="00AE19A6"/>
    <w:rsid w:val="00AE29BC"/>
    <w:rsid w:val="00AE32C9"/>
    <w:rsid w:val="00B10228"/>
    <w:rsid w:val="00B1384F"/>
    <w:rsid w:val="00B14A4F"/>
    <w:rsid w:val="00B24850"/>
    <w:rsid w:val="00B41A73"/>
    <w:rsid w:val="00B44C9D"/>
    <w:rsid w:val="00B63D11"/>
    <w:rsid w:val="00B703D8"/>
    <w:rsid w:val="00B75EB4"/>
    <w:rsid w:val="00B85342"/>
    <w:rsid w:val="00B879B5"/>
    <w:rsid w:val="00B93874"/>
    <w:rsid w:val="00BE2BD8"/>
    <w:rsid w:val="00BF1F82"/>
    <w:rsid w:val="00BF724C"/>
    <w:rsid w:val="00C07D30"/>
    <w:rsid w:val="00C25068"/>
    <w:rsid w:val="00C37172"/>
    <w:rsid w:val="00C62008"/>
    <w:rsid w:val="00C63D02"/>
    <w:rsid w:val="00C705CC"/>
    <w:rsid w:val="00C72CCE"/>
    <w:rsid w:val="00C92ED4"/>
    <w:rsid w:val="00CA5F44"/>
    <w:rsid w:val="00CA722D"/>
    <w:rsid w:val="00CB2527"/>
    <w:rsid w:val="00CF462E"/>
    <w:rsid w:val="00CF704D"/>
    <w:rsid w:val="00D13646"/>
    <w:rsid w:val="00D56FAA"/>
    <w:rsid w:val="00D61F2D"/>
    <w:rsid w:val="00D656BF"/>
    <w:rsid w:val="00D66FE4"/>
    <w:rsid w:val="00D91A6A"/>
    <w:rsid w:val="00DA1889"/>
    <w:rsid w:val="00DA52CC"/>
    <w:rsid w:val="00DB3027"/>
    <w:rsid w:val="00DB7061"/>
    <w:rsid w:val="00DD543D"/>
    <w:rsid w:val="00DE4652"/>
    <w:rsid w:val="00E045D4"/>
    <w:rsid w:val="00E0481D"/>
    <w:rsid w:val="00E060C2"/>
    <w:rsid w:val="00E1375F"/>
    <w:rsid w:val="00E252FC"/>
    <w:rsid w:val="00E32EA5"/>
    <w:rsid w:val="00E43331"/>
    <w:rsid w:val="00E4565A"/>
    <w:rsid w:val="00E4760B"/>
    <w:rsid w:val="00E86BDE"/>
    <w:rsid w:val="00E9013F"/>
    <w:rsid w:val="00E91DDC"/>
    <w:rsid w:val="00E94D9E"/>
    <w:rsid w:val="00EC349E"/>
    <w:rsid w:val="00ED51AD"/>
    <w:rsid w:val="00EE63B5"/>
    <w:rsid w:val="00F132F2"/>
    <w:rsid w:val="00F23910"/>
    <w:rsid w:val="00F321A7"/>
    <w:rsid w:val="00F55F5A"/>
    <w:rsid w:val="00F804B7"/>
    <w:rsid w:val="00F82B32"/>
    <w:rsid w:val="00FB02A9"/>
    <w:rsid w:val="00FC04E2"/>
    <w:rsid w:val="00FC0A58"/>
    <w:rsid w:val="00FC20AF"/>
    <w:rsid w:val="00FD496A"/>
    <w:rsid w:val="00FE4F66"/>
    <w:rsid w:val="00FF59D7"/>
    <w:rsid w:val="00FF7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DE37FDB"/>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0D0EE1"/>
    <w:pPr>
      <w:keepNext/>
      <w:spacing w:before="240" w:after="60"/>
      <w:outlineLvl w:val="1"/>
    </w:pPr>
    <w:rPr>
      <w:color w:val="357B9F"/>
      <w:sz w:val="28"/>
    </w:rPr>
  </w:style>
  <w:style w:type="paragraph" w:styleId="Heading3">
    <w:name w:val="heading 3"/>
    <w:basedOn w:val="Normal"/>
    <w:next w:val="Normal"/>
    <w:qFormat/>
    <w:rsid w:val="00D56FAA"/>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18B4"/>
    <w:rPr>
      <w:rFonts w:ascii="Arial" w:hAnsi="Arial"/>
    </w:rPr>
  </w:style>
  <w:style w:type="character" w:styleId="CommentReference">
    <w:name w:val="annotation reference"/>
    <w:basedOn w:val="DefaultParagraphFont"/>
    <w:uiPriority w:val="99"/>
    <w:semiHidden/>
    <w:unhideWhenUsed/>
    <w:rsid w:val="008818B4"/>
    <w:rPr>
      <w:sz w:val="16"/>
      <w:szCs w:val="16"/>
    </w:rPr>
  </w:style>
  <w:style w:type="paragraph" w:styleId="CommentText">
    <w:name w:val="annotation text"/>
    <w:basedOn w:val="Normal"/>
    <w:link w:val="CommentTextChar"/>
    <w:uiPriority w:val="99"/>
    <w:semiHidden/>
    <w:unhideWhenUsed/>
    <w:rsid w:val="008818B4"/>
  </w:style>
  <w:style w:type="character" w:customStyle="1" w:styleId="CommentTextChar">
    <w:name w:val="Comment Text Char"/>
    <w:basedOn w:val="DefaultParagraphFont"/>
    <w:link w:val="CommentText"/>
    <w:uiPriority w:val="99"/>
    <w:semiHidden/>
    <w:rsid w:val="008818B4"/>
    <w:rPr>
      <w:rFonts w:ascii="Arial" w:hAnsi="Arial"/>
    </w:rPr>
  </w:style>
  <w:style w:type="paragraph" w:styleId="CommentSubject">
    <w:name w:val="annotation subject"/>
    <w:basedOn w:val="CommentText"/>
    <w:next w:val="CommentText"/>
    <w:link w:val="CommentSubjectChar"/>
    <w:uiPriority w:val="99"/>
    <w:semiHidden/>
    <w:unhideWhenUsed/>
    <w:rsid w:val="008818B4"/>
    <w:rPr>
      <w:b/>
      <w:bCs/>
    </w:rPr>
  </w:style>
  <w:style w:type="character" w:customStyle="1" w:styleId="CommentSubjectChar">
    <w:name w:val="Comment Subject Char"/>
    <w:basedOn w:val="CommentTextChar"/>
    <w:link w:val="CommentSubject"/>
    <w:uiPriority w:val="99"/>
    <w:semiHidden/>
    <w:rsid w:val="008818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BC46-15D4-4C6D-B328-24501B6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14</Pages>
  <Words>4509</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31268</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Mackayla Jeffries</cp:lastModifiedBy>
  <cp:revision>16</cp:revision>
  <cp:lastPrinted>2007-01-22T23:37:00Z</cp:lastPrinted>
  <dcterms:created xsi:type="dcterms:W3CDTF">2020-06-29T01:07:00Z</dcterms:created>
  <dcterms:modified xsi:type="dcterms:W3CDTF">2020-12-22T06:39:00Z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