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6" w:rsidRDefault="00A41D56">
      <w:pPr>
        <w:tabs>
          <w:tab w:val="left" w:pos="1701"/>
          <w:tab w:val="left" w:pos="6237"/>
          <w:tab w:val="left" w:pos="7938"/>
        </w:tabs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Department of the Premier and Cabinet</w:t>
      </w:r>
    </w:p>
    <w:p w:rsidR="00A41D56" w:rsidRDefault="002B478E">
      <w:pPr>
        <w:tabs>
          <w:tab w:val="left" w:pos="1701"/>
          <w:tab w:val="left" w:pos="6237"/>
          <w:tab w:val="left" w:pos="793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Service</w:t>
      </w:r>
      <w:r w:rsidR="00C419FA">
        <w:rPr>
          <w:rFonts w:ascii="Times New Roman" w:hAnsi="Times New Roman"/>
          <w:b/>
          <w:sz w:val="24"/>
        </w:rPr>
        <w:t>s</w:t>
      </w:r>
      <w:r w:rsidR="004A440B">
        <w:rPr>
          <w:rFonts w:ascii="Times New Roman" w:hAnsi="Times New Roman"/>
          <w:b/>
          <w:sz w:val="24"/>
        </w:rPr>
        <w:t xml:space="preserve"> Division</w:t>
      </w:r>
      <w:r>
        <w:rPr>
          <w:rFonts w:ascii="Times New Roman" w:hAnsi="Times New Roman"/>
          <w:b/>
          <w:sz w:val="24"/>
        </w:rPr>
        <w:t xml:space="preserve"> – Strategic Engagement and Protocol</w:t>
      </w:r>
    </w:p>
    <w:p w:rsidR="00A41D56" w:rsidRDefault="00A41D56">
      <w:pPr>
        <w:pBdr>
          <w:bottom w:val="single" w:sz="12" w:space="1" w:color="auto"/>
        </w:pBdr>
        <w:tabs>
          <w:tab w:val="left" w:pos="1701"/>
          <w:tab w:val="left" w:pos="6237"/>
          <w:tab w:val="left" w:pos="7938"/>
        </w:tabs>
        <w:jc w:val="both"/>
        <w:rPr>
          <w:rFonts w:ascii="Times New Roman" w:hAnsi="Times New Roman"/>
          <w:sz w:val="24"/>
        </w:rPr>
      </w:pPr>
    </w:p>
    <w:p w:rsidR="00A41D56" w:rsidRDefault="00A41D56">
      <w:pPr>
        <w:tabs>
          <w:tab w:val="left" w:pos="1701"/>
          <w:tab w:val="left" w:pos="6237"/>
          <w:tab w:val="left" w:pos="7938"/>
        </w:tabs>
        <w:jc w:val="both"/>
        <w:rPr>
          <w:rFonts w:ascii="Times New Roman" w:hAnsi="Times New Roman"/>
          <w:sz w:val="24"/>
        </w:rPr>
      </w:pPr>
    </w:p>
    <w:p w:rsidR="00A41D56" w:rsidRDefault="00A41D56">
      <w:pPr>
        <w:tabs>
          <w:tab w:val="left" w:pos="-720"/>
          <w:tab w:val="left" w:pos="0"/>
          <w:tab w:val="left" w:pos="1701"/>
          <w:tab w:val="left" w:pos="5670"/>
          <w:tab w:val="left" w:pos="737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SECTION: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Protocol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Queensland</w:t>
          </w:r>
        </w:smartTag>
      </w:smartTag>
      <w:r>
        <w:rPr>
          <w:rFonts w:ascii="Times New Roman" w:hAnsi="Times New Roman"/>
          <w:b/>
          <w:sz w:val="24"/>
        </w:rPr>
        <w:tab/>
      </w:r>
    </w:p>
    <w:p w:rsidR="00A41D56" w:rsidRDefault="00A41D56">
      <w:pPr>
        <w:pBdr>
          <w:bottom w:val="single" w:sz="12" w:space="1" w:color="auto"/>
        </w:pBdr>
        <w:tabs>
          <w:tab w:val="left" w:pos="-720"/>
          <w:tab w:val="left" w:pos="1701"/>
          <w:tab w:val="left" w:pos="6237"/>
          <w:tab w:val="left" w:pos="7938"/>
        </w:tabs>
        <w:jc w:val="both"/>
        <w:rPr>
          <w:rFonts w:ascii="Times New Roman" w:hAnsi="Times New Roman"/>
          <w:sz w:val="24"/>
        </w:rPr>
      </w:pPr>
    </w:p>
    <w:p w:rsidR="00A41D56" w:rsidRDefault="00A41D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 w:hanging="5040"/>
        <w:jc w:val="both"/>
        <w:rPr>
          <w:rFonts w:ascii="Times New Roman" w:hAnsi="Times New Roman"/>
          <w:b/>
          <w:sz w:val="24"/>
        </w:rPr>
      </w:pPr>
    </w:p>
    <w:p w:rsidR="00A41D56" w:rsidRDefault="00A41D56">
      <w:pPr>
        <w:tabs>
          <w:tab w:val="left" w:pos="1701"/>
          <w:tab w:val="left" w:pos="5670"/>
          <w:tab w:val="right" w:pos="8789"/>
        </w:tabs>
        <w:ind w:left="1725" w:hanging="172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sz w:val="24"/>
        </w:rPr>
        <w:tab/>
        <w:t xml:space="preserve">Aboriginal and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Torres Strait</w:t>
        </w:r>
      </w:smartTag>
      <w:r>
        <w:rPr>
          <w:rFonts w:ascii="Times New Roman" w:hAnsi="Times New Roman"/>
          <w:sz w:val="24"/>
        </w:rPr>
        <w:t xml:space="preserve"> Islander Protocol - Acknowledgement of Traditional Owners</w:t>
      </w:r>
    </w:p>
    <w:p w:rsidR="00A41D56" w:rsidRDefault="00A41D56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</w:rPr>
      </w:pPr>
    </w:p>
    <w:p w:rsidR="00A41D56" w:rsidRDefault="00A41D56">
      <w:pPr>
        <w:tabs>
          <w:tab w:val="left" w:pos="567"/>
          <w:tab w:val="left" w:pos="1134"/>
          <w:tab w:val="left" w:pos="1985"/>
        </w:tabs>
        <w:ind w:left="1134" w:hanging="1134"/>
        <w:jc w:val="both"/>
        <w:rPr>
          <w:rFonts w:ascii="Times New Roman" w:hAnsi="Times New Roman"/>
          <w:sz w:val="24"/>
        </w:rPr>
      </w:pPr>
    </w:p>
    <w:p w:rsidR="00A41D56" w:rsidRDefault="00A41D56" w:rsidP="00AD198F">
      <w:pPr>
        <w:numPr>
          <w:ilvl w:val="0"/>
          <w:numId w:val="2"/>
        </w:numPr>
        <w:tabs>
          <w:tab w:val="left" w:pos="1134"/>
          <w:tab w:val="left" w:pos="198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Purpose</w:t>
      </w:r>
    </w:p>
    <w:p w:rsidR="00A41D56" w:rsidRDefault="00A41D56" w:rsidP="001913E1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purpose of this protocol is to acknowledge and demonstrate respect for Aboriginal and</w:t>
      </w:r>
      <w:r w:rsidR="002C5AE2">
        <w:rPr>
          <w:rFonts w:ascii="Times New Roman" w:hAnsi="Times New Roman"/>
          <w:sz w:val="24"/>
        </w:rPr>
        <w:t>/or</w:t>
      </w:r>
      <w:r>
        <w:rPr>
          <w:rFonts w:ascii="Times New Roman" w:hAnsi="Times New Roman"/>
          <w:sz w:val="24"/>
        </w:rPr>
        <w:t xml:space="preserve"> Torres Strait Islander people</w:t>
      </w:r>
      <w:r w:rsidR="002C5AE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as the </w:t>
      </w:r>
      <w:r w:rsidR="002C5AE2">
        <w:rPr>
          <w:rFonts w:ascii="Times New Roman" w:hAnsi="Times New Roman"/>
          <w:sz w:val="24"/>
        </w:rPr>
        <w:t xml:space="preserve">First </w:t>
      </w:r>
      <w:r>
        <w:rPr>
          <w:rFonts w:ascii="Times New Roman" w:hAnsi="Times New Roman"/>
          <w:sz w:val="24"/>
        </w:rPr>
        <w:t>peoples of Australia and recognis</w:t>
      </w:r>
      <w:r w:rsidR="00E11CDC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their ongoing ties with land</w:t>
      </w:r>
      <w:r w:rsidR="00BB6338">
        <w:rPr>
          <w:rFonts w:ascii="Times New Roman" w:hAnsi="Times New Roman"/>
          <w:sz w:val="24"/>
        </w:rPr>
        <w:t>, winds, waters</w:t>
      </w:r>
      <w:r>
        <w:rPr>
          <w:rFonts w:ascii="Times New Roman" w:hAnsi="Times New Roman"/>
          <w:sz w:val="24"/>
        </w:rPr>
        <w:t xml:space="preserve"> and sea.  </w:t>
      </w:r>
    </w:p>
    <w:p w:rsidR="00A41D56" w:rsidRDefault="00A41D56" w:rsidP="001913E1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policy outlines the guidelines established by the Queensland Government for all Queensland Government staff speaking at official Queensland Government business requiring acknowledgement of Aboriginal and</w:t>
      </w:r>
      <w:r w:rsidR="002C5AE2">
        <w:rPr>
          <w:rFonts w:ascii="Times New Roman" w:hAnsi="Times New Roman"/>
          <w:sz w:val="24"/>
        </w:rPr>
        <w:t>/or</w:t>
      </w:r>
      <w:r>
        <w:rPr>
          <w:rFonts w:ascii="Times New Roman" w:hAnsi="Times New Roman"/>
          <w:sz w:val="24"/>
        </w:rPr>
        <w:t xml:space="preserve"> Torres Strait Islander Traditional Owners.</w:t>
      </w:r>
    </w:p>
    <w:p w:rsidR="00A41D56" w:rsidRDefault="00A41D56">
      <w:pPr>
        <w:numPr>
          <w:ilvl w:val="0"/>
          <w:numId w:val="2"/>
        </w:numPr>
        <w:tabs>
          <w:tab w:val="left" w:pos="1134"/>
          <w:tab w:val="left" w:pos="198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Scope</w:t>
      </w:r>
    </w:p>
    <w:p w:rsidR="00A41D56" w:rsidRDefault="00A41D56" w:rsidP="001913E1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policy applies to all Queensland Government members and employees conducting Government business at events listed under clause 4.1.</w:t>
      </w:r>
    </w:p>
    <w:p w:rsidR="00A41D56" w:rsidRDefault="00A41D56">
      <w:pPr>
        <w:numPr>
          <w:ilvl w:val="0"/>
          <w:numId w:val="2"/>
        </w:numPr>
        <w:tabs>
          <w:tab w:val="left" w:pos="1134"/>
          <w:tab w:val="left" w:pos="198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Criteria</w:t>
      </w:r>
    </w:p>
    <w:p w:rsidR="00A41D56" w:rsidRDefault="00A41D56" w:rsidP="001913E1">
      <w:pPr>
        <w:numPr>
          <w:ilvl w:val="1"/>
          <w:numId w:val="2"/>
        </w:numPr>
        <w:tabs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wording to be used for acknowledgement of Aboriginal and</w:t>
      </w:r>
      <w:r w:rsidR="002C5AE2">
        <w:rPr>
          <w:rFonts w:ascii="Times New Roman" w:hAnsi="Times New Roman"/>
          <w:sz w:val="24"/>
        </w:rPr>
        <w:t>/or</w:t>
      </w:r>
      <w:r>
        <w:rPr>
          <w:rFonts w:ascii="Times New Roman" w:hAnsi="Times New Roman"/>
          <w:sz w:val="24"/>
        </w:rPr>
        <w:t xml:space="preserve"> Torres Strait Islander Traditional Owners is:</w:t>
      </w:r>
    </w:p>
    <w:p w:rsidR="001E7E29" w:rsidRPr="001913E1" w:rsidRDefault="00A41D56" w:rsidP="001913E1">
      <w:pPr>
        <w:tabs>
          <w:tab w:val="left" w:pos="1985"/>
        </w:tabs>
        <w:spacing w:before="120" w:after="120"/>
        <w:rPr>
          <w:rFonts w:ascii="Times New Roman" w:hAnsi="Times New Roman"/>
          <w:sz w:val="24"/>
        </w:rPr>
      </w:pPr>
      <w:r w:rsidRPr="001913E1">
        <w:rPr>
          <w:rFonts w:ascii="Times New Roman" w:hAnsi="Times New Roman"/>
          <w:sz w:val="24"/>
        </w:rPr>
        <w:t xml:space="preserve">"I would like to respectfully acknowledge the Traditional Owners of the land </w:t>
      </w:r>
      <w:r w:rsidR="0018713D" w:rsidRPr="001913E1">
        <w:rPr>
          <w:rFonts w:ascii="Times New Roman" w:hAnsi="Times New Roman"/>
          <w:sz w:val="24"/>
        </w:rPr>
        <w:t xml:space="preserve">[and/or sea] </w:t>
      </w:r>
      <w:r w:rsidRPr="001913E1">
        <w:rPr>
          <w:rFonts w:ascii="Times New Roman" w:hAnsi="Times New Roman"/>
          <w:sz w:val="24"/>
        </w:rPr>
        <w:t>(insert name of the Traditional Owner group if known and appropriate) on which this event is taking place</w:t>
      </w:r>
      <w:r w:rsidR="00253BD6" w:rsidRPr="001913E1">
        <w:rPr>
          <w:rFonts w:ascii="Times New Roman" w:hAnsi="Times New Roman"/>
          <w:sz w:val="24"/>
        </w:rPr>
        <w:t xml:space="preserve"> and the </w:t>
      </w:r>
      <w:r w:rsidR="0018713D" w:rsidRPr="001913E1">
        <w:rPr>
          <w:rFonts w:ascii="Times New Roman" w:hAnsi="Times New Roman"/>
          <w:sz w:val="24"/>
        </w:rPr>
        <w:t xml:space="preserve">Elders </w:t>
      </w:r>
      <w:r w:rsidR="00253BD6" w:rsidRPr="001913E1">
        <w:rPr>
          <w:rFonts w:ascii="Times New Roman" w:hAnsi="Times New Roman"/>
          <w:sz w:val="24"/>
        </w:rPr>
        <w:t>past and present</w:t>
      </w:r>
      <w:r w:rsidRPr="001913E1">
        <w:rPr>
          <w:rFonts w:ascii="Times New Roman" w:hAnsi="Times New Roman"/>
          <w:sz w:val="24"/>
        </w:rPr>
        <w:t>."</w:t>
      </w:r>
      <w:r w:rsidR="001E7E29" w:rsidRPr="001913E1">
        <w:rPr>
          <w:rFonts w:ascii="Times New Roman" w:hAnsi="Times New Roman"/>
          <w:sz w:val="24"/>
        </w:rPr>
        <w:t xml:space="preserve">  </w:t>
      </w:r>
    </w:p>
    <w:p w:rsidR="00A41D56" w:rsidRPr="001913E1" w:rsidRDefault="001E7E29" w:rsidP="009E79D3">
      <w:pPr>
        <w:numPr>
          <w:ilvl w:val="1"/>
          <w:numId w:val="2"/>
        </w:numPr>
        <w:tabs>
          <w:tab w:val="left" w:pos="1985"/>
        </w:tabs>
        <w:spacing w:before="120" w:after="120"/>
        <w:rPr>
          <w:rFonts w:ascii="Times New Roman" w:hAnsi="Times New Roman"/>
          <w:sz w:val="24"/>
        </w:rPr>
      </w:pPr>
      <w:r w:rsidRPr="001913E1">
        <w:rPr>
          <w:rFonts w:ascii="Times New Roman" w:hAnsi="Times New Roman"/>
          <w:sz w:val="24"/>
        </w:rPr>
        <w:t>A</w:t>
      </w:r>
      <w:r w:rsidR="003E5987" w:rsidRPr="001913E1">
        <w:rPr>
          <w:rFonts w:ascii="Times New Roman" w:hAnsi="Times New Roman"/>
          <w:sz w:val="24"/>
        </w:rPr>
        <w:t xml:space="preserve"> s</w:t>
      </w:r>
      <w:r w:rsidRPr="001913E1">
        <w:rPr>
          <w:rFonts w:ascii="Times New Roman" w:hAnsi="Times New Roman"/>
          <w:sz w:val="24"/>
        </w:rPr>
        <w:t xml:space="preserve">hort pause </w:t>
      </w:r>
      <w:r w:rsidR="003E5987" w:rsidRPr="001913E1">
        <w:rPr>
          <w:rFonts w:ascii="Times New Roman" w:hAnsi="Times New Roman"/>
          <w:sz w:val="24"/>
        </w:rPr>
        <w:t xml:space="preserve">should be taken </w:t>
      </w:r>
      <w:r w:rsidRPr="001913E1">
        <w:rPr>
          <w:rFonts w:ascii="Times New Roman" w:hAnsi="Times New Roman"/>
          <w:sz w:val="24"/>
        </w:rPr>
        <w:t>after the acknowledgement as a sign of respect, before progressing with the remainder of the speech.</w:t>
      </w:r>
    </w:p>
    <w:p w:rsidR="00A41D56" w:rsidRPr="009A311D" w:rsidRDefault="00A41D56" w:rsidP="009A311D">
      <w:pPr>
        <w:numPr>
          <w:ilvl w:val="0"/>
          <w:numId w:val="2"/>
        </w:numPr>
        <w:tabs>
          <w:tab w:val="left" w:pos="1134"/>
          <w:tab w:val="left" w:pos="1985"/>
        </w:tabs>
        <w:jc w:val="both"/>
        <w:rPr>
          <w:rFonts w:ascii="Times New Roman" w:hAnsi="Times New Roman"/>
          <w:b/>
          <w:sz w:val="24"/>
        </w:rPr>
      </w:pPr>
      <w:r w:rsidRPr="009A311D">
        <w:rPr>
          <w:rFonts w:ascii="Times New Roman" w:hAnsi="Times New Roman"/>
          <w:b/>
          <w:sz w:val="24"/>
        </w:rPr>
        <w:t>Operational Guidelines</w:t>
      </w:r>
    </w:p>
    <w:p w:rsidR="00AD198F" w:rsidRDefault="00A41D56" w:rsidP="00AD198F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policy would apply to</w:t>
      </w:r>
      <w:r w:rsidR="00651967">
        <w:rPr>
          <w:rFonts w:ascii="Times New Roman" w:hAnsi="Times New Roman"/>
          <w:sz w:val="24"/>
        </w:rPr>
        <w:t xml:space="preserve"> </w:t>
      </w:r>
      <w:r w:rsidR="000A129C" w:rsidRPr="00EC2B3D">
        <w:rPr>
          <w:rFonts w:ascii="Times New Roman" w:hAnsi="Times New Roman"/>
          <w:iCs/>
          <w:sz w:val="24"/>
          <w:szCs w:val="24"/>
        </w:rPr>
        <w:t>significant public events and key meetings</w:t>
      </w:r>
      <w:r w:rsidR="000A129C" w:rsidRPr="00CB26EE">
        <w:rPr>
          <w:rFonts w:ascii="Times New Roman" w:hAnsi="Times New Roman"/>
          <w:sz w:val="24"/>
          <w:szCs w:val="24"/>
        </w:rPr>
        <w:t xml:space="preserve"> </w:t>
      </w:r>
      <w:r w:rsidR="000A129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</w:rPr>
        <w:t>ncluding:</w:t>
      </w:r>
    </w:p>
    <w:p w:rsidR="00AD198F" w:rsidRPr="00AD198F" w:rsidRDefault="00740C52" w:rsidP="00AD198F">
      <w:pPr>
        <w:numPr>
          <w:ilvl w:val="2"/>
          <w:numId w:val="16"/>
        </w:numPr>
        <w:tabs>
          <w:tab w:val="clear" w:pos="1986"/>
          <w:tab w:val="left" w:pos="567"/>
          <w:tab w:val="left" w:pos="1134"/>
          <w:tab w:val="left" w:pos="1985"/>
        </w:tabs>
        <w:spacing w:before="120" w:after="120"/>
        <w:rPr>
          <w:rFonts w:ascii="Times New Roman" w:hAnsi="Times New Roman"/>
          <w:sz w:val="24"/>
        </w:rPr>
      </w:pPr>
      <w:r w:rsidRPr="00AD198F">
        <w:rPr>
          <w:rFonts w:ascii="Times New Roman" w:hAnsi="Times New Roman"/>
          <w:sz w:val="24"/>
        </w:rPr>
        <w:t>G</w:t>
      </w:r>
      <w:r w:rsidR="00A41D56" w:rsidRPr="00AD198F">
        <w:rPr>
          <w:rFonts w:ascii="Times New Roman" w:hAnsi="Times New Roman"/>
          <w:sz w:val="24"/>
        </w:rPr>
        <w:t>overnment organised, funded and co-funded functions</w:t>
      </w:r>
    </w:p>
    <w:p w:rsidR="00A41D56" w:rsidRPr="00AD198F" w:rsidRDefault="00A41D56" w:rsidP="00EC2B3D">
      <w:pPr>
        <w:numPr>
          <w:ilvl w:val="2"/>
          <w:numId w:val="19"/>
        </w:numPr>
        <w:tabs>
          <w:tab w:val="left" w:pos="567"/>
          <w:tab w:val="left" w:pos="1134"/>
        </w:tabs>
        <w:spacing w:before="120" w:after="120"/>
        <w:rPr>
          <w:rFonts w:ascii="Times New Roman" w:hAnsi="Times New Roman"/>
          <w:sz w:val="24"/>
        </w:rPr>
      </w:pPr>
      <w:r w:rsidRPr="00AD198F">
        <w:rPr>
          <w:rFonts w:ascii="Times New Roman" w:hAnsi="Times New Roman"/>
          <w:sz w:val="24"/>
        </w:rPr>
        <w:t>Queensland Government events and functions</w:t>
      </w:r>
      <w:r w:rsidR="008E2CE9">
        <w:rPr>
          <w:rFonts w:ascii="Times New Roman" w:hAnsi="Times New Roman"/>
          <w:sz w:val="24"/>
        </w:rPr>
        <w:t xml:space="preserve"> </w:t>
      </w:r>
    </w:p>
    <w:p w:rsidR="00A41D56" w:rsidRPr="00AD198F" w:rsidRDefault="00A41D56" w:rsidP="00EC2B3D">
      <w:pPr>
        <w:numPr>
          <w:ilvl w:val="2"/>
          <w:numId w:val="19"/>
        </w:numPr>
        <w:tabs>
          <w:tab w:val="left" w:pos="567"/>
          <w:tab w:val="left" w:pos="1134"/>
        </w:tabs>
        <w:spacing w:before="120" w:after="120"/>
        <w:rPr>
          <w:rFonts w:ascii="Times New Roman" w:hAnsi="Times New Roman"/>
          <w:sz w:val="24"/>
        </w:rPr>
      </w:pPr>
      <w:r w:rsidRPr="00AD198F">
        <w:rPr>
          <w:rFonts w:ascii="Times New Roman" w:hAnsi="Times New Roman"/>
          <w:sz w:val="24"/>
        </w:rPr>
        <w:t xml:space="preserve">Queensland Government sponsored conferences, </w:t>
      </w:r>
      <w:r w:rsidR="002B478E">
        <w:rPr>
          <w:rFonts w:ascii="Times New Roman" w:hAnsi="Times New Roman"/>
          <w:sz w:val="24"/>
        </w:rPr>
        <w:t xml:space="preserve">meetings, </w:t>
      </w:r>
      <w:r w:rsidRPr="00AD198F">
        <w:rPr>
          <w:rFonts w:ascii="Times New Roman" w:hAnsi="Times New Roman"/>
          <w:sz w:val="24"/>
        </w:rPr>
        <w:t>seminars and workshops</w:t>
      </w:r>
      <w:r w:rsidR="00E27DFF">
        <w:rPr>
          <w:rFonts w:ascii="Times New Roman" w:hAnsi="Times New Roman"/>
          <w:sz w:val="24"/>
        </w:rPr>
        <w:t xml:space="preserve"> </w:t>
      </w:r>
    </w:p>
    <w:p w:rsidR="007F293F" w:rsidRDefault="00EC2B3D" w:rsidP="00EC2B3D">
      <w:pPr>
        <w:tabs>
          <w:tab w:val="left" w:pos="567"/>
          <w:tab w:val="left" w:pos="1134"/>
          <w:tab w:val="left" w:pos="1985"/>
        </w:tabs>
        <w:spacing w:before="120" w:after="120"/>
        <w:ind w:left="1996" w:hanging="705"/>
        <w:rPr>
          <w:rFonts w:ascii="Times New Roman" w:hAnsi="Times New Roman"/>
          <w:sz w:val="24"/>
        </w:rPr>
      </w:pPr>
      <w:r w:rsidRPr="00EC2B3D">
        <w:rPr>
          <w:rFonts w:ascii="Times New Roman" w:hAnsi="Times New Roman"/>
          <w:b/>
          <w:sz w:val="24"/>
        </w:rPr>
        <w:t>4.1.4</w:t>
      </w:r>
      <w:r>
        <w:rPr>
          <w:rFonts w:ascii="Times New Roman" w:hAnsi="Times New Roman"/>
          <w:sz w:val="24"/>
        </w:rPr>
        <w:tab/>
      </w:r>
      <w:r w:rsidR="00A41D56" w:rsidRPr="00AD198F">
        <w:rPr>
          <w:rFonts w:ascii="Times New Roman" w:hAnsi="Times New Roman"/>
          <w:sz w:val="24"/>
        </w:rPr>
        <w:t>Official launch ceremonies for Queensland Government policies</w:t>
      </w:r>
      <w:r w:rsidR="007F293F" w:rsidRPr="00AD198F">
        <w:rPr>
          <w:rFonts w:ascii="Times New Roman" w:hAnsi="Times New Roman"/>
          <w:sz w:val="24"/>
        </w:rPr>
        <w:t xml:space="preserve">, </w:t>
      </w:r>
      <w:r w:rsidR="007F293F">
        <w:rPr>
          <w:rFonts w:ascii="Times New Roman" w:hAnsi="Times New Roman"/>
          <w:sz w:val="24"/>
        </w:rPr>
        <w:t>programs</w:t>
      </w:r>
      <w:r w:rsidR="00A41D56" w:rsidRPr="00AD198F">
        <w:rPr>
          <w:rFonts w:ascii="Times New Roman" w:hAnsi="Times New Roman"/>
          <w:sz w:val="24"/>
        </w:rPr>
        <w:t xml:space="preserve"> and services</w:t>
      </w:r>
    </w:p>
    <w:p w:rsidR="005773EF" w:rsidRPr="00AD198F" w:rsidRDefault="007F293F" w:rsidP="00EC2B3D">
      <w:pPr>
        <w:tabs>
          <w:tab w:val="left" w:pos="567"/>
          <w:tab w:val="left" w:pos="1134"/>
          <w:tab w:val="left" w:pos="1985"/>
        </w:tabs>
        <w:spacing w:before="120" w:after="120"/>
        <w:ind w:left="1996" w:hanging="705"/>
        <w:rPr>
          <w:rFonts w:ascii="Times New Roman" w:hAnsi="Times New Roman"/>
          <w:sz w:val="24"/>
        </w:rPr>
      </w:pPr>
      <w:r w:rsidRPr="007F293F">
        <w:rPr>
          <w:rFonts w:ascii="Times New Roman" w:hAnsi="Times New Roman"/>
          <w:b/>
          <w:sz w:val="24"/>
          <w:szCs w:val="24"/>
        </w:rPr>
        <w:t>4.1.5</w:t>
      </w:r>
      <w:r>
        <w:rPr>
          <w:rFonts w:ascii="Times New Roman" w:hAnsi="Times New Roman"/>
          <w:sz w:val="24"/>
          <w:szCs w:val="24"/>
        </w:rPr>
        <w:tab/>
      </w:r>
      <w:r w:rsidR="005773EF" w:rsidRPr="005773EF">
        <w:rPr>
          <w:rFonts w:ascii="Times New Roman" w:hAnsi="Times New Roman"/>
          <w:sz w:val="24"/>
          <w:szCs w:val="24"/>
        </w:rPr>
        <w:t xml:space="preserve">Significant community engagement meetings </w:t>
      </w:r>
    </w:p>
    <w:p w:rsidR="00A41D56" w:rsidRPr="008E2CE9" w:rsidRDefault="005773EF" w:rsidP="00EC2B3D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A41D56" w:rsidRPr="008E2CE9">
        <w:rPr>
          <w:rFonts w:ascii="Times New Roman" w:hAnsi="Times New Roman"/>
          <w:sz w:val="24"/>
        </w:rPr>
        <w:t>his will ensure appropriate acknowledgement of Aboriginal and</w:t>
      </w:r>
      <w:r w:rsidR="0018713D" w:rsidRPr="008E2CE9">
        <w:rPr>
          <w:rFonts w:ascii="Times New Roman" w:hAnsi="Times New Roman"/>
          <w:sz w:val="24"/>
        </w:rPr>
        <w:t>/or</w:t>
      </w:r>
      <w:r w:rsidR="00A41D56" w:rsidRPr="008E2CE9">
        <w:rPr>
          <w:rFonts w:ascii="Times New Roman" w:hAnsi="Times New Roman"/>
          <w:sz w:val="24"/>
        </w:rPr>
        <w:t xml:space="preserve"> Torres Strait Islander Traditional Owners at all relevant government-related events.</w:t>
      </w:r>
    </w:p>
    <w:p w:rsidR="00A41D56" w:rsidRDefault="00A41D56" w:rsidP="00EC2B3D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internal business meeting would not require the acknowledgement of Aboriginal and</w:t>
      </w:r>
      <w:r w:rsidR="0018713D">
        <w:rPr>
          <w:rFonts w:ascii="Times New Roman" w:hAnsi="Times New Roman"/>
          <w:sz w:val="24"/>
        </w:rPr>
        <w:t>/or</w:t>
      </w:r>
      <w:r>
        <w:rPr>
          <w:rFonts w:ascii="Times New Roman" w:hAnsi="Times New Roman"/>
          <w:sz w:val="24"/>
        </w:rPr>
        <w:t xml:space="preserve"> Torres Strait Islander Traditional Owners.</w:t>
      </w:r>
    </w:p>
    <w:p w:rsidR="00A41D56" w:rsidRDefault="00A41D56" w:rsidP="00EC2B3D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first speaker and all subsequent speakers</w:t>
      </w:r>
      <w:r w:rsidR="00E11CDC">
        <w:rPr>
          <w:rFonts w:ascii="Times New Roman" w:hAnsi="Times New Roman"/>
          <w:sz w:val="24"/>
        </w:rPr>
        <w:t>, as appropriate,</w:t>
      </w:r>
      <w:r>
        <w:rPr>
          <w:rFonts w:ascii="Times New Roman" w:hAnsi="Times New Roman"/>
          <w:sz w:val="24"/>
        </w:rPr>
        <w:t xml:space="preserve"> can also acknowledge the Aboriginal and</w:t>
      </w:r>
      <w:r w:rsidR="002C5AE2">
        <w:rPr>
          <w:rFonts w:ascii="Times New Roman" w:hAnsi="Times New Roman"/>
          <w:sz w:val="24"/>
        </w:rPr>
        <w:t>/or</w:t>
      </w:r>
      <w:r>
        <w:rPr>
          <w:rFonts w:ascii="Times New Roman" w:hAnsi="Times New Roman"/>
          <w:sz w:val="24"/>
        </w:rPr>
        <w:t xml:space="preserve"> Torres Strait Islander Traditional Owners.</w:t>
      </w:r>
    </w:p>
    <w:p w:rsidR="00A41D56" w:rsidRDefault="00A41D56" w:rsidP="00EC2B3D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Government members and employees are encouraged to research the identity of the Traditional Owners of the local area.</w:t>
      </w:r>
    </w:p>
    <w:p w:rsidR="00A41D56" w:rsidRDefault="00A41D56" w:rsidP="00EC2B3D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Should any Government employee be uncertain as to whether the Aboriginal and Torres Strait Islander Protocol applies to a specific function or event, advice should be sought from Protocol Queensland, Department of the Premier and Cabinet.</w:t>
      </w:r>
    </w:p>
    <w:p w:rsidR="00A41D56" w:rsidRDefault="00A41D56" w:rsidP="00EC2B3D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 w:rsidRPr="00EC29B3">
        <w:rPr>
          <w:rFonts w:ascii="Times New Roman" w:hAnsi="Times New Roman"/>
          <w:sz w:val="24"/>
        </w:rPr>
        <w:t xml:space="preserve">Organisers of Queensland Government hosted or funded events and functions should contact </w:t>
      </w:r>
      <w:r w:rsidR="0018713D" w:rsidRPr="00EC29B3">
        <w:rPr>
          <w:rFonts w:ascii="Times New Roman" w:hAnsi="Times New Roman"/>
          <w:sz w:val="24"/>
        </w:rPr>
        <w:t xml:space="preserve">the </w:t>
      </w:r>
      <w:r w:rsidR="0018713D" w:rsidRPr="00BB6338">
        <w:rPr>
          <w:rFonts w:ascii="Times New Roman" w:hAnsi="Times New Roman"/>
          <w:sz w:val="24"/>
        </w:rPr>
        <w:t xml:space="preserve">relevant </w:t>
      </w:r>
      <w:r w:rsidR="000F0230" w:rsidRPr="0030513D">
        <w:rPr>
          <w:rFonts w:ascii="Times New Roman" w:hAnsi="Times New Roman"/>
          <w:sz w:val="24"/>
        </w:rPr>
        <w:t xml:space="preserve">Regional </w:t>
      </w:r>
      <w:r w:rsidR="0018713D" w:rsidRPr="0030513D">
        <w:rPr>
          <w:rFonts w:ascii="Times New Roman" w:hAnsi="Times New Roman"/>
          <w:sz w:val="24"/>
        </w:rPr>
        <w:t>Office</w:t>
      </w:r>
      <w:r w:rsidR="000F0230" w:rsidRPr="0030513D">
        <w:rPr>
          <w:rFonts w:ascii="Times New Roman" w:hAnsi="Times New Roman"/>
          <w:sz w:val="24"/>
        </w:rPr>
        <w:t>, Department of</w:t>
      </w:r>
      <w:r w:rsidRPr="0030513D">
        <w:rPr>
          <w:rFonts w:ascii="Times New Roman" w:hAnsi="Times New Roman"/>
          <w:sz w:val="24"/>
        </w:rPr>
        <w:t xml:space="preserve"> Aboriginal and Torres Strait Islander </w:t>
      </w:r>
      <w:r w:rsidR="0018713D" w:rsidRPr="00EC29B3">
        <w:rPr>
          <w:rFonts w:ascii="Times New Roman" w:hAnsi="Times New Roman"/>
          <w:sz w:val="24"/>
        </w:rPr>
        <w:t>Partnerships</w:t>
      </w:r>
      <w:r w:rsidR="00C703E9">
        <w:rPr>
          <w:rFonts w:ascii="Times New Roman" w:hAnsi="Times New Roman"/>
          <w:sz w:val="24"/>
        </w:rPr>
        <w:t xml:space="preserve"> (DATSIP)</w:t>
      </w:r>
      <w:r w:rsidRPr="00EC29B3">
        <w:rPr>
          <w:rFonts w:ascii="Times New Roman" w:hAnsi="Times New Roman"/>
          <w:sz w:val="24"/>
        </w:rPr>
        <w:t xml:space="preserve"> to confirm the name, pronunciation and appropriateness to mention the name</w:t>
      </w:r>
      <w:r w:rsidR="00E11CDC" w:rsidRPr="00EC29B3">
        <w:rPr>
          <w:rFonts w:ascii="Times New Roman" w:hAnsi="Times New Roman"/>
          <w:sz w:val="24"/>
        </w:rPr>
        <w:t>,</w:t>
      </w:r>
      <w:r w:rsidRPr="00EC29B3">
        <w:rPr>
          <w:rFonts w:ascii="Times New Roman" w:hAnsi="Times New Roman"/>
          <w:sz w:val="24"/>
        </w:rPr>
        <w:t xml:space="preserve"> of the relevant Aboriginal and</w:t>
      </w:r>
      <w:r w:rsidR="002C5AE2" w:rsidRPr="00EC29B3">
        <w:rPr>
          <w:rFonts w:ascii="Times New Roman" w:hAnsi="Times New Roman"/>
          <w:sz w:val="24"/>
        </w:rPr>
        <w:t>/or</w:t>
      </w:r>
      <w:r w:rsidRPr="00EC29B3">
        <w:rPr>
          <w:rFonts w:ascii="Times New Roman" w:hAnsi="Times New Roman"/>
          <w:sz w:val="24"/>
        </w:rPr>
        <w:t xml:space="preserve"> Torres Strait Islander Traditional Owners of the land </w:t>
      </w:r>
      <w:r w:rsidR="002C5AE2" w:rsidRPr="00EC29B3">
        <w:rPr>
          <w:rFonts w:ascii="Times New Roman" w:hAnsi="Times New Roman"/>
          <w:sz w:val="24"/>
        </w:rPr>
        <w:t xml:space="preserve">and/or sea </w:t>
      </w:r>
      <w:r w:rsidRPr="00EC29B3">
        <w:rPr>
          <w:rFonts w:ascii="Times New Roman" w:hAnsi="Times New Roman"/>
          <w:sz w:val="24"/>
        </w:rPr>
        <w:t>on which the event is taking place</w:t>
      </w:r>
      <w:r w:rsidR="00733D38">
        <w:rPr>
          <w:rFonts w:ascii="Times New Roman" w:hAnsi="Times New Roman"/>
          <w:sz w:val="24"/>
        </w:rPr>
        <w:t>, refer to clause 6.1</w:t>
      </w:r>
      <w:r w:rsidRPr="00EC29B3">
        <w:rPr>
          <w:rFonts w:ascii="Times New Roman" w:hAnsi="Times New Roman"/>
          <w:sz w:val="24"/>
        </w:rPr>
        <w:t>.</w:t>
      </w:r>
      <w:r w:rsidR="0018713D" w:rsidRPr="00EC29B3">
        <w:rPr>
          <w:rFonts w:ascii="Times New Roman" w:hAnsi="Times New Roman"/>
          <w:sz w:val="24"/>
        </w:rPr>
        <w:t xml:space="preserve"> </w:t>
      </w:r>
    </w:p>
    <w:p w:rsidR="00A41D56" w:rsidRPr="00AD198F" w:rsidRDefault="00A41D56" w:rsidP="00AD198F">
      <w:pPr>
        <w:numPr>
          <w:ilvl w:val="0"/>
          <w:numId w:val="2"/>
        </w:numPr>
        <w:tabs>
          <w:tab w:val="left" w:pos="1134"/>
          <w:tab w:val="left" w:pos="198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Other Relevant Information</w:t>
      </w:r>
    </w:p>
    <w:p w:rsidR="0030513D" w:rsidRDefault="00A41D56" w:rsidP="0030513D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"Welcome to Country" is different to an acknowledgment in that it is a cultural practice performed by Aboriginal and</w:t>
      </w:r>
      <w:r w:rsidR="002C5AE2">
        <w:rPr>
          <w:rFonts w:ascii="Times New Roman" w:hAnsi="Times New Roman"/>
          <w:sz w:val="24"/>
        </w:rPr>
        <w:t>/or</w:t>
      </w:r>
      <w:r>
        <w:rPr>
          <w:rFonts w:ascii="Times New Roman" w:hAnsi="Times New Roman"/>
          <w:sz w:val="24"/>
        </w:rPr>
        <w:t xml:space="preserve"> Torres Strait Islander </w:t>
      </w:r>
      <w:r w:rsidR="002C5AE2">
        <w:rPr>
          <w:rFonts w:ascii="Times New Roman" w:hAnsi="Times New Roman"/>
          <w:sz w:val="24"/>
        </w:rPr>
        <w:t xml:space="preserve">Traditional Owners </w:t>
      </w:r>
      <w:r>
        <w:rPr>
          <w:rFonts w:ascii="Times New Roman" w:hAnsi="Times New Roman"/>
          <w:sz w:val="24"/>
        </w:rPr>
        <w:t xml:space="preserve">and can be used to open significant events and formal functions.  It is often used in tandem with the protocol of acknowledging </w:t>
      </w:r>
      <w:r w:rsidR="002C5AE2">
        <w:rPr>
          <w:rFonts w:ascii="Times New Roman" w:hAnsi="Times New Roman"/>
          <w:sz w:val="24"/>
        </w:rPr>
        <w:t>Traditional Owners</w:t>
      </w:r>
      <w:r>
        <w:rPr>
          <w:rFonts w:ascii="Times New Roman" w:hAnsi="Times New Roman"/>
          <w:sz w:val="24"/>
        </w:rPr>
        <w:t>.</w:t>
      </w:r>
    </w:p>
    <w:p w:rsidR="00A41D56" w:rsidRPr="0030513D" w:rsidRDefault="00A41D56" w:rsidP="0030513D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 w:rsidRPr="0030513D">
        <w:rPr>
          <w:rFonts w:ascii="Times New Roman" w:hAnsi="Times New Roman"/>
          <w:sz w:val="24"/>
        </w:rPr>
        <w:t>Some community-based meetings in the Torres Strait and in some mainland communities are opened with a prayer</w:t>
      </w:r>
    </w:p>
    <w:p w:rsidR="00A41D56" w:rsidRDefault="00A41D56" w:rsidP="0030513D">
      <w:pPr>
        <w:numPr>
          <w:ilvl w:val="1"/>
          <w:numId w:val="2"/>
        </w:numPr>
        <w:tabs>
          <w:tab w:val="left" w:pos="567"/>
        </w:tabs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Government Officials responsible for organising an event and who require advice about the appropriateness of incorporating a “Welcome to Country” or a prayer at an event should refer to clause 6.  These clauses identify appropriate contact officers for further advice. </w:t>
      </w:r>
    </w:p>
    <w:p w:rsidR="00A41D56" w:rsidRPr="00AD198F" w:rsidRDefault="00A41D56" w:rsidP="0030513D">
      <w:pPr>
        <w:numPr>
          <w:ilvl w:val="0"/>
          <w:numId w:val="2"/>
        </w:numPr>
        <w:tabs>
          <w:tab w:val="left" w:pos="1134"/>
          <w:tab w:val="left" w:pos="198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Actions</w:t>
      </w:r>
    </w:p>
    <w:p w:rsidR="009E79D3" w:rsidRPr="009E79D3" w:rsidRDefault="00C703E9" w:rsidP="00AD198F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sz w:val="24"/>
        </w:rPr>
        <w:t>T</w:t>
      </w:r>
      <w:r w:rsidRPr="00C703E9">
        <w:rPr>
          <w:rFonts w:ascii="Times New Roman" w:hAnsi="Times New Roman"/>
          <w:sz w:val="24"/>
        </w:rPr>
        <w:t>o confirm the name</w:t>
      </w:r>
      <w:r>
        <w:rPr>
          <w:rFonts w:ascii="Times New Roman" w:hAnsi="Times New Roman"/>
          <w:sz w:val="24"/>
        </w:rPr>
        <w:t xml:space="preserve"> and other details of </w:t>
      </w:r>
      <w:r w:rsidRPr="00C703E9">
        <w:rPr>
          <w:rFonts w:ascii="Times New Roman" w:hAnsi="Times New Roman"/>
          <w:sz w:val="24"/>
        </w:rPr>
        <w:t xml:space="preserve">the relevant Aboriginal and/or Torres Strait Islander Traditional Owners </w:t>
      </w:r>
      <w:r>
        <w:rPr>
          <w:rFonts w:ascii="Times New Roman" w:hAnsi="Times New Roman"/>
          <w:sz w:val="24"/>
        </w:rPr>
        <w:t xml:space="preserve">contact DATSIP </w:t>
      </w:r>
      <w:r w:rsidR="00733D38" w:rsidRPr="00733D38">
        <w:rPr>
          <w:rFonts w:ascii="Times New Roman" w:hAnsi="Times New Roman"/>
          <w:sz w:val="24"/>
        </w:rPr>
        <w:t>Regional office</w:t>
      </w:r>
      <w:r>
        <w:rPr>
          <w:rFonts w:ascii="Times New Roman" w:hAnsi="Times New Roman"/>
          <w:sz w:val="24"/>
        </w:rPr>
        <w:t xml:space="preserve">s. Regional contacts are available </w:t>
      </w:r>
      <w:r w:rsidR="00733D38" w:rsidRPr="00733D38">
        <w:rPr>
          <w:rFonts w:ascii="Times New Roman" w:hAnsi="Times New Roman"/>
          <w:sz w:val="24"/>
        </w:rPr>
        <w:t xml:space="preserve">at: </w:t>
      </w:r>
      <w:hyperlink r:id="rId8" w:history="1">
        <w:r w:rsidR="009E79D3" w:rsidRPr="00E37BB1">
          <w:rPr>
            <w:rStyle w:val="Hyperlink"/>
            <w:rFonts w:ascii="Times New Roman" w:hAnsi="Times New Roman"/>
            <w:sz w:val="24"/>
          </w:rPr>
          <w:t>http://www.datsip.qld.gov.au/people-communities/regional-contacts</w:t>
        </w:r>
      </w:hyperlink>
      <w:r w:rsidR="009E79D3">
        <w:rPr>
          <w:rStyle w:val="Hyperlink"/>
          <w:rFonts w:ascii="Times New Roman" w:hAnsi="Times New Roman"/>
          <w:sz w:val="24"/>
        </w:rPr>
        <w:t>.</w:t>
      </w:r>
    </w:p>
    <w:p w:rsidR="009E79D3" w:rsidRPr="009E79D3" w:rsidRDefault="009E79D3" w:rsidP="00AD198F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sz w:val="24"/>
        </w:rPr>
        <w:t xml:space="preserve">Further supporting information for the Protocol Acknowledgement of Traditional Owners and Welcome to Country is available at </w:t>
      </w:r>
      <w:hyperlink r:id="rId9" w:history="1">
        <w:r w:rsidRPr="00E37BB1">
          <w:rPr>
            <w:rStyle w:val="Hyperlink"/>
            <w:rFonts w:ascii="Times New Roman" w:hAnsi="Times New Roman"/>
            <w:sz w:val="24"/>
          </w:rPr>
          <w:t>http://datsima.govnet.qld.gov.au/</w:t>
        </w:r>
      </w:hyperlink>
      <w:r>
        <w:rPr>
          <w:rFonts w:ascii="Times New Roman" w:hAnsi="Times New Roman"/>
          <w:sz w:val="24"/>
        </w:rPr>
        <w:t>.</w:t>
      </w:r>
    </w:p>
    <w:p w:rsidR="009E79D3" w:rsidRPr="0030513D" w:rsidRDefault="009E79D3" w:rsidP="009E79D3">
      <w:pPr>
        <w:numPr>
          <w:ilvl w:val="1"/>
          <w:numId w:val="2"/>
        </w:numPr>
        <w:tabs>
          <w:tab w:val="left" w:pos="567"/>
          <w:tab w:val="left" w:pos="1985"/>
        </w:tabs>
        <w:spacing w:before="120" w:after="120"/>
        <w:rPr>
          <w:rFonts w:ascii="Times New Roman" w:hAnsi="Times New Roman"/>
          <w:sz w:val="24"/>
        </w:rPr>
      </w:pPr>
      <w:r w:rsidRPr="0030513D">
        <w:rPr>
          <w:rFonts w:ascii="Times New Roman" w:hAnsi="Times New Roman"/>
          <w:sz w:val="24"/>
        </w:rPr>
        <w:t>Enquiries regarding this Aboriginal and Torres Strait Islander Protocol should be directed to</w:t>
      </w:r>
      <w:r w:rsidR="00D871AC">
        <w:rPr>
          <w:rFonts w:ascii="Times New Roman" w:hAnsi="Times New Roman"/>
          <w:sz w:val="24"/>
        </w:rPr>
        <w:t xml:space="preserve"> </w:t>
      </w:r>
      <w:r w:rsidR="001E78D5">
        <w:rPr>
          <w:rFonts w:ascii="Times New Roman" w:hAnsi="Times New Roman"/>
          <w:sz w:val="24"/>
        </w:rPr>
        <w:t>DATSIP</w:t>
      </w:r>
      <w:r w:rsidR="00D871AC">
        <w:rPr>
          <w:rFonts w:ascii="Times New Roman" w:hAnsi="Times New Roman"/>
          <w:sz w:val="24"/>
        </w:rPr>
        <w:t xml:space="preserve"> in the first instance, should further information be required please contact</w:t>
      </w:r>
      <w:r w:rsidRPr="0030513D">
        <w:rPr>
          <w:rFonts w:ascii="Times New Roman" w:hAnsi="Times New Roman"/>
          <w:sz w:val="24"/>
        </w:rPr>
        <w:t>:</w:t>
      </w:r>
    </w:p>
    <w:p w:rsidR="009E79D3" w:rsidRDefault="009E79D3" w:rsidP="009E79D3">
      <w:pPr>
        <w:tabs>
          <w:tab w:val="left" w:pos="567"/>
          <w:tab w:val="left" w:pos="1134"/>
          <w:tab w:val="left" w:pos="1985"/>
        </w:tabs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Protocol Queensland</w:t>
      </w:r>
    </w:p>
    <w:p w:rsidR="009E79D3" w:rsidRDefault="009E79D3" w:rsidP="009E79D3">
      <w:pPr>
        <w:tabs>
          <w:tab w:val="left" w:pos="567"/>
          <w:tab w:val="left" w:pos="1134"/>
          <w:tab w:val="left" w:pos="1985"/>
        </w:tabs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the Premier and Cabinet</w:t>
      </w:r>
    </w:p>
    <w:p w:rsidR="00A41D56" w:rsidRPr="000F0230" w:rsidRDefault="009E79D3" w:rsidP="00EC2B3D">
      <w:pPr>
        <w:tabs>
          <w:tab w:val="left" w:pos="567"/>
          <w:tab w:val="left" w:pos="1134"/>
          <w:tab w:val="left" w:pos="1985"/>
        </w:tabs>
        <w:ind w:left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(07) 3003 </w:t>
      </w:r>
      <w:r w:rsidR="00713E60">
        <w:rPr>
          <w:rFonts w:ascii="Times New Roman" w:hAnsi="Times New Roman"/>
          <w:sz w:val="24"/>
        </w:rPr>
        <w:t>9253</w:t>
      </w:r>
      <w:r>
        <w:rPr>
          <w:rFonts w:ascii="Times New Roman" w:hAnsi="Times New Roman"/>
          <w:sz w:val="24"/>
        </w:rPr>
        <w:t>.</w:t>
      </w:r>
    </w:p>
    <w:sectPr w:rsidR="00A41D56" w:rsidRPr="000F0230" w:rsidSect="00B2578E">
      <w:footerReference w:type="default" r:id="rId10"/>
      <w:pgSz w:w="11906" w:h="16838"/>
      <w:pgMar w:top="851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11" w:rsidRDefault="000C4F11">
      <w:r>
        <w:separator/>
      </w:r>
    </w:p>
  </w:endnote>
  <w:endnote w:type="continuationSeparator" w:id="0">
    <w:p w:rsidR="000C4F11" w:rsidRDefault="000C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1B" w:rsidRDefault="00835981">
    <w:pPr>
      <w:tabs>
        <w:tab w:val="center" w:pos="4513"/>
        <w:tab w:val="right" w:pos="9026"/>
      </w:tabs>
      <w:jc w:val="both"/>
      <w:rPr>
        <w:rStyle w:val="PageNumber"/>
      </w:rPr>
    </w:pPr>
    <w:r>
      <w:rPr>
        <w:rFonts w:ascii="CG Times (WN)" w:hAnsi="CG Times (WN)"/>
        <w:sz w:val="18"/>
      </w:rPr>
      <w:t xml:space="preserve">Last reviewed: </w:t>
    </w:r>
    <w:r w:rsidR="000A129C">
      <w:rPr>
        <w:rFonts w:ascii="CG Times (WN)" w:hAnsi="CG Times (WN)"/>
        <w:sz w:val="18"/>
      </w:rPr>
      <w:t>12</w:t>
    </w:r>
    <w:r w:rsidR="00C42AFC">
      <w:rPr>
        <w:rFonts w:ascii="CG Times (WN)" w:hAnsi="CG Times (WN)"/>
        <w:sz w:val="18"/>
      </w:rPr>
      <w:t xml:space="preserve"> June 2015</w:t>
    </w:r>
    <w:r w:rsidR="00DB691B">
      <w:rPr>
        <w:rFonts w:ascii="CG Times (WN)" w:hAnsi="CG Times (WN)"/>
        <w:sz w:val="18"/>
      </w:rPr>
      <w:tab/>
    </w:r>
    <w:r w:rsidR="00DB691B">
      <w:rPr>
        <w:rFonts w:ascii="CG Times (WN)" w:hAnsi="CG Times (WN)"/>
        <w:sz w:val="18"/>
      </w:rPr>
      <w:tab/>
      <w:t xml:space="preserve">Page </w:t>
    </w:r>
    <w:r w:rsidR="00DB691B">
      <w:rPr>
        <w:rFonts w:ascii="CG Times (WN)" w:hAnsi="CG Times (WN)"/>
        <w:sz w:val="18"/>
      </w:rPr>
      <w:fldChar w:fldCharType="begin"/>
    </w:r>
    <w:r w:rsidR="00DB691B">
      <w:rPr>
        <w:rFonts w:ascii="CG Times (WN)" w:hAnsi="CG Times (WN)"/>
        <w:sz w:val="18"/>
      </w:rPr>
      <w:instrText>page \* arabic</w:instrText>
    </w:r>
    <w:r w:rsidR="00DB691B">
      <w:rPr>
        <w:rFonts w:ascii="CG Times (WN)" w:hAnsi="CG Times (WN)"/>
        <w:sz w:val="18"/>
      </w:rPr>
      <w:fldChar w:fldCharType="separate"/>
    </w:r>
    <w:r w:rsidR="00B565F1">
      <w:rPr>
        <w:rFonts w:ascii="CG Times (WN)" w:hAnsi="CG Times (WN)"/>
        <w:noProof/>
        <w:sz w:val="18"/>
      </w:rPr>
      <w:t>2</w:t>
    </w:r>
    <w:r w:rsidR="00DB691B">
      <w:rPr>
        <w:rFonts w:ascii="CG Times (WN)" w:hAnsi="CG Times (WN)"/>
        <w:sz w:val="18"/>
      </w:rPr>
      <w:fldChar w:fldCharType="end"/>
    </w:r>
    <w:r w:rsidR="00DB691B">
      <w:rPr>
        <w:rFonts w:ascii="CG Times (WN)" w:hAnsi="CG Times (WN)"/>
        <w:sz w:val="18"/>
      </w:rPr>
      <w:t xml:space="preserve"> of </w:t>
    </w:r>
    <w:r w:rsidR="00DB691B">
      <w:rPr>
        <w:rStyle w:val="PageNumber"/>
      </w:rPr>
      <w:fldChar w:fldCharType="begin"/>
    </w:r>
    <w:r w:rsidR="00DB691B">
      <w:rPr>
        <w:rStyle w:val="PageNumber"/>
      </w:rPr>
      <w:instrText xml:space="preserve"> NUMPAGES </w:instrText>
    </w:r>
    <w:r w:rsidR="00DB691B">
      <w:rPr>
        <w:rStyle w:val="PageNumber"/>
      </w:rPr>
      <w:fldChar w:fldCharType="separate"/>
    </w:r>
    <w:r w:rsidR="00B565F1">
      <w:rPr>
        <w:rStyle w:val="PageNumber"/>
        <w:noProof/>
      </w:rPr>
      <w:t>2</w:t>
    </w:r>
    <w:r w:rsidR="00DB691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11" w:rsidRDefault="000C4F11">
      <w:r>
        <w:separator/>
      </w:r>
    </w:p>
  </w:footnote>
  <w:footnote w:type="continuationSeparator" w:id="0">
    <w:p w:rsidR="000C4F11" w:rsidRDefault="000C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E2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920211E"/>
    <w:multiLevelType w:val="multilevel"/>
    <w:tmpl w:val="33C8CB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 w15:restartNumberingAfterBreak="0">
    <w:nsid w:val="2F771C20"/>
    <w:multiLevelType w:val="hybridMultilevel"/>
    <w:tmpl w:val="7AA6977E"/>
    <w:lvl w:ilvl="0" w:tplc="CEBA6C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0"/>
        <w:szCs w:val="20"/>
      </w:rPr>
    </w:lvl>
    <w:lvl w:ilvl="1" w:tplc="95A6A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E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27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8B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FE6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68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01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FA7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58A4"/>
    <w:multiLevelType w:val="hybridMultilevel"/>
    <w:tmpl w:val="5B6462D2"/>
    <w:lvl w:ilvl="0" w:tplc="6D8636D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A184D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CCD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30B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0F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02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06D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26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63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250C2"/>
    <w:multiLevelType w:val="multilevel"/>
    <w:tmpl w:val="B7F01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3.1."/>
      <w:lvlJc w:val="left"/>
      <w:pPr>
        <w:tabs>
          <w:tab w:val="num" w:pos="1843"/>
        </w:tabs>
        <w:ind w:left="1843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1465902"/>
    <w:multiLevelType w:val="hybridMultilevel"/>
    <w:tmpl w:val="B1407510"/>
    <w:lvl w:ilvl="0" w:tplc="E0FCE088">
      <w:start w:val="1"/>
      <w:numFmt w:val="decimal"/>
      <w:lvlText w:val="4.1.%1"/>
      <w:lvlJc w:val="left"/>
      <w:pPr>
        <w:ind w:left="16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7C7D"/>
    <w:multiLevelType w:val="multilevel"/>
    <w:tmpl w:val="8FCE4B36"/>
    <w:styleLink w:val="Style1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1.1"/>
      <w:lvlJc w:val="left"/>
      <w:pPr>
        <w:tabs>
          <w:tab w:val="num" w:pos="1986"/>
        </w:tabs>
        <w:ind w:left="1986" w:hanging="709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45DA7620"/>
    <w:multiLevelType w:val="multilevel"/>
    <w:tmpl w:val="33C8CB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 w15:restartNumberingAfterBreak="0">
    <w:nsid w:val="4EF8479D"/>
    <w:multiLevelType w:val="multilevel"/>
    <w:tmpl w:val="5B6462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6E7BFF"/>
    <w:multiLevelType w:val="multilevel"/>
    <w:tmpl w:val="5B6462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D07942"/>
    <w:multiLevelType w:val="multilevel"/>
    <w:tmpl w:val="6C14C1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4"/>
      </w:rPr>
    </w:lvl>
  </w:abstractNum>
  <w:abstractNum w:abstractNumId="11" w15:restartNumberingAfterBreak="0">
    <w:nsid w:val="56123F6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FA2506"/>
    <w:multiLevelType w:val="multilevel"/>
    <w:tmpl w:val="8FCE4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1.1"/>
      <w:lvlJc w:val="left"/>
      <w:pPr>
        <w:tabs>
          <w:tab w:val="num" w:pos="1986"/>
        </w:tabs>
        <w:ind w:left="1986" w:hanging="709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AEA1377"/>
    <w:multiLevelType w:val="multilevel"/>
    <w:tmpl w:val="8FCE4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1.1"/>
      <w:lvlJc w:val="left"/>
      <w:pPr>
        <w:tabs>
          <w:tab w:val="num" w:pos="1986"/>
        </w:tabs>
        <w:ind w:left="1986" w:hanging="709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BF81258"/>
    <w:multiLevelType w:val="multilevel"/>
    <w:tmpl w:val="8FCE4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1.1"/>
      <w:lvlJc w:val="left"/>
      <w:pPr>
        <w:tabs>
          <w:tab w:val="num" w:pos="1986"/>
        </w:tabs>
        <w:ind w:left="1986" w:hanging="709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30A4325"/>
    <w:multiLevelType w:val="multilevel"/>
    <w:tmpl w:val="F68CF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.1.1"/>
      <w:lvlJc w:val="left"/>
      <w:pPr>
        <w:tabs>
          <w:tab w:val="num" w:pos="1986"/>
        </w:tabs>
        <w:ind w:left="1986" w:hanging="709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686832E4"/>
    <w:multiLevelType w:val="multilevel"/>
    <w:tmpl w:val="F68CF2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.1.1"/>
      <w:lvlJc w:val="left"/>
      <w:pPr>
        <w:tabs>
          <w:tab w:val="num" w:pos="1986"/>
        </w:tabs>
        <w:ind w:left="1986" w:hanging="709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BC3728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89607F"/>
    <w:multiLevelType w:val="multilevel"/>
    <w:tmpl w:val="33C8CB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9" w15:restartNumberingAfterBreak="0">
    <w:nsid w:val="79CA1751"/>
    <w:multiLevelType w:val="multilevel"/>
    <w:tmpl w:val="BBF675AC"/>
    <w:lvl w:ilvl="0">
      <w:start w:val="4"/>
      <w:numFmt w:val="decimal"/>
      <w:lvlText w:val="%1.1.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3.1.1"/>
      <w:lvlJc w:val="left"/>
      <w:pPr>
        <w:tabs>
          <w:tab w:val="num" w:pos="1986"/>
        </w:tabs>
        <w:ind w:left="1986" w:hanging="709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C411C8E"/>
    <w:multiLevelType w:val="singleLevel"/>
    <w:tmpl w:val="E0FCE088"/>
    <w:lvl w:ilvl="0">
      <w:start w:val="1"/>
      <w:numFmt w:val="decimal"/>
      <w:lvlText w:val="4.1.%1"/>
      <w:lvlJc w:val="left"/>
      <w:pPr>
        <w:tabs>
          <w:tab w:val="num" w:pos="1986"/>
        </w:tabs>
        <w:ind w:left="1986" w:hanging="709"/>
      </w:pPr>
      <w:rPr>
        <w:rFonts w:hint="default"/>
        <w:b/>
        <w:i w:val="0"/>
        <w:sz w:val="24"/>
        <w:szCs w:val="24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7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6"/>
  </w:num>
  <w:num w:numId="18">
    <w:abstractNumId w:val="10"/>
  </w:num>
  <w:num w:numId="19">
    <w:abstractNumId w:val="18"/>
  </w:num>
  <w:num w:numId="20">
    <w:abstractNumId w:val="20"/>
    <w:lvlOverride w:ilvl="0">
      <w:startOverride w:val="1"/>
    </w:lvlOverride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10"/>
    <w:rsid w:val="00013C39"/>
    <w:rsid w:val="00024E67"/>
    <w:rsid w:val="0003662A"/>
    <w:rsid w:val="00042DBB"/>
    <w:rsid w:val="00043F2F"/>
    <w:rsid w:val="00045A7B"/>
    <w:rsid w:val="00071210"/>
    <w:rsid w:val="00075362"/>
    <w:rsid w:val="00097BDC"/>
    <w:rsid w:val="000A129C"/>
    <w:rsid w:val="000B223D"/>
    <w:rsid w:val="000C4F11"/>
    <w:rsid w:val="000E73C4"/>
    <w:rsid w:val="000F0230"/>
    <w:rsid w:val="000F5669"/>
    <w:rsid w:val="00111EAF"/>
    <w:rsid w:val="001405E2"/>
    <w:rsid w:val="00142DBE"/>
    <w:rsid w:val="001714F7"/>
    <w:rsid w:val="00171841"/>
    <w:rsid w:val="0018713D"/>
    <w:rsid w:val="001913E1"/>
    <w:rsid w:val="001B2331"/>
    <w:rsid w:val="001B7297"/>
    <w:rsid w:val="001D7ED6"/>
    <w:rsid w:val="001E78D5"/>
    <w:rsid w:val="001E7E29"/>
    <w:rsid w:val="001F001B"/>
    <w:rsid w:val="001F6908"/>
    <w:rsid w:val="00203125"/>
    <w:rsid w:val="002465F0"/>
    <w:rsid w:val="00253BD6"/>
    <w:rsid w:val="002677DA"/>
    <w:rsid w:val="00295A8B"/>
    <w:rsid w:val="002B478E"/>
    <w:rsid w:val="002C5AE2"/>
    <w:rsid w:val="002C6F86"/>
    <w:rsid w:val="002F2144"/>
    <w:rsid w:val="0030513D"/>
    <w:rsid w:val="00311493"/>
    <w:rsid w:val="00350119"/>
    <w:rsid w:val="00366652"/>
    <w:rsid w:val="00373724"/>
    <w:rsid w:val="003B453D"/>
    <w:rsid w:val="003C4A3A"/>
    <w:rsid w:val="003D0A56"/>
    <w:rsid w:val="003E5987"/>
    <w:rsid w:val="003F35E5"/>
    <w:rsid w:val="003F4DF6"/>
    <w:rsid w:val="00461348"/>
    <w:rsid w:val="00461674"/>
    <w:rsid w:val="004A440B"/>
    <w:rsid w:val="00543831"/>
    <w:rsid w:val="00556492"/>
    <w:rsid w:val="0057677A"/>
    <w:rsid w:val="005773EF"/>
    <w:rsid w:val="005B046C"/>
    <w:rsid w:val="005B39AB"/>
    <w:rsid w:val="005D68ED"/>
    <w:rsid w:val="005E7E23"/>
    <w:rsid w:val="005F177D"/>
    <w:rsid w:val="005F2F8B"/>
    <w:rsid w:val="0062303A"/>
    <w:rsid w:val="00651967"/>
    <w:rsid w:val="006C4B34"/>
    <w:rsid w:val="00713E60"/>
    <w:rsid w:val="007314CA"/>
    <w:rsid w:val="00733D38"/>
    <w:rsid w:val="00735229"/>
    <w:rsid w:val="00740813"/>
    <w:rsid w:val="00740C52"/>
    <w:rsid w:val="00756803"/>
    <w:rsid w:val="00782C66"/>
    <w:rsid w:val="007C511D"/>
    <w:rsid w:val="007D1DB0"/>
    <w:rsid w:val="007F00A3"/>
    <w:rsid w:val="007F293F"/>
    <w:rsid w:val="00814CF6"/>
    <w:rsid w:val="0082645C"/>
    <w:rsid w:val="00835981"/>
    <w:rsid w:val="008377CD"/>
    <w:rsid w:val="0084028B"/>
    <w:rsid w:val="00843949"/>
    <w:rsid w:val="00843B6E"/>
    <w:rsid w:val="008601FC"/>
    <w:rsid w:val="00875DFF"/>
    <w:rsid w:val="008B16CB"/>
    <w:rsid w:val="008B4276"/>
    <w:rsid w:val="008C124E"/>
    <w:rsid w:val="008C3DD5"/>
    <w:rsid w:val="008E2CE9"/>
    <w:rsid w:val="008F33E2"/>
    <w:rsid w:val="00945F7C"/>
    <w:rsid w:val="00946D82"/>
    <w:rsid w:val="00996409"/>
    <w:rsid w:val="00996EE4"/>
    <w:rsid w:val="009A311D"/>
    <w:rsid w:val="009E696A"/>
    <w:rsid w:val="009E79D3"/>
    <w:rsid w:val="00A00DF9"/>
    <w:rsid w:val="00A2083F"/>
    <w:rsid w:val="00A41D56"/>
    <w:rsid w:val="00A64947"/>
    <w:rsid w:val="00AC108D"/>
    <w:rsid w:val="00AD198F"/>
    <w:rsid w:val="00B045A6"/>
    <w:rsid w:val="00B11AE3"/>
    <w:rsid w:val="00B2182A"/>
    <w:rsid w:val="00B2578E"/>
    <w:rsid w:val="00B565F1"/>
    <w:rsid w:val="00B6439B"/>
    <w:rsid w:val="00B6795F"/>
    <w:rsid w:val="00BB2B12"/>
    <w:rsid w:val="00BB6338"/>
    <w:rsid w:val="00C061B4"/>
    <w:rsid w:val="00C25B2F"/>
    <w:rsid w:val="00C363BD"/>
    <w:rsid w:val="00C40231"/>
    <w:rsid w:val="00C419FA"/>
    <w:rsid w:val="00C42AFC"/>
    <w:rsid w:val="00C4382A"/>
    <w:rsid w:val="00C51F5E"/>
    <w:rsid w:val="00C703E9"/>
    <w:rsid w:val="00C957B3"/>
    <w:rsid w:val="00CB26EE"/>
    <w:rsid w:val="00CC6BE7"/>
    <w:rsid w:val="00CE3D9B"/>
    <w:rsid w:val="00CE7F70"/>
    <w:rsid w:val="00D224B5"/>
    <w:rsid w:val="00D5379A"/>
    <w:rsid w:val="00D57E79"/>
    <w:rsid w:val="00D6723A"/>
    <w:rsid w:val="00D871AC"/>
    <w:rsid w:val="00DA2CED"/>
    <w:rsid w:val="00DA5CC3"/>
    <w:rsid w:val="00DA61BB"/>
    <w:rsid w:val="00DB691B"/>
    <w:rsid w:val="00E11CDC"/>
    <w:rsid w:val="00E27DFF"/>
    <w:rsid w:val="00E70EB9"/>
    <w:rsid w:val="00E778D9"/>
    <w:rsid w:val="00E85ADE"/>
    <w:rsid w:val="00E85F96"/>
    <w:rsid w:val="00E945B4"/>
    <w:rsid w:val="00EA02F7"/>
    <w:rsid w:val="00EC29B3"/>
    <w:rsid w:val="00EC2B3D"/>
    <w:rsid w:val="00EC3319"/>
    <w:rsid w:val="00ED3465"/>
    <w:rsid w:val="00EF0533"/>
    <w:rsid w:val="00EF4182"/>
    <w:rsid w:val="00F34182"/>
    <w:rsid w:val="00F637A6"/>
    <w:rsid w:val="00F94B67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99EBFC4-B33D-4CF3-9A55-D8900BB5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50"/>
      </w:tabs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pPr>
      <w:tabs>
        <w:tab w:val="left" w:pos="0"/>
        <w:tab w:val="left" w:pos="567"/>
      </w:tabs>
    </w:pPr>
    <w:rPr>
      <w:rFonts w:ascii="sans-serif" w:hAnsi="sans-serif"/>
      <w:sz w:val="24"/>
    </w:rPr>
  </w:style>
  <w:style w:type="paragraph" w:styleId="ListParagraph">
    <w:name w:val="List Paragraph"/>
    <w:basedOn w:val="Normal"/>
    <w:uiPriority w:val="34"/>
    <w:qFormat/>
    <w:rsid w:val="0018713D"/>
    <w:pPr>
      <w:ind w:left="720"/>
    </w:pPr>
  </w:style>
  <w:style w:type="character" w:styleId="Hyperlink">
    <w:name w:val="Hyperlink"/>
    <w:rsid w:val="0018713D"/>
    <w:rPr>
      <w:color w:val="0000FF"/>
      <w:u w:val="single"/>
    </w:rPr>
  </w:style>
  <w:style w:type="character" w:styleId="FollowedHyperlink">
    <w:name w:val="FollowedHyperlink"/>
    <w:rsid w:val="0018713D"/>
    <w:rPr>
      <w:color w:val="800080"/>
      <w:u w:val="single"/>
    </w:rPr>
  </w:style>
  <w:style w:type="paragraph" w:styleId="Revision">
    <w:name w:val="Revision"/>
    <w:hidden/>
    <w:uiPriority w:val="99"/>
    <w:semiHidden/>
    <w:rsid w:val="00EC29B3"/>
    <w:rPr>
      <w:rFonts w:ascii="Courier" w:hAnsi="Courier"/>
      <w:lang w:eastAsia="en-US"/>
    </w:rPr>
  </w:style>
  <w:style w:type="numbering" w:customStyle="1" w:styleId="Style1">
    <w:name w:val="Style1"/>
    <w:rsid w:val="00AD198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sip.qld.gov.au/people-communities/regional-cont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tsima.govnet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BFE2-150B-4022-AC59-3EEF2CC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80A6EFCD</Template>
  <TotalTime>0</TotalTime>
  <Pages>2</Pages>
  <Words>630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Premier and Cabinet</vt:lpstr>
    </vt:vector>
  </TitlesOfParts>
  <Company>DPC-DSD</Company>
  <LinksUpToDate>false</LinksUpToDate>
  <CharactersWithSpaces>4493</CharactersWithSpaces>
  <SharedDoc>false</SharedDoc>
  <HLinks>
    <vt:vector size="12" baseType="variant"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http://datsima.govnet.qld.gov.au/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http://www.datsip.qld.gov.au/people-communities/regional-contacts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Premier and Cabinet</dc:title>
  <dc:subject/>
  <dc:creator>David Russo</dc:creator>
  <cp:keywords/>
  <cp:lastModifiedBy>Kate Marsh</cp:lastModifiedBy>
  <cp:revision>2</cp:revision>
  <cp:lastPrinted>2015-05-29T05:36:00Z</cp:lastPrinted>
  <dcterms:created xsi:type="dcterms:W3CDTF">2019-06-30T21:42:00Z</dcterms:created>
  <dcterms:modified xsi:type="dcterms:W3CDTF">2019-06-30T21:42:00Z</dcterms:modified>
</cp:coreProperties>
</file>