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color w:val="347B9F"/>
          <w:sz w:val="24"/>
          <w:szCs w:val="24"/>
        </w:rPr>
        <w:id w:val="-934660533"/>
        <w:docPartObj>
          <w:docPartGallery w:val="Cover Pages"/>
          <w:docPartUnique/>
        </w:docPartObj>
      </w:sdtPr>
      <w:sdtEndPr/>
      <w:sdtContent>
        <w:p w:rsidR="00EE63B5" w:rsidRDefault="00EE63B5">
          <w:pPr>
            <w:rPr>
              <w:rFonts w:cs="Arial"/>
              <w:b/>
              <w:sz w:val="24"/>
              <w:szCs w:val="24"/>
            </w:rPr>
          </w:pPr>
        </w:p>
        <w:p w:rsidR="00EE63B5" w:rsidRDefault="00C705CC">
          <w:pPr>
            <w:rPr>
              <w:rFonts w:cs="Arial"/>
              <w:b/>
              <w:sz w:val="24"/>
              <w:szCs w:val="24"/>
            </w:rPr>
          </w:pPr>
          <w:r>
            <w:rPr>
              <w:rFonts w:cs="Arial"/>
              <w:b/>
              <w:noProof/>
              <w:sz w:val="24"/>
              <w:szCs w:val="24"/>
            </w:rPr>
            <w:drawing>
              <wp:anchor distT="0" distB="0" distL="114300" distR="114300" simplePos="0" relativeHeight="251660288" behindDoc="1" locked="0" layoutInCell="1" allowOverlap="1">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4C0311" w:rsidRDefault="004C0311" w:rsidP="004C0311">
          <w:pPr>
            <w:rPr>
              <w:rFonts w:cs="Arial"/>
              <w:b/>
              <w:sz w:val="24"/>
              <w:szCs w:val="24"/>
            </w:rPr>
          </w:pPr>
        </w:p>
        <w:p w:rsidR="004C0311" w:rsidRPr="00583C1B" w:rsidRDefault="004C0311" w:rsidP="004C0311">
          <w:pPr>
            <w:pStyle w:val="Heading1"/>
            <w:ind w:left="1440"/>
            <w:rPr>
              <w:b/>
              <w:color w:val="373D41"/>
              <w:sz w:val="48"/>
              <w:szCs w:val="48"/>
            </w:rPr>
          </w:pPr>
        </w:p>
        <w:p w:rsidR="00583C1B" w:rsidRPr="00583C1B" w:rsidRDefault="00C41E0B" w:rsidP="004C0311">
          <w:pPr>
            <w:pStyle w:val="Heading1"/>
            <w:ind w:left="1440"/>
          </w:pPr>
          <w:bookmarkStart w:id="0" w:name="_Toc50122374"/>
          <w:r>
            <w:rPr>
              <w:b/>
              <w:color w:val="373D41"/>
              <w:sz w:val="48"/>
              <w:szCs w:val="48"/>
            </w:rPr>
            <w:t>Policy on policies</w:t>
          </w:r>
          <w:bookmarkEnd w:id="0"/>
        </w:p>
        <w:p w:rsidR="00583C1B" w:rsidRDefault="00583C1B" w:rsidP="00583C1B">
          <w:pPr>
            <w:pStyle w:val="Heading1"/>
            <w:ind w:left="1440"/>
          </w:pPr>
          <w:bookmarkStart w:id="1" w:name="_Toc8285930"/>
          <w:bookmarkStart w:id="2" w:name="_Toc14702240"/>
          <w:bookmarkStart w:id="3" w:name="_Toc40798731"/>
          <w:bookmarkStart w:id="4" w:name="_Toc50122375"/>
          <w:r w:rsidRPr="0082693E">
            <w:rPr>
              <w:i/>
              <w:noProof/>
              <w:color w:val="373D41"/>
              <w:sz w:val="60"/>
              <w:szCs w:val="60"/>
            </w:rPr>
            <w:drawing>
              <wp:anchor distT="0" distB="0" distL="114300" distR="114300" simplePos="0" relativeHeight="251659264" behindDoc="0" locked="0" layoutInCell="1" allowOverlap="1" wp14:anchorId="4C78AFB7" wp14:editId="4CF9EEE6">
                <wp:simplePos x="0" y="0"/>
                <wp:positionH relativeFrom="leftMargin">
                  <wp:posOffset>-5028565</wp:posOffset>
                </wp:positionH>
                <wp:positionV relativeFrom="margin">
                  <wp:posOffset>4338320</wp:posOffset>
                </wp:positionV>
                <wp:extent cx="10733405" cy="651510"/>
                <wp:effectExtent l="0" t="7302" r="3492" b="349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33405" cy="65151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r w:rsidR="00C41E0B">
            <w:t>September 2020</w:t>
          </w:r>
          <w:bookmarkEnd w:id="4"/>
        </w:p>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Pr="009F7A60" w:rsidRDefault="009F7A60" w:rsidP="009F7A60">
          <w:r>
            <w:tab/>
          </w:r>
          <w:r>
            <w:tab/>
          </w:r>
        </w:p>
        <w:tbl>
          <w:tblPr>
            <w:tblStyle w:val="ListTable3-Accent5"/>
            <w:tblpPr w:leftFromText="180" w:rightFromText="180" w:vertAnchor="text" w:horzAnchor="page" w:tblpX="2658" w:tblpY="2401"/>
            <w:tblW w:w="0" w:type="auto"/>
            <w:tblBorders>
              <w:left w:val="none" w:sz="0" w:space="0" w:color="auto"/>
              <w:bottom w:val="single" w:sz="6" w:space="0" w:color="347B9F"/>
              <w:right w:val="none" w:sz="0" w:space="0" w:color="auto"/>
            </w:tblBorders>
            <w:tblLook w:val="04A0" w:firstRow="1" w:lastRow="0" w:firstColumn="1" w:lastColumn="0" w:noHBand="0" w:noVBand="1"/>
          </w:tblPr>
          <w:tblGrid>
            <w:gridCol w:w="3685"/>
          </w:tblGrid>
          <w:tr w:rsidR="009F7A60" w:rsidTr="00F44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rsidR="009F7A60" w:rsidRPr="0092563E" w:rsidRDefault="009F7A60" w:rsidP="00F44553">
                <w:pPr>
                  <w:rPr>
                    <w:rFonts w:cs="Arial"/>
                    <w:b w:val="0"/>
                    <w:sz w:val="24"/>
                    <w:szCs w:val="24"/>
                  </w:rPr>
                </w:pPr>
                <w:r w:rsidRPr="0092563E">
                  <w:rPr>
                    <w:rFonts w:cs="Arial"/>
                    <w:b w:val="0"/>
                    <w:sz w:val="24"/>
                    <w:szCs w:val="24"/>
                  </w:rPr>
                  <w:t xml:space="preserve">Approved </w:t>
                </w:r>
              </w:p>
            </w:tc>
          </w:tr>
          <w:tr w:rsidR="009F7A60" w:rsidTr="00F44553">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bottom w:val="none" w:sz="0" w:space="0" w:color="auto"/>
                  <w:right w:val="none" w:sz="0" w:space="0" w:color="auto"/>
                </w:tcBorders>
              </w:tcPr>
              <w:p w:rsidR="009F7A60" w:rsidRPr="0092563E" w:rsidRDefault="009F7A60" w:rsidP="00F44553">
                <w:pPr>
                  <w:rPr>
                    <w:rFonts w:cs="Arial"/>
                    <w:b w:val="0"/>
                    <w:sz w:val="24"/>
                    <w:szCs w:val="24"/>
                  </w:rPr>
                </w:pPr>
              </w:p>
              <w:p w:rsidR="009F7A60" w:rsidRPr="0092563E" w:rsidRDefault="0092563E" w:rsidP="00F44553">
                <w:pPr>
                  <w:rPr>
                    <w:rFonts w:cs="Arial"/>
                    <w:b w:val="0"/>
                    <w:sz w:val="24"/>
                    <w:szCs w:val="24"/>
                  </w:rPr>
                </w:pPr>
                <w:r>
                  <w:rPr>
                    <w:rFonts w:cs="Arial"/>
                    <w:b w:val="0"/>
                    <w:noProof/>
                    <w:sz w:val="24"/>
                    <w:szCs w:val="24"/>
                  </w:rPr>
                  <w:drawing>
                    <wp:inline distT="0" distB="0" distL="0" distR="0">
                      <wp:extent cx="1181100" cy="4750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SM.png"/>
                              <pic:cNvPicPr/>
                            </pic:nvPicPr>
                            <pic:blipFill>
                              <a:blip r:embed="rId10">
                                <a:extLst>
                                  <a:ext uri="{28A0092B-C50C-407E-A947-70E740481C1C}">
                                    <a14:useLocalDpi xmlns:a14="http://schemas.microsoft.com/office/drawing/2010/main" val="0"/>
                                  </a:ext>
                                </a:extLst>
                              </a:blip>
                              <a:stretch>
                                <a:fillRect/>
                              </a:stretch>
                            </pic:blipFill>
                            <pic:spPr>
                              <a:xfrm>
                                <a:off x="0" y="0"/>
                                <a:ext cx="1185588" cy="476860"/>
                              </a:xfrm>
                              <a:prstGeom prst="rect">
                                <a:avLst/>
                              </a:prstGeom>
                            </pic:spPr>
                          </pic:pic>
                        </a:graphicData>
                      </a:graphic>
                    </wp:inline>
                  </w:drawing>
                </w:r>
              </w:p>
            </w:tc>
          </w:tr>
          <w:tr w:rsidR="009F7A60" w:rsidTr="00F44553">
            <w:trPr>
              <w:trHeight w:val="848"/>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rsidR="009F7A60" w:rsidRPr="0092563E" w:rsidRDefault="009F7A60" w:rsidP="00F44553">
                <w:pPr>
                  <w:rPr>
                    <w:rFonts w:cs="Arial"/>
                    <w:b w:val="0"/>
                    <w:sz w:val="24"/>
                    <w:szCs w:val="24"/>
                  </w:rPr>
                </w:pPr>
                <w:r w:rsidRPr="0092563E">
                  <w:rPr>
                    <w:rFonts w:cs="Arial"/>
                    <w:b w:val="0"/>
                    <w:sz w:val="24"/>
                    <w:szCs w:val="24"/>
                  </w:rPr>
                  <w:t>Scott McDougall</w:t>
                </w:r>
              </w:p>
              <w:p w:rsidR="009F7A60" w:rsidRPr="0092563E" w:rsidRDefault="009F7A60" w:rsidP="00F44553">
                <w:pPr>
                  <w:rPr>
                    <w:rFonts w:cs="Arial"/>
                    <w:b w:val="0"/>
                    <w:sz w:val="24"/>
                    <w:szCs w:val="24"/>
                  </w:rPr>
                </w:pPr>
                <w:r w:rsidRPr="0092563E">
                  <w:rPr>
                    <w:rFonts w:cs="Arial"/>
                    <w:b w:val="0"/>
                    <w:sz w:val="24"/>
                    <w:szCs w:val="24"/>
                  </w:rPr>
                  <w:t xml:space="preserve">Commissioner </w:t>
                </w:r>
              </w:p>
              <w:p w:rsidR="009F7A60" w:rsidRPr="0092563E" w:rsidRDefault="0092563E" w:rsidP="009F7A60">
                <w:pPr>
                  <w:rPr>
                    <w:rFonts w:cs="Arial"/>
                    <w:b w:val="0"/>
                    <w:sz w:val="24"/>
                    <w:szCs w:val="24"/>
                  </w:rPr>
                </w:pPr>
                <w:r w:rsidRPr="0092563E">
                  <w:rPr>
                    <w:rFonts w:cs="Arial"/>
                    <w:b w:val="0"/>
                    <w:sz w:val="24"/>
                    <w:szCs w:val="24"/>
                  </w:rPr>
                  <w:t>5 November 2020</w:t>
                </w:r>
              </w:p>
            </w:tc>
          </w:tr>
        </w:tbl>
        <w:p w:rsidR="009F7A60" w:rsidRDefault="009F7A60" w:rsidP="009F7A60">
          <w:pPr>
            <w:rPr>
              <w:rFonts w:cs="Arial"/>
              <w:b/>
              <w:sz w:val="24"/>
              <w:szCs w:val="24"/>
            </w:rPr>
          </w:pPr>
          <w:r>
            <w:rPr>
              <w:rFonts w:cs="Arial"/>
              <w:b/>
              <w:sz w:val="24"/>
              <w:szCs w:val="24"/>
            </w:rPr>
            <w:br w:type="page"/>
          </w:r>
        </w:p>
        <w:p w:rsidR="00583C1B" w:rsidRDefault="00583C1B" w:rsidP="00583C1B"/>
        <w:p w:rsidR="009F7A60" w:rsidRPr="00FC04E2" w:rsidRDefault="009F7A60" w:rsidP="009F7A60">
          <w:pPr>
            <w:pStyle w:val="Heading1"/>
          </w:pPr>
          <w:bookmarkStart w:id="5" w:name="_Toc14702241"/>
          <w:bookmarkStart w:id="6" w:name="_Toc50122376"/>
          <w:r w:rsidRPr="00FC04E2">
            <w:t>Table of Contents</w:t>
          </w:r>
          <w:bookmarkEnd w:id="5"/>
          <w:bookmarkEnd w:id="6"/>
        </w:p>
        <w:p w:rsidR="009F7A60" w:rsidRDefault="009F7A60" w:rsidP="009F7A60">
          <w:pPr>
            <w:tabs>
              <w:tab w:val="right" w:leader="dot" w:pos="9072"/>
              <w:tab w:val="right" w:leader="dot" w:pos="9639"/>
            </w:tabs>
            <w:spacing w:after="120"/>
            <w:rPr>
              <w:rFonts w:cs="Arial"/>
              <w:sz w:val="22"/>
              <w:szCs w:val="22"/>
            </w:rPr>
          </w:pPr>
        </w:p>
        <w:p w:rsidR="005416B7" w:rsidRDefault="009F7A60">
          <w:pPr>
            <w:pStyle w:val="TOC1"/>
            <w:rPr>
              <w:rFonts w:asciiTheme="minorHAnsi" w:eastAsiaTheme="minorEastAsia" w:hAnsiTheme="minorHAnsi" w:cstheme="minorBidi"/>
              <w:bCs w:val="0"/>
              <w:color w:val="auto"/>
              <w:szCs w:val="22"/>
            </w:rPr>
          </w:pPr>
          <w:r w:rsidRPr="00D56FAA">
            <w:rPr>
              <w:rFonts w:cs="Arial"/>
              <w:szCs w:val="22"/>
            </w:rPr>
            <w:fldChar w:fldCharType="begin"/>
          </w:r>
          <w:r w:rsidRPr="00D56FAA">
            <w:rPr>
              <w:rFonts w:cs="Arial"/>
              <w:szCs w:val="22"/>
            </w:rPr>
            <w:instrText xml:space="preserve"> TOC \o "1-3" \h \z \u </w:instrText>
          </w:r>
          <w:r w:rsidRPr="00D56FAA">
            <w:rPr>
              <w:rFonts w:cs="Arial"/>
              <w:szCs w:val="22"/>
            </w:rPr>
            <w:fldChar w:fldCharType="separate"/>
          </w:r>
          <w:hyperlink w:anchor="_Toc50122377" w:history="1">
            <w:r w:rsidR="005416B7" w:rsidRPr="00DB3A54">
              <w:rPr>
                <w:rStyle w:val="Hyperlink"/>
              </w:rPr>
              <w:t>Purpose</w:t>
            </w:r>
            <w:r w:rsidR="005416B7">
              <w:rPr>
                <w:webHidden/>
              </w:rPr>
              <w:tab/>
            </w:r>
            <w:r w:rsidR="005416B7">
              <w:rPr>
                <w:webHidden/>
              </w:rPr>
              <w:fldChar w:fldCharType="begin"/>
            </w:r>
            <w:r w:rsidR="005416B7">
              <w:rPr>
                <w:webHidden/>
              </w:rPr>
              <w:instrText xml:space="preserve"> PAGEREF _Toc50122377 \h </w:instrText>
            </w:r>
            <w:r w:rsidR="005416B7">
              <w:rPr>
                <w:webHidden/>
              </w:rPr>
            </w:r>
            <w:r w:rsidR="005416B7">
              <w:rPr>
                <w:webHidden/>
              </w:rPr>
              <w:fldChar w:fldCharType="separate"/>
            </w:r>
            <w:r w:rsidR="005416B7">
              <w:rPr>
                <w:webHidden/>
              </w:rPr>
              <w:t>3</w:t>
            </w:r>
            <w:r w:rsidR="005416B7">
              <w:rPr>
                <w:webHidden/>
              </w:rPr>
              <w:fldChar w:fldCharType="end"/>
            </w:r>
          </w:hyperlink>
        </w:p>
        <w:p w:rsidR="005416B7" w:rsidRDefault="0092563E">
          <w:pPr>
            <w:pStyle w:val="TOC1"/>
            <w:rPr>
              <w:rFonts w:asciiTheme="minorHAnsi" w:eastAsiaTheme="minorEastAsia" w:hAnsiTheme="minorHAnsi" w:cstheme="minorBidi"/>
              <w:bCs w:val="0"/>
              <w:color w:val="auto"/>
              <w:szCs w:val="22"/>
            </w:rPr>
          </w:pPr>
          <w:hyperlink w:anchor="_Toc50122378" w:history="1">
            <w:r w:rsidR="005416B7" w:rsidRPr="00DB3A54">
              <w:rPr>
                <w:rStyle w:val="Hyperlink"/>
              </w:rPr>
              <w:t>Principles</w:t>
            </w:r>
            <w:r w:rsidR="005416B7">
              <w:rPr>
                <w:webHidden/>
              </w:rPr>
              <w:tab/>
            </w:r>
            <w:r w:rsidR="005416B7">
              <w:rPr>
                <w:webHidden/>
              </w:rPr>
              <w:fldChar w:fldCharType="begin"/>
            </w:r>
            <w:r w:rsidR="005416B7">
              <w:rPr>
                <w:webHidden/>
              </w:rPr>
              <w:instrText xml:space="preserve"> PAGEREF _Toc50122378 \h </w:instrText>
            </w:r>
            <w:r w:rsidR="005416B7">
              <w:rPr>
                <w:webHidden/>
              </w:rPr>
            </w:r>
            <w:r w:rsidR="005416B7">
              <w:rPr>
                <w:webHidden/>
              </w:rPr>
              <w:fldChar w:fldCharType="separate"/>
            </w:r>
            <w:r w:rsidR="005416B7">
              <w:rPr>
                <w:webHidden/>
              </w:rPr>
              <w:t>3</w:t>
            </w:r>
            <w:r w:rsidR="005416B7">
              <w:rPr>
                <w:webHidden/>
              </w:rPr>
              <w:fldChar w:fldCharType="end"/>
            </w:r>
          </w:hyperlink>
        </w:p>
        <w:p w:rsidR="005416B7" w:rsidRDefault="0092563E">
          <w:pPr>
            <w:pStyle w:val="TOC1"/>
            <w:rPr>
              <w:rFonts w:asciiTheme="minorHAnsi" w:eastAsiaTheme="minorEastAsia" w:hAnsiTheme="minorHAnsi" w:cstheme="minorBidi"/>
              <w:bCs w:val="0"/>
              <w:color w:val="auto"/>
              <w:szCs w:val="22"/>
            </w:rPr>
          </w:pPr>
          <w:hyperlink w:anchor="_Toc50122379" w:history="1">
            <w:r w:rsidR="005416B7" w:rsidRPr="00DB3A54">
              <w:rPr>
                <w:rStyle w:val="Hyperlink"/>
              </w:rPr>
              <w:t>Policy hierarchy</w:t>
            </w:r>
            <w:r w:rsidR="005416B7">
              <w:rPr>
                <w:webHidden/>
              </w:rPr>
              <w:tab/>
            </w:r>
            <w:r w:rsidR="005416B7">
              <w:rPr>
                <w:webHidden/>
              </w:rPr>
              <w:fldChar w:fldCharType="begin"/>
            </w:r>
            <w:r w:rsidR="005416B7">
              <w:rPr>
                <w:webHidden/>
              </w:rPr>
              <w:instrText xml:space="preserve"> PAGEREF _Toc50122379 \h </w:instrText>
            </w:r>
            <w:r w:rsidR="005416B7">
              <w:rPr>
                <w:webHidden/>
              </w:rPr>
            </w:r>
            <w:r w:rsidR="005416B7">
              <w:rPr>
                <w:webHidden/>
              </w:rPr>
              <w:fldChar w:fldCharType="separate"/>
            </w:r>
            <w:r w:rsidR="005416B7">
              <w:rPr>
                <w:webHidden/>
              </w:rPr>
              <w:t>3</w:t>
            </w:r>
            <w:r w:rsidR="005416B7">
              <w:rPr>
                <w:webHidden/>
              </w:rPr>
              <w:fldChar w:fldCharType="end"/>
            </w:r>
          </w:hyperlink>
        </w:p>
        <w:p w:rsidR="005416B7" w:rsidRDefault="0092563E">
          <w:pPr>
            <w:pStyle w:val="TOC1"/>
            <w:rPr>
              <w:rFonts w:asciiTheme="minorHAnsi" w:eastAsiaTheme="minorEastAsia" w:hAnsiTheme="minorHAnsi" w:cstheme="minorBidi"/>
              <w:bCs w:val="0"/>
              <w:color w:val="auto"/>
              <w:szCs w:val="22"/>
            </w:rPr>
          </w:pPr>
          <w:hyperlink w:anchor="_Toc50122380" w:history="1">
            <w:r w:rsidR="005416B7" w:rsidRPr="00DB3A54">
              <w:rPr>
                <w:rStyle w:val="Hyperlink"/>
              </w:rPr>
              <w:t>Procedures and guidelines</w:t>
            </w:r>
            <w:r w:rsidR="005416B7">
              <w:rPr>
                <w:webHidden/>
              </w:rPr>
              <w:tab/>
            </w:r>
            <w:r w:rsidR="005416B7">
              <w:rPr>
                <w:webHidden/>
              </w:rPr>
              <w:fldChar w:fldCharType="begin"/>
            </w:r>
            <w:r w:rsidR="005416B7">
              <w:rPr>
                <w:webHidden/>
              </w:rPr>
              <w:instrText xml:space="preserve"> PAGEREF _Toc50122380 \h </w:instrText>
            </w:r>
            <w:r w:rsidR="005416B7">
              <w:rPr>
                <w:webHidden/>
              </w:rPr>
            </w:r>
            <w:r w:rsidR="005416B7">
              <w:rPr>
                <w:webHidden/>
              </w:rPr>
              <w:fldChar w:fldCharType="separate"/>
            </w:r>
            <w:r w:rsidR="005416B7">
              <w:rPr>
                <w:webHidden/>
              </w:rPr>
              <w:t>4</w:t>
            </w:r>
            <w:r w:rsidR="005416B7">
              <w:rPr>
                <w:webHidden/>
              </w:rPr>
              <w:fldChar w:fldCharType="end"/>
            </w:r>
          </w:hyperlink>
        </w:p>
        <w:p w:rsidR="005416B7" w:rsidRDefault="0092563E">
          <w:pPr>
            <w:pStyle w:val="TOC2"/>
            <w:tabs>
              <w:tab w:val="right" w:leader="dot" w:pos="9629"/>
            </w:tabs>
            <w:rPr>
              <w:rFonts w:asciiTheme="minorHAnsi" w:eastAsiaTheme="minorEastAsia" w:hAnsiTheme="minorHAnsi" w:cstheme="minorBidi"/>
              <w:bCs w:val="0"/>
              <w:noProof/>
              <w:szCs w:val="22"/>
            </w:rPr>
          </w:pPr>
          <w:hyperlink w:anchor="_Toc50122381" w:history="1">
            <w:r w:rsidR="005416B7" w:rsidRPr="00DB3A54">
              <w:rPr>
                <w:rStyle w:val="Hyperlink"/>
                <w:noProof/>
              </w:rPr>
              <w:t>Procedure – interpretation</w:t>
            </w:r>
            <w:r w:rsidR="005416B7">
              <w:rPr>
                <w:noProof/>
                <w:webHidden/>
              </w:rPr>
              <w:tab/>
            </w:r>
            <w:r w:rsidR="005416B7">
              <w:rPr>
                <w:noProof/>
                <w:webHidden/>
              </w:rPr>
              <w:fldChar w:fldCharType="begin"/>
            </w:r>
            <w:r w:rsidR="005416B7">
              <w:rPr>
                <w:noProof/>
                <w:webHidden/>
              </w:rPr>
              <w:instrText xml:space="preserve"> PAGEREF _Toc50122381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2" w:history="1">
            <w:r w:rsidR="005416B7" w:rsidRPr="00DB3A54">
              <w:rPr>
                <w:rStyle w:val="Hyperlink"/>
                <w:noProof/>
              </w:rPr>
              <w:t>File number</w:t>
            </w:r>
            <w:r w:rsidR="005416B7">
              <w:rPr>
                <w:noProof/>
                <w:webHidden/>
              </w:rPr>
              <w:tab/>
            </w:r>
            <w:r w:rsidR="005416B7">
              <w:rPr>
                <w:noProof/>
                <w:webHidden/>
              </w:rPr>
              <w:fldChar w:fldCharType="begin"/>
            </w:r>
            <w:r w:rsidR="005416B7">
              <w:rPr>
                <w:noProof/>
                <w:webHidden/>
              </w:rPr>
              <w:instrText xml:space="preserve"> PAGEREF _Toc50122382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3" w:history="1">
            <w:r w:rsidR="005416B7" w:rsidRPr="00DB3A54">
              <w:rPr>
                <w:rStyle w:val="Hyperlink"/>
                <w:noProof/>
              </w:rPr>
              <w:t>Responsible officer</w:t>
            </w:r>
            <w:r w:rsidR="005416B7">
              <w:rPr>
                <w:noProof/>
                <w:webHidden/>
              </w:rPr>
              <w:tab/>
            </w:r>
            <w:r w:rsidR="005416B7">
              <w:rPr>
                <w:noProof/>
                <w:webHidden/>
              </w:rPr>
              <w:fldChar w:fldCharType="begin"/>
            </w:r>
            <w:r w:rsidR="005416B7">
              <w:rPr>
                <w:noProof/>
                <w:webHidden/>
              </w:rPr>
              <w:instrText xml:space="preserve"> PAGEREF _Toc50122383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4" w:history="1">
            <w:r w:rsidR="005416B7" w:rsidRPr="00DB3A54">
              <w:rPr>
                <w:rStyle w:val="Hyperlink"/>
                <w:noProof/>
              </w:rPr>
              <w:t>Relevant legislation or prescription</w:t>
            </w:r>
            <w:r w:rsidR="005416B7">
              <w:rPr>
                <w:noProof/>
                <w:webHidden/>
              </w:rPr>
              <w:tab/>
            </w:r>
            <w:r w:rsidR="005416B7">
              <w:rPr>
                <w:noProof/>
                <w:webHidden/>
              </w:rPr>
              <w:fldChar w:fldCharType="begin"/>
            </w:r>
            <w:r w:rsidR="005416B7">
              <w:rPr>
                <w:noProof/>
                <w:webHidden/>
              </w:rPr>
              <w:instrText xml:space="preserve"> PAGEREF _Toc50122384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5" w:history="1">
            <w:r w:rsidR="005416B7" w:rsidRPr="00DB3A54">
              <w:rPr>
                <w:rStyle w:val="Hyperlink"/>
                <w:noProof/>
              </w:rPr>
              <w:t>Effective date</w:t>
            </w:r>
            <w:r w:rsidR="005416B7">
              <w:rPr>
                <w:noProof/>
                <w:webHidden/>
              </w:rPr>
              <w:tab/>
            </w:r>
            <w:r w:rsidR="005416B7">
              <w:rPr>
                <w:noProof/>
                <w:webHidden/>
              </w:rPr>
              <w:fldChar w:fldCharType="begin"/>
            </w:r>
            <w:r w:rsidR="005416B7">
              <w:rPr>
                <w:noProof/>
                <w:webHidden/>
              </w:rPr>
              <w:instrText xml:space="preserve"> PAGEREF _Toc50122385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6" w:history="1">
            <w:r w:rsidR="005416B7" w:rsidRPr="00DB3A54">
              <w:rPr>
                <w:rStyle w:val="Hyperlink"/>
                <w:noProof/>
              </w:rPr>
              <w:t>Next review</w:t>
            </w:r>
            <w:r w:rsidR="005416B7">
              <w:rPr>
                <w:noProof/>
                <w:webHidden/>
              </w:rPr>
              <w:tab/>
            </w:r>
            <w:r w:rsidR="005416B7">
              <w:rPr>
                <w:noProof/>
                <w:webHidden/>
              </w:rPr>
              <w:fldChar w:fldCharType="begin"/>
            </w:r>
            <w:r w:rsidR="005416B7">
              <w:rPr>
                <w:noProof/>
                <w:webHidden/>
              </w:rPr>
              <w:instrText xml:space="preserve"> PAGEREF _Toc50122386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7" w:history="1">
            <w:r w:rsidR="005416B7" w:rsidRPr="00DB3A54">
              <w:rPr>
                <w:rStyle w:val="Hyperlink"/>
                <w:noProof/>
              </w:rPr>
              <w:t>Policy</w:t>
            </w:r>
            <w:r w:rsidR="005416B7">
              <w:rPr>
                <w:noProof/>
                <w:webHidden/>
              </w:rPr>
              <w:tab/>
            </w:r>
            <w:r w:rsidR="005416B7">
              <w:rPr>
                <w:noProof/>
                <w:webHidden/>
              </w:rPr>
              <w:fldChar w:fldCharType="begin"/>
            </w:r>
            <w:r w:rsidR="005416B7">
              <w:rPr>
                <w:noProof/>
                <w:webHidden/>
              </w:rPr>
              <w:instrText xml:space="preserve"> PAGEREF _Toc50122387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8" w:history="1">
            <w:r w:rsidR="005416B7" w:rsidRPr="00DB3A54">
              <w:rPr>
                <w:rStyle w:val="Hyperlink"/>
                <w:noProof/>
              </w:rPr>
              <w:t>Procedure</w:t>
            </w:r>
            <w:r w:rsidR="005416B7">
              <w:rPr>
                <w:noProof/>
                <w:webHidden/>
              </w:rPr>
              <w:tab/>
            </w:r>
            <w:r w:rsidR="005416B7">
              <w:rPr>
                <w:noProof/>
                <w:webHidden/>
              </w:rPr>
              <w:fldChar w:fldCharType="begin"/>
            </w:r>
            <w:r w:rsidR="005416B7">
              <w:rPr>
                <w:noProof/>
                <w:webHidden/>
              </w:rPr>
              <w:instrText xml:space="preserve"> PAGEREF _Toc50122388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89" w:history="1">
            <w:r w:rsidR="005416B7" w:rsidRPr="00DB3A54">
              <w:rPr>
                <w:rStyle w:val="Hyperlink"/>
                <w:noProof/>
              </w:rPr>
              <w:t>Guidelines</w:t>
            </w:r>
            <w:r w:rsidR="005416B7">
              <w:rPr>
                <w:noProof/>
                <w:webHidden/>
              </w:rPr>
              <w:tab/>
            </w:r>
            <w:r w:rsidR="005416B7">
              <w:rPr>
                <w:noProof/>
                <w:webHidden/>
              </w:rPr>
              <w:fldChar w:fldCharType="begin"/>
            </w:r>
            <w:r w:rsidR="005416B7">
              <w:rPr>
                <w:noProof/>
                <w:webHidden/>
              </w:rPr>
              <w:instrText xml:space="preserve"> PAGEREF _Toc50122389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2"/>
            <w:tabs>
              <w:tab w:val="right" w:leader="dot" w:pos="9629"/>
            </w:tabs>
            <w:rPr>
              <w:rFonts w:asciiTheme="minorHAnsi" w:eastAsiaTheme="minorEastAsia" w:hAnsiTheme="minorHAnsi" w:cstheme="minorBidi"/>
              <w:bCs w:val="0"/>
              <w:noProof/>
              <w:szCs w:val="22"/>
            </w:rPr>
          </w:pPr>
          <w:hyperlink w:anchor="_Toc50122390" w:history="1">
            <w:r w:rsidR="005416B7" w:rsidRPr="00DB3A54">
              <w:rPr>
                <w:rStyle w:val="Hyperlink"/>
                <w:noProof/>
              </w:rPr>
              <w:t>Procedure – development and revision</w:t>
            </w:r>
            <w:r w:rsidR="005416B7">
              <w:rPr>
                <w:noProof/>
                <w:webHidden/>
              </w:rPr>
              <w:tab/>
            </w:r>
            <w:r w:rsidR="005416B7">
              <w:rPr>
                <w:noProof/>
                <w:webHidden/>
              </w:rPr>
              <w:fldChar w:fldCharType="begin"/>
            </w:r>
            <w:r w:rsidR="005416B7">
              <w:rPr>
                <w:noProof/>
                <w:webHidden/>
              </w:rPr>
              <w:instrText xml:space="preserve"> PAGEREF _Toc50122390 \h </w:instrText>
            </w:r>
            <w:r w:rsidR="005416B7">
              <w:rPr>
                <w:noProof/>
                <w:webHidden/>
              </w:rPr>
            </w:r>
            <w:r w:rsidR="005416B7">
              <w:rPr>
                <w:noProof/>
                <w:webHidden/>
              </w:rPr>
              <w:fldChar w:fldCharType="separate"/>
            </w:r>
            <w:r w:rsidR="005416B7">
              <w:rPr>
                <w:noProof/>
                <w:webHidden/>
              </w:rPr>
              <w:t>4</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91" w:history="1">
            <w:r w:rsidR="005416B7" w:rsidRPr="00DB3A54">
              <w:rPr>
                <w:rStyle w:val="Hyperlink"/>
                <w:noProof/>
              </w:rPr>
              <w:t>Guidelines</w:t>
            </w:r>
            <w:r w:rsidR="005416B7">
              <w:rPr>
                <w:noProof/>
                <w:webHidden/>
              </w:rPr>
              <w:tab/>
            </w:r>
            <w:r w:rsidR="005416B7">
              <w:rPr>
                <w:noProof/>
                <w:webHidden/>
              </w:rPr>
              <w:fldChar w:fldCharType="begin"/>
            </w:r>
            <w:r w:rsidR="005416B7">
              <w:rPr>
                <w:noProof/>
                <w:webHidden/>
              </w:rPr>
              <w:instrText xml:space="preserve"> PAGEREF _Toc50122391 \h </w:instrText>
            </w:r>
            <w:r w:rsidR="005416B7">
              <w:rPr>
                <w:noProof/>
                <w:webHidden/>
              </w:rPr>
            </w:r>
            <w:r w:rsidR="005416B7">
              <w:rPr>
                <w:noProof/>
                <w:webHidden/>
              </w:rPr>
              <w:fldChar w:fldCharType="separate"/>
            </w:r>
            <w:r w:rsidR="005416B7">
              <w:rPr>
                <w:noProof/>
                <w:webHidden/>
              </w:rPr>
              <w:t>6</w:t>
            </w:r>
            <w:r w:rsidR="005416B7">
              <w:rPr>
                <w:noProof/>
                <w:webHidden/>
              </w:rPr>
              <w:fldChar w:fldCharType="end"/>
            </w:r>
          </w:hyperlink>
        </w:p>
        <w:p w:rsidR="005416B7" w:rsidRDefault="0092563E">
          <w:pPr>
            <w:pStyle w:val="TOC3"/>
            <w:tabs>
              <w:tab w:val="right" w:leader="dot" w:pos="9629"/>
            </w:tabs>
            <w:rPr>
              <w:rFonts w:eastAsiaTheme="minorEastAsia" w:cstheme="minorBidi"/>
              <w:noProof/>
              <w:sz w:val="22"/>
              <w:szCs w:val="22"/>
            </w:rPr>
          </w:pPr>
          <w:hyperlink w:anchor="_Toc50122392" w:history="1">
            <w:r w:rsidR="005416B7" w:rsidRPr="00DB3A54">
              <w:rPr>
                <w:rStyle w:val="Hyperlink"/>
                <w:noProof/>
              </w:rPr>
              <w:t>Policy development</w:t>
            </w:r>
            <w:r w:rsidR="005416B7">
              <w:rPr>
                <w:noProof/>
                <w:webHidden/>
              </w:rPr>
              <w:tab/>
            </w:r>
            <w:r w:rsidR="005416B7">
              <w:rPr>
                <w:noProof/>
                <w:webHidden/>
              </w:rPr>
              <w:fldChar w:fldCharType="begin"/>
            </w:r>
            <w:r w:rsidR="005416B7">
              <w:rPr>
                <w:noProof/>
                <w:webHidden/>
              </w:rPr>
              <w:instrText xml:space="preserve"> PAGEREF _Toc50122392 \h </w:instrText>
            </w:r>
            <w:r w:rsidR="005416B7">
              <w:rPr>
                <w:noProof/>
                <w:webHidden/>
              </w:rPr>
            </w:r>
            <w:r w:rsidR="005416B7">
              <w:rPr>
                <w:noProof/>
                <w:webHidden/>
              </w:rPr>
              <w:fldChar w:fldCharType="separate"/>
            </w:r>
            <w:r w:rsidR="005416B7">
              <w:rPr>
                <w:noProof/>
                <w:webHidden/>
              </w:rPr>
              <w:t>6</w:t>
            </w:r>
            <w:r w:rsidR="005416B7">
              <w:rPr>
                <w:noProof/>
                <w:webHidden/>
              </w:rPr>
              <w:fldChar w:fldCharType="end"/>
            </w:r>
          </w:hyperlink>
        </w:p>
        <w:p w:rsidR="005416B7" w:rsidRDefault="0092563E">
          <w:pPr>
            <w:pStyle w:val="TOC1"/>
            <w:rPr>
              <w:rFonts w:asciiTheme="minorHAnsi" w:eastAsiaTheme="minorEastAsia" w:hAnsiTheme="minorHAnsi" w:cstheme="minorBidi"/>
              <w:bCs w:val="0"/>
              <w:color w:val="auto"/>
              <w:szCs w:val="22"/>
            </w:rPr>
          </w:pPr>
          <w:hyperlink w:anchor="_Toc50122393" w:history="1">
            <w:r w:rsidR="005416B7" w:rsidRPr="00DB3A54">
              <w:rPr>
                <w:rStyle w:val="Hyperlink"/>
              </w:rPr>
              <w:t>Further information and assistance</w:t>
            </w:r>
            <w:r w:rsidR="005416B7">
              <w:rPr>
                <w:webHidden/>
              </w:rPr>
              <w:tab/>
            </w:r>
            <w:r w:rsidR="005416B7">
              <w:rPr>
                <w:webHidden/>
              </w:rPr>
              <w:fldChar w:fldCharType="begin"/>
            </w:r>
            <w:r w:rsidR="005416B7">
              <w:rPr>
                <w:webHidden/>
              </w:rPr>
              <w:instrText xml:space="preserve"> PAGEREF _Toc50122393 \h </w:instrText>
            </w:r>
            <w:r w:rsidR="005416B7">
              <w:rPr>
                <w:webHidden/>
              </w:rPr>
            </w:r>
            <w:r w:rsidR="005416B7">
              <w:rPr>
                <w:webHidden/>
              </w:rPr>
              <w:fldChar w:fldCharType="separate"/>
            </w:r>
            <w:r w:rsidR="005416B7">
              <w:rPr>
                <w:webHidden/>
              </w:rPr>
              <w:t>6</w:t>
            </w:r>
            <w:r w:rsidR="005416B7">
              <w:rPr>
                <w:webHidden/>
              </w:rPr>
              <w:fldChar w:fldCharType="end"/>
            </w:r>
          </w:hyperlink>
        </w:p>
        <w:p w:rsidR="005416B7" w:rsidRDefault="0092563E">
          <w:pPr>
            <w:pStyle w:val="TOC1"/>
            <w:rPr>
              <w:rFonts w:asciiTheme="minorHAnsi" w:eastAsiaTheme="minorEastAsia" w:hAnsiTheme="minorHAnsi" w:cstheme="minorBidi"/>
              <w:bCs w:val="0"/>
              <w:color w:val="auto"/>
              <w:szCs w:val="22"/>
            </w:rPr>
          </w:pPr>
          <w:hyperlink w:anchor="_Toc50122394" w:history="1">
            <w:r w:rsidR="005416B7" w:rsidRPr="00DB3A54">
              <w:rPr>
                <w:rStyle w:val="Hyperlink"/>
              </w:rPr>
              <w:t>Policy administration</w:t>
            </w:r>
            <w:r w:rsidR="005416B7">
              <w:rPr>
                <w:webHidden/>
              </w:rPr>
              <w:tab/>
            </w:r>
            <w:r w:rsidR="005416B7">
              <w:rPr>
                <w:webHidden/>
              </w:rPr>
              <w:fldChar w:fldCharType="begin"/>
            </w:r>
            <w:r w:rsidR="005416B7">
              <w:rPr>
                <w:webHidden/>
              </w:rPr>
              <w:instrText xml:space="preserve"> PAGEREF _Toc50122394 \h </w:instrText>
            </w:r>
            <w:r w:rsidR="005416B7">
              <w:rPr>
                <w:webHidden/>
              </w:rPr>
            </w:r>
            <w:r w:rsidR="005416B7">
              <w:rPr>
                <w:webHidden/>
              </w:rPr>
              <w:fldChar w:fldCharType="separate"/>
            </w:r>
            <w:r w:rsidR="005416B7">
              <w:rPr>
                <w:webHidden/>
              </w:rPr>
              <w:t>6</w:t>
            </w:r>
            <w:r w:rsidR="005416B7">
              <w:rPr>
                <w:webHidden/>
              </w:rPr>
              <w:fldChar w:fldCharType="end"/>
            </w:r>
          </w:hyperlink>
        </w:p>
        <w:p w:rsidR="005416B7" w:rsidRDefault="0092563E">
          <w:pPr>
            <w:pStyle w:val="TOC2"/>
            <w:tabs>
              <w:tab w:val="right" w:leader="dot" w:pos="9629"/>
            </w:tabs>
            <w:rPr>
              <w:rFonts w:asciiTheme="minorHAnsi" w:eastAsiaTheme="minorEastAsia" w:hAnsiTheme="minorHAnsi" w:cstheme="minorBidi"/>
              <w:bCs w:val="0"/>
              <w:noProof/>
              <w:szCs w:val="22"/>
            </w:rPr>
          </w:pPr>
          <w:hyperlink w:anchor="_Toc50122395" w:history="1">
            <w:r w:rsidR="005416B7" w:rsidRPr="00DB3A54">
              <w:rPr>
                <w:rStyle w:val="Hyperlink"/>
                <w:noProof/>
              </w:rPr>
              <w:t>Version History</w:t>
            </w:r>
            <w:r w:rsidR="005416B7">
              <w:rPr>
                <w:noProof/>
                <w:webHidden/>
              </w:rPr>
              <w:tab/>
            </w:r>
            <w:r w:rsidR="005416B7">
              <w:rPr>
                <w:noProof/>
                <w:webHidden/>
              </w:rPr>
              <w:fldChar w:fldCharType="begin"/>
            </w:r>
            <w:r w:rsidR="005416B7">
              <w:rPr>
                <w:noProof/>
                <w:webHidden/>
              </w:rPr>
              <w:instrText xml:space="preserve"> PAGEREF _Toc50122395 \h </w:instrText>
            </w:r>
            <w:r w:rsidR="005416B7">
              <w:rPr>
                <w:noProof/>
                <w:webHidden/>
              </w:rPr>
            </w:r>
            <w:r w:rsidR="005416B7">
              <w:rPr>
                <w:noProof/>
                <w:webHidden/>
              </w:rPr>
              <w:fldChar w:fldCharType="separate"/>
            </w:r>
            <w:r w:rsidR="005416B7">
              <w:rPr>
                <w:noProof/>
                <w:webHidden/>
              </w:rPr>
              <w:t>7</w:t>
            </w:r>
            <w:r w:rsidR="005416B7">
              <w:rPr>
                <w:noProof/>
                <w:webHidden/>
              </w:rPr>
              <w:fldChar w:fldCharType="end"/>
            </w:r>
          </w:hyperlink>
        </w:p>
        <w:p w:rsidR="005416B7" w:rsidRDefault="0092563E">
          <w:pPr>
            <w:pStyle w:val="TOC1"/>
            <w:rPr>
              <w:rFonts w:asciiTheme="minorHAnsi" w:eastAsiaTheme="minorEastAsia" w:hAnsiTheme="minorHAnsi" w:cstheme="minorBidi"/>
              <w:bCs w:val="0"/>
              <w:color w:val="auto"/>
              <w:szCs w:val="22"/>
            </w:rPr>
          </w:pPr>
          <w:hyperlink w:anchor="_Toc50122396" w:history="1">
            <w:r w:rsidR="005416B7" w:rsidRPr="00DB3A54">
              <w:rPr>
                <w:rStyle w:val="Hyperlink"/>
              </w:rPr>
              <w:t>Attachment 1</w:t>
            </w:r>
            <w:r w:rsidR="005416B7">
              <w:rPr>
                <w:webHidden/>
              </w:rPr>
              <w:tab/>
            </w:r>
            <w:r w:rsidR="005416B7">
              <w:rPr>
                <w:webHidden/>
              </w:rPr>
              <w:fldChar w:fldCharType="begin"/>
            </w:r>
            <w:r w:rsidR="005416B7">
              <w:rPr>
                <w:webHidden/>
              </w:rPr>
              <w:instrText xml:space="preserve"> PAGEREF _Toc50122396 \h </w:instrText>
            </w:r>
            <w:r w:rsidR="005416B7">
              <w:rPr>
                <w:webHidden/>
              </w:rPr>
            </w:r>
            <w:r w:rsidR="005416B7">
              <w:rPr>
                <w:webHidden/>
              </w:rPr>
              <w:fldChar w:fldCharType="separate"/>
            </w:r>
            <w:r w:rsidR="005416B7">
              <w:rPr>
                <w:webHidden/>
              </w:rPr>
              <w:t>1</w:t>
            </w:r>
            <w:r w:rsidR="005416B7">
              <w:rPr>
                <w:webHidden/>
              </w:rPr>
              <w:fldChar w:fldCharType="end"/>
            </w:r>
          </w:hyperlink>
        </w:p>
        <w:p w:rsidR="00583C1B" w:rsidRDefault="009F7A60" w:rsidP="009F7A60">
          <w:r w:rsidRPr="00D56FAA">
            <w:rPr>
              <w:rFonts w:cs="Arial"/>
              <w:b/>
              <w:sz w:val="22"/>
              <w:szCs w:val="22"/>
            </w:rPr>
            <w:fldChar w:fldCharType="end"/>
          </w:r>
        </w:p>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Pr="00583C1B" w:rsidRDefault="00583C1B" w:rsidP="00583C1B"/>
        <w:p w:rsidR="00934386" w:rsidRDefault="0092563E" w:rsidP="00583C1B">
          <w:pPr>
            <w:pStyle w:val="Heading1"/>
            <w:ind w:left="1440"/>
            <w:rPr>
              <w:rFonts w:cs="Arial"/>
              <w:b/>
              <w:sz w:val="24"/>
              <w:szCs w:val="24"/>
            </w:rPr>
          </w:pPr>
        </w:p>
      </w:sdtContent>
    </w:sdt>
    <w:p w:rsidR="00583C1B" w:rsidRDefault="00583C1B">
      <w:pPr>
        <w:rPr>
          <w:rFonts w:cs="Arial"/>
          <w:b/>
          <w:sz w:val="24"/>
          <w:szCs w:val="24"/>
        </w:rPr>
      </w:pPr>
      <w:r>
        <w:rPr>
          <w:rFonts w:cs="Arial"/>
          <w:b/>
          <w:sz w:val="24"/>
          <w:szCs w:val="24"/>
        </w:rPr>
        <w:br w:type="page"/>
      </w:r>
    </w:p>
    <w:p w:rsidR="002B773B" w:rsidRDefault="00C41E0B" w:rsidP="00D56FAA">
      <w:pPr>
        <w:pStyle w:val="Heading1"/>
      </w:pPr>
      <w:bookmarkStart w:id="7" w:name="_Toc50122377"/>
      <w:r>
        <w:lastRenderedPageBreak/>
        <w:t>Purpose</w:t>
      </w:r>
      <w:bookmarkEnd w:id="7"/>
    </w:p>
    <w:p w:rsidR="00C41E0B" w:rsidRPr="00597825" w:rsidRDefault="00C41E0B" w:rsidP="00C41E0B">
      <w:pPr>
        <w:rPr>
          <w:rFonts w:cs="Arial"/>
          <w:sz w:val="22"/>
          <w:szCs w:val="22"/>
          <w:lang w:val="en-US"/>
        </w:rPr>
      </w:pPr>
      <w:r w:rsidRPr="00597825">
        <w:rPr>
          <w:rFonts w:cs="Arial"/>
          <w:sz w:val="22"/>
          <w:szCs w:val="22"/>
          <w:lang w:val="en-US"/>
        </w:rPr>
        <w:t xml:space="preserve">This document establishes the policy framework of the </w:t>
      </w:r>
      <w:r>
        <w:rPr>
          <w:rFonts w:cs="Arial"/>
          <w:sz w:val="22"/>
          <w:szCs w:val="22"/>
          <w:lang w:val="en-US"/>
        </w:rPr>
        <w:t xml:space="preserve">Queensland Human Rights Commission (QHRC) </w:t>
      </w:r>
      <w:r w:rsidRPr="00597825">
        <w:rPr>
          <w:rFonts w:cs="Arial"/>
          <w:sz w:val="22"/>
          <w:szCs w:val="22"/>
          <w:lang w:val="en-US"/>
        </w:rPr>
        <w:t>and sets out procedures for the development, review and approval of policies.</w:t>
      </w:r>
    </w:p>
    <w:p w:rsidR="00C41E0B" w:rsidRPr="00597825" w:rsidRDefault="00C41E0B" w:rsidP="00C41E0B">
      <w:pPr>
        <w:rPr>
          <w:rFonts w:cs="Arial"/>
          <w:sz w:val="22"/>
          <w:szCs w:val="22"/>
          <w:lang w:val="en-US"/>
        </w:rPr>
      </w:pPr>
    </w:p>
    <w:p w:rsidR="00C41E0B" w:rsidRPr="00597825" w:rsidRDefault="00C41E0B" w:rsidP="00C41E0B">
      <w:pPr>
        <w:rPr>
          <w:rFonts w:cs="Arial"/>
          <w:sz w:val="22"/>
          <w:szCs w:val="22"/>
          <w:lang w:val="en-US"/>
        </w:rPr>
      </w:pPr>
      <w:r w:rsidRPr="00597825">
        <w:rPr>
          <w:rFonts w:cs="Arial"/>
          <w:sz w:val="22"/>
          <w:szCs w:val="22"/>
          <w:lang w:val="en"/>
        </w:rPr>
        <w:t>The purpose of the policy is to establish standards and formats that make the overall suite of policies easy to access and understand, consistent with each other and also to ensure that they are kept up to date.</w:t>
      </w:r>
    </w:p>
    <w:p w:rsidR="00C41E0B" w:rsidRDefault="00C41E0B" w:rsidP="00C41E0B"/>
    <w:p w:rsidR="00C41E0B" w:rsidRDefault="00C41E0B" w:rsidP="00C41E0B">
      <w:pPr>
        <w:pStyle w:val="Heading1"/>
      </w:pPr>
      <w:bookmarkStart w:id="8" w:name="_Toc50122378"/>
      <w:r>
        <w:t>Principles</w:t>
      </w:r>
      <w:bookmarkEnd w:id="8"/>
    </w:p>
    <w:p w:rsidR="00C41E0B" w:rsidRPr="00597825" w:rsidRDefault="00C41E0B" w:rsidP="00C41E0B">
      <w:pPr>
        <w:rPr>
          <w:rFonts w:cs="Arial"/>
          <w:sz w:val="22"/>
          <w:szCs w:val="22"/>
          <w:lang w:val="en"/>
        </w:rPr>
      </w:pPr>
      <w:r w:rsidRPr="00597825">
        <w:rPr>
          <w:rFonts w:cs="Arial"/>
          <w:sz w:val="22"/>
          <w:szCs w:val="22"/>
          <w:lang w:val="en"/>
        </w:rPr>
        <w:t>The general principles that apply to the development and publication of the commission’s policies, procedures and guidelines are that the documents:</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have been made available for consideration and comment by those who may be affected by them prior to them being submitted for approval;</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are written in a plain English style and common format that is concise and easy to understand;</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are practical and present requirements clearly and logically in order to facilitate understanding and compliance;</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are consistent with each other and comply with relevant statutory requirements that apply to the commission;</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are readily available and accessible to all people who may have an interest in or be affected by them;</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have a designated officer responsible for maintaining the currency of the document, undertaking periodic review, and responding to requests for clarification or interpretation;</w:t>
      </w:r>
    </w:p>
    <w:p w:rsidR="00C41E0B" w:rsidRPr="00597825" w:rsidRDefault="00C41E0B" w:rsidP="00C41E0B">
      <w:pPr>
        <w:rPr>
          <w:rFonts w:cs="Arial"/>
          <w:sz w:val="22"/>
          <w:szCs w:val="22"/>
          <w:lang w:val="en"/>
        </w:rPr>
      </w:pPr>
    </w:p>
    <w:p w:rsidR="00C41E0B" w:rsidRPr="00597825" w:rsidRDefault="00C41E0B" w:rsidP="00C41E0B">
      <w:pPr>
        <w:pStyle w:val="ListParagraph"/>
        <w:numPr>
          <w:ilvl w:val="0"/>
          <w:numId w:val="14"/>
        </w:numPr>
        <w:rPr>
          <w:rFonts w:cs="Arial"/>
          <w:sz w:val="22"/>
          <w:szCs w:val="22"/>
          <w:lang w:val="en"/>
        </w:rPr>
      </w:pPr>
      <w:r w:rsidRPr="00597825">
        <w:rPr>
          <w:rFonts w:cs="Arial"/>
          <w:sz w:val="22"/>
          <w:szCs w:val="22"/>
          <w:lang w:val="en"/>
        </w:rPr>
        <w:t>are reviewed regularly and are kept up to date.</w:t>
      </w:r>
    </w:p>
    <w:p w:rsidR="00FC0A58" w:rsidRDefault="00FC0A58" w:rsidP="002B773B">
      <w:pPr>
        <w:rPr>
          <w:sz w:val="22"/>
          <w:szCs w:val="22"/>
          <w:lang w:val="en-US"/>
        </w:rPr>
      </w:pPr>
    </w:p>
    <w:p w:rsidR="00C41E0B" w:rsidRDefault="00C41E0B" w:rsidP="00C41E0B">
      <w:pPr>
        <w:pStyle w:val="Heading1"/>
      </w:pPr>
      <w:bookmarkStart w:id="9" w:name="_Toc50122379"/>
      <w:bookmarkStart w:id="10" w:name="_Toc34019645"/>
      <w:bookmarkStart w:id="11" w:name="_Toc63070862"/>
      <w:bookmarkStart w:id="12" w:name="_Toc156730692"/>
      <w:r>
        <w:t>Policy hierarchy</w:t>
      </w:r>
      <w:bookmarkEnd w:id="9"/>
    </w:p>
    <w:p w:rsidR="00C41E0B" w:rsidRPr="00597825" w:rsidRDefault="00C41E0B" w:rsidP="00C41E0B">
      <w:pPr>
        <w:rPr>
          <w:rFonts w:cs="Arial"/>
          <w:sz w:val="22"/>
          <w:szCs w:val="22"/>
          <w:lang w:val="en-US"/>
        </w:rPr>
      </w:pPr>
      <w:r w:rsidRPr="00597825">
        <w:rPr>
          <w:rFonts w:cs="Arial"/>
          <w:sz w:val="22"/>
          <w:szCs w:val="22"/>
          <w:lang w:val="en-US"/>
        </w:rPr>
        <w:t>The commission is not in a position to develop a full suite of policies</w:t>
      </w:r>
      <w:r>
        <w:rPr>
          <w:rFonts w:cs="Arial"/>
          <w:sz w:val="22"/>
          <w:szCs w:val="22"/>
          <w:lang w:val="en-US"/>
        </w:rPr>
        <w:t xml:space="preserve"> due to its limited size and resources</w:t>
      </w:r>
      <w:r w:rsidRPr="00597825">
        <w:rPr>
          <w:rFonts w:cs="Arial"/>
          <w:sz w:val="22"/>
          <w:szCs w:val="22"/>
          <w:lang w:val="en-US"/>
        </w:rPr>
        <w:t>.  However, there will be areas or issues that require the development of policies that are specific to the commission.  The development of such policy will be performed in accordance with this document.</w:t>
      </w:r>
    </w:p>
    <w:p w:rsidR="00C41E0B" w:rsidRPr="00597825" w:rsidRDefault="00C41E0B" w:rsidP="00C41E0B">
      <w:pPr>
        <w:rPr>
          <w:rFonts w:cs="Arial"/>
          <w:sz w:val="22"/>
          <w:szCs w:val="22"/>
          <w:lang w:val="en-US"/>
        </w:rPr>
      </w:pPr>
    </w:p>
    <w:p w:rsidR="00C41E0B" w:rsidRPr="00597825" w:rsidRDefault="00C41E0B" w:rsidP="00C41E0B">
      <w:pPr>
        <w:rPr>
          <w:rFonts w:cs="Arial"/>
          <w:sz w:val="22"/>
          <w:szCs w:val="22"/>
          <w:lang w:val="en-US"/>
        </w:rPr>
      </w:pPr>
      <w:r w:rsidRPr="00597825">
        <w:rPr>
          <w:rFonts w:cs="Arial"/>
          <w:sz w:val="22"/>
          <w:szCs w:val="22"/>
          <w:lang w:val="en-US"/>
        </w:rPr>
        <w:t>The commission will adopt the policies, procedures and guidelines of the Department of Justice and Attorney-General (</w:t>
      </w:r>
      <w:r>
        <w:rPr>
          <w:rFonts w:cs="Arial"/>
          <w:sz w:val="22"/>
          <w:szCs w:val="22"/>
          <w:lang w:val="en-US"/>
        </w:rPr>
        <w:t>D</w:t>
      </w:r>
      <w:r w:rsidRPr="00597825">
        <w:rPr>
          <w:rFonts w:cs="Arial"/>
          <w:sz w:val="22"/>
          <w:szCs w:val="22"/>
          <w:lang w:val="en-US"/>
        </w:rPr>
        <w:t xml:space="preserve">JAG) in cases where a specific commission policy has not been developed.  Occasions will arise where </w:t>
      </w:r>
      <w:r>
        <w:rPr>
          <w:rFonts w:cs="Arial"/>
          <w:sz w:val="22"/>
          <w:szCs w:val="22"/>
          <w:lang w:val="en-US"/>
        </w:rPr>
        <w:t>D</w:t>
      </w:r>
      <w:r w:rsidRPr="00597825">
        <w:rPr>
          <w:rFonts w:cs="Arial"/>
          <w:sz w:val="22"/>
          <w:szCs w:val="22"/>
          <w:lang w:val="en-US"/>
        </w:rPr>
        <w:t xml:space="preserve">JAG documents will require interpretation to apply to the commission’s circumstances.  Managers are expected to exercise judgment in applying </w:t>
      </w:r>
      <w:r>
        <w:rPr>
          <w:rFonts w:cs="Arial"/>
          <w:sz w:val="22"/>
          <w:szCs w:val="22"/>
          <w:lang w:val="en-US"/>
        </w:rPr>
        <w:t>D</w:t>
      </w:r>
      <w:r w:rsidRPr="00597825">
        <w:rPr>
          <w:rFonts w:cs="Arial"/>
          <w:sz w:val="22"/>
          <w:szCs w:val="22"/>
          <w:lang w:val="en-US"/>
        </w:rPr>
        <w:t xml:space="preserve">JAG policies, procedures and guidelines.  </w:t>
      </w:r>
    </w:p>
    <w:p w:rsidR="00C41E0B" w:rsidRPr="00597825" w:rsidRDefault="00C41E0B" w:rsidP="00C41E0B">
      <w:pPr>
        <w:rPr>
          <w:rFonts w:cs="Arial"/>
          <w:sz w:val="22"/>
          <w:szCs w:val="22"/>
          <w:lang w:val="en-US"/>
        </w:rPr>
      </w:pPr>
    </w:p>
    <w:p w:rsidR="00C41E0B" w:rsidRPr="00597825" w:rsidRDefault="00C41E0B" w:rsidP="00C41E0B">
      <w:pPr>
        <w:rPr>
          <w:rFonts w:cs="Arial"/>
          <w:sz w:val="22"/>
          <w:szCs w:val="22"/>
          <w:lang w:val="en-US"/>
        </w:rPr>
      </w:pPr>
      <w:r w:rsidRPr="00597825">
        <w:rPr>
          <w:rFonts w:cs="Arial"/>
          <w:sz w:val="22"/>
          <w:szCs w:val="22"/>
          <w:lang w:val="en-US"/>
        </w:rPr>
        <w:t xml:space="preserve">The </w:t>
      </w:r>
      <w:r>
        <w:rPr>
          <w:rFonts w:cs="Arial"/>
          <w:sz w:val="22"/>
          <w:szCs w:val="22"/>
          <w:lang w:val="en-US"/>
        </w:rPr>
        <w:t>Director, Engagement and Corporate Services</w:t>
      </w:r>
      <w:r w:rsidRPr="00597825">
        <w:rPr>
          <w:rFonts w:cs="Arial"/>
          <w:sz w:val="22"/>
          <w:szCs w:val="22"/>
          <w:lang w:val="en-US"/>
        </w:rPr>
        <w:t xml:space="preserve"> is the Responsible Officer for </w:t>
      </w:r>
      <w:r>
        <w:rPr>
          <w:rFonts w:cs="Arial"/>
          <w:sz w:val="22"/>
          <w:szCs w:val="22"/>
          <w:lang w:val="en-US"/>
        </w:rPr>
        <w:t>D</w:t>
      </w:r>
      <w:r w:rsidRPr="00597825">
        <w:rPr>
          <w:rFonts w:cs="Arial"/>
          <w:sz w:val="22"/>
          <w:szCs w:val="22"/>
          <w:lang w:val="en-US"/>
        </w:rPr>
        <w:t>JAG policies, procedures and guidelines.</w:t>
      </w:r>
    </w:p>
    <w:p w:rsidR="00C41E0B" w:rsidRPr="00597825" w:rsidRDefault="00C41E0B" w:rsidP="00C41E0B">
      <w:pPr>
        <w:rPr>
          <w:rFonts w:cs="Arial"/>
          <w:sz w:val="22"/>
          <w:szCs w:val="22"/>
          <w:lang w:val="en-US"/>
        </w:rPr>
      </w:pPr>
    </w:p>
    <w:p w:rsidR="00C41E0B" w:rsidRPr="00597825" w:rsidRDefault="00C41E0B" w:rsidP="00C41E0B">
      <w:pPr>
        <w:rPr>
          <w:rFonts w:cs="Arial"/>
          <w:sz w:val="22"/>
          <w:szCs w:val="22"/>
          <w:lang w:val="en-US"/>
        </w:rPr>
      </w:pPr>
      <w:r w:rsidRPr="00597825">
        <w:rPr>
          <w:rFonts w:cs="Arial"/>
          <w:sz w:val="22"/>
          <w:szCs w:val="22"/>
          <w:lang w:val="en-US"/>
        </w:rPr>
        <w:t>The following hierarchy will apply to policy documents within the commission:</w:t>
      </w:r>
    </w:p>
    <w:p w:rsidR="00C41E0B" w:rsidRPr="00597825" w:rsidRDefault="00C41E0B" w:rsidP="00C41E0B">
      <w:pPr>
        <w:rPr>
          <w:rFonts w:cs="Arial"/>
          <w:sz w:val="22"/>
          <w:szCs w:val="22"/>
          <w:lang w:val="en-US"/>
        </w:rPr>
      </w:pPr>
    </w:p>
    <w:p w:rsidR="00C41E0B" w:rsidRPr="00597825" w:rsidRDefault="00C41E0B" w:rsidP="00C41E0B">
      <w:pPr>
        <w:pStyle w:val="ListParagraph"/>
        <w:numPr>
          <w:ilvl w:val="0"/>
          <w:numId w:val="15"/>
        </w:numPr>
        <w:rPr>
          <w:rFonts w:cs="Arial"/>
          <w:sz w:val="22"/>
          <w:szCs w:val="22"/>
          <w:lang w:val="en-US"/>
        </w:rPr>
      </w:pPr>
      <w:r w:rsidRPr="00597825">
        <w:rPr>
          <w:rFonts w:cs="Arial"/>
          <w:sz w:val="22"/>
          <w:szCs w:val="22"/>
          <w:lang w:val="en-US"/>
        </w:rPr>
        <w:t>Directives</w:t>
      </w:r>
    </w:p>
    <w:p w:rsidR="00C41E0B" w:rsidRPr="00597825" w:rsidRDefault="00C41E0B" w:rsidP="00C41E0B">
      <w:pPr>
        <w:pStyle w:val="ListParagraph"/>
        <w:numPr>
          <w:ilvl w:val="0"/>
          <w:numId w:val="15"/>
        </w:numPr>
        <w:rPr>
          <w:rFonts w:cs="Arial"/>
          <w:sz w:val="22"/>
          <w:szCs w:val="22"/>
          <w:lang w:val="en-US"/>
        </w:rPr>
      </w:pPr>
      <w:r w:rsidRPr="00597825">
        <w:rPr>
          <w:rFonts w:cs="Arial"/>
          <w:sz w:val="22"/>
          <w:szCs w:val="22"/>
          <w:lang w:val="en-US"/>
        </w:rPr>
        <w:t>Whole of Government policies, procedures and guidelines</w:t>
      </w:r>
    </w:p>
    <w:p w:rsidR="00C41E0B" w:rsidRPr="00597825" w:rsidRDefault="00C41E0B" w:rsidP="00C41E0B">
      <w:pPr>
        <w:pStyle w:val="ListParagraph"/>
        <w:numPr>
          <w:ilvl w:val="0"/>
          <w:numId w:val="15"/>
        </w:numPr>
        <w:rPr>
          <w:rFonts w:cs="Arial"/>
          <w:sz w:val="22"/>
          <w:szCs w:val="22"/>
          <w:lang w:val="en-US"/>
        </w:rPr>
      </w:pPr>
      <w:r w:rsidRPr="00597825">
        <w:rPr>
          <w:rFonts w:cs="Arial"/>
          <w:sz w:val="22"/>
          <w:szCs w:val="22"/>
          <w:lang w:val="en-US"/>
        </w:rPr>
        <w:t>Commission policies, procedures and guidelines</w:t>
      </w:r>
    </w:p>
    <w:p w:rsidR="00C41E0B" w:rsidRPr="00597825" w:rsidRDefault="00C41E0B" w:rsidP="00C41E0B">
      <w:pPr>
        <w:pStyle w:val="ListParagraph"/>
        <w:numPr>
          <w:ilvl w:val="0"/>
          <w:numId w:val="15"/>
        </w:numPr>
        <w:rPr>
          <w:rFonts w:cs="Arial"/>
          <w:sz w:val="22"/>
          <w:szCs w:val="22"/>
          <w:lang w:val="en-US"/>
        </w:rPr>
      </w:pPr>
      <w:r>
        <w:rPr>
          <w:rFonts w:cs="Arial"/>
          <w:sz w:val="22"/>
          <w:szCs w:val="22"/>
          <w:lang w:val="en-US"/>
        </w:rPr>
        <w:t>D</w:t>
      </w:r>
      <w:r w:rsidRPr="00597825">
        <w:rPr>
          <w:rFonts w:cs="Arial"/>
          <w:sz w:val="22"/>
          <w:szCs w:val="22"/>
          <w:lang w:val="en-US"/>
        </w:rPr>
        <w:t xml:space="preserve">JAG policies, procedures and guidelines </w:t>
      </w:r>
    </w:p>
    <w:p w:rsidR="00C41E0B" w:rsidRPr="00597825" w:rsidRDefault="00C41E0B" w:rsidP="00C41E0B">
      <w:pPr>
        <w:rPr>
          <w:rFonts w:cs="Arial"/>
          <w:sz w:val="22"/>
          <w:szCs w:val="22"/>
          <w:lang w:val="en-US"/>
        </w:rPr>
      </w:pPr>
    </w:p>
    <w:p w:rsidR="00C41E0B" w:rsidRPr="00597825" w:rsidRDefault="00C41E0B" w:rsidP="00C41E0B">
      <w:pPr>
        <w:rPr>
          <w:rFonts w:cs="Arial"/>
          <w:sz w:val="22"/>
          <w:szCs w:val="22"/>
          <w:lang w:val="en-US"/>
        </w:rPr>
      </w:pPr>
      <w:r w:rsidRPr="00597825">
        <w:rPr>
          <w:rFonts w:cs="Arial"/>
          <w:sz w:val="22"/>
          <w:szCs w:val="22"/>
          <w:lang w:val="en-US"/>
        </w:rPr>
        <w:t>In any cases of inconsistency the higher level document takes precedence.</w:t>
      </w:r>
    </w:p>
    <w:p w:rsidR="00C41E0B" w:rsidRPr="00C41E0B" w:rsidRDefault="00C41E0B" w:rsidP="00C41E0B">
      <w:pPr>
        <w:pStyle w:val="Heading1"/>
      </w:pPr>
      <w:bookmarkStart w:id="13" w:name="_Toc50122380"/>
      <w:r>
        <w:lastRenderedPageBreak/>
        <w:t>Procedures and guidelines</w:t>
      </w:r>
      <w:bookmarkEnd w:id="13"/>
    </w:p>
    <w:p w:rsidR="00A66F49" w:rsidRDefault="00C41E0B" w:rsidP="009F7A60">
      <w:pPr>
        <w:pStyle w:val="Heading2"/>
      </w:pPr>
      <w:bookmarkStart w:id="14" w:name="_Toc50122381"/>
      <w:r>
        <w:t>Procedure – interpretation</w:t>
      </w:r>
      <w:bookmarkEnd w:id="14"/>
    </w:p>
    <w:p w:rsidR="009F7A60" w:rsidRDefault="00C41E0B" w:rsidP="009F7A60">
      <w:pPr>
        <w:pStyle w:val="Heading3"/>
      </w:pPr>
      <w:bookmarkStart w:id="15" w:name="_Toc50122382"/>
      <w:r>
        <w:t>File number</w:t>
      </w:r>
      <w:bookmarkEnd w:id="15"/>
    </w:p>
    <w:p w:rsidR="00C41E0B" w:rsidRPr="00597825" w:rsidRDefault="00C41E0B" w:rsidP="00C41E0B">
      <w:pPr>
        <w:rPr>
          <w:rFonts w:cs="Arial"/>
          <w:sz w:val="22"/>
          <w:szCs w:val="22"/>
        </w:rPr>
      </w:pPr>
      <w:r w:rsidRPr="00597825">
        <w:rPr>
          <w:rFonts w:cs="Arial"/>
          <w:sz w:val="22"/>
          <w:szCs w:val="22"/>
        </w:rPr>
        <w:t>All policies must have an associated official file on which previous and current versions are maintained, along with relevant correspondence.  Previous versions of a policy need to be on file so that the version applying at a particular period can be identified.</w:t>
      </w:r>
    </w:p>
    <w:p w:rsidR="00C41E0B" w:rsidRDefault="00C41E0B" w:rsidP="00C41E0B">
      <w:pPr>
        <w:pStyle w:val="Heading3"/>
      </w:pPr>
      <w:bookmarkStart w:id="16" w:name="_Toc50122383"/>
      <w:r>
        <w:t>Responsible officer</w:t>
      </w:r>
      <w:bookmarkEnd w:id="16"/>
    </w:p>
    <w:p w:rsidR="00C41E0B" w:rsidRPr="00597825" w:rsidRDefault="00C41E0B" w:rsidP="00C41E0B">
      <w:pPr>
        <w:rPr>
          <w:rFonts w:cs="Arial"/>
          <w:sz w:val="22"/>
          <w:szCs w:val="22"/>
        </w:rPr>
      </w:pPr>
      <w:r w:rsidRPr="00597825">
        <w:rPr>
          <w:rFonts w:cs="Arial"/>
          <w:sz w:val="22"/>
          <w:szCs w:val="22"/>
        </w:rPr>
        <w:t xml:space="preserve">All policies are allocated to a member of the Executive Leadership Team (ELT) responsible for ensuring that they are communicated appropriately to commission staff, implemented and reviewed.  This officer would also be the point of contact for major questions of principle and application of the policy. </w:t>
      </w:r>
    </w:p>
    <w:p w:rsidR="00C41E0B" w:rsidRDefault="00C41E0B" w:rsidP="00C41E0B">
      <w:pPr>
        <w:pStyle w:val="Heading3"/>
      </w:pPr>
      <w:bookmarkStart w:id="17" w:name="_Toc50122384"/>
      <w:r>
        <w:t>Relevant legislation or prescription</w:t>
      </w:r>
      <w:bookmarkEnd w:id="17"/>
    </w:p>
    <w:p w:rsidR="00C41E0B" w:rsidRPr="00597825" w:rsidRDefault="00C41E0B" w:rsidP="00C41E0B">
      <w:pPr>
        <w:rPr>
          <w:rFonts w:cs="Arial"/>
          <w:sz w:val="22"/>
          <w:szCs w:val="22"/>
        </w:rPr>
      </w:pPr>
      <w:r w:rsidRPr="00597825">
        <w:rPr>
          <w:rFonts w:cs="Arial"/>
          <w:sz w:val="22"/>
          <w:szCs w:val="22"/>
        </w:rPr>
        <w:t>Policies will generally be made under State legislation, regulations, directives or government policy.  The source of authority and prescription for the policy should be specified.</w:t>
      </w:r>
    </w:p>
    <w:p w:rsidR="00C41E0B" w:rsidRDefault="00C41E0B" w:rsidP="00C41E0B">
      <w:pPr>
        <w:pStyle w:val="Heading3"/>
      </w:pPr>
      <w:bookmarkStart w:id="18" w:name="_Toc50122385"/>
      <w:r>
        <w:t>Effective date</w:t>
      </w:r>
      <w:bookmarkEnd w:id="18"/>
    </w:p>
    <w:p w:rsidR="00C41E0B" w:rsidRPr="00597825" w:rsidRDefault="00C41E0B" w:rsidP="00C41E0B">
      <w:pPr>
        <w:rPr>
          <w:rFonts w:cs="Arial"/>
          <w:sz w:val="22"/>
          <w:szCs w:val="22"/>
        </w:rPr>
      </w:pPr>
      <w:r w:rsidRPr="00597825">
        <w:rPr>
          <w:rFonts w:cs="Arial"/>
          <w:sz w:val="22"/>
          <w:szCs w:val="22"/>
        </w:rPr>
        <w:t>The date the new or revised version of the policy came into effect.</w:t>
      </w:r>
    </w:p>
    <w:p w:rsidR="00C41E0B" w:rsidRDefault="00C41E0B" w:rsidP="00C41E0B">
      <w:pPr>
        <w:pStyle w:val="Heading3"/>
      </w:pPr>
      <w:bookmarkStart w:id="19" w:name="_Toc50122386"/>
      <w:r>
        <w:t>Next review</w:t>
      </w:r>
      <w:bookmarkEnd w:id="19"/>
    </w:p>
    <w:p w:rsidR="00C41E0B" w:rsidRPr="00597825" w:rsidRDefault="00C41E0B" w:rsidP="00C41E0B">
      <w:pPr>
        <w:rPr>
          <w:rFonts w:cs="Arial"/>
          <w:sz w:val="22"/>
          <w:szCs w:val="22"/>
        </w:rPr>
      </w:pPr>
      <w:r w:rsidRPr="00597825">
        <w:rPr>
          <w:rFonts w:cs="Arial"/>
          <w:sz w:val="22"/>
          <w:szCs w:val="22"/>
        </w:rPr>
        <w:t xml:space="preserve">Revision dates are normally 3 years after approval of policies.  A schedule of rolling reviews is maintained by the </w:t>
      </w:r>
      <w:r>
        <w:rPr>
          <w:rFonts w:cs="Arial"/>
          <w:sz w:val="22"/>
          <w:szCs w:val="22"/>
        </w:rPr>
        <w:t>Director, Engagement and Corporate Services</w:t>
      </w:r>
      <w:r w:rsidRPr="00597825">
        <w:rPr>
          <w:rFonts w:cs="Arial"/>
          <w:sz w:val="22"/>
          <w:szCs w:val="22"/>
        </w:rPr>
        <w:t>.</w:t>
      </w:r>
    </w:p>
    <w:p w:rsidR="00C41E0B" w:rsidRDefault="00C41E0B" w:rsidP="00C41E0B">
      <w:pPr>
        <w:pStyle w:val="Heading3"/>
      </w:pPr>
      <w:bookmarkStart w:id="20" w:name="_Toc50122387"/>
      <w:r>
        <w:t>Policy</w:t>
      </w:r>
      <w:bookmarkEnd w:id="20"/>
    </w:p>
    <w:p w:rsidR="00C41E0B" w:rsidRPr="00597825" w:rsidRDefault="00C41E0B" w:rsidP="00C41E0B">
      <w:pPr>
        <w:rPr>
          <w:rFonts w:cs="Arial"/>
          <w:sz w:val="22"/>
          <w:szCs w:val="22"/>
          <w:lang w:val="en"/>
        </w:rPr>
      </w:pPr>
      <w:r w:rsidRPr="00597825">
        <w:rPr>
          <w:rFonts w:cs="Arial"/>
          <w:sz w:val="22"/>
          <w:szCs w:val="22"/>
          <w:lang w:val="en"/>
        </w:rPr>
        <w:t>A policy is a statement that sets out the commission’s official position in relation to a particular issue and any mandatory requirements.</w:t>
      </w:r>
    </w:p>
    <w:p w:rsidR="00C41E0B" w:rsidRDefault="00C41E0B" w:rsidP="00C41E0B">
      <w:pPr>
        <w:pStyle w:val="Heading3"/>
      </w:pPr>
      <w:bookmarkStart w:id="21" w:name="_Toc50122388"/>
      <w:r>
        <w:t>Procedure</w:t>
      </w:r>
      <w:bookmarkEnd w:id="21"/>
    </w:p>
    <w:p w:rsidR="00C41E0B" w:rsidRPr="00597825" w:rsidRDefault="00C41E0B" w:rsidP="00C41E0B">
      <w:pPr>
        <w:rPr>
          <w:rFonts w:cs="Arial"/>
          <w:sz w:val="22"/>
          <w:szCs w:val="22"/>
        </w:rPr>
      </w:pPr>
      <w:r w:rsidRPr="00597825">
        <w:rPr>
          <w:rFonts w:cs="Arial"/>
          <w:sz w:val="22"/>
          <w:szCs w:val="22"/>
          <w:lang w:val="en"/>
        </w:rPr>
        <w:t>A procedure is a statement that sets out the commission's standard and required practice for implementation of a policy.</w:t>
      </w:r>
    </w:p>
    <w:p w:rsidR="00C41E0B" w:rsidRDefault="00C41E0B" w:rsidP="00C41E0B">
      <w:pPr>
        <w:pStyle w:val="Heading3"/>
      </w:pPr>
      <w:bookmarkStart w:id="22" w:name="_Toc50122389"/>
      <w:r>
        <w:t>Guidelines</w:t>
      </w:r>
      <w:bookmarkEnd w:id="22"/>
    </w:p>
    <w:p w:rsidR="00C41E0B" w:rsidRPr="00597825" w:rsidRDefault="00C41E0B" w:rsidP="00C41E0B">
      <w:pPr>
        <w:rPr>
          <w:rFonts w:cs="Arial"/>
          <w:sz w:val="22"/>
          <w:szCs w:val="22"/>
        </w:rPr>
      </w:pPr>
      <w:r w:rsidRPr="00597825">
        <w:rPr>
          <w:rFonts w:cs="Arial"/>
          <w:sz w:val="22"/>
          <w:szCs w:val="22"/>
          <w:lang w:val="en"/>
        </w:rPr>
        <w:t>A guideline is a statement that is advisory or explanatory in nature and provides guidance on how commission policies and procedures might best be implemented or applied.</w:t>
      </w:r>
    </w:p>
    <w:p w:rsidR="00C41E0B" w:rsidRDefault="00C41E0B" w:rsidP="00C41E0B">
      <w:pPr>
        <w:pStyle w:val="Heading2"/>
      </w:pPr>
      <w:bookmarkStart w:id="23" w:name="_Toc50122390"/>
      <w:r>
        <w:t>Procedure – development and revision</w:t>
      </w:r>
      <w:bookmarkEnd w:id="23"/>
    </w:p>
    <w:p w:rsidR="005416B7" w:rsidRDefault="005416B7" w:rsidP="005416B7"/>
    <w:tbl>
      <w:tblPr>
        <w:tblStyle w:val="ListTable3-Accent5"/>
        <w:tblW w:w="0" w:type="auto"/>
        <w:tblLook w:val="01E0" w:firstRow="1" w:lastRow="1" w:firstColumn="1" w:lastColumn="1" w:noHBand="0" w:noVBand="0"/>
      </w:tblPr>
      <w:tblGrid>
        <w:gridCol w:w="4390"/>
        <w:gridCol w:w="4896"/>
      </w:tblGrid>
      <w:tr w:rsidR="005416B7" w:rsidRPr="009F7A60" w:rsidTr="005416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rsidR="005416B7" w:rsidRPr="009F7A60" w:rsidRDefault="005416B7" w:rsidP="002C4405">
            <w:pPr>
              <w:spacing w:after="120"/>
              <w:rPr>
                <w:sz w:val="22"/>
                <w:szCs w:val="22"/>
              </w:rPr>
            </w:pPr>
            <w:r>
              <w:rPr>
                <w:sz w:val="22"/>
                <w:szCs w:val="22"/>
              </w:rPr>
              <w:t>STAGE</w:t>
            </w:r>
          </w:p>
        </w:tc>
        <w:tc>
          <w:tcPr>
            <w:cnfStyle w:val="000100001000" w:firstRow="0" w:lastRow="0" w:firstColumn="0" w:lastColumn="1" w:oddVBand="0" w:evenVBand="0" w:oddHBand="0" w:evenHBand="0" w:firstRowFirstColumn="0" w:firstRowLastColumn="1" w:lastRowFirstColumn="0" w:lastRowLastColumn="0"/>
            <w:tcW w:w="4896" w:type="dxa"/>
          </w:tcPr>
          <w:p w:rsidR="005416B7" w:rsidRPr="009F7A60" w:rsidRDefault="005416B7" w:rsidP="005416B7">
            <w:pPr>
              <w:spacing w:after="120"/>
              <w:jc w:val="both"/>
              <w:rPr>
                <w:b w:val="0"/>
                <w:sz w:val="22"/>
                <w:szCs w:val="22"/>
              </w:rPr>
            </w:pPr>
            <w:r>
              <w:rPr>
                <w:b w:val="0"/>
                <w:sz w:val="22"/>
                <w:szCs w:val="22"/>
              </w:rPr>
              <w:t>PROCEDURES</w:t>
            </w:r>
          </w:p>
        </w:tc>
      </w:tr>
      <w:tr w:rsidR="005416B7" w:rsidRPr="009F7A60" w:rsidTr="00541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5416B7" w:rsidRPr="005416B7" w:rsidRDefault="005416B7" w:rsidP="002C4405">
            <w:pPr>
              <w:spacing w:after="120"/>
              <w:rPr>
                <w:b w:val="0"/>
                <w:sz w:val="22"/>
                <w:szCs w:val="22"/>
              </w:rPr>
            </w:pPr>
            <w:r w:rsidRPr="005416B7">
              <w:rPr>
                <w:rFonts w:cs="Arial"/>
                <w:b w:val="0"/>
                <w:sz w:val="22"/>
                <w:lang w:val="en-US"/>
              </w:rPr>
              <w:t>Identification of need for development of new policy or the review of an existing policy</w:t>
            </w:r>
          </w:p>
        </w:tc>
        <w:tc>
          <w:tcPr>
            <w:cnfStyle w:val="000100000000" w:firstRow="0" w:lastRow="0" w:firstColumn="0" w:lastColumn="1" w:oddVBand="0" w:evenVBand="0" w:oddHBand="0" w:evenHBand="0" w:firstRowFirstColumn="0" w:firstRowLastColumn="0" w:lastRowFirstColumn="0" w:lastRowLastColumn="0"/>
            <w:tcW w:w="4896" w:type="dxa"/>
          </w:tcPr>
          <w:p w:rsidR="005416B7" w:rsidRPr="005416B7" w:rsidRDefault="005416B7" w:rsidP="005416B7">
            <w:pPr>
              <w:rPr>
                <w:rFonts w:cs="Arial"/>
                <w:b w:val="0"/>
                <w:sz w:val="22"/>
                <w:lang w:val="en-US"/>
              </w:rPr>
            </w:pPr>
            <w:r w:rsidRPr="005416B7">
              <w:rPr>
                <w:rFonts w:cs="Arial"/>
                <w:sz w:val="22"/>
                <w:lang w:val="en-US"/>
              </w:rPr>
              <w:t>New Policy</w:t>
            </w:r>
            <w:r w:rsidRPr="005416B7">
              <w:rPr>
                <w:rFonts w:cs="Arial"/>
                <w:b w:val="0"/>
                <w:sz w:val="22"/>
                <w:lang w:val="en-US"/>
              </w:rPr>
              <w:t>: requires approval of the Commissioner to proceed.</w:t>
            </w:r>
          </w:p>
          <w:p w:rsidR="005416B7" w:rsidRPr="005416B7" w:rsidRDefault="005416B7" w:rsidP="005416B7">
            <w:pPr>
              <w:rPr>
                <w:rFonts w:cs="Arial"/>
                <w:b w:val="0"/>
                <w:sz w:val="22"/>
                <w:lang w:val="en-US"/>
              </w:rPr>
            </w:pPr>
          </w:p>
          <w:p w:rsidR="005416B7" w:rsidRPr="005416B7" w:rsidRDefault="005416B7" w:rsidP="005416B7">
            <w:pPr>
              <w:rPr>
                <w:rFonts w:cs="Arial"/>
                <w:b w:val="0"/>
                <w:sz w:val="22"/>
                <w:lang w:val="en-US"/>
              </w:rPr>
            </w:pPr>
            <w:r w:rsidRPr="005416B7">
              <w:rPr>
                <w:rFonts w:cs="Arial"/>
                <w:sz w:val="22"/>
                <w:lang w:val="en-US"/>
              </w:rPr>
              <w:t>Revision of existing policy involving changes of substance:</w:t>
            </w:r>
            <w:r w:rsidRPr="005416B7">
              <w:rPr>
                <w:rFonts w:cs="Arial"/>
                <w:b w:val="0"/>
                <w:sz w:val="22"/>
                <w:lang w:val="en-US"/>
              </w:rPr>
              <w:t xml:space="preserve"> requires approval of the Commissioner to proceed.</w:t>
            </w:r>
          </w:p>
          <w:p w:rsidR="005416B7" w:rsidRPr="005416B7" w:rsidRDefault="005416B7" w:rsidP="005416B7">
            <w:pPr>
              <w:rPr>
                <w:rFonts w:cs="Arial"/>
                <w:b w:val="0"/>
                <w:sz w:val="22"/>
                <w:lang w:val="en-US"/>
              </w:rPr>
            </w:pPr>
          </w:p>
          <w:p w:rsidR="005416B7" w:rsidRPr="009F7A60" w:rsidRDefault="005416B7" w:rsidP="005416B7">
            <w:pPr>
              <w:rPr>
                <w:b w:val="0"/>
                <w:sz w:val="22"/>
                <w:szCs w:val="22"/>
              </w:rPr>
            </w:pPr>
            <w:r w:rsidRPr="005416B7">
              <w:rPr>
                <w:rFonts w:cs="Arial"/>
                <w:sz w:val="22"/>
                <w:lang w:val="en-US"/>
              </w:rPr>
              <w:t>Revision of existing policy involving changes of an editorial nature or which clarify existing policy:</w:t>
            </w:r>
            <w:r w:rsidRPr="005416B7">
              <w:rPr>
                <w:rFonts w:cs="Arial"/>
                <w:b w:val="0"/>
                <w:sz w:val="22"/>
                <w:lang w:val="en-US"/>
              </w:rPr>
              <w:t xml:space="preserve"> requires approval of Responsible Officer to proceed.</w:t>
            </w:r>
          </w:p>
        </w:tc>
      </w:tr>
      <w:tr w:rsidR="005416B7" w:rsidRPr="009F7A60" w:rsidTr="005416B7">
        <w:tc>
          <w:tcPr>
            <w:cnfStyle w:val="001000000000" w:firstRow="0" w:lastRow="0" w:firstColumn="1" w:lastColumn="0" w:oddVBand="0" w:evenVBand="0" w:oddHBand="0" w:evenHBand="0" w:firstRowFirstColumn="0" w:firstRowLastColumn="0" w:lastRowFirstColumn="0" w:lastRowLastColumn="0"/>
            <w:tcW w:w="4390" w:type="dxa"/>
          </w:tcPr>
          <w:p w:rsidR="005416B7" w:rsidRPr="005416B7" w:rsidRDefault="005416B7" w:rsidP="002C4405">
            <w:pPr>
              <w:spacing w:after="120"/>
              <w:rPr>
                <w:b w:val="0"/>
                <w:sz w:val="22"/>
                <w:szCs w:val="22"/>
              </w:rPr>
            </w:pPr>
            <w:r w:rsidRPr="005416B7">
              <w:rPr>
                <w:rFonts w:cs="Arial"/>
                <w:b w:val="0"/>
                <w:sz w:val="22"/>
                <w:lang w:val="en-US"/>
              </w:rPr>
              <w:lastRenderedPageBreak/>
              <w:t>Establishment of drafting group or appointment of a sole author</w:t>
            </w:r>
          </w:p>
        </w:tc>
        <w:tc>
          <w:tcPr>
            <w:cnfStyle w:val="000100000000" w:firstRow="0" w:lastRow="0" w:firstColumn="0" w:lastColumn="1" w:oddVBand="0" w:evenVBand="0" w:oddHBand="0" w:evenHBand="0" w:firstRowFirstColumn="0" w:firstRowLastColumn="0" w:lastRowFirstColumn="0" w:lastRowLastColumn="0"/>
            <w:tcW w:w="4896" w:type="dxa"/>
          </w:tcPr>
          <w:p w:rsidR="005416B7" w:rsidRPr="005416B7" w:rsidRDefault="005416B7" w:rsidP="002C4405">
            <w:pPr>
              <w:spacing w:after="120"/>
              <w:jc w:val="both"/>
              <w:rPr>
                <w:b w:val="0"/>
                <w:sz w:val="22"/>
                <w:szCs w:val="22"/>
              </w:rPr>
            </w:pPr>
            <w:r w:rsidRPr="005416B7">
              <w:rPr>
                <w:rFonts w:cs="Arial"/>
                <w:b w:val="0"/>
                <w:sz w:val="22"/>
                <w:lang w:val="en-US"/>
              </w:rPr>
              <w:t>Determined by Responsible Officer considering the nature and impact of the policy or the revision.</w:t>
            </w:r>
          </w:p>
        </w:tc>
      </w:tr>
      <w:tr w:rsidR="005416B7" w:rsidRPr="009F7A60" w:rsidTr="00541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5416B7" w:rsidRPr="005416B7" w:rsidRDefault="005416B7" w:rsidP="002C4405">
            <w:pPr>
              <w:spacing w:after="120"/>
              <w:rPr>
                <w:b w:val="0"/>
                <w:sz w:val="22"/>
                <w:szCs w:val="22"/>
              </w:rPr>
            </w:pPr>
            <w:r w:rsidRPr="005416B7">
              <w:rPr>
                <w:rFonts w:cs="Arial"/>
                <w:b w:val="0"/>
                <w:sz w:val="22"/>
                <w:lang w:val="en-US"/>
              </w:rPr>
              <w:t>Drafting the policy paper</w:t>
            </w:r>
          </w:p>
        </w:tc>
        <w:tc>
          <w:tcPr>
            <w:cnfStyle w:val="000100000000" w:firstRow="0" w:lastRow="0" w:firstColumn="0" w:lastColumn="1" w:oddVBand="0" w:evenVBand="0" w:oddHBand="0" w:evenHBand="0" w:firstRowFirstColumn="0" w:firstRowLastColumn="0" w:lastRowFirstColumn="0" w:lastRowLastColumn="0"/>
            <w:tcW w:w="4896" w:type="dxa"/>
          </w:tcPr>
          <w:p w:rsidR="005416B7" w:rsidRPr="00597825" w:rsidRDefault="005416B7" w:rsidP="005416B7">
            <w:pPr>
              <w:rPr>
                <w:rFonts w:cs="Arial"/>
                <w:sz w:val="22"/>
                <w:lang w:val="en-US"/>
              </w:rPr>
            </w:pPr>
            <w:r w:rsidRPr="00597825">
              <w:rPr>
                <w:rFonts w:cs="Arial"/>
                <w:sz w:val="22"/>
                <w:lang w:val="en-US"/>
              </w:rPr>
              <w:t xml:space="preserve">Drafting group: </w:t>
            </w:r>
            <w:r w:rsidRPr="005416B7">
              <w:rPr>
                <w:rFonts w:cs="Arial"/>
                <w:b w:val="0"/>
                <w:sz w:val="22"/>
                <w:lang w:val="en-US"/>
              </w:rPr>
              <w:t>Normally drawn from members of the Leadership Group.</w:t>
            </w:r>
          </w:p>
          <w:p w:rsidR="005416B7" w:rsidRPr="00597825" w:rsidRDefault="005416B7" w:rsidP="005416B7">
            <w:pPr>
              <w:rPr>
                <w:rFonts w:cs="Arial"/>
                <w:sz w:val="22"/>
                <w:lang w:val="en-US"/>
              </w:rPr>
            </w:pPr>
          </w:p>
          <w:p w:rsidR="005416B7" w:rsidRPr="005416B7" w:rsidRDefault="005416B7" w:rsidP="005416B7">
            <w:pPr>
              <w:rPr>
                <w:rFonts w:cs="Arial"/>
                <w:b w:val="0"/>
                <w:sz w:val="22"/>
                <w:lang w:val="en-US"/>
              </w:rPr>
            </w:pPr>
            <w:r w:rsidRPr="00597825">
              <w:rPr>
                <w:rFonts w:cs="Arial"/>
                <w:sz w:val="22"/>
                <w:lang w:val="en-US"/>
              </w:rPr>
              <w:t xml:space="preserve">Sole author: </w:t>
            </w:r>
            <w:r w:rsidRPr="005416B7">
              <w:rPr>
                <w:rFonts w:cs="Arial"/>
                <w:b w:val="0"/>
                <w:sz w:val="22"/>
                <w:lang w:val="en-US"/>
              </w:rPr>
              <w:t>A sole author would be expected to consult with key stakeholders in the Leadership Group.</w:t>
            </w:r>
          </w:p>
          <w:p w:rsidR="005416B7" w:rsidRPr="005416B7" w:rsidRDefault="005416B7" w:rsidP="005416B7">
            <w:pPr>
              <w:rPr>
                <w:rFonts w:cs="Arial"/>
                <w:b w:val="0"/>
                <w:sz w:val="22"/>
                <w:lang w:val="en-US"/>
              </w:rPr>
            </w:pPr>
          </w:p>
          <w:p w:rsidR="005416B7" w:rsidRPr="009F7A60" w:rsidRDefault="005416B7" w:rsidP="00371F90">
            <w:pPr>
              <w:rPr>
                <w:b w:val="0"/>
                <w:sz w:val="22"/>
                <w:szCs w:val="22"/>
              </w:rPr>
            </w:pPr>
            <w:r w:rsidRPr="005416B7">
              <w:rPr>
                <w:rFonts w:cs="Arial"/>
                <w:b w:val="0"/>
                <w:sz w:val="22"/>
                <w:lang w:val="en-US"/>
              </w:rPr>
              <w:t>Care should be taken at this stage to ensure the policy proposal is consistent with relevant legislation, directives and policies.</w:t>
            </w:r>
          </w:p>
        </w:tc>
      </w:tr>
      <w:tr w:rsidR="005416B7" w:rsidRPr="009F7A60" w:rsidTr="005416B7">
        <w:tc>
          <w:tcPr>
            <w:cnfStyle w:val="001000000000" w:firstRow="0" w:lastRow="0" w:firstColumn="1" w:lastColumn="0" w:oddVBand="0" w:evenVBand="0" w:oddHBand="0" w:evenHBand="0" w:firstRowFirstColumn="0" w:firstRowLastColumn="0" w:lastRowFirstColumn="0" w:lastRowLastColumn="0"/>
            <w:tcW w:w="4390" w:type="dxa"/>
          </w:tcPr>
          <w:p w:rsidR="005416B7" w:rsidRPr="005416B7" w:rsidRDefault="005416B7" w:rsidP="005416B7">
            <w:pPr>
              <w:rPr>
                <w:rFonts w:cs="Arial"/>
                <w:b w:val="0"/>
                <w:sz w:val="22"/>
                <w:lang w:val="en-US"/>
              </w:rPr>
            </w:pPr>
            <w:r w:rsidRPr="005416B7">
              <w:rPr>
                <w:rFonts w:cs="Arial"/>
                <w:b w:val="0"/>
                <w:sz w:val="22"/>
                <w:lang w:val="en-US"/>
              </w:rPr>
              <w:t>Consultation within the commission</w:t>
            </w:r>
          </w:p>
        </w:tc>
        <w:tc>
          <w:tcPr>
            <w:cnfStyle w:val="000100000000" w:firstRow="0" w:lastRow="0" w:firstColumn="0" w:lastColumn="1" w:oddVBand="0" w:evenVBand="0" w:oddHBand="0" w:evenHBand="0" w:firstRowFirstColumn="0" w:firstRowLastColumn="0" w:lastRowFirstColumn="0" w:lastRowLastColumn="0"/>
            <w:tcW w:w="4896" w:type="dxa"/>
          </w:tcPr>
          <w:p w:rsidR="005416B7" w:rsidRPr="00597825" w:rsidRDefault="005416B7" w:rsidP="005416B7">
            <w:pPr>
              <w:rPr>
                <w:rFonts w:cs="Arial"/>
                <w:sz w:val="22"/>
                <w:lang w:val="en-US"/>
              </w:rPr>
            </w:pPr>
            <w:r w:rsidRPr="00597825">
              <w:rPr>
                <w:rFonts w:cs="Arial"/>
                <w:sz w:val="22"/>
                <w:lang w:val="en-US"/>
              </w:rPr>
              <w:t xml:space="preserve">New policy or revision of existing policy involving changes of substance:  </w:t>
            </w:r>
            <w:r w:rsidRPr="005416B7">
              <w:rPr>
                <w:rFonts w:cs="Arial"/>
                <w:b w:val="0"/>
                <w:sz w:val="22"/>
                <w:lang w:val="en-US"/>
              </w:rPr>
              <w:t>Appropriate circulation of the draft policy as determined by the Responsible Officer taking into account the importance of the policy or revisions.</w:t>
            </w:r>
          </w:p>
          <w:p w:rsidR="005416B7" w:rsidRPr="00597825" w:rsidRDefault="005416B7" w:rsidP="005416B7">
            <w:pPr>
              <w:rPr>
                <w:rFonts w:cs="Arial"/>
                <w:sz w:val="22"/>
                <w:lang w:val="en-US"/>
              </w:rPr>
            </w:pPr>
          </w:p>
          <w:p w:rsidR="005416B7" w:rsidRPr="00597825" w:rsidRDefault="005416B7" w:rsidP="005416B7">
            <w:pPr>
              <w:rPr>
                <w:rFonts w:cs="Arial"/>
                <w:sz w:val="22"/>
                <w:lang w:val="en-US"/>
              </w:rPr>
            </w:pPr>
            <w:r w:rsidRPr="00597825">
              <w:rPr>
                <w:rFonts w:cs="Arial"/>
                <w:sz w:val="22"/>
                <w:lang w:val="en-US"/>
              </w:rPr>
              <w:t xml:space="preserve">Revision of existing policy involving changes of an editorial nature or which clarify existing policy:  </w:t>
            </w:r>
            <w:r w:rsidRPr="005416B7">
              <w:rPr>
                <w:rFonts w:cs="Arial"/>
                <w:b w:val="0"/>
                <w:sz w:val="22"/>
                <w:lang w:val="en-US"/>
              </w:rPr>
              <w:t>Consultation as determined by the Responsible Officer.</w:t>
            </w:r>
          </w:p>
          <w:p w:rsidR="005416B7" w:rsidRPr="00597825" w:rsidRDefault="005416B7" w:rsidP="005416B7">
            <w:pPr>
              <w:rPr>
                <w:rFonts w:cs="Arial"/>
                <w:sz w:val="22"/>
                <w:lang w:val="en-US"/>
              </w:rPr>
            </w:pPr>
          </w:p>
          <w:p w:rsidR="005416B7" w:rsidRPr="005416B7" w:rsidRDefault="005416B7" w:rsidP="005416B7">
            <w:pPr>
              <w:rPr>
                <w:rFonts w:cs="Arial"/>
                <w:b w:val="0"/>
                <w:sz w:val="22"/>
                <w:lang w:val="en-US"/>
              </w:rPr>
            </w:pPr>
            <w:r w:rsidRPr="005416B7">
              <w:rPr>
                <w:rFonts w:cs="Arial"/>
                <w:b w:val="0"/>
                <w:sz w:val="22"/>
                <w:lang w:val="en-US"/>
              </w:rPr>
              <w:t xml:space="preserve">If the policy is redrafted in light of comments received, the redraft is to be circulated as determined by the Responsible Officer.  Once the policy proposal is </w:t>
            </w:r>
            <w:proofErr w:type="spellStart"/>
            <w:r w:rsidRPr="005416B7">
              <w:rPr>
                <w:rFonts w:cs="Arial"/>
                <w:b w:val="0"/>
                <w:sz w:val="22"/>
                <w:lang w:val="en-US"/>
              </w:rPr>
              <w:t>finalised</w:t>
            </w:r>
            <w:proofErr w:type="spellEnd"/>
            <w:r w:rsidRPr="005416B7">
              <w:rPr>
                <w:rFonts w:cs="Arial"/>
                <w:b w:val="0"/>
                <w:sz w:val="22"/>
                <w:lang w:val="en-US"/>
              </w:rPr>
              <w:t xml:space="preserve"> the Responsible Officer will approve it or submit it to the Commissioner for approval.</w:t>
            </w:r>
          </w:p>
        </w:tc>
      </w:tr>
      <w:tr w:rsidR="005416B7" w:rsidRPr="009F7A60" w:rsidTr="00541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5416B7" w:rsidRPr="005416B7" w:rsidRDefault="005416B7" w:rsidP="005416B7">
            <w:pPr>
              <w:rPr>
                <w:rFonts w:cs="Arial"/>
                <w:b w:val="0"/>
                <w:sz w:val="22"/>
                <w:lang w:val="en-US"/>
              </w:rPr>
            </w:pPr>
            <w:r>
              <w:rPr>
                <w:rFonts w:cs="Arial"/>
                <w:b w:val="0"/>
                <w:sz w:val="22"/>
                <w:lang w:val="en-US"/>
              </w:rPr>
              <w:t>Approval</w:t>
            </w:r>
          </w:p>
        </w:tc>
        <w:tc>
          <w:tcPr>
            <w:cnfStyle w:val="000100000000" w:firstRow="0" w:lastRow="0" w:firstColumn="0" w:lastColumn="1" w:oddVBand="0" w:evenVBand="0" w:oddHBand="0" w:evenHBand="0" w:firstRowFirstColumn="0" w:firstRowLastColumn="0" w:lastRowFirstColumn="0" w:lastRowLastColumn="0"/>
            <w:tcW w:w="4896" w:type="dxa"/>
          </w:tcPr>
          <w:p w:rsidR="005416B7" w:rsidRPr="005416B7" w:rsidRDefault="005416B7" w:rsidP="005416B7">
            <w:pPr>
              <w:rPr>
                <w:rFonts w:cs="Arial"/>
                <w:b w:val="0"/>
                <w:sz w:val="22"/>
                <w:lang w:val="en-US"/>
              </w:rPr>
            </w:pPr>
            <w:r w:rsidRPr="00597825">
              <w:rPr>
                <w:rFonts w:cs="Arial"/>
                <w:sz w:val="22"/>
                <w:lang w:val="en-US"/>
              </w:rPr>
              <w:t xml:space="preserve">New policy or revision of existing policy involving changes of substance:  </w:t>
            </w:r>
            <w:r w:rsidRPr="005416B7">
              <w:rPr>
                <w:rFonts w:cs="Arial"/>
                <w:b w:val="0"/>
                <w:sz w:val="22"/>
                <w:lang w:val="en-US"/>
              </w:rPr>
              <w:t>Must be approved by the Commissioner.</w:t>
            </w:r>
          </w:p>
          <w:p w:rsidR="005416B7" w:rsidRPr="00597825" w:rsidRDefault="005416B7" w:rsidP="005416B7">
            <w:pPr>
              <w:rPr>
                <w:rFonts w:cs="Arial"/>
                <w:sz w:val="22"/>
                <w:lang w:val="en-US"/>
              </w:rPr>
            </w:pPr>
          </w:p>
          <w:p w:rsidR="005416B7" w:rsidRPr="00597825" w:rsidRDefault="005416B7" w:rsidP="005416B7">
            <w:pPr>
              <w:rPr>
                <w:rFonts w:cs="Arial"/>
                <w:b w:val="0"/>
                <w:sz w:val="22"/>
                <w:lang w:val="en-US"/>
              </w:rPr>
            </w:pPr>
            <w:r w:rsidRPr="00597825">
              <w:rPr>
                <w:rFonts w:cs="Arial"/>
                <w:sz w:val="22"/>
                <w:lang w:val="en-US"/>
              </w:rPr>
              <w:t xml:space="preserve">Revision of existing policy involving changes of an editorial nature or which clarify existing policy:  </w:t>
            </w:r>
            <w:r w:rsidRPr="005416B7">
              <w:rPr>
                <w:rFonts w:cs="Arial"/>
                <w:b w:val="0"/>
                <w:sz w:val="22"/>
                <w:lang w:val="en-US"/>
              </w:rPr>
              <w:t>May be approved by the Responsible Officer.</w:t>
            </w:r>
          </w:p>
        </w:tc>
      </w:tr>
      <w:tr w:rsidR="005416B7" w:rsidRPr="009F7A60" w:rsidTr="005416B7">
        <w:tc>
          <w:tcPr>
            <w:cnfStyle w:val="001000000000" w:firstRow="0" w:lastRow="0" w:firstColumn="1" w:lastColumn="0" w:oddVBand="0" w:evenVBand="0" w:oddHBand="0" w:evenHBand="0" w:firstRowFirstColumn="0" w:firstRowLastColumn="0" w:lastRowFirstColumn="0" w:lastRowLastColumn="0"/>
            <w:tcW w:w="4390" w:type="dxa"/>
          </w:tcPr>
          <w:p w:rsidR="005416B7" w:rsidRPr="005416B7" w:rsidRDefault="005416B7" w:rsidP="005416B7">
            <w:pPr>
              <w:rPr>
                <w:rFonts w:cs="Arial"/>
                <w:b w:val="0"/>
                <w:sz w:val="22"/>
                <w:lang w:val="en-US"/>
              </w:rPr>
            </w:pPr>
            <w:r>
              <w:rPr>
                <w:rFonts w:cs="Arial"/>
                <w:b w:val="0"/>
                <w:sz w:val="22"/>
                <w:lang w:val="en-US"/>
              </w:rPr>
              <w:t>Promulgation and implementation</w:t>
            </w:r>
          </w:p>
        </w:tc>
        <w:tc>
          <w:tcPr>
            <w:cnfStyle w:val="000100000000" w:firstRow="0" w:lastRow="0" w:firstColumn="0" w:lastColumn="1" w:oddVBand="0" w:evenVBand="0" w:oddHBand="0" w:evenHBand="0" w:firstRowFirstColumn="0" w:firstRowLastColumn="0" w:lastRowFirstColumn="0" w:lastRowLastColumn="0"/>
            <w:tcW w:w="4896" w:type="dxa"/>
          </w:tcPr>
          <w:p w:rsidR="005416B7" w:rsidRPr="005416B7" w:rsidRDefault="005416B7" w:rsidP="005416B7">
            <w:pPr>
              <w:rPr>
                <w:rFonts w:cs="Arial"/>
                <w:b w:val="0"/>
                <w:sz w:val="22"/>
                <w:lang w:val="en-US"/>
              </w:rPr>
            </w:pPr>
            <w:r w:rsidRPr="005416B7">
              <w:rPr>
                <w:rFonts w:cs="Arial"/>
                <w:b w:val="0"/>
                <w:sz w:val="22"/>
                <w:lang w:val="en-US"/>
              </w:rPr>
              <w:t>Once then policy is approved the Responsible Officer is to arrange for:</w:t>
            </w:r>
          </w:p>
          <w:p w:rsidR="005416B7" w:rsidRPr="005416B7" w:rsidRDefault="005416B7" w:rsidP="005416B7">
            <w:pPr>
              <w:rPr>
                <w:rFonts w:cs="Arial"/>
                <w:b w:val="0"/>
                <w:sz w:val="22"/>
                <w:lang w:val="en-US"/>
              </w:rPr>
            </w:pPr>
          </w:p>
          <w:p w:rsidR="005416B7" w:rsidRPr="00371F90" w:rsidRDefault="005416B7" w:rsidP="00E80D6C">
            <w:pPr>
              <w:pStyle w:val="ListParagraph"/>
              <w:numPr>
                <w:ilvl w:val="0"/>
                <w:numId w:val="16"/>
              </w:numPr>
              <w:ind w:left="360"/>
              <w:rPr>
                <w:rFonts w:cs="Arial"/>
                <w:b w:val="0"/>
                <w:sz w:val="22"/>
                <w:lang w:val="en-US"/>
              </w:rPr>
            </w:pPr>
            <w:r w:rsidRPr="00371F90">
              <w:rPr>
                <w:rFonts w:cs="Arial"/>
                <w:b w:val="0"/>
                <w:sz w:val="22"/>
                <w:lang w:val="en-US"/>
              </w:rPr>
              <w:t>Promulgation of the policy to staff.</w:t>
            </w:r>
          </w:p>
          <w:p w:rsidR="005416B7" w:rsidRPr="00371F90" w:rsidRDefault="005416B7" w:rsidP="00765855">
            <w:pPr>
              <w:pStyle w:val="ListParagraph"/>
              <w:numPr>
                <w:ilvl w:val="0"/>
                <w:numId w:val="16"/>
              </w:numPr>
              <w:ind w:left="360"/>
              <w:rPr>
                <w:rFonts w:cs="Arial"/>
                <w:b w:val="0"/>
                <w:sz w:val="22"/>
                <w:lang w:val="en-US"/>
              </w:rPr>
            </w:pPr>
            <w:r w:rsidRPr="00371F90">
              <w:rPr>
                <w:rFonts w:cs="Arial"/>
                <w:b w:val="0"/>
                <w:sz w:val="22"/>
                <w:lang w:val="en-US"/>
              </w:rPr>
              <w:t>Publication of the policy on the intranet and website (where required).</w:t>
            </w:r>
          </w:p>
          <w:p w:rsidR="005416B7" w:rsidRPr="00371F90" w:rsidRDefault="005416B7" w:rsidP="00E70815">
            <w:pPr>
              <w:pStyle w:val="ListParagraph"/>
              <w:numPr>
                <w:ilvl w:val="0"/>
                <w:numId w:val="16"/>
              </w:numPr>
              <w:ind w:left="360"/>
              <w:rPr>
                <w:rFonts w:cs="Arial"/>
                <w:b w:val="0"/>
                <w:sz w:val="22"/>
                <w:lang w:val="en-US"/>
              </w:rPr>
            </w:pPr>
            <w:r w:rsidRPr="00371F90">
              <w:rPr>
                <w:rFonts w:cs="Arial"/>
                <w:b w:val="0"/>
                <w:sz w:val="22"/>
                <w:lang w:val="en-US"/>
              </w:rPr>
              <w:t>Amendment of all relevant forms and relationships to other affected policies.</w:t>
            </w:r>
          </w:p>
          <w:p w:rsidR="005416B7" w:rsidRPr="005416B7" w:rsidRDefault="005416B7" w:rsidP="005416B7">
            <w:pPr>
              <w:pStyle w:val="ListParagraph"/>
              <w:numPr>
                <w:ilvl w:val="0"/>
                <w:numId w:val="16"/>
              </w:numPr>
              <w:ind w:left="360"/>
              <w:rPr>
                <w:rFonts w:cs="Arial"/>
                <w:b w:val="0"/>
                <w:sz w:val="22"/>
                <w:lang w:val="en-US"/>
              </w:rPr>
            </w:pPr>
            <w:r w:rsidRPr="005416B7">
              <w:rPr>
                <w:rFonts w:cs="Arial"/>
                <w:b w:val="0"/>
                <w:sz w:val="22"/>
                <w:lang w:val="en-US"/>
              </w:rPr>
              <w:t>Removal of outdated web links.</w:t>
            </w:r>
          </w:p>
          <w:p w:rsidR="005416B7" w:rsidRPr="005416B7" w:rsidRDefault="005416B7" w:rsidP="005416B7">
            <w:pPr>
              <w:pStyle w:val="ListParagraph"/>
              <w:numPr>
                <w:ilvl w:val="0"/>
                <w:numId w:val="16"/>
              </w:numPr>
              <w:ind w:left="360"/>
              <w:rPr>
                <w:rFonts w:cs="Arial"/>
                <w:b w:val="0"/>
                <w:sz w:val="22"/>
                <w:lang w:val="en-US"/>
              </w:rPr>
            </w:pPr>
            <w:r w:rsidRPr="005416B7">
              <w:rPr>
                <w:rFonts w:cs="Arial"/>
                <w:b w:val="0"/>
                <w:sz w:val="22"/>
                <w:lang w:val="en-US"/>
              </w:rPr>
              <w:t>Staff training if required.</w:t>
            </w:r>
          </w:p>
          <w:p w:rsidR="005416B7" w:rsidRPr="00597825" w:rsidRDefault="005416B7" w:rsidP="005416B7">
            <w:pPr>
              <w:rPr>
                <w:rFonts w:cs="Arial"/>
                <w:b w:val="0"/>
                <w:sz w:val="22"/>
                <w:lang w:val="en-US"/>
              </w:rPr>
            </w:pPr>
          </w:p>
        </w:tc>
      </w:tr>
      <w:tr w:rsidR="005416B7" w:rsidRPr="009F7A60" w:rsidTr="005416B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390" w:type="dxa"/>
          </w:tcPr>
          <w:p w:rsidR="005416B7" w:rsidRPr="005416B7" w:rsidRDefault="007957BE" w:rsidP="005416B7">
            <w:pPr>
              <w:rPr>
                <w:rFonts w:cs="Arial"/>
                <w:b w:val="0"/>
                <w:sz w:val="22"/>
                <w:lang w:val="en-US"/>
              </w:rPr>
            </w:pPr>
            <w:r>
              <w:rPr>
                <w:rFonts w:cs="Arial"/>
                <w:b w:val="0"/>
                <w:sz w:val="22"/>
                <w:lang w:val="en-US"/>
              </w:rPr>
              <w:t>Review of policy</w:t>
            </w:r>
          </w:p>
        </w:tc>
        <w:tc>
          <w:tcPr>
            <w:cnfStyle w:val="000100000010" w:firstRow="0" w:lastRow="0" w:firstColumn="0" w:lastColumn="1" w:oddVBand="0" w:evenVBand="0" w:oddHBand="0" w:evenHBand="0" w:firstRowFirstColumn="0" w:firstRowLastColumn="0" w:lastRowFirstColumn="0" w:lastRowLastColumn="1"/>
            <w:tcW w:w="4896" w:type="dxa"/>
          </w:tcPr>
          <w:p w:rsidR="005416B7" w:rsidRPr="00597825" w:rsidRDefault="007957BE" w:rsidP="005416B7">
            <w:pPr>
              <w:rPr>
                <w:rFonts w:cs="Arial"/>
                <w:b w:val="0"/>
                <w:sz w:val="22"/>
                <w:lang w:val="en-US"/>
              </w:rPr>
            </w:pPr>
            <w:r>
              <w:rPr>
                <w:rFonts w:cs="Arial"/>
                <w:b w:val="0"/>
                <w:sz w:val="22"/>
                <w:lang w:val="en-US"/>
              </w:rPr>
              <w:t xml:space="preserve">All policy is to be reviewed in accordance with the approved schedule of review or every 3 years. </w:t>
            </w:r>
          </w:p>
        </w:tc>
      </w:tr>
    </w:tbl>
    <w:p w:rsidR="005416B7" w:rsidRPr="005416B7" w:rsidRDefault="005416B7" w:rsidP="005416B7"/>
    <w:p w:rsidR="006F7E73" w:rsidRPr="00597825" w:rsidRDefault="006F7E73" w:rsidP="006F7E73">
      <w:pPr>
        <w:jc w:val="both"/>
        <w:rPr>
          <w:rFonts w:cs="Arial"/>
          <w:sz w:val="22"/>
          <w:lang w:val="en-US"/>
        </w:rPr>
      </w:pPr>
    </w:p>
    <w:p w:rsidR="006F7E73" w:rsidRDefault="006F7E73" w:rsidP="006F7E73">
      <w:pPr>
        <w:pStyle w:val="Heading3"/>
      </w:pPr>
      <w:bookmarkStart w:id="24" w:name="_Toc50122391"/>
      <w:r>
        <w:t>Guidelines</w:t>
      </w:r>
      <w:bookmarkEnd w:id="24"/>
    </w:p>
    <w:p w:rsidR="006F7E73" w:rsidRPr="00597825" w:rsidRDefault="006F7E73" w:rsidP="006F7E73">
      <w:pPr>
        <w:jc w:val="both"/>
        <w:rPr>
          <w:rFonts w:cs="Arial"/>
          <w:sz w:val="22"/>
          <w:lang w:val="en-US"/>
        </w:rPr>
      </w:pPr>
      <w:r w:rsidRPr="00597825">
        <w:rPr>
          <w:rFonts w:cs="Arial"/>
          <w:sz w:val="22"/>
          <w:lang w:val="en-US"/>
        </w:rPr>
        <w:t>To be read in conjunction with the policy and procedures.</w:t>
      </w:r>
    </w:p>
    <w:p w:rsidR="006F7E73" w:rsidRPr="006F7E73" w:rsidRDefault="006F7E73" w:rsidP="006F7E73">
      <w:pPr>
        <w:pStyle w:val="Heading3"/>
      </w:pPr>
      <w:bookmarkStart w:id="25" w:name="_Toc50122392"/>
      <w:r>
        <w:lastRenderedPageBreak/>
        <w:t>Policy development</w:t>
      </w:r>
      <w:bookmarkEnd w:id="25"/>
    </w:p>
    <w:p w:rsidR="006F7E73" w:rsidRPr="00597825" w:rsidRDefault="006F7E73" w:rsidP="006F7E73">
      <w:pPr>
        <w:rPr>
          <w:rFonts w:cs="Arial"/>
          <w:sz w:val="22"/>
          <w:szCs w:val="22"/>
          <w:lang w:val="en-US"/>
        </w:rPr>
      </w:pPr>
      <w:r w:rsidRPr="00597825">
        <w:rPr>
          <w:rFonts w:cs="Arial"/>
          <w:sz w:val="22"/>
          <w:szCs w:val="22"/>
          <w:lang w:val="en-US"/>
        </w:rPr>
        <w:t>Proposals to develop a new policy or revise an existing policy will emerge as members of staff or committees identify the need for such action.  Proposals made by other than Responsible Officers should be assigned to the relevant Responsible Officer.</w:t>
      </w:r>
    </w:p>
    <w:p w:rsidR="006F7E73" w:rsidRPr="00597825" w:rsidRDefault="006F7E73" w:rsidP="006F7E73">
      <w:pPr>
        <w:rPr>
          <w:rFonts w:cs="Arial"/>
          <w:sz w:val="22"/>
          <w:szCs w:val="22"/>
          <w:lang w:val="en-US"/>
        </w:rPr>
      </w:pPr>
    </w:p>
    <w:p w:rsidR="006F7E73" w:rsidRPr="00597825" w:rsidRDefault="006F7E73" w:rsidP="006F7E73">
      <w:pPr>
        <w:rPr>
          <w:rFonts w:cs="Arial"/>
          <w:sz w:val="22"/>
          <w:szCs w:val="22"/>
          <w:lang w:val="en-US"/>
        </w:rPr>
      </w:pPr>
      <w:r w:rsidRPr="00597825">
        <w:rPr>
          <w:rFonts w:cs="Arial"/>
          <w:sz w:val="22"/>
          <w:szCs w:val="22"/>
          <w:lang w:val="en-US"/>
        </w:rPr>
        <w:t>Drafting groups should include appropriate representation of stakeholder interests but not be so large as to be unwieldy, given that wider consultation will occur with Leadership Group once the draft has been prepared.</w:t>
      </w:r>
    </w:p>
    <w:p w:rsidR="006F7E73" w:rsidRPr="00597825" w:rsidRDefault="006F7E73" w:rsidP="006F7E73">
      <w:pPr>
        <w:rPr>
          <w:rFonts w:cs="Arial"/>
          <w:sz w:val="22"/>
          <w:szCs w:val="22"/>
          <w:lang w:val="en-US"/>
        </w:rPr>
      </w:pPr>
    </w:p>
    <w:p w:rsidR="006F7E73" w:rsidRPr="00597825" w:rsidRDefault="006F7E73" w:rsidP="006F7E73">
      <w:pPr>
        <w:rPr>
          <w:rFonts w:cs="Arial"/>
          <w:sz w:val="22"/>
          <w:szCs w:val="22"/>
          <w:lang w:val="en-US"/>
        </w:rPr>
      </w:pPr>
      <w:r w:rsidRPr="00597825">
        <w:rPr>
          <w:rFonts w:cs="Arial"/>
          <w:sz w:val="22"/>
          <w:szCs w:val="22"/>
          <w:lang w:val="en-US"/>
        </w:rPr>
        <w:t xml:space="preserve">Once comments on the draft have been received and the policy proposal </w:t>
      </w:r>
      <w:proofErr w:type="spellStart"/>
      <w:r w:rsidRPr="00597825">
        <w:rPr>
          <w:rFonts w:cs="Arial"/>
          <w:sz w:val="22"/>
          <w:szCs w:val="22"/>
          <w:lang w:val="en-US"/>
        </w:rPr>
        <w:t>finalised</w:t>
      </w:r>
      <w:proofErr w:type="spellEnd"/>
      <w:r w:rsidRPr="00597825">
        <w:rPr>
          <w:rFonts w:cs="Arial"/>
          <w:sz w:val="22"/>
          <w:szCs w:val="22"/>
          <w:lang w:val="en-US"/>
        </w:rPr>
        <w:t xml:space="preserve"> the Responsible Officer would put the policy to the Commissioner for approval</w:t>
      </w:r>
      <w:r>
        <w:rPr>
          <w:rFonts w:cs="Arial"/>
          <w:sz w:val="22"/>
          <w:szCs w:val="22"/>
          <w:lang w:val="en-US"/>
        </w:rPr>
        <w:t>.</w:t>
      </w:r>
    </w:p>
    <w:p w:rsidR="006F7E73" w:rsidRDefault="006F7E73" w:rsidP="009F7A60">
      <w:pPr>
        <w:keepNext/>
        <w:tabs>
          <w:tab w:val="right" w:pos="10490"/>
        </w:tabs>
        <w:outlineLvl w:val="0"/>
        <w:rPr>
          <w:color w:val="347B9F"/>
          <w:sz w:val="36"/>
        </w:rPr>
      </w:pPr>
    </w:p>
    <w:p w:rsidR="009F7A60" w:rsidRPr="009F7A60" w:rsidRDefault="009F7A60" w:rsidP="009F7A60">
      <w:pPr>
        <w:keepNext/>
        <w:tabs>
          <w:tab w:val="right" w:pos="10490"/>
        </w:tabs>
        <w:outlineLvl w:val="0"/>
        <w:rPr>
          <w:color w:val="347B9F"/>
          <w:sz w:val="36"/>
        </w:rPr>
      </w:pPr>
      <w:bookmarkStart w:id="26" w:name="_Toc50122393"/>
      <w:r w:rsidRPr="009F7A60">
        <w:rPr>
          <w:color w:val="347B9F"/>
          <w:sz w:val="36"/>
        </w:rPr>
        <w:t>Further information and assistance</w:t>
      </w:r>
      <w:bookmarkEnd w:id="26"/>
      <w:r w:rsidRPr="009F7A60">
        <w:rPr>
          <w:color w:val="347B9F"/>
          <w:sz w:val="36"/>
        </w:rPr>
        <w:t xml:space="preserve"> </w:t>
      </w:r>
    </w:p>
    <w:p w:rsidR="009F7A60" w:rsidRPr="009F7A60" w:rsidRDefault="009F7A60" w:rsidP="009F7A60">
      <w:pPr>
        <w:tabs>
          <w:tab w:val="left" w:pos="567"/>
        </w:tabs>
        <w:spacing w:after="120"/>
        <w:rPr>
          <w:rFonts w:cs="Arial"/>
          <w:sz w:val="22"/>
          <w:szCs w:val="22"/>
        </w:rPr>
      </w:pPr>
      <w:r w:rsidRPr="009F7A60">
        <w:rPr>
          <w:rFonts w:cs="Arial"/>
          <w:sz w:val="22"/>
          <w:szCs w:val="22"/>
        </w:rPr>
        <w:t>Employees requiring further information or assistance in relation to this policy should contact their Regional Manager or the Responsible Officer.</w:t>
      </w:r>
    </w:p>
    <w:p w:rsidR="009F7A60" w:rsidRPr="009F7A60" w:rsidRDefault="009F7A60" w:rsidP="009F7A60">
      <w:pPr>
        <w:tabs>
          <w:tab w:val="left" w:pos="567"/>
        </w:tabs>
        <w:spacing w:after="120"/>
        <w:rPr>
          <w:rFonts w:cs="Arial"/>
          <w:sz w:val="22"/>
          <w:szCs w:val="22"/>
        </w:rPr>
      </w:pPr>
      <w:r w:rsidRPr="009F7A60">
        <w:rPr>
          <w:rFonts w:cs="Arial"/>
          <w:sz w:val="22"/>
          <w:szCs w:val="22"/>
        </w:rPr>
        <w:t>Implementation of this policy requires Managers to exercise professional judgement.  Managers are encouraged to consult with each other in making these determinations.</w:t>
      </w:r>
    </w:p>
    <w:p w:rsidR="009F7A60" w:rsidRPr="009F7A60" w:rsidRDefault="009F7A60" w:rsidP="009F7A60">
      <w:pPr>
        <w:tabs>
          <w:tab w:val="left" w:pos="567"/>
        </w:tabs>
        <w:spacing w:after="120"/>
        <w:rPr>
          <w:rFonts w:cs="Arial"/>
          <w:sz w:val="22"/>
          <w:szCs w:val="22"/>
        </w:rPr>
      </w:pPr>
    </w:p>
    <w:p w:rsidR="009F7A60" w:rsidRPr="009F7A60" w:rsidRDefault="009F7A60" w:rsidP="009F7A60">
      <w:pPr>
        <w:keepNext/>
        <w:tabs>
          <w:tab w:val="right" w:pos="10490"/>
        </w:tabs>
        <w:outlineLvl w:val="0"/>
        <w:rPr>
          <w:color w:val="347B9F"/>
          <w:sz w:val="36"/>
          <w:szCs w:val="28"/>
        </w:rPr>
      </w:pPr>
      <w:bookmarkStart w:id="27" w:name="_Toc50122394"/>
      <w:r w:rsidRPr="009F7A60">
        <w:rPr>
          <w:color w:val="347B9F"/>
          <w:sz w:val="36"/>
          <w:szCs w:val="28"/>
        </w:rPr>
        <w:t>Policy administration</w:t>
      </w:r>
      <w:bookmarkEnd w:id="27"/>
    </w:p>
    <w:p w:rsidR="009F7A60" w:rsidRPr="009F7A60" w:rsidRDefault="009F7A60" w:rsidP="009F7A60">
      <w:pPr>
        <w:jc w:val="both"/>
        <w:rPr>
          <w:sz w:val="22"/>
          <w:lang w:val="en-US"/>
        </w:rPr>
      </w:pPr>
    </w:p>
    <w:tbl>
      <w:tblPr>
        <w:tblStyle w:val="ListTable3-Accent5"/>
        <w:tblW w:w="0" w:type="auto"/>
        <w:tblLook w:val="01E0" w:firstRow="1" w:lastRow="1" w:firstColumn="1" w:lastColumn="1" w:noHBand="0" w:noVBand="0"/>
      </w:tblPr>
      <w:tblGrid>
        <w:gridCol w:w="3528"/>
        <w:gridCol w:w="5758"/>
      </w:tblGrid>
      <w:tr w:rsidR="009F7A60" w:rsidRPr="009F7A60" w:rsidTr="00F44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Policy Name</w:t>
            </w:r>
          </w:p>
        </w:tc>
        <w:tc>
          <w:tcPr>
            <w:cnfStyle w:val="000100001000" w:firstRow="0" w:lastRow="0" w:firstColumn="0" w:lastColumn="1" w:oddVBand="0" w:evenVBand="0" w:oddHBand="0" w:evenHBand="0" w:firstRowFirstColumn="0" w:firstRowLastColumn="1" w:lastRowFirstColumn="0" w:lastRowLastColumn="0"/>
            <w:tcW w:w="5758" w:type="dxa"/>
          </w:tcPr>
          <w:p w:rsidR="009F7A60" w:rsidRPr="009F7A60" w:rsidRDefault="006F7E73" w:rsidP="009F7A60">
            <w:pPr>
              <w:spacing w:after="120"/>
              <w:jc w:val="both"/>
              <w:rPr>
                <w:b w:val="0"/>
                <w:sz w:val="22"/>
                <w:szCs w:val="22"/>
              </w:rPr>
            </w:pPr>
            <w:r>
              <w:rPr>
                <w:b w:val="0"/>
                <w:sz w:val="22"/>
                <w:szCs w:val="22"/>
              </w:rPr>
              <w:t>Policy on policies</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File Number</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6F7E73" w:rsidP="006F7E73">
            <w:pPr>
              <w:spacing w:after="120"/>
              <w:jc w:val="both"/>
              <w:rPr>
                <w:b w:val="0"/>
                <w:sz w:val="22"/>
                <w:szCs w:val="22"/>
              </w:rPr>
            </w:pPr>
            <w:r>
              <w:rPr>
                <w:b w:val="0"/>
                <w:sz w:val="22"/>
                <w:szCs w:val="22"/>
              </w:rPr>
              <w:t>BNE0143577</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Responsible Officer</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6F7E73" w:rsidP="009F7A60">
            <w:pPr>
              <w:spacing w:after="120"/>
              <w:jc w:val="both"/>
              <w:rPr>
                <w:b w:val="0"/>
                <w:sz w:val="22"/>
                <w:szCs w:val="22"/>
              </w:rPr>
            </w:pPr>
            <w:r>
              <w:rPr>
                <w:b w:val="0"/>
                <w:sz w:val="22"/>
                <w:szCs w:val="22"/>
              </w:rPr>
              <w:t>Director, Engagement &amp; Corporate Services</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Approving Officer</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9F7A60" w:rsidP="009F7A60">
            <w:pPr>
              <w:spacing w:after="120"/>
              <w:jc w:val="both"/>
              <w:rPr>
                <w:b w:val="0"/>
                <w:sz w:val="22"/>
                <w:szCs w:val="22"/>
              </w:rPr>
            </w:pPr>
            <w:r w:rsidRPr="009F7A60">
              <w:rPr>
                <w:b w:val="0"/>
                <w:sz w:val="22"/>
                <w:szCs w:val="22"/>
              </w:rPr>
              <w:t>Commissioner</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Effective Date</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92563E" w:rsidP="006F7E73">
            <w:pPr>
              <w:spacing w:after="120"/>
              <w:jc w:val="both"/>
              <w:rPr>
                <w:b w:val="0"/>
                <w:sz w:val="22"/>
                <w:szCs w:val="22"/>
              </w:rPr>
            </w:pPr>
            <w:r>
              <w:rPr>
                <w:b w:val="0"/>
                <w:sz w:val="22"/>
                <w:szCs w:val="22"/>
              </w:rPr>
              <w:t>5 November 2020</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2563E" w:rsidRDefault="009F7A60" w:rsidP="009F7A60">
            <w:pPr>
              <w:spacing w:after="120"/>
              <w:rPr>
                <w:sz w:val="22"/>
                <w:szCs w:val="22"/>
              </w:rPr>
            </w:pPr>
            <w:r w:rsidRPr="0092563E">
              <w:rPr>
                <w:sz w:val="22"/>
                <w:szCs w:val="22"/>
              </w:rPr>
              <w:t>Date Approved</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2563E" w:rsidRDefault="0092563E" w:rsidP="006F7E73">
            <w:pPr>
              <w:spacing w:after="120"/>
              <w:jc w:val="both"/>
              <w:rPr>
                <w:b w:val="0"/>
                <w:sz w:val="22"/>
                <w:szCs w:val="22"/>
              </w:rPr>
            </w:pPr>
            <w:r w:rsidRPr="0092563E">
              <w:rPr>
                <w:b w:val="0"/>
                <w:sz w:val="22"/>
                <w:szCs w:val="22"/>
              </w:rPr>
              <w:t>5 Nov</w:t>
            </w:r>
            <w:r w:rsidR="006F7E73" w:rsidRPr="0092563E">
              <w:rPr>
                <w:b w:val="0"/>
                <w:sz w:val="22"/>
                <w:szCs w:val="22"/>
              </w:rPr>
              <w:t xml:space="preserve">ember </w:t>
            </w:r>
            <w:r w:rsidR="009F7A60" w:rsidRPr="0092563E">
              <w:rPr>
                <w:b w:val="0"/>
                <w:sz w:val="22"/>
                <w:szCs w:val="22"/>
              </w:rPr>
              <w:t>20</w:t>
            </w:r>
            <w:r w:rsidR="006F7E73" w:rsidRPr="0092563E">
              <w:rPr>
                <w:b w:val="0"/>
                <w:sz w:val="22"/>
                <w:szCs w:val="22"/>
              </w:rPr>
              <w:t>20</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Next Review</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92563E" w:rsidP="006F7E73">
            <w:pPr>
              <w:spacing w:after="120"/>
              <w:jc w:val="both"/>
              <w:rPr>
                <w:b w:val="0"/>
                <w:sz w:val="22"/>
                <w:szCs w:val="22"/>
              </w:rPr>
            </w:pPr>
            <w:r>
              <w:rPr>
                <w:b w:val="0"/>
                <w:sz w:val="22"/>
                <w:szCs w:val="22"/>
              </w:rPr>
              <w:t>5 November</w:t>
            </w:r>
            <w:r w:rsidR="009F7A60" w:rsidRPr="009F7A60">
              <w:rPr>
                <w:b w:val="0"/>
                <w:sz w:val="22"/>
                <w:szCs w:val="22"/>
              </w:rPr>
              <w:t xml:space="preserve"> 20</w:t>
            </w:r>
            <w:r w:rsidR="006F7E73">
              <w:rPr>
                <w:b w:val="0"/>
                <w:sz w:val="22"/>
                <w:szCs w:val="22"/>
              </w:rPr>
              <w:t>23</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6F7E73" w:rsidP="009F7A60">
            <w:pPr>
              <w:spacing w:after="120"/>
              <w:jc w:val="both"/>
              <w:rPr>
                <w:b w:val="0"/>
                <w:sz w:val="22"/>
                <w:szCs w:val="22"/>
              </w:rPr>
            </w:pPr>
            <w:r>
              <w:rPr>
                <w:b w:val="0"/>
                <w:sz w:val="22"/>
                <w:szCs w:val="22"/>
              </w:rPr>
              <w:t>Commissioner</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Pr>
          <w:p w:rsidR="006F7E73" w:rsidRPr="006F7E73" w:rsidRDefault="006F7E73" w:rsidP="006F7E73">
            <w:pPr>
              <w:spacing w:after="120"/>
              <w:rPr>
                <w:rFonts w:cs="Arial"/>
                <w:b w:val="0"/>
                <w:i/>
                <w:sz w:val="22"/>
                <w:szCs w:val="22"/>
              </w:rPr>
            </w:pPr>
            <w:r w:rsidRPr="006F7E73">
              <w:rPr>
                <w:rFonts w:cs="Arial"/>
                <w:b w:val="0"/>
                <w:i/>
                <w:sz w:val="22"/>
                <w:szCs w:val="22"/>
              </w:rPr>
              <w:t>Public Service Act 2008</w:t>
            </w:r>
          </w:p>
          <w:p w:rsidR="006F7E73" w:rsidRPr="006F7E73" w:rsidRDefault="006F7E73" w:rsidP="006F7E73">
            <w:pPr>
              <w:spacing w:after="120"/>
              <w:rPr>
                <w:rFonts w:cs="Arial"/>
                <w:b w:val="0"/>
                <w:i/>
                <w:sz w:val="22"/>
                <w:szCs w:val="22"/>
              </w:rPr>
            </w:pPr>
            <w:r w:rsidRPr="006F7E73">
              <w:rPr>
                <w:rFonts w:cs="Arial"/>
                <w:b w:val="0"/>
                <w:i/>
                <w:sz w:val="22"/>
                <w:szCs w:val="22"/>
              </w:rPr>
              <w:t>Financial Accountability Act 2009</w:t>
            </w:r>
          </w:p>
          <w:p w:rsidR="009F7A60" w:rsidRPr="009F7A60" w:rsidRDefault="006F7E73" w:rsidP="006F7E73">
            <w:pPr>
              <w:spacing w:after="120"/>
              <w:jc w:val="both"/>
              <w:rPr>
                <w:b w:val="0"/>
                <w:sz w:val="22"/>
                <w:szCs w:val="22"/>
              </w:rPr>
            </w:pPr>
            <w:r w:rsidRPr="006F7E73">
              <w:rPr>
                <w:rFonts w:cs="Arial"/>
                <w:b w:val="0"/>
                <w:i/>
                <w:sz w:val="22"/>
                <w:szCs w:val="22"/>
              </w:rPr>
              <w:t>Financial and Performance Management Standard 2019</w:t>
            </w:r>
          </w:p>
        </w:tc>
      </w:tr>
      <w:tr w:rsidR="009F7A60" w:rsidRPr="009F7A60" w:rsidTr="00F4455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Pr>
          <w:p w:rsidR="009F7A60" w:rsidRPr="009F7A60" w:rsidRDefault="009F7A60" w:rsidP="009F7A60">
            <w:pPr>
              <w:spacing w:after="120"/>
              <w:rPr>
                <w:sz w:val="22"/>
                <w:szCs w:val="22"/>
              </w:rPr>
            </w:pPr>
            <w:r w:rsidRPr="009F7A60">
              <w:rPr>
                <w:sz w:val="22"/>
                <w:szCs w:val="22"/>
              </w:rPr>
              <w:t>Network location</w:t>
            </w:r>
          </w:p>
        </w:tc>
        <w:tc>
          <w:tcPr>
            <w:cnfStyle w:val="000100000010" w:firstRow="0" w:lastRow="0" w:firstColumn="0" w:lastColumn="1" w:oddVBand="0" w:evenVBand="0" w:oddHBand="0" w:evenHBand="0" w:firstRowFirstColumn="0" w:firstRowLastColumn="0" w:lastRowFirstColumn="0" w:lastRowLastColumn="1"/>
            <w:tcW w:w="5758" w:type="dxa"/>
          </w:tcPr>
          <w:p w:rsidR="009F7A60" w:rsidRPr="009F7A60" w:rsidRDefault="009F7A60" w:rsidP="0092563E">
            <w:pPr>
              <w:spacing w:after="120"/>
              <w:rPr>
                <w:b w:val="0"/>
                <w:sz w:val="22"/>
                <w:szCs w:val="22"/>
              </w:rPr>
            </w:pPr>
            <w:r>
              <w:rPr>
                <w:b w:val="0"/>
                <w:sz w:val="22"/>
                <w:szCs w:val="22"/>
              </w:rPr>
              <w:t>S:/</w:t>
            </w:r>
            <w:r w:rsidRPr="009F7A60">
              <w:rPr>
                <w:b w:val="0"/>
                <w:sz w:val="22"/>
                <w:szCs w:val="22"/>
              </w:rPr>
              <w:t>Policies/</w:t>
            </w:r>
            <w:r w:rsidR="0092563E">
              <w:rPr>
                <w:b w:val="0"/>
                <w:sz w:val="22"/>
                <w:szCs w:val="22"/>
              </w:rPr>
              <w:t>Current</w:t>
            </w:r>
            <w:bookmarkStart w:id="28" w:name="_GoBack"/>
            <w:bookmarkEnd w:id="28"/>
          </w:p>
        </w:tc>
      </w:tr>
    </w:tbl>
    <w:p w:rsidR="009F7A60" w:rsidRPr="009F7A60" w:rsidRDefault="009F7A60" w:rsidP="009F7A60">
      <w:pPr>
        <w:jc w:val="both"/>
        <w:rPr>
          <w:sz w:val="22"/>
          <w:lang w:val="en-US"/>
        </w:rPr>
      </w:pPr>
    </w:p>
    <w:p w:rsidR="009F7A60" w:rsidRPr="009F7A60" w:rsidRDefault="009F7A60" w:rsidP="009F7A60">
      <w:pPr>
        <w:tabs>
          <w:tab w:val="left" w:pos="567"/>
        </w:tabs>
        <w:spacing w:after="120"/>
        <w:rPr>
          <w:rFonts w:cs="Arial"/>
          <w:sz w:val="22"/>
          <w:szCs w:val="22"/>
        </w:rPr>
      </w:pPr>
    </w:p>
    <w:p w:rsidR="009F7A60" w:rsidRPr="009F7A60" w:rsidRDefault="009F7A60" w:rsidP="009F7A60">
      <w:pPr>
        <w:keepNext/>
        <w:spacing w:before="240" w:after="60"/>
        <w:outlineLvl w:val="1"/>
        <w:rPr>
          <w:color w:val="E66A37"/>
          <w:sz w:val="28"/>
        </w:rPr>
      </w:pPr>
      <w:bookmarkStart w:id="29" w:name="_Toc50122395"/>
      <w:r w:rsidRPr="009F7A60">
        <w:rPr>
          <w:color w:val="E66A37"/>
          <w:sz w:val="28"/>
        </w:rPr>
        <w:t>Version History</w:t>
      </w:r>
      <w:bookmarkEnd w:id="29"/>
    </w:p>
    <w:p w:rsidR="009F7A60" w:rsidRPr="009F7A60" w:rsidRDefault="009F7A60" w:rsidP="009F7A60"/>
    <w:tbl>
      <w:tblPr>
        <w:tblStyle w:val="ListTable3-Accent5"/>
        <w:tblW w:w="0" w:type="auto"/>
        <w:tblLook w:val="04A0" w:firstRow="1" w:lastRow="0" w:firstColumn="1" w:lastColumn="0" w:noHBand="0" w:noVBand="1"/>
      </w:tblPr>
      <w:tblGrid>
        <w:gridCol w:w="4077"/>
        <w:gridCol w:w="2977"/>
        <w:gridCol w:w="2188"/>
      </w:tblGrid>
      <w:tr w:rsidR="009F7A60" w:rsidRPr="009F7A60" w:rsidTr="00F44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Pr>
          <w:p w:rsidR="009F7A60" w:rsidRPr="009F7A60" w:rsidRDefault="009F7A60" w:rsidP="009F7A60">
            <w:pPr>
              <w:tabs>
                <w:tab w:val="left" w:pos="1440"/>
                <w:tab w:val="left" w:pos="1800"/>
                <w:tab w:val="left" w:pos="2880"/>
                <w:tab w:val="left" w:pos="3240"/>
                <w:tab w:val="left" w:pos="3600"/>
                <w:tab w:val="left" w:pos="3960"/>
              </w:tabs>
              <w:rPr>
                <w:rFonts w:cs="Arial"/>
                <w:sz w:val="22"/>
              </w:rPr>
            </w:pPr>
            <w:r w:rsidRPr="009F7A60">
              <w:rPr>
                <w:rFonts w:cs="Arial"/>
                <w:sz w:val="22"/>
              </w:rPr>
              <w:t>Action</w:t>
            </w:r>
          </w:p>
        </w:tc>
        <w:tc>
          <w:tcPr>
            <w:tcW w:w="2977" w:type="dxa"/>
          </w:tcPr>
          <w:p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 xml:space="preserve">Approved by </w:t>
            </w:r>
          </w:p>
        </w:tc>
        <w:tc>
          <w:tcPr>
            <w:tcW w:w="2188" w:type="dxa"/>
          </w:tcPr>
          <w:p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Date</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F7A60" w:rsidRPr="006F7E73" w:rsidRDefault="006F7E73" w:rsidP="009F7A60">
            <w:pPr>
              <w:tabs>
                <w:tab w:val="left" w:pos="1440"/>
                <w:tab w:val="left" w:pos="1800"/>
                <w:tab w:val="left" w:pos="2880"/>
                <w:tab w:val="left" w:pos="3240"/>
                <w:tab w:val="left" w:pos="3600"/>
                <w:tab w:val="left" w:pos="3960"/>
              </w:tabs>
              <w:rPr>
                <w:rFonts w:cs="Arial"/>
                <w:b w:val="0"/>
                <w:sz w:val="22"/>
              </w:rPr>
            </w:pPr>
            <w:r w:rsidRPr="006F7E73">
              <w:rPr>
                <w:rFonts w:cs="Arial"/>
                <w:b w:val="0"/>
                <w:sz w:val="22"/>
              </w:rPr>
              <w:t xml:space="preserve">Created </w:t>
            </w:r>
          </w:p>
        </w:tc>
        <w:tc>
          <w:tcPr>
            <w:tcW w:w="2977" w:type="dxa"/>
          </w:tcPr>
          <w:p w:rsidR="009F7A60" w:rsidRPr="009F7A60" w:rsidRDefault="006F7E73"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Commissioner</w:t>
            </w:r>
          </w:p>
        </w:tc>
        <w:tc>
          <w:tcPr>
            <w:tcW w:w="2188" w:type="dxa"/>
          </w:tcPr>
          <w:p w:rsidR="009F7A60" w:rsidRPr="009F7A60" w:rsidRDefault="006F7E73"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22 August 2011</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4077" w:type="dxa"/>
          </w:tcPr>
          <w:p w:rsidR="009F7A60" w:rsidRPr="006F7E73" w:rsidRDefault="006F7E73" w:rsidP="009F7A60">
            <w:pPr>
              <w:tabs>
                <w:tab w:val="left" w:pos="1440"/>
                <w:tab w:val="left" w:pos="1800"/>
                <w:tab w:val="left" w:pos="2880"/>
                <w:tab w:val="left" w:pos="3240"/>
                <w:tab w:val="left" w:pos="3600"/>
                <w:tab w:val="left" w:pos="3960"/>
              </w:tabs>
              <w:rPr>
                <w:rFonts w:cs="Arial"/>
                <w:b w:val="0"/>
                <w:sz w:val="22"/>
              </w:rPr>
            </w:pPr>
            <w:r w:rsidRPr="006F7E73">
              <w:rPr>
                <w:rFonts w:cs="Arial"/>
                <w:b w:val="0"/>
                <w:sz w:val="22"/>
              </w:rPr>
              <w:t>Review</w:t>
            </w:r>
          </w:p>
        </w:tc>
        <w:tc>
          <w:tcPr>
            <w:tcW w:w="2977" w:type="dxa"/>
          </w:tcPr>
          <w:p w:rsidR="009F7A60" w:rsidRPr="009F7A60" w:rsidRDefault="006F7E73"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Commissioner</w:t>
            </w:r>
          </w:p>
        </w:tc>
        <w:tc>
          <w:tcPr>
            <w:tcW w:w="2188" w:type="dxa"/>
          </w:tcPr>
          <w:p w:rsidR="009F7A60" w:rsidRPr="009F7A60" w:rsidRDefault="006F7E73" w:rsidP="0092563E">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r w:rsidR="0092563E">
              <w:rPr>
                <w:rFonts w:cs="Arial"/>
                <w:sz w:val="22"/>
              </w:rPr>
              <w:t>5 Nove</w:t>
            </w:r>
            <w:r>
              <w:rPr>
                <w:rFonts w:cs="Arial"/>
                <w:sz w:val="22"/>
              </w:rPr>
              <w:t>mber 2020</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F7A60" w:rsidRPr="009F7A60" w:rsidRDefault="009F7A60" w:rsidP="009F7A60">
            <w:pPr>
              <w:tabs>
                <w:tab w:val="left" w:pos="1440"/>
                <w:tab w:val="left" w:pos="1800"/>
                <w:tab w:val="left" w:pos="2880"/>
                <w:tab w:val="left" w:pos="3240"/>
                <w:tab w:val="left" w:pos="3600"/>
                <w:tab w:val="left" w:pos="3960"/>
              </w:tabs>
              <w:rPr>
                <w:rFonts w:cs="Arial"/>
                <w:sz w:val="22"/>
              </w:rPr>
            </w:pPr>
          </w:p>
        </w:tc>
        <w:tc>
          <w:tcPr>
            <w:tcW w:w="2977" w:type="dxa"/>
          </w:tcPr>
          <w:p w:rsidR="009F7A60" w:rsidRPr="009F7A60" w:rsidRDefault="009F7A6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c>
          <w:tcPr>
            <w:tcW w:w="2188" w:type="dxa"/>
          </w:tcPr>
          <w:p w:rsidR="009F7A60" w:rsidRPr="009F7A60" w:rsidRDefault="009F7A6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r>
    </w:tbl>
    <w:p w:rsidR="009F7A60" w:rsidRPr="009F7A60" w:rsidRDefault="009F7A60" w:rsidP="00371F90"/>
    <w:bookmarkEnd w:id="10"/>
    <w:bookmarkEnd w:id="11"/>
    <w:bookmarkEnd w:id="12"/>
    <w:sectPr w:rsidR="009F7A60" w:rsidRPr="009F7A60" w:rsidSect="00DA1889">
      <w:headerReference w:type="default" r:id="rId11"/>
      <w:type w:val="oddPage"/>
      <w:pgSz w:w="11907" w:h="16840" w:code="9"/>
      <w:pgMar w:top="709" w:right="1134" w:bottom="993" w:left="1134" w:header="720" w:footer="40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89" w:rsidRDefault="00DA1889">
      <w:r>
        <w:separator/>
      </w:r>
    </w:p>
  </w:endnote>
  <w:endnote w:type="continuationSeparator" w:id="0">
    <w:p w:rsidR="00DA1889" w:rsidRDefault="00DA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89" w:rsidRDefault="00DA1889">
      <w:r>
        <w:separator/>
      </w:r>
    </w:p>
  </w:footnote>
  <w:footnote w:type="continuationSeparator" w:id="0">
    <w:p w:rsidR="00DA1889" w:rsidRDefault="00DA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89" w:rsidRDefault="00DA1889">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D4"/>
    <w:multiLevelType w:val="hybridMultilevel"/>
    <w:tmpl w:val="E48C8808"/>
    <w:lvl w:ilvl="0" w:tplc="1C5C668A">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7C666F"/>
    <w:multiLevelType w:val="hybridMultilevel"/>
    <w:tmpl w:val="DAC8C7A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4A1F537F"/>
    <w:multiLevelType w:val="hybridMultilevel"/>
    <w:tmpl w:val="F1DE7B06"/>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A46744"/>
    <w:multiLevelType w:val="hybridMultilevel"/>
    <w:tmpl w:val="ACB4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4E7E69"/>
    <w:multiLevelType w:val="hybridMultilevel"/>
    <w:tmpl w:val="A0E636F0"/>
    <w:lvl w:ilvl="0" w:tplc="122678C0">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267C6F"/>
    <w:multiLevelType w:val="hybridMultilevel"/>
    <w:tmpl w:val="1D3A90E6"/>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5209690B"/>
    <w:multiLevelType w:val="hybridMultilevel"/>
    <w:tmpl w:val="2DEE48FE"/>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7E2252"/>
    <w:multiLevelType w:val="hybridMultilevel"/>
    <w:tmpl w:val="6476A204"/>
    <w:lvl w:ilvl="0" w:tplc="E5E046F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8CC4184"/>
    <w:multiLevelType w:val="hybridMultilevel"/>
    <w:tmpl w:val="3A2E7DAE"/>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5C561948"/>
    <w:multiLevelType w:val="hybridMultilevel"/>
    <w:tmpl w:val="4850763A"/>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D32945"/>
    <w:multiLevelType w:val="hybridMultilevel"/>
    <w:tmpl w:val="E7508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EB339F"/>
    <w:multiLevelType w:val="hybridMultilevel"/>
    <w:tmpl w:val="38B8609E"/>
    <w:lvl w:ilvl="0" w:tplc="8F448FC0">
      <w:start w:val="1"/>
      <w:numFmt w:val="bullet"/>
      <w:lvlText w:val=""/>
      <w:lvlJc w:val="left"/>
      <w:pPr>
        <w:tabs>
          <w:tab w:val="num" w:pos="405"/>
        </w:tabs>
        <w:ind w:left="40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967DA1"/>
    <w:multiLevelType w:val="hybridMultilevel"/>
    <w:tmpl w:val="C458E49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9B0064"/>
    <w:multiLevelType w:val="hybridMultilevel"/>
    <w:tmpl w:val="6C6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FE1AAE"/>
    <w:multiLevelType w:val="hybridMultilevel"/>
    <w:tmpl w:val="105255BC"/>
    <w:lvl w:ilvl="0" w:tplc="9620B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6"/>
  </w:num>
  <w:num w:numId="5">
    <w:abstractNumId w:val="0"/>
  </w:num>
  <w:num w:numId="6">
    <w:abstractNumId w:val="13"/>
  </w:num>
  <w:num w:numId="7">
    <w:abstractNumId w:val="9"/>
  </w:num>
  <w:num w:numId="8">
    <w:abstractNumId w:val="7"/>
  </w:num>
  <w:num w:numId="9">
    <w:abstractNumId w:val="3"/>
  </w:num>
  <w:num w:numId="10">
    <w:abstractNumId w:val="1"/>
  </w:num>
  <w:num w:numId="11">
    <w:abstractNumId w:val="10"/>
  </w:num>
  <w:num w:numId="12">
    <w:abstractNumId w:val="15"/>
  </w:num>
  <w:num w:numId="13">
    <w:abstractNumId w:val="8"/>
  </w:num>
  <w:num w:numId="14">
    <w:abstractNumId w:val="4"/>
  </w:num>
  <w:num w:numId="15">
    <w:abstractNumId w:val="1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A"/>
    <w:rsid w:val="000206BE"/>
    <w:rsid w:val="00021B1D"/>
    <w:rsid w:val="00030C48"/>
    <w:rsid w:val="0003109E"/>
    <w:rsid w:val="00036EB8"/>
    <w:rsid w:val="00043657"/>
    <w:rsid w:val="00050C23"/>
    <w:rsid w:val="00057A3A"/>
    <w:rsid w:val="000610BD"/>
    <w:rsid w:val="0006765E"/>
    <w:rsid w:val="00070962"/>
    <w:rsid w:val="00085BC4"/>
    <w:rsid w:val="0009665C"/>
    <w:rsid w:val="000A6D6D"/>
    <w:rsid w:val="000B1406"/>
    <w:rsid w:val="000B29F3"/>
    <w:rsid w:val="000D0EE1"/>
    <w:rsid w:val="000D1E5C"/>
    <w:rsid w:val="000D2100"/>
    <w:rsid w:val="000D261E"/>
    <w:rsid w:val="001231DD"/>
    <w:rsid w:val="00147C12"/>
    <w:rsid w:val="00167AC8"/>
    <w:rsid w:val="00170EBB"/>
    <w:rsid w:val="001B1E8C"/>
    <w:rsid w:val="001B6625"/>
    <w:rsid w:val="001C2E58"/>
    <w:rsid w:val="001F4893"/>
    <w:rsid w:val="00206077"/>
    <w:rsid w:val="00236153"/>
    <w:rsid w:val="002514ED"/>
    <w:rsid w:val="002539DE"/>
    <w:rsid w:val="00282398"/>
    <w:rsid w:val="002A2C48"/>
    <w:rsid w:val="002B0B79"/>
    <w:rsid w:val="002B773B"/>
    <w:rsid w:val="002D30F4"/>
    <w:rsid w:val="002E09D6"/>
    <w:rsid w:val="002F383C"/>
    <w:rsid w:val="003067FA"/>
    <w:rsid w:val="00310B3C"/>
    <w:rsid w:val="003660F2"/>
    <w:rsid w:val="00371F90"/>
    <w:rsid w:val="003907BB"/>
    <w:rsid w:val="00396965"/>
    <w:rsid w:val="003A4954"/>
    <w:rsid w:val="003A715D"/>
    <w:rsid w:val="003B0C7E"/>
    <w:rsid w:val="003C3284"/>
    <w:rsid w:val="003D3A48"/>
    <w:rsid w:val="003D431F"/>
    <w:rsid w:val="003D6118"/>
    <w:rsid w:val="004039E2"/>
    <w:rsid w:val="0040730B"/>
    <w:rsid w:val="00441754"/>
    <w:rsid w:val="00466124"/>
    <w:rsid w:val="004862D2"/>
    <w:rsid w:val="004A0302"/>
    <w:rsid w:val="004A5213"/>
    <w:rsid w:val="004C0311"/>
    <w:rsid w:val="004E5D12"/>
    <w:rsid w:val="00504D24"/>
    <w:rsid w:val="00507CD4"/>
    <w:rsid w:val="00511D19"/>
    <w:rsid w:val="00536847"/>
    <w:rsid w:val="005416B7"/>
    <w:rsid w:val="00543979"/>
    <w:rsid w:val="00544D83"/>
    <w:rsid w:val="0054632E"/>
    <w:rsid w:val="00546AE3"/>
    <w:rsid w:val="00560AEC"/>
    <w:rsid w:val="00572C31"/>
    <w:rsid w:val="00573B63"/>
    <w:rsid w:val="0057778F"/>
    <w:rsid w:val="00583C1B"/>
    <w:rsid w:val="00587271"/>
    <w:rsid w:val="005962DB"/>
    <w:rsid w:val="005A7D42"/>
    <w:rsid w:val="005D1435"/>
    <w:rsid w:val="005D6136"/>
    <w:rsid w:val="006232AC"/>
    <w:rsid w:val="00634512"/>
    <w:rsid w:val="00640551"/>
    <w:rsid w:val="0064126C"/>
    <w:rsid w:val="00647B7F"/>
    <w:rsid w:val="00652FF6"/>
    <w:rsid w:val="00654F32"/>
    <w:rsid w:val="0069652C"/>
    <w:rsid w:val="006B6DC2"/>
    <w:rsid w:val="006C0E7B"/>
    <w:rsid w:val="006D0612"/>
    <w:rsid w:val="006D624C"/>
    <w:rsid w:val="006F7E73"/>
    <w:rsid w:val="00701328"/>
    <w:rsid w:val="00701848"/>
    <w:rsid w:val="00707FAD"/>
    <w:rsid w:val="007264DF"/>
    <w:rsid w:val="007620BE"/>
    <w:rsid w:val="0079150B"/>
    <w:rsid w:val="007945FF"/>
    <w:rsid w:val="007957BE"/>
    <w:rsid w:val="007C116A"/>
    <w:rsid w:val="007D0723"/>
    <w:rsid w:val="007E1F15"/>
    <w:rsid w:val="007F673E"/>
    <w:rsid w:val="0081032C"/>
    <w:rsid w:val="00810AE4"/>
    <w:rsid w:val="00816ED1"/>
    <w:rsid w:val="00841742"/>
    <w:rsid w:val="00855FF0"/>
    <w:rsid w:val="008873A4"/>
    <w:rsid w:val="0089630A"/>
    <w:rsid w:val="008E133E"/>
    <w:rsid w:val="008E60A4"/>
    <w:rsid w:val="008F64A1"/>
    <w:rsid w:val="00923B18"/>
    <w:rsid w:val="0092563E"/>
    <w:rsid w:val="00934386"/>
    <w:rsid w:val="00936EA6"/>
    <w:rsid w:val="0094114E"/>
    <w:rsid w:val="0096070E"/>
    <w:rsid w:val="0096715B"/>
    <w:rsid w:val="009709A0"/>
    <w:rsid w:val="00980211"/>
    <w:rsid w:val="009926D2"/>
    <w:rsid w:val="009E3FE3"/>
    <w:rsid w:val="009F6C76"/>
    <w:rsid w:val="009F7A60"/>
    <w:rsid w:val="00A5221C"/>
    <w:rsid w:val="00A66F49"/>
    <w:rsid w:val="00A84DE4"/>
    <w:rsid w:val="00A95138"/>
    <w:rsid w:val="00AD2591"/>
    <w:rsid w:val="00AE29BC"/>
    <w:rsid w:val="00AE32C9"/>
    <w:rsid w:val="00B10228"/>
    <w:rsid w:val="00B14A4F"/>
    <w:rsid w:val="00B41A73"/>
    <w:rsid w:val="00B44C9D"/>
    <w:rsid w:val="00B63D11"/>
    <w:rsid w:val="00B703D8"/>
    <w:rsid w:val="00B75EB4"/>
    <w:rsid w:val="00B85342"/>
    <w:rsid w:val="00B93874"/>
    <w:rsid w:val="00BF1F82"/>
    <w:rsid w:val="00BF724C"/>
    <w:rsid w:val="00C07D30"/>
    <w:rsid w:val="00C37172"/>
    <w:rsid w:val="00C41E0B"/>
    <w:rsid w:val="00C63D02"/>
    <w:rsid w:val="00C705CC"/>
    <w:rsid w:val="00C92ED4"/>
    <w:rsid w:val="00CA5F44"/>
    <w:rsid w:val="00CA722D"/>
    <w:rsid w:val="00CB2527"/>
    <w:rsid w:val="00CF462E"/>
    <w:rsid w:val="00CF704D"/>
    <w:rsid w:val="00D13646"/>
    <w:rsid w:val="00D56FAA"/>
    <w:rsid w:val="00D61F2D"/>
    <w:rsid w:val="00D656BF"/>
    <w:rsid w:val="00D66FE4"/>
    <w:rsid w:val="00D91A6A"/>
    <w:rsid w:val="00DA1889"/>
    <w:rsid w:val="00DA52CC"/>
    <w:rsid w:val="00DB3027"/>
    <w:rsid w:val="00DB5154"/>
    <w:rsid w:val="00DD543D"/>
    <w:rsid w:val="00DE4652"/>
    <w:rsid w:val="00E045D4"/>
    <w:rsid w:val="00E0481D"/>
    <w:rsid w:val="00E060C2"/>
    <w:rsid w:val="00E1375F"/>
    <w:rsid w:val="00E32EA5"/>
    <w:rsid w:val="00E43331"/>
    <w:rsid w:val="00E4565A"/>
    <w:rsid w:val="00E4760B"/>
    <w:rsid w:val="00E86BDE"/>
    <w:rsid w:val="00E9013F"/>
    <w:rsid w:val="00E91DDC"/>
    <w:rsid w:val="00ED51AD"/>
    <w:rsid w:val="00EE63B5"/>
    <w:rsid w:val="00F132F2"/>
    <w:rsid w:val="00F321A7"/>
    <w:rsid w:val="00F55F5A"/>
    <w:rsid w:val="00F804B7"/>
    <w:rsid w:val="00F82B32"/>
    <w:rsid w:val="00FB02A9"/>
    <w:rsid w:val="00FC04E2"/>
    <w:rsid w:val="00FC0A58"/>
    <w:rsid w:val="00FC20AF"/>
    <w:rsid w:val="00FD496A"/>
    <w:rsid w:val="00FE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31AE05B"/>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CC"/>
    <w:rPr>
      <w:rFonts w:ascii="Arial" w:hAnsi="Arial"/>
    </w:rPr>
  </w:style>
  <w:style w:type="paragraph" w:styleId="Heading1">
    <w:name w:val="heading 1"/>
    <w:basedOn w:val="Normal"/>
    <w:next w:val="Normal"/>
    <w:qFormat/>
    <w:rsid w:val="00D56FAA"/>
    <w:pPr>
      <w:keepNext/>
      <w:tabs>
        <w:tab w:val="right" w:pos="10490"/>
      </w:tabs>
      <w:outlineLvl w:val="0"/>
    </w:pPr>
    <w:rPr>
      <w:color w:val="347B9F"/>
      <w:sz w:val="36"/>
    </w:rPr>
  </w:style>
  <w:style w:type="paragraph" w:styleId="Heading2">
    <w:name w:val="heading 2"/>
    <w:basedOn w:val="Normal"/>
    <w:next w:val="Normal"/>
    <w:qFormat/>
    <w:rsid w:val="000D0EE1"/>
    <w:pPr>
      <w:keepNext/>
      <w:spacing w:before="240" w:after="60"/>
      <w:outlineLvl w:val="1"/>
    </w:pPr>
    <w:rPr>
      <w:color w:val="357B9F"/>
      <w:sz w:val="28"/>
    </w:rPr>
  </w:style>
  <w:style w:type="paragraph" w:styleId="Heading3">
    <w:name w:val="heading 3"/>
    <w:basedOn w:val="Normal"/>
    <w:next w:val="Normal"/>
    <w:qFormat/>
    <w:rsid w:val="00D56FAA"/>
    <w:pPr>
      <w:keepNext/>
      <w:spacing w:before="240" w:after="60"/>
      <w:outlineLvl w:val="2"/>
    </w:pPr>
    <w:rPr>
      <w:rFonts w:cs="Arial"/>
      <w:bCs/>
      <w:color w:val="347B9F"/>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705CC"/>
    <w:pPr>
      <w:tabs>
        <w:tab w:val="right" w:leader="dot" w:pos="9629"/>
      </w:tabs>
      <w:spacing w:before="360"/>
    </w:pPr>
    <w:rPr>
      <w:bCs/>
      <w:noProof/>
      <w:color w:val="000000" w:themeColor="text1"/>
      <w:sz w:val="22"/>
      <w:szCs w:val="24"/>
    </w:rPr>
  </w:style>
  <w:style w:type="paragraph" w:styleId="TOC2">
    <w:name w:val="toc 2"/>
    <w:basedOn w:val="Normal"/>
    <w:next w:val="Normal"/>
    <w:autoRedefine/>
    <w:uiPriority w:val="39"/>
    <w:qFormat/>
    <w:rsid w:val="00ED51AD"/>
    <w:pPr>
      <w:spacing w:before="24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rsid w:val="00D56FAA"/>
    <w:pPr>
      <w:tabs>
        <w:tab w:val="center" w:pos="4153"/>
        <w:tab w:val="right" w:pos="8306"/>
      </w:tabs>
    </w:pPr>
    <w:rPr>
      <w:color w:val="373D41"/>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C705CC"/>
    <w:pPr>
      <w:ind w:left="200"/>
    </w:pPr>
    <w:rPr>
      <w:rFonts w:asciiTheme="minorHAnsi" w:hAnsiTheme="minorHAnsi" w:cstheme="minorHAns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167A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57D9-12E6-487B-8ED1-6B440E3C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9987</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Mackayla Jeffries</cp:lastModifiedBy>
  <cp:revision>3</cp:revision>
  <cp:lastPrinted>2007-01-22T23:37:00Z</cp:lastPrinted>
  <dcterms:created xsi:type="dcterms:W3CDTF">2020-09-04T04:55:00Z</dcterms:created>
  <dcterms:modified xsi:type="dcterms:W3CDTF">2020-12-22T05:54:00Z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