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7608509"/>
        <w:docPartObj>
          <w:docPartGallery w:val="Cover Pages"/>
          <w:docPartUnique/>
        </w:docPartObj>
      </w:sdtPr>
      <w:sdtEndPr>
        <w:rPr>
          <w:sz w:val="2"/>
          <w:szCs w:val="2"/>
        </w:rPr>
      </w:sdtEndPr>
      <w:sdtContent>
        <w:p w14:paraId="5D316166" w14:textId="7013E65C" w:rsidR="00A16356" w:rsidRDefault="00FB2C8C" w:rsidP="004A2375">
          <w:pPr>
            <w:spacing w:before="1440"/>
          </w:pPr>
          <w:r w:rsidRPr="00F63848">
            <w:rPr>
              <w:noProof/>
              <w:lang w:eastAsia="en-AU"/>
            </w:rPr>
            <w:drawing>
              <wp:inline distT="0" distB="0" distL="0" distR="0" wp14:anchorId="46794305" wp14:editId="350CEA5D">
                <wp:extent cx="3259015" cy="1066800"/>
                <wp:effectExtent l="0" t="0" r="0" b="0"/>
                <wp:docPr id="1" name="Picture 1"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28568038" w14:textId="77777777" w:rsidR="004A2375" w:rsidRDefault="004A2375"/>
        <w:p w14:paraId="21968C12" w14:textId="0D9C5E3A" w:rsidR="00FB2C8C" w:rsidRDefault="00FB2C8C"/>
        <w:p w14:paraId="2484254B" w14:textId="77777777" w:rsidR="00FB2C8C" w:rsidRDefault="00FB2C8C" w:rsidP="00655A3C">
          <w:pPr>
            <w:pStyle w:val="Title"/>
          </w:pPr>
        </w:p>
        <w:p w14:paraId="5BF6498B" w14:textId="77777777" w:rsidR="00FB2C8C" w:rsidRDefault="00FB2C8C" w:rsidP="00655A3C">
          <w:pPr>
            <w:pStyle w:val="Title"/>
          </w:pPr>
        </w:p>
        <w:p w14:paraId="76A4ADF2" w14:textId="77777777" w:rsidR="00FB2C8C" w:rsidRDefault="00FB2C8C" w:rsidP="00655A3C">
          <w:pPr>
            <w:pStyle w:val="Title"/>
          </w:pPr>
        </w:p>
        <w:p w14:paraId="3993AD59" w14:textId="59217E2D" w:rsidR="00FB2C8C" w:rsidRDefault="00C0078B" w:rsidP="00655A3C">
          <w:pPr>
            <w:pStyle w:val="Title"/>
          </w:pPr>
          <w:r>
            <w:t>Review of the Education (General Provisions) Act 2006</w:t>
          </w:r>
        </w:p>
        <w:p w14:paraId="6CCD287D" w14:textId="01191051" w:rsidR="00FB2C8C" w:rsidRPr="001A3B3D" w:rsidRDefault="00FB2C8C" w:rsidP="00655A3C">
          <w:pPr>
            <w:pStyle w:val="Title"/>
          </w:pPr>
          <w:r>
            <w:t xml:space="preserve"> </w:t>
          </w:r>
        </w:p>
        <w:p w14:paraId="5C47798E" w14:textId="77777777" w:rsidR="00FB2C8C" w:rsidRPr="00623DEA" w:rsidRDefault="00FB2C8C" w:rsidP="00C121E8">
          <w:pPr>
            <w:spacing w:before="240"/>
            <w:rPr>
              <w:rFonts w:ascii="Arial" w:hAnsi="Arial" w:cs="Arial"/>
              <w:color w:val="004270"/>
              <w:sz w:val="36"/>
              <w:szCs w:val="36"/>
            </w:rPr>
          </w:pPr>
          <w:bookmarkStart w:id="0" w:name="_Ref101959708"/>
          <w:r w:rsidRPr="00623DEA">
            <w:rPr>
              <w:rFonts w:ascii="Arial" w:hAnsi="Arial" w:cs="Arial"/>
              <w:color w:val="004270"/>
              <w:sz w:val="36"/>
              <w:szCs w:val="36"/>
            </w:rPr>
            <w:t>Submission to</w:t>
          </w:r>
          <w:bookmarkEnd w:id="0"/>
        </w:p>
        <w:p w14:paraId="62E7E326" w14:textId="419C8A9C" w:rsidR="00FB2C8C" w:rsidRPr="00623DEA" w:rsidRDefault="00FB2C8C" w:rsidP="00C121E8">
          <w:pPr>
            <w:spacing w:before="240"/>
            <w:rPr>
              <w:rFonts w:ascii="Arial" w:hAnsi="Arial" w:cs="Arial"/>
              <w:color w:val="004270"/>
              <w:sz w:val="36"/>
              <w:szCs w:val="36"/>
            </w:rPr>
          </w:pPr>
          <w:r w:rsidRPr="00623DEA">
            <w:rPr>
              <w:rFonts w:ascii="Arial" w:hAnsi="Arial" w:cs="Arial"/>
              <w:color w:val="004270"/>
              <w:sz w:val="36"/>
              <w:szCs w:val="36"/>
            </w:rPr>
            <w:t xml:space="preserve">Department of </w:t>
          </w:r>
          <w:r w:rsidR="00C0078B" w:rsidRPr="00623DEA">
            <w:rPr>
              <w:rFonts w:ascii="Arial" w:hAnsi="Arial" w:cs="Arial"/>
              <w:color w:val="004270"/>
              <w:sz w:val="36"/>
              <w:szCs w:val="36"/>
            </w:rPr>
            <w:t>Education</w:t>
          </w:r>
          <w:r w:rsidRPr="00623DEA">
            <w:rPr>
              <w:rFonts w:ascii="Arial" w:hAnsi="Arial" w:cs="Arial"/>
              <w:color w:val="004270"/>
              <w:sz w:val="36"/>
              <w:szCs w:val="36"/>
            </w:rPr>
            <w:t xml:space="preserve"> </w:t>
          </w:r>
        </w:p>
        <w:p w14:paraId="65E36D36" w14:textId="23A9B4E3" w:rsidR="00FB2C8C" w:rsidRPr="00623DEA" w:rsidRDefault="00FB2C8C">
          <w:pPr>
            <w:rPr>
              <w:color w:val="004270"/>
            </w:rPr>
          </w:pPr>
        </w:p>
        <w:p w14:paraId="408D350B" w14:textId="0438B2E7" w:rsidR="009A78D6" w:rsidRPr="00623DEA" w:rsidRDefault="009A78D6">
          <w:pPr>
            <w:rPr>
              <w:color w:val="004270"/>
            </w:rPr>
          </w:pPr>
        </w:p>
        <w:p w14:paraId="0E33FB79" w14:textId="77777777" w:rsidR="009A78D6" w:rsidRPr="00623DEA" w:rsidRDefault="009A78D6">
          <w:pPr>
            <w:rPr>
              <w:color w:val="004270"/>
            </w:rPr>
          </w:pPr>
        </w:p>
        <w:p w14:paraId="4C5AA4B2" w14:textId="54D4245A" w:rsidR="00FB2C8C" w:rsidRPr="00623DEA" w:rsidRDefault="009A78D6" w:rsidP="009A78D6">
          <w:pPr>
            <w:rPr>
              <w:rFonts w:ascii="Arial" w:hAnsi="Arial" w:cs="Arial"/>
              <w:color w:val="004270"/>
              <w:sz w:val="28"/>
              <w:szCs w:val="28"/>
            </w:rPr>
          </w:pPr>
          <w:r w:rsidRPr="00623DEA">
            <w:rPr>
              <w:rFonts w:ascii="Arial" w:hAnsi="Arial" w:cs="Arial"/>
              <w:color w:val="004270"/>
              <w:sz w:val="28"/>
              <w:szCs w:val="28"/>
            </w:rPr>
            <w:t>29 April 2022</w:t>
          </w:r>
        </w:p>
        <w:p w14:paraId="3309F1E7" w14:textId="77777777" w:rsidR="00FB2C8C" w:rsidRDefault="00FB2C8C">
          <w:pPr>
            <w:rPr>
              <w:rFonts w:ascii="Arial" w:eastAsiaTheme="majorEastAsia" w:hAnsi="Arial" w:cstheme="majorBidi"/>
              <w:b/>
              <w:color w:val="365F91" w:themeColor="accent1" w:themeShade="BF"/>
              <w:sz w:val="2"/>
              <w:szCs w:val="2"/>
            </w:rPr>
          </w:pPr>
          <w:r>
            <w:rPr>
              <w:rFonts w:ascii="Arial" w:eastAsiaTheme="majorEastAsia" w:hAnsi="Arial" w:cstheme="majorBidi"/>
              <w:b/>
              <w:color w:val="365F91" w:themeColor="accent1" w:themeShade="BF"/>
              <w:sz w:val="2"/>
              <w:szCs w:val="2"/>
            </w:rPr>
            <w:br w:type="page"/>
          </w:r>
        </w:p>
        <w:p w14:paraId="54BC9ABF" w14:textId="573F50C1" w:rsidR="00A16356" w:rsidRPr="00D207AB" w:rsidRDefault="00623DEA">
          <w:pPr>
            <w:rPr>
              <w:rFonts w:ascii="Arial" w:eastAsiaTheme="majorEastAsia" w:hAnsi="Arial" w:cstheme="majorBidi"/>
              <w:b/>
              <w:color w:val="365F91" w:themeColor="accent1" w:themeShade="BF"/>
              <w:sz w:val="2"/>
              <w:szCs w:val="2"/>
            </w:rPr>
          </w:pPr>
        </w:p>
      </w:sdtContent>
    </w:sdt>
    <w:bookmarkStart w:id="1" w:name="_Toc95749976" w:displacedByCustomXml="next"/>
    <w:bookmarkStart w:id="2" w:name="_Toc102043854" w:displacedByCustomXml="next"/>
    <w:bookmarkStart w:id="3" w:name="_Toc102062272" w:displacedByCustomXml="next"/>
    <w:sdt>
      <w:sdtPr>
        <w:rPr>
          <w:rFonts w:asciiTheme="minorHAnsi" w:eastAsiaTheme="minorEastAsia" w:hAnsiTheme="minorHAnsi" w:cstheme="minorBidi"/>
          <w:b/>
          <w:bCs/>
          <w:noProof/>
          <w:color w:val="auto"/>
          <w:sz w:val="24"/>
          <w:szCs w:val="24"/>
          <w:lang w:val="en-US"/>
        </w:rPr>
        <w:id w:val="-331140652"/>
        <w:docPartObj>
          <w:docPartGallery w:val="Table of Contents"/>
          <w:docPartUnique/>
        </w:docPartObj>
      </w:sdtPr>
      <w:sdtEndPr>
        <w:rPr>
          <w:rFonts w:ascii="Arial" w:hAnsi="Arial" w:cs="Arial"/>
          <w:lang w:val="en-AU"/>
        </w:rPr>
      </w:sdtEndPr>
      <w:sdtContent>
        <w:p w14:paraId="62897D35" w14:textId="3D846371" w:rsidR="00A16356" w:rsidRPr="00AE2AB7" w:rsidRDefault="00A16356" w:rsidP="00655A3C">
          <w:pPr>
            <w:pStyle w:val="Heading1"/>
          </w:pPr>
          <w:r w:rsidRPr="00AE2AB7">
            <w:t xml:space="preserve">Table of </w:t>
          </w:r>
          <w:r w:rsidR="00623DEA">
            <w:t>c</w:t>
          </w:r>
          <w:r w:rsidRPr="00AE2AB7">
            <w:t>ontents</w:t>
          </w:r>
          <w:bookmarkEnd w:id="3"/>
          <w:bookmarkEnd w:id="2"/>
          <w:bookmarkEnd w:id="1"/>
        </w:p>
        <w:p w14:paraId="018D7742" w14:textId="6EB2E19D" w:rsidR="00A817E2" w:rsidRPr="00A817E2" w:rsidRDefault="00A16356">
          <w:pPr>
            <w:pStyle w:val="TOC1"/>
            <w:rPr>
              <w:b w:val="0"/>
              <w:bCs w:val="0"/>
              <w:lang w:eastAsia="en-AU"/>
            </w:rPr>
          </w:pPr>
          <w:r w:rsidRPr="00895769">
            <w:rPr>
              <w:b w:val="0"/>
              <w:bCs w:val="0"/>
              <w:i/>
              <w:iCs/>
              <w:noProof w:val="0"/>
            </w:rPr>
            <w:fldChar w:fldCharType="begin"/>
          </w:r>
          <w:r w:rsidRPr="00895769">
            <w:instrText xml:space="preserve"> TOC \o "1-3" \h \z \u </w:instrText>
          </w:r>
          <w:r w:rsidRPr="00895769">
            <w:rPr>
              <w:b w:val="0"/>
              <w:bCs w:val="0"/>
              <w:i/>
              <w:iCs/>
              <w:noProof w:val="0"/>
            </w:rPr>
            <w:fldChar w:fldCharType="separate"/>
          </w:r>
          <w:hyperlink w:anchor="_Toc102062272" w:history="1">
            <w:r w:rsidR="00A817E2" w:rsidRPr="00A817E2">
              <w:rPr>
                <w:rStyle w:val="Hyperlink"/>
              </w:rPr>
              <w:t xml:space="preserve">Table of </w:t>
            </w:r>
            <w:r w:rsidR="00623DEA">
              <w:rPr>
                <w:rStyle w:val="Hyperlink"/>
              </w:rPr>
              <w:t>c</w:t>
            </w:r>
            <w:r w:rsidR="00A817E2" w:rsidRPr="00A817E2">
              <w:rPr>
                <w:rStyle w:val="Hyperlink"/>
              </w:rPr>
              <w:t>ontents</w:t>
            </w:r>
            <w:r w:rsidR="00A817E2" w:rsidRPr="00A817E2">
              <w:rPr>
                <w:webHidden/>
              </w:rPr>
              <w:tab/>
            </w:r>
            <w:r w:rsidR="00A817E2" w:rsidRPr="00A817E2">
              <w:rPr>
                <w:webHidden/>
              </w:rPr>
              <w:fldChar w:fldCharType="begin"/>
            </w:r>
            <w:r w:rsidR="00A817E2" w:rsidRPr="00A817E2">
              <w:rPr>
                <w:webHidden/>
              </w:rPr>
              <w:instrText xml:space="preserve"> PAGEREF _Toc102062272 \h </w:instrText>
            </w:r>
            <w:r w:rsidR="00A817E2" w:rsidRPr="00A817E2">
              <w:rPr>
                <w:webHidden/>
              </w:rPr>
            </w:r>
            <w:r w:rsidR="00A817E2" w:rsidRPr="00A817E2">
              <w:rPr>
                <w:webHidden/>
              </w:rPr>
              <w:fldChar w:fldCharType="separate"/>
            </w:r>
            <w:r w:rsidR="00F35668">
              <w:rPr>
                <w:webHidden/>
              </w:rPr>
              <w:t>2</w:t>
            </w:r>
            <w:r w:rsidR="00A817E2" w:rsidRPr="00A817E2">
              <w:rPr>
                <w:webHidden/>
              </w:rPr>
              <w:fldChar w:fldCharType="end"/>
            </w:r>
          </w:hyperlink>
        </w:p>
        <w:p w14:paraId="2B24C138" w14:textId="7E95130E" w:rsidR="00A817E2" w:rsidRPr="00A817E2" w:rsidRDefault="00623DEA">
          <w:pPr>
            <w:pStyle w:val="TOC1"/>
            <w:rPr>
              <w:b w:val="0"/>
              <w:bCs w:val="0"/>
              <w:lang w:eastAsia="en-AU"/>
            </w:rPr>
          </w:pPr>
          <w:hyperlink w:anchor="_Toc102062273" w:history="1">
            <w:r w:rsidR="00A817E2" w:rsidRPr="00A817E2">
              <w:rPr>
                <w:rStyle w:val="Hyperlink"/>
              </w:rPr>
              <w:t>Summary</w:t>
            </w:r>
            <w:r w:rsidR="00A817E2" w:rsidRPr="00A817E2">
              <w:rPr>
                <w:webHidden/>
              </w:rPr>
              <w:tab/>
            </w:r>
            <w:r w:rsidR="00A817E2" w:rsidRPr="00A817E2">
              <w:rPr>
                <w:webHidden/>
              </w:rPr>
              <w:fldChar w:fldCharType="begin"/>
            </w:r>
            <w:r w:rsidR="00A817E2" w:rsidRPr="00A817E2">
              <w:rPr>
                <w:webHidden/>
              </w:rPr>
              <w:instrText xml:space="preserve"> PAGEREF _Toc102062273 \h </w:instrText>
            </w:r>
            <w:r w:rsidR="00A817E2" w:rsidRPr="00A817E2">
              <w:rPr>
                <w:webHidden/>
              </w:rPr>
            </w:r>
            <w:r w:rsidR="00A817E2" w:rsidRPr="00A817E2">
              <w:rPr>
                <w:webHidden/>
              </w:rPr>
              <w:fldChar w:fldCharType="separate"/>
            </w:r>
            <w:r w:rsidR="00F35668">
              <w:rPr>
                <w:webHidden/>
              </w:rPr>
              <w:t>3</w:t>
            </w:r>
            <w:r w:rsidR="00A817E2" w:rsidRPr="00A817E2">
              <w:rPr>
                <w:webHidden/>
              </w:rPr>
              <w:fldChar w:fldCharType="end"/>
            </w:r>
          </w:hyperlink>
        </w:p>
        <w:p w14:paraId="3C155B8F" w14:textId="4951EB9A" w:rsidR="00A817E2" w:rsidRPr="00A817E2" w:rsidRDefault="00623DEA">
          <w:pPr>
            <w:pStyle w:val="TOC1"/>
            <w:rPr>
              <w:b w:val="0"/>
              <w:bCs w:val="0"/>
              <w:lang w:eastAsia="en-AU"/>
            </w:rPr>
          </w:pPr>
          <w:hyperlink w:anchor="_Toc102062274" w:history="1">
            <w:r w:rsidR="00A817E2" w:rsidRPr="00A817E2">
              <w:rPr>
                <w:rStyle w:val="Hyperlink"/>
              </w:rPr>
              <w:t>Introduction</w:t>
            </w:r>
            <w:r w:rsidR="00A817E2" w:rsidRPr="00A817E2">
              <w:rPr>
                <w:webHidden/>
              </w:rPr>
              <w:tab/>
            </w:r>
            <w:r w:rsidR="00A817E2" w:rsidRPr="00A817E2">
              <w:rPr>
                <w:webHidden/>
              </w:rPr>
              <w:fldChar w:fldCharType="begin"/>
            </w:r>
            <w:r w:rsidR="00A817E2" w:rsidRPr="00A817E2">
              <w:rPr>
                <w:webHidden/>
              </w:rPr>
              <w:instrText xml:space="preserve"> PAGEREF _Toc102062274 \h </w:instrText>
            </w:r>
            <w:r w:rsidR="00A817E2" w:rsidRPr="00A817E2">
              <w:rPr>
                <w:webHidden/>
              </w:rPr>
            </w:r>
            <w:r w:rsidR="00A817E2" w:rsidRPr="00A817E2">
              <w:rPr>
                <w:webHidden/>
              </w:rPr>
              <w:fldChar w:fldCharType="separate"/>
            </w:r>
            <w:r w:rsidR="00F35668">
              <w:rPr>
                <w:webHidden/>
              </w:rPr>
              <w:t>4</w:t>
            </w:r>
            <w:r w:rsidR="00A817E2" w:rsidRPr="00A817E2">
              <w:rPr>
                <w:webHidden/>
              </w:rPr>
              <w:fldChar w:fldCharType="end"/>
            </w:r>
          </w:hyperlink>
        </w:p>
        <w:p w14:paraId="1A66569B" w14:textId="2DC92619" w:rsidR="00A817E2" w:rsidRPr="00A817E2" w:rsidRDefault="00623DEA">
          <w:pPr>
            <w:pStyle w:val="TOC1"/>
            <w:rPr>
              <w:b w:val="0"/>
              <w:bCs w:val="0"/>
              <w:lang w:eastAsia="en-AU"/>
            </w:rPr>
          </w:pPr>
          <w:hyperlink w:anchor="_Toc102062275" w:history="1">
            <w:r w:rsidR="00A817E2" w:rsidRPr="00A817E2">
              <w:rPr>
                <w:rStyle w:val="Hyperlink"/>
              </w:rPr>
              <w:t>Education and human rights</w:t>
            </w:r>
            <w:r w:rsidR="00A817E2" w:rsidRPr="00A817E2">
              <w:rPr>
                <w:webHidden/>
              </w:rPr>
              <w:tab/>
            </w:r>
            <w:r w:rsidR="00A817E2" w:rsidRPr="00A817E2">
              <w:rPr>
                <w:webHidden/>
              </w:rPr>
              <w:fldChar w:fldCharType="begin"/>
            </w:r>
            <w:r w:rsidR="00A817E2" w:rsidRPr="00A817E2">
              <w:rPr>
                <w:webHidden/>
              </w:rPr>
              <w:instrText xml:space="preserve"> PAGEREF _Toc102062275 \h </w:instrText>
            </w:r>
            <w:r w:rsidR="00A817E2" w:rsidRPr="00A817E2">
              <w:rPr>
                <w:webHidden/>
              </w:rPr>
            </w:r>
            <w:r w:rsidR="00A817E2" w:rsidRPr="00A817E2">
              <w:rPr>
                <w:webHidden/>
              </w:rPr>
              <w:fldChar w:fldCharType="separate"/>
            </w:r>
            <w:r w:rsidR="00F35668">
              <w:rPr>
                <w:webHidden/>
              </w:rPr>
              <w:t>4</w:t>
            </w:r>
            <w:r w:rsidR="00A817E2" w:rsidRPr="00A817E2">
              <w:rPr>
                <w:webHidden/>
              </w:rPr>
              <w:fldChar w:fldCharType="end"/>
            </w:r>
          </w:hyperlink>
        </w:p>
        <w:p w14:paraId="6315256A" w14:textId="31F2BDDE" w:rsidR="00A817E2" w:rsidRPr="00A817E2" w:rsidRDefault="00623DEA">
          <w:pPr>
            <w:pStyle w:val="TOC2"/>
            <w:tabs>
              <w:tab w:val="right" w:leader="dot" w:pos="8488"/>
            </w:tabs>
            <w:rPr>
              <w:rFonts w:ascii="Arial" w:hAnsi="Arial" w:cs="Arial"/>
              <w:i w:val="0"/>
              <w:iCs w:val="0"/>
              <w:noProof/>
              <w:sz w:val="24"/>
              <w:szCs w:val="24"/>
              <w:lang w:eastAsia="en-AU"/>
            </w:rPr>
          </w:pPr>
          <w:hyperlink w:anchor="_Toc102062276" w:history="1">
            <w:r w:rsidR="00A817E2" w:rsidRPr="00A817E2">
              <w:rPr>
                <w:rStyle w:val="Hyperlink"/>
                <w:rFonts w:ascii="Arial" w:hAnsi="Arial" w:cs="Arial"/>
                <w:noProof/>
                <w:sz w:val="24"/>
                <w:szCs w:val="24"/>
              </w:rPr>
              <w:t>Nature and scope of rights</w:t>
            </w:r>
            <w:r w:rsidR="00A817E2" w:rsidRPr="00A817E2">
              <w:rPr>
                <w:rFonts w:ascii="Arial" w:hAnsi="Arial" w:cs="Arial"/>
                <w:noProof/>
                <w:webHidden/>
                <w:sz w:val="24"/>
                <w:szCs w:val="24"/>
              </w:rPr>
              <w:tab/>
            </w:r>
            <w:r w:rsidR="00A817E2" w:rsidRPr="00A817E2">
              <w:rPr>
                <w:rFonts w:ascii="Arial" w:hAnsi="Arial" w:cs="Arial"/>
                <w:noProof/>
                <w:webHidden/>
                <w:sz w:val="24"/>
                <w:szCs w:val="24"/>
              </w:rPr>
              <w:fldChar w:fldCharType="begin"/>
            </w:r>
            <w:r w:rsidR="00A817E2" w:rsidRPr="00A817E2">
              <w:rPr>
                <w:rFonts w:ascii="Arial" w:hAnsi="Arial" w:cs="Arial"/>
                <w:noProof/>
                <w:webHidden/>
                <w:sz w:val="24"/>
                <w:szCs w:val="24"/>
              </w:rPr>
              <w:instrText xml:space="preserve"> PAGEREF _Toc102062276 \h </w:instrText>
            </w:r>
            <w:r w:rsidR="00A817E2" w:rsidRPr="00A817E2">
              <w:rPr>
                <w:rFonts w:ascii="Arial" w:hAnsi="Arial" w:cs="Arial"/>
                <w:noProof/>
                <w:webHidden/>
                <w:sz w:val="24"/>
                <w:szCs w:val="24"/>
              </w:rPr>
            </w:r>
            <w:r w:rsidR="00A817E2" w:rsidRPr="00A817E2">
              <w:rPr>
                <w:rFonts w:ascii="Arial" w:hAnsi="Arial" w:cs="Arial"/>
                <w:noProof/>
                <w:webHidden/>
                <w:sz w:val="24"/>
                <w:szCs w:val="24"/>
              </w:rPr>
              <w:fldChar w:fldCharType="separate"/>
            </w:r>
            <w:r w:rsidR="00F35668">
              <w:rPr>
                <w:rFonts w:ascii="Arial" w:hAnsi="Arial" w:cs="Arial"/>
                <w:noProof/>
                <w:webHidden/>
                <w:sz w:val="24"/>
                <w:szCs w:val="24"/>
              </w:rPr>
              <w:t>4</w:t>
            </w:r>
            <w:r w:rsidR="00A817E2" w:rsidRPr="00A817E2">
              <w:rPr>
                <w:rFonts w:ascii="Arial" w:hAnsi="Arial" w:cs="Arial"/>
                <w:noProof/>
                <w:webHidden/>
                <w:sz w:val="24"/>
                <w:szCs w:val="24"/>
              </w:rPr>
              <w:fldChar w:fldCharType="end"/>
            </w:r>
          </w:hyperlink>
        </w:p>
        <w:p w14:paraId="3D493AAF" w14:textId="432BFB51" w:rsidR="00A817E2" w:rsidRPr="00A817E2" w:rsidRDefault="00623DEA">
          <w:pPr>
            <w:pStyle w:val="TOC2"/>
            <w:tabs>
              <w:tab w:val="right" w:leader="dot" w:pos="8488"/>
            </w:tabs>
            <w:rPr>
              <w:rFonts w:ascii="Arial" w:hAnsi="Arial" w:cs="Arial"/>
              <w:i w:val="0"/>
              <w:iCs w:val="0"/>
              <w:noProof/>
              <w:sz w:val="24"/>
              <w:szCs w:val="24"/>
              <w:lang w:eastAsia="en-AU"/>
            </w:rPr>
          </w:pPr>
          <w:hyperlink w:anchor="_Toc102062277" w:history="1">
            <w:r w:rsidR="00A817E2" w:rsidRPr="00A817E2">
              <w:rPr>
                <w:rStyle w:val="Hyperlink"/>
                <w:rFonts w:ascii="Arial" w:hAnsi="Arial" w:cs="Arial"/>
                <w:noProof/>
                <w:sz w:val="24"/>
                <w:szCs w:val="24"/>
              </w:rPr>
              <w:t>Justification</w:t>
            </w:r>
            <w:r w:rsidR="00A817E2" w:rsidRPr="00A817E2">
              <w:rPr>
                <w:rFonts w:ascii="Arial" w:hAnsi="Arial" w:cs="Arial"/>
                <w:noProof/>
                <w:webHidden/>
                <w:sz w:val="24"/>
                <w:szCs w:val="24"/>
              </w:rPr>
              <w:tab/>
            </w:r>
            <w:r w:rsidR="00A817E2" w:rsidRPr="00A817E2">
              <w:rPr>
                <w:rFonts w:ascii="Arial" w:hAnsi="Arial" w:cs="Arial"/>
                <w:noProof/>
                <w:webHidden/>
                <w:sz w:val="24"/>
                <w:szCs w:val="24"/>
              </w:rPr>
              <w:fldChar w:fldCharType="begin"/>
            </w:r>
            <w:r w:rsidR="00A817E2" w:rsidRPr="00A817E2">
              <w:rPr>
                <w:rFonts w:ascii="Arial" w:hAnsi="Arial" w:cs="Arial"/>
                <w:noProof/>
                <w:webHidden/>
                <w:sz w:val="24"/>
                <w:szCs w:val="24"/>
              </w:rPr>
              <w:instrText xml:space="preserve"> PAGEREF _Toc102062277 \h </w:instrText>
            </w:r>
            <w:r w:rsidR="00A817E2" w:rsidRPr="00A817E2">
              <w:rPr>
                <w:rFonts w:ascii="Arial" w:hAnsi="Arial" w:cs="Arial"/>
                <w:noProof/>
                <w:webHidden/>
                <w:sz w:val="24"/>
                <w:szCs w:val="24"/>
              </w:rPr>
            </w:r>
            <w:r w:rsidR="00A817E2" w:rsidRPr="00A817E2">
              <w:rPr>
                <w:rFonts w:ascii="Arial" w:hAnsi="Arial" w:cs="Arial"/>
                <w:noProof/>
                <w:webHidden/>
                <w:sz w:val="24"/>
                <w:szCs w:val="24"/>
              </w:rPr>
              <w:fldChar w:fldCharType="separate"/>
            </w:r>
            <w:r w:rsidR="00F35668">
              <w:rPr>
                <w:rFonts w:ascii="Arial" w:hAnsi="Arial" w:cs="Arial"/>
                <w:noProof/>
                <w:webHidden/>
                <w:sz w:val="24"/>
                <w:szCs w:val="24"/>
              </w:rPr>
              <w:t>7</w:t>
            </w:r>
            <w:r w:rsidR="00A817E2" w:rsidRPr="00A817E2">
              <w:rPr>
                <w:rFonts w:ascii="Arial" w:hAnsi="Arial" w:cs="Arial"/>
                <w:noProof/>
                <w:webHidden/>
                <w:sz w:val="24"/>
                <w:szCs w:val="24"/>
              </w:rPr>
              <w:fldChar w:fldCharType="end"/>
            </w:r>
          </w:hyperlink>
        </w:p>
        <w:p w14:paraId="3D5D29FC" w14:textId="21AFF3F9" w:rsidR="00A817E2" w:rsidRPr="00A817E2" w:rsidRDefault="00623DEA">
          <w:pPr>
            <w:pStyle w:val="TOC1"/>
            <w:rPr>
              <w:b w:val="0"/>
              <w:bCs w:val="0"/>
              <w:lang w:eastAsia="en-AU"/>
            </w:rPr>
          </w:pPr>
          <w:hyperlink w:anchor="_Toc102062278" w:history="1">
            <w:r w:rsidR="00A817E2" w:rsidRPr="00A817E2">
              <w:rPr>
                <w:rStyle w:val="Hyperlink"/>
              </w:rPr>
              <w:t>School disciplinary absence and enrolment decisions</w:t>
            </w:r>
            <w:r w:rsidR="00A817E2" w:rsidRPr="00A817E2">
              <w:rPr>
                <w:webHidden/>
              </w:rPr>
              <w:tab/>
            </w:r>
            <w:r w:rsidR="00A817E2" w:rsidRPr="00A817E2">
              <w:rPr>
                <w:webHidden/>
              </w:rPr>
              <w:fldChar w:fldCharType="begin"/>
            </w:r>
            <w:r w:rsidR="00A817E2" w:rsidRPr="00A817E2">
              <w:rPr>
                <w:webHidden/>
              </w:rPr>
              <w:instrText xml:space="preserve"> PAGEREF _Toc102062278 \h </w:instrText>
            </w:r>
            <w:r w:rsidR="00A817E2" w:rsidRPr="00A817E2">
              <w:rPr>
                <w:webHidden/>
              </w:rPr>
            </w:r>
            <w:r w:rsidR="00A817E2" w:rsidRPr="00A817E2">
              <w:rPr>
                <w:webHidden/>
              </w:rPr>
              <w:fldChar w:fldCharType="separate"/>
            </w:r>
            <w:r w:rsidR="00F35668">
              <w:rPr>
                <w:webHidden/>
              </w:rPr>
              <w:t>7</w:t>
            </w:r>
            <w:r w:rsidR="00A817E2" w:rsidRPr="00A817E2">
              <w:rPr>
                <w:webHidden/>
              </w:rPr>
              <w:fldChar w:fldCharType="end"/>
            </w:r>
          </w:hyperlink>
        </w:p>
        <w:p w14:paraId="3A207D4B" w14:textId="14AFE712" w:rsidR="00A817E2" w:rsidRPr="00A817E2" w:rsidRDefault="00623DEA">
          <w:pPr>
            <w:pStyle w:val="TOC2"/>
            <w:tabs>
              <w:tab w:val="right" w:leader="dot" w:pos="8488"/>
            </w:tabs>
            <w:rPr>
              <w:rFonts w:ascii="Arial" w:hAnsi="Arial" w:cs="Arial"/>
              <w:i w:val="0"/>
              <w:iCs w:val="0"/>
              <w:noProof/>
              <w:sz w:val="24"/>
              <w:szCs w:val="24"/>
              <w:lang w:eastAsia="en-AU"/>
            </w:rPr>
          </w:pPr>
          <w:hyperlink w:anchor="_Toc102062279" w:history="1">
            <w:r w:rsidR="00A817E2" w:rsidRPr="00A817E2">
              <w:rPr>
                <w:rStyle w:val="Hyperlink"/>
                <w:rFonts w:ascii="Arial" w:hAnsi="Arial" w:cs="Arial"/>
                <w:noProof/>
                <w:sz w:val="24"/>
                <w:szCs w:val="24"/>
              </w:rPr>
              <w:t>Maintaining enrolment during school disciplinary absences</w:t>
            </w:r>
            <w:r w:rsidR="00A817E2" w:rsidRPr="00A817E2">
              <w:rPr>
                <w:rFonts w:ascii="Arial" w:hAnsi="Arial" w:cs="Arial"/>
                <w:noProof/>
                <w:webHidden/>
                <w:sz w:val="24"/>
                <w:szCs w:val="24"/>
              </w:rPr>
              <w:tab/>
            </w:r>
            <w:r w:rsidR="00A817E2" w:rsidRPr="00A817E2">
              <w:rPr>
                <w:rFonts w:ascii="Arial" w:hAnsi="Arial" w:cs="Arial"/>
                <w:noProof/>
                <w:webHidden/>
                <w:sz w:val="24"/>
                <w:szCs w:val="24"/>
              </w:rPr>
              <w:fldChar w:fldCharType="begin"/>
            </w:r>
            <w:r w:rsidR="00A817E2" w:rsidRPr="00A817E2">
              <w:rPr>
                <w:rFonts w:ascii="Arial" w:hAnsi="Arial" w:cs="Arial"/>
                <w:noProof/>
                <w:webHidden/>
                <w:sz w:val="24"/>
                <w:szCs w:val="24"/>
              </w:rPr>
              <w:instrText xml:space="preserve"> PAGEREF _Toc102062279 \h </w:instrText>
            </w:r>
            <w:r w:rsidR="00A817E2" w:rsidRPr="00A817E2">
              <w:rPr>
                <w:rFonts w:ascii="Arial" w:hAnsi="Arial" w:cs="Arial"/>
                <w:noProof/>
                <w:webHidden/>
                <w:sz w:val="24"/>
                <w:szCs w:val="24"/>
              </w:rPr>
            </w:r>
            <w:r w:rsidR="00A817E2" w:rsidRPr="00A817E2">
              <w:rPr>
                <w:rFonts w:ascii="Arial" w:hAnsi="Arial" w:cs="Arial"/>
                <w:noProof/>
                <w:webHidden/>
                <w:sz w:val="24"/>
                <w:szCs w:val="24"/>
              </w:rPr>
              <w:fldChar w:fldCharType="separate"/>
            </w:r>
            <w:r w:rsidR="00F35668">
              <w:rPr>
                <w:rFonts w:ascii="Arial" w:hAnsi="Arial" w:cs="Arial"/>
                <w:noProof/>
                <w:webHidden/>
                <w:sz w:val="24"/>
                <w:szCs w:val="24"/>
              </w:rPr>
              <w:t>8</w:t>
            </w:r>
            <w:r w:rsidR="00A817E2" w:rsidRPr="00A817E2">
              <w:rPr>
                <w:rFonts w:ascii="Arial" w:hAnsi="Arial" w:cs="Arial"/>
                <w:noProof/>
                <w:webHidden/>
                <w:sz w:val="24"/>
                <w:szCs w:val="24"/>
              </w:rPr>
              <w:fldChar w:fldCharType="end"/>
            </w:r>
          </w:hyperlink>
        </w:p>
        <w:p w14:paraId="0B736A6F" w14:textId="2D3D1A74" w:rsidR="00A817E2" w:rsidRPr="00A817E2" w:rsidRDefault="00623DEA">
          <w:pPr>
            <w:pStyle w:val="TOC2"/>
            <w:tabs>
              <w:tab w:val="right" w:leader="dot" w:pos="8488"/>
            </w:tabs>
            <w:rPr>
              <w:rFonts w:ascii="Arial" w:hAnsi="Arial" w:cs="Arial"/>
              <w:i w:val="0"/>
              <w:iCs w:val="0"/>
              <w:noProof/>
              <w:sz w:val="24"/>
              <w:szCs w:val="24"/>
              <w:lang w:eastAsia="en-AU"/>
            </w:rPr>
          </w:pPr>
          <w:hyperlink w:anchor="_Toc102062280" w:history="1">
            <w:r w:rsidR="00A817E2" w:rsidRPr="00A817E2">
              <w:rPr>
                <w:rStyle w:val="Hyperlink"/>
                <w:rFonts w:ascii="Arial" w:hAnsi="Arial" w:cs="Arial"/>
                <w:noProof/>
                <w:sz w:val="24"/>
                <w:szCs w:val="24"/>
              </w:rPr>
              <w:t>Access to education while enrolment decision is pending</w:t>
            </w:r>
            <w:r w:rsidR="00A817E2" w:rsidRPr="00A817E2">
              <w:rPr>
                <w:rFonts w:ascii="Arial" w:hAnsi="Arial" w:cs="Arial"/>
                <w:noProof/>
                <w:webHidden/>
                <w:sz w:val="24"/>
                <w:szCs w:val="24"/>
              </w:rPr>
              <w:tab/>
            </w:r>
            <w:r w:rsidR="00A817E2" w:rsidRPr="00A817E2">
              <w:rPr>
                <w:rFonts w:ascii="Arial" w:hAnsi="Arial" w:cs="Arial"/>
                <w:noProof/>
                <w:webHidden/>
                <w:sz w:val="24"/>
                <w:szCs w:val="24"/>
              </w:rPr>
              <w:fldChar w:fldCharType="begin"/>
            </w:r>
            <w:r w:rsidR="00A817E2" w:rsidRPr="00A817E2">
              <w:rPr>
                <w:rFonts w:ascii="Arial" w:hAnsi="Arial" w:cs="Arial"/>
                <w:noProof/>
                <w:webHidden/>
                <w:sz w:val="24"/>
                <w:szCs w:val="24"/>
              </w:rPr>
              <w:instrText xml:space="preserve"> PAGEREF _Toc102062280 \h </w:instrText>
            </w:r>
            <w:r w:rsidR="00A817E2" w:rsidRPr="00A817E2">
              <w:rPr>
                <w:rFonts w:ascii="Arial" w:hAnsi="Arial" w:cs="Arial"/>
                <w:noProof/>
                <w:webHidden/>
                <w:sz w:val="24"/>
                <w:szCs w:val="24"/>
              </w:rPr>
            </w:r>
            <w:r w:rsidR="00A817E2" w:rsidRPr="00A817E2">
              <w:rPr>
                <w:rFonts w:ascii="Arial" w:hAnsi="Arial" w:cs="Arial"/>
                <w:noProof/>
                <w:webHidden/>
                <w:sz w:val="24"/>
                <w:szCs w:val="24"/>
              </w:rPr>
              <w:fldChar w:fldCharType="separate"/>
            </w:r>
            <w:r w:rsidR="00F35668">
              <w:rPr>
                <w:rFonts w:ascii="Arial" w:hAnsi="Arial" w:cs="Arial"/>
                <w:noProof/>
                <w:webHidden/>
                <w:sz w:val="24"/>
                <w:szCs w:val="24"/>
              </w:rPr>
              <w:t>9</w:t>
            </w:r>
            <w:r w:rsidR="00A817E2" w:rsidRPr="00A817E2">
              <w:rPr>
                <w:rFonts w:ascii="Arial" w:hAnsi="Arial" w:cs="Arial"/>
                <w:noProof/>
                <w:webHidden/>
                <w:sz w:val="24"/>
                <w:szCs w:val="24"/>
              </w:rPr>
              <w:fldChar w:fldCharType="end"/>
            </w:r>
          </w:hyperlink>
        </w:p>
        <w:p w14:paraId="65C6E30A" w14:textId="78A84D06" w:rsidR="00A817E2" w:rsidRPr="00A817E2" w:rsidRDefault="00623DEA">
          <w:pPr>
            <w:pStyle w:val="TOC2"/>
            <w:tabs>
              <w:tab w:val="right" w:leader="dot" w:pos="8488"/>
            </w:tabs>
            <w:rPr>
              <w:rFonts w:ascii="Arial" w:hAnsi="Arial" w:cs="Arial"/>
              <w:i w:val="0"/>
              <w:iCs w:val="0"/>
              <w:noProof/>
              <w:sz w:val="24"/>
              <w:szCs w:val="24"/>
              <w:lang w:eastAsia="en-AU"/>
            </w:rPr>
          </w:pPr>
          <w:hyperlink w:anchor="_Toc102062281" w:history="1">
            <w:r w:rsidR="00A817E2" w:rsidRPr="00A817E2">
              <w:rPr>
                <w:rStyle w:val="Hyperlink"/>
                <w:rFonts w:ascii="Arial" w:hAnsi="Arial" w:cs="Arial"/>
                <w:noProof/>
                <w:sz w:val="24"/>
                <w:szCs w:val="24"/>
              </w:rPr>
              <w:t>School disciplinary absence decisions and notice</w:t>
            </w:r>
            <w:r w:rsidR="00A817E2" w:rsidRPr="00A817E2">
              <w:rPr>
                <w:rFonts w:ascii="Arial" w:hAnsi="Arial" w:cs="Arial"/>
                <w:noProof/>
                <w:webHidden/>
                <w:sz w:val="24"/>
                <w:szCs w:val="24"/>
              </w:rPr>
              <w:tab/>
            </w:r>
            <w:r w:rsidR="00A817E2" w:rsidRPr="00A817E2">
              <w:rPr>
                <w:rFonts w:ascii="Arial" w:hAnsi="Arial" w:cs="Arial"/>
                <w:noProof/>
                <w:webHidden/>
                <w:sz w:val="24"/>
                <w:szCs w:val="24"/>
              </w:rPr>
              <w:fldChar w:fldCharType="begin"/>
            </w:r>
            <w:r w:rsidR="00A817E2" w:rsidRPr="00A817E2">
              <w:rPr>
                <w:rFonts w:ascii="Arial" w:hAnsi="Arial" w:cs="Arial"/>
                <w:noProof/>
                <w:webHidden/>
                <w:sz w:val="24"/>
                <w:szCs w:val="24"/>
              </w:rPr>
              <w:instrText xml:space="preserve"> PAGEREF _Toc102062281 \h </w:instrText>
            </w:r>
            <w:r w:rsidR="00A817E2" w:rsidRPr="00A817E2">
              <w:rPr>
                <w:rFonts w:ascii="Arial" w:hAnsi="Arial" w:cs="Arial"/>
                <w:noProof/>
                <w:webHidden/>
                <w:sz w:val="24"/>
                <w:szCs w:val="24"/>
              </w:rPr>
            </w:r>
            <w:r w:rsidR="00A817E2" w:rsidRPr="00A817E2">
              <w:rPr>
                <w:rFonts w:ascii="Arial" w:hAnsi="Arial" w:cs="Arial"/>
                <w:noProof/>
                <w:webHidden/>
                <w:sz w:val="24"/>
                <w:szCs w:val="24"/>
              </w:rPr>
              <w:fldChar w:fldCharType="separate"/>
            </w:r>
            <w:r w:rsidR="00F35668">
              <w:rPr>
                <w:rFonts w:ascii="Arial" w:hAnsi="Arial" w:cs="Arial"/>
                <w:noProof/>
                <w:webHidden/>
                <w:sz w:val="24"/>
                <w:szCs w:val="24"/>
              </w:rPr>
              <w:t>11</w:t>
            </w:r>
            <w:r w:rsidR="00A817E2" w:rsidRPr="00A817E2">
              <w:rPr>
                <w:rFonts w:ascii="Arial" w:hAnsi="Arial" w:cs="Arial"/>
                <w:noProof/>
                <w:webHidden/>
                <w:sz w:val="24"/>
                <w:szCs w:val="24"/>
              </w:rPr>
              <w:fldChar w:fldCharType="end"/>
            </w:r>
          </w:hyperlink>
        </w:p>
        <w:p w14:paraId="1A00D1C0" w14:textId="70ED3177" w:rsidR="00A817E2" w:rsidRPr="00A817E2" w:rsidRDefault="00623DEA">
          <w:pPr>
            <w:pStyle w:val="TOC3"/>
            <w:tabs>
              <w:tab w:val="right" w:leader="dot" w:pos="8488"/>
            </w:tabs>
            <w:rPr>
              <w:rFonts w:ascii="Arial" w:hAnsi="Arial" w:cs="Arial"/>
              <w:noProof/>
              <w:sz w:val="24"/>
              <w:szCs w:val="24"/>
              <w:lang w:eastAsia="en-AU"/>
            </w:rPr>
          </w:pPr>
          <w:hyperlink w:anchor="_Toc102062282" w:history="1">
            <w:r w:rsidR="00A817E2" w:rsidRPr="00A817E2">
              <w:rPr>
                <w:rStyle w:val="Hyperlink"/>
                <w:rFonts w:ascii="Arial" w:hAnsi="Arial" w:cs="Arial"/>
                <w:noProof/>
                <w:sz w:val="24"/>
                <w:szCs w:val="24"/>
              </w:rPr>
              <w:t>Substantive review of school disciplinary absences</w:t>
            </w:r>
            <w:r w:rsidR="00A817E2" w:rsidRPr="00A817E2">
              <w:rPr>
                <w:rFonts w:ascii="Arial" w:hAnsi="Arial" w:cs="Arial"/>
                <w:noProof/>
                <w:webHidden/>
                <w:sz w:val="24"/>
                <w:szCs w:val="24"/>
              </w:rPr>
              <w:tab/>
            </w:r>
            <w:r w:rsidR="00A817E2" w:rsidRPr="00A817E2">
              <w:rPr>
                <w:rFonts w:ascii="Arial" w:hAnsi="Arial" w:cs="Arial"/>
                <w:noProof/>
                <w:webHidden/>
                <w:sz w:val="24"/>
                <w:szCs w:val="24"/>
              </w:rPr>
              <w:fldChar w:fldCharType="begin"/>
            </w:r>
            <w:r w:rsidR="00A817E2" w:rsidRPr="00A817E2">
              <w:rPr>
                <w:rFonts w:ascii="Arial" w:hAnsi="Arial" w:cs="Arial"/>
                <w:noProof/>
                <w:webHidden/>
                <w:sz w:val="24"/>
                <w:szCs w:val="24"/>
              </w:rPr>
              <w:instrText xml:space="preserve"> PAGEREF _Toc102062282 \h </w:instrText>
            </w:r>
            <w:r w:rsidR="00A817E2" w:rsidRPr="00A817E2">
              <w:rPr>
                <w:rFonts w:ascii="Arial" w:hAnsi="Arial" w:cs="Arial"/>
                <w:noProof/>
                <w:webHidden/>
                <w:sz w:val="24"/>
                <w:szCs w:val="24"/>
              </w:rPr>
            </w:r>
            <w:r w:rsidR="00A817E2" w:rsidRPr="00A817E2">
              <w:rPr>
                <w:rFonts w:ascii="Arial" w:hAnsi="Arial" w:cs="Arial"/>
                <w:noProof/>
                <w:webHidden/>
                <w:sz w:val="24"/>
                <w:szCs w:val="24"/>
              </w:rPr>
              <w:fldChar w:fldCharType="separate"/>
            </w:r>
            <w:r w:rsidR="00F35668">
              <w:rPr>
                <w:rFonts w:ascii="Arial" w:hAnsi="Arial" w:cs="Arial"/>
                <w:noProof/>
                <w:webHidden/>
                <w:sz w:val="24"/>
                <w:szCs w:val="24"/>
              </w:rPr>
              <w:t>11</w:t>
            </w:r>
            <w:r w:rsidR="00A817E2" w:rsidRPr="00A817E2">
              <w:rPr>
                <w:rFonts w:ascii="Arial" w:hAnsi="Arial" w:cs="Arial"/>
                <w:noProof/>
                <w:webHidden/>
                <w:sz w:val="24"/>
                <w:szCs w:val="24"/>
              </w:rPr>
              <w:fldChar w:fldCharType="end"/>
            </w:r>
          </w:hyperlink>
        </w:p>
        <w:p w14:paraId="2C7B616F" w14:textId="5C662FF4" w:rsidR="00A817E2" w:rsidRPr="00A817E2" w:rsidRDefault="00623DEA">
          <w:pPr>
            <w:pStyle w:val="TOC3"/>
            <w:tabs>
              <w:tab w:val="right" w:leader="dot" w:pos="8488"/>
            </w:tabs>
            <w:rPr>
              <w:rFonts w:ascii="Arial" w:hAnsi="Arial" w:cs="Arial"/>
              <w:noProof/>
              <w:sz w:val="24"/>
              <w:szCs w:val="24"/>
              <w:lang w:eastAsia="en-AU"/>
            </w:rPr>
          </w:pPr>
          <w:hyperlink w:anchor="_Toc102062283" w:history="1">
            <w:r w:rsidR="00A817E2" w:rsidRPr="00A817E2">
              <w:rPr>
                <w:rStyle w:val="Hyperlink"/>
                <w:rFonts w:ascii="Arial" w:hAnsi="Arial" w:cs="Arial"/>
                <w:noProof/>
                <w:sz w:val="24"/>
                <w:szCs w:val="24"/>
                <w:lang w:val="en-US"/>
              </w:rPr>
              <w:t>Timeframes</w:t>
            </w:r>
            <w:r w:rsidR="00A817E2" w:rsidRPr="00A817E2">
              <w:rPr>
                <w:rFonts w:ascii="Arial" w:hAnsi="Arial" w:cs="Arial"/>
                <w:noProof/>
                <w:webHidden/>
                <w:sz w:val="24"/>
                <w:szCs w:val="24"/>
              </w:rPr>
              <w:tab/>
            </w:r>
            <w:r w:rsidR="00A817E2" w:rsidRPr="00A817E2">
              <w:rPr>
                <w:rFonts w:ascii="Arial" w:hAnsi="Arial" w:cs="Arial"/>
                <w:noProof/>
                <w:webHidden/>
                <w:sz w:val="24"/>
                <w:szCs w:val="24"/>
              </w:rPr>
              <w:fldChar w:fldCharType="begin"/>
            </w:r>
            <w:r w:rsidR="00A817E2" w:rsidRPr="00A817E2">
              <w:rPr>
                <w:rFonts w:ascii="Arial" w:hAnsi="Arial" w:cs="Arial"/>
                <w:noProof/>
                <w:webHidden/>
                <w:sz w:val="24"/>
                <w:szCs w:val="24"/>
              </w:rPr>
              <w:instrText xml:space="preserve"> PAGEREF _Toc102062283 \h </w:instrText>
            </w:r>
            <w:r w:rsidR="00A817E2" w:rsidRPr="00A817E2">
              <w:rPr>
                <w:rFonts w:ascii="Arial" w:hAnsi="Arial" w:cs="Arial"/>
                <w:noProof/>
                <w:webHidden/>
                <w:sz w:val="24"/>
                <w:szCs w:val="24"/>
              </w:rPr>
            </w:r>
            <w:r w:rsidR="00A817E2" w:rsidRPr="00A817E2">
              <w:rPr>
                <w:rFonts w:ascii="Arial" w:hAnsi="Arial" w:cs="Arial"/>
                <w:noProof/>
                <w:webHidden/>
                <w:sz w:val="24"/>
                <w:szCs w:val="24"/>
              </w:rPr>
              <w:fldChar w:fldCharType="separate"/>
            </w:r>
            <w:r w:rsidR="00F35668">
              <w:rPr>
                <w:rFonts w:ascii="Arial" w:hAnsi="Arial" w:cs="Arial"/>
                <w:noProof/>
                <w:webHidden/>
                <w:sz w:val="24"/>
                <w:szCs w:val="24"/>
              </w:rPr>
              <w:t>13</w:t>
            </w:r>
            <w:r w:rsidR="00A817E2" w:rsidRPr="00A817E2">
              <w:rPr>
                <w:rFonts w:ascii="Arial" w:hAnsi="Arial" w:cs="Arial"/>
                <w:noProof/>
                <w:webHidden/>
                <w:sz w:val="24"/>
                <w:szCs w:val="24"/>
              </w:rPr>
              <w:fldChar w:fldCharType="end"/>
            </w:r>
          </w:hyperlink>
        </w:p>
        <w:p w14:paraId="14559906" w14:textId="618B7488" w:rsidR="00A817E2" w:rsidRPr="00A817E2" w:rsidRDefault="00623DEA">
          <w:pPr>
            <w:pStyle w:val="TOC2"/>
            <w:tabs>
              <w:tab w:val="right" w:leader="dot" w:pos="8488"/>
            </w:tabs>
            <w:rPr>
              <w:rFonts w:ascii="Arial" w:hAnsi="Arial" w:cs="Arial"/>
              <w:i w:val="0"/>
              <w:iCs w:val="0"/>
              <w:noProof/>
              <w:sz w:val="24"/>
              <w:szCs w:val="24"/>
              <w:lang w:eastAsia="en-AU"/>
            </w:rPr>
          </w:pPr>
          <w:hyperlink w:anchor="_Toc102062284" w:history="1">
            <w:r w:rsidR="00A817E2" w:rsidRPr="00A817E2">
              <w:rPr>
                <w:rStyle w:val="Hyperlink"/>
                <w:rFonts w:ascii="Arial" w:hAnsi="Arial" w:cs="Arial"/>
                <w:noProof/>
                <w:sz w:val="24"/>
                <w:szCs w:val="24"/>
              </w:rPr>
              <w:t>Delegation of authority to notify a school disciplinary absence</w:t>
            </w:r>
            <w:r w:rsidR="00A817E2" w:rsidRPr="00A817E2">
              <w:rPr>
                <w:rFonts w:ascii="Arial" w:hAnsi="Arial" w:cs="Arial"/>
                <w:noProof/>
                <w:webHidden/>
                <w:sz w:val="24"/>
                <w:szCs w:val="24"/>
              </w:rPr>
              <w:tab/>
            </w:r>
            <w:r w:rsidR="00A817E2" w:rsidRPr="00A817E2">
              <w:rPr>
                <w:rFonts w:ascii="Arial" w:hAnsi="Arial" w:cs="Arial"/>
                <w:noProof/>
                <w:webHidden/>
                <w:sz w:val="24"/>
                <w:szCs w:val="24"/>
              </w:rPr>
              <w:fldChar w:fldCharType="begin"/>
            </w:r>
            <w:r w:rsidR="00A817E2" w:rsidRPr="00A817E2">
              <w:rPr>
                <w:rFonts w:ascii="Arial" w:hAnsi="Arial" w:cs="Arial"/>
                <w:noProof/>
                <w:webHidden/>
                <w:sz w:val="24"/>
                <w:szCs w:val="24"/>
              </w:rPr>
              <w:instrText xml:space="preserve"> PAGEREF _Toc102062284 \h </w:instrText>
            </w:r>
            <w:r w:rsidR="00A817E2" w:rsidRPr="00A817E2">
              <w:rPr>
                <w:rFonts w:ascii="Arial" w:hAnsi="Arial" w:cs="Arial"/>
                <w:noProof/>
                <w:webHidden/>
                <w:sz w:val="24"/>
                <w:szCs w:val="24"/>
              </w:rPr>
            </w:r>
            <w:r w:rsidR="00A817E2" w:rsidRPr="00A817E2">
              <w:rPr>
                <w:rFonts w:ascii="Arial" w:hAnsi="Arial" w:cs="Arial"/>
                <w:noProof/>
                <w:webHidden/>
                <w:sz w:val="24"/>
                <w:szCs w:val="24"/>
              </w:rPr>
              <w:fldChar w:fldCharType="separate"/>
            </w:r>
            <w:r w:rsidR="00F35668">
              <w:rPr>
                <w:rFonts w:ascii="Arial" w:hAnsi="Arial" w:cs="Arial"/>
                <w:noProof/>
                <w:webHidden/>
                <w:sz w:val="24"/>
                <w:szCs w:val="24"/>
              </w:rPr>
              <w:t>15</w:t>
            </w:r>
            <w:r w:rsidR="00A817E2" w:rsidRPr="00A817E2">
              <w:rPr>
                <w:rFonts w:ascii="Arial" w:hAnsi="Arial" w:cs="Arial"/>
                <w:noProof/>
                <w:webHidden/>
                <w:sz w:val="24"/>
                <w:szCs w:val="24"/>
              </w:rPr>
              <w:fldChar w:fldCharType="end"/>
            </w:r>
          </w:hyperlink>
        </w:p>
        <w:p w14:paraId="32DC2969" w14:textId="000937A7" w:rsidR="00A817E2" w:rsidRPr="00A817E2" w:rsidRDefault="00623DEA">
          <w:pPr>
            <w:pStyle w:val="TOC2"/>
            <w:tabs>
              <w:tab w:val="right" w:leader="dot" w:pos="8488"/>
            </w:tabs>
            <w:rPr>
              <w:rFonts w:ascii="Arial" w:hAnsi="Arial" w:cs="Arial"/>
              <w:i w:val="0"/>
              <w:iCs w:val="0"/>
              <w:noProof/>
              <w:sz w:val="24"/>
              <w:szCs w:val="24"/>
              <w:lang w:eastAsia="en-AU"/>
            </w:rPr>
          </w:pPr>
          <w:hyperlink w:anchor="_Toc102062285" w:history="1">
            <w:r w:rsidR="00A817E2" w:rsidRPr="00A817E2">
              <w:rPr>
                <w:rStyle w:val="Hyperlink"/>
                <w:rFonts w:ascii="Arial" w:hAnsi="Arial" w:cs="Arial"/>
                <w:noProof/>
                <w:sz w:val="24"/>
                <w:szCs w:val="24"/>
              </w:rPr>
              <w:t>Appeal rights for short term suspensions</w:t>
            </w:r>
            <w:r w:rsidR="00A817E2" w:rsidRPr="00A817E2">
              <w:rPr>
                <w:rFonts w:ascii="Arial" w:hAnsi="Arial" w:cs="Arial"/>
                <w:noProof/>
                <w:webHidden/>
                <w:sz w:val="24"/>
                <w:szCs w:val="24"/>
              </w:rPr>
              <w:tab/>
            </w:r>
            <w:r w:rsidR="00A817E2" w:rsidRPr="00A817E2">
              <w:rPr>
                <w:rFonts w:ascii="Arial" w:hAnsi="Arial" w:cs="Arial"/>
                <w:noProof/>
                <w:webHidden/>
                <w:sz w:val="24"/>
                <w:szCs w:val="24"/>
              </w:rPr>
              <w:fldChar w:fldCharType="begin"/>
            </w:r>
            <w:r w:rsidR="00A817E2" w:rsidRPr="00A817E2">
              <w:rPr>
                <w:rFonts w:ascii="Arial" w:hAnsi="Arial" w:cs="Arial"/>
                <w:noProof/>
                <w:webHidden/>
                <w:sz w:val="24"/>
                <w:szCs w:val="24"/>
              </w:rPr>
              <w:instrText xml:space="preserve"> PAGEREF _Toc102062285 \h </w:instrText>
            </w:r>
            <w:r w:rsidR="00A817E2" w:rsidRPr="00A817E2">
              <w:rPr>
                <w:rFonts w:ascii="Arial" w:hAnsi="Arial" w:cs="Arial"/>
                <w:noProof/>
                <w:webHidden/>
                <w:sz w:val="24"/>
                <w:szCs w:val="24"/>
              </w:rPr>
            </w:r>
            <w:r w:rsidR="00A817E2" w:rsidRPr="00A817E2">
              <w:rPr>
                <w:rFonts w:ascii="Arial" w:hAnsi="Arial" w:cs="Arial"/>
                <w:noProof/>
                <w:webHidden/>
                <w:sz w:val="24"/>
                <w:szCs w:val="24"/>
              </w:rPr>
              <w:fldChar w:fldCharType="separate"/>
            </w:r>
            <w:r w:rsidR="00F35668">
              <w:rPr>
                <w:rFonts w:ascii="Arial" w:hAnsi="Arial" w:cs="Arial"/>
                <w:noProof/>
                <w:webHidden/>
                <w:sz w:val="24"/>
                <w:szCs w:val="24"/>
              </w:rPr>
              <w:t>15</w:t>
            </w:r>
            <w:r w:rsidR="00A817E2" w:rsidRPr="00A817E2">
              <w:rPr>
                <w:rFonts w:ascii="Arial" w:hAnsi="Arial" w:cs="Arial"/>
                <w:noProof/>
                <w:webHidden/>
                <w:sz w:val="24"/>
                <w:szCs w:val="24"/>
              </w:rPr>
              <w:fldChar w:fldCharType="end"/>
            </w:r>
          </w:hyperlink>
        </w:p>
        <w:p w14:paraId="432D7DC2" w14:textId="6E6287D0" w:rsidR="00A817E2" w:rsidRPr="00A817E2" w:rsidRDefault="00623DEA">
          <w:pPr>
            <w:pStyle w:val="TOC2"/>
            <w:tabs>
              <w:tab w:val="right" w:leader="dot" w:pos="8488"/>
            </w:tabs>
            <w:rPr>
              <w:rFonts w:ascii="Arial" w:hAnsi="Arial" w:cs="Arial"/>
              <w:i w:val="0"/>
              <w:iCs w:val="0"/>
              <w:noProof/>
              <w:sz w:val="24"/>
              <w:szCs w:val="24"/>
              <w:lang w:eastAsia="en-AU"/>
            </w:rPr>
          </w:pPr>
          <w:hyperlink w:anchor="_Toc102062286" w:history="1">
            <w:r w:rsidR="00A817E2" w:rsidRPr="00A817E2">
              <w:rPr>
                <w:rStyle w:val="Hyperlink"/>
                <w:rFonts w:ascii="Arial" w:hAnsi="Arial" w:cs="Arial"/>
                <w:noProof/>
                <w:sz w:val="24"/>
                <w:szCs w:val="24"/>
              </w:rPr>
              <w:t>Default refusal to enrol and exclusion for a prospective student</w:t>
            </w:r>
            <w:r w:rsidR="00A817E2" w:rsidRPr="00A817E2">
              <w:rPr>
                <w:rFonts w:ascii="Arial" w:hAnsi="Arial" w:cs="Arial"/>
                <w:noProof/>
                <w:webHidden/>
                <w:sz w:val="24"/>
                <w:szCs w:val="24"/>
              </w:rPr>
              <w:tab/>
            </w:r>
            <w:r w:rsidR="00A817E2" w:rsidRPr="00A817E2">
              <w:rPr>
                <w:rFonts w:ascii="Arial" w:hAnsi="Arial" w:cs="Arial"/>
                <w:noProof/>
                <w:webHidden/>
                <w:sz w:val="24"/>
                <w:szCs w:val="24"/>
              </w:rPr>
              <w:fldChar w:fldCharType="begin"/>
            </w:r>
            <w:r w:rsidR="00A817E2" w:rsidRPr="00A817E2">
              <w:rPr>
                <w:rFonts w:ascii="Arial" w:hAnsi="Arial" w:cs="Arial"/>
                <w:noProof/>
                <w:webHidden/>
                <w:sz w:val="24"/>
                <w:szCs w:val="24"/>
              </w:rPr>
              <w:instrText xml:space="preserve"> PAGEREF _Toc102062286 \h </w:instrText>
            </w:r>
            <w:r w:rsidR="00A817E2" w:rsidRPr="00A817E2">
              <w:rPr>
                <w:rFonts w:ascii="Arial" w:hAnsi="Arial" w:cs="Arial"/>
                <w:noProof/>
                <w:webHidden/>
                <w:sz w:val="24"/>
                <w:szCs w:val="24"/>
              </w:rPr>
            </w:r>
            <w:r w:rsidR="00A817E2" w:rsidRPr="00A817E2">
              <w:rPr>
                <w:rFonts w:ascii="Arial" w:hAnsi="Arial" w:cs="Arial"/>
                <w:noProof/>
                <w:webHidden/>
                <w:sz w:val="24"/>
                <w:szCs w:val="24"/>
              </w:rPr>
              <w:fldChar w:fldCharType="separate"/>
            </w:r>
            <w:r w:rsidR="00F35668">
              <w:rPr>
                <w:rFonts w:ascii="Arial" w:hAnsi="Arial" w:cs="Arial"/>
                <w:noProof/>
                <w:webHidden/>
                <w:sz w:val="24"/>
                <w:szCs w:val="24"/>
              </w:rPr>
              <w:t>16</w:t>
            </w:r>
            <w:r w:rsidR="00A817E2" w:rsidRPr="00A817E2">
              <w:rPr>
                <w:rFonts w:ascii="Arial" w:hAnsi="Arial" w:cs="Arial"/>
                <w:noProof/>
                <w:webHidden/>
                <w:sz w:val="24"/>
                <w:szCs w:val="24"/>
              </w:rPr>
              <w:fldChar w:fldCharType="end"/>
            </w:r>
          </w:hyperlink>
        </w:p>
        <w:p w14:paraId="42F3C5FB" w14:textId="433E426F" w:rsidR="00A16356" w:rsidRPr="00895769" w:rsidRDefault="00A16356" w:rsidP="00B759C2">
          <w:pPr>
            <w:pStyle w:val="TOC1"/>
          </w:pPr>
          <w:r w:rsidRPr="00895769">
            <w:fldChar w:fldCharType="end"/>
          </w:r>
        </w:p>
      </w:sdtContent>
    </w:sdt>
    <w:p w14:paraId="62841D7E" w14:textId="77777777" w:rsidR="005A01C3" w:rsidRDefault="005A01C3">
      <w:pPr>
        <w:rPr>
          <w:rFonts w:ascii="Arial" w:eastAsiaTheme="majorEastAsia" w:hAnsi="Arial" w:cstheme="majorBidi"/>
          <w:color w:val="004270"/>
          <w:sz w:val="48"/>
          <w:szCs w:val="32"/>
        </w:rPr>
      </w:pPr>
      <w:bookmarkStart w:id="4" w:name="_Toc94776508"/>
      <w:bookmarkStart w:id="5" w:name="_Toc94776570"/>
      <w:bookmarkStart w:id="6" w:name="_Toc94776603"/>
      <w:bookmarkStart w:id="7" w:name="_Toc94778989"/>
      <w:bookmarkStart w:id="8" w:name="_Toc94779327"/>
      <w:bookmarkStart w:id="9" w:name="_Toc94779360"/>
      <w:bookmarkStart w:id="10" w:name="_Toc95749977"/>
      <w:r>
        <w:br w:type="page"/>
      </w:r>
    </w:p>
    <w:p w14:paraId="4E5347D6" w14:textId="0BBCBBFA" w:rsidR="006A28D1" w:rsidRDefault="00392F0C" w:rsidP="006A28D1">
      <w:pPr>
        <w:pStyle w:val="Heading1"/>
      </w:pPr>
      <w:bookmarkStart w:id="11" w:name="_Toc102043855"/>
      <w:bookmarkStart w:id="12" w:name="_Toc102062273"/>
      <w:r>
        <w:lastRenderedPageBreak/>
        <w:t>Summary</w:t>
      </w:r>
      <w:bookmarkEnd w:id="4"/>
      <w:bookmarkEnd w:id="5"/>
      <w:bookmarkEnd w:id="6"/>
      <w:bookmarkEnd w:id="7"/>
      <w:bookmarkEnd w:id="8"/>
      <w:bookmarkEnd w:id="9"/>
      <w:bookmarkEnd w:id="10"/>
      <w:bookmarkEnd w:id="11"/>
      <w:bookmarkEnd w:id="12"/>
    </w:p>
    <w:p w14:paraId="22AD1728" w14:textId="5B68875F" w:rsidR="00C121E8" w:rsidRPr="00C121E8" w:rsidRDefault="00C121E8" w:rsidP="00C121E8">
      <w:pPr>
        <w:pStyle w:val="Numberedparagraph"/>
      </w:pPr>
      <w:bookmarkStart w:id="13" w:name="_Toc95749978"/>
      <w:r w:rsidRPr="00C121E8">
        <w:t xml:space="preserve">Thank you for the opportunity to make submissions on the focused review of the </w:t>
      </w:r>
      <w:r w:rsidRPr="00C121E8">
        <w:rPr>
          <w:i/>
          <w:iCs/>
        </w:rPr>
        <w:t>Education (General Provisions) Act 2006</w:t>
      </w:r>
      <w:r w:rsidRPr="00C121E8">
        <w:t xml:space="preserve"> (</w:t>
      </w:r>
      <w:r w:rsidRPr="006C65CF">
        <w:t>EGP Act</w:t>
      </w:r>
      <w:r w:rsidRPr="00C121E8">
        <w:t>), as outlined in the ten consultation papers prepared by the Department of Education (the department)</w:t>
      </w:r>
      <w:r w:rsidR="003A1605">
        <w:t>.</w:t>
      </w:r>
    </w:p>
    <w:p w14:paraId="655E27FB" w14:textId="77777777" w:rsidR="00C121E8" w:rsidRDefault="00C121E8" w:rsidP="00C121E8">
      <w:pPr>
        <w:pStyle w:val="Numberedparagraph"/>
      </w:pPr>
      <w:r>
        <w:t xml:space="preserve">The Commission’s submissions have focused on </w:t>
      </w:r>
      <w:r w:rsidRPr="00365006">
        <w:rPr>
          <w:i/>
          <w:iCs/>
        </w:rPr>
        <w:t>School disciplinary absence and enrolment decisions</w:t>
      </w:r>
      <w:r>
        <w:t xml:space="preserve"> (the consultation paper), although general comments about human rights are initially provided under the heading </w:t>
      </w:r>
      <w:r w:rsidRPr="00365006">
        <w:rPr>
          <w:i/>
          <w:iCs/>
        </w:rPr>
        <w:t>Education and human rights</w:t>
      </w:r>
      <w:r>
        <w:t xml:space="preserve"> and are applicable to all aspects of the review. </w:t>
      </w:r>
    </w:p>
    <w:p w14:paraId="6830A8D7" w14:textId="226BA2B5" w:rsidR="00C121E8" w:rsidRDefault="00C121E8" w:rsidP="00C121E8">
      <w:pPr>
        <w:pStyle w:val="Numberedparagraph"/>
      </w:pPr>
      <w:r>
        <w:t xml:space="preserve">The structure of the submission on </w:t>
      </w:r>
      <w:r w:rsidRPr="00991B36">
        <w:rPr>
          <w:i/>
          <w:iCs/>
        </w:rPr>
        <w:t>School disciplinary absence and enrolment decisions</w:t>
      </w:r>
      <w:r>
        <w:t xml:space="preserve"> follow</w:t>
      </w:r>
      <w:r w:rsidR="003A1605">
        <w:t>s</w:t>
      </w:r>
      <w:r>
        <w:t xml:space="preserve"> the structure of the consultation paper.  The Commission supports many of the positive reforms being proposed. </w:t>
      </w:r>
    </w:p>
    <w:p w14:paraId="2DCA2616" w14:textId="2598ACD9" w:rsidR="00C121E8" w:rsidRDefault="00C121E8" w:rsidP="00C121E8">
      <w:pPr>
        <w:pStyle w:val="Numberedparagraph"/>
      </w:pPr>
      <w:r>
        <w:t>However, in order to properly address high rates of school disciplinary absences, and the disproportionate representation within these numbers of Aboriginal and Torres Strait Islander children and children with disability, the Commission’s overarching recommendation is that there needs to be a substantive review of the framework for school disciplinary absences. This would be best achieved through</w:t>
      </w:r>
      <w:r w:rsidR="003A1605">
        <w:t xml:space="preserve"> a</w:t>
      </w:r>
      <w:r>
        <w:t xml:space="preserve"> Parliamentary or independent inquiry.</w:t>
      </w:r>
    </w:p>
    <w:p w14:paraId="420B0529" w14:textId="77777777" w:rsidR="00F979E6" w:rsidRDefault="00F979E6">
      <w:pPr>
        <w:rPr>
          <w:rFonts w:ascii="Arial" w:eastAsiaTheme="majorEastAsia" w:hAnsi="Arial" w:cstheme="majorBidi"/>
          <w:color w:val="004270"/>
          <w:sz w:val="48"/>
          <w:szCs w:val="32"/>
        </w:rPr>
      </w:pPr>
      <w:r>
        <w:br w:type="page"/>
      </w:r>
    </w:p>
    <w:p w14:paraId="19803FAA" w14:textId="42F52F1A" w:rsidR="006A28D1" w:rsidRDefault="00392F0C" w:rsidP="00392F0C">
      <w:pPr>
        <w:pStyle w:val="Heading1"/>
      </w:pPr>
      <w:bookmarkStart w:id="14" w:name="_Toc94776509"/>
      <w:bookmarkStart w:id="15" w:name="_Toc94776571"/>
      <w:bookmarkStart w:id="16" w:name="_Toc94776604"/>
      <w:bookmarkStart w:id="17" w:name="_Toc94778990"/>
      <w:bookmarkStart w:id="18" w:name="_Toc94779328"/>
      <w:bookmarkStart w:id="19" w:name="_Toc94779361"/>
      <w:bookmarkStart w:id="20" w:name="_Toc95749979"/>
      <w:bookmarkStart w:id="21" w:name="_Toc102043857"/>
      <w:bookmarkStart w:id="22" w:name="_Toc102062274"/>
      <w:bookmarkEnd w:id="13"/>
      <w:r>
        <w:lastRenderedPageBreak/>
        <w:t>Introduction</w:t>
      </w:r>
      <w:bookmarkEnd w:id="14"/>
      <w:bookmarkEnd w:id="15"/>
      <w:bookmarkEnd w:id="16"/>
      <w:bookmarkEnd w:id="17"/>
      <w:bookmarkEnd w:id="18"/>
      <w:bookmarkEnd w:id="19"/>
      <w:bookmarkEnd w:id="20"/>
      <w:bookmarkEnd w:id="21"/>
      <w:bookmarkEnd w:id="22"/>
    </w:p>
    <w:p w14:paraId="62F7279F" w14:textId="77777777" w:rsidR="00392F0C" w:rsidRDefault="00392F0C" w:rsidP="00392F0C">
      <w:pPr>
        <w:pStyle w:val="Numberedparagraph"/>
      </w:pPr>
      <w:r>
        <w:t xml:space="preserve">The Commission </w:t>
      </w:r>
      <w:r w:rsidRPr="00C35743">
        <w:t xml:space="preserve">is a statutory authority established under the </w:t>
      </w:r>
      <w:r>
        <w:t xml:space="preserve">Queensland </w:t>
      </w:r>
      <w:r w:rsidRPr="00C35743">
        <w:rPr>
          <w:i/>
        </w:rPr>
        <w:t>Anti-Discrimination Act 1991</w:t>
      </w:r>
      <w:r w:rsidRPr="003A1605">
        <w:rPr>
          <w:i/>
        </w:rPr>
        <w:t xml:space="preserve"> </w:t>
      </w:r>
      <w:r w:rsidRPr="003A1605">
        <w:t>(AD Act)</w:t>
      </w:r>
      <w:r>
        <w:rPr>
          <w:i/>
        </w:rPr>
        <w:t>.</w:t>
      </w:r>
    </w:p>
    <w:p w14:paraId="3EB7DCCC" w14:textId="77777777" w:rsidR="00392F0C" w:rsidRPr="00592493" w:rsidRDefault="00392F0C" w:rsidP="00392F0C">
      <w:pPr>
        <w:pStyle w:val="Numberedparagraph"/>
      </w:pPr>
      <w:r w:rsidRPr="00A97DE1">
        <w:t xml:space="preserve">The </w:t>
      </w:r>
      <w:r w:rsidRPr="00810D74">
        <w:t>Commission</w:t>
      </w:r>
      <w:r w:rsidRPr="00A97DE1">
        <w:t xml:space="preserve"> </w:t>
      </w:r>
      <w:r>
        <w:t xml:space="preserve">has functions under the AD Act and the </w:t>
      </w:r>
      <w:r>
        <w:rPr>
          <w:i/>
        </w:rPr>
        <w:t xml:space="preserve">Human Rights Act 2019 </w:t>
      </w:r>
      <w:r>
        <w:t>(</w:t>
      </w:r>
      <w:r w:rsidRPr="003A1605">
        <w:rPr>
          <w:bCs/>
        </w:rPr>
        <w:t>HR Act</w:t>
      </w:r>
      <w:r>
        <w:t>)</w:t>
      </w:r>
      <w:r>
        <w:rPr>
          <w:i/>
        </w:rPr>
        <w:t xml:space="preserve"> </w:t>
      </w:r>
      <w:r>
        <w:t>to promote</w:t>
      </w:r>
      <w:r w:rsidRPr="00A97DE1">
        <w:t xml:space="preserve"> an understanding</w:t>
      </w:r>
      <w:r>
        <w:t xml:space="preserve"> </w:t>
      </w:r>
      <w:r w:rsidRPr="00A97DE1">
        <w:t>and public discussion of human rights in Queensla</w:t>
      </w:r>
      <w:r>
        <w:t xml:space="preserve">nd, and to provide information and education about human rights. </w:t>
      </w:r>
    </w:p>
    <w:p w14:paraId="2E9E5660" w14:textId="77777777" w:rsidR="00392F0C" w:rsidRDefault="00392F0C" w:rsidP="00392F0C">
      <w:pPr>
        <w:pStyle w:val="Numberedparagraph"/>
        <w:rPr>
          <w:lang w:eastAsia="en-AU"/>
        </w:rPr>
      </w:pPr>
      <w:r>
        <w:rPr>
          <w:color w:val="000000"/>
        </w:rPr>
        <w:t xml:space="preserve">The Commission also deals with complaints of discrimination, vilification and other objectionable conduct under the </w:t>
      </w:r>
      <w:r w:rsidRPr="003B0A61">
        <w:t>AD Act</w:t>
      </w:r>
      <w:r>
        <w:rPr>
          <w:i/>
        </w:rPr>
        <w:t xml:space="preserve">, </w:t>
      </w:r>
      <w:r>
        <w:t xml:space="preserve">reprisal under the </w:t>
      </w:r>
      <w:r>
        <w:rPr>
          <w:i/>
        </w:rPr>
        <w:t xml:space="preserve">Public Interest Disclosure Act </w:t>
      </w:r>
      <w:r w:rsidRPr="009F4BAD">
        <w:rPr>
          <w:i/>
        </w:rPr>
        <w:t>2009</w:t>
      </w:r>
      <w:r>
        <w:t>, and human rights complaints under the HR Act</w:t>
      </w:r>
      <w:r>
        <w:rPr>
          <w:i/>
        </w:rPr>
        <w:t xml:space="preserve">. </w:t>
      </w:r>
    </w:p>
    <w:p w14:paraId="35CE10EF" w14:textId="3E6CAAF2" w:rsidR="006A28D1" w:rsidRDefault="00050033" w:rsidP="006A28D1">
      <w:pPr>
        <w:pStyle w:val="Heading1"/>
      </w:pPr>
      <w:bookmarkStart w:id="23" w:name="_Toc102043858"/>
      <w:bookmarkStart w:id="24" w:name="_Toc102062275"/>
      <w:r>
        <w:t>Education and human rights</w:t>
      </w:r>
      <w:bookmarkEnd w:id="23"/>
      <w:bookmarkEnd w:id="24"/>
    </w:p>
    <w:p w14:paraId="24D25611" w14:textId="588DD7AD" w:rsidR="00325EBB" w:rsidRDefault="00C0112E" w:rsidP="00635C8F">
      <w:pPr>
        <w:pStyle w:val="Numberedparagraph"/>
      </w:pPr>
      <w:r>
        <w:t xml:space="preserve">The HR Act establishes and consolidates statutory protections for human rights specified in sections 15 to 37. </w:t>
      </w:r>
      <w:r w:rsidR="00635C8F">
        <w:t>It does this by requiring:</w:t>
      </w:r>
    </w:p>
    <w:p w14:paraId="1161A2EE" w14:textId="5DEE7F2E" w:rsidR="00635C8F" w:rsidRDefault="00635C8F" w:rsidP="00E101C0">
      <w:pPr>
        <w:pStyle w:val="Numberedparagraph"/>
        <w:numPr>
          <w:ilvl w:val="1"/>
          <w:numId w:val="1"/>
        </w:numPr>
      </w:pPr>
      <w:r>
        <w:t>Parliament to consider rights when making laws</w:t>
      </w:r>
      <w:r>
        <w:rPr>
          <w:rStyle w:val="FootnoteReference"/>
        </w:rPr>
        <w:footnoteReference w:id="1"/>
      </w:r>
      <w:r>
        <w:t>;</w:t>
      </w:r>
    </w:p>
    <w:p w14:paraId="15D0AF1E" w14:textId="599D6995" w:rsidR="00635C8F" w:rsidRDefault="00635C8F" w:rsidP="00E101C0">
      <w:pPr>
        <w:pStyle w:val="Numberedparagraph"/>
        <w:numPr>
          <w:ilvl w:val="1"/>
          <w:numId w:val="1"/>
        </w:numPr>
      </w:pPr>
      <w:r>
        <w:t>Courts and tribunals to interpret statutory provisions compatibly with human rights, and in certain cases, apply human rights in making decisions</w:t>
      </w:r>
      <w:r>
        <w:rPr>
          <w:rStyle w:val="FootnoteReference"/>
        </w:rPr>
        <w:footnoteReference w:id="2"/>
      </w:r>
      <w:r>
        <w:t>; and</w:t>
      </w:r>
    </w:p>
    <w:p w14:paraId="2B7661F7" w14:textId="677E7FA8" w:rsidR="00635C8F" w:rsidRDefault="00635C8F" w:rsidP="00E101C0">
      <w:pPr>
        <w:pStyle w:val="Numberedparagraph"/>
        <w:numPr>
          <w:ilvl w:val="1"/>
          <w:numId w:val="1"/>
        </w:numPr>
      </w:pPr>
      <w:r>
        <w:t>Public entities to act and make decisions compatibly with human rights, and to give proper consideration to human rights when making decisions.</w:t>
      </w:r>
      <w:r>
        <w:rPr>
          <w:rStyle w:val="FootnoteReference"/>
        </w:rPr>
        <w:footnoteReference w:id="3"/>
      </w:r>
    </w:p>
    <w:p w14:paraId="7AF4310F" w14:textId="0A7FFA14" w:rsidR="00635C8F" w:rsidRPr="00325EBB" w:rsidRDefault="00635C8F" w:rsidP="00635C8F">
      <w:pPr>
        <w:pStyle w:val="Numberedparagraph"/>
      </w:pPr>
      <w:r>
        <w:t>An act, decision or statutory provision is compatible with human rights</w:t>
      </w:r>
      <w:r w:rsidR="004F7951">
        <w:t xml:space="preserve"> </w:t>
      </w:r>
      <w:r>
        <w:t>if it does not limit right, or</w:t>
      </w:r>
      <w:r w:rsidR="00421866">
        <w:t xml:space="preserve"> </w:t>
      </w:r>
      <w:r>
        <w:t xml:space="preserve">limits rights </w:t>
      </w:r>
      <w:r w:rsidR="00421866">
        <w:t xml:space="preserve">only </w:t>
      </w:r>
      <w:r>
        <w:t xml:space="preserve">to the extent that is reasonable and demonstrably justifiable </w:t>
      </w:r>
      <w:r w:rsidR="004F7951">
        <w:t>in accordance with section 13 of the HR Act.</w:t>
      </w:r>
      <w:r w:rsidR="004F7951">
        <w:rPr>
          <w:rStyle w:val="FootnoteReference"/>
        </w:rPr>
        <w:footnoteReference w:id="4"/>
      </w:r>
      <w:r w:rsidR="004F7951">
        <w:t xml:space="preserve"> </w:t>
      </w:r>
      <w:r>
        <w:rPr>
          <w:rFonts w:eastAsia="Times New Roman"/>
        </w:rPr>
        <w:t xml:space="preserve">Section 13(2) of the HR Act provides </w:t>
      </w:r>
      <w:r w:rsidR="00421866">
        <w:rPr>
          <w:rFonts w:eastAsia="Times New Roman"/>
        </w:rPr>
        <w:t>an inclusive</w:t>
      </w:r>
      <w:r>
        <w:rPr>
          <w:rFonts w:eastAsia="Times New Roman"/>
        </w:rPr>
        <w:t xml:space="preserve"> list of factors when assessing compatibility.</w:t>
      </w:r>
    </w:p>
    <w:p w14:paraId="24E64871" w14:textId="74DFD3E9" w:rsidR="00325EBB" w:rsidRDefault="00325EBB" w:rsidP="00325EBB">
      <w:pPr>
        <w:pStyle w:val="Heading2"/>
      </w:pPr>
      <w:bookmarkStart w:id="25" w:name="_Toc102062276"/>
      <w:r>
        <w:t>Nature and scope of rights</w:t>
      </w:r>
      <w:bookmarkEnd w:id="25"/>
    </w:p>
    <w:p w14:paraId="34FD024D" w14:textId="02655285" w:rsidR="0014732A" w:rsidRDefault="00050033" w:rsidP="00050033">
      <w:pPr>
        <w:pStyle w:val="Numberedparagraph"/>
      </w:pPr>
      <w:r>
        <w:t xml:space="preserve">When considering </w:t>
      </w:r>
      <w:r w:rsidR="002A3A0B">
        <w:t xml:space="preserve">the compatibility of </w:t>
      </w:r>
      <w:r w:rsidR="00C0112E">
        <w:t xml:space="preserve">laws, policy, decisions or actions </w:t>
      </w:r>
      <w:r w:rsidR="002A3A0B">
        <w:t>with human rights, the</w:t>
      </w:r>
      <w:r w:rsidR="00421866">
        <w:t>re</w:t>
      </w:r>
      <w:r w:rsidR="002A3A0B">
        <w:t xml:space="preserve"> first must be an understanding of the rights that </w:t>
      </w:r>
      <w:r w:rsidR="002A3A0B">
        <w:lastRenderedPageBreak/>
        <w:t xml:space="preserve">may be engaged, </w:t>
      </w:r>
      <w:r w:rsidR="001C6FE8">
        <w:t xml:space="preserve">the importance of preserving the right </w:t>
      </w:r>
      <w:r w:rsidR="002A3A0B">
        <w:t>and an assessment of the extent to which the</w:t>
      </w:r>
      <w:r w:rsidR="00421866">
        <w:t xml:space="preserve"> right</w:t>
      </w:r>
      <w:r w:rsidR="002A3A0B">
        <w:t xml:space="preserve"> may be limited. </w:t>
      </w:r>
    </w:p>
    <w:p w14:paraId="61B6B032" w14:textId="0350F8C0" w:rsidR="0014732A" w:rsidRDefault="002A3A0B" w:rsidP="0014732A">
      <w:pPr>
        <w:pStyle w:val="Numberedparagraph"/>
      </w:pPr>
      <w:r>
        <w:t xml:space="preserve">In the case of the </w:t>
      </w:r>
      <w:r w:rsidR="00421866">
        <w:t>EGP Act</w:t>
      </w:r>
      <w:r w:rsidR="0014732A">
        <w:t>, primary consideration must be given to:</w:t>
      </w:r>
    </w:p>
    <w:p w14:paraId="04DEEA24" w14:textId="19882C58" w:rsidR="0014732A" w:rsidRDefault="0014732A" w:rsidP="00E101C0">
      <w:pPr>
        <w:pStyle w:val="Numberedparagraph"/>
        <w:numPr>
          <w:ilvl w:val="1"/>
          <w:numId w:val="1"/>
        </w:numPr>
      </w:pPr>
      <w:r>
        <w:t>The right to education (s 36</w:t>
      </w:r>
      <w:r w:rsidR="00421866">
        <w:t xml:space="preserve"> of the HR Act</w:t>
      </w:r>
      <w:r>
        <w:t>);</w:t>
      </w:r>
    </w:p>
    <w:p w14:paraId="5065728F" w14:textId="5BBE9F36" w:rsidR="0014732A" w:rsidRDefault="0014732A" w:rsidP="00E101C0">
      <w:pPr>
        <w:pStyle w:val="Numberedparagraph"/>
        <w:numPr>
          <w:ilvl w:val="1"/>
          <w:numId w:val="1"/>
        </w:numPr>
      </w:pPr>
      <w:r>
        <w:t>The rights of children (s 26(2)</w:t>
      </w:r>
      <w:r w:rsidR="00421866" w:rsidRPr="00421866">
        <w:t xml:space="preserve"> </w:t>
      </w:r>
      <w:r w:rsidR="00421866">
        <w:t>of the HR Act</w:t>
      </w:r>
      <w:r>
        <w:t>);</w:t>
      </w:r>
    </w:p>
    <w:p w14:paraId="1F73ACA5" w14:textId="7608D615" w:rsidR="0014732A" w:rsidRDefault="0014732A" w:rsidP="00E101C0">
      <w:pPr>
        <w:pStyle w:val="Numberedparagraph"/>
        <w:numPr>
          <w:ilvl w:val="1"/>
          <w:numId w:val="1"/>
        </w:numPr>
      </w:pPr>
      <w:r>
        <w:t>The right to privacy (s 25</w:t>
      </w:r>
      <w:r w:rsidR="00421866">
        <w:t xml:space="preserve"> of the HR Act</w:t>
      </w:r>
      <w:r>
        <w:t>);</w:t>
      </w:r>
    </w:p>
    <w:p w14:paraId="469024F6" w14:textId="0FB8617B" w:rsidR="0014732A" w:rsidRDefault="0014732A" w:rsidP="00E101C0">
      <w:pPr>
        <w:pStyle w:val="Numberedparagraph"/>
        <w:numPr>
          <w:ilvl w:val="1"/>
          <w:numId w:val="1"/>
        </w:numPr>
      </w:pPr>
      <w:r>
        <w:t>Cultural rights, both generally and the cultural rights of Aboriginal peoples and Torres Strait Islander peoples (s</w:t>
      </w:r>
      <w:r w:rsidR="00421866">
        <w:t>s</w:t>
      </w:r>
      <w:r>
        <w:t xml:space="preserve"> 27 and 28</w:t>
      </w:r>
      <w:r w:rsidR="00421866">
        <w:t xml:space="preserve"> of the HR Act</w:t>
      </w:r>
      <w:r>
        <w:t>);</w:t>
      </w:r>
    </w:p>
    <w:p w14:paraId="49F24DB0" w14:textId="6AF7B7C1" w:rsidR="0014732A" w:rsidRDefault="0014732A" w:rsidP="00E101C0">
      <w:pPr>
        <w:pStyle w:val="Numberedparagraph"/>
        <w:numPr>
          <w:ilvl w:val="1"/>
          <w:numId w:val="1"/>
        </w:numPr>
      </w:pPr>
      <w:r>
        <w:t>Right to recognition and equality before the law (s 15</w:t>
      </w:r>
      <w:r w:rsidR="00421866">
        <w:t xml:space="preserve"> of the HR Act</w:t>
      </w:r>
      <w:r>
        <w:t xml:space="preserve">). </w:t>
      </w:r>
    </w:p>
    <w:p w14:paraId="6FA7C0D7" w14:textId="06B51B15" w:rsidR="0014732A" w:rsidRDefault="007E3399" w:rsidP="00050033">
      <w:pPr>
        <w:pStyle w:val="Numberedparagraph"/>
      </w:pPr>
      <w:r>
        <w:t xml:space="preserve">Of particular relevance is </w:t>
      </w:r>
      <w:r w:rsidR="00EB7570">
        <w:t>the right</w:t>
      </w:r>
      <w:r w:rsidR="0014732A">
        <w:t xml:space="preserve"> </w:t>
      </w:r>
      <w:r w:rsidR="00831F9E">
        <w:t xml:space="preserve">under section 36(1) of the HR Act </w:t>
      </w:r>
      <w:r w:rsidR="0014732A">
        <w:t xml:space="preserve">‘to have access to primary and secondary education appropriate to the child’s needs’. </w:t>
      </w:r>
      <w:r w:rsidR="00EB7570">
        <w:t xml:space="preserve">It is modelled on Article 13 of the </w:t>
      </w:r>
      <w:r w:rsidR="00107933">
        <w:t>International Covenant on Economic, Social and Cultural Rights</w:t>
      </w:r>
      <w:r w:rsidR="001C6FE8">
        <w:t xml:space="preserve"> (ICESCR)</w:t>
      </w:r>
      <w:r w:rsidR="00107933">
        <w:t>.</w:t>
      </w:r>
      <w:r w:rsidR="009714EB">
        <w:rPr>
          <w:rStyle w:val="FootnoteReference"/>
        </w:rPr>
        <w:footnoteReference w:id="5"/>
      </w:r>
      <w:r w:rsidR="00107933">
        <w:t xml:space="preserve"> The </w:t>
      </w:r>
      <w:r w:rsidR="009714EB">
        <w:t xml:space="preserve">importance of access to education was stated by the United Nations Committee on Economic, Social and Cultural Rights as follows:  </w:t>
      </w:r>
    </w:p>
    <w:p w14:paraId="574FB4BC" w14:textId="78A0B0C1" w:rsidR="00107933" w:rsidRDefault="00107933" w:rsidP="00107933">
      <w:pPr>
        <w:pStyle w:val="Numberedparagraph"/>
        <w:numPr>
          <w:ilvl w:val="0"/>
          <w:numId w:val="0"/>
        </w:numPr>
        <w:ind w:left="720"/>
        <w:rPr>
          <w:color w:val="000000" w:themeColor="text1"/>
          <w:spacing w:val="4"/>
          <w:sz w:val="22"/>
          <w:szCs w:val="22"/>
        </w:rPr>
      </w:pPr>
      <w:r w:rsidRPr="009714EB">
        <w:rPr>
          <w:color w:val="000000" w:themeColor="text1"/>
          <w:spacing w:val="4"/>
          <w:sz w:val="22"/>
          <w:szCs w:val="22"/>
        </w:rPr>
        <w:t>Education is both a human right in itself and an indispensable means of realizing other human rights. As an empowerment right, education is the primary vehicle by which economically and socially marginalized adults and children can lift themselves out of poverty and obtain the means to participate fully in their communities. Education has a vital role in empowering women, safeguarding children from exploitative and hazardous labour and sexual exploitation, promoting human rights and democracy, protecting the environment, and controlling population growth. Increasingly, education is recognized as one of the best financial investments States can make. But the importance of education is not just practical: a well-educated, enlightened and active mind, able to wander freely and widely, is one of the joys and rewards of human existence.</w:t>
      </w:r>
      <w:r w:rsidR="009714EB" w:rsidRPr="009714EB">
        <w:rPr>
          <w:rStyle w:val="FootnoteReference"/>
          <w:color w:val="000000" w:themeColor="text1"/>
          <w:spacing w:val="4"/>
          <w:sz w:val="22"/>
          <w:szCs w:val="22"/>
        </w:rPr>
        <w:footnoteReference w:id="6"/>
      </w:r>
    </w:p>
    <w:p w14:paraId="522114B1" w14:textId="0DC223D8" w:rsidR="007E3399" w:rsidRDefault="001C6FE8" w:rsidP="00050033">
      <w:pPr>
        <w:pStyle w:val="Numberedparagraph"/>
      </w:pPr>
      <w:r>
        <w:t xml:space="preserve">The Committee goes on to articulate </w:t>
      </w:r>
      <w:r w:rsidR="00DE6D1F">
        <w:t xml:space="preserve">the </w:t>
      </w:r>
      <w:r w:rsidR="00D959B6">
        <w:t xml:space="preserve">following </w:t>
      </w:r>
      <w:r w:rsidR="00DE6D1F">
        <w:t xml:space="preserve">interrelated and </w:t>
      </w:r>
      <w:r>
        <w:t xml:space="preserve">essential features </w:t>
      </w:r>
      <w:r w:rsidR="00D959B6">
        <w:t>of education that is required by the right</w:t>
      </w:r>
      <w:r w:rsidR="007E3399">
        <w:t>:</w:t>
      </w:r>
    </w:p>
    <w:p w14:paraId="47C0FA10" w14:textId="20D6DE3E" w:rsidR="00D959B6" w:rsidRDefault="00D959B6" w:rsidP="00E101C0">
      <w:pPr>
        <w:pStyle w:val="Numberedparagraph"/>
        <w:numPr>
          <w:ilvl w:val="1"/>
          <w:numId w:val="1"/>
        </w:numPr>
      </w:pPr>
      <w:r>
        <w:t>availability;</w:t>
      </w:r>
    </w:p>
    <w:p w14:paraId="246E09FA" w14:textId="17DFCBC3" w:rsidR="007E3399" w:rsidRDefault="007E3399" w:rsidP="00E101C0">
      <w:pPr>
        <w:pStyle w:val="Numberedparagraph"/>
        <w:numPr>
          <w:ilvl w:val="1"/>
          <w:numId w:val="1"/>
        </w:numPr>
      </w:pPr>
      <w:r>
        <w:t xml:space="preserve">accessibility of educational institutional programs without discrimination, and especially the most vulnerable groups, </w:t>
      </w:r>
    </w:p>
    <w:p w14:paraId="7E917184" w14:textId="0992D708" w:rsidR="007E3399" w:rsidRDefault="007E3399" w:rsidP="00E101C0">
      <w:pPr>
        <w:pStyle w:val="Numberedparagraph"/>
        <w:numPr>
          <w:ilvl w:val="1"/>
          <w:numId w:val="1"/>
        </w:numPr>
      </w:pPr>
      <w:r>
        <w:lastRenderedPageBreak/>
        <w:t>acceptability, including cultural</w:t>
      </w:r>
      <w:r w:rsidR="00421866">
        <w:t>ly</w:t>
      </w:r>
      <w:r>
        <w:t xml:space="preserve"> </w:t>
      </w:r>
      <w:r w:rsidR="00421866">
        <w:t>appropriate</w:t>
      </w:r>
      <w:r>
        <w:t xml:space="preserve">, and   </w:t>
      </w:r>
    </w:p>
    <w:p w14:paraId="5087B56C" w14:textId="7C5D5BED" w:rsidR="001C6FE8" w:rsidRDefault="007E3399" w:rsidP="00E101C0">
      <w:pPr>
        <w:pStyle w:val="Numberedparagraph"/>
        <w:numPr>
          <w:ilvl w:val="1"/>
          <w:numId w:val="1"/>
        </w:numPr>
      </w:pPr>
      <w:r>
        <w:t>adaptability, so that education adapts to the needs of changing societies and communities and respond to the needs of students within their diverse social and cultural settings.</w:t>
      </w:r>
      <w:r w:rsidR="00DE6D1F">
        <w:rPr>
          <w:rStyle w:val="FootnoteReference"/>
        </w:rPr>
        <w:footnoteReference w:id="7"/>
      </w:r>
      <w:r>
        <w:t xml:space="preserve"> </w:t>
      </w:r>
      <w:r w:rsidR="001C6FE8">
        <w:t xml:space="preserve"> </w:t>
      </w:r>
    </w:p>
    <w:p w14:paraId="3537E5C5" w14:textId="34AD67C9" w:rsidR="00D959B6" w:rsidRDefault="00D959B6" w:rsidP="00050033">
      <w:pPr>
        <w:pStyle w:val="Numberedparagraph"/>
      </w:pPr>
      <w:r>
        <w:t>The rights of child</w:t>
      </w:r>
      <w:r w:rsidR="0042049E">
        <w:t>ren under section 26(2) of the HR Act</w:t>
      </w:r>
      <w:r>
        <w:t xml:space="preserve"> also protect</w:t>
      </w:r>
      <w:r w:rsidR="0042049E">
        <w:t>s a child’s</w:t>
      </w:r>
      <w:r>
        <w:t xml:space="preserve"> right to education.</w:t>
      </w:r>
      <w:r w:rsidR="0042049E">
        <w:rPr>
          <w:rStyle w:val="FootnoteReference"/>
        </w:rPr>
        <w:footnoteReference w:id="8"/>
      </w:r>
      <w:r>
        <w:t xml:space="preserve"> </w:t>
      </w:r>
      <w:r w:rsidR="008D7879">
        <w:t>Other matters within the scope of the right</w:t>
      </w:r>
      <w:r w:rsidR="00831F9E">
        <w:t>s of children</w:t>
      </w:r>
      <w:r w:rsidR="008D7879">
        <w:t xml:space="preserve"> are:</w:t>
      </w:r>
    </w:p>
    <w:p w14:paraId="32CF8DA2" w14:textId="1BEB5F6C" w:rsidR="008D7879" w:rsidRPr="008D7879" w:rsidRDefault="008D7879" w:rsidP="00E101C0">
      <w:pPr>
        <w:numPr>
          <w:ilvl w:val="1"/>
          <w:numId w:val="1"/>
        </w:numPr>
        <w:spacing w:before="120" w:after="240"/>
        <w:rPr>
          <w:rFonts w:ascii="Arial" w:eastAsia="Times New Roman" w:hAnsi="Arial" w:cs="Arial"/>
          <w:color w:val="000000"/>
        </w:rPr>
      </w:pPr>
      <w:r w:rsidRPr="008D7879">
        <w:rPr>
          <w:rFonts w:ascii="Arial" w:hAnsi="Arial" w:cs="Arial"/>
          <w:color w:val="000000"/>
          <w:shd w:val="clear" w:color="auto" w:fill="FFFFFF"/>
        </w:rPr>
        <w:t>in all matters affecting the child, the views of the child be given due weight in accordance with the age and maturity of the child</w:t>
      </w:r>
      <w:r w:rsidR="00232FC2">
        <w:rPr>
          <w:rFonts w:ascii="Arial" w:hAnsi="Arial" w:cs="Arial"/>
          <w:color w:val="000000"/>
          <w:shd w:val="clear" w:color="auto" w:fill="FFFFFF"/>
        </w:rPr>
        <w:t>;</w:t>
      </w:r>
      <w:r w:rsidRPr="008D7879">
        <w:rPr>
          <w:rFonts w:ascii="Arial" w:hAnsi="Arial" w:cs="Arial"/>
          <w:color w:val="000000"/>
          <w:shd w:val="clear" w:color="auto" w:fill="FFFFFF"/>
          <w:vertAlign w:val="superscript"/>
        </w:rPr>
        <w:footnoteReference w:id="9"/>
      </w:r>
    </w:p>
    <w:p w14:paraId="303D0F1F" w14:textId="2FB88242" w:rsidR="008D7879" w:rsidRPr="008D7879" w:rsidRDefault="00D06EE4" w:rsidP="00E101C0">
      <w:pPr>
        <w:numPr>
          <w:ilvl w:val="1"/>
          <w:numId w:val="1"/>
        </w:numPr>
        <w:spacing w:before="120" w:after="240"/>
        <w:rPr>
          <w:rFonts w:ascii="Arial" w:eastAsia="Times New Roman" w:hAnsi="Arial" w:cs="Arial"/>
          <w:color w:val="000000"/>
        </w:rPr>
      </w:pPr>
      <w:r>
        <w:rPr>
          <w:rFonts w:ascii="Arial" w:hAnsi="Arial" w:cs="Arial"/>
          <w:color w:val="000000"/>
          <w:shd w:val="clear" w:color="auto" w:fill="FFFFFF"/>
        </w:rPr>
        <w:t>i</w:t>
      </w:r>
      <w:r w:rsidR="008D7879" w:rsidRPr="008D7879">
        <w:rPr>
          <w:rFonts w:ascii="Arial" w:hAnsi="Arial" w:cs="Arial"/>
          <w:color w:val="000000"/>
          <w:shd w:val="clear" w:color="auto" w:fill="FFFFFF"/>
        </w:rPr>
        <w:t>n all actions concerning children, the best interests of the child shall be a primary consideration</w:t>
      </w:r>
      <w:r w:rsidR="00232FC2">
        <w:rPr>
          <w:rFonts w:ascii="Arial" w:hAnsi="Arial" w:cs="Arial"/>
          <w:color w:val="000000"/>
          <w:shd w:val="clear" w:color="auto" w:fill="FFFFFF"/>
        </w:rPr>
        <w:t>;</w:t>
      </w:r>
      <w:r w:rsidR="008D7879" w:rsidRPr="008D7879">
        <w:rPr>
          <w:rFonts w:ascii="Arial" w:hAnsi="Arial" w:cs="Arial"/>
          <w:color w:val="000000"/>
          <w:shd w:val="clear" w:color="auto" w:fill="FFFFFF"/>
          <w:vertAlign w:val="superscript"/>
        </w:rPr>
        <w:footnoteReference w:id="10"/>
      </w:r>
      <w:r w:rsidR="008D7879" w:rsidRPr="008D7879">
        <w:rPr>
          <w:rFonts w:ascii="Arial" w:hAnsi="Arial" w:cs="Arial"/>
          <w:color w:val="000000"/>
          <w:shd w:val="clear" w:color="auto" w:fill="FFFFFF"/>
        </w:rPr>
        <w:t xml:space="preserve"> </w:t>
      </w:r>
    </w:p>
    <w:p w14:paraId="7E6B4569" w14:textId="00495F1E" w:rsidR="000A0E51" w:rsidRPr="000A0E51" w:rsidRDefault="009E6408" w:rsidP="00E101C0">
      <w:pPr>
        <w:numPr>
          <w:ilvl w:val="1"/>
          <w:numId w:val="1"/>
        </w:numPr>
        <w:spacing w:before="120" w:after="240"/>
        <w:rPr>
          <w:rFonts w:ascii="Arial" w:eastAsia="Times New Roman" w:hAnsi="Arial" w:cs="Arial"/>
          <w:color w:val="000000"/>
        </w:rPr>
      </w:pPr>
      <w:r>
        <w:rPr>
          <w:rFonts w:ascii="Arial" w:eastAsia="Times New Roman" w:hAnsi="Arial" w:cs="Arial"/>
          <w:color w:val="000000"/>
        </w:rPr>
        <w:t>b</w:t>
      </w:r>
      <w:r w:rsidR="000A0E51">
        <w:rPr>
          <w:rFonts w:ascii="Arial" w:eastAsia="Times New Roman" w:hAnsi="Arial" w:cs="Arial"/>
          <w:color w:val="000000"/>
        </w:rPr>
        <w:t>est interests should be adjusted and defined on an individual basis, taking into consideration the child’s personal context, situation and needs</w:t>
      </w:r>
      <w:r w:rsidR="00D06EE4">
        <w:rPr>
          <w:rFonts w:ascii="Arial" w:eastAsia="Times New Roman" w:hAnsi="Arial" w:cs="Arial"/>
          <w:color w:val="000000"/>
        </w:rPr>
        <w:t>, and the particular decision being made</w:t>
      </w:r>
      <w:r w:rsidR="00232FC2">
        <w:rPr>
          <w:rFonts w:ascii="Arial" w:eastAsia="Times New Roman" w:hAnsi="Arial" w:cs="Arial"/>
          <w:color w:val="000000"/>
        </w:rPr>
        <w:t>;</w:t>
      </w:r>
      <w:r w:rsidR="000A0E51">
        <w:rPr>
          <w:rStyle w:val="FootnoteReference"/>
          <w:rFonts w:ascii="Arial" w:eastAsia="Times New Roman" w:hAnsi="Arial" w:cs="Arial"/>
          <w:color w:val="000000"/>
        </w:rPr>
        <w:footnoteReference w:id="11"/>
      </w:r>
      <w:r w:rsidR="000A0E51">
        <w:rPr>
          <w:rFonts w:ascii="Arial" w:eastAsia="Times New Roman" w:hAnsi="Arial" w:cs="Arial"/>
          <w:color w:val="000000"/>
        </w:rPr>
        <w:t xml:space="preserve"> </w:t>
      </w:r>
    </w:p>
    <w:p w14:paraId="09107CE9" w14:textId="37100117" w:rsidR="00B53E45" w:rsidRPr="00B53E45" w:rsidRDefault="00232FC2" w:rsidP="00E101C0">
      <w:pPr>
        <w:numPr>
          <w:ilvl w:val="1"/>
          <w:numId w:val="1"/>
        </w:numPr>
        <w:spacing w:before="120" w:after="240"/>
        <w:rPr>
          <w:rFonts w:ascii="Arial" w:eastAsia="Times New Roman" w:hAnsi="Arial" w:cs="Arial"/>
          <w:color w:val="000000"/>
        </w:rPr>
      </w:pPr>
      <w:r>
        <w:rPr>
          <w:rFonts w:ascii="Arial" w:hAnsi="Arial" w:cs="Arial"/>
          <w:color w:val="000000"/>
          <w:shd w:val="clear" w:color="auto" w:fill="FFFFFF"/>
        </w:rPr>
        <w:t>a</w:t>
      </w:r>
      <w:r w:rsidR="00B53E45">
        <w:rPr>
          <w:rFonts w:ascii="Arial" w:hAnsi="Arial" w:cs="Arial"/>
          <w:color w:val="000000"/>
          <w:shd w:val="clear" w:color="auto" w:fill="FFFFFF"/>
        </w:rPr>
        <w:t xml:space="preserve"> child should be ‘fully prepared to live an </w:t>
      </w:r>
      <w:r w:rsidR="00372959">
        <w:rPr>
          <w:rFonts w:ascii="Arial" w:hAnsi="Arial" w:cs="Arial"/>
          <w:color w:val="000000"/>
          <w:shd w:val="clear" w:color="auto" w:fill="FFFFFF"/>
        </w:rPr>
        <w:t xml:space="preserve">individual </w:t>
      </w:r>
      <w:r w:rsidR="00B53E45">
        <w:rPr>
          <w:rFonts w:ascii="Arial" w:hAnsi="Arial" w:cs="Arial"/>
          <w:color w:val="000000"/>
          <w:shd w:val="clear" w:color="auto" w:fill="FFFFFF"/>
        </w:rPr>
        <w:t>life in society’</w:t>
      </w:r>
      <w:r>
        <w:rPr>
          <w:rFonts w:ascii="Arial" w:hAnsi="Arial" w:cs="Arial"/>
          <w:color w:val="000000"/>
          <w:shd w:val="clear" w:color="auto" w:fill="FFFFFF"/>
        </w:rPr>
        <w:t>;</w:t>
      </w:r>
      <w:r w:rsidR="00372959">
        <w:rPr>
          <w:rStyle w:val="FootnoteReference"/>
          <w:rFonts w:ascii="Arial" w:hAnsi="Arial" w:cs="Arial"/>
          <w:color w:val="000000"/>
          <w:shd w:val="clear" w:color="auto" w:fill="FFFFFF"/>
        </w:rPr>
        <w:footnoteReference w:id="12"/>
      </w:r>
      <w:r w:rsidR="00B53E45">
        <w:rPr>
          <w:rFonts w:ascii="Arial" w:hAnsi="Arial" w:cs="Arial"/>
          <w:color w:val="000000"/>
          <w:shd w:val="clear" w:color="auto" w:fill="FFFFFF"/>
        </w:rPr>
        <w:t xml:space="preserve"> and</w:t>
      </w:r>
    </w:p>
    <w:p w14:paraId="5BA1BE5B" w14:textId="5704157A" w:rsidR="008D7879" w:rsidRPr="00E2702F" w:rsidRDefault="005208F7" w:rsidP="00E101C0">
      <w:pPr>
        <w:numPr>
          <w:ilvl w:val="1"/>
          <w:numId w:val="1"/>
        </w:numPr>
        <w:spacing w:before="120" w:after="240"/>
        <w:rPr>
          <w:rFonts w:ascii="Arial" w:eastAsia="Times New Roman" w:hAnsi="Arial" w:cs="Arial"/>
          <w:color w:val="000000"/>
        </w:rPr>
      </w:pPr>
      <w:r>
        <w:rPr>
          <w:rFonts w:ascii="Arial" w:hAnsi="Arial" w:cs="Arial"/>
          <w:color w:val="000000"/>
          <w:shd w:val="clear" w:color="auto" w:fill="FFFFFF"/>
        </w:rPr>
        <w:t>Children differ from adults in their physical and psychological development</w:t>
      </w:r>
      <w:r w:rsidR="00421866">
        <w:rPr>
          <w:rStyle w:val="FootnoteReference"/>
          <w:rFonts w:ascii="Arial" w:hAnsi="Arial" w:cs="Arial"/>
          <w:color w:val="000000"/>
          <w:shd w:val="clear" w:color="auto" w:fill="FFFFFF"/>
        </w:rPr>
        <w:footnoteReference w:id="13"/>
      </w:r>
      <w:r w:rsidR="00372959">
        <w:rPr>
          <w:rFonts w:ascii="Arial" w:hAnsi="Arial" w:cs="Arial"/>
          <w:color w:val="000000"/>
          <w:shd w:val="clear" w:color="auto" w:fill="FFFFFF"/>
        </w:rPr>
        <w:t>,</w:t>
      </w:r>
      <w:r w:rsidR="00421866">
        <w:rPr>
          <w:rFonts w:ascii="Arial" w:hAnsi="Arial" w:cs="Arial"/>
          <w:color w:val="000000"/>
          <w:shd w:val="clear" w:color="auto" w:fill="FFFFFF"/>
        </w:rPr>
        <w:t xml:space="preserve"> </w:t>
      </w:r>
      <w:r w:rsidR="001C0F44">
        <w:rPr>
          <w:rFonts w:ascii="Arial" w:hAnsi="Arial" w:cs="Arial"/>
          <w:color w:val="000000"/>
          <w:shd w:val="clear" w:color="auto" w:fill="FFFFFF"/>
        </w:rPr>
        <w:t xml:space="preserve">which can </w:t>
      </w:r>
      <w:r w:rsidR="00421866">
        <w:rPr>
          <w:rFonts w:ascii="Arial" w:hAnsi="Arial" w:cs="Arial"/>
          <w:color w:val="000000"/>
          <w:shd w:val="clear" w:color="auto" w:fill="FFFFFF"/>
        </w:rPr>
        <w:t>require different treatment to adults</w:t>
      </w:r>
      <w:r w:rsidR="00372959">
        <w:rPr>
          <w:rFonts w:ascii="Arial" w:hAnsi="Arial" w:cs="Arial"/>
          <w:color w:val="000000"/>
          <w:shd w:val="clear" w:color="auto" w:fill="FFFFFF"/>
        </w:rPr>
        <w:t xml:space="preserve">. </w:t>
      </w:r>
    </w:p>
    <w:p w14:paraId="30141DF7" w14:textId="5B88D383" w:rsidR="00E2702F" w:rsidRPr="004F7951" w:rsidRDefault="00E2702F" w:rsidP="00E2702F">
      <w:pPr>
        <w:pStyle w:val="Numberedparagraph"/>
      </w:pPr>
      <w:r>
        <w:t xml:space="preserve">Any decision or action which prevents a child from attending school or enrolling in a school, will </w:t>
      </w:r>
      <w:r w:rsidR="00F22886">
        <w:t>limit the rights to education and the rights of the child. Depending on the circumstances of the child or the suspension, other rights such as the right to privacy and family, cultural rights, and equality and recognition before the law could also be limited. As articulated above, the consequences of these limitations for the child and for the community can be severe. The longer a child is prevented from engaging with school and education in the usual way, the greater the justification needs to be in order to be compatible with rights.</w:t>
      </w:r>
    </w:p>
    <w:p w14:paraId="6E6A44FA" w14:textId="65C0ED8E" w:rsidR="004F7951" w:rsidRPr="008D7879" w:rsidRDefault="004F7951" w:rsidP="004F7951">
      <w:pPr>
        <w:pStyle w:val="Heading2"/>
      </w:pPr>
      <w:bookmarkStart w:id="26" w:name="_Toc102062277"/>
      <w:r>
        <w:lastRenderedPageBreak/>
        <w:t>Justification</w:t>
      </w:r>
      <w:bookmarkEnd w:id="26"/>
    </w:p>
    <w:p w14:paraId="5E3DF62F" w14:textId="7C069389" w:rsidR="00325EBB" w:rsidRPr="00EF760F" w:rsidRDefault="00325EBB" w:rsidP="00325EBB">
      <w:pPr>
        <w:pStyle w:val="Numberedparagraph"/>
      </w:pPr>
      <w:r>
        <w:t>Once it has been established that a right has been limited by a public entity, the onus is on the public entity to justify the limitation. The standard of proof is high, requiring ‘cogent and persuasive’ evidence. The burden on public entities to justify limitations must be strictly imposed where the individual concerned is particularly vulnerable.</w:t>
      </w:r>
      <w:r>
        <w:rPr>
          <w:rStyle w:val="FootnoteReference"/>
        </w:rPr>
        <w:footnoteReference w:id="14"/>
      </w:r>
      <w:r>
        <w:t xml:space="preserve"> </w:t>
      </w:r>
    </w:p>
    <w:p w14:paraId="6F6DDFFF" w14:textId="60B5600A" w:rsidR="00050033" w:rsidRDefault="001C0F44" w:rsidP="00B643B2">
      <w:pPr>
        <w:pStyle w:val="Numberedparagraph"/>
      </w:pPr>
      <w:r>
        <w:t>In relation to the EGP Act, factors that will be relevant to an assessment of compatibility will include</w:t>
      </w:r>
      <w:r w:rsidR="00372959">
        <w:t>:</w:t>
      </w:r>
    </w:p>
    <w:p w14:paraId="26A05D50" w14:textId="0F844770" w:rsidR="00F06FC8" w:rsidRDefault="001C0F44" w:rsidP="00E101C0">
      <w:pPr>
        <w:pStyle w:val="Numberedparagraph"/>
        <w:numPr>
          <w:ilvl w:val="1"/>
          <w:numId w:val="1"/>
        </w:numPr>
      </w:pPr>
      <w:r>
        <w:t>Clarity of</w:t>
      </w:r>
      <w:r w:rsidR="00573A99">
        <w:t xml:space="preserve"> </w:t>
      </w:r>
      <w:r w:rsidR="00F06FC8">
        <w:t>purpose</w:t>
      </w:r>
      <w:r w:rsidR="00372959">
        <w:t xml:space="preserve"> </w:t>
      </w:r>
      <w:r w:rsidR="00573A99">
        <w:t xml:space="preserve">for </w:t>
      </w:r>
      <w:r w:rsidR="00BE5F6F">
        <w:t xml:space="preserve">a </w:t>
      </w:r>
      <w:r w:rsidR="00372959">
        <w:t>limitation;</w:t>
      </w:r>
    </w:p>
    <w:p w14:paraId="4A8953E3" w14:textId="0785A1A7" w:rsidR="00573A99" w:rsidRDefault="007D0FDB" w:rsidP="00E101C0">
      <w:pPr>
        <w:pStyle w:val="Numberedparagraph"/>
        <w:numPr>
          <w:ilvl w:val="1"/>
          <w:numId w:val="1"/>
        </w:numPr>
      </w:pPr>
      <w:r>
        <w:t>Where possible, e</w:t>
      </w:r>
      <w:r w:rsidR="00573A99">
        <w:t xml:space="preserve">vidence of whether the limitation achieves the identified purpose; </w:t>
      </w:r>
    </w:p>
    <w:p w14:paraId="389E9A5E" w14:textId="3AF7C06A" w:rsidR="00573A99" w:rsidRDefault="00573A99" w:rsidP="00E101C0">
      <w:pPr>
        <w:pStyle w:val="Numberedparagraph"/>
        <w:numPr>
          <w:ilvl w:val="1"/>
          <w:numId w:val="1"/>
        </w:numPr>
      </w:pPr>
      <w:r>
        <w:t>Whether less restrictive</w:t>
      </w:r>
      <w:r w:rsidR="00254CCC">
        <w:t>,</w:t>
      </w:r>
      <w:r>
        <w:t xml:space="preserve"> reasonably available </w:t>
      </w:r>
      <w:r w:rsidR="00254CCC">
        <w:t>alternatives have been genuinely considered</w:t>
      </w:r>
      <w:r>
        <w:t>;</w:t>
      </w:r>
    </w:p>
    <w:p w14:paraId="21BAB0AA" w14:textId="77777777" w:rsidR="00BE5F6F" w:rsidRDefault="00BE5F6F" w:rsidP="00E101C0">
      <w:pPr>
        <w:pStyle w:val="Numberedparagraph"/>
        <w:numPr>
          <w:ilvl w:val="1"/>
          <w:numId w:val="1"/>
        </w:numPr>
      </w:pPr>
      <w:r>
        <w:t xml:space="preserve">Consideration of any </w:t>
      </w:r>
      <w:r w:rsidR="00254CCC">
        <w:t>disproportionate impacts on particular cohorts</w:t>
      </w:r>
      <w:r>
        <w:t xml:space="preserve"> that could amount </w:t>
      </w:r>
      <w:r w:rsidR="00254CCC">
        <w:t>to unlawful discrimination;</w:t>
      </w:r>
    </w:p>
    <w:p w14:paraId="677052B3" w14:textId="14AC276F" w:rsidR="007D0FDB" w:rsidRDefault="006219DA" w:rsidP="00E101C0">
      <w:pPr>
        <w:pStyle w:val="Numberedparagraph"/>
        <w:numPr>
          <w:ilvl w:val="1"/>
          <w:numId w:val="1"/>
        </w:numPr>
      </w:pPr>
      <w:r>
        <w:t>The level of involvement of children and their families in decisions being made about them</w:t>
      </w:r>
      <w:r w:rsidR="0053530F">
        <w:t>, including processes that support their meaningful involvement</w:t>
      </w:r>
      <w:r>
        <w:t>;</w:t>
      </w:r>
    </w:p>
    <w:p w14:paraId="23140743" w14:textId="5BA0A396" w:rsidR="009A6ACF" w:rsidRDefault="006219DA" w:rsidP="00E101C0">
      <w:pPr>
        <w:pStyle w:val="Numberedparagraph"/>
        <w:numPr>
          <w:ilvl w:val="1"/>
          <w:numId w:val="1"/>
        </w:numPr>
      </w:pPr>
      <w:r>
        <w:t>Transparency</w:t>
      </w:r>
      <w:r w:rsidR="009A6ACF">
        <w:t xml:space="preserve"> and accountability</w:t>
      </w:r>
      <w:r>
        <w:t xml:space="preserve"> </w:t>
      </w:r>
      <w:r w:rsidR="009A6ACF">
        <w:t xml:space="preserve">in </w:t>
      </w:r>
      <w:r>
        <w:t xml:space="preserve">decision making, </w:t>
      </w:r>
      <w:r w:rsidR="00C91A6B">
        <w:t xml:space="preserve">and </w:t>
      </w:r>
      <w:r w:rsidR="001362AF">
        <w:t xml:space="preserve">adequate </w:t>
      </w:r>
      <w:r w:rsidR="00C91A6B">
        <w:t>oversight</w:t>
      </w:r>
      <w:r w:rsidR="001362AF">
        <w:t xml:space="preserve">, including the ability to </w:t>
      </w:r>
      <w:r w:rsidR="00C91A6B">
        <w:t>identify and address systemic issues</w:t>
      </w:r>
      <w:r w:rsidR="009A6ACF">
        <w:t>;</w:t>
      </w:r>
    </w:p>
    <w:p w14:paraId="397AF0B7" w14:textId="1E699B6B" w:rsidR="006219DA" w:rsidRDefault="009A6ACF" w:rsidP="00E101C0">
      <w:pPr>
        <w:pStyle w:val="Numberedparagraph"/>
        <w:numPr>
          <w:ilvl w:val="1"/>
          <w:numId w:val="1"/>
        </w:numPr>
      </w:pPr>
      <w:r>
        <w:t>A</w:t>
      </w:r>
      <w:r w:rsidR="006219DA">
        <w:t xml:space="preserve">ccessible and clear pathways for review or appeal. </w:t>
      </w:r>
    </w:p>
    <w:p w14:paraId="30BAE597" w14:textId="5F1FF38A" w:rsidR="00A42F93" w:rsidRDefault="00A42F93" w:rsidP="00A42F93">
      <w:pPr>
        <w:pStyle w:val="Heading1"/>
      </w:pPr>
      <w:bookmarkStart w:id="27" w:name="_Toc102043859"/>
      <w:bookmarkStart w:id="28" w:name="_Toc102062278"/>
      <w:r>
        <w:t>School disciplinary absence and enrolment decisions</w:t>
      </w:r>
      <w:bookmarkEnd w:id="27"/>
      <w:bookmarkEnd w:id="28"/>
    </w:p>
    <w:p w14:paraId="0459F2F6" w14:textId="1D84F2B7" w:rsidR="00D57B7F" w:rsidRDefault="00D57B7F" w:rsidP="00D57B7F">
      <w:pPr>
        <w:pStyle w:val="Numberedparagraph"/>
      </w:pPr>
      <w:r>
        <w:t xml:space="preserve">The following section provides comments on the </w:t>
      </w:r>
      <w:r w:rsidR="00C121E8">
        <w:t>consultation paper</w:t>
      </w:r>
      <w:r>
        <w:t xml:space="preserve"> entitled </w:t>
      </w:r>
      <w:r w:rsidRPr="00D57B7F">
        <w:rPr>
          <w:i/>
          <w:iCs/>
        </w:rPr>
        <w:t>School disciplinary absence and enrolment decisions</w:t>
      </w:r>
      <w:r>
        <w:t xml:space="preserve">. The comments appear in the order they are presented in the </w:t>
      </w:r>
      <w:r w:rsidR="00C121E8">
        <w:t>consultation paper</w:t>
      </w:r>
      <w:r>
        <w:t xml:space="preserve">, and are not </w:t>
      </w:r>
      <w:r w:rsidR="00522E15">
        <w:t xml:space="preserve">indicative </w:t>
      </w:r>
      <w:r>
        <w:t>of the Commission’s priority of the issues.</w:t>
      </w:r>
    </w:p>
    <w:p w14:paraId="72DA57F0" w14:textId="01EB38F4" w:rsidR="00A42F93" w:rsidRDefault="00A42F93" w:rsidP="00A42F93">
      <w:pPr>
        <w:pStyle w:val="Heading2"/>
      </w:pPr>
      <w:bookmarkStart w:id="29" w:name="_Toc102062279"/>
      <w:r>
        <w:lastRenderedPageBreak/>
        <w:t>Maintaining enrolment during school disciplinary absences</w:t>
      </w:r>
      <w:bookmarkEnd w:id="29"/>
    </w:p>
    <w:p w14:paraId="3D076F31" w14:textId="5711FD11" w:rsidR="00A42F93" w:rsidRDefault="00A42F93" w:rsidP="00A42F93">
      <w:pPr>
        <w:pStyle w:val="Numberedparagraph"/>
      </w:pPr>
      <w:r>
        <w:t xml:space="preserve">Under section 329 of the EGP Act, a student is prohibited from enrolling in another State school during a </w:t>
      </w:r>
      <w:r w:rsidR="00572DFB">
        <w:t>‘</w:t>
      </w:r>
      <w:r>
        <w:t>period of suspension</w:t>
      </w:r>
      <w:r w:rsidR="00572DFB">
        <w:t>’</w:t>
      </w:r>
      <w:r>
        <w:t xml:space="preserve"> unless enrolment is approved by the chief executive. </w:t>
      </w:r>
    </w:p>
    <w:p w14:paraId="77AC388C" w14:textId="506D8209" w:rsidR="00A42F93" w:rsidRDefault="00A42F93" w:rsidP="00A42F93">
      <w:pPr>
        <w:pStyle w:val="Numberedparagraph"/>
      </w:pPr>
      <w:r>
        <w:t xml:space="preserve">The </w:t>
      </w:r>
      <w:r w:rsidR="00C121E8">
        <w:t>consultation paper</w:t>
      </w:r>
      <w:r>
        <w:t xml:space="preserve"> refers to a growing issue that parents are ceasing their enrolment immediately upon suspension. This:</w:t>
      </w:r>
    </w:p>
    <w:p w14:paraId="250238EB" w14:textId="0D9E188A" w:rsidR="00A42F93" w:rsidRDefault="00232FC2" w:rsidP="00E101C0">
      <w:pPr>
        <w:pStyle w:val="Numberedparagraph"/>
        <w:numPr>
          <w:ilvl w:val="1"/>
          <w:numId w:val="1"/>
        </w:numPr>
      </w:pPr>
      <w:r>
        <w:t>a</w:t>
      </w:r>
      <w:r w:rsidR="00A42F93">
        <w:t xml:space="preserve">llows for a student to be enrolled at another state school, or potentially be re-enrolled in the same school, during what would otherwise be a suspension period; </w:t>
      </w:r>
      <w:r>
        <w:t>and</w:t>
      </w:r>
    </w:p>
    <w:p w14:paraId="614E42B2" w14:textId="3B6C4861" w:rsidR="00A42F93" w:rsidRPr="00C52D37" w:rsidRDefault="00232FC2" w:rsidP="00E101C0">
      <w:pPr>
        <w:pStyle w:val="Numberedparagraph"/>
        <w:numPr>
          <w:ilvl w:val="1"/>
          <w:numId w:val="1"/>
        </w:numPr>
      </w:pPr>
      <w:r>
        <w:t>i</w:t>
      </w:r>
      <w:r w:rsidR="00A42F93">
        <w:t>n relation to a charge-related suspension, limits the school’s ability to obtain information from the Queensland Police Service regarding the outcome of the charges.</w:t>
      </w:r>
      <w:r w:rsidR="00A42F93">
        <w:rPr>
          <w:rStyle w:val="FootnoteReference"/>
        </w:rPr>
        <w:footnoteReference w:id="15"/>
      </w:r>
      <w:r w:rsidR="00A42F93">
        <w:t xml:space="preserve"> </w:t>
      </w:r>
    </w:p>
    <w:p w14:paraId="4075E944" w14:textId="099807A3" w:rsidR="002E244A" w:rsidRDefault="002E244A" w:rsidP="00A42F93">
      <w:pPr>
        <w:pStyle w:val="Numberedparagraph"/>
      </w:pPr>
      <w:r>
        <w:t xml:space="preserve">The </w:t>
      </w:r>
      <w:r w:rsidR="00C121E8">
        <w:t>consultation paper</w:t>
      </w:r>
      <w:r>
        <w:t xml:space="preserve"> proposes the EGP Act be amended to prevent changes to enrolment from the time a parent is notified that a school disciplinary absence is being considered until a decision is made and/or the suspension has been completed by the student.</w:t>
      </w:r>
    </w:p>
    <w:p w14:paraId="25CB0D09" w14:textId="4AA1E909" w:rsidR="00572DFB" w:rsidRDefault="00572DFB" w:rsidP="00A42F93">
      <w:pPr>
        <w:pStyle w:val="Numberedparagraph"/>
      </w:pPr>
      <w:r>
        <w:t>It is noted that it was not the intention of Parliament that the ‘period of suspension’ end if enrolment ceased. The explanatory notes to the Education (General Provisions) Bill 2006 state:</w:t>
      </w:r>
    </w:p>
    <w:p w14:paraId="63ED41EC" w14:textId="2006E450" w:rsidR="00572DFB" w:rsidRDefault="00572DFB" w:rsidP="00572DFB">
      <w:pPr>
        <w:pStyle w:val="Numberedparagraph"/>
        <w:numPr>
          <w:ilvl w:val="0"/>
          <w:numId w:val="0"/>
        </w:numPr>
        <w:ind w:left="720"/>
      </w:pPr>
      <w:r w:rsidRPr="00032D71">
        <w:rPr>
          <w:sz w:val="22"/>
          <w:szCs w:val="22"/>
        </w:rPr>
        <w:t>It should be noted that the period of suspension continues until it would have otherwise ended, regardless of whether the student’s enrolment at the State school has been ceased by the parent or student.</w:t>
      </w:r>
      <w:r>
        <w:rPr>
          <w:rStyle w:val="FootnoteReference"/>
          <w:sz w:val="22"/>
          <w:szCs w:val="22"/>
        </w:rPr>
        <w:footnoteReference w:id="16"/>
      </w:r>
    </w:p>
    <w:p w14:paraId="06A5DCEE" w14:textId="04229D9A" w:rsidR="00D57B7F" w:rsidRDefault="00D57B7F" w:rsidP="00A42F93">
      <w:pPr>
        <w:pStyle w:val="Numberedparagraph"/>
      </w:pPr>
      <w:bookmarkStart w:id="30" w:name="_Ref102028775"/>
      <w:r>
        <w:t>It is also noted that the issue regarding access to police information may be able to be addressed through alternative legislative amendment, which does not further limit rights to enrolment or education, although due regard will still need to be given to the student’s right to privacy.</w:t>
      </w:r>
      <w:bookmarkEnd w:id="30"/>
      <w:r>
        <w:t xml:space="preserve"> </w:t>
      </w:r>
    </w:p>
    <w:p w14:paraId="00D5B110" w14:textId="6BA8AF9A" w:rsidR="000860CC" w:rsidRDefault="00F22886" w:rsidP="007D6E0E">
      <w:pPr>
        <w:pStyle w:val="Numberedparagraph"/>
      </w:pPr>
      <w:r>
        <w:t>Suspension</w:t>
      </w:r>
      <w:r w:rsidR="007B67D1">
        <w:t>, and consequently the limitation on rights,</w:t>
      </w:r>
      <w:r>
        <w:t xml:space="preserve"> can be up to 20 school days</w:t>
      </w:r>
      <w:r w:rsidR="007B67D1">
        <w:t>, the equivalent of four weeks of school</w:t>
      </w:r>
      <w:r w:rsidR="00C0112E">
        <w:t xml:space="preserve">. </w:t>
      </w:r>
      <w:r w:rsidR="007D6E0E">
        <w:t xml:space="preserve">If the proposed amendment is implemented, </w:t>
      </w:r>
      <w:r w:rsidR="00350EA7">
        <w:t xml:space="preserve">the </w:t>
      </w:r>
      <w:r w:rsidR="007D6E0E">
        <w:t>limitation</w:t>
      </w:r>
      <w:r w:rsidR="00350EA7">
        <w:t xml:space="preserve"> will be </w:t>
      </w:r>
      <w:r w:rsidR="00A52BC6">
        <w:t xml:space="preserve">further </w:t>
      </w:r>
      <w:r w:rsidR="00350EA7">
        <w:t xml:space="preserve">extended, starting from the date </w:t>
      </w:r>
      <w:r w:rsidR="007B67D1">
        <w:t xml:space="preserve">of </w:t>
      </w:r>
      <w:r w:rsidR="007D6E0E">
        <w:t>notification that a school disciplinary absence is being considered. Notification</w:t>
      </w:r>
      <w:r w:rsidR="00350EA7">
        <w:t xml:space="preserve"> timeframes</w:t>
      </w:r>
      <w:r w:rsidR="007D6E0E">
        <w:t xml:space="preserve"> </w:t>
      </w:r>
      <w:r w:rsidR="00350EA7">
        <w:t xml:space="preserve">do not appear to be </w:t>
      </w:r>
      <w:r w:rsidR="007D6E0E">
        <w:t>provided for under the Act</w:t>
      </w:r>
      <w:r w:rsidR="00350EA7">
        <w:t xml:space="preserve"> or under policy.</w:t>
      </w:r>
      <w:r w:rsidR="007D6E0E">
        <w:t xml:space="preserve"> </w:t>
      </w:r>
      <w:r w:rsidR="00470E76">
        <w:t xml:space="preserve">The issue is compounded by the possibility of a </w:t>
      </w:r>
      <w:r w:rsidR="00470E76">
        <w:lastRenderedPageBreak/>
        <w:t xml:space="preserve">new school delaying a decision to accept or refuse enrolment, which </w:t>
      </w:r>
      <w:r w:rsidR="002E244A">
        <w:t>also lacks timeframes and has up to a 40 school day review process.</w:t>
      </w:r>
      <w:r w:rsidR="00470E76">
        <w:t xml:space="preserve"> This is discussed</w:t>
      </w:r>
      <w:r w:rsidR="002E244A">
        <w:t xml:space="preserve"> further</w:t>
      </w:r>
      <w:r w:rsidR="00470E76">
        <w:t xml:space="preserve"> </w:t>
      </w:r>
      <w:r w:rsidR="00470E76">
        <w:fldChar w:fldCharType="begin"/>
      </w:r>
      <w:r w:rsidR="00470E76">
        <w:instrText xml:space="preserve"> REF _Ref101947117 \p </w:instrText>
      </w:r>
      <w:r w:rsidR="00470E76">
        <w:fldChar w:fldCharType="separate"/>
      </w:r>
      <w:r w:rsidR="00F35668">
        <w:t>below</w:t>
      </w:r>
      <w:r w:rsidR="00470E76">
        <w:fldChar w:fldCharType="end"/>
      </w:r>
      <w:r w:rsidR="00470E76">
        <w:t xml:space="preserve"> under </w:t>
      </w:r>
      <w:r w:rsidR="00470E76" w:rsidRPr="00470E76">
        <w:rPr>
          <w:i/>
          <w:iCs/>
        </w:rPr>
        <w:fldChar w:fldCharType="begin"/>
      </w:r>
      <w:r w:rsidR="00470E76" w:rsidRPr="00470E76">
        <w:rPr>
          <w:i/>
          <w:iCs/>
        </w:rPr>
        <w:instrText xml:space="preserve"> REF _Ref101947030 \h </w:instrText>
      </w:r>
      <w:r w:rsidR="00470E76">
        <w:rPr>
          <w:i/>
          <w:iCs/>
        </w:rPr>
        <w:instrText xml:space="preserve"> \* MERGEFORMAT </w:instrText>
      </w:r>
      <w:r w:rsidR="00470E76" w:rsidRPr="00470E76">
        <w:rPr>
          <w:i/>
          <w:iCs/>
        </w:rPr>
      </w:r>
      <w:r w:rsidR="00470E76" w:rsidRPr="00470E76">
        <w:rPr>
          <w:i/>
          <w:iCs/>
        </w:rPr>
        <w:fldChar w:fldCharType="separate"/>
      </w:r>
      <w:r w:rsidR="00F35668" w:rsidRPr="00F35668">
        <w:rPr>
          <w:i/>
          <w:iCs/>
        </w:rPr>
        <w:t>Access to education while enrolment decision is pending</w:t>
      </w:r>
      <w:r w:rsidR="00470E76" w:rsidRPr="00470E76">
        <w:rPr>
          <w:i/>
          <w:iCs/>
        </w:rPr>
        <w:fldChar w:fldCharType="end"/>
      </w:r>
      <w:r w:rsidR="00470E76">
        <w:rPr>
          <w:i/>
          <w:iCs/>
        </w:rPr>
        <w:t xml:space="preserve">. </w:t>
      </w:r>
    </w:p>
    <w:p w14:paraId="67E7DC90" w14:textId="7193E81A" w:rsidR="00350EA7" w:rsidRDefault="00A52BC6" w:rsidP="00E101C0">
      <w:pPr>
        <w:pStyle w:val="Numberedparagraph"/>
      </w:pPr>
      <w:r>
        <w:t xml:space="preserve">The ‘advantages’ of preventing changes to enrolment during the suspension period is outlined in the </w:t>
      </w:r>
      <w:r w:rsidR="00C121E8">
        <w:t>consultation paper</w:t>
      </w:r>
      <w:r>
        <w:t xml:space="preserve"> at page 9. </w:t>
      </w:r>
      <w:r w:rsidR="00270863">
        <w:t xml:space="preserve">However, the Commission considers more information is needed to adequately justify why a suspended student should be prevented from </w:t>
      </w:r>
      <w:r w:rsidR="00604CA2">
        <w:t xml:space="preserve">seeking to fulfil </w:t>
      </w:r>
      <w:r w:rsidR="00A463CA">
        <w:t>their education needs at an alternative State school.</w:t>
      </w:r>
      <w:r w:rsidR="00856E2B">
        <w:t xml:space="preserve"> For example, more clarity is needed on the purpose of the provision</w:t>
      </w:r>
      <w:r w:rsidR="002E5231">
        <w:t>, given that a student is not prevented from enrolling in a non-State school or a school outside of Queensland during a period of suspension.</w:t>
      </w:r>
      <w:r w:rsidR="00270863">
        <w:t xml:space="preserve"> </w:t>
      </w:r>
      <w:r w:rsidR="002E5231">
        <w:t>C</w:t>
      </w:r>
      <w:r w:rsidR="00270863">
        <w:t xml:space="preserve">onsideration </w:t>
      </w:r>
      <w:r w:rsidR="002E5231">
        <w:t xml:space="preserve">should also be given to </w:t>
      </w:r>
      <w:r w:rsidR="00270863">
        <w:t xml:space="preserve">whether there are other ways to achieve the ‘advantages’ identified in the </w:t>
      </w:r>
      <w:r w:rsidR="00C121E8">
        <w:t>consultation paper</w:t>
      </w:r>
      <w:r w:rsidR="002E244A">
        <w:t xml:space="preserve">, such as those described at </w:t>
      </w:r>
      <w:r w:rsidR="00A45000">
        <w:t xml:space="preserve">paragraph </w:t>
      </w:r>
      <w:r w:rsidR="00A45000">
        <w:fldChar w:fldCharType="begin"/>
      </w:r>
      <w:r w:rsidR="00A45000">
        <w:instrText xml:space="preserve"> REF _Ref102028775 \r \h </w:instrText>
      </w:r>
      <w:r w:rsidR="00A45000">
        <w:fldChar w:fldCharType="separate"/>
      </w:r>
      <w:r w:rsidR="00F35668">
        <w:t>23</w:t>
      </w:r>
      <w:r w:rsidR="00A45000">
        <w:fldChar w:fldCharType="end"/>
      </w:r>
      <w:r w:rsidR="00A45000">
        <w:t xml:space="preserve"> above in relation to police information</w:t>
      </w:r>
      <w:r w:rsidR="00270863">
        <w:t xml:space="preserve">. </w:t>
      </w:r>
      <w:r w:rsidR="00A45000">
        <w:t xml:space="preserve">Also </w:t>
      </w:r>
      <w:r w:rsidR="00270863">
        <w:t xml:space="preserve">relevant </w:t>
      </w:r>
      <w:r w:rsidR="00A45000">
        <w:t xml:space="preserve">will be </w:t>
      </w:r>
      <w:r w:rsidR="00270863">
        <w:t xml:space="preserve">how much support </w:t>
      </w:r>
      <w:r w:rsidR="00A45000">
        <w:t>is provided under</w:t>
      </w:r>
      <w:r w:rsidR="00856E2B">
        <w:t xml:space="preserve"> section 294 </w:t>
      </w:r>
      <w:r w:rsidR="00A45000">
        <w:t xml:space="preserve">of </w:t>
      </w:r>
      <w:r w:rsidR="00856E2B">
        <w:t xml:space="preserve">the EGP Act to ensure the child’s continuing education during the suspension. </w:t>
      </w:r>
      <w:r w:rsidR="00A463CA">
        <w:t xml:space="preserve"> </w:t>
      </w:r>
    </w:p>
    <w:p w14:paraId="5E690B95" w14:textId="66E44B54" w:rsidR="00FC3FAC" w:rsidRDefault="006A24D0" w:rsidP="007671B8">
      <w:pPr>
        <w:pStyle w:val="Heading4"/>
      </w:pPr>
      <w:bookmarkStart w:id="31" w:name="_Ref94603670"/>
      <w:bookmarkStart w:id="32" w:name="_Toc102043860"/>
      <w:r w:rsidRPr="00004671">
        <w:rPr>
          <w:b/>
        </w:rPr>
        <w:t xml:space="preserve">Recommendation </w:t>
      </w:r>
      <w:r w:rsidRPr="00004671">
        <w:rPr>
          <w:b/>
        </w:rPr>
        <w:fldChar w:fldCharType="begin"/>
      </w:r>
      <w:r w:rsidRPr="00004671">
        <w:rPr>
          <w:b/>
        </w:rPr>
        <w:instrText xml:space="preserve"> seq rec </w:instrText>
      </w:r>
      <w:r w:rsidRPr="00004671">
        <w:rPr>
          <w:b/>
        </w:rPr>
        <w:fldChar w:fldCharType="separate"/>
      </w:r>
      <w:r w:rsidR="00F35668">
        <w:rPr>
          <w:b/>
          <w:noProof/>
        </w:rPr>
        <w:t>1</w:t>
      </w:r>
      <w:r w:rsidRPr="00004671">
        <w:rPr>
          <w:b/>
        </w:rPr>
        <w:fldChar w:fldCharType="end"/>
      </w:r>
      <w:r w:rsidRPr="00004671">
        <w:rPr>
          <w:b/>
        </w:rPr>
        <w:t>:</w:t>
      </w:r>
      <w:r w:rsidRPr="00383D41">
        <w:t xml:space="preserve"> </w:t>
      </w:r>
      <w:bookmarkEnd w:id="31"/>
      <w:r w:rsidR="007671B8">
        <w:t>S</w:t>
      </w:r>
      <w:r w:rsidR="000D5FD7">
        <w:t xml:space="preserve">ection 329 of the EGP Act and </w:t>
      </w:r>
      <w:r w:rsidR="007671B8">
        <w:t xml:space="preserve">any </w:t>
      </w:r>
      <w:r w:rsidR="000D5FD7">
        <w:t xml:space="preserve">amendment which would prevent </w:t>
      </w:r>
      <w:r w:rsidR="00D65890">
        <w:t xml:space="preserve">a child from pursuing enrolment in a different State school </w:t>
      </w:r>
      <w:r w:rsidR="000D5FD7">
        <w:t>before and during a period of suspension</w:t>
      </w:r>
      <w:r w:rsidR="007671B8">
        <w:t xml:space="preserve"> </w:t>
      </w:r>
      <w:r w:rsidR="00A45000">
        <w:t xml:space="preserve">limits human rights and </w:t>
      </w:r>
      <w:r w:rsidR="007671B8">
        <w:t>must be</w:t>
      </w:r>
      <w:r w:rsidR="00A45000">
        <w:t xml:space="preserve"> adequately</w:t>
      </w:r>
      <w:r w:rsidR="007671B8">
        <w:t xml:space="preserve"> justified</w:t>
      </w:r>
      <w:r w:rsidR="00D65890">
        <w:t>.</w:t>
      </w:r>
      <w:bookmarkEnd w:id="32"/>
    </w:p>
    <w:p w14:paraId="363928D5" w14:textId="7E308E31" w:rsidR="007671B8" w:rsidRDefault="007671B8" w:rsidP="007671B8">
      <w:pPr>
        <w:pStyle w:val="Heading2"/>
      </w:pPr>
      <w:bookmarkStart w:id="33" w:name="_Ref101947030"/>
      <w:bookmarkStart w:id="34" w:name="_Ref101947117"/>
      <w:bookmarkStart w:id="35" w:name="_Ref101959699"/>
      <w:bookmarkStart w:id="36" w:name="_Toc102062280"/>
      <w:r>
        <w:t>Access to education while enrolment decision is pending</w:t>
      </w:r>
      <w:bookmarkEnd w:id="33"/>
      <w:bookmarkEnd w:id="34"/>
      <w:bookmarkEnd w:id="35"/>
      <w:bookmarkEnd w:id="36"/>
    </w:p>
    <w:p w14:paraId="3BDFBBF3" w14:textId="3F4B288C" w:rsidR="007671B8" w:rsidRDefault="008B2B92" w:rsidP="00072DBC">
      <w:pPr>
        <w:pStyle w:val="Numberedparagraph"/>
      </w:pPr>
      <w:r>
        <w:t>I</w:t>
      </w:r>
      <w:r w:rsidR="00570953">
        <w:t>f a state school principal reasonably believes that a prospective student would, if enrolled at the school, pose an unacceptable risk to the safety or wellbeing of members of the school community</w:t>
      </w:r>
      <w:r>
        <w:t>, the principal must refer the application of enrolment to the chief executive</w:t>
      </w:r>
      <w:r w:rsidR="00570953">
        <w:t xml:space="preserve">. </w:t>
      </w:r>
      <w:r w:rsidR="00305114">
        <w:t>Following a show cause process, t</w:t>
      </w:r>
      <w:r w:rsidR="00570953">
        <w:t>he chief executive</w:t>
      </w:r>
      <w:r>
        <w:t xml:space="preserve"> may make a decision to refuse enrolment under Chapter </w:t>
      </w:r>
      <w:r w:rsidR="00AE2041">
        <w:t>8 Part 1 Division 2</w:t>
      </w:r>
      <w:r w:rsidR="00305114">
        <w:t xml:space="preserve"> of the EGP Act.</w:t>
      </w:r>
      <w:r>
        <w:t xml:space="preserve"> </w:t>
      </w:r>
    </w:p>
    <w:p w14:paraId="025A31DE" w14:textId="2531F139" w:rsidR="000E0D00" w:rsidRDefault="000E0D00" w:rsidP="000E0D00">
      <w:pPr>
        <w:pStyle w:val="Numberedparagraph"/>
      </w:pPr>
      <w:r>
        <w:t xml:space="preserve">As noted in the consultation paper, there is no legislated requirement or obligation on the principal or the department to provide the prospective student with access to education while the decision about enrolment at a state school is pending. The Commission supports reform to address this. The </w:t>
      </w:r>
      <w:r w:rsidR="00D57FBE">
        <w:t xml:space="preserve">obligation </w:t>
      </w:r>
      <w:r>
        <w:t xml:space="preserve">to ensure </w:t>
      </w:r>
      <w:r w:rsidR="00D57FBE">
        <w:t xml:space="preserve">access to </w:t>
      </w:r>
      <w:r>
        <w:t>education should be extended to children for whom exclusion is proposed, that is, before a</w:t>
      </w:r>
      <w:r w:rsidR="00D57FBE">
        <w:t>n</w:t>
      </w:r>
      <w:r>
        <w:t xml:space="preserve"> exclusion decision is made, the principal </w:t>
      </w:r>
      <w:r w:rsidR="0050248E">
        <w:t xml:space="preserve">(or the department) </w:t>
      </w:r>
      <w:r>
        <w:t>should be required to make arrangements to ensure the student</w:t>
      </w:r>
      <w:r w:rsidR="001128FF">
        <w:t xml:space="preserve"> can continue their</w:t>
      </w:r>
      <w:r w:rsidR="00D57FBE">
        <w:t xml:space="preserve"> </w:t>
      </w:r>
      <w:r>
        <w:t>education at another school.</w:t>
      </w:r>
    </w:p>
    <w:p w14:paraId="33D6FC84" w14:textId="291D3094" w:rsidR="00C935C5" w:rsidRDefault="00C935C5" w:rsidP="00072DBC">
      <w:pPr>
        <w:pStyle w:val="Numberedparagraph"/>
      </w:pPr>
      <w:r>
        <w:lastRenderedPageBreak/>
        <w:t>The Commission</w:t>
      </w:r>
      <w:r w:rsidR="000E0D00">
        <w:t xml:space="preserve"> also</w:t>
      </w:r>
      <w:r>
        <w:t xml:space="preserve"> has the following concerns about the current </w:t>
      </w:r>
      <w:r w:rsidR="00DF41A6">
        <w:t xml:space="preserve">refusal to enrol </w:t>
      </w:r>
      <w:r>
        <w:t>process:</w:t>
      </w:r>
    </w:p>
    <w:p w14:paraId="2F6EF1D8" w14:textId="34C4CDB3" w:rsidR="00C935C5" w:rsidRDefault="00C935C5" w:rsidP="00E101C0">
      <w:pPr>
        <w:pStyle w:val="Numberedparagraph"/>
        <w:numPr>
          <w:ilvl w:val="1"/>
          <w:numId w:val="1"/>
        </w:numPr>
      </w:pPr>
      <w:r>
        <w:t>The lack of</w:t>
      </w:r>
      <w:r w:rsidR="00673FFD">
        <w:t xml:space="preserve"> specified</w:t>
      </w:r>
      <w:r>
        <w:t xml:space="preserve"> timeframes </w:t>
      </w:r>
      <w:r w:rsidR="00673FFD">
        <w:t>in multiple steps of the process</w:t>
      </w:r>
      <w:r w:rsidR="00410EDE">
        <w:t xml:space="preserve">, such as time limits on the decision of the principal to refer the matter to the chief executive, time limits on the chief executive to determine whether to return the matter back to the principal or ask the applicant to show cause, and time limits on making a final decision once show cause </w:t>
      </w:r>
      <w:r w:rsidR="00030955">
        <w:t>submissions have been made</w:t>
      </w:r>
      <w:r w:rsidR="00673FFD">
        <w:t>;</w:t>
      </w:r>
    </w:p>
    <w:p w14:paraId="50AE7C09" w14:textId="233E44A2" w:rsidR="00C935C5" w:rsidRDefault="00C935C5" w:rsidP="00E101C0">
      <w:pPr>
        <w:pStyle w:val="Numberedparagraph"/>
        <w:numPr>
          <w:ilvl w:val="1"/>
          <w:numId w:val="1"/>
        </w:numPr>
      </w:pPr>
      <w:r>
        <w:t xml:space="preserve">Notice of a proposed decision to refuse enrolment and reasons is given in writing, and </w:t>
      </w:r>
      <w:r w:rsidR="0053530F">
        <w:t xml:space="preserve">only submissions </w:t>
      </w:r>
      <w:r w:rsidR="0053530F" w:rsidRPr="0053530F">
        <w:rPr>
          <w:i/>
          <w:iCs/>
        </w:rPr>
        <w:t>in writing</w:t>
      </w:r>
      <w:r w:rsidR="0053530F">
        <w:t xml:space="preserve"> from the </w:t>
      </w:r>
      <w:r w:rsidR="009406D0">
        <w:t>applicant (which could be either the child’s parents, or the child themselves</w:t>
      </w:r>
      <w:r w:rsidR="009406D0">
        <w:rPr>
          <w:rStyle w:val="FootnoteReference"/>
        </w:rPr>
        <w:footnoteReference w:id="17"/>
      </w:r>
      <w:r w:rsidR="009406D0">
        <w:t xml:space="preserve">) </w:t>
      </w:r>
      <w:r w:rsidR="0053530F">
        <w:t>must be</w:t>
      </w:r>
      <w:r>
        <w:t xml:space="preserve"> considered </w:t>
      </w:r>
      <w:r w:rsidR="0053530F">
        <w:t>by the chief executive in making a final decision</w:t>
      </w:r>
      <w:r>
        <w:rPr>
          <w:rStyle w:val="FootnoteReference"/>
        </w:rPr>
        <w:footnoteReference w:id="18"/>
      </w:r>
      <w:r>
        <w:t>;</w:t>
      </w:r>
    </w:p>
    <w:p w14:paraId="44C713C0" w14:textId="72BB6165" w:rsidR="00C935C5" w:rsidRDefault="0053530F" w:rsidP="00E101C0">
      <w:pPr>
        <w:pStyle w:val="Numberedparagraph"/>
        <w:numPr>
          <w:ilvl w:val="1"/>
          <w:numId w:val="1"/>
        </w:numPr>
      </w:pPr>
      <w:r>
        <w:t xml:space="preserve">A decision to refuse enrolment can only be reviewed </w:t>
      </w:r>
      <w:r w:rsidR="00BF489A">
        <w:t>internally at first instance, which can take up to 40 school days</w:t>
      </w:r>
      <w:r w:rsidR="00BF489A">
        <w:rPr>
          <w:rStyle w:val="FootnoteReference"/>
        </w:rPr>
        <w:footnoteReference w:id="19"/>
      </w:r>
      <w:r w:rsidR="00BF489A">
        <w:t>, after which an application for external review can be made to the Queensland Civil and Administrative Tribunal</w:t>
      </w:r>
      <w:r w:rsidR="00A45000">
        <w:t xml:space="preserve"> (QCAT)</w:t>
      </w:r>
      <w:r w:rsidR="00093427">
        <w:t>.</w:t>
      </w:r>
      <w:r w:rsidR="00BF489A">
        <w:rPr>
          <w:rStyle w:val="FootnoteReference"/>
        </w:rPr>
        <w:footnoteReference w:id="20"/>
      </w:r>
    </w:p>
    <w:p w14:paraId="51EDB179" w14:textId="25EFAAA6" w:rsidR="00960B81" w:rsidRDefault="00960B81" w:rsidP="00093427">
      <w:pPr>
        <w:pStyle w:val="Numberedparagraph"/>
      </w:pPr>
      <w:r>
        <w:t xml:space="preserve">Some of these concerns have been addressed in later parts of the department’s </w:t>
      </w:r>
      <w:r w:rsidR="00C121E8">
        <w:t>consultation paper</w:t>
      </w:r>
      <w:r>
        <w:t xml:space="preserve">. </w:t>
      </w:r>
    </w:p>
    <w:p w14:paraId="14AD263A" w14:textId="614FEAC0" w:rsidR="00093427" w:rsidRDefault="00093427" w:rsidP="00093427">
      <w:pPr>
        <w:pStyle w:val="Numberedparagraph"/>
      </w:pPr>
      <w:r>
        <w:t>In addition to</w:t>
      </w:r>
      <w:r w:rsidR="00AE2041">
        <w:t xml:space="preserve"> the rights to education and the rights of the child being limited by refusal to enrol processes, </w:t>
      </w:r>
      <w:r w:rsidR="0021562C">
        <w:t xml:space="preserve">rights to fair hearing in the steps leading up to a potential QCAT review must be considered.  </w:t>
      </w:r>
    </w:p>
    <w:p w14:paraId="15A3FE6B" w14:textId="6514FE31" w:rsidR="00AE2041" w:rsidRDefault="00AE2041" w:rsidP="00093427">
      <w:pPr>
        <w:pStyle w:val="Numberedparagraph"/>
      </w:pPr>
      <w:r>
        <w:t xml:space="preserve">Any review or amendments </w:t>
      </w:r>
      <w:r w:rsidR="006B0155">
        <w:t xml:space="preserve">of </w:t>
      </w:r>
      <w:r>
        <w:t xml:space="preserve">refusal to enrol </w:t>
      </w:r>
      <w:r w:rsidR="006B0155">
        <w:t xml:space="preserve">provisions </w:t>
      </w:r>
      <w:r>
        <w:t xml:space="preserve">should also consider impacts and consistency with </w:t>
      </w:r>
      <w:r w:rsidR="006B0155">
        <w:t>provisions for exclusion of prospective students from some or all schools under Chapter 12, Part 3, Division 5</w:t>
      </w:r>
      <w:r w:rsidR="00DF41A6">
        <w:t xml:space="preserve"> of the EGP Act</w:t>
      </w:r>
      <w:r w:rsidR="006B0155">
        <w:t>. The concerns of the Commission stated above are also applicable to these provisions.</w:t>
      </w:r>
    </w:p>
    <w:p w14:paraId="18A073F5" w14:textId="704D67FC" w:rsidR="00302099" w:rsidRDefault="0021562C" w:rsidP="0021562C">
      <w:pPr>
        <w:pStyle w:val="Heading4"/>
      </w:pPr>
      <w:bookmarkStart w:id="37" w:name="_Toc102043861"/>
      <w:r w:rsidRPr="00004671">
        <w:rPr>
          <w:b/>
        </w:rPr>
        <w:t xml:space="preserve">Recommendation </w:t>
      </w:r>
      <w:r w:rsidRPr="00004671">
        <w:rPr>
          <w:b/>
        </w:rPr>
        <w:fldChar w:fldCharType="begin"/>
      </w:r>
      <w:r w:rsidRPr="00004671">
        <w:rPr>
          <w:b/>
        </w:rPr>
        <w:instrText xml:space="preserve"> seq rec </w:instrText>
      </w:r>
      <w:r w:rsidRPr="00004671">
        <w:rPr>
          <w:b/>
        </w:rPr>
        <w:fldChar w:fldCharType="separate"/>
      </w:r>
      <w:r w:rsidR="00F35668">
        <w:rPr>
          <w:b/>
          <w:noProof/>
        </w:rPr>
        <w:t>2</w:t>
      </w:r>
      <w:r w:rsidRPr="00004671">
        <w:rPr>
          <w:b/>
        </w:rPr>
        <w:fldChar w:fldCharType="end"/>
      </w:r>
      <w:r w:rsidRPr="00004671">
        <w:rPr>
          <w:b/>
        </w:rPr>
        <w:t>:</w:t>
      </w:r>
      <w:r w:rsidRPr="00383D41">
        <w:t xml:space="preserve"> </w:t>
      </w:r>
      <w:r w:rsidR="00302099">
        <w:t>The Commission supports legislative amendment that would impose obligations on the department to provide prospective students with access to education while they await an enrolment decision from the chief executive.</w:t>
      </w:r>
      <w:bookmarkEnd w:id="37"/>
      <w:r w:rsidR="00302099">
        <w:t xml:space="preserve"> </w:t>
      </w:r>
      <w:r w:rsidR="00485311">
        <w:t>This should also extend to exclusion decisions, that is, before a decision to exclude is made</w:t>
      </w:r>
      <w:r w:rsidR="0050248E">
        <w:t xml:space="preserve">, the </w:t>
      </w:r>
      <w:r w:rsidR="0050248E" w:rsidRPr="0050248E">
        <w:t xml:space="preserve">principal (or the department) </w:t>
      </w:r>
      <w:r w:rsidR="00485311">
        <w:t xml:space="preserve">should be </w:t>
      </w:r>
      <w:r w:rsidR="0050248E" w:rsidRPr="0050248E">
        <w:t>required to make arrangements to ensure the student</w:t>
      </w:r>
      <w:r w:rsidR="001128FF">
        <w:t xml:space="preserve"> can continue their education </w:t>
      </w:r>
      <w:r w:rsidR="0050248E" w:rsidRPr="0050248E">
        <w:t>at another school.</w:t>
      </w:r>
    </w:p>
    <w:p w14:paraId="229E7F4B" w14:textId="77777777" w:rsidR="00904053" w:rsidRPr="00904053" w:rsidRDefault="00904053" w:rsidP="00904053"/>
    <w:p w14:paraId="57321402" w14:textId="18638CD2" w:rsidR="00904053" w:rsidRDefault="00904053" w:rsidP="00904053">
      <w:pPr>
        <w:pStyle w:val="Heading4"/>
      </w:pPr>
      <w:bookmarkStart w:id="38" w:name="_Toc102043862"/>
      <w:r w:rsidRPr="00004671">
        <w:rPr>
          <w:b/>
        </w:rPr>
        <w:lastRenderedPageBreak/>
        <w:t xml:space="preserve">Recommendation </w:t>
      </w:r>
      <w:r w:rsidRPr="00004671">
        <w:rPr>
          <w:b/>
        </w:rPr>
        <w:fldChar w:fldCharType="begin"/>
      </w:r>
      <w:r w:rsidRPr="00004671">
        <w:rPr>
          <w:b/>
        </w:rPr>
        <w:instrText xml:space="preserve"> seq rec </w:instrText>
      </w:r>
      <w:r w:rsidRPr="00004671">
        <w:rPr>
          <w:b/>
        </w:rPr>
        <w:fldChar w:fldCharType="separate"/>
      </w:r>
      <w:r w:rsidR="00F35668">
        <w:rPr>
          <w:b/>
          <w:noProof/>
        </w:rPr>
        <w:t>3</w:t>
      </w:r>
      <w:r w:rsidRPr="00004671">
        <w:rPr>
          <w:b/>
        </w:rPr>
        <w:fldChar w:fldCharType="end"/>
      </w:r>
      <w:r w:rsidRPr="00004671">
        <w:rPr>
          <w:b/>
        </w:rPr>
        <w:t>:</w:t>
      </w:r>
      <w:r w:rsidRPr="00383D41">
        <w:t xml:space="preserve"> </w:t>
      </w:r>
      <w:r>
        <w:t>The provisions regarding refusal</w:t>
      </w:r>
      <w:r w:rsidR="00485311">
        <w:t xml:space="preserve"> to</w:t>
      </w:r>
      <w:r>
        <w:t xml:space="preserve"> enrol decisions (and exclusion of prospective students from some or all schools) be further amended to ensure compatibility with human rights, including:</w:t>
      </w:r>
      <w:bookmarkEnd w:id="38"/>
    </w:p>
    <w:p w14:paraId="37366313" w14:textId="77777777" w:rsidR="00904053" w:rsidRDefault="00904053" w:rsidP="00E101C0">
      <w:pPr>
        <w:pStyle w:val="Heading4"/>
        <w:numPr>
          <w:ilvl w:val="0"/>
          <w:numId w:val="3"/>
        </w:numPr>
      </w:pPr>
      <w:bookmarkStart w:id="39" w:name="_Toc102043863"/>
      <w:r>
        <w:t>provision of timeframes for decision making,</w:t>
      </w:r>
      <w:bookmarkEnd w:id="39"/>
      <w:r>
        <w:t xml:space="preserve"> </w:t>
      </w:r>
    </w:p>
    <w:p w14:paraId="3C839B48" w14:textId="77777777" w:rsidR="00904053" w:rsidRDefault="00904053" w:rsidP="00E101C0">
      <w:pPr>
        <w:pStyle w:val="Heading4"/>
        <w:numPr>
          <w:ilvl w:val="0"/>
          <w:numId w:val="3"/>
        </w:numPr>
      </w:pPr>
      <w:bookmarkStart w:id="40" w:name="_Toc102043864"/>
      <w:r>
        <w:t>a requirement that information be provided in a manner that can be understood the parents and, if appropriate, the child,</w:t>
      </w:r>
      <w:bookmarkEnd w:id="40"/>
    </w:p>
    <w:p w14:paraId="1FE8E8A8" w14:textId="77777777" w:rsidR="00904053" w:rsidRDefault="00904053" w:rsidP="00E101C0">
      <w:pPr>
        <w:pStyle w:val="Heading4"/>
        <w:numPr>
          <w:ilvl w:val="0"/>
          <w:numId w:val="3"/>
        </w:numPr>
      </w:pPr>
      <w:bookmarkStart w:id="41" w:name="_Toc102043865"/>
      <w:r>
        <w:t>allowances for submissions to be made other than in writing, and other than from the applicant (that is, the parents or the child)</w:t>
      </w:r>
      <w:bookmarkEnd w:id="41"/>
    </w:p>
    <w:p w14:paraId="45324428" w14:textId="77777777" w:rsidR="00904053" w:rsidRDefault="00904053" w:rsidP="00E101C0">
      <w:pPr>
        <w:pStyle w:val="Heading4"/>
        <w:numPr>
          <w:ilvl w:val="0"/>
          <w:numId w:val="3"/>
        </w:numPr>
      </w:pPr>
      <w:bookmarkStart w:id="42" w:name="_Toc102043866"/>
      <w:r>
        <w:t>simple and efficient processes for review of the decision.</w:t>
      </w:r>
      <w:bookmarkEnd w:id="42"/>
    </w:p>
    <w:p w14:paraId="6C9301D3" w14:textId="5EB9FB41" w:rsidR="00302099" w:rsidRDefault="00302099" w:rsidP="00302099"/>
    <w:p w14:paraId="7941063B" w14:textId="3B4E3A72" w:rsidR="00C935C5" w:rsidRDefault="00ED0B55" w:rsidP="00ED0B55">
      <w:pPr>
        <w:pStyle w:val="Heading2"/>
      </w:pPr>
      <w:bookmarkStart w:id="43" w:name="_Toc102062281"/>
      <w:r>
        <w:t>School disciplinary absence decisions and notice</w:t>
      </w:r>
      <w:bookmarkEnd w:id="43"/>
    </w:p>
    <w:p w14:paraId="60791E55" w14:textId="568EFE6B" w:rsidR="008B3E9D" w:rsidRDefault="008B3E9D" w:rsidP="008B3E9D">
      <w:pPr>
        <w:pStyle w:val="Heading3"/>
      </w:pPr>
      <w:bookmarkStart w:id="44" w:name="_Toc102062282"/>
      <w:r>
        <w:t>Substantive review of school disciplinary absences</w:t>
      </w:r>
      <w:bookmarkEnd w:id="44"/>
    </w:p>
    <w:p w14:paraId="6ABDD944" w14:textId="7356FADE" w:rsidR="00C91A6B" w:rsidRDefault="00C91A6B" w:rsidP="00C91A6B">
      <w:pPr>
        <w:pStyle w:val="Numberedparagraph"/>
      </w:pPr>
      <w:r>
        <w:t xml:space="preserve">The Commission supports any efforts to ‘strengthen </w:t>
      </w:r>
      <w:r w:rsidR="009664AB">
        <w:t>the legislation to ensure clarity and transparency of government decisions that may limit the access and participation of young people in schooling’.</w:t>
      </w:r>
      <w:r w:rsidR="009664AB">
        <w:rPr>
          <w:rStyle w:val="FootnoteReference"/>
        </w:rPr>
        <w:footnoteReference w:id="21"/>
      </w:r>
      <w:r w:rsidR="009664AB">
        <w:t xml:space="preserve"> </w:t>
      </w:r>
    </w:p>
    <w:p w14:paraId="6AA6154A" w14:textId="565F9A4E" w:rsidR="00C91A6B" w:rsidRDefault="00960B81" w:rsidP="00C91A6B">
      <w:pPr>
        <w:pStyle w:val="Numberedparagraph"/>
      </w:pPr>
      <w:r>
        <w:t xml:space="preserve">According to the statistics in Attachment 2 of the </w:t>
      </w:r>
      <w:r w:rsidR="00C121E8">
        <w:t>consultation paper</w:t>
      </w:r>
      <w:r>
        <w:t xml:space="preserve">, school disciplinary absences </w:t>
      </w:r>
      <w:r w:rsidR="00636F7E">
        <w:t xml:space="preserve">were increasing </w:t>
      </w:r>
      <w:r>
        <w:t xml:space="preserve">between 2013 </w:t>
      </w:r>
      <w:r w:rsidR="00636F7E">
        <w:t>and 2018</w:t>
      </w:r>
      <w:r>
        <w:t xml:space="preserve">, and </w:t>
      </w:r>
      <w:r w:rsidR="00636F7E">
        <w:t>decreased during 2019 and 2020</w:t>
      </w:r>
      <w:r w:rsidR="00275F32">
        <w:t xml:space="preserve">. The </w:t>
      </w:r>
      <w:r w:rsidR="00C121E8">
        <w:t>consultation paper</w:t>
      </w:r>
      <w:r w:rsidR="00275F32">
        <w:t xml:space="preserve"> suggests this may be attributed to extensive state-wide training in 2019 as part of a ‘two-year project to review all school discipline procedures’</w:t>
      </w:r>
      <w:r w:rsidR="00275F32">
        <w:rPr>
          <w:rStyle w:val="FootnoteReference"/>
        </w:rPr>
        <w:footnoteReference w:id="22"/>
      </w:r>
      <w:r w:rsidR="00275F32">
        <w:t>. The Commission encourages the Department to release reports or findings of the review which would help to develop effective, evidence-based reform.</w:t>
      </w:r>
    </w:p>
    <w:p w14:paraId="0E791498" w14:textId="48420E1E" w:rsidR="00275F32" w:rsidRPr="00F1673D" w:rsidRDefault="00AE3FB2" w:rsidP="00C91A6B">
      <w:pPr>
        <w:pStyle w:val="Numberedparagraph"/>
      </w:pPr>
      <w:r w:rsidRPr="00F1673D">
        <w:t xml:space="preserve">Despite these positive signs, </w:t>
      </w:r>
      <w:r w:rsidR="00522E15" w:rsidRPr="00F1673D">
        <w:t>the Commission notes recent reports and media recording high rates of school disciplinary absences when compared with other states, and the disproportionate representation within these numbers of Aboriginal and Torres Strait Islander children, and children with disability.</w:t>
      </w:r>
      <w:r w:rsidR="00522E15" w:rsidRPr="00F1673D">
        <w:rPr>
          <w:rStyle w:val="FootnoteReference"/>
        </w:rPr>
        <w:footnoteReference w:id="23"/>
      </w:r>
      <w:r w:rsidR="00522E15" w:rsidRPr="00F1673D">
        <w:t xml:space="preserve"> </w:t>
      </w:r>
    </w:p>
    <w:p w14:paraId="73514EF5" w14:textId="33BCCFB9" w:rsidR="00C91A6B" w:rsidRDefault="00AE3FB2" w:rsidP="00E101C0">
      <w:pPr>
        <w:pStyle w:val="Numberedparagraph"/>
      </w:pPr>
      <w:r>
        <w:t xml:space="preserve">The </w:t>
      </w:r>
      <w:r w:rsidR="00C121E8">
        <w:t>consultation paper</w:t>
      </w:r>
      <w:r>
        <w:t xml:space="preserve"> acknowledges that Queensland state school principals have greater autonomy to make suspension and exclusion decisions than their counterparts in other states and territories.</w:t>
      </w:r>
      <w:r>
        <w:rPr>
          <w:rStyle w:val="FootnoteReference"/>
        </w:rPr>
        <w:footnoteReference w:id="24"/>
      </w:r>
      <w:r>
        <w:t xml:space="preserve"> This was </w:t>
      </w:r>
      <w:r>
        <w:lastRenderedPageBreak/>
        <w:t xml:space="preserve">the result of </w:t>
      </w:r>
      <w:r w:rsidR="00C91A6B">
        <w:t>amendments to the EGP Act in 2014</w:t>
      </w:r>
      <w:r>
        <w:t>,</w:t>
      </w:r>
      <w:r w:rsidR="00C91A6B">
        <w:t xml:space="preserve"> which allowed principals more flexibility and autonomy in making disciplinary decisions with less administrative ‘red tape’. Analysis of the impact of the 2014 amendments should be undertaken with consideration of whether</w:t>
      </w:r>
      <w:r>
        <w:t xml:space="preserve"> principals are sufficiently independent and well-placed to make these decisions, or whether </w:t>
      </w:r>
      <w:r w:rsidR="00C91A6B">
        <w:t xml:space="preserve">regional directors or the chief executive </w:t>
      </w:r>
      <w:r w:rsidR="00061386">
        <w:t xml:space="preserve">are </w:t>
      </w:r>
      <w:r w:rsidR="00C91A6B">
        <w:t xml:space="preserve">more appropriate to make some </w:t>
      </w:r>
      <w:r>
        <w:t xml:space="preserve">or all </w:t>
      </w:r>
      <w:r w:rsidR="00C91A6B">
        <w:t>of these decisions</w:t>
      </w:r>
      <w:r>
        <w:t xml:space="preserve">. An alternative is </w:t>
      </w:r>
      <w:r w:rsidR="00EE09C5">
        <w:t xml:space="preserve">whether </w:t>
      </w:r>
      <w:r w:rsidR="00C95FBA">
        <w:t xml:space="preserve">there ought to be </w:t>
      </w:r>
      <w:r w:rsidR="00EE09C5">
        <w:t xml:space="preserve">greater </w:t>
      </w:r>
      <w:r w:rsidR="00C7500B">
        <w:t>oversight powers by the chief executive to address systemic concerns</w:t>
      </w:r>
      <w:r w:rsidR="00C91A6B">
        <w:t xml:space="preserve">. </w:t>
      </w:r>
    </w:p>
    <w:p w14:paraId="008BAD56" w14:textId="479B4195" w:rsidR="00C91A6B" w:rsidRDefault="003C7941" w:rsidP="00C91A6B">
      <w:pPr>
        <w:pStyle w:val="Numberedparagraph"/>
      </w:pPr>
      <w:r>
        <w:t>Further, t</w:t>
      </w:r>
      <w:r w:rsidR="00C91A6B">
        <w:t>he Commission recommends a substantive review of the framework for school disciplinary absences</w:t>
      </w:r>
      <w:r>
        <w:t xml:space="preserve">, with thorough stakeholder engagement and preferably through Parliamentary inquiry, </w:t>
      </w:r>
      <w:r w:rsidR="00C91A6B">
        <w:t>that would:</w:t>
      </w:r>
    </w:p>
    <w:p w14:paraId="0985641C" w14:textId="7A190D1A" w:rsidR="00C91A6B" w:rsidRPr="005457C1" w:rsidRDefault="00C91A6B" w:rsidP="00E101C0">
      <w:pPr>
        <w:pStyle w:val="Numberedparagraph"/>
        <w:numPr>
          <w:ilvl w:val="1"/>
          <w:numId w:val="1"/>
        </w:numPr>
      </w:pPr>
      <w:r>
        <w:t xml:space="preserve">Clearly identify the purpose of school disciplinary absences that is </w:t>
      </w:r>
      <w:r w:rsidRPr="007E1BF0">
        <w:rPr>
          <w:rFonts w:eastAsia="Times New Roman"/>
          <w:lang w:val="en-US"/>
        </w:rPr>
        <w:t>consistent with a free and democratic society based on human dignity, equality and freedom</w:t>
      </w:r>
      <w:r w:rsidR="003C7941">
        <w:rPr>
          <w:rFonts w:eastAsia="Times New Roman"/>
          <w:lang w:val="en-US"/>
        </w:rPr>
        <w:t>.</w:t>
      </w:r>
    </w:p>
    <w:p w14:paraId="5D5E2B90" w14:textId="77777777" w:rsidR="00C91A6B" w:rsidRPr="005457C1" w:rsidRDefault="00C91A6B" w:rsidP="00E101C0">
      <w:pPr>
        <w:pStyle w:val="Numberedparagraph"/>
        <w:numPr>
          <w:ilvl w:val="1"/>
          <w:numId w:val="1"/>
        </w:numPr>
      </w:pPr>
      <w:r>
        <w:rPr>
          <w:rFonts w:eastAsia="Times New Roman"/>
          <w:lang w:val="en-US"/>
        </w:rPr>
        <w:t>Ensure that grounds for school disciplinary absences achieves the purpose. For example, if a child is being disciplined for disengaging with school, then a suspension is not going to achieve the purpose of discipline.</w:t>
      </w:r>
    </w:p>
    <w:p w14:paraId="00BA0ACC" w14:textId="6ED2E2A4" w:rsidR="00C91A6B" w:rsidRPr="008900EF" w:rsidRDefault="00C91A6B" w:rsidP="00E101C0">
      <w:pPr>
        <w:pStyle w:val="Numberedparagraph"/>
        <w:numPr>
          <w:ilvl w:val="1"/>
          <w:numId w:val="1"/>
        </w:numPr>
      </w:pPr>
      <w:r>
        <w:rPr>
          <w:rFonts w:eastAsia="Times New Roman"/>
          <w:lang w:val="en-US"/>
        </w:rPr>
        <w:t xml:space="preserve">Ensure the legislative grounds for school disciplinary absences require consideration of the child’s individual circumstances </w:t>
      </w:r>
      <w:r w:rsidRPr="007E1BF0">
        <w:rPr>
          <w:rFonts w:eastAsia="Times New Roman"/>
          <w:lang w:val="en-US"/>
        </w:rPr>
        <w:t xml:space="preserve">such as </w:t>
      </w:r>
      <w:proofErr w:type="spellStart"/>
      <w:r w:rsidRPr="007E1BF0">
        <w:rPr>
          <w:rFonts w:eastAsia="Times New Roman"/>
          <w:lang w:val="en-US"/>
        </w:rPr>
        <w:t>behaviour</w:t>
      </w:r>
      <w:proofErr w:type="spellEnd"/>
      <w:r w:rsidRPr="007E1BF0">
        <w:rPr>
          <w:rFonts w:eastAsia="Times New Roman"/>
          <w:lang w:val="en-US"/>
        </w:rPr>
        <w:t xml:space="preserve"> history, disability, mental health and wellbeing, religious and cultural considerations, home environment, </w:t>
      </w:r>
      <w:r>
        <w:rPr>
          <w:rFonts w:eastAsia="Times New Roman"/>
          <w:lang w:val="en-US"/>
        </w:rPr>
        <w:t xml:space="preserve">and </w:t>
      </w:r>
      <w:r w:rsidRPr="007E1BF0">
        <w:rPr>
          <w:rFonts w:eastAsia="Times New Roman"/>
          <w:lang w:val="en-US"/>
        </w:rPr>
        <w:t>care arrangements</w:t>
      </w:r>
      <w:r>
        <w:rPr>
          <w:rFonts w:eastAsia="Times New Roman"/>
          <w:lang w:val="en-US"/>
        </w:rPr>
        <w:t xml:space="preserve"> and their human rights both under the objects of the EGP Act and under the HR Act. </w:t>
      </w:r>
    </w:p>
    <w:p w14:paraId="7C3CD6DF" w14:textId="2A26CAD8" w:rsidR="00C91A6B" w:rsidRPr="00AC4316" w:rsidRDefault="00C91A6B" w:rsidP="00E101C0">
      <w:pPr>
        <w:pStyle w:val="Numberedparagraph"/>
        <w:numPr>
          <w:ilvl w:val="1"/>
          <w:numId w:val="1"/>
        </w:numPr>
      </w:pPr>
      <w:r w:rsidRPr="008900EF">
        <w:rPr>
          <w:rFonts w:eastAsia="Times New Roman"/>
          <w:lang w:val="en-US"/>
        </w:rPr>
        <w:t xml:space="preserve">Ensure the legislative grounds for school disciplinary </w:t>
      </w:r>
      <w:r>
        <w:rPr>
          <w:rFonts w:eastAsia="Times New Roman"/>
          <w:lang w:val="en-US"/>
        </w:rPr>
        <w:t xml:space="preserve">absences </w:t>
      </w:r>
      <w:r w:rsidRPr="008900EF">
        <w:rPr>
          <w:rFonts w:eastAsia="Times New Roman"/>
          <w:lang w:val="en-US"/>
        </w:rPr>
        <w:t>require</w:t>
      </w:r>
      <w:r>
        <w:rPr>
          <w:rFonts w:eastAsia="Times New Roman"/>
          <w:lang w:val="en-US"/>
        </w:rPr>
        <w:t xml:space="preserve"> </w:t>
      </w:r>
      <w:r w:rsidR="009A40B2">
        <w:rPr>
          <w:rFonts w:eastAsia="Times New Roman"/>
          <w:lang w:val="en-US"/>
        </w:rPr>
        <w:t xml:space="preserve">genuine </w:t>
      </w:r>
      <w:r>
        <w:rPr>
          <w:rFonts w:eastAsia="Times New Roman"/>
          <w:lang w:val="en-US"/>
        </w:rPr>
        <w:t>consideration of</w:t>
      </w:r>
      <w:r w:rsidRPr="008900EF">
        <w:rPr>
          <w:rFonts w:eastAsia="Times New Roman"/>
          <w:lang w:val="en-US"/>
        </w:rPr>
        <w:t xml:space="preserve"> alternative</w:t>
      </w:r>
      <w:r>
        <w:rPr>
          <w:rFonts w:eastAsia="Times New Roman"/>
          <w:lang w:val="en-US"/>
        </w:rPr>
        <w:t>, less restrictive,</w:t>
      </w:r>
      <w:r w:rsidRPr="008900EF">
        <w:rPr>
          <w:rFonts w:eastAsia="Times New Roman"/>
          <w:lang w:val="en-US"/>
        </w:rPr>
        <w:t xml:space="preserve"> disciplinary consequences </w:t>
      </w:r>
      <w:r>
        <w:rPr>
          <w:rFonts w:eastAsia="Times New Roman"/>
          <w:lang w:val="en-US"/>
        </w:rPr>
        <w:t xml:space="preserve">such as </w:t>
      </w:r>
      <w:r w:rsidRPr="008900EF">
        <w:rPr>
          <w:rFonts w:eastAsia="Times New Roman"/>
          <w:lang w:val="en-US"/>
        </w:rPr>
        <w:t>detentions, discipline improvement plans, drug and alcohol education programs</w:t>
      </w:r>
      <w:r>
        <w:rPr>
          <w:rFonts w:eastAsia="Times New Roman"/>
          <w:lang w:val="en-US"/>
        </w:rPr>
        <w:t xml:space="preserve"> and that absence is a last resort</w:t>
      </w:r>
      <w:r w:rsidRPr="008900EF">
        <w:rPr>
          <w:rFonts w:eastAsia="Times New Roman"/>
          <w:lang w:val="en-US"/>
        </w:rPr>
        <w:t>.</w:t>
      </w:r>
      <w:r w:rsidR="009A40B2">
        <w:rPr>
          <w:rFonts w:eastAsia="Times New Roman"/>
          <w:lang w:val="en-US"/>
        </w:rPr>
        <w:t xml:space="preserve"> If school disciplinary absences are still imposed, then it should </w:t>
      </w:r>
      <w:r w:rsidR="00895769">
        <w:rPr>
          <w:rFonts w:eastAsia="Times New Roman"/>
          <w:lang w:val="en-US"/>
        </w:rPr>
        <w:t>be for as short a time as possible.</w:t>
      </w:r>
    </w:p>
    <w:p w14:paraId="28EA99ED" w14:textId="01E8F627" w:rsidR="00AC4316" w:rsidRPr="00AC4316" w:rsidRDefault="00AC4316" w:rsidP="00E101C0">
      <w:pPr>
        <w:pStyle w:val="Numberedparagraph"/>
        <w:numPr>
          <w:ilvl w:val="1"/>
          <w:numId w:val="1"/>
        </w:numPr>
      </w:pPr>
      <w:r>
        <w:t xml:space="preserve">Ensure that the grounds for school disciplinary absences for a school are clearly </w:t>
      </w:r>
      <w:r w:rsidR="0023686C">
        <w:t xml:space="preserve">communicated and </w:t>
      </w:r>
      <w:r>
        <w:t xml:space="preserve">understood by the school community. </w:t>
      </w:r>
      <w:r w:rsidR="0023686C">
        <w:t>Ideally, t</w:t>
      </w:r>
      <w:r>
        <w:t xml:space="preserve">heir development, such as through a Student Code of Conduct, </w:t>
      </w:r>
      <w:r w:rsidR="0023686C">
        <w:t xml:space="preserve">would </w:t>
      </w:r>
      <w:r>
        <w:t>be in consultation with the school community</w:t>
      </w:r>
      <w:r w:rsidR="0023686C">
        <w:t xml:space="preserve"> and give consideration to grounds that may indirectly discriminate against children with particular attributes.</w:t>
      </w:r>
    </w:p>
    <w:p w14:paraId="450C3401" w14:textId="07BB1010" w:rsidR="00C91A6B" w:rsidRDefault="003C7941" w:rsidP="00E101C0">
      <w:pPr>
        <w:pStyle w:val="Numberedparagraph"/>
        <w:numPr>
          <w:ilvl w:val="1"/>
          <w:numId w:val="1"/>
        </w:numPr>
      </w:pPr>
      <w:r>
        <w:t>A</w:t>
      </w:r>
      <w:r w:rsidR="00C91A6B">
        <w:t>llow for meaningful engagement</w:t>
      </w:r>
      <w:r w:rsidR="00AC4316">
        <w:t xml:space="preserve"> in the process</w:t>
      </w:r>
      <w:r w:rsidR="00C91A6B">
        <w:t xml:space="preserve"> by the student and their </w:t>
      </w:r>
      <w:r w:rsidR="00635F77">
        <w:t>parent</w:t>
      </w:r>
      <w:r w:rsidR="00001698">
        <w:t xml:space="preserve">s, including an opportunity to consider, discuss and respond </w:t>
      </w:r>
      <w:r w:rsidR="00001698">
        <w:lastRenderedPageBreak/>
        <w:t xml:space="preserve">to relevant evidence before any decision is made. Processes should take </w:t>
      </w:r>
      <w:r w:rsidR="00C91A6B">
        <w:t xml:space="preserve">account the student’s age and </w:t>
      </w:r>
      <w:r w:rsidR="00001698">
        <w:t>ensure information is given and received in a way that will be understood.</w:t>
      </w:r>
      <w:r w:rsidR="00AC4316">
        <w:t xml:space="preserve"> </w:t>
      </w:r>
    </w:p>
    <w:p w14:paraId="0033EDA6" w14:textId="01C159A9" w:rsidR="00C91A6B" w:rsidRDefault="003C7941" w:rsidP="00E101C0">
      <w:pPr>
        <w:pStyle w:val="Numberedparagraph"/>
        <w:numPr>
          <w:ilvl w:val="1"/>
          <w:numId w:val="1"/>
        </w:numPr>
      </w:pPr>
      <w:r>
        <w:t>P</w:t>
      </w:r>
      <w:r w:rsidR="00C91A6B">
        <w:t xml:space="preserve">rovide </w:t>
      </w:r>
      <w:r>
        <w:t xml:space="preserve">clear </w:t>
      </w:r>
      <w:r w:rsidR="00C91A6B">
        <w:t>time limits in the making of decisions</w:t>
      </w:r>
      <w:r>
        <w:t>.</w:t>
      </w:r>
    </w:p>
    <w:p w14:paraId="6330A044" w14:textId="39383173" w:rsidR="00C91A6B" w:rsidRDefault="003C7941" w:rsidP="00E101C0">
      <w:pPr>
        <w:pStyle w:val="Numberedparagraph"/>
        <w:numPr>
          <w:ilvl w:val="1"/>
          <w:numId w:val="1"/>
        </w:numPr>
      </w:pPr>
      <w:r>
        <w:t>R</w:t>
      </w:r>
      <w:r w:rsidR="009664AB">
        <w:t>equire c</w:t>
      </w:r>
      <w:r w:rsidR="00C91A6B">
        <w:t>larity and transparency in decision making, and data collection to allow for oversight and review of systemic issues</w:t>
      </w:r>
      <w:r>
        <w:t>.</w:t>
      </w:r>
    </w:p>
    <w:p w14:paraId="5B813BED" w14:textId="053F96A1" w:rsidR="00C91A6B" w:rsidRDefault="003C7941" w:rsidP="00E101C0">
      <w:pPr>
        <w:pStyle w:val="Numberedparagraph"/>
        <w:numPr>
          <w:ilvl w:val="1"/>
          <w:numId w:val="1"/>
        </w:numPr>
      </w:pPr>
      <w:r>
        <w:t>Clarify and simplify review rights, including external review.</w:t>
      </w:r>
    </w:p>
    <w:p w14:paraId="320709CD" w14:textId="26129DEE" w:rsidR="00C7500B" w:rsidRDefault="003C7941" w:rsidP="00E101C0">
      <w:pPr>
        <w:pStyle w:val="Numberedparagraph"/>
        <w:numPr>
          <w:ilvl w:val="1"/>
          <w:numId w:val="1"/>
        </w:numPr>
      </w:pPr>
      <w:r>
        <w:t>S</w:t>
      </w:r>
      <w:r w:rsidR="00C91A6B">
        <w:t xml:space="preserve">upport </w:t>
      </w:r>
      <w:r w:rsidR="001128FF">
        <w:t xml:space="preserve">a child’s </w:t>
      </w:r>
      <w:r w:rsidR="00C91A6B">
        <w:t>continued education throughout the process</w:t>
      </w:r>
      <w:r w:rsidR="00485311">
        <w:t>, including</w:t>
      </w:r>
      <w:r w:rsidR="001128FF">
        <w:t xml:space="preserve"> where a child is proposed to be excluded ensuring the child</w:t>
      </w:r>
      <w:r w:rsidR="00466AA5">
        <w:t xml:space="preserve"> can</w:t>
      </w:r>
      <w:r w:rsidR="001128FF">
        <w:t xml:space="preserve"> continue</w:t>
      </w:r>
      <w:r w:rsidR="00466AA5">
        <w:t xml:space="preserve"> their</w:t>
      </w:r>
      <w:r w:rsidR="001128FF">
        <w:t xml:space="preserve"> education at another school. </w:t>
      </w:r>
    </w:p>
    <w:p w14:paraId="07E4D88E" w14:textId="5DC457BE" w:rsidR="00C91A6B" w:rsidRDefault="003C7941" w:rsidP="00E101C0">
      <w:pPr>
        <w:pStyle w:val="Numberedparagraph"/>
        <w:numPr>
          <w:ilvl w:val="1"/>
          <w:numId w:val="1"/>
        </w:numPr>
      </w:pPr>
      <w:r>
        <w:t>I</w:t>
      </w:r>
      <w:r w:rsidR="00C7500B">
        <w:t xml:space="preserve">mpose obligations on the school to support a child’s reintegration into the school following suspension and </w:t>
      </w:r>
      <w:r w:rsidR="009A40B2">
        <w:t xml:space="preserve">to take proactive steps to address the behaviour or circumstances that led to the suspension. </w:t>
      </w:r>
    </w:p>
    <w:p w14:paraId="25EB6385" w14:textId="6852B4FA" w:rsidR="009664AB" w:rsidRDefault="009664AB" w:rsidP="009664AB">
      <w:pPr>
        <w:pStyle w:val="Numberedparagraph"/>
      </w:pPr>
      <w:r>
        <w:t xml:space="preserve">As noted by the </w:t>
      </w:r>
      <w:r w:rsidR="00C121E8">
        <w:t>consultation paper</w:t>
      </w:r>
      <w:r>
        <w:t>, many of these issues are already provided for in</w:t>
      </w:r>
      <w:r w:rsidR="00EE09C5">
        <w:t xml:space="preserve"> depar</w:t>
      </w:r>
      <w:r w:rsidR="00492E75">
        <w:t>t</w:t>
      </w:r>
      <w:r w:rsidR="00EE09C5">
        <w:t>mental</w:t>
      </w:r>
      <w:r>
        <w:t xml:space="preserve"> guidance. </w:t>
      </w:r>
    </w:p>
    <w:p w14:paraId="13027207" w14:textId="0A1E3AF4" w:rsidR="00F67707" w:rsidRDefault="00F67707" w:rsidP="00F67707">
      <w:pPr>
        <w:pStyle w:val="Heading4"/>
      </w:pPr>
      <w:bookmarkStart w:id="45" w:name="_Toc102043867"/>
      <w:r w:rsidRPr="00004671">
        <w:rPr>
          <w:b/>
        </w:rPr>
        <w:t xml:space="preserve">Recommendation </w:t>
      </w:r>
      <w:r w:rsidRPr="00004671">
        <w:rPr>
          <w:b/>
        </w:rPr>
        <w:fldChar w:fldCharType="begin"/>
      </w:r>
      <w:r w:rsidRPr="00004671">
        <w:rPr>
          <w:b/>
        </w:rPr>
        <w:instrText xml:space="preserve"> seq rec </w:instrText>
      </w:r>
      <w:r w:rsidRPr="00004671">
        <w:rPr>
          <w:b/>
        </w:rPr>
        <w:fldChar w:fldCharType="separate"/>
      </w:r>
      <w:r w:rsidR="00F35668">
        <w:rPr>
          <w:b/>
          <w:noProof/>
        </w:rPr>
        <w:t>4</w:t>
      </w:r>
      <w:r w:rsidRPr="00004671">
        <w:rPr>
          <w:b/>
        </w:rPr>
        <w:fldChar w:fldCharType="end"/>
      </w:r>
      <w:r w:rsidRPr="00004671">
        <w:rPr>
          <w:b/>
        </w:rPr>
        <w:t>:</w:t>
      </w:r>
      <w:r w:rsidRPr="00383D41">
        <w:t xml:space="preserve"> </w:t>
      </w:r>
      <w:r w:rsidR="00492E75" w:rsidRPr="00492E75">
        <w:t xml:space="preserve">The </w:t>
      </w:r>
      <w:r w:rsidR="00492E75">
        <w:t>C</w:t>
      </w:r>
      <w:r w:rsidR="00492E75" w:rsidRPr="00492E75">
        <w:t>ommission supports a substantive review of the framework for school disciplinary absences, preferably through Parliamentary inquiry, which aims to reduce rates of school disciplinary absences and improve outcomes for children who are involved in the process.</w:t>
      </w:r>
      <w:bookmarkEnd w:id="45"/>
    </w:p>
    <w:p w14:paraId="223E99FC" w14:textId="04C30217" w:rsidR="008B3E9D" w:rsidRPr="007E1BF0" w:rsidRDefault="008B3E9D" w:rsidP="008B3E9D">
      <w:pPr>
        <w:pStyle w:val="Heading3"/>
        <w:rPr>
          <w:lang w:val="en-US"/>
        </w:rPr>
      </w:pPr>
      <w:bookmarkStart w:id="46" w:name="_Toc102062283"/>
      <w:r>
        <w:rPr>
          <w:lang w:val="en-US"/>
        </w:rPr>
        <w:t>Timeframes</w:t>
      </w:r>
      <w:bookmarkEnd w:id="46"/>
    </w:p>
    <w:p w14:paraId="2D5CC44B" w14:textId="3A932CE0" w:rsidR="006B2FC2" w:rsidRDefault="00F241CD" w:rsidP="00B77F56">
      <w:pPr>
        <w:pStyle w:val="Numberedparagraph"/>
      </w:pPr>
      <w:r>
        <w:t xml:space="preserve">The proposals for reform in the </w:t>
      </w:r>
      <w:r w:rsidR="00C121E8">
        <w:t>consultation paper</w:t>
      </w:r>
      <w:r>
        <w:t xml:space="preserve"> relate to timeframes</w:t>
      </w:r>
      <w:r w:rsidR="008B3E9D">
        <w:t xml:space="preserve"> for decision making and notification requirements</w:t>
      </w:r>
      <w:r>
        <w:t>. I</w:t>
      </w:r>
      <w:r w:rsidR="00FF5EEF">
        <w:t>t</w:t>
      </w:r>
      <w:r w:rsidR="002E06B5">
        <w:t xml:space="preserve"> is imperative that timeframes are simple and easy to follow</w:t>
      </w:r>
      <w:r w:rsidR="00FF5EEF">
        <w:t>.</w:t>
      </w:r>
      <w:r w:rsidR="002E06B5">
        <w:t xml:space="preserve"> </w:t>
      </w:r>
      <w:r w:rsidR="008B3E9D">
        <w:t>To this end, the department might like to consider:</w:t>
      </w:r>
    </w:p>
    <w:p w14:paraId="77A23A14" w14:textId="5F1B7EF7" w:rsidR="002E06B5" w:rsidRDefault="008B3E9D" w:rsidP="00E101C0">
      <w:pPr>
        <w:pStyle w:val="Numberedparagraph"/>
        <w:numPr>
          <w:ilvl w:val="1"/>
          <w:numId w:val="1"/>
        </w:numPr>
      </w:pPr>
      <w:r>
        <w:t xml:space="preserve">having </w:t>
      </w:r>
      <w:r w:rsidR="009158B7">
        <w:t>only one time frame for the making of decisions and the provision of notices of the decision;</w:t>
      </w:r>
    </w:p>
    <w:p w14:paraId="59E47DC5" w14:textId="60986393" w:rsidR="006B2FC2" w:rsidRDefault="008B3E9D" w:rsidP="00E101C0">
      <w:pPr>
        <w:pStyle w:val="Numberedparagraph"/>
        <w:numPr>
          <w:ilvl w:val="1"/>
          <w:numId w:val="1"/>
        </w:numPr>
      </w:pPr>
      <w:r>
        <w:t xml:space="preserve">having </w:t>
      </w:r>
      <w:r w:rsidR="009158B7">
        <w:t xml:space="preserve">the same </w:t>
      </w:r>
      <w:r w:rsidR="006B2FC2">
        <w:t xml:space="preserve">timeframes </w:t>
      </w:r>
      <w:r w:rsidR="009158B7">
        <w:t xml:space="preserve">for </w:t>
      </w:r>
      <w:r>
        <w:t xml:space="preserve">similar issues, such as show cause, or rights of review, </w:t>
      </w:r>
      <w:r w:rsidR="009158B7">
        <w:t>although different timeframes might be appropriate in certain circumstances.</w:t>
      </w:r>
    </w:p>
    <w:p w14:paraId="31C5C989" w14:textId="2406D332" w:rsidR="00B77F56" w:rsidRDefault="002E06B5" w:rsidP="00B77F56">
      <w:pPr>
        <w:pStyle w:val="Numberedparagraph"/>
      </w:pPr>
      <w:r>
        <w:t xml:space="preserve">The Commission also makes the following specific comments: </w:t>
      </w:r>
    </w:p>
    <w:p w14:paraId="47D7785A" w14:textId="5032F71F" w:rsidR="00B77F56" w:rsidRPr="009A78D6" w:rsidRDefault="00B77F56" w:rsidP="009A78D6">
      <w:pPr>
        <w:rPr>
          <w:rFonts w:ascii="Arial" w:hAnsi="Arial" w:cs="Arial"/>
          <w:b/>
          <w:bCs/>
        </w:rPr>
      </w:pPr>
      <w:r w:rsidRPr="009A78D6">
        <w:rPr>
          <w:rFonts w:ascii="Arial" w:hAnsi="Arial" w:cs="Arial"/>
          <w:b/>
          <w:bCs/>
        </w:rPr>
        <w:t>Refusal to enrol</w:t>
      </w:r>
    </w:p>
    <w:p w14:paraId="237E4285" w14:textId="357EE5E4" w:rsidR="00B77F56" w:rsidRDefault="00B77F56" w:rsidP="00B77F56">
      <w:pPr>
        <w:pStyle w:val="Numberedparagraph"/>
      </w:pPr>
      <w:r>
        <w:t xml:space="preserve">The timeframes proposed still mean that a prospective student </w:t>
      </w:r>
      <w:r w:rsidR="00BD5A9A">
        <w:t xml:space="preserve">might have to wait up to </w:t>
      </w:r>
      <w:r>
        <w:t xml:space="preserve">wait 25 school days for a decision of the chief executive to either refer the matter back to the principal for enrolment, or require </w:t>
      </w:r>
      <w:r>
        <w:lastRenderedPageBreak/>
        <w:t xml:space="preserve">prospective student to show cause. Twenty-five school days translates to 5 weeks of missed schooling. </w:t>
      </w:r>
    </w:p>
    <w:p w14:paraId="0BD161E4" w14:textId="5A8B0CFE" w:rsidR="00B77F56" w:rsidRDefault="00B77F56" w:rsidP="00B77F56">
      <w:pPr>
        <w:pStyle w:val="Numberedparagraph"/>
      </w:pPr>
      <w:r>
        <w:t>Show cause can take an additional 14 (</w:t>
      </w:r>
      <w:r w:rsidRPr="00B77F56">
        <w:t>calendar</w:t>
      </w:r>
      <w:r>
        <w:t>) days</w:t>
      </w:r>
      <w:r>
        <w:rPr>
          <w:rStyle w:val="FootnoteReference"/>
        </w:rPr>
        <w:footnoteReference w:id="25"/>
      </w:r>
      <w:r>
        <w:t>, and there is no time frame on the chief executive to then make a decision, other than ‘as soon as practicable’</w:t>
      </w:r>
      <w:r>
        <w:rPr>
          <w:rStyle w:val="FootnoteReference"/>
        </w:rPr>
        <w:footnoteReference w:id="26"/>
      </w:r>
      <w:r>
        <w:t xml:space="preserve">. </w:t>
      </w:r>
    </w:p>
    <w:p w14:paraId="6AE12666" w14:textId="5565171A" w:rsidR="00B77F56" w:rsidRDefault="00B77F56" w:rsidP="00B77F56">
      <w:pPr>
        <w:pStyle w:val="Numberedparagraph"/>
      </w:pPr>
      <w:r>
        <w:t xml:space="preserve">While </w:t>
      </w:r>
      <w:r w:rsidR="002B028E">
        <w:t xml:space="preserve">specifying </w:t>
      </w:r>
      <w:r>
        <w:t xml:space="preserve">timeframes are an important safeguard, the timeframes proposed by the </w:t>
      </w:r>
      <w:r w:rsidR="00C121E8">
        <w:t>consultation paper</w:t>
      </w:r>
      <w:r>
        <w:t xml:space="preserve"> are still too long</w:t>
      </w:r>
      <w:r w:rsidR="002B028E">
        <w:t>, particularly if other amendments are not made in relation to education support while a decision is pending.</w:t>
      </w:r>
    </w:p>
    <w:p w14:paraId="5B5FFAE7" w14:textId="52CD5E03" w:rsidR="00573688" w:rsidRPr="009A78D6" w:rsidRDefault="00573688" w:rsidP="009A78D6">
      <w:pPr>
        <w:rPr>
          <w:rFonts w:ascii="Arial" w:hAnsi="Arial" w:cs="Arial"/>
          <w:b/>
          <w:bCs/>
        </w:rPr>
      </w:pPr>
      <w:r w:rsidRPr="009A78D6">
        <w:rPr>
          <w:rFonts w:ascii="Arial" w:hAnsi="Arial" w:cs="Arial"/>
          <w:b/>
          <w:bCs/>
        </w:rPr>
        <w:t>Suspension</w:t>
      </w:r>
    </w:p>
    <w:p w14:paraId="46785009" w14:textId="654D9490" w:rsidR="00527EEA" w:rsidRDefault="00527EEA" w:rsidP="00B77F56">
      <w:pPr>
        <w:pStyle w:val="Numberedparagraph"/>
      </w:pPr>
      <w:r>
        <w:t xml:space="preserve">The Commission’s view is that a timeframe of 40 school days for an internal review of a long-term suspension or a charge related suspension is </w:t>
      </w:r>
      <w:r w:rsidR="002E5231">
        <w:t xml:space="preserve">too long. </w:t>
      </w:r>
      <w:r w:rsidR="002C3C60">
        <w:t xml:space="preserve">In many cases, it would frustrate the </w:t>
      </w:r>
      <w:r w:rsidR="00A1780E">
        <w:t xml:space="preserve">primary </w:t>
      </w:r>
      <w:r w:rsidR="002C3C60">
        <w:t>purpose of the review</w:t>
      </w:r>
      <w:r w:rsidR="00A1780E">
        <w:t xml:space="preserve"> (ie, allow the child to return to school)</w:t>
      </w:r>
      <w:r w:rsidR="002C3C60">
        <w:t>.</w:t>
      </w:r>
    </w:p>
    <w:p w14:paraId="179DC197" w14:textId="67E1BC33" w:rsidR="00BD5A9A" w:rsidRDefault="00527EEA" w:rsidP="00B77F56">
      <w:pPr>
        <w:pStyle w:val="Numberedparagraph"/>
      </w:pPr>
      <w:bookmarkStart w:id="47" w:name="_Hlk101970476"/>
      <w:r>
        <w:t>The Commission supports</w:t>
      </w:r>
      <w:r w:rsidR="002E5231">
        <w:t xml:space="preserve"> </w:t>
      </w:r>
      <w:r w:rsidR="00BD5A9A">
        <w:t xml:space="preserve">timeframes which require notice of suspension to be provided within 1 school day of the telling of suspension, </w:t>
      </w:r>
      <w:r w:rsidR="00A1780E">
        <w:t xml:space="preserve">allows for </w:t>
      </w:r>
      <w:r w:rsidR="00BD5A9A">
        <w:t xml:space="preserve">20 school days to lodge a review of </w:t>
      </w:r>
      <w:r w:rsidR="00A1780E">
        <w:t>a suspension, and requires a decision regarding exclusion upon five school</w:t>
      </w:r>
      <w:r w:rsidR="000E0D00">
        <w:t xml:space="preserve"> days</w:t>
      </w:r>
      <w:r w:rsidR="00A1780E">
        <w:t xml:space="preserve"> following determination of a charge. </w:t>
      </w:r>
    </w:p>
    <w:bookmarkEnd w:id="47"/>
    <w:p w14:paraId="60260A46" w14:textId="5260F5F8" w:rsidR="00527EEA" w:rsidRPr="009A78D6" w:rsidRDefault="006849B4" w:rsidP="009A78D6">
      <w:pPr>
        <w:rPr>
          <w:rFonts w:ascii="Arial" w:hAnsi="Arial" w:cs="Arial"/>
          <w:b/>
          <w:bCs/>
        </w:rPr>
      </w:pPr>
      <w:r w:rsidRPr="009A78D6">
        <w:rPr>
          <w:rFonts w:ascii="Arial" w:hAnsi="Arial" w:cs="Arial"/>
          <w:b/>
          <w:bCs/>
        </w:rPr>
        <w:t>Exclusion</w:t>
      </w:r>
    </w:p>
    <w:p w14:paraId="3D626CC7" w14:textId="461DC01E" w:rsidR="002E06B5" w:rsidRDefault="009609FA" w:rsidP="006849B4">
      <w:pPr>
        <w:pStyle w:val="Numberedparagraph"/>
      </w:pPr>
      <w:r>
        <w:t xml:space="preserve">Sections 313(1) and 315(4) of the EGP Act provides a time frame of 40 school days for the chief executive to </w:t>
      </w:r>
      <w:r w:rsidR="00A1780E">
        <w:t>review an exclusion decision</w:t>
      </w:r>
      <w:r>
        <w:t xml:space="preserve">. There are no external review rights. </w:t>
      </w:r>
      <w:r w:rsidR="00BF08C9">
        <w:t>The Commission submits that</w:t>
      </w:r>
      <w:r w:rsidR="007708CC">
        <w:t xml:space="preserve"> this timeframe is too long and</w:t>
      </w:r>
      <w:r w:rsidR="00BF08C9">
        <w:t xml:space="preserve">, for simplicity, the timeframes for reviews of exclusion decisions should be consistent with suspension reviews. </w:t>
      </w:r>
    </w:p>
    <w:p w14:paraId="2FFE7C86" w14:textId="5F92D5C6" w:rsidR="007708CC" w:rsidRDefault="007708CC" w:rsidP="007708CC">
      <w:pPr>
        <w:pStyle w:val="Heading4"/>
      </w:pPr>
      <w:bookmarkStart w:id="48" w:name="_Toc102043868"/>
      <w:r w:rsidRPr="00004671">
        <w:rPr>
          <w:b/>
        </w:rPr>
        <w:t xml:space="preserve">Recommendation </w:t>
      </w:r>
      <w:r w:rsidRPr="00004671">
        <w:rPr>
          <w:b/>
        </w:rPr>
        <w:fldChar w:fldCharType="begin"/>
      </w:r>
      <w:r w:rsidRPr="00004671">
        <w:rPr>
          <w:b/>
        </w:rPr>
        <w:instrText xml:space="preserve"> seq rec </w:instrText>
      </w:r>
      <w:r w:rsidRPr="00004671">
        <w:rPr>
          <w:b/>
        </w:rPr>
        <w:fldChar w:fldCharType="separate"/>
      </w:r>
      <w:r w:rsidR="00F35668">
        <w:rPr>
          <w:b/>
          <w:noProof/>
        </w:rPr>
        <w:t>5</w:t>
      </w:r>
      <w:r w:rsidRPr="00004671">
        <w:rPr>
          <w:b/>
        </w:rPr>
        <w:fldChar w:fldCharType="end"/>
      </w:r>
      <w:r w:rsidRPr="00004671">
        <w:rPr>
          <w:b/>
        </w:rPr>
        <w:t>:</w:t>
      </w:r>
      <w:r w:rsidRPr="00383D41">
        <w:t xml:space="preserve"> </w:t>
      </w:r>
      <w:r>
        <w:t xml:space="preserve">In relation to timeframe proposals in the </w:t>
      </w:r>
      <w:r w:rsidR="00C121E8">
        <w:t>consultation paper</w:t>
      </w:r>
      <w:r>
        <w:t>, the Commission submits:</w:t>
      </w:r>
      <w:bookmarkEnd w:id="48"/>
    </w:p>
    <w:p w14:paraId="50FBFF63" w14:textId="59C5E79D" w:rsidR="007708CC" w:rsidRDefault="007708CC" w:rsidP="00E101C0">
      <w:pPr>
        <w:pStyle w:val="Heading4"/>
        <w:numPr>
          <w:ilvl w:val="0"/>
          <w:numId w:val="4"/>
        </w:numPr>
      </w:pPr>
      <w:bookmarkStart w:id="49" w:name="_Toc102043869"/>
      <w:r>
        <w:t>Proposed timeframes for refusal to enrol are too long. There also needs to be a maximum timeframe for the chief executive to make a decision following receipt of show cause submissions.</w:t>
      </w:r>
      <w:bookmarkEnd w:id="49"/>
    </w:p>
    <w:p w14:paraId="13C92FBD" w14:textId="77777777" w:rsidR="007708CC" w:rsidRDefault="007708CC" w:rsidP="00E101C0">
      <w:pPr>
        <w:pStyle w:val="Heading4"/>
        <w:numPr>
          <w:ilvl w:val="0"/>
          <w:numId w:val="4"/>
        </w:numPr>
      </w:pPr>
      <w:bookmarkStart w:id="50" w:name="_Toc102043870"/>
      <w:r>
        <w:t>Forty school days for the chief executive to consider an internal review of suspension is too long and should be reduced.</w:t>
      </w:r>
      <w:bookmarkEnd w:id="50"/>
    </w:p>
    <w:p w14:paraId="6E816994" w14:textId="0B4A2959" w:rsidR="007708CC" w:rsidRDefault="007708CC" w:rsidP="00E101C0">
      <w:pPr>
        <w:pStyle w:val="Heading4"/>
        <w:numPr>
          <w:ilvl w:val="0"/>
          <w:numId w:val="4"/>
        </w:numPr>
      </w:pPr>
      <w:bookmarkStart w:id="51" w:name="_Toc102043871"/>
      <w:r>
        <w:t>Forty school days for the chief executive to consider an internal review of exclusion is too long and should be reduced and consistent with the timeframe for review of suspension decisions.</w:t>
      </w:r>
      <w:bookmarkEnd w:id="51"/>
      <w:r>
        <w:t xml:space="preserve"> </w:t>
      </w:r>
    </w:p>
    <w:p w14:paraId="4A249F45" w14:textId="77777777" w:rsidR="007708CC" w:rsidRDefault="007708CC" w:rsidP="007708CC">
      <w:pPr>
        <w:pStyle w:val="Numberedparagraph"/>
        <w:numPr>
          <w:ilvl w:val="0"/>
          <w:numId w:val="0"/>
        </w:numPr>
        <w:ind w:left="567"/>
      </w:pPr>
    </w:p>
    <w:p w14:paraId="2109BDD4" w14:textId="0394D13A" w:rsidR="007E1BF0" w:rsidRDefault="00776AC7" w:rsidP="00776AC7">
      <w:pPr>
        <w:pStyle w:val="Heading2"/>
      </w:pPr>
      <w:bookmarkStart w:id="52" w:name="_Toc102062284"/>
      <w:r>
        <w:lastRenderedPageBreak/>
        <w:t>Delegation of authority to notify a school disciplinary absence</w:t>
      </w:r>
      <w:bookmarkEnd w:id="52"/>
    </w:p>
    <w:p w14:paraId="2FBB2335" w14:textId="5240CF41" w:rsidR="00776AC7" w:rsidRDefault="00776AC7" w:rsidP="00776AC7">
      <w:pPr>
        <w:pStyle w:val="Numberedparagraph"/>
      </w:pPr>
      <w:r>
        <w:t xml:space="preserve">The Commission does not agree with any amendment which would </w:t>
      </w:r>
      <w:r w:rsidR="00AE5915">
        <w:t xml:space="preserve">allow a principal to </w:t>
      </w:r>
      <w:r>
        <w:t>delegate decision making authority regarding school disciplinary absences</w:t>
      </w:r>
      <w:r w:rsidR="00AE5915">
        <w:t xml:space="preserve">. </w:t>
      </w:r>
    </w:p>
    <w:p w14:paraId="65AEC5A9" w14:textId="4D90EECB" w:rsidR="00776AC7" w:rsidRDefault="00DF397B" w:rsidP="00776AC7">
      <w:pPr>
        <w:pStyle w:val="Numberedparagraph"/>
      </w:pPr>
      <w:r>
        <w:t xml:space="preserve">However, the </w:t>
      </w:r>
      <w:r w:rsidR="00776AC7">
        <w:t xml:space="preserve">Commission acknowledges resourcing and other constraints on the principal’s time which may be alleviated if the requirements regarding </w:t>
      </w:r>
      <w:r w:rsidR="00BD5263">
        <w:t xml:space="preserve">telling the student of the suspension </w:t>
      </w:r>
      <w:r w:rsidR="00CF7BD6">
        <w:t xml:space="preserve">decision by the principal </w:t>
      </w:r>
      <w:r w:rsidR="00776AC7">
        <w:t xml:space="preserve">could be </w:t>
      </w:r>
      <w:r w:rsidR="00AE5915">
        <w:t>delegated to someone of an appropriate level.</w:t>
      </w:r>
      <w:r w:rsidR="00061386">
        <w:t xml:space="preserve"> </w:t>
      </w:r>
      <w:r w:rsidR="00635F77">
        <w:t xml:space="preserve">The Commission </w:t>
      </w:r>
      <w:r w:rsidR="009158B7">
        <w:t xml:space="preserve">defers to the submissions of other stakeholders as to whether </w:t>
      </w:r>
      <w:r w:rsidR="007708CC">
        <w:t>there are any drawbacks to such an approach.</w:t>
      </w:r>
    </w:p>
    <w:p w14:paraId="44994A84" w14:textId="151731B2" w:rsidR="0072554E" w:rsidRDefault="0072554E" w:rsidP="00776AC7">
      <w:pPr>
        <w:pStyle w:val="Numberedparagraph"/>
      </w:pPr>
      <w:r>
        <w:t>Under sections 283 and 293 of the EGP Act, suspension</w:t>
      </w:r>
      <w:r w:rsidR="00F3642D">
        <w:t xml:space="preserve"> or proposed exclusion</w:t>
      </w:r>
      <w:r>
        <w:t xml:space="preserve"> is a 2-step process: suspension starts when the principal tells the student about it, and then the principal must give the student notice in the approved form. </w:t>
      </w:r>
    </w:p>
    <w:p w14:paraId="0BE8D4EE" w14:textId="5E47FAB7" w:rsidR="00212266" w:rsidRDefault="00F3642D" w:rsidP="00212266">
      <w:pPr>
        <w:pStyle w:val="Numberedparagraph"/>
      </w:pPr>
      <w:r>
        <w:t xml:space="preserve">Option 2 suggested by the </w:t>
      </w:r>
      <w:r w:rsidR="00C121E8">
        <w:t>consultation paper</w:t>
      </w:r>
      <w:r>
        <w:t xml:space="preserve"> is to remove </w:t>
      </w:r>
      <w:r w:rsidR="007708CC">
        <w:t>the first step</w:t>
      </w:r>
      <w:r>
        <w:t>,</w:t>
      </w:r>
      <w:r w:rsidR="007708CC">
        <w:t xml:space="preserve"> and only have suspension commence </w:t>
      </w:r>
      <w:r w:rsidR="0080759B">
        <w:t>up</w:t>
      </w:r>
      <w:r w:rsidR="007708CC">
        <w:t xml:space="preserve">on </w:t>
      </w:r>
      <w:r w:rsidR="0080759B">
        <w:t xml:space="preserve">written </w:t>
      </w:r>
      <w:r>
        <w:t xml:space="preserve">notice of the decision. The Commission </w:t>
      </w:r>
      <w:r w:rsidR="00212266">
        <w:t xml:space="preserve">supports this approach for simplicity and transparency of decision making, however, submits that there should still be an obligation </w:t>
      </w:r>
      <w:r w:rsidR="0080759B">
        <w:t xml:space="preserve">on the school </w:t>
      </w:r>
      <w:r w:rsidR="00590DB5">
        <w:t xml:space="preserve">for an appropriate person </w:t>
      </w:r>
      <w:r w:rsidR="00212266">
        <w:t xml:space="preserve">to explain the suspension and the reasons with the student and with the parents. </w:t>
      </w:r>
    </w:p>
    <w:p w14:paraId="479093E0" w14:textId="7A5AA68B" w:rsidR="00AE5915" w:rsidRDefault="00AE5915" w:rsidP="00AE5915">
      <w:pPr>
        <w:pStyle w:val="Heading4"/>
      </w:pPr>
      <w:bookmarkStart w:id="53" w:name="_Toc102043872"/>
      <w:r w:rsidRPr="00004671">
        <w:rPr>
          <w:b/>
        </w:rPr>
        <w:t xml:space="preserve">Recommendation </w:t>
      </w:r>
      <w:r w:rsidRPr="00004671">
        <w:rPr>
          <w:b/>
        </w:rPr>
        <w:fldChar w:fldCharType="begin"/>
      </w:r>
      <w:r w:rsidRPr="00004671">
        <w:rPr>
          <w:b/>
        </w:rPr>
        <w:instrText xml:space="preserve"> seq rec </w:instrText>
      </w:r>
      <w:r w:rsidRPr="00004671">
        <w:rPr>
          <w:b/>
        </w:rPr>
        <w:fldChar w:fldCharType="separate"/>
      </w:r>
      <w:r w:rsidR="00F35668">
        <w:rPr>
          <w:b/>
          <w:noProof/>
        </w:rPr>
        <w:t>6</w:t>
      </w:r>
      <w:r w:rsidRPr="00004671">
        <w:rPr>
          <w:b/>
        </w:rPr>
        <w:fldChar w:fldCharType="end"/>
      </w:r>
      <w:r w:rsidRPr="00004671">
        <w:rPr>
          <w:b/>
        </w:rPr>
        <w:t>:</w:t>
      </w:r>
      <w:r w:rsidRPr="00383D41">
        <w:t xml:space="preserve"> </w:t>
      </w:r>
      <w:r>
        <w:t xml:space="preserve">The Commission </w:t>
      </w:r>
      <w:r w:rsidR="0080759B">
        <w:t>does not oppose delegation of the administrative requirement to tell the student of a suspension, however, defers to other stakeholders as to whether such a position should be adopted.</w:t>
      </w:r>
      <w:bookmarkEnd w:id="53"/>
    </w:p>
    <w:p w14:paraId="29839053" w14:textId="77777777" w:rsidR="0080759B" w:rsidRDefault="0080759B" w:rsidP="004D354B"/>
    <w:p w14:paraId="0B3117E5" w14:textId="4729593B" w:rsidR="0080759B" w:rsidRDefault="0080759B" w:rsidP="0080759B">
      <w:pPr>
        <w:pStyle w:val="Heading4"/>
      </w:pPr>
      <w:bookmarkStart w:id="54" w:name="_Toc102043873"/>
      <w:r w:rsidRPr="00004671">
        <w:rPr>
          <w:b/>
        </w:rPr>
        <w:t xml:space="preserve">Recommendation </w:t>
      </w:r>
      <w:r w:rsidRPr="00004671">
        <w:rPr>
          <w:b/>
        </w:rPr>
        <w:fldChar w:fldCharType="begin"/>
      </w:r>
      <w:r w:rsidRPr="00004671">
        <w:rPr>
          <w:b/>
        </w:rPr>
        <w:instrText xml:space="preserve"> seq rec </w:instrText>
      </w:r>
      <w:r w:rsidRPr="00004671">
        <w:rPr>
          <w:b/>
        </w:rPr>
        <w:fldChar w:fldCharType="separate"/>
      </w:r>
      <w:r w:rsidR="00F35668">
        <w:rPr>
          <w:b/>
          <w:noProof/>
        </w:rPr>
        <w:t>7</w:t>
      </w:r>
      <w:r w:rsidRPr="00004671">
        <w:rPr>
          <w:b/>
        </w:rPr>
        <w:fldChar w:fldCharType="end"/>
      </w:r>
      <w:r w:rsidRPr="00004671">
        <w:rPr>
          <w:b/>
        </w:rPr>
        <w:t>:</w:t>
      </w:r>
      <w:r w:rsidRPr="00383D41">
        <w:t xml:space="preserve"> </w:t>
      </w:r>
      <w:r>
        <w:t>The Commission would support reform that suspension only commences upon written notification of the suspension with reasons, but should still be accompanied by an oral explanation of its contents to the student and to the parents.</w:t>
      </w:r>
      <w:bookmarkEnd w:id="54"/>
    </w:p>
    <w:p w14:paraId="11BC9872" w14:textId="77777777" w:rsidR="0080759B" w:rsidRPr="0080759B" w:rsidRDefault="0080759B" w:rsidP="0080759B"/>
    <w:p w14:paraId="745EB19D" w14:textId="4138E9AC" w:rsidR="00AE5915" w:rsidRPr="00776AC7" w:rsidRDefault="00AE5915" w:rsidP="00AE5915">
      <w:pPr>
        <w:pStyle w:val="Heading2"/>
      </w:pPr>
      <w:bookmarkStart w:id="55" w:name="_Toc102062285"/>
      <w:r>
        <w:t>Appeal rights for short term suspensions</w:t>
      </w:r>
      <w:bookmarkEnd w:id="55"/>
    </w:p>
    <w:p w14:paraId="2C2A2DA4" w14:textId="06F059F6" w:rsidR="008C7617" w:rsidRDefault="008C7617" w:rsidP="008C7617">
      <w:pPr>
        <w:pStyle w:val="Numberedparagraph"/>
      </w:pPr>
      <w:r>
        <w:t xml:space="preserve">There are currently no rights to seek review of short term (1 to 10 school days) suspensions, and only </w:t>
      </w:r>
      <w:r w:rsidR="0080759B">
        <w:t xml:space="preserve">a right to seek review by the chief executive </w:t>
      </w:r>
      <w:r w:rsidR="00C832DC">
        <w:t xml:space="preserve">for long suspensions (11 to 20 school days). As noted by the </w:t>
      </w:r>
      <w:r w:rsidR="00C121E8">
        <w:t>consultation paper</w:t>
      </w:r>
      <w:r w:rsidR="00C832DC">
        <w:t>, this is of particular concern for students who might be subject to multiple suspensions. There is no cap to the number of suspensions a child might receive.</w:t>
      </w:r>
    </w:p>
    <w:p w14:paraId="5A2EC8FC" w14:textId="3B5806A8" w:rsidR="00E61D11" w:rsidRDefault="00C832DC" w:rsidP="00251253">
      <w:pPr>
        <w:pStyle w:val="Numberedparagraph"/>
      </w:pPr>
      <w:r>
        <w:lastRenderedPageBreak/>
        <w:t>The Commission agrees that at a certain point, a student the subject of multiple suspensions must have rights to have the decision internally and</w:t>
      </w:r>
      <w:r w:rsidR="00404689">
        <w:t>, ideally,</w:t>
      </w:r>
      <w:r>
        <w:t xml:space="preserve"> externally reviewed</w:t>
      </w:r>
      <w:r w:rsidR="0089632A">
        <w:t>. F</w:t>
      </w:r>
      <w:r>
        <w:t xml:space="preserve">or some students, those reviews </w:t>
      </w:r>
      <w:r w:rsidR="0089632A">
        <w:t xml:space="preserve">should </w:t>
      </w:r>
      <w:r>
        <w:t>happen automatically</w:t>
      </w:r>
      <w:r w:rsidR="0089632A">
        <w:t>, without the need for the student to instigate the review themselves</w:t>
      </w:r>
      <w:r>
        <w:t xml:space="preserve">. </w:t>
      </w:r>
    </w:p>
    <w:p w14:paraId="2DF313AA" w14:textId="2221CAD8" w:rsidR="00E61D11" w:rsidRDefault="00C832DC" w:rsidP="00E61D11">
      <w:pPr>
        <w:pStyle w:val="Numberedparagraph"/>
      </w:pPr>
      <w:r>
        <w:t xml:space="preserve">Further evidence from schools, students, and school communities is needed to identify what the appropriate level of oversight is. </w:t>
      </w:r>
      <w:r w:rsidR="00E61D11">
        <w:t xml:space="preserve">In relation to the preferred proposal in the </w:t>
      </w:r>
      <w:r w:rsidR="00C121E8">
        <w:t>consultation paper</w:t>
      </w:r>
      <w:r w:rsidR="00E61D11">
        <w:t>, given that a</w:t>
      </w:r>
      <w:r w:rsidR="00404689">
        <w:t>n</w:t>
      </w:r>
      <w:r w:rsidR="00E61D11">
        <w:t xml:space="preserve"> 11 day long-term suspension can be internally reviewed, it would be consistent that a student who has received more than 11 cumulative days suspension during a calendar year also has a right of internal review. </w:t>
      </w:r>
    </w:p>
    <w:p w14:paraId="2384C87E" w14:textId="6E4B052D" w:rsidR="00C832DC" w:rsidRDefault="006B2229" w:rsidP="00251253">
      <w:pPr>
        <w:pStyle w:val="Numberedparagraph"/>
      </w:pPr>
      <w:r>
        <w:t>The appeals process</w:t>
      </w:r>
      <w:r w:rsidR="00E61D11">
        <w:t xml:space="preserve"> itself</w:t>
      </w:r>
      <w:r>
        <w:t xml:space="preserve"> must be simple to follow and accessible</w:t>
      </w:r>
      <w:r w:rsidR="00E61D11">
        <w:t xml:space="preserve"> to the student and their parents</w:t>
      </w:r>
      <w:r>
        <w:t xml:space="preserve">. </w:t>
      </w:r>
    </w:p>
    <w:p w14:paraId="572DF71E" w14:textId="64388AE3" w:rsidR="006B2229" w:rsidRDefault="00BA4A08" w:rsidP="008C7617">
      <w:pPr>
        <w:pStyle w:val="Numberedparagraph"/>
      </w:pPr>
      <w:r>
        <w:t>Reforms</w:t>
      </w:r>
      <w:r w:rsidR="006B2229">
        <w:t xml:space="preserve"> to the school disciplinary absences framework should </w:t>
      </w:r>
      <w:r w:rsidR="00E61D11">
        <w:t>focus on</w:t>
      </w:r>
      <w:r w:rsidR="006B2229">
        <w:t xml:space="preserve"> fewer suspensions, therefore reducing the need for appeal</w:t>
      </w:r>
      <w:r>
        <w:t>s</w:t>
      </w:r>
      <w:r w:rsidR="006B2229">
        <w:t>.</w:t>
      </w:r>
    </w:p>
    <w:p w14:paraId="5F895ADD" w14:textId="13157DB1" w:rsidR="0089632A" w:rsidRDefault="0089632A" w:rsidP="0089632A">
      <w:pPr>
        <w:pStyle w:val="Heading4"/>
      </w:pPr>
      <w:bookmarkStart w:id="56" w:name="_Toc102043874"/>
      <w:r w:rsidRPr="00004671">
        <w:rPr>
          <w:b/>
        </w:rPr>
        <w:t xml:space="preserve">Recommendation </w:t>
      </w:r>
      <w:r w:rsidRPr="00004671">
        <w:rPr>
          <w:b/>
        </w:rPr>
        <w:fldChar w:fldCharType="begin"/>
      </w:r>
      <w:r w:rsidRPr="00004671">
        <w:rPr>
          <w:b/>
        </w:rPr>
        <w:instrText xml:space="preserve"> seq rec </w:instrText>
      </w:r>
      <w:r w:rsidRPr="00004671">
        <w:rPr>
          <w:b/>
        </w:rPr>
        <w:fldChar w:fldCharType="separate"/>
      </w:r>
      <w:r w:rsidR="00F35668">
        <w:rPr>
          <w:b/>
          <w:noProof/>
        </w:rPr>
        <w:t>8</w:t>
      </w:r>
      <w:r w:rsidRPr="00004671">
        <w:rPr>
          <w:b/>
        </w:rPr>
        <w:fldChar w:fldCharType="end"/>
      </w:r>
      <w:r w:rsidRPr="00004671">
        <w:rPr>
          <w:b/>
        </w:rPr>
        <w:t>:</w:t>
      </w:r>
      <w:r w:rsidRPr="00383D41">
        <w:t xml:space="preserve"> </w:t>
      </w:r>
      <w:r w:rsidR="00404689">
        <w:t xml:space="preserve">The Commission supports reform that will increase review rights for students subject to suspension decisions, including automatic review </w:t>
      </w:r>
      <w:r w:rsidR="00904053">
        <w:t>to provide oversight for children who are not in a position to commence review proceedings themselves. The reviews process must be simple and accessible to students and their parents.</w:t>
      </w:r>
      <w:bookmarkEnd w:id="56"/>
    </w:p>
    <w:p w14:paraId="3E1184DA" w14:textId="3FD308BF" w:rsidR="0089632A" w:rsidRDefault="0089632A" w:rsidP="0089632A">
      <w:pPr>
        <w:pStyle w:val="Heading2"/>
      </w:pPr>
      <w:bookmarkStart w:id="57" w:name="_Toc102062286"/>
      <w:r>
        <w:t>Default refusal to enrol and exclusion for a prospective student</w:t>
      </w:r>
      <w:bookmarkEnd w:id="57"/>
    </w:p>
    <w:p w14:paraId="14C6326D" w14:textId="7E1B2CD1" w:rsidR="003D5267" w:rsidRDefault="003D5267" w:rsidP="0089632A">
      <w:pPr>
        <w:pStyle w:val="Numberedparagraph"/>
      </w:pPr>
      <w:r>
        <w:t xml:space="preserve">In </w:t>
      </w:r>
      <w:r w:rsidR="00904053">
        <w:t xml:space="preserve">relation to decisions to refuse to enrol or exclude a student </w:t>
      </w:r>
      <w:r w:rsidR="00F521CC">
        <w:t>from certain or all state schools</w:t>
      </w:r>
      <w:r>
        <w:t xml:space="preserve">, if the </w:t>
      </w:r>
      <w:r w:rsidR="00911046">
        <w:t xml:space="preserve">parent or student </w:t>
      </w:r>
      <w:r>
        <w:t xml:space="preserve">does not respond to a show cause notice, the chief executive </w:t>
      </w:r>
      <w:r w:rsidRPr="00904053">
        <w:rPr>
          <w:i/>
          <w:iCs/>
        </w:rPr>
        <w:t>must</w:t>
      </w:r>
      <w:r>
        <w:t xml:space="preserve"> decide to refuse</w:t>
      </w:r>
      <w:r w:rsidR="00911046">
        <w:t xml:space="preserve"> enrolment</w:t>
      </w:r>
      <w:r>
        <w:t xml:space="preserve"> </w:t>
      </w:r>
      <w:r w:rsidR="00F521CC">
        <w:t xml:space="preserve">or exclude the student </w:t>
      </w:r>
      <w:r>
        <w:t>under section</w:t>
      </w:r>
      <w:r w:rsidR="00E2702F">
        <w:t>s</w:t>
      </w:r>
      <w:r>
        <w:t xml:space="preserve"> 162(3) </w:t>
      </w:r>
      <w:r w:rsidR="00E2702F">
        <w:t xml:space="preserve">and 309(3) </w:t>
      </w:r>
      <w:r>
        <w:t xml:space="preserve">of the EGP Act. </w:t>
      </w:r>
    </w:p>
    <w:p w14:paraId="6C8831B2" w14:textId="25ED7757" w:rsidR="00081E94" w:rsidRDefault="0089632A" w:rsidP="00904053">
      <w:pPr>
        <w:pStyle w:val="Numberedparagraph"/>
      </w:pPr>
      <w:r>
        <w:t xml:space="preserve">The Commission submits that </w:t>
      </w:r>
      <w:r w:rsidR="003D5267">
        <w:t xml:space="preserve">the chief executive maintain discretion </w:t>
      </w:r>
      <w:r w:rsidR="00911046">
        <w:t xml:space="preserve">on </w:t>
      </w:r>
      <w:r w:rsidR="003D5267">
        <w:t>whether to refuse enrolment</w:t>
      </w:r>
      <w:r w:rsidR="00911046">
        <w:t xml:space="preserve"> or exclude the student</w:t>
      </w:r>
      <w:r w:rsidR="003D5267">
        <w:t xml:space="preserve">, even in the absence of </w:t>
      </w:r>
      <w:r w:rsidR="00DD1520">
        <w:t xml:space="preserve">submissions from the parent or child. </w:t>
      </w:r>
      <w:r w:rsidR="00081E94">
        <w:t xml:space="preserve">This is </w:t>
      </w:r>
      <w:r w:rsidR="00DD1520">
        <w:t xml:space="preserve">in view of </w:t>
      </w:r>
      <w:r w:rsidR="00FC1F00">
        <w:t>the significant limitations to human rights imposed by such a decision,</w:t>
      </w:r>
      <w:r w:rsidR="00911046">
        <w:t xml:space="preserve"> and</w:t>
      </w:r>
      <w:r w:rsidR="00FC1F00">
        <w:t xml:space="preserve"> particularly a decision to exclude a person from all schools</w:t>
      </w:r>
      <w:r w:rsidR="00911046">
        <w:t xml:space="preserve">. There are also concerns whether a child (or parent) can properly participate in a show cause process that deals only in written information as </w:t>
      </w:r>
      <w:r w:rsidR="00FC1F00">
        <w:t xml:space="preserve">outlined </w:t>
      </w:r>
      <w:r w:rsidR="00904053">
        <w:fldChar w:fldCharType="begin"/>
      </w:r>
      <w:r w:rsidR="00904053">
        <w:instrText xml:space="preserve"> REF _Ref101959708 \p \h </w:instrText>
      </w:r>
      <w:r w:rsidR="00904053">
        <w:fldChar w:fldCharType="separate"/>
      </w:r>
      <w:r w:rsidR="00F35668">
        <w:t>above</w:t>
      </w:r>
      <w:r w:rsidR="00904053">
        <w:fldChar w:fldCharType="end"/>
      </w:r>
      <w:r w:rsidR="00904053">
        <w:t xml:space="preserve"> under </w:t>
      </w:r>
      <w:r w:rsidR="00FC1F00" w:rsidRPr="00904053">
        <w:rPr>
          <w:i/>
          <w:iCs/>
        </w:rPr>
        <w:fldChar w:fldCharType="begin"/>
      </w:r>
      <w:r w:rsidR="00FC1F00" w:rsidRPr="00904053">
        <w:rPr>
          <w:i/>
          <w:iCs/>
        </w:rPr>
        <w:instrText xml:space="preserve"> REF _Ref101959699 \h  \* MERGEFORMAT </w:instrText>
      </w:r>
      <w:r w:rsidR="00FC1F00" w:rsidRPr="00904053">
        <w:rPr>
          <w:i/>
          <w:iCs/>
        </w:rPr>
      </w:r>
      <w:r w:rsidR="00FC1F00" w:rsidRPr="00904053">
        <w:rPr>
          <w:i/>
          <w:iCs/>
        </w:rPr>
        <w:fldChar w:fldCharType="separate"/>
      </w:r>
      <w:r w:rsidR="00F35668" w:rsidRPr="00F35668">
        <w:rPr>
          <w:i/>
          <w:iCs/>
        </w:rPr>
        <w:t>Access to education while enrolment decision is pending</w:t>
      </w:r>
      <w:r w:rsidR="00FC1F00" w:rsidRPr="00904053">
        <w:rPr>
          <w:i/>
          <w:iCs/>
        </w:rPr>
        <w:fldChar w:fldCharType="end"/>
      </w:r>
      <w:r w:rsidR="00FC1F00">
        <w:t>.</w:t>
      </w:r>
    </w:p>
    <w:p w14:paraId="6059ABFF" w14:textId="297CB001" w:rsidR="00904053" w:rsidRDefault="00904053" w:rsidP="00904053">
      <w:pPr>
        <w:pStyle w:val="Heading4"/>
      </w:pPr>
      <w:bookmarkStart w:id="58" w:name="_Toc102043875"/>
      <w:r w:rsidRPr="00004671">
        <w:rPr>
          <w:b/>
        </w:rPr>
        <w:t xml:space="preserve">Recommendation </w:t>
      </w:r>
      <w:r w:rsidRPr="00004671">
        <w:rPr>
          <w:b/>
        </w:rPr>
        <w:fldChar w:fldCharType="begin"/>
      </w:r>
      <w:r w:rsidRPr="00004671">
        <w:rPr>
          <w:b/>
        </w:rPr>
        <w:instrText xml:space="preserve"> seq rec </w:instrText>
      </w:r>
      <w:r w:rsidRPr="00004671">
        <w:rPr>
          <w:b/>
        </w:rPr>
        <w:fldChar w:fldCharType="separate"/>
      </w:r>
      <w:r w:rsidR="00F35668">
        <w:rPr>
          <w:b/>
          <w:noProof/>
        </w:rPr>
        <w:t>9</w:t>
      </w:r>
      <w:r w:rsidRPr="00004671">
        <w:rPr>
          <w:b/>
        </w:rPr>
        <w:fldChar w:fldCharType="end"/>
      </w:r>
      <w:r w:rsidRPr="00004671">
        <w:rPr>
          <w:b/>
        </w:rPr>
        <w:t>:</w:t>
      </w:r>
      <w:r w:rsidRPr="00383D41">
        <w:t xml:space="preserve"> </w:t>
      </w:r>
      <w:r>
        <w:t>The Commission supports removal of provisions requiring default refusal to enrol or exclusion of a prospective student where a parent or student does not respond to a show cause notice.</w:t>
      </w:r>
      <w:bookmarkEnd w:id="58"/>
      <w:r>
        <w:t xml:space="preserve"> </w:t>
      </w:r>
    </w:p>
    <w:p w14:paraId="32A492EF" w14:textId="77777777" w:rsidR="00904053" w:rsidRDefault="00904053" w:rsidP="00904053">
      <w:pPr>
        <w:pStyle w:val="Numberedparagraph"/>
        <w:numPr>
          <w:ilvl w:val="0"/>
          <w:numId w:val="0"/>
        </w:numPr>
      </w:pPr>
    </w:p>
    <w:sectPr w:rsidR="00904053" w:rsidSect="00C03E3F">
      <w:footerReference w:type="default" r:id="rId10"/>
      <w:footerReference w:type="first" r:id="rId11"/>
      <w:pgSz w:w="11900" w:h="16840" w:code="9"/>
      <w:pgMar w:top="1440" w:right="1701" w:bottom="136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D6BA" w14:textId="77777777" w:rsidR="00E101C0" w:rsidRDefault="00E101C0" w:rsidP="0034134D">
      <w:r>
        <w:separator/>
      </w:r>
    </w:p>
  </w:endnote>
  <w:endnote w:type="continuationSeparator" w:id="0">
    <w:p w14:paraId="15C6EE1F" w14:textId="77777777" w:rsidR="00E101C0" w:rsidRDefault="00E101C0"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B220" w14:textId="762F2A4F" w:rsidR="00DE1FFE" w:rsidRPr="00C03E3F" w:rsidRDefault="00DE1FFE" w:rsidP="00C03E3F">
    <w:pPr>
      <w:tabs>
        <w:tab w:val="center" w:pos="4513"/>
        <w:tab w:val="right" w:pos="9026"/>
      </w:tabs>
      <w:jc w:val="right"/>
      <w:rPr>
        <w:rFonts w:ascii="Arial" w:hAnsi="Arial" w:cs="Arial"/>
        <w:color w:val="404040" w:themeColor="text1" w:themeTint="BF"/>
        <w:sz w:val="16"/>
        <w:szCs w:val="20"/>
      </w:rPr>
    </w:pPr>
    <w:r w:rsidRPr="00C03E3F">
      <w:rPr>
        <w:rFonts w:ascii="Arial" w:hAnsi="Arial" w:cs="Arial"/>
        <w:noProof/>
        <w:sz w:val="20"/>
        <w:szCs w:val="20"/>
        <w:vertAlign w:val="subscript"/>
        <w:lang w:eastAsia="en-AU"/>
      </w:rPr>
      <w:drawing>
        <wp:inline distT="0" distB="0" distL="0" distR="0" wp14:anchorId="5EE93C96" wp14:editId="34C63889">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C03E3F">
      <w:rPr>
        <w:rFonts w:ascii="Arial" w:hAnsi="Arial" w:cs="Arial"/>
        <w:color w:val="404040" w:themeColor="text1" w:themeTint="BF"/>
        <w:sz w:val="16"/>
        <w:szCs w:val="20"/>
      </w:rPr>
      <w:t>Queensland Human Rights Commission | www.qhrc.qld.gov.au</w:t>
    </w:r>
    <w:r w:rsidRPr="00C03E3F">
      <w:rPr>
        <w:rFonts w:ascii="Arial" w:hAnsi="Arial" w:cs="Arial"/>
        <w:color w:val="404040" w:themeColor="text1" w:themeTint="BF"/>
        <w:sz w:val="16"/>
        <w:szCs w:val="20"/>
      </w:rPr>
      <w:tab/>
    </w:r>
    <w:r w:rsidRPr="00C03E3F">
      <w:rPr>
        <w:rFonts w:ascii="Arial" w:hAnsi="Arial" w:cs="Arial"/>
        <w:color w:val="404040" w:themeColor="text1" w:themeTint="BF"/>
        <w:sz w:val="16"/>
        <w:szCs w:val="20"/>
      </w:rPr>
      <w:tab/>
    </w:r>
    <w:r w:rsidRPr="00C03E3F">
      <w:rPr>
        <w:rFonts w:ascii="Arial" w:hAnsi="Arial" w:cs="Arial"/>
        <w:color w:val="404040" w:themeColor="text1" w:themeTint="BF"/>
        <w:sz w:val="16"/>
        <w:szCs w:val="20"/>
      </w:rPr>
      <w:fldChar w:fldCharType="begin"/>
    </w:r>
    <w:r w:rsidRPr="00C03E3F">
      <w:rPr>
        <w:rFonts w:ascii="Arial" w:hAnsi="Arial" w:cs="Arial"/>
        <w:color w:val="404040" w:themeColor="text1" w:themeTint="BF"/>
        <w:sz w:val="16"/>
        <w:szCs w:val="20"/>
      </w:rPr>
      <w:instrText xml:space="preserve"> PAGE   \* MERGEFORMAT </w:instrText>
    </w:r>
    <w:r w:rsidRPr="00C03E3F">
      <w:rPr>
        <w:rFonts w:ascii="Arial" w:hAnsi="Arial" w:cs="Arial"/>
        <w:color w:val="404040" w:themeColor="text1" w:themeTint="BF"/>
        <w:sz w:val="16"/>
        <w:szCs w:val="20"/>
      </w:rPr>
      <w:fldChar w:fldCharType="separate"/>
    </w:r>
    <w:r w:rsidR="008C74B8">
      <w:rPr>
        <w:rFonts w:ascii="Arial" w:hAnsi="Arial" w:cs="Arial"/>
        <w:noProof/>
        <w:color w:val="404040" w:themeColor="text1" w:themeTint="BF"/>
        <w:sz w:val="16"/>
        <w:szCs w:val="20"/>
      </w:rPr>
      <w:t>10</w:t>
    </w:r>
    <w:r w:rsidRPr="00C03E3F">
      <w:rPr>
        <w:rFonts w:ascii="Arial" w:hAnsi="Arial"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BF21" w14:textId="0931475E" w:rsidR="00DE1FFE" w:rsidRPr="004A2375" w:rsidRDefault="00DE1FFE" w:rsidP="00E7746A">
    <w:pPr>
      <w:pStyle w:val="Footer"/>
      <w:tabs>
        <w:tab w:val="left" w:pos="1905"/>
        <w:tab w:val="right" w:pos="8498"/>
      </w:tabs>
      <w:rPr>
        <w:rFonts w:ascii="Arial" w:hAnsi="Arial" w:cs="Arial"/>
        <w:sz w:val="20"/>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1FB4" w14:textId="77777777" w:rsidR="00E101C0" w:rsidRDefault="00E101C0" w:rsidP="0034134D">
      <w:r>
        <w:separator/>
      </w:r>
    </w:p>
  </w:footnote>
  <w:footnote w:type="continuationSeparator" w:id="0">
    <w:p w14:paraId="7F3BEDC1" w14:textId="77777777" w:rsidR="00E101C0" w:rsidRDefault="00E101C0" w:rsidP="0034134D">
      <w:r>
        <w:continuationSeparator/>
      </w:r>
    </w:p>
  </w:footnote>
  <w:footnote w:id="1">
    <w:p w14:paraId="2191DFFB" w14:textId="1AE20A65" w:rsidR="00635C8F" w:rsidRDefault="00635C8F">
      <w:pPr>
        <w:pStyle w:val="FootnoteText"/>
      </w:pPr>
      <w:r>
        <w:rPr>
          <w:rStyle w:val="FootnoteReference"/>
        </w:rPr>
        <w:footnoteRef/>
      </w:r>
      <w:r>
        <w:t xml:space="preserve"> </w:t>
      </w:r>
      <w:r w:rsidRPr="009A78D6">
        <w:rPr>
          <w:i/>
          <w:iCs/>
        </w:rPr>
        <w:t>H</w:t>
      </w:r>
      <w:r w:rsidR="009A78D6" w:rsidRPr="009A78D6">
        <w:rPr>
          <w:i/>
          <w:iCs/>
        </w:rPr>
        <w:t xml:space="preserve">uman </w:t>
      </w:r>
      <w:r w:rsidRPr="009A78D6">
        <w:rPr>
          <w:i/>
          <w:iCs/>
        </w:rPr>
        <w:t>R</w:t>
      </w:r>
      <w:r w:rsidR="009A78D6" w:rsidRPr="009A78D6">
        <w:rPr>
          <w:i/>
          <w:iCs/>
        </w:rPr>
        <w:t>ights</w:t>
      </w:r>
      <w:r w:rsidRPr="009A78D6">
        <w:rPr>
          <w:i/>
          <w:iCs/>
        </w:rPr>
        <w:t xml:space="preserve"> Act</w:t>
      </w:r>
      <w:r w:rsidR="009A78D6" w:rsidRPr="009A78D6">
        <w:rPr>
          <w:i/>
          <w:iCs/>
        </w:rPr>
        <w:t xml:space="preserve"> 2019</w:t>
      </w:r>
      <w:r>
        <w:t xml:space="preserve"> s 38</w:t>
      </w:r>
      <w:r w:rsidR="009A78D6">
        <w:t>.</w:t>
      </w:r>
    </w:p>
  </w:footnote>
  <w:footnote w:id="2">
    <w:p w14:paraId="06E86A33" w14:textId="6CB57325" w:rsidR="00635C8F" w:rsidRDefault="00635C8F">
      <w:pPr>
        <w:pStyle w:val="FootnoteText"/>
      </w:pPr>
      <w:r>
        <w:rPr>
          <w:rStyle w:val="FootnoteReference"/>
        </w:rPr>
        <w:footnoteRef/>
      </w:r>
      <w:r>
        <w:t xml:space="preserve"> </w:t>
      </w:r>
      <w:r w:rsidR="009A78D6" w:rsidRPr="009A78D6">
        <w:rPr>
          <w:i/>
          <w:iCs/>
        </w:rPr>
        <w:t>Human Rights Act 2019</w:t>
      </w:r>
      <w:r w:rsidR="009A78D6">
        <w:t xml:space="preserve"> </w:t>
      </w:r>
      <w:r>
        <w:t>s 48</w:t>
      </w:r>
      <w:r w:rsidR="009A78D6">
        <w:t>.</w:t>
      </w:r>
    </w:p>
  </w:footnote>
  <w:footnote w:id="3">
    <w:p w14:paraId="7B2C2189" w14:textId="4EFAB8E2" w:rsidR="00635C8F" w:rsidRDefault="00635C8F">
      <w:pPr>
        <w:pStyle w:val="FootnoteText"/>
      </w:pPr>
      <w:r>
        <w:rPr>
          <w:rStyle w:val="FootnoteReference"/>
        </w:rPr>
        <w:footnoteRef/>
      </w:r>
      <w:r>
        <w:t xml:space="preserve"> </w:t>
      </w:r>
      <w:r w:rsidR="009A78D6" w:rsidRPr="009A78D6">
        <w:rPr>
          <w:i/>
          <w:iCs/>
        </w:rPr>
        <w:t>Human Rights Act 2019</w:t>
      </w:r>
      <w:r w:rsidR="009A78D6">
        <w:t xml:space="preserve"> s </w:t>
      </w:r>
      <w:r>
        <w:t>58(1)</w:t>
      </w:r>
      <w:r w:rsidR="009A78D6">
        <w:t>.</w:t>
      </w:r>
    </w:p>
  </w:footnote>
  <w:footnote w:id="4">
    <w:p w14:paraId="4F2C221F" w14:textId="03938B60" w:rsidR="004F7951" w:rsidRDefault="004F7951">
      <w:pPr>
        <w:pStyle w:val="FootnoteText"/>
      </w:pPr>
      <w:r>
        <w:rPr>
          <w:rStyle w:val="FootnoteReference"/>
        </w:rPr>
        <w:footnoteRef/>
      </w:r>
      <w:r>
        <w:t xml:space="preserve"> </w:t>
      </w:r>
      <w:r w:rsidR="009A78D6" w:rsidRPr="009A78D6">
        <w:rPr>
          <w:i/>
          <w:iCs/>
        </w:rPr>
        <w:t>Human Rights Act 2019</w:t>
      </w:r>
      <w:r w:rsidR="009A78D6">
        <w:t xml:space="preserve"> </w:t>
      </w:r>
      <w:r>
        <w:t>s 8</w:t>
      </w:r>
      <w:r w:rsidR="009A78D6">
        <w:t>.</w:t>
      </w:r>
    </w:p>
  </w:footnote>
  <w:footnote w:id="5">
    <w:p w14:paraId="46DD6107" w14:textId="2F0D5694" w:rsidR="009714EB" w:rsidRDefault="009714EB">
      <w:pPr>
        <w:pStyle w:val="FootnoteText"/>
      </w:pPr>
      <w:r>
        <w:rPr>
          <w:rStyle w:val="FootnoteReference"/>
        </w:rPr>
        <w:footnoteRef/>
      </w:r>
      <w:r>
        <w:t xml:space="preserve"> </w:t>
      </w:r>
      <w:r w:rsidR="009A78D6" w:rsidRPr="009A78D6">
        <w:rPr>
          <w:rFonts w:cs="Arial"/>
          <w:szCs w:val="20"/>
          <w:lang w:val="en-US"/>
        </w:rPr>
        <w:t xml:space="preserve">Explanatory Notes, Human Rights Bill 2018 </w:t>
      </w:r>
      <w:r>
        <w:t>28.</w:t>
      </w:r>
    </w:p>
  </w:footnote>
  <w:footnote w:id="6">
    <w:p w14:paraId="3CF0BA91" w14:textId="76B6C673" w:rsidR="009714EB" w:rsidRDefault="009714EB">
      <w:pPr>
        <w:pStyle w:val="FootnoteText"/>
      </w:pPr>
      <w:r>
        <w:rPr>
          <w:rStyle w:val="FootnoteReference"/>
        </w:rPr>
        <w:footnoteRef/>
      </w:r>
      <w:r>
        <w:t xml:space="preserve"> </w:t>
      </w:r>
      <w:r w:rsidR="00745FB3" w:rsidRPr="00745FB3">
        <w:rPr>
          <w:rFonts w:cs="Arial"/>
          <w:szCs w:val="20"/>
        </w:rPr>
        <w:t xml:space="preserve">United Nations Office of the High Commissioner for Human Rights, </w:t>
      </w:r>
      <w:r w:rsidR="00745FB3" w:rsidRPr="00745FB3">
        <w:rPr>
          <w:rFonts w:cs="Arial"/>
          <w:i/>
          <w:iCs/>
          <w:szCs w:val="20"/>
        </w:rPr>
        <w:t>CESCR</w:t>
      </w:r>
      <w:r w:rsidR="00745FB3" w:rsidRPr="00745FB3">
        <w:rPr>
          <w:rFonts w:cs="Arial"/>
          <w:szCs w:val="20"/>
        </w:rPr>
        <w:t xml:space="preserve"> </w:t>
      </w:r>
      <w:r w:rsidR="00745FB3" w:rsidRPr="00745FB3">
        <w:rPr>
          <w:rFonts w:cs="Arial"/>
          <w:i/>
          <w:iCs/>
          <w:szCs w:val="20"/>
        </w:rPr>
        <w:t>General Comment No. 13: The Right to Education (Art. 13)</w:t>
      </w:r>
      <w:r w:rsidR="00745FB3" w:rsidRPr="00745FB3">
        <w:rPr>
          <w:rFonts w:cs="Arial"/>
          <w:szCs w:val="20"/>
        </w:rPr>
        <w:t>, </w:t>
      </w:r>
      <w:r w:rsidR="003303B2">
        <w:rPr>
          <w:rFonts w:cs="Arial"/>
          <w:szCs w:val="20"/>
        </w:rPr>
        <w:t xml:space="preserve">UN Doc </w:t>
      </w:r>
      <w:r w:rsidR="00745FB3" w:rsidRPr="00745FB3">
        <w:rPr>
          <w:rFonts w:cs="Arial"/>
          <w:szCs w:val="20"/>
        </w:rPr>
        <w:t xml:space="preserve">E/C.12/1999/10 (8 December 1999) </w:t>
      </w:r>
      <w:r w:rsidR="00DE6D1F" w:rsidRPr="00745FB3">
        <w:rPr>
          <w:rFonts w:cs="Arial"/>
          <w:szCs w:val="20"/>
        </w:rPr>
        <w:t>[1]</w:t>
      </w:r>
      <w:r w:rsidR="00745FB3">
        <w:rPr>
          <w:rFonts w:cs="Arial"/>
          <w:szCs w:val="20"/>
        </w:rPr>
        <w:t>.</w:t>
      </w:r>
    </w:p>
  </w:footnote>
  <w:footnote w:id="7">
    <w:p w14:paraId="62A157AF" w14:textId="6E86C706" w:rsidR="00DE6D1F" w:rsidRDefault="00DE6D1F">
      <w:pPr>
        <w:pStyle w:val="FootnoteText"/>
      </w:pPr>
      <w:r>
        <w:rPr>
          <w:rStyle w:val="FootnoteReference"/>
        </w:rPr>
        <w:footnoteRef/>
      </w:r>
      <w:r>
        <w:t xml:space="preserve"> </w:t>
      </w:r>
      <w:r w:rsidR="00745FB3">
        <w:t xml:space="preserve">Ibid </w:t>
      </w:r>
      <w:r>
        <w:t>[6]</w:t>
      </w:r>
      <w:r w:rsidR="00745FB3">
        <w:t>.</w:t>
      </w:r>
    </w:p>
  </w:footnote>
  <w:footnote w:id="8">
    <w:p w14:paraId="180CF341" w14:textId="662EE018" w:rsidR="0042049E" w:rsidRDefault="0042049E">
      <w:pPr>
        <w:pStyle w:val="FootnoteText"/>
      </w:pPr>
      <w:r>
        <w:rPr>
          <w:rStyle w:val="FootnoteReference"/>
        </w:rPr>
        <w:footnoteRef/>
      </w:r>
      <w:r>
        <w:t xml:space="preserve"> See </w:t>
      </w:r>
      <w:r w:rsidR="00E063EF" w:rsidRPr="00E063EF">
        <w:rPr>
          <w:i/>
          <w:iCs/>
        </w:rPr>
        <w:t>Convention on the Rights of the Child</w:t>
      </w:r>
      <w:r w:rsidR="00E063EF">
        <w:t xml:space="preserve"> </w:t>
      </w:r>
      <w:r>
        <w:t>Article</w:t>
      </w:r>
      <w:r w:rsidR="00A6609A">
        <w:t>s</w:t>
      </w:r>
      <w:r>
        <w:t xml:space="preserve"> 28</w:t>
      </w:r>
      <w:r w:rsidR="00A6609A">
        <w:t xml:space="preserve"> and 29</w:t>
      </w:r>
      <w:r>
        <w:t>. The Convention</w:t>
      </w:r>
      <w:r w:rsidR="00D06EE4">
        <w:t>, and other relevant United Nations materials,</w:t>
      </w:r>
      <w:r>
        <w:t xml:space="preserve"> has been held to inform the scope of the rights of the child protected by the Victorian </w:t>
      </w:r>
      <w:r w:rsidRPr="0042049E">
        <w:rPr>
          <w:i/>
          <w:iCs/>
        </w:rPr>
        <w:t xml:space="preserve">Charter of </w:t>
      </w:r>
      <w:r>
        <w:rPr>
          <w:i/>
          <w:iCs/>
        </w:rPr>
        <w:t xml:space="preserve">Human </w:t>
      </w:r>
      <w:r w:rsidRPr="0042049E">
        <w:rPr>
          <w:i/>
          <w:iCs/>
        </w:rPr>
        <w:t xml:space="preserve">Rights and </w:t>
      </w:r>
      <w:r>
        <w:rPr>
          <w:i/>
          <w:iCs/>
        </w:rPr>
        <w:t>Responsibilities Act 2006</w:t>
      </w:r>
      <w:r>
        <w:t xml:space="preserve">: </w:t>
      </w:r>
      <w:r w:rsidRPr="007A5394">
        <w:rPr>
          <w:i/>
          <w:iCs/>
        </w:rPr>
        <w:t>Certain Children v Minister for Families and Children</w:t>
      </w:r>
      <w:r w:rsidRPr="007A5394">
        <w:t xml:space="preserve"> [2016] VSC 796; 51 VR 473</w:t>
      </w:r>
      <w:r>
        <w:t xml:space="preserve"> [</w:t>
      </w:r>
      <w:r w:rsidR="00D06EE4">
        <w:t>146</w:t>
      </w:r>
      <w:r>
        <w:t>]</w:t>
      </w:r>
      <w:r>
        <w:rPr>
          <w:lang w:val="en-US"/>
        </w:rPr>
        <w:t>.</w:t>
      </w:r>
    </w:p>
  </w:footnote>
  <w:footnote w:id="9">
    <w:p w14:paraId="5F794396" w14:textId="183C8E47" w:rsidR="008D7879" w:rsidRDefault="008D7879" w:rsidP="008D7879">
      <w:pPr>
        <w:pStyle w:val="FootnoteText"/>
      </w:pPr>
      <w:r>
        <w:rPr>
          <w:rStyle w:val="FootnoteReference"/>
        </w:rPr>
        <w:footnoteRef/>
      </w:r>
      <w:r>
        <w:t xml:space="preserve"> </w:t>
      </w:r>
      <w:r w:rsidR="003303B2" w:rsidRPr="00E063EF">
        <w:rPr>
          <w:i/>
          <w:iCs/>
        </w:rPr>
        <w:t>Convention on the Rights of the Child</w:t>
      </w:r>
      <w:r w:rsidR="003303B2">
        <w:t xml:space="preserve"> </w:t>
      </w:r>
      <w:r>
        <w:rPr>
          <w:lang w:val="en-US"/>
        </w:rPr>
        <w:t>Art 12</w:t>
      </w:r>
      <w:r w:rsidR="00FC3A4C">
        <w:rPr>
          <w:lang w:val="en-US"/>
        </w:rPr>
        <w:t>.</w:t>
      </w:r>
    </w:p>
  </w:footnote>
  <w:footnote w:id="10">
    <w:p w14:paraId="3179DF12" w14:textId="5E5905B3" w:rsidR="008D7879" w:rsidRDefault="008D7879" w:rsidP="008D7879">
      <w:pPr>
        <w:pStyle w:val="FootnoteText"/>
      </w:pPr>
      <w:r>
        <w:rPr>
          <w:rStyle w:val="FootnoteReference"/>
        </w:rPr>
        <w:footnoteRef/>
      </w:r>
      <w:r>
        <w:t xml:space="preserve"> </w:t>
      </w:r>
      <w:r w:rsidR="003303B2" w:rsidRPr="00E063EF">
        <w:rPr>
          <w:i/>
          <w:iCs/>
        </w:rPr>
        <w:t>Convention on the Rights of the Child</w:t>
      </w:r>
      <w:r w:rsidR="003303B2">
        <w:t xml:space="preserve"> </w:t>
      </w:r>
      <w:r>
        <w:rPr>
          <w:lang w:val="en-US"/>
        </w:rPr>
        <w:t>Art 3</w:t>
      </w:r>
      <w:r w:rsidR="00FC3A4C">
        <w:rPr>
          <w:lang w:val="en-US"/>
        </w:rPr>
        <w:t>.</w:t>
      </w:r>
    </w:p>
  </w:footnote>
  <w:footnote w:id="11">
    <w:p w14:paraId="10E926B1" w14:textId="6E821B06" w:rsidR="000A0E51" w:rsidRDefault="000A0E51">
      <w:pPr>
        <w:pStyle w:val="FootnoteText"/>
      </w:pPr>
      <w:r>
        <w:rPr>
          <w:rStyle w:val="FootnoteReference"/>
        </w:rPr>
        <w:footnoteRef/>
      </w:r>
      <w:r>
        <w:t xml:space="preserve"> </w:t>
      </w:r>
      <w:r w:rsidR="003303B2" w:rsidRPr="003303B2">
        <w:t>United Nations Committee on the Rights of the Children</w:t>
      </w:r>
      <w:r w:rsidR="003303B2">
        <w:t>,</w:t>
      </w:r>
      <w:r w:rsidR="003303B2">
        <w:rPr>
          <w:i/>
          <w:iCs/>
        </w:rPr>
        <w:t xml:space="preserve"> </w:t>
      </w:r>
      <w:r w:rsidRPr="003303B2">
        <w:rPr>
          <w:i/>
          <w:iCs/>
        </w:rPr>
        <w:t>General Comment No 14 (2013) on the right of the child to have his or her best interests taken as a primary consideration (art 3, para 1)</w:t>
      </w:r>
      <w:r>
        <w:t xml:space="preserve"> UN Doc CRC/C/GC/14 (29 May 2013) [32].</w:t>
      </w:r>
    </w:p>
  </w:footnote>
  <w:footnote w:id="12">
    <w:p w14:paraId="1E67C30F" w14:textId="28296151" w:rsidR="00372959" w:rsidRDefault="00372959">
      <w:pPr>
        <w:pStyle w:val="FootnoteText"/>
      </w:pPr>
      <w:r>
        <w:rPr>
          <w:rStyle w:val="FootnoteReference"/>
        </w:rPr>
        <w:footnoteRef/>
      </w:r>
      <w:r>
        <w:t xml:space="preserve"> </w:t>
      </w:r>
      <w:r w:rsidR="003303B2" w:rsidRPr="00E063EF">
        <w:rPr>
          <w:i/>
          <w:iCs/>
        </w:rPr>
        <w:t>Convention on the Rights of the Child</w:t>
      </w:r>
      <w:r w:rsidR="003303B2">
        <w:t xml:space="preserve"> p</w:t>
      </w:r>
      <w:r>
        <w:t>reamble</w:t>
      </w:r>
      <w:r w:rsidR="003303B2">
        <w:t>.</w:t>
      </w:r>
      <w:r>
        <w:t xml:space="preserve"> </w:t>
      </w:r>
    </w:p>
  </w:footnote>
  <w:footnote w:id="13">
    <w:p w14:paraId="0CA6719E" w14:textId="17DB97BE" w:rsidR="00421866" w:rsidRDefault="00421866" w:rsidP="00421866">
      <w:pPr>
        <w:pStyle w:val="FootnoteText"/>
      </w:pPr>
      <w:r>
        <w:rPr>
          <w:rStyle w:val="FootnoteReference"/>
        </w:rPr>
        <w:footnoteRef/>
      </w:r>
      <w:r>
        <w:t xml:space="preserve"> In the context of youth justice: Committee on the Rights of the Child: </w:t>
      </w:r>
      <w:r w:rsidRPr="003303B2">
        <w:rPr>
          <w:i/>
          <w:iCs/>
        </w:rPr>
        <w:t>General comment No. 24 (2019) on children’s rights in the child justice system</w:t>
      </w:r>
      <w:r w:rsidR="003303B2">
        <w:rPr>
          <w:i/>
          <w:iCs/>
        </w:rPr>
        <w:t>,</w:t>
      </w:r>
      <w:r>
        <w:t xml:space="preserve"> </w:t>
      </w:r>
      <w:r w:rsidR="003303B2">
        <w:t xml:space="preserve">UN Doc </w:t>
      </w:r>
      <w:r>
        <w:t>CRC/C/GC/24 (19</w:t>
      </w:r>
      <w:r w:rsidR="003303B2">
        <w:t xml:space="preserve"> September </w:t>
      </w:r>
      <w:r>
        <w:t>2019) [2]</w:t>
      </w:r>
      <w:r w:rsidR="00FC3A4C">
        <w:t>.</w:t>
      </w:r>
    </w:p>
  </w:footnote>
  <w:footnote w:id="14">
    <w:p w14:paraId="0A1A5FD7" w14:textId="77777777" w:rsidR="00325EBB" w:rsidRPr="002630E1" w:rsidRDefault="00325EBB" w:rsidP="00325EBB">
      <w:pPr>
        <w:pStyle w:val="FootnoteText"/>
        <w:rPr>
          <w:lang w:val="en-US"/>
        </w:rPr>
      </w:pPr>
      <w:r>
        <w:rPr>
          <w:rStyle w:val="FootnoteReference"/>
        </w:rPr>
        <w:footnoteRef/>
      </w:r>
      <w:r>
        <w:t xml:space="preserve"> </w:t>
      </w:r>
      <w:r w:rsidRPr="00FF2B2C">
        <w:rPr>
          <w:i/>
        </w:rPr>
        <w:t>Owen-D’Arcy v Chief Executive, Queensland Corrective Services</w:t>
      </w:r>
      <w:r>
        <w:t xml:space="preserve"> [2021] QSC 273 [108]-[109], [131].</w:t>
      </w:r>
    </w:p>
  </w:footnote>
  <w:footnote w:id="15">
    <w:p w14:paraId="275132DC" w14:textId="4D8A263E" w:rsidR="00A42F93" w:rsidRDefault="00A42F93">
      <w:pPr>
        <w:pStyle w:val="FootnoteText"/>
      </w:pPr>
      <w:r>
        <w:rPr>
          <w:rStyle w:val="FootnoteReference"/>
        </w:rPr>
        <w:footnoteRef/>
      </w:r>
      <w:r>
        <w:t xml:space="preserve"> Pursuant to s 280C</w:t>
      </w:r>
      <w:r w:rsidR="000860CC">
        <w:t xml:space="preserve"> of the </w:t>
      </w:r>
      <w:r w:rsidR="003303B2" w:rsidRPr="003303B2">
        <w:rPr>
          <w:i/>
          <w:iCs/>
        </w:rPr>
        <w:t xml:space="preserve">Education (General </w:t>
      </w:r>
      <w:r w:rsidR="003303B2">
        <w:rPr>
          <w:i/>
          <w:iCs/>
        </w:rPr>
        <w:t>Provisions</w:t>
      </w:r>
      <w:r w:rsidR="003303B2" w:rsidRPr="003303B2">
        <w:rPr>
          <w:i/>
          <w:iCs/>
        </w:rPr>
        <w:t xml:space="preserve">) </w:t>
      </w:r>
      <w:r w:rsidR="000860CC" w:rsidRPr="003303B2">
        <w:rPr>
          <w:i/>
          <w:iCs/>
        </w:rPr>
        <w:t>Act</w:t>
      </w:r>
      <w:r w:rsidR="003303B2" w:rsidRPr="003303B2">
        <w:rPr>
          <w:i/>
          <w:iCs/>
        </w:rPr>
        <w:t xml:space="preserve"> 2006</w:t>
      </w:r>
      <w:r>
        <w:t xml:space="preserve">, the chief executive of the </w:t>
      </w:r>
      <w:r w:rsidR="00305114">
        <w:t>department</w:t>
      </w:r>
      <w:r>
        <w:t xml:space="preserve"> only has power to seek information about a charge or conviction from the police commissioner in relation to a student enrolled at a State school. </w:t>
      </w:r>
    </w:p>
  </w:footnote>
  <w:footnote w:id="16">
    <w:p w14:paraId="437181EA" w14:textId="128125B1" w:rsidR="00572DFB" w:rsidRDefault="00572DFB" w:rsidP="00572DFB">
      <w:pPr>
        <w:pStyle w:val="FootnoteText"/>
      </w:pPr>
      <w:r>
        <w:rPr>
          <w:rStyle w:val="FootnoteReference"/>
        </w:rPr>
        <w:footnoteRef/>
      </w:r>
      <w:r>
        <w:t xml:space="preserve"> Explanatory note</w:t>
      </w:r>
      <w:r w:rsidR="00305114">
        <w:t>s,</w:t>
      </w:r>
      <w:r>
        <w:t xml:space="preserve"> </w:t>
      </w:r>
      <w:r w:rsidR="00305114">
        <w:t xml:space="preserve">Education (General Provisions Bill) 2006 </w:t>
      </w:r>
      <w:r>
        <w:t>167</w:t>
      </w:r>
      <w:r w:rsidR="00305114">
        <w:t>.</w:t>
      </w:r>
      <w:r>
        <w:t xml:space="preserve"> </w:t>
      </w:r>
    </w:p>
  </w:footnote>
  <w:footnote w:id="17">
    <w:p w14:paraId="26DBC9E7" w14:textId="259F86D1" w:rsidR="009406D0" w:rsidRDefault="009406D0">
      <w:pPr>
        <w:pStyle w:val="FootnoteText"/>
      </w:pPr>
      <w:r>
        <w:rPr>
          <w:rStyle w:val="FootnoteReference"/>
        </w:rPr>
        <w:footnoteRef/>
      </w:r>
      <w:r>
        <w:t xml:space="preserve"> </w:t>
      </w:r>
      <w:r w:rsidR="00305114" w:rsidRPr="003303B2">
        <w:rPr>
          <w:i/>
          <w:iCs/>
        </w:rPr>
        <w:t xml:space="preserve">Education (General </w:t>
      </w:r>
      <w:r w:rsidR="00305114">
        <w:rPr>
          <w:i/>
          <w:iCs/>
        </w:rPr>
        <w:t>Provisions</w:t>
      </w:r>
      <w:r w:rsidR="00305114" w:rsidRPr="003303B2">
        <w:rPr>
          <w:i/>
          <w:iCs/>
        </w:rPr>
        <w:t>) Act 2006</w:t>
      </w:r>
      <w:r>
        <w:t xml:space="preserve"> s 155(2) and (3)</w:t>
      </w:r>
      <w:r w:rsidR="00305114">
        <w:t>.</w:t>
      </w:r>
    </w:p>
  </w:footnote>
  <w:footnote w:id="18">
    <w:p w14:paraId="4D705DAF" w14:textId="4285E499" w:rsidR="00C935C5" w:rsidRDefault="00C935C5">
      <w:pPr>
        <w:pStyle w:val="FootnoteText"/>
      </w:pPr>
      <w:r>
        <w:rPr>
          <w:rStyle w:val="FootnoteReference"/>
        </w:rPr>
        <w:footnoteRef/>
      </w:r>
      <w:r>
        <w:t xml:space="preserve"> </w:t>
      </w:r>
      <w:r w:rsidR="00305114" w:rsidRPr="003303B2">
        <w:rPr>
          <w:i/>
          <w:iCs/>
        </w:rPr>
        <w:t xml:space="preserve">Education (General </w:t>
      </w:r>
      <w:r w:rsidR="00305114">
        <w:rPr>
          <w:i/>
          <w:iCs/>
        </w:rPr>
        <w:t>Provisions</w:t>
      </w:r>
      <w:r w:rsidR="00305114" w:rsidRPr="003303B2">
        <w:rPr>
          <w:i/>
          <w:iCs/>
        </w:rPr>
        <w:t>) Act 2006</w:t>
      </w:r>
      <w:r w:rsidR="00305114">
        <w:rPr>
          <w:i/>
          <w:iCs/>
        </w:rPr>
        <w:t xml:space="preserve"> </w:t>
      </w:r>
      <w:r>
        <w:t>ss 159(1), 160</w:t>
      </w:r>
      <w:r w:rsidR="00305114">
        <w:t>.</w:t>
      </w:r>
    </w:p>
  </w:footnote>
  <w:footnote w:id="19">
    <w:p w14:paraId="491110A3" w14:textId="52708AB3" w:rsidR="00BF489A" w:rsidRDefault="00BF489A">
      <w:pPr>
        <w:pStyle w:val="FootnoteText"/>
      </w:pPr>
      <w:r>
        <w:rPr>
          <w:rStyle w:val="FootnoteReference"/>
        </w:rPr>
        <w:footnoteRef/>
      </w:r>
      <w:r>
        <w:t xml:space="preserve"> </w:t>
      </w:r>
      <w:r w:rsidR="00305114" w:rsidRPr="003303B2">
        <w:rPr>
          <w:i/>
          <w:iCs/>
        </w:rPr>
        <w:t xml:space="preserve">Education (General </w:t>
      </w:r>
      <w:r w:rsidR="00305114">
        <w:rPr>
          <w:i/>
          <w:iCs/>
        </w:rPr>
        <w:t>Provisions</w:t>
      </w:r>
      <w:r w:rsidR="00305114" w:rsidRPr="003303B2">
        <w:rPr>
          <w:i/>
          <w:iCs/>
        </w:rPr>
        <w:t>) Act 2006</w:t>
      </w:r>
      <w:r w:rsidR="00305114">
        <w:t xml:space="preserve"> ss</w:t>
      </w:r>
      <w:r>
        <w:t xml:space="preserve"> 390, 392</w:t>
      </w:r>
      <w:r w:rsidR="00305114">
        <w:t>.</w:t>
      </w:r>
    </w:p>
  </w:footnote>
  <w:footnote w:id="20">
    <w:p w14:paraId="07D5165C" w14:textId="25D0B305" w:rsidR="00BF489A" w:rsidRDefault="00BF489A">
      <w:pPr>
        <w:pStyle w:val="FootnoteText"/>
      </w:pPr>
      <w:r>
        <w:rPr>
          <w:rStyle w:val="FootnoteReference"/>
        </w:rPr>
        <w:footnoteRef/>
      </w:r>
      <w:r>
        <w:t xml:space="preserve"> </w:t>
      </w:r>
      <w:r w:rsidR="00305114" w:rsidRPr="003303B2">
        <w:rPr>
          <w:i/>
          <w:iCs/>
        </w:rPr>
        <w:t xml:space="preserve">Education (General </w:t>
      </w:r>
      <w:r w:rsidR="00305114">
        <w:rPr>
          <w:i/>
          <w:iCs/>
        </w:rPr>
        <w:t>Provisions</w:t>
      </w:r>
      <w:r w:rsidR="00305114" w:rsidRPr="003303B2">
        <w:rPr>
          <w:i/>
          <w:iCs/>
        </w:rPr>
        <w:t>) Act 2006</w:t>
      </w:r>
      <w:r w:rsidR="00305114">
        <w:rPr>
          <w:i/>
          <w:iCs/>
        </w:rPr>
        <w:t xml:space="preserve"> </w:t>
      </w:r>
      <w:r>
        <w:t xml:space="preserve">s 393, 394. </w:t>
      </w:r>
    </w:p>
  </w:footnote>
  <w:footnote w:id="21">
    <w:p w14:paraId="4B9E808C" w14:textId="781331E6" w:rsidR="009664AB" w:rsidRDefault="009664AB">
      <w:pPr>
        <w:pStyle w:val="FootnoteText"/>
      </w:pPr>
      <w:r>
        <w:rPr>
          <w:rStyle w:val="FootnoteReference"/>
        </w:rPr>
        <w:footnoteRef/>
      </w:r>
      <w:r>
        <w:t xml:space="preserve"> </w:t>
      </w:r>
      <w:r w:rsidR="00305114">
        <w:t xml:space="preserve">Department of Education </w:t>
      </w:r>
      <w:r w:rsidR="00305114" w:rsidRPr="00305114">
        <w:rPr>
          <w:i/>
          <w:iCs/>
        </w:rPr>
        <w:t>Consultation paper -</w:t>
      </w:r>
      <w:r w:rsidR="00305114">
        <w:t xml:space="preserve"> </w:t>
      </w:r>
      <w:r w:rsidR="00305114" w:rsidRPr="00365006">
        <w:rPr>
          <w:i/>
          <w:iCs/>
        </w:rPr>
        <w:t>School disciplinary absence and enrolment decisions</w:t>
      </w:r>
      <w:r w:rsidR="00305114">
        <w:t xml:space="preserve"> </w:t>
      </w:r>
      <w:r>
        <w:t xml:space="preserve">3. </w:t>
      </w:r>
    </w:p>
  </w:footnote>
  <w:footnote w:id="22">
    <w:p w14:paraId="3AF541F0" w14:textId="1BA16C8C" w:rsidR="00275F32" w:rsidRDefault="00275F32">
      <w:pPr>
        <w:pStyle w:val="FootnoteText"/>
      </w:pPr>
      <w:r>
        <w:rPr>
          <w:rStyle w:val="FootnoteReference"/>
        </w:rPr>
        <w:footnoteRef/>
      </w:r>
      <w:r>
        <w:t xml:space="preserve"> </w:t>
      </w:r>
      <w:r w:rsidR="00FC3A4C">
        <w:t>Ibid 5.</w:t>
      </w:r>
    </w:p>
  </w:footnote>
  <w:footnote w:id="23">
    <w:p w14:paraId="29246FDD" w14:textId="4015DFBA" w:rsidR="00522E15" w:rsidRDefault="00522E15">
      <w:pPr>
        <w:pStyle w:val="FootnoteText"/>
      </w:pPr>
      <w:r>
        <w:rPr>
          <w:rStyle w:val="FootnoteReference"/>
        </w:rPr>
        <w:footnoteRef/>
      </w:r>
      <w:r>
        <w:t xml:space="preserve"> See J Marszal</w:t>
      </w:r>
      <w:r w:rsidR="000E0D00">
        <w:t>e</w:t>
      </w:r>
      <w:r>
        <w:t>k and J McKay</w:t>
      </w:r>
      <w:r w:rsidR="00FC3A4C">
        <w:t>,</w:t>
      </w:r>
      <w:r>
        <w:t xml:space="preserve"> </w:t>
      </w:r>
      <w:r w:rsidR="00FC3A4C">
        <w:t>‘</w:t>
      </w:r>
      <w:r w:rsidRPr="00FC3A4C">
        <w:t>Suspension rate review, Vulnerable students at risk</w:t>
      </w:r>
      <w:r w:rsidR="00FC3A4C">
        <w:t>’,</w:t>
      </w:r>
      <w:r w:rsidRPr="00FC3A4C">
        <w:t xml:space="preserve"> </w:t>
      </w:r>
      <w:r w:rsidRPr="00FC3A4C">
        <w:rPr>
          <w:i/>
          <w:iCs/>
        </w:rPr>
        <w:t>Courier Mail</w:t>
      </w:r>
      <w:r w:rsidR="00FC3A4C">
        <w:t xml:space="preserve"> (</w:t>
      </w:r>
      <w:r>
        <w:t>20</w:t>
      </w:r>
      <w:r w:rsidR="00FC3A4C">
        <w:t xml:space="preserve"> April </w:t>
      </w:r>
      <w:r>
        <w:t xml:space="preserve">2022); </w:t>
      </w:r>
      <w:r w:rsidR="00FC3A4C">
        <w:t xml:space="preserve">Queensland Advocacy Incorporated and Aboriginal and Torres Strait Islander Legal Service (Qld) Ltd </w:t>
      </w:r>
      <w:r w:rsidRPr="00FC3A4C">
        <w:rPr>
          <w:i/>
          <w:iCs/>
        </w:rPr>
        <w:t>The need for inquiry in</w:t>
      </w:r>
      <w:r w:rsidR="00FC3A4C" w:rsidRPr="00FC3A4C">
        <w:rPr>
          <w:i/>
          <w:iCs/>
        </w:rPr>
        <w:t>t</w:t>
      </w:r>
      <w:r w:rsidRPr="00FC3A4C">
        <w:rPr>
          <w:i/>
          <w:iCs/>
        </w:rPr>
        <w:t>o school disciplinary absences in Queensland state schools</w:t>
      </w:r>
      <w:r>
        <w:t xml:space="preserve"> </w:t>
      </w:r>
      <w:r w:rsidR="00F1673D">
        <w:t>(16 Feb</w:t>
      </w:r>
      <w:r w:rsidR="00FC3A4C">
        <w:t>ruary</w:t>
      </w:r>
      <w:r w:rsidR="00F1673D">
        <w:t xml:space="preserve"> 2022); L Graham et al</w:t>
      </w:r>
      <w:r w:rsidR="00FC3A4C">
        <w:t>,</w:t>
      </w:r>
      <w:r w:rsidR="00F1673D">
        <w:t xml:space="preserve"> </w:t>
      </w:r>
      <w:r w:rsidR="00F1673D" w:rsidRPr="00FC3A4C">
        <w:rPr>
          <w:i/>
          <w:iCs/>
        </w:rPr>
        <w:t>Overr</w:t>
      </w:r>
      <w:r w:rsidR="00FC3A4C" w:rsidRPr="00FC3A4C">
        <w:rPr>
          <w:i/>
          <w:iCs/>
        </w:rPr>
        <w:t>e</w:t>
      </w:r>
      <w:r w:rsidR="00F1673D" w:rsidRPr="00FC3A4C">
        <w:rPr>
          <w:i/>
          <w:iCs/>
        </w:rPr>
        <w:t>presentation of Indigenous students in school suspension, exclusion and enrolment cancellation in Queensland: is there a case for systemic inclusive school reform?</w:t>
      </w:r>
      <w:r w:rsidR="00F1673D">
        <w:t xml:space="preserve"> </w:t>
      </w:r>
      <w:r w:rsidR="00FC3A4C">
        <w:t>(</w:t>
      </w:r>
      <w:r w:rsidR="00F1673D">
        <w:t>The Australian Education Researcher</w:t>
      </w:r>
      <w:r w:rsidR="00FC3A4C">
        <w:t>, 7 August 2021).</w:t>
      </w:r>
    </w:p>
  </w:footnote>
  <w:footnote w:id="24">
    <w:p w14:paraId="10346A13" w14:textId="222D641E" w:rsidR="00AE3FB2" w:rsidRDefault="00AE3FB2">
      <w:pPr>
        <w:pStyle w:val="FootnoteText"/>
      </w:pPr>
      <w:r>
        <w:rPr>
          <w:rStyle w:val="FootnoteReference"/>
        </w:rPr>
        <w:footnoteRef/>
      </w:r>
      <w:r>
        <w:t xml:space="preserve"> </w:t>
      </w:r>
      <w:r w:rsidR="00FC3A4C">
        <w:t xml:space="preserve">Department of Education </w:t>
      </w:r>
      <w:r w:rsidR="00FC3A4C" w:rsidRPr="00305114">
        <w:rPr>
          <w:i/>
          <w:iCs/>
        </w:rPr>
        <w:t>Consultation paper -</w:t>
      </w:r>
      <w:r w:rsidR="00FC3A4C">
        <w:t xml:space="preserve"> </w:t>
      </w:r>
      <w:r w:rsidR="00FC3A4C" w:rsidRPr="00365006">
        <w:rPr>
          <w:i/>
          <w:iCs/>
        </w:rPr>
        <w:t>School disciplinary absence and enrolment decisions</w:t>
      </w:r>
      <w:r w:rsidR="00FC3A4C">
        <w:t xml:space="preserve"> </w:t>
      </w:r>
      <w:r>
        <w:t>7.</w:t>
      </w:r>
    </w:p>
  </w:footnote>
  <w:footnote w:id="25">
    <w:p w14:paraId="7AA5287D" w14:textId="3EAC842E" w:rsidR="00B77F56" w:rsidRDefault="00B77F56" w:rsidP="00B77F56">
      <w:pPr>
        <w:pStyle w:val="FootnoteText"/>
      </w:pPr>
      <w:r>
        <w:rPr>
          <w:rStyle w:val="FootnoteReference"/>
        </w:rPr>
        <w:footnoteRef/>
      </w:r>
      <w:r>
        <w:t xml:space="preserve"> </w:t>
      </w:r>
      <w:r w:rsidR="00FC3A4C" w:rsidRPr="003303B2">
        <w:rPr>
          <w:i/>
          <w:iCs/>
        </w:rPr>
        <w:t xml:space="preserve">Education (General </w:t>
      </w:r>
      <w:r w:rsidR="00FC3A4C">
        <w:rPr>
          <w:i/>
          <w:iCs/>
        </w:rPr>
        <w:t>Provisions</w:t>
      </w:r>
      <w:r w:rsidR="00FC3A4C" w:rsidRPr="003303B2">
        <w:rPr>
          <w:i/>
          <w:iCs/>
        </w:rPr>
        <w:t>) Act 2006</w:t>
      </w:r>
      <w:r w:rsidR="00FC3A4C">
        <w:rPr>
          <w:i/>
          <w:iCs/>
        </w:rPr>
        <w:t xml:space="preserve"> </w:t>
      </w:r>
      <w:r>
        <w:t>s 159(2)</w:t>
      </w:r>
      <w:r w:rsidR="00FC3A4C">
        <w:t>.</w:t>
      </w:r>
    </w:p>
  </w:footnote>
  <w:footnote w:id="26">
    <w:p w14:paraId="2D0F3A3F" w14:textId="7B57B47F" w:rsidR="00B77F56" w:rsidRDefault="00B77F56" w:rsidP="00B77F56">
      <w:pPr>
        <w:pStyle w:val="FootnoteText"/>
      </w:pPr>
      <w:r>
        <w:rPr>
          <w:rStyle w:val="FootnoteReference"/>
        </w:rPr>
        <w:footnoteRef/>
      </w:r>
      <w:r>
        <w:t xml:space="preserve"> </w:t>
      </w:r>
      <w:r w:rsidR="00FC3A4C" w:rsidRPr="003303B2">
        <w:rPr>
          <w:i/>
          <w:iCs/>
        </w:rPr>
        <w:t xml:space="preserve">Education (General </w:t>
      </w:r>
      <w:r w:rsidR="00FC3A4C">
        <w:rPr>
          <w:i/>
          <w:iCs/>
        </w:rPr>
        <w:t>Provisions</w:t>
      </w:r>
      <w:r w:rsidR="00FC3A4C" w:rsidRPr="003303B2">
        <w:rPr>
          <w:i/>
          <w:iCs/>
        </w:rPr>
        <w:t>) Act 2006</w:t>
      </w:r>
      <w:r w:rsidR="00FC3A4C">
        <w:rPr>
          <w:i/>
          <w:iCs/>
        </w:rPr>
        <w:t xml:space="preserve"> </w:t>
      </w:r>
      <w:r>
        <w:t>ss 161 and 162</w:t>
      </w:r>
      <w:r w:rsidR="00FC3A4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1ED"/>
    <w:multiLevelType w:val="hybridMultilevel"/>
    <w:tmpl w:val="21CE3778"/>
    <w:lvl w:ilvl="0" w:tplc="4D8EBA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250E7E"/>
    <w:multiLevelType w:val="multilevel"/>
    <w:tmpl w:val="2F228978"/>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41CB4EE8"/>
    <w:multiLevelType w:val="hybridMultilevel"/>
    <w:tmpl w:val="438CD436"/>
    <w:lvl w:ilvl="0" w:tplc="4D8EBA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53C"/>
    <w:rsid w:val="00001698"/>
    <w:rsid w:val="000019CD"/>
    <w:rsid w:val="00002F05"/>
    <w:rsid w:val="00004671"/>
    <w:rsid w:val="000050A9"/>
    <w:rsid w:val="00006B26"/>
    <w:rsid w:val="00013464"/>
    <w:rsid w:val="00013755"/>
    <w:rsid w:val="000150B6"/>
    <w:rsid w:val="00015D11"/>
    <w:rsid w:val="00016DF0"/>
    <w:rsid w:val="00017FDA"/>
    <w:rsid w:val="000210DC"/>
    <w:rsid w:val="0002351E"/>
    <w:rsid w:val="0002359F"/>
    <w:rsid w:val="00025AFE"/>
    <w:rsid w:val="00030955"/>
    <w:rsid w:val="00032D71"/>
    <w:rsid w:val="00035E3F"/>
    <w:rsid w:val="00037550"/>
    <w:rsid w:val="00041DF0"/>
    <w:rsid w:val="00041E58"/>
    <w:rsid w:val="00044A7F"/>
    <w:rsid w:val="00045B46"/>
    <w:rsid w:val="00046880"/>
    <w:rsid w:val="000475DE"/>
    <w:rsid w:val="00047983"/>
    <w:rsid w:val="00050033"/>
    <w:rsid w:val="00052055"/>
    <w:rsid w:val="00053523"/>
    <w:rsid w:val="00054120"/>
    <w:rsid w:val="00055FBF"/>
    <w:rsid w:val="00056960"/>
    <w:rsid w:val="00057023"/>
    <w:rsid w:val="00057D21"/>
    <w:rsid w:val="00061386"/>
    <w:rsid w:val="00063EDF"/>
    <w:rsid w:val="000677EE"/>
    <w:rsid w:val="00067841"/>
    <w:rsid w:val="000717BD"/>
    <w:rsid w:val="00072CE6"/>
    <w:rsid w:val="00072DBC"/>
    <w:rsid w:val="000731D3"/>
    <w:rsid w:val="00074CB3"/>
    <w:rsid w:val="00075AB0"/>
    <w:rsid w:val="0007682B"/>
    <w:rsid w:val="00077B22"/>
    <w:rsid w:val="00081E94"/>
    <w:rsid w:val="000829EE"/>
    <w:rsid w:val="000838E5"/>
    <w:rsid w:val="000860CC"/>
    <w:rsid w:val="00086EE1"/>
    <w:rsid w:val="00092BC6"/>
    <w:rsid w:val="00093427"/>
    <w:rsid w:val="00095FBB"/>
    <w:rsid w:val="00096517"/>
    <w:rsid w:val="000A0E51"/>
    <w:rsid w:val="000A201B"/>
    <w:rsid w:val="000A57BE"/>
    <w:rsid w:val="000A6594"/>
    <w:rsid w:val="000B171E"/>
    <w:rsid w:val="000B38DD"/>
    <w:rsid w:val="000B582E"/>
    <w:rsid w:val="000B6C72"/>
    <w:rsid w:val="000B794F"/>
    <w:rsid w:val="000C3BD6"/>
    <w:rsid w:val="000C4DDF"/>
    <w:rsid w:val="000C60A5"/>
    <w:rsid w:val="000C64D5"/>
    <w:rsid w:val="000C788E"/>
    <w:rsid w:val="000D17F9"/>
    <w:rsid w:val="000D418F"/>
    <w:rsid w:val="000D49A5"/>
    <w:rsid w:val="000D4C17"/>
    <w:rsid w:val="000D5FD7"/>
    <w:rsid w:val="000E01E4"/>
    <w:rsid w:val="000E0D00"/>
    <w:rsid w:val="000E0DBF"/>
    <w:rsid w:val="000E1039"/>
    <w:rsid w:val="000E1154"/>
    <w:rsid w:val="000F0BC1"/>
    <w:rsid w:val="000F2408"/>
    <w:rsid w:val="000F4098"/>
    <w:rsid w:val="000F427C"/>
    <w:rsid w:val="000F7A52"/>
    <w:rsid w:val="00105217"/>
    <w:rsid w:val="00105E8A"/>
    <w:rsid w:val="001066BD"/>
    <w:rsid w:val="00107933"/>
    <w:rsid w:val="00107AC4"/>
    <w:rsid w:val="00110BE8"/>
    <w:rsid w:val="0011124A"/>
    <w:rsid w:val="001128FF"/>
    <w:rsid w:val="0011298D"/>
    <w:rsid w:val="001148EB"/>
    <w:rsid w:val="00115A63"/>
    <w:rsid w:val="001173A4"/>
    <w:rsid w:val="00121E6F"/>
    <w:rsid w:val="00124A35"/>
    <w:rsid w:val="001300D0"/>
    <w:rsid w:val="001304EE"/>
    <w:rsid w:val="001316C8"/>
    <w:rsid w:val="00132921"/>
    <w:rsid w:val="00135057"/>
    <w:rsid w:val="00135A09"/>
    <w:rsid w:val="001362AF"/>
    <w:rsid w:val="00140DB4"/>
    <w:rsid w:val="00142C0C"/>
    <w:rsid w:val="00144AEE"/>
    <w:rsid w:val="00144E15"/>
    <w:rsid w:val="001458E4"/>
    <w:rsid w:val="00146547"/>
    <w:rsid w:val="0014732A"/>
    <w:rsid w:val="00153B6A"/>
    <w:rsid w:val="001556BD"/>
    <w:rsid w:val="0015636B"/>
    <w:rsid w:val="001571DA"/>
    <w:rsid w:val="00157D0F"/>
    <w:rsid w:val="00162AB1"/>
    <w:rsid w:val="00167572"/>
    <w:rsid w:val="001677B7"/>
    <w:rsid w:val="00173E07"/>
    <w:rsid w:val="00174507"/>
    <w:rsid w:val="00176FBD"/>
    <w:rsid w:val="001825CB"/>
    <w:rsid w:val="00182865"/>
    <w:rsid w:val="00182E06"/>
    <w:rsid w:val="00184CF1"/>
    <w:rsid w:val="00185BFA"/>
    <w:rsid w:val="00190995"/>
    <w:rsid w:val="001916E4"/>
    <w:rsid w:val="0019203A"/>
    <w:rsid w:val="00193A8B"/>
    <w:rsid w:val="00195E9F"/>
    <w:rsid w:val="00196023"/>
    <w:rsid w:val="0019632C"/>
    <w:rsid w:val="001A0F1B"/>
    <w:rsid w:val="001A12BD"/>
    <w:rsid w:val="001A3B3D"/>
    <w:rsid w:val="001A5175"/>
    <w:rsid w:val="001B1284"/>
    <w:rsid w:val="001B1A27"/>
    <w:rsid w:val="001B53EE"/>
    <w:rsid w:val="001B5470"/>
    <w:rsid w:val="001B57C6"/>
    <w:rsid w:val="001B6C7D"/>
    <w:rsid w:val="001C01FD"/>
    <w:rsid w:val="001C0A36"/>
    <w:rsid w:val="001C0F44"/>
    <w:rsid w:val="001C127F"/>
    <w:rsid w:val="001C6FE8"/>
    <w:rsid w:val="001D39E4"/>
    <w:rsid w:val="001D488F"/>
    <w:rsid w:val="001D50C0"/>
    <w:rsid w:val="001D6185"/>
    <w:rsid w:val="001D7758"/>
    <w:rsid w:val="001E2462"/>
    <w:rsid w:val="001E30A9"/>
    <w:rsid w:val="001E3A26"/>
    <w:rsid w:val="001E3E98"/>
    <w:rsid w:val="001E7FD2"/>
    <w:rsid w:val="001F3F19"/>
    <w:rsid w:val="001F5F4B"/>
    <w:rsid w:val="001F70AB"/>
    <w:rsid w:val="00203A1F"/>
    <w:rsid w:val="00204393"/>
    <w:rsid w:val="00212007"/>
    <w:rsid w:val="00212266"/>
    <w:rsid w:val="00214303"/>
    <w:rsid w:val="0021562C"/>
    <w:rsid w:val="002175D6"/>
    <w:rsid w:val="00217E14"/>
    <w:rsid w:val="00217F93"/>
    <w:rsid w:val="0022130B"/>
    <w:rsid w:val="0022200D"/>
    <w:rsid w:val="00226F00"/>
    <w:rsid w:val="00227178"/>
    <w:rsid w:val="002307C4"/>
    <w:rsid w:val="00232FC2"/>
    <w:rsid w:val="00233F52"/>
    <w:rsid w:val="00235527"/>
    <w:rsid w:val="002361C9"/>
    <w:rsid w:val="0023686C"/>
    <w:rsid w:val="00236D57"/>
    <w:rsid w:val="00240EF9"/>
    <w:rsid w:val="0024194E"/>
    <w:rsid w:val="00242020"/>
    <w:rsid w:val="00244D8B"/>
    <w:rsid w:val="00245A5A"/>
    <w:rsid w:val="00247ADB"/>
    <w:rsid w:val="00251237"/>
    <w:rsid w:val="00252006"/>
    <w:rsid w:val="00253B42"/>
    <w:rsid w:val="00254CCC"/>
    <w:rsid w:val="00261242"/>
    <w:rsid w:val="00262772"/>
    <w:rsid w:val="002630E1"/>
    <w:rsid w:val="00263FA5"/>
    <w:rsid w:val="002662C5"/>
    <w:rsid w:val="00270863"/>
    <w:rsid w:val="00270FD1"/>
    <w:rsid w:val="00275F32"/>
    <w:rsid w:val="002834C1"/>
    <w:rsid w:val="00283D88"/>
    <w:rsid w:val="00284FF0"/>
    <w:rsid w:val="00285549"/>
    <w:rsid w:val="00292C50"/>
    <w:rsid w:val="002948B8"/>
    <w:rsid w:val="002A03F1"/>
    <w:rsid w:val="002A2D24"/>
    <w:rsid w:val="002A3A0B"/>
    <w:rsid w:val="002B028E"/>
    <w:rsid w:val="002B45C6"/>
    <w:rsid w:val="002B5099"/>
    <w:rsid w:val="002B65D4"/>
    <w:rsid w:val="002C0093"/>
    <w:rsid w:val="002C0D9A"/>
    <w:rsid w:val="002C191F"/>
    <w:rsid w:val="002C3C60"/>
    <w:rsid w:val="002C5396"/>
    <w:rsid w:val="002D34D3"/>
    <w:rsid w:val="002D3CC5"/>
    <w:rsid w:val="002D46A2"/>
    <w:rsid w:val="002D4D0D"/>
    <w:rsid w:val="002D60ED"/>
    <w:rsid w:val="002D7194"/>
    <w:rsid w:val="002E06B5"/>
    <w:rsid w:val="002E12B9"/>
    <w:rsid w:val="002E244A"/>
    <w:rsid w:val="002E433B"/>
    <w:rsid w:val="002E5231"/>
    <w:rsid w:val="002E5380"/>
    <w:rsid w:val="002E5D36"/>
    <w:rsid w:val="002E6E82"/>
    <w:rsid w:val="002E730F"/>
    <w:rsid w:val="002F25CB"/>
    <w:rsid w:val="002F44D2"/>
    <w:rsid w:val="002F4854"/>
    <w:rsid w:val="002F485B"/>
    <w:rsid w:val="002F65A6"/>
    <w:rsid w:val="00301F40"/>
    <w:rsid w:val="00302099"/>
    <w:rsid w:val="00302DC9"/>
    <w:rsid w:val="00304D34"/>
    <w:rsid w:val="00305114"/>
    <w:rsid w:val="0030694A"/>
    <w:rsid w:val="00310CB2"/>
    <w:rsid w:val="00311984"/>
    <w:rsid w:val="00312C2A"/>
    <w:rsid w:val="0031572D"/>
    <w:rsid w:val="00317884"/>
    <w:rsid w:val="003204FA"/>
    <w:rsid w:val="00321445"/>
    <w:rsid w:val="00322D54"/>
    <w:rsid w:val="0032371D"/>
    <w:rsid w:val="00323B70"/>
    <w:rsid w:val="00324F60"/>
    <w:rsid w:val="0032516B"/>
    <w:rsid w:val="00325EBB"/>
    <w:rsid w:val="003303B2"/>
    <w:rsid w:val="0033216F"/>
    <w:rsid w:val="003402B9"/>
    <w:rsid w:val="00340785"/>
    <w:rsid w:val="0034134D"/>
    <w:rsid w:val="003416E6"/>
    <w:rsid w:val="00344F59"/>
    <w:rsid w:val="00350D39"/>
    <w:rsid w:val="00350EA7"/>
    <w:rsid w:val="0035654D"/>
    <w:rsid w:val="0036290E"/>
    <w:rsid w:val="00362D36"/>
    <w:rsid w:val="003634C9"/>
    <w:rsid w:val="00363EA1"/>
    <w:rsid w:val="00370336"/>
    <w:rsid w:val="0037073E"/>
    <w:rsid w:val="00370DE0"/>
    <w:rsid w:val="00371372"/>
    <w:rsid w:val="00372880"/>
    <w:rsid w:val="00372959"/>
    <w:rsid w:val="00372E57"/>
    <w:rsid w:val="00373C5B"/>
    <w:rsid w:val="00376529"/>
    <w:rsid w:val="0038345D"/>
    <w:rsid w:val="0038457C"/>
    <w:rsid w:val="003847F0"/>
    <w:rsid w:val="00392522"/>
    <w:rsid w:val="00392F0C"/>
    <w:rsid w:val="00393009"/>
    <w:rsid w:val="00395332"/>
    <w:rsid w:val="003964D0"/>
    <w:rsid w:val="00396692"/>
    <w:rsid w:val="003A033C"/>
    <w:rsid w:val="003A1605"/>
    <w:rsid w:val="003A5D22"/>
    <w:rsid w:val="003A666E"/>
    <w:rsid w:val="003B18C1"/>
    <w:rsid w:val="003B197E"/>
    <w:rsid w:val="003B571C"/>
    <w:rsid w:val="003C1633"/>
    <w:rsid w:val="003C2709"/>
    <w:rsid w:val="003C296F"/>
    <w:rsid w:val="003C6A61"/>
    <w:rsid w:val="003C793D"/>
    <w:rsid w:val="003C7941"/>
    <w:rsid w:val="003D049B"/>
    <w:rsid w:val="003D3AAC"/>
    <w:rsid w:val="003D5267"/>
    <w:rsid w:val="003D625C"/>
    <w:rsid w:val="003E3E31"/>
    <w:rsid w:val="003E4F09"/>
    <w:rsid w:val="003E691E"/>
    <w:rsid w:val="003F00A2"/>
    <w:rsid w:val="003F04BE"/>
    <w:rsid w:val="003F44D2"/>
    <w:rsid w:val="003F46A0"/>
    <w:rsid w:val="003F6F7E"/>
    <w:rsid w:val="00400A55"/>
    <w:rsid w:val="00403B7D"/>
    <w:rsid w:val="00404689"/>
    <w:rsid w:val="00405385"/>
    <w:rsid w:val="00406FCB"/>
    <w:rsid w:val="00410EDE"/>
    <w:rsid w:val="00412C7E"/>
    <w:rsid w:val="00413721"/>
    <w:rsid w:val="004170D6"/>
    <w:rsid w:val="0042049E"/>
    <w:rsid w:val="00421429"/>
    <w:rsid w:val="00421866"/>
    <w:rsid w:val="00424212"/>
    <w:rsid w:val="0043159A"/>
    <w:rsid w:val="00431D51"/>
    <w:rsid w:val="004336BA"/>
    <w:rsid w:val="004350E1"/>
    <w:rsid w:val="0043614E"/>
    <w:rsid w:val="00436CEF"/>
    <w:rsid w:val="004418EC"/>
    <w:rsid w:val="00441A6C"/>
    <w:rsid w:val="004424F3"/>
    <w:rsid w:val="0044411F"/>
    <w:rsid w:val="00444C2A"/>
    <w:rsid w:val="004451A1"/>
    <w:rsid w:val="00446C13"/>
    <w:rsid w:val="004476A2"/>
    <w:rsid w:val="004502E2"/>
    <w:rsid w:val="00451416"/>
    <w:rsid w:val="004538FC"/>
    <w:rsid w:val="004539BA"/>
    <w:rsid w:val="0045470A"/>
    <w:rsid w:val="0045503C"/>
    <w:rsid w:val="00456980"/>
    <w:rsid w:val="00457400"/>
    <w:rsid w:val="0045765D"/>
    <w:rsid w:val="00461486"/>
    <w:rsid w:val="00462F46"/>
    <w:rsid w:val="00463BEF"/>
    <w:rsid w:val="00466216"/>
    <w:rsid w:val="00466AA5"/>
    <w:rsid w:val="00470E76"/>
    <w:rsid w:val="00471778"/>
    <w:rsid w:val="00471C37"/>
    <w:rsid w:val="00475464"/>
    <w:rsid w:val="00485311"/>
    <w:rsid w:val="00486608"/>
    <w:rsid w:val="00487F5C"/>
    <w:rsid w:val="00492E75"/>
    <w:rsid w:val="00494EF8"/>
    <w:rsid w:val="004952A1"/>
    <w:rsid w:val="004953C7"/>
    <w:rsid w:val="0049579A"/>
    <w:rsid w:val="00495CE2"/>
    <w:rsid w:val="00496163"/>
    <w:rsid w:val="004A2375"/>
    <w:rsid w:val="004A2947"/>
    <w:rsid w:val="004A296E"/>
    <w:rsid w:val="004A5826"/>
    <w:rsid w:val="004A5969"/>
    <w:rsid w:val="004A6DD3"/>
    <w:rsid w:val="004A6DDF"/>
    <w:rsid w:val="004A6F71"/>
    <w:rsid w:val="004A734D"/>
    <w:rsid w:val="004B0599"/>
    <w:rsid w:val="004B3710"/>
    <w:rsid w:val="004B6EFB"/>
    <w:rsid w:val="004B71ED"/>
    <w:rsid w:val="004B74F8"/>
    <w:rsid w:val="004C153C"/>
    <w:rsid w:val="004C17FC"/>
    <w:rsid w:val="004C2886"/>
    <w:rsid w:val="004C3123"/>
    <w:rsid w:val="004C4282"/>
    <w:rsid w:val="004C540C"/>
    <w:rsid w:val="004C7C52"/>
    <w:rsid w:val="004D354B"/>
    <w:rsid w:val="004D72EA"/>
    <w:rsid w:val="004E0DD1"/>
    <w:rsid w:val="004E261C"/>
    <w:rsid w:val="004E3D6B"/>
    <w:rsid w:val="004E4397"/>
    <w:rsid w:val="004E50C9"/>
    <w:rsid w:val="004E514B"/>
    <w:rsid w:val="004E58C1"/>
    <w:rsid w:val="004E794E"/>
    <w:rsid w:val="004F2CB8"/>
    <w:rsid w:val="004F2E67"/>
    <w:rsid w:val="004F459A"/>
    <w:rsid w:val="004F4CB1"/>
    <w:rsid w:val="004F56B4"/>
    <w:rsid w:val="004F68CC"/>
    <w:rsid w:val="004F6CEB"/>
    <w:rsid w:val="004F7951"/>
    <w:rsid w:val="005009D5"/>
    <w:rsid w:val="0050248E"/>
    <w:rsid w:val="0050254D"/>
    <w:rsid w:val="00502924"/>
    <w:rsid w:val="005049C8"/>
    <w:rsid w:val="00504E73"/>
    <w:rsid w:val="00512C0B"/>
    <w:rsid w:val="00516283"/>
    <w:rsid w:val="00516F07"/>
    <w:rsid w:val="00517D74"/>
    <w:rsid w:val="005208F7"/>
    <w:rsid w:val="00522E00"/>
    <w:rsid w:val="00522E15"/>
    <w:rsid w:val="005237D5"/>
    <w:rsid w:val="00526894"/>
    <w:rsid w:val="00527EEA"/>
    <w:rsid w:val="00533363"/>
    <w:rsid w:val="0053530F"/>
    <w:rsid w:val="005457C1"/>
    <w:rsid w:val="00546BB1"/>
    <w:rsid w:val="00546CDB"/>
    <w:rsid w:val="005502C5"/>
    <w:rsid w:val="00553FC4"/>
    <w:rsid w:val="00554AE0"/>
    <w:rsid w:val="00554D41"/>
    <w:rsid w:val="005559B3"/>
    <w:rsid w:val="005578C7"/>
    <w:rsid w:val="005644BB"/>
    <w:rsid w:val="00564F1D"/>
    <w:rsid w:val="00570953"/>
    <w:rsid w:val="00572DFB"/>
    <w:rsid w:val="00573688"/>
    <w:rsid w:val="00573A99"/>
    <w:rsid w:val="00580083"/>
    <w:rsid w:val="00581FA5"/>
    <w:rsid w:val="00590C85"/>
    <w:rsid w:val="00590DB5"/>
    <w:rsid w:val="005916EB"/>
    <w:rsid w:val="00593C3F"/>
    <w:rsid w:val="00596142"/>
    <w:rsid w:val="0059734C"/>
    <w:rsid w:val="005A012E"/>
    <w:rsid w:val="005A0183"/>
    <w:rsid w:val="005A01C3"/>
    <w:rsid w:val="005A0D95"/>
    <w:rsid w:val="005A4C9D"/>
    <w:rsid w:val="005B01BB"/>
    <w:rsid w:val="005B1A49"/>
    <w:rsid w:val="005B404C"/>
    <w:rsid w:val="005B40AE"/>
    <w:rsid w:val="005B7E50"/>
    <w:rsid w:val="005C1571"/>
    <w:rsid w:val="005C1760"/>
    <w:rsid w:val="005C3FB8"/>
    <w:rsid w:val="005D15C8"/>
    <w:rsid w:val="005D453D"/>
    <w:rsid w:val="005D5A16"/>
    <w:rsid w:val="005D6F23"/>
    <w:rsid w:val="005E1431"/>
    <w:rsid w:val="005E1A81"/>
    <w:rsid w:val="005E452A"/>
    <w:rsid w:val="005E4BA5"/>
    <w:rsid w:val="005E5159"/>
    <w:rsid w:val="005F06E4"/>
    <w:rsid w:val="005F0F47"/>
    <w:rsid w:val="005F3EFE"/>
    <w:rsid w:val="00604CA2"/>
    <w:rsid w:val="00610ECF"/>
    <w:rsid w:val="006158BE"/>
    <w:rsid w:val="00617E4F"/>
    <w:rsid w:val="006219DA"/>
    <w:rsid w:val="00623DEA"/>
    <w:rsid w:val="00627334"/>
    <w:rsid w:val="00630BCE"/>
    <w:rsid w:val="00630CAE"/>
    <w:rsid w:val="00632FF6"/>
    <w:rsid w:val="006335BE"/>
    <w:rsid w:val="00634BA1"/>
    <w:rsid w:val="00634C19"/>
    <w:rsid w:val="00635C8F"/>
    <w:rsid w:val="00635F77"/>
    <w:rsid w:val="00636F7E"/>
    <w:rsid w:val="006379A4"/>
    <w:rsid w:val="00641F23"/>
    <w:rsid w:val="00644E93"/>
    <w:rsid w:val="006466AD"/>
    <w:rsid w:val="0064670A"/>
    <w:rsid w:val="00647FEF"/>
    <w:rsid w:val="00655A3C"/>
    <w:rsid w:val="00663907"/>
    <w:rsid w:val="00665203"/>
    <w:rsid w:val="00670CAE"/>
    <w:rsid w:val="0067199E"/>
    <w:rsid w:val="00672FF2"/>
    <w:rsid w:val="00673FFD"/>
    <w:rsid w:val="00674059"/>
    <w:rsid w:val="006755F8"/>
    <w:rsid w:val="006769BF"/>
    <w:rsid w:val="00680686"/>
    <w:rsid w:val="00680709"/>
    <w:rsid w:val="006849B4"/>
    <w:rsid w:val="006850A1"/>
    <w:rsid w:val="006867C7"/>
    <w:rsid w:val="00692C96"/>
    <w:rsid w:val="00694221"/>
    <w:rsid w:val="0069452A"/>
    <w:rsid w:val="00696CBA"/>
    <w:rsid w:val="006A1A38"/>
    <w:rsid w:val="006A24D0"/>
    <w:rsid w:val="006A28D1"/>
    <w:rsid w:val="006A39A0"/>
    <w:rsid w:val="006A5BE3"/>
    <w:rsid w:val="006A749A"/>
    <w:rsid w:val="006A78E2"/>
    <w:rsid w:val="006A7B3A"/>
    <w:rsid w:val="006B0155"/>
    <w:rsid w:val="006B127A"/>
    <w:rsid w:val="006B2229"/>
    <w:rsid w:val="006B2FC2"/>
    <w:rsid w:val="006B3051"/>
    <w:rsid w:val="006C1B15"/>
    <w:rsid w:val="006C1FA4"/>
    <w:rsid w:val="006C295D"/>
    <w:rsid w:val="006C65CF"/>
    <w:rsid w:val="006C6CCE"/>
    <w:rsid w:val="006C77A4"/>
    <w:rsid w:val="006D0CD6"/>
    <w:rsid w:val="006D4DB3"/>
    <w:rsid w:val="006D7C3D"/>
    <w:rsid w:val="006E2571"/>
    <w:rsid w:val="006E2F65"/>
    <w:rsid w:val="006E366D"/>
    <w:rsid w:val="006E5D4A"/>
    <w:rsid w:val="006E5D95"/>
    <w:rsid w:val="006E7ACA"/>
    <w:rsid w:val="006F04DF"/>
    <w:rsid w:val="006F0979"/>
    <w:rsid w:val="006F0FB8"/>
    <w:rsid w:val="006F1D35"/>
    <w:rsid w:val="006F1EFD"/>
    <w:rsid w:val="006F1F8D"/>
    <w:rsid w:val="006F2ACC"/>
    <w:rsid w:val="006F7C74"/>
    <w:rsid w:val="00701B00"/>
    <w:rsid w:val="00701BE5"/>
    <w:rsid w:val="00702865"/>
    <w:rsid w:val="007037DC"/>
    <w:rsid w:val="00703F8D"/>
    <w:rsid w:val="00704FA1"/>
    <w:rsid w:val="007069A1"/>
    <w:rsid w:val="00706A05"/>
    <w:rsid w:val="00715713"/>
    <w:rsid w:val="00716EE9"/>
    <w:rsid w:val="00724BF5"/>
    <w:rsid w:val="0072554E"/>
    <w:rsid w:val="00730224"/>
    <w:rsid w:val="00735BA1"/>
    <w:rsid w:val="00736E66"/>
    <w:rsid w:val="00737B51"/>
    <w:rsid w:val="00740EA0"/>
    <w:rsid w:val="00743A1E"/>
    <w:rsid w:val="00745FB3"/>
    <w:rsid w:val="00751AE0"/>
    <w:rsid w:val="00753E26"/>
    <w:rsid w:val="0076177A"/>
    <w:rsid w:val="007619FB"/>
    <w:rsid w:val="00763604"/>
    <w:rsid w:val="007671B8"/>
    <w:rsid w:val="007674FA"/>
    <w:rsid w:val="007708CC"/>
    <w:rsid w:val="00771B3B"/>
    <w:rsid w:val="00773A4C"/>
    <w:rsid w:val="00774553"/>
    <w:rsid w:val="00776AC7"/>
    <w:rsid w:val="007852F3"/>
    <w:rsid w:val="00785F09"/>
    <w:rsid w:val="00786CF2"/>
    <w:rsid w:val="00787F47"/>
    <w:rsid w:val="007909AF"/>
    <w:rsid w:val="00790C5E"/>
    <w:rsid w:val="00792A7F"/>
    <w:rsid w:val="00797042"/>
    <w:rsid w:val="00797FDB"/>
    <w:rsid w:val="007A070D"/>
    <w:rsid w:val="007A45D7"/>
    <w:rsid w:val="007A610D"/>
    <w:rsid w:val="007A7F9D"/>
    <w:rsid w:val="007B1846"/>
    <w:rsid w:val="007B3D5C"/>
    <w:rsid w:val="007B538A"/>
    <w:rsid w:val="007B67D1"/>
    <w:rsid w:val="007B7ADB"/>
    <w:rsid w:val="007C06E1"/>
    <w:rsid w:val="007C47D8"/>
    <w:rsid w:val="007C510E"/>
    <w:rsid w:val="007C62E7"/>
    <w:rsid w:val="007C77DF"/>
    <w:rsid w:val="007D0694"/>
    <w:rsid w:val="007D0AF8"/>
    <w:rsid w:val="007D0FDB"/>
    <w:rsid w:val="007D6E0E"/>
    <w:rsid w:val="007D776A"/>
    <w:rsid w:val="007E1BF0"/>
    <w:rsid w:val="007E3399"/>
    <w:rsid w:val="007E3B2B"/>
    <w:rsid w:val="007E7A2D"/>
    <w:rsid w:val="007F011B"/>
    <w:rsid w:val="007F1D38"/>
    <w:rsid w:val="007F387D"/>
    <w:rsid w:val="007F4F44"/>
    <w:rsid w:val="007F513F"/>
    <w:rsid w:val="007F52DE"/>
    <w:rsid w:val="0080290B"/>
    <w:rsid w:val="008037F9"/>
    <w:rsid w:val="00805768"/>
    <w:rsid w:val="008071AD"/>
    <w:rsid w:val="0080759B"/>
    <w:rsid w:val="008101EC"/>
    <w:rsid w:val="00810AFA"/>
    <w:rsid w:val="0081329E"/>
    <w:rsid w:val="00813E43"/>
    <w:rsid w:val="00814D0E"/>
    <w:rsid w:val="008228DE"/>
    <w:rsid w:val="00822CB9"/>
    <w:rsid w:val="008238A0"/>
    <w:rsid w:val="00827429"/>
    <w:rsid w:val="00831F9E"/>
    <w:rsid w:val="00844D3A"/>
    <w:rsid w:val="008455AE"/>
    <w:rsid w:val="008470F3"/>
    <w:rsid w:val="00850155"/>
    <w:rsid w:val="008528A1"/>
    <w:rsid w:val="00853F27"/>
    <w:rsid w:val="00856E2B"/>
    <w:rsid w:val="00857A1C"/>
    <w:rsid w:val="0086439D"/>
    <w:rsid w:val="008648A7"/>
    <w:rsid w:val="008656E5"/>
    <w:rsid w:val="00867AFD"/>
    <w:rsid w:val="00871324"/>
    <w:rsid w:val="008715A1"/>
    <w:rsid w:val="00875CB3"/>
    <w:rsid w:val="00877936"/>
    <w:rsid w:val="00884741"/>
    <w:rsid w:val="008900EF"/>
    <w:rsid w:val="00891447"/>
    <w:rsid w:val="00891B8C"/>
    <w:rsid w:val="0089208D"/>
    <w:rsid w:val="008930A1"/>
    <w:rsid w:val="00893BD2"/>
    <w:rsid w:val="00895769"/>
    <w:rsid w:val="0089632A"/>
    <w:rsid w:val="008970A8"/>
    <w:rsid w:val="008A4A29"/>
    <w:rsid w:val="008A4D2F"/>
    <w:rsid w:val="008B0352"/>
    <w:rsid w:val="008B1FE1"/>
    <w:rsid w:val="008B2B92"/>
    <w:rsid w:val="008B3191"/>
    <w:rsid w:val="008B3C4F"/>
    <w:rsid w:val="008B3E9D"/>
    <w:rsid w:val="008B5C63"/>
    <w:rsid w:val="008C0A08"/>
    <w:rsid w:val="008C3D59"/>
    <w:rsid w:val="008C3FB2"/>
    <w:rsid w:val="008C5509"/>
    <w:rsid w:val="008C6189"/>
    <w:rsid w:val="008C62CE"/>
    <w:rsid w:val="008C74B8"/>
    <w:rsid w:val="008C7617"/>
    <w:rsid w:val="008D1DB9"/>
    <w:rsid w:val="008D29B3"/>
    <w:rsid w:val="008D4004"/>
    <w:rsid w:val="008D4610"/>
    <w:rsid w:val="008D4D8D"/>
    <w:rsid w:val="008D6693"/>
    <w:rsid w:val="008D7879"/>
    <w:rsid w:val="008E2FB8"/>
    <w:rsid w:val="008E304C"/>
    <w:rsid w:val="008E44DE"/>
    <w:rsid w:val="008E792D"/>
    <w:rsid w:val="008F0B39"/>
    <w:rsid w:val="008F3980"/>
    <w:rsid w:val="0090102E"/>
    <w:rsid w:val="00901C93"/>
    <w:rsid w:val="00903EBB"/>
    <w:rsid w:val="00904053"/>
    <w:rsid w:val="00905A21"/>
    <w:rsid w:val="00911046"/>
    <w:rsid w:val="009116DC"/>
    <w:rsid w:val="00912E7D"/>
    <w:rsid w:val="00914828"/>
    <w:rsid w:val="009158B7"/>
    <w:rsid w:val="00917D65"/>
    <w:rsid w:val="009203A0"/>
    <w:rsid w:val="00926B55"/>
    <w:rsid w:val="009321B0"/>
    <w:rsid w:val="00936C1C"/>
    <w:rsid w:val="009400C2"/>
    <w:rsid w:val="009406D0"/>
    <w:rsid w:val="00941D15"/>
    <w:rsid w:val="00950A0B"/>
    <w:rsid w:val="009609FA"/>
    <w:rsid w:val="00960B81"/>
    <w:rsid w:val="0096183D"/>
    <w:rsid w:val="00963461"/>
    <w:rsid w:val="00965FC0"/>
    <w:rsid w:val="009664AB"/>
    <w:rsid w:val="009701CE"/>
    <w:rsid w:val="009714EB"/>
    <w:rsid w:val="0097281C"/>
    <w:rsid w:val="00972B08"/>
    <w:rsid w:val="0097407C"/>
    <w:rsid w:val="009746DD"/>
    <w:rsid w:val="00977EFB"/>
    <w:rsid w:val="00982311"/>
    <w:rsid w:val="009840DC"/>
    <w:rsid w:val="00987057"/>
    <w:rsid w:val="00990C15"/>
    <w:rsid w:val="009919E5"/>
    <w:rsid w:val="009939D0"/>
    <w:rsid w:val="00997BC2"/>
    <w:rsid w:val="009A40B2"/>
    <w:rsid w:val="009A556B"/>
    <w:rsid w:val="009A6ACF"/>
    <w:rsid w:val="009A78D6"/>
    <w:rsid w:val="009B530C"/>
    <w:rsid w:val="009B7D4D"/>
    <w:rsid w:val="009C1C59"/>
    <w:rsid w:val="009C493F"/>
    <w:rsid w:val="009C4E27"/>
    <w:rsid w:val="009C5D0C"/>
    <w:rsid w:val="009D2C72"/>
    <w:rsid w:val="009D3109"/>
    <w:rsid w:val="009D3B40"/>
    <w:rsid w:val="009D45EE"/>
    <w:rsid w:val="009D5730"/>
    <w:rsid w:val="009E2618"/>
    <w:rsid w:val="009E5CB9"/>
    <w:rsid w:val="009E6408"/>
    <w:rsid w:val="009F1A26"/>
    <w:rsid w:val="009F25DD"/>
    <w:rsid w:val="009F3E8A"/>
    <w:rsid w:val="009F5034"/>
    <w:rsid w:val="009F7514"/>
    <w:rsid w:val="009F7C77"/>
    <w:rsid w:val="00A0082F"/>
    <w:rsid w:val="00A01A12"/>
    <w:rsid w:val="00A023C1"/>
    <w:rsid w:val="00A02DFA"/>
    <w:rsid w:val="00A03128"/>
    <w:rsid w:val="00A048F0"/>
    <w:rsid w:val="00A068AC"/>
    <w:rsid w:val="00A077C6"/>
    <w:rsid w:val="00A10714"/>
    <w:rsid w:val="00A16356"/>
    <w:rsid w:val="00A17307"/>
    <w:rsid w:val="00A1780E"/>
    <w:rsid w:val="00A20F7A"/>
    <w:rsid w:val="00A30198"/>
    <w:rsid w:val="00A323F9"/>
    <w:rsid w:val="00A32A1C"/>
    <w:rsid w:val="00A359CC"/>
    <w:rsid w:val="00A35BBA"/>
    <w:rsid w:val="00A419C1"/>
    <w:rsid w:val="00A42057"/>
    <w:rsid w:val="00A420B3"/>
    <w:rsid w:val="00A42F93"/>
    <w:rsid w:val="00A449F6"/>
    <w:rsid w:val="00A45000"/>
    <w:rsid w:val="00A45369"/>
    <w:rsid w:val="00A463CA"/>
    <w:rsid w:val="00A47F64"/>
    <w:rsid w:val="00A52BC6"/>
    <w:rsid w:val="00A53D1F"/>
    <w:rsid w:val="00A5744D"/>
    <w:rsid w:val="00A57CE2"/>
    <w:rsid w:val="00A62042"/>
    <w:rsid w:val="00A632FA"/>
    <w:rsid w:val="00A6609A"/>
    <w:rsid w:val="00A660EA"/>
    <w:rsid w:val="00A70E36"/>
    <w:rsid w:val="00A71B0B"/>
    <w:rsid w:val="00A75830"/>
    <w:rsid w:val="00A80BF3"/>
    <w:rsid w:val="00A8148B"/>
    <w:rsid w:val="00A817E2"/>
    <w:rsid w:val="00A83639"/>
    <w:rsid w:val="00A83D93"/>
    <w:rsid w:val="00A8562E"/>
    <w:rsid w:val="00A900BA"/>
    <w:rsid w:val="00A90373"/>
    <w:rsid w:val="00A93C7D"/>
    <w:rsid w:val="00A94303"/>
    <w:rsid w:val="00A97AA7"/>
    <w:rsid w:val="00AA0E56"/>
    <w:rsid w:val="00AB1CC4"/>
    <w:rsid w:val="00AB4613"/>
    <w:rsid w:val="00AC4316"/>
    <w:rsid w:val="00AC6345"/>
    <w:rsid w:val="00AD26F8"/>
    <w:rsid w:val="00AD2940"/>
    <w:rsid w:val="00AD5CA5"/>
    <w:rsid w:val="00AE176D"/>
    <w:rsid w:val="00AE2041"/>
    <w:rsid w:val="00AE2AB7"/>
    <w:rsid w:val="00AE3442"/>
    <w:rsid w:val="00AE3A61"/>
    <w:rsid w:val="00AE3D7B"/>
    <w:rsid w:val="00AE3FB2"/>
    <w:rsid w:val="00AE4C2F"/>
    <w:rsid w:val="00AE5915"/>
    <w:rsid w:val="00AF0BDD"/>
    <w:rsid w:val="00AF0D88"/>
    <w:rsid w:val="00AF2033"/>
    <w:rsid w:val="00AF515A"/>
    <w:rsid w:val="00AF6C5A"/>
    <w:rsid w:val="00B03079"/>
    <w:rsid w:val="00B03E38"/>
    <w:rsid w:val="00B12635"/>
    <w:rsid w:val="00B151E1"/>
    <w:rsid w:val="00B160E3"/>
    <w:rsid w:val="00B16B33"/>
    <w:rsid w:val="00B17FB2"/>
    <w:rsid w:val="00B20EB7"/>
    <w:rsid w:val="00B21AA2"/>
    <w:rsid w:val="00B22002"/>
    <w:rsid w:val="00B24620"/>
    <w:rsid w:val="00B25A87"/>
    <w:rsid w:val="00B25CBE"/>
    <w:rsid w:val="00B3247B"/>
    <w:rsid w:val="00B3406C"/>
    <w:rsid w:val="00B34423"/>
    <w:rsid w:val="00B360EA"/>
    <w:rsid w:val="00B41356"/>
    <w:rsid w:val="00B4535A"/>
    <w:rsid w:val="00B46BAB"/>
    <w:rsid w:val="00B50F67"/>
    <w:rsid w:val="00B5370E"/>
    <w:rsid w:val="00B53E45"/>
    <w:rsid w:val="00B55C0E"/>
    <w:rsid w:val="00B573CA"/>
    <w:rsid w:val="00B60465"/>
    <w:rsid w:val="00B643B2"/>
    <w:rsid w:val="00B67E6E"/>
    <w:rsid w:val="00B759C2"/>
    <w:rsid w:val="00B77F56"/>
    <w:rsid w:val="00B81719"/>
    <w:rsid w:val="00B82CE9"/>
    <w:rsid w:val="00B83AE9"/>
    <w:rsid w:val="00B84CD5"/>
    <w:rsid w:val="00B852C7"/>
    <w:rsid w:val="00B86E86"/>
    <w:rsid w:val="00B8743D"/>
    <w:rsid w:val="00B87FB4"/>
    <w:rsid w:val="00B91039"/>
    <w:rsid w:val="00B91EA6"/>
    <w:rsid w:val="00B92000"/>
    <w:rsid w:val="00B933A9"/>
    <w:rsid w:val="00B93B51"/>
    <w:rsid w:val="00B95197"/>
    <w:rsid w:val="00B96860"/>
    <w:rsid w:val="00B96D1F"/>
    <w:rsid w:val="00BA02DE"/>
    <w:rsid w:val="00BA1659"/>
    <w:rsid w:val="00BA1B18"/>
    <w:rsid w:val="00BA1B3B"/>
    <w:rsid w:val="00BA3310"/>
    <w:rsid w:val="00BA4A08"/>
    <w:rsid w:val="00BB01DC"/>
    <w:rsid w:val="00BB0B80"/>
    <w:rsid w:val="00BB16D6"/>
    <w:rsid w:val="00BB1983"/>
    <w:rsid w:val="00BB2F50"/>
    <w:rsid w:val="00BB5342"/>
    <w:rsid w:val="00BC0B7F"/>
    <w:rsid w:val="00BD2483"/>
    <w:rsid w:val="00BD5263"/>
    <w:rsid w:val="00BD5A9A"/>
    <w:rsid w:val="00BD652C"/>
    <w:rsid w:val="00BE3AEC"/>
    <w:rsid w:val="00BE538A"/>
    <w:rsid w:val="00BE5F6F"/>
    <w:rsid w:val="00BE6070"/>
    <w:rsid w:val="00BE7EED"/>
    <w:rsid w:val="00BF08C9"/>
    <w:rsid w:val="00BF39BD"/>
    <w:rsid w:val="00BF489A"/>
    <w:rsid w:val="00BF4D67"/>
    <w:rsid w:val="00BF5CCE"/>
    <w:rsid w:val="00C0078B"/>
    <w:rsid w:val="00C0112E"/>
    <w:rsid w:val="00C02505"/>
    <w:rsid w:val="00C03E3F"/>
    <w:rsid w:val="00C03F2A"/>
    <w:rsid w:val="00C04497"/>
    <w:rsid w:val="00C10D28"/>
    <w:rsid w:val="00C1197C"/>
    <w:rsid w:val="00C121E8"/>
    <w:rsid w:val="00C12B71"/>
    <w:rsid w:val="00C1511D"/>
    <w:rsid w:val="00C152EE"/>
    <w:rsid w:val="00C24D6D"/>
    <w:rsid w:val="00C255F9"/>
    <w:rsid w:val="00C33416"/>
    <w:rsid w:val="00C337C3"/>
    <w:rsid w:val="00C35743"/>
    <w:rsid w:val="00C4014B"/>
    <w:rsid w:val="00C4116E"/>
    <w:rsid w:val="00C44EE2"/>
    <w:rsid w:val="00C46E6D"/>
    <w:rsid w:val="00C47E1E"/>
    <w:rsid w:val="00C50B1E"/>
    <w:rsid w:val="00C526DC"/>
    <w:rsid w:val="00C54817"/>
    <w:rsid w:val="00C57677"/>
    <w:rsid w:val="00C627FD"/>
    <w:rsid w:val="00C641D7"/>
    <w:rsid w:val="00C6563B"/>
    <w:rsid w:val="00C66E1D"/>
    <w:rsid w:val="00C6766A"/>
    <w:rsid w:val="00C702E2"/>
    <w:rsid w:val="00C717A3"/>
    <w:rsid w:val="00C72B2A"/>
    <w:rsid w:val="00C7500B"/>
    <w:rsid w:val="00C77196"/>
    <w:rsid w:val="00C8115D"/>
    <w:rsid w:val="00C81588"/>
    <w:rsid w:val="00C832DC"/>
    <w:rsid w:val="00C84B04"/>
    <w:rsid w:val="00C8564F"/>
    <w:rsid w:val="00C85AAB"/>
    <w:rsid w:val="00C91247"/>
    <w:rsid w:val="00C91A6B"/>
    <w:rsid w:val="00C935C5"/>
    <w:rsid w:val="00C95FBA"/>
    <w:rsid w:val="00C9652D"/>
    <w:rsid w:val="00C96EB1"/>
    <w:rsid w:val="00C9716F"/>
    <w:rsid w:val="00CA06FF"/>
    <w:rsid w:val="00CA162B"/>
    <w:rsid w:val="00CA23CF"/>
    <w:rsid w:val="00CA3A38"/>
    <w:rsid w:val="00CA3ACA"/>
    <w:rsid w:val="00CA4879"/>
    <w:rsid w:val="00CA5F50"/>
    <w:rsid w:val="00CA63D6"/>
    <w:rsid w:val="00CB0BBF"/>
    <w:rsid w:val="00CB4A76"/>
    <w:rsid w:val="00CC078C"/>
    <w:rsid w:val="00CC14C5"/>
    <w:rsid w:val="00CC2049"/>
    <w:rsid w:val="00CC2E5C"/>
    <w:rsid w:val="00CD005D"/>
    <w:rsid w:val="00CD4E1F"/>
    <w:rsid w:val="00CD6EE9"/>
    <w:rsid w:val="00CD7704"/>
    <w:rsid w:val="00CE14AA"/>
    <w:rsid w:val="00CE360F"/>
    <w:rsid w:val="00CE39CB"/>
    <w:rsid w:val="00CE4544"/>
    <w:rsid w:val="00CF284E"/>
    <w:rsid w:val="00CF7BD6"/>
    <w:rsid w:val="00D04AD7"/>
    <w:rsid w:val="00D06EE4"/>
    <w:rsid w:val="00D102EC"/>
    <w:rsid w:val="00D112EB"/>
    <w:rsid w:val="00D15DD7"/>
    <w:rsid w:val="00D16C2B"/>
    <w:rsid w:val="00D207AB"/>
    <w:rsid w:val="00D21103"/>
    <w:rsid w:val="00D21487"/>
    <w:rsid w:val="00D256CD"/>
    <w:rsid w:val="00D26622"/>
    <w:rsid w:val="00D27BB8"/>
    <w:rsid w:val="00D31AE4"/>
    <w:rsid w:val="00D33110"/>
    <w:rsid w:val="00D33FEE"/>
    <w:rsid w:val="00D34170"/>
    <w:rsid w:val="00D350A0"/>
    <w:rsid w:val="00D35B0E"/>
    <w:rsid w:val="00D41B05"/>
    <w:rsid w:val="00D43454"/>
    <w:rsid w:val="00D47930"/>
    <w:rsid w:val="00D569A5"/>
    <w:rsid w:val="00D57B7F"/>
    <w:rsid w:val="00D57FBE"/>
    <w:rsid w:val="00D61B81"/>
    <w:rsid w:val="00D6241A"/>
    <w:rsid w:val="00D64F65"/>
    <w:rsid w:val="00D65890"/>
    <w:rsid w:val="00D659AA"/>
    <w:rsid w:val="00D669F9"/>
    <w:rsid w:val="00D7004A"/>
    <w:rsid w:val="00D74335"/>
    <w:rsid w:val="00D76F2A"/>
    <w:rsid w:val="00D80363"/>
    <w:rsid w:val="00D861C2"/>
    <w:rsid w:val="00D86386"/>
    <w:rsid w:val="00D8639B"/>
    <w:rsid w:val="00D91DF7"/>
    <w:rsid w:val="00D9310B"/>
    <w:rsid w:val="00D93368"/>
    <w:rsid w:val="00D959B6"/>
    <w:rsid w:val="00DA071A"/>
    <w:rsid w:val="00DA213E"/>
    <w:rsid w:val="00DB2EA0"/>
    <w:rsid w:val="00DB3826"/>
    <w:rsid w:val="00DB4F06"/>
    <w:rsid w:val="00DC0A10"/>
    <w:rsid w:val="00DC0EDF"/>
    <w:rsid w:val="00DC1B76"/>
    <w:rsid w:val="00DC49C1"/>
    <w:rsid w:val="00DC5000"/>
    <w:rsid w:val="00DC553C"/>
    <w:rsid w:val="00DC6625"/>
    <w:rsid w:val="00DC6B1B"/>
    <w:rsid w:val="00DC7280"/>
    <w:rsid w:val="00DD1520"/>
    <w:rsid w:val="00DD2998"/>
    <w:rsid w:val="00DD3705"/>
    <w:rsid w:val="00DD4168"/>
    <w:rsid w:val="00DD420F"/>
    <w:rsid w:val="00DD5B86"/>
    <w:rsid w:val="00DD7883"/>
    <w:rsid w:val="00DE07DB"/>
    <w:rsid w:val="00DE1FFE"/>
    <w:rsid w:val="00DE265B"/>
    <w:rsid w:val="00DE571F"/>
    <w:rsid w:val="00DE5A84"/>
    <w:rsid w:val="00DE62F6"/>
    <w:rsid w:val="00DE6D1F"/>
    <w:rsid w:val="00DE77F0"/>
    <w:rsid w:val="00DE7EF3"/>
    <w:rsid w:val="00DF397B"/>
    <w:rsid w:val="00DF41A6"/>
    <w:rsid w:val="00DF4D86"/>
    <w:rsid w:val="00DF50F1"/>
    <w:rsid w:val="00DF540F"/>
    <w:rsid w:val="00DF5AE3"/>
    <w:rsid w:val="00DF754B"/>
    <w:rsid w:val="00E02BF6"/>
    <w:rsid w:val="00E063EF"/>
    <w:rsid w:val="00E101C0"/>
    <w:rsid w:val="00E12C6E"/>
    <w:rsid w:val="00E15E88"/>
    <w:rsid w:val="00E1631A"/>
    <w:rsid w:val="00E229DB"/>
    <w:rsid w:val="00E24506"/>
    <w:rsid w:val="00E249C5"/>
    <w:rsid w:val="00E24D9A"/>
    <w:rsid w:val="00E254D0"/>
    <w:rsid w:val="00E26E04"/>
    <w:rsid w:val="00E2702F"/>
    <w:rsid w:val="00E32C9D"/>
    <w:rsid w:val="00E3633D"/>
    <w:rsid w:val="00E476ED"/>
    <w:rsid w:val="00E4794C"/>
    <w:rsid w:val="00E47D8A"/>
    <w:rsid w:val="00E52287"/>
    <w:rsid w:val="00E5275E"/>
    <w:rsid w:val="00E53147"/>
    <w:rsid w:val="00E54B68"/>
    <w:rsid w:val="00E553BA"/>
    <w:rsid w:val="00E57482"/>
    <w:rsid w:val="00E61D11"/>
    <w:rsid w:val="00E63279"/>
    <w:rsid w:val="00E6776E"/>
    <w:rsid w:val="00E67AD2"/>
    <w:rsid w:val="00E7046E"/>
    <w:rsid w:val="00E73F64"/>
    <w:rsid w:val="00E74E4E"/>
    <w:rsid w:val="00E7746A"/>
    <w:rsid w:val="00E84559"/>
    <w:rsid w:val="00E86DE5"/>
    <w:rsid w:val="00E91A9E"/>
    <w:rsid w:val="00E940D7"/>
    <w:rsid w:val="00E9528D"/>
    <w:rsid w:val="00E972F1"/>
    <w:rsid w:val="00E97D03"/>
    <w:rsid w:val="00EA0FB4"/>
    <w:rsid w:val="00EA1347"/>
    <w:rsid w:val="00EA4066"/>
    <w:rsid w:val="00EA6020"/>
    <w:rsid w:val="00EA72E5"/>
    <w:rsid w:val="00EB073E"/>
    <w:rsid w:val="00EB1139"/>
    <w:rsid w:val="00EB3433"/>
    <w:rsid w:val="00EB38E9"/>
    <w:rsid w:val="00EB5211"/>
    <w:rsid w:val="00EB5972"/>
    <w:rsid w:val="00EB6445"/>
    <w:rsid w:val="00EB654B"/>
    <w:rsid w:val="00EB7570"/>
    <w:rsid w:val="00EB7E3E"/>
    <w:rsid w:val="00EC1EA1"/>
    <w:rsid w:val="00EC28B5"/>
    <w:rsid w:val="00EC3F45"/>
    <w:rsid w:val="00EC4076"/>
    <w:rsid w:val="00EC4641"/>
    <w:rsid w:val="00EC7957"/>
    <w:rsid w:val="00ED0709"/>
    <w:rsid w:val="00ED0B55"/>
    <w:rsid w:val="00ED1CC3"/>
    <w:rsid w:val="00ED426F"/>
    <w:rsid w:val="00ED6006"/>
    <w:rsid w:val="00ED7158"/>
    <w:rsid w:val="00EE09C5"/>
    <w:rsid w:val="00EE20D8"/>
    <w:rsid w:val="00EE24B9"/>
    <w:rsid w:val="00EE4CF5"/>
    <w:rsid w:val="00EE4DE6"/>
    <w:rsid w:val="00EE6D0A"/>
    <w:rsid w:val="00EF081C"/>
    <w:rsid w:val="00EF2CD3"/>
    <w:rsid w:val="00EF5D8C"/>
    <w:rsid w:val="00EF7713"/>
    <w:rsid w:val="00F043DE"/>
    <w:rsid w:val="00F04796"/>
    <w:rsid w:val="00F06FC8"/>
    <w:rsid w:val="00F077B8"/>
    <w:rsid w:val="00F07926"/>
    <w:rsid w:val="00F11F99"/>
    <w:rsid w:val="00F12113"/>
    <w:rsid w:val="00F12660"/>
    <w:rsid w:val="00F13FA2"/>
    <w:rsid w:val="00F1665B"/>
    <w:rsid w:val="00F1673D"/>
    <w:rsid w:val="00F22886"/>
    <w:rsid w:val="00F241CD"/>
    <w:rsid w:val="00F2632B"/>
    <w:rsid w:val="00F2699F"/>
    <w:rsid w:val="00F27757"/>
    <w:rsid w:val="00F33700"/>
    <w:rsid w:val="00F351A0"/>
    <w:rsid w:val="00F35668"/>
    <w:rsid w:val="00F35ABD"/>
    <w:rsid w:val="00F3642D"/>
    <w:rsid w:val="00F41F9D"/>
    <w:rsid w:val="00F4420D"/>
    <w:rsid w:val="00F464EA"/>
    <w:rsid w:val="00F47033"/>
    <w:rsid w:val="00F5190F"/>
    <w:rsid w:val="00F521CC"/>
    <w:rsid w:val="00F54B49"/>
    <w:rsid w:val="00F552D1"/>
    <w:rsid w:val="00F558ED"/>
    <w:rsid w:val="00F55DEB"/>
    <w:rsid w:val="00F56139"/>
    <w:rsid w:val="00F6114F"/>
    <w:rsid w:val="00F63E34"/>
    <w:rsid w:val="00F67707"/>
    <w:rsid w:val="00F73546"/>
    <w:rsid w:val="00F80D7A"/>
    <w:rsid w:val="00F820B4"/>
    <w:rsid w:val="00F849B8"/>
    <w:rsid w:val="00F84C7A"/>
    <w:rsid w:val="00F86056"/>
    <w:rsid w:val="00F95084"/>
    <w:rsid w:val="00F979E6"/>
    <w:rsid w:val="00F97FDD"/>
    <w:rsid w:val="00FA3B49"/>
    <w:rsid w:val="00FA45FC"/>
    <w:rsid w:val="00FA7268"/>
    <w:rsid w:val="00FB0AC0"/>
    <w:rsid w:val="00FB2256"/>
    <w:rsid w:val="00FB2C8C"/>
    <w:rsid w:val="00FB4D15"/>
    <w:rsid w:val="00FC122F"/>
    <w:rsid w:val="00FC1DA8"/>
    <w:rsid w:val="00FC1E9B"/>
    <w:rsid w:val="00FC1F00"/>
    <w:rsid w:val="00FC3A4C"/>
    <w:rsid w:val="00FC3FAC"/>
    <w:rsid w:val="00FC44D1"/>
    <w:rsid w:val="00FC553D"/>
    <w:rsid w:val="00FD0B31"/>
    <w:rsid w:val="00FD4014"/>
    <w:rsid w:val="00FD6A37"/>
    <w:rsid w:val="00FE210D"/>
    <w:rsid w:val="00FE306A"/>
    <w:rsid w:val="00FE49E2"/>
    <w:rsid w:val="00FE581B"/>
    <w:rsid w:val="00FE7FE2"/>
    <w:rsid w:val="00FF251F"/>
    <w:rsid w:val="00FF2B2C"/>
    <w:rsid w:val="00FF5EEF"/>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5B1E55"/>
  <w14:defaultImageDpi w14:val="300"/>
  <w15:docId w15:val="{346E479E-610C-4A9B-AD18-41F1AF21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AE2AB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413721"/>
    <w:pPr>
      <w:keepNext/>
      <w:keepLines/>
      <w:spacing w:before="240" w:after="240"/>
      <w:outlineLvl w:val="1"/>
    </w:pPr>
    <w:rPr>
      <w:rFonts w:ascii="Arial" w:eastAsiaTheme="majorEastAsia" w:hAnsi="Arial" w:cstheme="majorBidi"/>
      <w:color w:val="004270"/>
      <w:sz w:val="36"/>
    </w:rPr>
  </w:style>
  <w:style w:type="paragraph" w:styleId="Heading3">
    <w:name w:val="heading 3"/>
    <w:basedOn w:val="Normal"/>
    <w:next w:val="Normal"/>
    <w:link w:val="Heading3Char"/>
    <w:uiPriority w:val="9"/>
    <w:unhideWhenUsed/>
    <w:qFormat/>
    <w:rsid w:val="006E2571"/>
    <w:pPr>
      <w:keepNext/>
      <w:keepLines/>
      <w:spacing w:before="240" w:after="240"/>
      <w:outlineLvl w:val="2"/>
    </w:pPr>
    <w:rPr>
      <w:rFonts w:ascii="Arial" w:eastAsiaTheme="majorEastAsia" w:hAnsi="Arial" w:cstheme="majorBidi"/>
      <w:color w:val="004270"/>
      <w:sz w:val="28"/>
    </w:rPr>
  </w:style>
  <w:style w:type="paragraph" w:styleId="Heading4">
    <w:name w:val="heading 4"/>
    <w:aliases w:val="Recommendations"/>
    <w:basedOn w:val="Normal"/>
    <w:next w:val="Normal"/>
    <w:link w:val="Heading4Char"/>
    <w:uiPriority w:val="9"/>
    <w:unhideWhenUsed/>
    <w:qFormat/>
    <w:rsid w:val="006E2571"/>
    <w:pPr>
      <w:keepNext/>
      <w:keepLines/>
      <w:spacing w:before="40"/>
      <w:outlineLvl w:val="3"/>
    </w:pPr>
    <w:rPr>
      <w:rFonts w:ascii="Arial" w:eastAsiaTheme="majorEastAsia" w:hAnsi="Arial" w:cs="Arial"/>
      <w:i/>
      <w:iCs/>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nhideWhenUsed/>
    <w:rsid w:val="00C33416"/>
    <w:rPr>
      <w:rFonts w:ascii="Arial" w:hAnsi="Arial"/>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Footnote number,Footnotes refss"/>
    <w:basedOn w:val="DefaultParagraphFont"/>
    <w:unhideWhenUsed/>
    <w:rsid w:val="0034134D"/>
    <w:rPr>
      <w:vertAlign w:val="superscript"/>
    </w:rPr>
  </w:style>
  <w:style w:type="character" w:customStyle="1" w:styleId="Heading1Char">
    <w:name w:val="Heading 1 Char"/>
    <w:basedOn w:val="DefaultParagraphFont"/>
    <w:link w:val="Heading1"/>
    <w:uiPriority w:val="9"/>
    <w:rsid w:val="00AE2AB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2"/>
    <w:next w:val="Normal"/>
    <w:uiPriority w:val="39"/>
    <w:unhideWhenUsed/>
    <w:qFormat/>
    <w:rsid w:val="00680686"/>
  </w:style>
  <w:style w:type="paragraph" w:styleId="TOC1">
    <w:name w:val="toc 1"/>
    <w:basedOn w:val="Normal"/>
    <w:next w:val="Normal"/>
    <w:autoRedefine/>
    <w:uiPriority w:val="39"/>
    <w:unhideWhenUsed/>
    <w:rsid w:val="00B759C2"/>
    <w:pPr>
      <w:tabs>
        <w:tab w:val="right" w:leader="dot" w:pos="8488"/>
      </w:tabs>
      <w:spacing w:before="240" w:after="120"/>
    </w:pPr>
    <w:rPr>
      <w:rFonts w:ascii="Arial" w:hAnsi="Arial" w:cs="Arial"/>
      <w:b/>
      <w:bCs/>
      <w:noProof/>
    </w:r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413721"/>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056960"/>
    <w:pPr>
      <w:spacing w:before="120"/>
      <w:ind w:left="240"/>
    </w:pPr>
    <w:rPr>
      <w:i/>
      <w:iCs/>
      <w:sz w:val="20"/>
      <w:szCs w:val="20"/>
    </w:r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6E2571"/>
    <w:rPr>
      <w:rFonts w:ascii="Arial" w:eastAsiaTheme="majorEastAsia" w:hAnsi="Arial" w:cstheme="majorBidi"/>
      <w:color w:val="004270"/>
      <w:sz w:val="28"/>
      <w:lang w:val="en-AU"/>
    </w:rPr>
  </w:style>
  <w:style w:type="paragraph" w:styleId="TOC3">
    <w:name w:val="toc 3"/>
    <w:basedOn w:val="Normal"/>
    <w:next w:val="Normal"/>
    <w:autoRedefine/>
    <w:uiPriority w:val="39"/>
    <w:unhideWhenUsed/>
    <w:rsid w:val="00041E58"/>
    <w:pPr>
      <w:ind w:left="480"/>
    </w:pPr>
    <w:rPr>
      <w:sz w:val="20"/>
      <w:szCs w:val="20"/>
    </w:r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413721"/>
    <w:pPr>
      <w:spacing w:before="240" w:after="240" w:line="276" w:lineRule="auto"/>
      <w:ind w:left="907" w:right="843"/>
    </w:pPr>
    <w:rPr>
      <w:rFonts w:ascii="Arial" w:hAnsi="Arial" w:cs="Arial"/>
      <w:sz w:val="22"/>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413721"/>
    <w:rPr>
      <w:rFonts w:ascii="Arial" w:hAnsi="Arial" w:cs="Arial"/>
      <w:sz w:val="22"/>
      <w:szCs w:val="20"/>
      <w:lang w:val="en-AU"/>
    </w:rPr>
  </w:style>
  <w:style w:type="paragraph" w:customStyle="1" w:styleId="Bulletedlist">
    <w:name w:val="Bulleted list"/>
    <w:basedOn w:val="ListParagraph"/>
    <w:qFormat/>
    <w:rsid w:val="00B46BAB"/>
    <w:pPr>
      <w:numPr>
        <w:numId w:val="2"/>
      </w:numPr>
      <w:spacing w:after="240"/>
    </w:pPr>
    <w:rPr>
      <w:rFonts w:ascii="Arial" w:hAnsi="Arial" w:cs="Arial"/>
    </w:rPr>
  </w:style>
  <w:style w:type="character" w:styleId="FollowedHyperlink">
    <w:name w:val="FollowedHyperlink"/>
    <w:basedOn w:val="DefaultParagraphFont"/>
    <w:uiPriority w:val="99"/>
    <w:semiHidden/>
    <w:unhideWhenUsed/>
    <w:rsid w:val="00135057"/>
    <w:rPr>
      <w:color w:val="800080" w:themeColor="followedHyperlink"/>
      <w:u w:val="single"/>
    </w:rPr>
  </w:style>
  <w:style w:type="paragraph" w:styleId="Revision">
    <w:name w:val="Revision"/>
    <w:hidden/>
    <w:uiPriority w:val="99"/>
    <w:semiHidden/>
    <w:rsid w:val="0038345D"/>
    <w:rPr>
      <w:lang w:val="en-AU"/>
    </w:rPr>
  </w:style>
  <w:style w:type="character" w:customStyle="1" w:styleId="listnumber">
    <w:name w:val="listnumber"/>
    <w:basedOn w:val="DefaultParagraphFont"/>
    <w:rsid w:val="007852F3"/>
  </w:style>
  <w:style w:type="character" w:customStyle="1" w:styleId="normaltextrun">
    <w:name w:val="normaltextrun"/>
    <w:basedOn w:val="DefaultParagraphFont"/>
    <w:rsid w:val="0067199E"/>
  </w:style>
  <w:style w:type="paragraph" w:customStyle="1" w:styleId="Default">
    <w:name w:val="Default"/>
    <w:rsid w:val="00BB5342"/>
    <w:pPr>
      <w:autoSpaceDE w:val="0"/>
      <w:autoSpaceDN w:val="0"/>
      <w:adjustRightInd w:val="0"/>
    </w:pPr>
    <w:rPr>
      <w:rFonts w:ascii="Arial" w:hAnsi="Arial" w:cs="Arial"/>
      <w:color w:val="000000"/>
      <w:lang w:val="en-AU"/>
    </w:rPr>
  </w:style>
  <w:style w:type="paragraph" w:customStyle="1" w:styleId="Recommendation">
    <w:name w:val="Recommendation"/>
    <w:basedOn w:val="Numberedparagraph"/>
    <w:qFormat/>
    <w:rsid w:val="006A24D0"/>
    <w:pPr>
      <w:numPr>
        <w:numId w:val="0"/>
      </w:numPr>
      <w:pBdr>
        <w:top w:val="single" w:sz="4" w:space="1" w:color="auto"/>
        <w:left w:val="single" w:sz="4" w:space="4" w:color="auto"/>
        <w:bottom w:val="single" w:sz="4" w:space="1" w:color="auto"/>
        <w:right w:val="single" w:sz="4" w:space="4" w:color="auto"/>
      </w:pBdr>
    </w:pPr>
    <w:rPr>
      <w:b/>
    </w:rPr>
  </w:style>
  <w:style w:type="character" w:customStyle="1" w:styleId="Heading4Char">
    <w:name w:val="Heading 4 Char"/>
    <w:aliases w:val="Recommendations Char"/>
    <w:basedOn w:val="DefaultParagraphFont"/>
    <w:link w:val="Heading4"/>
    <w:uiPriority w:val="9"/>
    <w:rsid w:val="006E2571"/>
    <w:rPr>
      <w:rFonts w:ascii="Arial" w:eastAsiaTheme="majorEastAsia" w:hAnsi="Arial" w:cs="Arial"/>
      <w:i/>
      <w:iCs/>
      <w:color w:val="004270"/>
      <w:lang w:val="en-AU"/>
    </w:rPr>
  </w:style>
  <w:style w:type="paragraph" w:styleId="TOC4">
    <w:name w:val="toc 4"/>
    <w:basedOn w:val="Normal"/>
    <w:next w:val="Normal"/>
    <w:autoRedefine/>
    <w:uiPriority w:val="39"/>
    <w:unhideWhenUsed/>
    <w:rsid w:val="006A24D0"/>
    <w:pPr>
      <w:ind w:left="720"/>
    </w:pPr>
    <w:rPr>
      <w:sz w:val="20"/>
      <w:szCs w:val="20"/>
    </w:rPr>
  </w:style>
  <w:style w:type="paragraph" w:styleId="TOC5">
    <w:name w:val="toc 5"/>
    <w:basedOn w:val="Normal"/>
    <w:next w:val="Normal"/>
    <w:autoRedefine/>
    <w:uiPriority w:val="39"/>
    <w:unhideWhenUsed/>
    <w:rsid w:val="006A24D0"/>
    <w:pPr>
      <w:ind w:left="960"/>
    </w:pPr>
    <w:rPr>
      <w:sz w:val="20"/>
      <w:szCs w:val="20"/>
    </w:rPr>
  </w:style>
  <w:style w:type="paragraph" w:styleId="TOC6">
    <w:name w:val="toc 6"/>
    <w:basedOn w:val="Normal"/>
    <w:next w:val="Normal"/>
    <w:autoRedefine/>
    <w:uiPriority w:val="39"/>
    <w:unhideWhenUsed/>
    <w:rsid w:val="006A24D0"/>
    <w:pPr>
      <w:ind w:left="1200"/>
    </w:pPr>
    <w:rPr>
      <w:sz w:val="20"/>
      <w:szCs w:val="20"/>
    </w:rPr>
  </w:style>
  <w:style w:type="paragraph" w:styleId="TOC7">
    <w:name w:val="toc 7"/>
    <w:basedOn w:val="Normal"/>
    <w:next w:val="Normal"/>
    <w:autoRedefine/>
    <w:uiPriority w:val="39"/>
    <w:unhideWhenUsed/>
    <w:rsid w:val="006A24D0"/>
    <w:pPr>
      <w:ind w:left="1440"/>
    </w:pPr>
    <w:rPr>
      <w:sz w:val="20"/>
      <w:szCs w:val="20"/>
    </w:rPr>
  </w:style>
  <w:style w:type="paragraph" w:styleId="TOC8">
    <w:name w:val="toc 8"/>
    <w:basedOn w:val="Normal"/>
    <w:next w:val="Normal"/>
    <w:autoRedefine/>
    <w:uiPriority w:val="39"/>
    <w:unhideWhenUsed/>
    <w:rsid w:val="006A24D0"/>
    <w:pPr>
      <w:ind w:left="1680"/>
    </w:pPr>
    <w:rPr>
      <w:sz w:val="20"/>
      <w:szCs w:val="20"/>
    </w:rPr>
  </w:style>
  <w:style w:type="paragraph" w:styleId="TOC9">
    <w:name w:val="toc 9"/>
    <w:basedOn w:val="Normal"/>
    <w:next w:val="Normal"/>
    <w:autoRedefine/>
    <w:uiPriority w:val="39"/>
    <w:unhideWhenUsed/>
    <w:rsid w:val="006A24D0"/>
    <w:pPr>
      <w:ind w:left="1920"/>
    </w:pPr>
    <w:rPr>
      <w:sz w:val="20"/>
      <w:szCs w:val="20"/>
    </w:rPr>
  </w:style>
  <w:style w:type="paragraph" w:styleId="Title">
    <w:name w:val="Title"/>
    <w:basedOn w:val="Normal"/>
    <w:next w:val="Normal"/>
    <w:link w:val="TitleChar"/>
    <w:uiPriority w:val="10"/>
    <w:qFormat/>
    <w:rsid w:val="00FB2C8C"/>
    <w:pPr>
      <w:pBdr>
        <w:bottom w:val="single" w:sz="8" w:space="1" w:color="004270"/>
      </w:pBdr>
      <w:contextualSpacing/>
    </w:pPr>
    <w:rPr>
      <w:rFonts w:ascii="Arial" w:eastAsiaTheme="majorEastAsia" w:hAnsi="Arial" w:cstheme="majorBidi"/>
      <w:color w:val="004270"/>
      <w:spacing w:val="-10"/>
      <w:kern w:val="28"/>
      <w:sz w:val="56"/>
      <w:szCs w:val="56"/>
    </w:rPr>
  </w:style>
  <w:style w:type="character" w:customStyle="1" w:styleId="TitleChar">
    <w:name w:val="Title Char"/>
    <w:basedOn w:val="DefaultParagraphFont"/>
    <w:link w:val="Title"/>
    <w:uiPriority w:val="10"/>
    <w:rsid w:val="00FB2C8C"/>
    <w:rPr>
      <w:rFonts w:ascii="Arial" w:eastAsiaTheme="majorEastAsia" w:hAnsi="Arial" w:cstheme="majorBidi"/>
      <w:color w:val="004270"/>
      <w:spacing w:val="-10"/>
      <w:kern w:val="28"/>
      <w:sz w:val="56"/>
      <w:szCs w:val="56"/>
      <w:lang w:val="en-AU"/>
    </w:rPr>
  </w:style>
  <w:style w:type="character" w:customStyle="1" w:styleId="jade-ts-9">
    <w:name w:val="jade-ts-9"/>
    <w:basedOn w:val="DefaultParagraphFont"/>
    <w:rsid w:val="008D7879"/>
    <w:rPr>
      <w:rFonts w:cs="Times New Roman"/>
    </w:rPr>
  </w:style>
  <w:style w:type="character" w:customStyle="1" w:styleId="Style1">
    <w:name w:val="Style1"/>
    <w:basedOn w:val="DefaultParagraphFont"/>
    <w:uiPriority w:val="1"/>
    <w:rsid w:val="00831F9E"/>
    <w:rPr>
      <w:rFonts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93060">
      <w:bodyDiv w:val="1"/>
      <w:marLeft w:val="0"/>
      <w:marRight w:val="0"/>
      <w:marTop w:val="0"/>
      <w:marBottom w:val="0"/>
      <w:divBdr>
        <w:top w:val="none" w:sz="0" w:space="0" w:color="auto"/>
        <w:left w:val="none" w:sz="0" w:space="0" w:color="auto"/>
        <w:bottom w:val="none" w:sz="0" w:space="0" w:color="auto"/>
        <w:right w:val="none" w:sz="0" w:space="0" w:color="auto"/>
      </w:divBdr>
      <w:divsChild>
        <w:div w:id="789397279">
          <w:blockQuote w:val="1"/>
          <w:marLeft w:val="600"/>
          <w:marRight w:val="0"/>
          <w:marTop w:val="120"/>
          <w:marBottom w:val="120"/>
          <w:divBdr>
            <w:top w:val="none" w:sz="0" w:space="0" w:color="auto"/>
            <w:left w:val="none" w:sz="0" w:space="0" w:color="auto"/>
            <w:bottom w:val="none" w:sz="0" w:space="0" w:color="auto"/>
            <w:right w:val="none" w:sz="0" w:space="0" w:color="auto"/>
          </w:divBdr>
        </w:div>
        <w:div w:id="792944984">
          <w:blockQuote w:val="1"/>
          <w:marLeft w:val="600"/>
          <w:marRight w:val="0"/>
          <w:marTop w:val="120"/>
          <w:marBottom w:val="120"/>
          <w:divBdr>
            <w:top w:val="none" w:sz="0" w:space="0" w:color="auto"/>
            <w:left w:val="none" w:sz="0" w:space="0" w:color="auto"/>
            <w:bottom w:val="none" w:sz="0" w:space="0" w:color="auto"/>
            <w:right w:val="none" w:sz="0" w:space="0" w:color="auto"/>
          </w:divBdr>
        </w:div>
        <w:div w:id="22367010">
          <w:blockQuote w:val="1"/>
          <w:marLeft w:val="600"/>
          <w:marRight w:val="0"/>
          <w:marTop w:val="120"/>
          <w:marBottom w:val="120"/>
          <w:divBdr>
            <w:top w:val="none" w:sz="0" w:space="0" w:color="auto"/>
            <w:left w:val="none" w:sz="0" w:space="0" w:color="auto"/>
            <w:bottom w:val="none" w:sz="0" w:space="0" w:color="auto"/>
            <w:right w:val="none" w:sz="0" w:space="0" w:color="auto"/>
          </w:divBdr>
        </w:div>
        <w:div w:id="5486863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1253143">
              <w:blockQuote w:val="1"/>
              <w:marLeft w:val="600"/>
              <w:marRight w:val="0"/>
              <w:marTop w:val="120"/>
              <w:marBottom w:val="120"/>
              <w:divBdr>
                <w:top w:val="none" w:sz="0" w:space="0" w:color="auto"/>
                <w:left w:val="none" w:sz="0" w:space="0" w:color="auto"/>
                <w:bottom w:val="none" w:sz="0" w:space="0" w:color="auto"/>
                <w:right w:val="none" w:sz="0" w:space="0" w:color="auto"/>
              </w:divBdr>
            </w:div>
            <w:div w:id="14085719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934751406">
      <w:bodyDiv w:val="1"/>
      <w:marLeft w:val="0"/>
      <w:marRight w:val="0"/>
      <w:marTop w:val="0"/>
      <w:marBottom w:val="0"/>
      <w:divBdr>
        <w:top w:val="none" w:sz="0" w:space="0" w:color="auto"/>
        <w:left w:val="none" w:sz="0" w:space="0" w:color="auto"/>
        <w:bottom w:val="none" w:sz="0" w:space="0" w:color="auto"/>
        <w:right w:val="none" w:sz="0" w:space="0" w:color="auto"/>
      </w:divBdr>
    </w:div>
    <w:div w:id="1316255211">
      <w:bodyDiv w:val="1"/>
      <w:marLeft w:val="0"/>
      <w:marRight w:val="0"/>
      <w:marTop w:val="0"/>
      <w:marBottom w:val="0"/>
      <w:divBdr>
        <w:top w:val="none" w:sz="0" w:space="0" w:color="auto"/>
        <w:left w:val="none" w:sz="0" w:space="0" w:color="auto"/>
        <w:bottom w:val="none" w:sz="0" w:space="0" w:color="auto"/>
        <w:right w:val="none" w:sz="0" w:space="0" w:color="auto"/>
      </w:divBdr>
    </w:div>
    <w:div w:id="1709066482">
      <w:bodyDiv w:val="1"/>
      <w:marLeft w:val="0"/>
      <w:marRight w:val="0"/>
      <w:marTop w:val="0"/>
      <w:marBottom w:val="0"/>
      <w:divBdr>
        <w:top w:val="none" w:sz="0" w:space="0" w:color="auto"/>
        <w:left w:val="none" w:sz="0" w:space="0" w:color="auto"/>
        <w:bottom w:val="none" w:sz="0" w:space="0" w:color="auto"/>
        <w:right w:val="none" w:sz="0" w:space="0" w:color="auto"/>
      </w:divBdr>
    </w:div>
    <w:div w:id="1883786118">
      <w:bodyDiv w:val="1"/>
      <w:marLeft w:val="0"/>
      <w:marRight w:val="0"/>
      <w:marTop w:val="0"/>
      <w:marBottom w:val="0"/>
      <w:divBdr>
        <w:top w:val="none" w:sz="0" w:space="0" w:color="auto"/>
        <w:left w:val="none" w:sz="0" w:space="0" w:color="auto"/>
        <w:bottom w:val="none" w:sz="0" w:space="0" w:color="auto"/>
        <w:right w:val="none" w:sz="0" w:space="0" w:color="auto"/>
      </w:divBdr>
      <w:divsChild>
        <w:div w:id="194391600">
          <w:blockQuote w:val="1"/>
          <w:marLeft w:val="600"/>
          <w:marRight w:val="0"/>
          <w:marTop w:val="120"/>
          <w:marBottom w:val="120"/>
          <w:divBdr>
            <w:top w:val="none" w:sz="0" w:space="0" w:color="auto"/>
            <w:left w:val="none" w:sz="0" w:space="0" w:color="auto"/>
            <w:bottom w:val="none" w:sz="0" w:space="0" w:color="auto"/>
            <w:right w:val="none" w:sz="0" w:space="0" w:color="auto"/>
          </w:divBdr>
        </w:div>
        <w:div w:id="239601316">
          <w:blockQuote w:val="1"/>
          <w:marLeft w:val="600"/>
          <w:marRight w:val="0"/>
          <w:marTop w:val="120"/>
          <w:marBottom w:val="120"/>
          <w:divBdr>
            <w:top w:val="none" w:sz="0" w:space="0" w:color="auto"/>
            <w:left w:val="none" w:sz="0" w:space="0" w:color="auto"/>
            <w:bottom w:val="none" w:sz="0" w:space="0" w:color="auto"/>
            <w:right w:val="none" w:sz="0" w:space="0" w:color="auto"/>
          </w:divBdr>
        </w:div>
        <w:div w:id="1437287664">
          <w:blockQuote w:val="1"/>
          <w:marLeft w:val="600"/>
          <w:marRight w:val="0"/>
          <w:marTop w:val="120"/>
          <w:marBottom w:val="120"/>
          <w:divBdr>
            <w:top w:val="none" w:sz="0" w:space="0" w:color="auto"/>
            <w:left w:val="none" w:sz="0" w:space="0" w:color="auto"/>
            <w:bottom w:val="none" w:sz="0" w:space="0" w:color="auto"/>
            <w:right w:val="none" w:sz="0" w:space="0" w:color="auto"/>
          </w:divBdr>
        </w:div>
        <w:div w:id="1019048061">
          <w:blockQuote w:val="1"/>
          <w:marLeft w:val="600"/>
          <w:marRight w:val="0"/>
          <w:marTop w:val="120"/>
          <w:marBottom w:val="120"/>
          <w:divBdr>
            <w:top w:val="none" w:sz="0" w:space="0" w:color="auto"/>
            <w:left w:val="none" w:sz="0" w:space="0" w:color="auto"/>
            <w:bottom w:val="none" w:sz="0" w:space="0" w:color="auto"/>
            <w:right w:val="none" w:sz="0" w:space="0" w:color="auto"/>
          </w:divBdr>
        </w:div>
        <w:div w:id="603198397">
          <w:blockQuote w:val="1"/>
          <w:marLeft w:val="600"/>
          <w:marRight w:val="0"/>
          <w:marTop w:val="120"/>
          <w:marBottom w:val="120"/>
          <w:divBdr>
            <w:top w:val="none" w:sz="0" w:space="0" w:color="auto"/>
            <w:left w:val="none" w:sz="0" w:space="0" w:color="auto"/>
            <w:bottom w:val="none" w:sz="0" w:space="0" w:color="auto"/>
            <w:right w:val="none" w:sz="0" w:space="0" w:color="auto"/>
          </w:divBdr>
        </w:div>
        <w:div w:id="1351569591">
          <w:blockQuote w:val="1"/>
          <w:marLeft w:val="600"/>
          <w:marRight w:val="0"/>
          <w:marTop w:val="120"/>
          <w:marBottom w:val="120"/>
          <w:divBdr>
            <w:top w:val="none" w:sz="0" w:space="0" w:color="auto"/>
            <w:left w:val="none" w:sz="0" w:space="0" w:color="auto"/>
            <w:bottom w:val="none" w:sz="0" w:space="0" w:color="auto"/>
            <w:right w:val="none" w:sz="0" w:space="0" w:color="auto"/>
          </w:divBdr>
        </w:div>
        <w:div w:id="52070531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919705">
              <w:blockQuote w:val="1"/>
              <w:marLeft w:val="600"/>
              <w:marRight w:val="0"/>
              <w:marTop w:val="120"/>
              <w:marBottom w:val="120"/>
              <w:divBdr>
                <w:top w:val="none" w:sz="0" w:space="0" w:color="auto"/>
                <w:left w:val="none" w:sz="0" w:space="0" w:color="auto"/>
                <w:bottom w:val="none" w:sz="0" w:space="0" w:color="auto"/>
                <w:right w:val="none" w:sz="0" w:space="0" w:color="auto"/>
              </w:divBdr>
            </w:div>
            <w:div w:id="3723414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899065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92617386">
      <w:bodyDiv w:val="1"/>
      <w:marLeft w:val="0"/>
      <w:marRight w:val="0"/>
      <w:marTop w:val="0"/>
      <w:marBottom w:val="0"/>
      <w:divBdr>
        <w:top w:val="none" w:sz="0" w:space="0" w:color="auto"/>
        <w:left w:val="none" w:sz="0" w:space="0" w:color="auto"/>
        <w:bottom w:val="none" w:sz="0" w:space="0" w:color="auto"/>
        <w:right w:val="none" w:sz="0" w:space="0" w:color="auto"/>
      </w:divBdr>
      <w:divsChild>
        <w:div w:id="1837186237">
          <w:blockQuote w:val="1"/>
          <w:marLeft w:val="600"/>
          <w:marRight w:val="0"/>
          <w:marTop w:val="120"/>
          <w:marBottom w:val="120"/>
          <w:divBdr>
            <w:top w:val="none" w:sz="0" w:space="0" w:color="auto"/>
            <w:left w:val="none" w:sz="0" w:space="0" w:color="auto"/>
            <w:bottom w:val="none" w:sz="0" w:space="0" w:color="auto"/>
            <w:right w:val="none" w:sz="0" w:space="0" w:color="auto"/>
          </w:divBdr>
        </w:div>
        <w:div w:id="1245069811">
          <w:blockQuote w:val="1"/>
          <w:marLeft w:val="600"/>
          <w:marRight w:val="0"/>
          <w:marTop w:val="120"/>
          <w:marBottom w:val="120"/>
          <w:divBdr>
            <w:top w:val="none" w:sz="0" w:space="0" w:color="auto"/>
            <w:left w:val="none" w:sz="0" w:space="0" w:color="auto"/>
            <w:bottom w:val="none" w:sz="0" w:space="0" w:color="auto"/>
            <w:right w:val="none" w:sz="0" w:space="0" w:color="auto"/>
          </w:divBdr>
        </w:div>
        <w:div w:id="718431093">
          <w:blockQuote w:val="1"/>
          <w:marLeft w:val="600"/>
          <w:marRight w:val="0"/>
          <w:marTop w:val="120"/>
          <w:marBottom w:val="120"/>
          <w:divBdr>
            <w:top w:val="none" w:sz="0" w:space="0" w:color="auto"/>
            <w:left w:val="none" w:sz="0" w:space="0" w:color="auto"/>
            <w:bottom w:val="none" w:sz="0" w:space="0" w:color="auto"/>
            <w:right w:val="none" w:sz="0" w:space="0" w:color="auto"/>
          </w:divBdr>
        </w:div>
        <w:div w:id="872696859">
          <w:blockQuote w:val="1"/>
          <w:marLeft w:val="600"/>
          <w:marRight w:val="0"/>
          <w:marTop w:val="120"/>
          <w:marBottom w:val="120"/>
          <w:divBdr>
            <w:top w:val="none" w:sz="0" w:space="0" w:color="auto"/>
            <w:left w:val="none" w:sz="0" w:space="0" w:color="auto"/>
            <w:bottom w:val="none" w:sz="0" w:space="0" w:color="auto"/>
            <w:right w:val="none" w:sz="0" w:space="0" w:color="auto"/>
          </w:divBdr>
        </w:div>
        <w:div w:id="1124150985">
          <w:blockQuote w:val="1"/>
          <w:marLeft w:val="600"/>
          <w:marRight w:val="0"/>
          <w:marTop w:val="120"/>
          <w:marBottom w:val="120"/>
          <w:divBdr>
            <w:top w:val="none" w:sz="0" w:space="0" w:color="auto"/>
            <w:left w:val="none" w:sz="0" w:space="0" w:color="auto"/>
            <w:bottom w:val="none" w:sz="0" w:space="0" w:color="auto"/>
            <w:right w:val="none" w:sz="0" w:space="0" w:color="auto"/>
          </w:divBdr>
        </w:div>
        <w:div w:id="2037538962">
          <w:blockQuote w:val="1"/>
          <w:marLeft w:val="600"/>
          <w:marRight w:val="0"/>
          <w:marTop w:val="120"/>
          <w:marBottom w:val="120"/>
          <w:divBdr>
            <w:top w:val="none" w:sz="0" w:space="0" w:color="auto"/>
            <w:left w:val="none" w:sz="0" w:space="0" w:color="auto"/>
            <w:bottom w:val="none" w:sz="0" w:space="0" w:color="auto"/>
            <w:right w:val="none" w:sz="0" w:space="0" w:color="auto"/>
          </w:divBdr>
        </w:div>
        <w:div w:id="1544753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5876629">
              <w:blockQuote w:val="1"/>
              <w:marLeft w:val="600"/>
              <w:marRight w:val="0"/>
              <w:marTop w:val="120"/>
              <w:marBottom w:val="120"/>
              <w:divBdr>
                <w:top w:val="none" w:sz="0" w:space="0" w:color="auto"/>
                <w:left w:val="none" w:sz="0" w:space="0" w:color="auto"/>
                <w:bottom w:val="none" w:sz="0" w:space="0" w:color="auto"/>
                <w:right w:val="none" w:sz="0" w:space="0" w:color="auto"/>
              </w:divBdr>
            </w:div>
            <w:div w:id="11162896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485388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05796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007C6-7C75-4563-B0E2-302A4B29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4403</Words>
  <Characters>25102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Reforming Queensland’s authorisation framework for the use of restrictive practices in NDIS and disability service settings</vt:lpstr>
    </vt:vector>
  </TitlesOfParts>
  <Company/>
  <LinksUpToDate>false</LinksUpToDate>
  <CharactersWithSpaces>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Queensland’s authorisation framework for the use of restrictive practices in NDIS and disability service settings</dc:title>
  <dc:subject/>
  <dc:creator>Sean Costello</dc:creator>
  <cp:keywords/>
  <dc:description/>
  <cp:lastModifiedBy>Kate Marsh</cp:lastModifiedBy>
  <cp:revision>2</cp:revision>
  <cp:lastPrinted>2022-04-28T23:31:00Z</cp:lastPrinted>
  <dcterms:created xsi:type="dcterms:W3CDTF">2023-08-17T23:15:00Z</dcterms:created>
  <dcterms:modified xsi:type="dcterms:W3CDTF">2023-08-17T23:15:00Z</dcterms:modified>
</cp:coreProperties>
</file>