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C44DC" w14:textId="77777777" w:rsidR="00523BA4" w:rsidRDefault="008A4227" w:rsidP="00523BA4">
      <w:pPr>
        <w:spacing w:before="360" w:after="120" w:line="240" w:lineRule="auto"/>
        <w:rPr>
          <w:rFonts w:cstheme="minorHAnsi"/>
          <w:i/>
          <w:sz w:val="22"/>
          <w:szCs w:val="22"/>
        </w:rPr>
      </w:pPr>
      <w:r>
        <w:rPr>
          <w:rFonts w:cstheme="minorHAnsi"/>
          <w:noProof/>
          <w:sz w:val="22"/>
          <w:szCs w:val="22"/>
          <w:lang w:eastAsia="en-AU"/>
        </w:rPr>
        <w:drawing>
          <wp:anchor distT="0" distB="0" distL="114300" distR="114300" simplePos="0" relativeHeight="251721216" behindDoc="0" locked="0" layoutInCell="1" allowOverlap="1" wp14:anchorId="06162134" wp14:editId="6CB828ED">
            <wp:simplePos x="0" y="0"/>
            <wp:positionH relativeFrom="page">
              <wp:posOffset>0</wp:posOffset>
            </wp:positionH>
            <wp:positionV relativeFrom="margin">
              <wp:posOffset>-882478</wp:posOffset>
            </wp:positionV>
            <wp:extent cx="7562850" cy="10697774"/>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DCQ2018-19AnnualReport_cov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10697774"/>
                    </a:xfrm>
                    <a:prstGeom prst="rect">
                      <a:avLst/>
                    </a:prstGeom>
                  </pic:spPr>
                </pic:pic>
              </a:graphicData>
            </a:graphic>
          </wp:anchor>
        </w:drawing>
      </w:r>
    </w:p>
    <w:p w14:paraId="412591E6" w14:textId="0875CEE5" w:rsidR="00523BA4" w:rsidRPr="00AF7432" w:rsidRDefault="00696C61" w:rsidP="00696C61">
      <w:pPr>
        <w:pStyle w:val="Heading3"/>
      </w:pPr>
      <w:r>
        <w:lastRenderedPageBreak/>
        <w:t>ANNUAL REPORT 2018-19</w:t>
      </w:r>
    </w:p>
    <w:p w14:paraId="117A65B1" w14:textId="50FE26DB" w:rsidR="001A23E8" w:rsidRPr="00523BA4" w:rsidRDefault="008913B5" w:rsidP="00523BA4">
      <w:pPr>
        <w:spacing w:before="360" w:after="120" w:line="240" w:lineRule="auto"/>
        <w:rPr>
          <w:rFonts w:cstheme="minorHAnsi"/>
          <w:i/>
          <w:sz w:val="18"/>
          <w:szCs w:val="18"/>
        </w:rPr>
      </w:pPr>
      <w:r w:rsidRPr="00523BA4">
        <w:rPr>
          <w:rFonts w:cstheme="minorHAnsi"/>
          <w:sz w:val="18"/>
          <w:szCs w:val="18"/>
        </w:rPr>
        <w:t>The Anti-Discrimination Commission Queensland is committed to providing accessible services to Queenslanders from all culturally and linguistically diverse backgrounds. If you have difficulty in understanding the annual report, you can contact us on toll free 1300 130 670</w:t>
      </w:r>
      <w:r w:rsidR="009417CD" w:rsidRPr="00523BA4">
        <w:rPr>
          <w:rFonts w:cstheme="minorHAnsi"/>
          <w:sz w:val="18"/>
          <w:szCs w:val="18"/>
        </w:rPr>
        <w:t xml:space="preserve"> </w:t>
      </w:r>
      <w:r w:rsidRPr="00523BA4">
        <w:rPr>
          <w:rFonts w:cstheme="minorHAnsi"/>
          <w:sz w:val="18"/>
          <w:szCs w:val="18"/>
        </w:rPr>
        <w:t xml:space="preserve">and we will arrange an interpreter to effectively communicate the report to you. </w:t>
      </w:r>
    </w:p>
    <w:p w14:paraId="1F9BF378" w14:textId="77777777" w:rsidR="001A23E8" w:rsidRPr="00523BA4" w:rsidRDefault="008913B5" w:rsidP="00A75186">
      <w:pPr>
        <w:spacing w:line="240" w:lineRule="auto"/>
        <w:rPr>
          <w:rFonts w:cstheme="minorHAnsi"/>
          <w:i/>
          <w:noProof/>
          <w:sz w:val="18"/>
          <w:szCs w:val="18"/>
          <w:lang w:eastAsia="en-AU"/>
        </w:rPr>
      </w:pPr>
      <w:r w:rsidRPr="00523BA4">
        <w:rPr>
          <w:rFonts w:cstheme="minorHAnsi"/>
          <w:i/>
          <w:noProof/>
          <w:sz w:val="18"/>
          <w:szCs w:val="18"/>
          <w:lang w:eastAsia="en-AU"/>
        </w:rPr>
        <w:drawing>
          <wp:inline distT="0" distB="0" distL="0" distR="0" wp14:anchorId="694B8D4D" wp14:editId="1278BA90">
            <wp:extent cx="581025" cy="581025"/>
            <wp:effectExtent l="0" t="0" r="9525" b="9525"/>
            <wp:docPr id="3" name="Picture 3" descr="http://www.immi.gov.au/living-in-australia/help-with-english/NIS/interpreter_symbol_text.jpg" title="Interpret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mi.gov.au/living-in-australia/help-with-english/NIS/interpreter_symbol_text.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3CD816F7" w14:textId="77777777" w:rsidR="009D2CC9" w:rsidRPr="00523BA4" w:rsidRDefault="009D2CC9" w:rsidP="00A75186">
      <w:pPr>
        <w:spacing w:line="240" w:lineRule="auto"/>
        <w:rPr>
          <w:rFonts w:cstheme="minorHAnsi"/>
          <w:i/>
          <w:noProof/>
          <w:sz w:val="18"/>
          <w:szCs w:val="18"/>
          <w:lang w:eastAsia="en-AU"/>
        </w:rPr>
      </w:pPr>
      <w:r w:rsidRPr="00523BA4">
        <w:rPr>
          <w:rFonts w:cstheme="minorHAnsi"/>
          <w:noProof/>
          <w:sz w:val="18"/>
          <w:szCs w:val="18"/>
          <w:lang w:eastAsia="en-AU"/>
        </w:rPr>
        <w:t>English: If you’d like us to arrange an interpreter for this report, please call us on 1300 130 670.</w:t>
      </w:r>
    </w:p>
    <w:p w14:paraId="48F5C970" w14:textId="77777777" w:rsidR="006F4E99" w:rsidRPr="00523BA4" w:rsidRDefault="00026CD8" w:rsidP="00A75186">
      <w:pPr>
        <w:spacing w:line="240" w:lineRule="auto"/>
        <w:rPr>
          <w:rFonts w:cstheme="minorHAnsi"/>
          <w:i/>
          <w:noProof/>
          <w:sz w:val="18"/>
          <w:szCs w:val="18"/>
          <w:lang w:val="es-ES" w:eastAsia="en-AU"/>
        </w:rPr>
      </w:pPr>
      <w:r w:rsidRPr="00523BA4">
        <w:rPr>
          <w:rFonts w:cstheme="minorHAnsi"/>
          <w:noProof/>
          <w:sz w:val="18"/>
          <w:szCs w:val="18"/>
          <w:lang w:val="es-ES" w:eastAsia="en-AU"/>
        </w:rPr>
        <w:t>Spanish: Si desea que nosotros para solicitar un intérprete de este informe, por favor llámenos en 1300 130 670</w:t>
      </w:r>
    </w:p>
    <w:p w14:paraId="183DA103" w14:textId="77777777" w:rsidR="00026CD8" w:rsidRPr="00523BA4" w:rsidRDefault="00026CD8" w:rsidP="00A75186">
      <w:pPr>
        <w:spacing w:line="240" w:lineRule="auto"/>
        <w:rPr>
          <w:rFonts w:cstheme="minorHAnsi"/>
          <w:i/>
          <w:noProof/>
          <w:sz w:val="18"/>
          <w:szCs w:val="18"/>
          <w:lang w:val="es-ES" w:eastAsia="en-AU"/>
        </w:rPr>
      </w:pPr>
      <w:r w:rsidRPr="00523BA4">
        <w:rPr>
          <w:rFonts w:cstheme="minorHAnsi"/>
          <w:noProof/>
          <w:sz w:val="18"/>
          <w:szCs w:val="18"/>
          <w:lang w:val="es-ES" w:eastAsia="en-AU"/>
        </w:rPr>
        <w:t>French: Si vous souhaitez organiser un interprète pour ce rapport, veuillez nous appeler au 1300 130 670</w:t>
      </w:r>
    </w:p>
    <w:p w14:paraId="0F56A2F8" w14:textId="77777777" w:rsidR="00026CD8" w:rsidRPr="00523BA4" w:rsidRDefault="00026CD8" w:rsidP="00A75186">
      <w:pPr>
        <w:spacing w:line="240" w:lineRule="auto"/>
        <w:rPr>
          <w:rFonts w:cstheme="minorHAnsi"/>
          <w:i/>
          <w:noProof/>
          <w:sz w:val="18"/>
          <w:szCs w:val="18"/>
          <w:lang w:val="es-ES" w:eastAsia="en-AU"/>
        </w:rPr>
      </w:pPr>
      <w:r w:rsidRPr="00523BA4">
        <w:rPr>
          <w:rFonts w:cstheme="minorHAnsi"/>
          <w:noProof/>
          <w:sz w:val="18"/>
          <w:szCs w:val="18"/>
          <w:lang w:val="es-ES" w:eastAsia="en-AU"/>
        </w:rPr>
        <w:t xml:space="preserve">Chinese: </w:t>
      </w:r>
      <w:r w:rsidRPr="00523BA4">
        <w:rPr>
          <w:rFonts w:eastAsia="MS Gothic" w:cstheme="minorHAnsi"/>
          <w:noProof/>
          <w:sz w:val="18"/>
          <w:szCs w:val="18"/>
          <w:lang w:eastAsia="en-AU"/>
        </w:rPr>
        <w:t>如果您想</w:t>
      </w:r>
      <w:r w:rsidRPr="00523BA4">
        <w:rPr>
          <w:rFonts w:eastAsia="MingLiU" w:cstheme="minorHAnsi"/>
          <w:noProof/>
          <w:sz w:val="18"/>
          <w:szCs w:val="18"/>
          <w:lang w:eastAsia="en-AU"/>
        </w:rPr>
        <w:t>让</w:t>
      </w:r>
      <w:r w:rsidRPr="00523BA4">
        <w:rPr>
          <w:rFonts w:eastAsia="MS Mincho" w:cstheme="minorHAnsi"/>
          <w:noProof/>
          <w:sz w:val="18"/>
          <w:szCs w:val="18"/>
          <w:lang w:eastAsia="en-AU"/>
        </w:rPr>
        <w:t>我</w:t>
      </w:r>
      <w:r w:rsidRPr="00523BA4">
        <w:rPr>
          <w:rFonts w:eastAsia="MingLiU" w:cstheme="minorHAnsi"/>
          <w:noProof/>
          <w:sz w:val="18"/>
          <w:szCs w:val="18"/>
          <w:lang w:eastAsia="en-AU"/>
        </w:rPr>
        <w:t>们为</w:t>
      </w:r>
      <w:r w:rsidRPr="00523BA4">
        <w:rPr>
          <w:rFonts w:eastAsia="MS Mincho" w:cstheme="minorHAnsi"/>
          <w:noProof/>
          <w:sz w:val="18"/>
          <w:szCs w:val="18"/>
          <w:lang w:eastAsia="en-AU"/>
        </w:rPr>
        <w:t>此</w:t>
      </w:r>
      <w:r w:rsidRPr="00523BA4">
        <w:rPr>
          <w:rFonts w:eastAsia="MingLiU" w:cstheme="minorHAnsi"/>
          <w:noProof/>
          <w:sz w:val="18"/>
          <w:szCs w:val="18"/>
          <w:lang w:eastAsia="en-AU"/>
        </w:rPr>
        <w:t>报</w:t>
      </w:r>
      <w:r w:rsidRPr="00523BA4">
        <w:rPr>
          <w:rFonts w:eastAsia="MS Mincho" w:cstheme="minorHAnsi"/>
          <w:noProof/>
          <w:sz w:val="18"/>
          <w:szCs w:val="18"/>
          <w:lang w:eastAsia="en-AU"/>
        </w:rPr>
        <w:t>告安排</w:t>
      </w:r>
      <w:r w:rsidRPr="00523BA4">
        <w:rPr>
          <w:rFonts w:eastAsia="MingLiU" w:cstheme="minorHAnsi"/>
          <w:noProof/>
          <w:sz w:val="18"/>
          <w:szCs w:val="18"/>
          <w:lang w:eastAsia="en-AU"/>
        </w:rPr>
        <w:t>传译员</w:t>
      </w:r>
      <w:r w:rsidRPr="00523BA4">
        <w:rPr>
          <w:rFonts w:eastAsia="MS Mincho" w:cstheme="minorHAnsi"/>
          <w:noProof/>
          <w:sz w:val="18"/>
          <w:szCs w:val="18"/>
          <w:lang w:val="es-ES" w:eastAsia="en-AU"/>
        </w:rPr>
        <w:t>，</w:t>
      </w:r>
      <w:r w:rsidRPr="00523BA4">
        <w:rPr>
          <w:rFonts w:eastAsia="MingLiU" w:cstheme="minorHAnsi"/>
          <w:noProof/>
          <w:sz w:val="18"/>
          <w:szCs w:val="18"/>
          <w:lang w:eastAsia="en-AU"/>
        </w:rPr>
        <w:t>请</w:t>
      </w:r>
      <w:r w:rsidRPr="00523BA4">
        <w:rPr>
          <w:rFonts w:eastAsia="MS Mincho" w:cstheme="minorHAnsi"/>
          <w:noProof/>
          <w:sz w:val="18"/>
          <w:szCs w:val="18"/>
          <w:lang w:eastAsia="en-AU"/>
        </w:rPr>
        <w:t>致</w:t>
      </w:r>
      <w:r w:rsidRPr="00523BA4">
        <w:rPr>
          <w:rFonts w:eastAsia="MingLiU" w:cstheme="minorHAnsi"/>
          <w:noProof/>
          <w:sz w:val="18"/>
          <w:szCs w:val="18"/>
          <w:lang w:eastAsia="en-AU"/>
        </w:rPr>
        <w:t>电</w:t>
      </w:r>
      <w:r w:rsidRPr="00523BA4">
        <w:rPr>
          <w:rFonts w:eastAsia="MS Mincho" w:cstheme="minorHAnsi"/>
          <w:noProof/>
          <w:sz w:val="18"/>
          <w:szCs w:val="18"/>
          <w:lang w:eastAsia="en-AU"/>
        </w:rPr>
        <w:t>我</w:t>
      </w:r>
      <w:r w:rsidRPr="00523BA4">
        <w:rPr>
          <w:rFonts w:eastAsia="MingLiU" w:cstheme="minorHAnsi"/>
          <w:noProof/>
          <w:sz w:val="18"/>
          <w:szCs w:val="18"/>
          <w:lang w:eastAsia="en-AU"/>
        </w:rPr>
        <w:t>们</w:t>
      </w:r>
      <w:r w:rsidRPr="00523BA4">
        <w:rPr>
          <w:rFonts w:cstheme="minorHAnsi"/>
          <w:noProof/>
          <w:sz w:val="18"/>
          <w:szCs w:val="18"/>
          <w:lang w:val="es-ES" w:eastAsia="en-AU"/>
        </w:rPr>
        <w:t xml:space="preserve"> 1300</w:t>
      </w:r>
      <w:r w:rsidRPr="00523BA4">
        <w:rPr>
          <w:rFonts w:eastAsia="MS Gothic" w:cstheme="minorHAnsi"/>
          <w:noProof/>
          <w:sz w:val="18"/>
          <w:szCs w:val="18"/>
          <w:lang w:eastAsia="en-AU"/>
        </w:rPr>
        <w:t>年</w:t>
      </w:r>
      <w:r w:rsidRPr="00523BA4">
        <w:rPr>
          <w:rFonts w:cstheme="minorHAnsi"/>
          <w:noProof/>
          <w:sz w:val="18"/>
          <w:szCs w:val="18"/>
          <w:lang w:val="es-ES" w:eastAsia="en-AU"/>
        </w:rPr>
        <w:t xml:space="preserve"> 130 670</w:t>
      </w:r>
    </w:p>
    <w:p w14:paraId="09B6C463" w14:textId="77777777" w:rsidR="00026CD8" w:rsidRPr="00523BA4" w:rsidRDefault="00026CD8" w:rsidP="00A75186">
      <w:pPr>
        <w:spacing w:line="240" w:lineRule="auto"/>
        <w:rPr>
          <w:rFonts w:cstheme="minorHAnsi"/>
          <w:i/>
          <w:noProof/>
          <w:sz w:val="18"/>
          <w:szCs w:val="18"/>
          <w:lang w:val="es-ES" w:eastAsia="en-AU"/>
        </w:rPr>
      </w:pPr>
      <w:r w:rsidRPr="00523BA4">
        <w:rPr>
          <w:rFonts w:cstheme="minorHAnsi"/>
          <w:noProof/>
          <w:sz w:val="18"/>
          <w:szCs w:val="18"/>
          <w:lang w:val="es-ES" w:eastAsia="en-AU"/>
        </w:rPr>
        <w:t xml:space="preserve">Arabic: </w:t>
      </w:r>
      <w:r w:rsidRPr="00523BA4">
        <w:rPr>
          <w:rFonts w:cstheme="minorHAnsi"/>
          <w:noProof/>
          <w:sz w:val="18"/>
          <w:szCs w:val="18"/>
          <w:lang w:eastAsia="en-AU"/>
        </w:rPr>
        <w:t>إذا</w:t>
      </w:r>
      <w:r w:rsidRPr="00523BA4">
        <w:rPr>
          <w:rFonts w:cstheme="minorHAnsi"/>
          <w:noProof/>
          <w:sz w:val="18"/>
          <w:szCs w:val="18"/>
          <w:lang w:val="es-ES" w:eastAsia="en-AU"/>
        </w:rPr>
        <w:t xml:space="preserve"> </w:t>
      </w:r>
      <w:r w:rsidRPr="00523BA4">
        <w:rPr>
          <w:rFonts w:cstheme="minorHAnsi"/>
          <w:noProof/>
          <w:sz w:val="18"/>
          <w:szCs w:val="18"/>
          <w:lang w:eastAsia="en-AU"/>
        </w:rPr>
        <w:t>كنت</w:t>
      </w:r>
      <w:r w:rsidRPr="00523BA4">
        <w:rPr>
          <w:rFonts w:cstheme="minorHAnsi"/>
          <w:noProof/>
          <w:sz w:val="18"/>
          <w:szCs w:val="18"/>
          <w:lang w:val="es-ES" w:eastAsia="en-AU"/>
        </w:rPr>
        <w:t xml:space="preserve"> </w:t>
      </w:r>
      <w:r w:rsidRPr="00523BA4">
        <w:rPr>
          <w:rFonts w:cstheme="minorHAnsi"/>
          <w:noProof/>
          <w:sz w:val="18"/>
          <w:szCs w:val="18"/>
          <w:lang w:eastAsia="en-AU"/>
        </w:rPr>
        <w:t>تريد</w:t>
      </w:r>
      <w:r w:rsidRPr="00523BA4">
        <w:rPr>
          <w:rFonts w:cstheme="minorHAnsi"/>
          <w:noProof/>
          <w:sz w:val="18"/>
          <w:szCs w:val="18"/>
          <w:lang w:val="es-ES" w:eastAsia="en-AU"/>
        </w:rPr>
        <w:t xml:space="preserve"> </w:t>
      </w:r>
      <w:r w:rsidRPr="00523BA4">
        <w:rPr>
          <w:rFonts w:cstheme="minorHAnsi"/>
          <w:noProof/>
          <w:sz w:val="18"/>
          <w:szCs w:val="18"/>
          <w:lang w:eastAsia="en-AU"/>
        </w:rPr>
        <w:t>منا</w:t>
      </w:r>
      <w:r w:rsidRPr="00523BA4">
        <w:rPr>
          <w:rFonts w:cstheme="minorHAnsi"/>
          <w:noProof/>
          <w:sz w:val="18"/>
          <w:szCs w:val="18"/>
          <w:lang w:val="es-ES" w:eastAsia="en-AU"/>
        </w:rPr>
        <w:t xml:space="preserve"> </w:t>
      </w:r>
      <w:r w:rsidRPr="00523BA4">
        <w:rPr>
          <w:rFonts w:cstheme="minorHAnsi"/>
          <w:noProof/>
          <w:sz w:val="18"/>
          <w:szCs w:val="18"/>
          <w:lang w:eastAsia="en-AU"/>
        </w:rPr>
        <w:t>أن</w:t>
      </w:r>
      <w:r w:rsidRPr="00523BA4">
        <w:rPr>
          <w:rFonts w:cstheme="minorHAnsi"/>
          <w:noProof/>
          <w:sz w:val="18"/>
          <w:szCs w:val="18"/>
          <w:lang w:val="es-ES" w:eastAsia="en-AU"/>
        </w:rPr>
        <w:t xml:space="preserve"> </w:t>
      </w:r>
      <w:r w:rsidRPr="00523BA4">
        <w:rPr>
          <w:rFonts w:cstheme="minorHAnsi"/>
          <w:noProof/>
          <w:sz w:val="18"/>
          <w:szCs w:val="18"/>
          <w:lang w:eastAsia="en-AU"/>
        </w:rPr>
        <w:t>يرتب</w:t>
      </w:r>
      <w:r w:rsidRPr="00523BA4">
        <w:rPr>
          <w:rFonts w:cstheme="minorHAnsi"/>
          <w:noProof/>
          <w:sz w:val="18"/>
          <w:szCs w:val="18"/>
          <w:lang w:val="es-ES" w:eastAsia="en-AU"/>
        </w:rPr>
        <w:t xml:space="preserve"> </w:t>
      </w:r>
      <w:r w:rsidRPr="00523BA4">
        <w:rPr>
          <w:rFonts w:cstheme="minorHAnsi"/>
          <w:noProof/>
          <w:sz w:val="18"/>
          <w:szCs w:val="18"/>
          <w:lang w:eastAsia="en-AU"/>
        </w:rPr>
        <w:t>مترجما</w:t>
      </w:r>
      <w:r w:rsidRPr="00523BA4">
        <w:rPr>
          <w:rFonts w:cstheme="minorHAnsi"/>
          <w:noProof/>
          <w:sz w:val="18"/>
          <w:szCs w:val="18"/>
          <w:lang w:val="es-ES" w:eastAsia="en-AU"/>
        </w:rPr>
        <w:t xml:space="preserve"> </w:t>
      </w:r>
      <w:r w:rsidRPr="00523BA4">
        <w:rPr>
          <w:rFonts w:cstheme="minorHAnsi"/>
          <w:noProof/>
          <w:sz w:val="18"/>
          <w:szCs w:val="18"/>
          <w:lang w:eastAsia="en-AU"/>
        </w:rPr>
        <w:t>لهذا</w:t>
      </w:r>
      <w:r w:rsidRPr="00523BA4">
        <w:rPr>
          <w:rFonts w:cstheme="minorHAnsi"/>
          <w:noProof/>
          <w:sz w:val="18"/>
          <w:szCs w:val="18"/>
          <w:lang w:val="es-ES" w:eastAsia="en-AU"/>
        </w:rPr>
        <w:t xml:space="preserve"> </w:t>
      </w:r>
      <w:r w:rsidRPr="00523BA4">
        <w:rPr>
          <w:rFonts w:cstheme="minorHAnsi"/>
          <w:noProof/>
          <w:sz w:val="18"/>
          <w:szCs w:val="18"/>
          <w:lang w:eastAsia="en-AU"/>
        </w:rPr>
        <w:t>التقرير،</w:t>
      </w:r>
      <w:r w:rsidRPr="00523BA4">
        <w:rPr>
          <w:rFonts w:cstheme="minorHAnsi"/>
          <w:noProof/>
          <w:sz w:val="18"/>
          <w:szCs w:val="18"/>
          <w:lang w:val="es-ES" w:eastAsia="en-AU"/>
        </w:rPr>
        <w:t xml:space="preserve"> </w:t>
      </w:r>
      <w:r w:rsidRPr="00523BA4">
        <w:rPr>
          <w:rFonts w:cstheme="minorHAnsi"/>
          <w:noProof/>
          <w:sz w:val="18"/>
          <w:szCs w:val="18"/>
          <w:lang w:eastAsia="en-AU"/>
        </w:rPr>
        <w:t>يرجى</w:t>
      </w:r>
      <w:r w:rsidRPr="00523BA4">
        <w:rPr>
          <w:rFonts w:cstheme="minorHAnsi"/>
          <w:noProof/>
          <w:sz w:val="18"/>
          <w:szCs w:val="18"/>
          <w:lang w:val="es-ES" w:eastAsia="en-AU"/>
        </w:rPr>
        <w:t xml:space="preserve"> </w:t>
      </w:r>
      <w:r w:rsidRPr="00523BA4">
        <w:rPr>
          <w:rFonts w:cstheme="minorHAnsi"/>
          <w:noProof/>
          <w:sz w:val="18"/>
          <w:szCs w:val="18"/>
          <w:lang w:eastAsia="en-AU"/>
        </w:rPr>
        <w:t>الاتصال</w:t>
      </w:r>
      <w:r w:rsidRPr="00523BA4">
        <w:rPr>
          <w:rFonts w:cstheme="minorHAnsi"/>
          <w:noProof/>
          <w:sz w:val="18"/>
          <w:szCs w:val="18"/>
          <w:lang w:val="es-ES" w:eastAsia="en-AU"/>
        </w:rPr>
        <w:t xml:space="preserve"> </w:t>
      </w:r>
      <w:r w:rsidRPr="00523BA4">
        <w:rPr>
          <w:rFonts w:cstheme="minorHAnsi"/>
          <w:noProof/>
          <w:sz w:val="18"/>
          <w:szCs w:val="18"/>
          <w:lang w:eastAsia="en-AU"/>
        </w:rPr>
        <w:t>بنا</w:t>
      </w:r>
      <w:r w:rsidRPr="00523BA4">
        <w:rPr>
          <w:rFonts w:cstheme="minorHAnsi"/>
          <w:noProof/>
          <w:sz w:val="18"/>
          <w:szCs w:val="18"/>
          <w:lang w:val="es-ES" w:eastAsia="en-AU"/>
        </w:rPr>
        <w:t xml:space="preserve"> </w:t>
      </w:r>
      <w:r w:rsidRPr="00523BA4">
        <w:rPr>
          <w:rFonts w:cstheme="minorHAnsi"/>
          <w:noProof/>
          <w:sz w:val="18"/>
          <w:szCs w:val="18"/>
          <w:lang w:eastAsia="en-AU"/>
        </w:rPr>
        <w:t>على</w:t>
      </w:r>
      <w:r w:rsidRPr="00523BA4">
        <w:rPr>
          <w:rFonts w:cstheme="minorHAnsi"/>
          <w:noProof/>
          <w:sz w:val="18"/>
          <w:szCs w:val="18"/>
          <w:lang w:val="es-ES" w:eastAsia="en-AU"/>
        </w:rPr>
        <w:t xml:space="preserve"> 1300 130 670</w:t>
      </w:r>
    </w:p>
    <w:p w14:paraId="4398B799" w14:textId="77777777" w:rsidR="00026CD8" w:rsidRPr="00523BA4" w:rsidRDefault="00026CD8" w:rsidP="00A75186">
      <w:pPr>
        <w:spacing w:line="240" w:lineRule="auto"/>
        <w:rPr>
          <w:rFonts w:cstheme="minorHAnsi"/>
          <w:i/>
          <w:noProof/>
          <w:sz w:val="18"/>
          <w:szCs w:val="18"/>
          <w:lang w:eastAsia="en-AU"/>
        </w:rPr>
      </w:pPr>
      <w:r w:rsidRPr="00523BA4">
        <w:rPr>
          <w:rFonts w:cstheme="minorHAnsi"/>
          <w:noProof/>
          <w:sz w:val="18"/>
          <w:szCs w:val="18"/>
          <w:lang w:eastAsia="en-AU"/>
        </w:rPr>
        <w:t>German: Wenn Sie uns einen Dolmetscher für diesen Bericht anordnen möchten, rufen Sie uns bitte auf 1300 130 670</w:t>
      </w:r>
    </w:p>
    <w:p w14:paraId="54C833CF" w14:textId="77777777" w:rsidR="009D2CC9" w:rsidRPr="00523BA4" w:rsidRDefault="00026CD8" w:rsidP="00A75186">
      <w:pPr>
        <w:spacing w:line="240" w:lineRule="auto"/>
        <w:rPr>
          <w:rFonts w:cstheme="minorHAnsi"/>
          <w:i/>
          <w:noProof/>
          <w:sz w:val="18"/>
          <w:szCs w:val="18"/>
          <w:lang w:eastAsia="en-AU"/>
        </w:rPr>
      </w:pPr>
      <w:r w:rsidRPr="00523BA4">
        <w:rPr>
          <w:rFonts w:cstheme="minorHAnsi"/>
          <w:noProof/>
          <w:sz w:val="18"/>
          <w:szCs w:val="18"/>
          <w:lang w:eastAsia="en-AU"/>
        </w:rPr>
        <w:t>Turkish: Lütfen bizi arayın 1300 130 670 bizimle bu rapor için bir tercüman istiyorsanız,</w:t>
      </w:r>
    </w:p>
    <w:p w14:paraId="1F787421" w14:textId="77777777" w:rsidR="00396184" w:rsidRPr="00523BA4" w:rsidRDefault="00026CD8" w:rsidP="00A75186">
      <w:pPr>
        <w:spacing w:line="240" w:lineRule="auto"/>
        <w:rPr>
          <w:rFonts w:cstheme="minorHAnsi"/>
          <w:i/>
          <w:noProof/>
          <w:sz w:val="18"/>
          <w:szCs w:val="18"/>
          <w:lang w:eastAsia="en-AU"/>
        </w:rPr>
      </w:pPr>
      <w:r w:rsidRPr="00523BA4">
        <w:rPr>
          <w:rFonts w:cstheme="minorHAnsi"/>
          <w:noProof/>
          <w:sz w:val="18"/>
          <w:szCs w:val="18"/>
          <w:lang w:eastAsia="en-AU"/>
        </w:rPr>
        <w:t xml:space="preserve">Japanese: </w:t>
      </w:r>
      <w:r w:rsidRPr="00523BA4">
        <w:rPr>
          <w:rFonts w:eastAsia="MS Gothic" w:cstheme="minorHAnsi"/>
          <w:noProof/>
          <w:sz w:val="18"/>
          <w:szCs w:val="18"/>
          <w:lang w:eastAsia="en-AU"/>
        </w:rPr>
        <w:t>このレポートのための通訳の手配を希望する場合は、</w:t>
      </w:r>
      <w:r w:rsidRPr="00523BA4">
        <w:rPr>
          <w:rFonts w:cstheme="minorHAnsi"/>
          <w:noProof/>
          <w:sz w:val="18"/>
          <w:szCs w:val="18"/>
          <w:lang w:eastAsia="en-AU"/>
        </w:rPr>
        <w:t>1300</w:t>
      </w:r>
      <w:r w:rsidRPr="00523BA4">
        <w:rPr>
          <w:rFonts w:eastAsia="MS Gothic" w:cstheme="minorHAnsi"/>
          <w:noProof/>
          <w:sz w:val="18"/>
          <w:szCs w:val="18"/>
          <w:lang w:eastAsia="en-AU"/>
        </w:rPr>
        <w:t>年</w:t>
      </w:r>
      <w:r w:rsidRPr="00523BA4">
        <w:rPr>
          <w:rFonts w:cstheme="minorHAnsi"/>
          <w:noProof/>
          <w:sz w:val="18"/>
          <w:szCs w:val="18"/>
          <w:lang w:eastAsia="en-AU"/>
        </w:rPr>
        <w:t xml:space="preserve"> 130 670 </w:t>
      </w:r>
      <w:r w:rsidRPr="00523BA4">
        <w:rPr>
          <w:rFonts w:eastAsia="MS Gothic" w:cstheme="minorHAnsi"/>
          <w:noProof/>
          <w:sz w:val="18"/>
          <w:szCs w:val="18"/>
          <w:lang w:eastAsia="en-AU"/>
        </w:rPr>
        <w:t>に問い合わせください。</w:t>
      </w:r>
    </w:p>
    <w:p w14:paraId="6B0BC6FD" w14:textId="77777777" w:rsidR="00026CD8" w:rsidRPr="00523BA4" w:rsidRDefault="00026CD8" w:rsidP="00A75186">
      <w:pPr>
        <w:spacing w:line="240" w:lineRule="auto"/>
        <w:rPr>
          <w:rFonts w:cstheme="minorHAnsi"/>
          <w:i/>
          <w:noProof/>
          <w:sz w:val="18"/>
          <w:szCs w:val="18"/>
          <w:lang w:eastAsia="en-AU"/>
        </w:rPr>
      </w:pPr>
      <w:r w:rsidRPr="00523BA4">
        <w:rPr>
          <w:rFonts w:cstheme="minorHAnsi"/>
          <w:noProof/>
          <w:sz w:val="18"/>
          <w:szCs w:val="18"/>
          <w:lang w:eastAsia="en-AU"/>
        </w:rPr>
        <w:t>Dutch: Als u wij dat wilt te regelen een tolk voor dit verslag, bel ons op 1300 130 670</w:t>
      </w:r>
    </w:p>
    <w:p w14:paraId="3DDDD02C" w14:textId="77777777" w:rsidR="00026CD8" w:rsidRPr="00523BA4" w:rsidRDefault="00026CD8" w:rsidP="00A75186">
      <w:pPr>
        <w:spacing w:line="240" w:lineRule="auto"/>
        <w:rPr>
          <w:rFonts w:cstheme="minorHAnsi"/>
          <w:i/>
          <w:noProof/>
          <w:sz w:val="18"/>
          <w:szCs w:val="18"/>
          <w:lang w:eastAsia="en-AU"/>
        </w:rPr>
      </w:pPr>
      <w:r w:rsidRPr="00523BA4">
        <w:rPr>
          <w:rFonts w:cstheme="minorHAnsi"/>
          <w:noProof/>
          <w:sz w:val="18"/>
          <w:szCs w:val="18"/>
          <w:lang w:eastAsia="en-AU"/>
        </w:rPr>
        <w:t xml:space="preserve">Korean: </w:t>
      </w:r>
      <w:r w:rsidRPr="00523BA4">
        <w:rPr>
          <w:rFonts w:eastAsia="Batang" w:cstheme="minorHAnsi"/>
          <w:noProof/>
          <w:sz w:val="18"/>
          <w:szCs w:val="18"/>
          <w:lang w:eastAsia="en-AU"/>
        </w:rPr>
        <w:t>우리가이</w:t>
      </w:r>
      <w:r w:rsidRPr="00523BA4">
        <w:rPr>
          <w:rFonts w:cstheme="minorHAnsi"/>
          <w:noProof/>
          <w:sz w:val="18"/>
          <w:szCs w:val="18"/>
          <w:lang w:eastAsia="en-AU"/>
        </w:rPr>
        <w:t xml:space="preserve"> </w:t>
      </w:r>
      <w:r w:rsidRPr="00523BA4">
        <w:rPr>
          <w:rFonts w:eastAsia="Batang" w:cstheme="minorHAnsi"/>
          <w:noProof/>
          <w:sz w:val="18"/>
          <w:szCs w:val="18"/>
          <w:lang w:eastAsia="en-AU"/>
        </w:rPr>
        <w:t>보고서에</w:t>
      </w:r>
      <w:r w:rsidRPr="00523BA4">
        <w:rPr>
          <w:rFonts w:cstheme="minorHAnsi"/>
          <w:noProof/>
          <w:sz w:val="18"/>
          <w:szCs w:val="18"/>
          <w:lang w:eastAsia="en-AU"/>
        </w:rPr>
        <w:t xml:space="preserve"> </w:t>
      </w:r>
      <w:r w:rsidRPr="00523BA4">
        <w:rPr>
          <w:rFonts w:eastAsia="Batang" w:cstheme="minorHAnsi"/>
          <w:noProof/>
          <w:sz w:val="18"/>
          <w:szCs w:val="18"/>
          <w:lang w:eastAsia="en-AU"/>
        </w:rPr>
        <w:t>대</w:t>
      </w:r>
      <w:r w:rsidRPr="00523BA4">
        <w:rPr>
          <w:rFonts w:cstheme="minorHAnsi"/>
          <w:noProof/>
          <w:sz w:val="18"/>
          <w:szCs w:val="18"/>
          <w:lang w:eastAsia="en-AU"/>
        </w:rPr>
        <w:t xml:space="preserve"> </w:t>
      </w:r>
      <w:r w:rsidRPr="00523BA4">
        <w:rPr>
          <w:rFonts w:eastAsia="Batang" w:cstheme="minorHAnsi"/>
          <w:noProof/>
          <w:sz w:val="18"/>
          <w:szCs w:val="18"/>
          <w:lang w:eastAsia="en-AU"/>
        </w:rPr>
        <w:t>한</w:t>
      </w:r>
      <w:r w:rsidRPr="00523BA4">
        <w:rPr>
          <w:rFonts w:cstheme="minorHAnsi"/>
          <w:noProof/>
          <w:sz w:val="18"/>
          <w:szCs w:val="18"/>
          <w:lang w:eastAsia="en-AU"/>
        </w:rPr>
        <w:t xml:space="preserve"> </w:t>
      </w:r>
      <w:r w:rsidRPr="00523BA4">
        <w:rPr>
          <w:rFonts w:eastAsia="Batang" w:cstheme="minorHAnsi"/>
          <w:noProof/>
          <w:sz w:val="18"/>
          <w:szCs w:val="18"/>
          <w:lang w:eastAsia="en-AU"/>
        </w:rPr>
        <w:t>해석자를</w:t>
      </w:r>
      <w:r w:rsidRPr="00523BA4">
        <w:rPr>
          <w:rFonts w:cstheme="minorHAnsi"/>
          <w:noProof/>
          <w:sz w:val="18"/>
          <w:szCs w:val="18"/>
          <w:lang w:eastAsia="en-AU"/>
        </w:rPr>
        <w:t xml:space="preserve"> </w:t>
      </w:r>
      <w:r w:rsidRPr="00523BA4">
        <w:rPr>
          <w:rFonts w:eastAsia="Batang" w:cstheme="minorHAnsi"/>
          <w:noProof/>
          <w:sz w:val="18"/>
          <w:szCs w:val="18"/>
          <w:lang w:eastAsia="en-AU"/>
        </w:rPr>
        <w:t>정렬</w:t>
      </w:r>
      <w:r w:rsidRPr="00523BA4">
        <w:rPr>
          <w:rFonts w:cstheme="minorHAnsi"/>
          <w:noProof/>
          <w:sz w:val="18"/>
          <w:szCs w:val="18"/>
          <w:lang w:eastAsia="en-AU"/>
        </w:rPr>
        <w:t xml:space="preserve"> </w:t>
      </w:r>
      <w:r w:rsidRPr="00523BA4">
        <w:rPr>
          <w:rFonts w:eastAsia="Batang" w:cstheme="minorHAnsi"/>
          <w:noProof/>
          <w:sz w:val="18"/>
          <w:szCs w:val="18"/>
          <w:lang w:eastAsia="en-AU"/>
        </w:rPr>
        <w:t>작업을</w:t>
      </w:r>
      <w:r w:rsidRPr="00523BA4">
        <w:rPr>
          <w:rFonts w:cstheme="minorHAnsi"/>
          <w:noProof/>
          <w:sz w:val="18"/>
          <w:szCs w:val="18"/>
          <w:lang w:eastAsia="en-AU"/>
        </w:rPr>
        <w:t xml:space="preserve"> </w:t>
      </w:r>
      <w:r w:rsidRPr="00523BA4">
        <w:rPr>
          <w:rFonts w:eastAsia="Batang" w:cstheme="minorHAnsi"/>
          <w:noProof/>
          <w:sz w:val="18"/>
          <w:szCs w:val="18"/>
          <w:lang w:eastAsia="en-AU"/>
        </w:rPr>
        <w:t>원하시면</w:t>
      </w:r>
      <w:r w:rsidRPr="00523BA4">
        <w:rPr>
          <w:rFonts w:cstheme="minorHAnsi"/>
          <w:noProof/>
          <w:sz w:val="18"/>
          <w:szCs w:val="18"/>
          <w:lang w:eastAsia="en-AU"/>
        </w:rPr>
        <w:t xml:space="preserve"> </w:t>
      </w:r>
      <w:r w:rsidRPr="00523BA4">
        <w:rPr>
          <w:rFonts w:eastAsia="Batang" w:cstheme="minorHAnsi"/>
          <w:noProof/>
          <w:sz w:val="18"/>
          <w:szCs w:val="18"/>
          <w:lang w:eastAsia="en-AU"/>
        </w:rPr>
        <w:t>전화</w:t>
      </w:r>
      <w:r w:rsidRPr="00523BA4">
        <w:rPr>
          <w:rFonts w:cstheme="minorHAnsi"/>
          <w:noProof/>
          <w:sz w:val="18"/>
          <w:szCs w:val="18"/>
          <w:lang w:eastAsia="en-AU"/>
        </w:rPr>
        <w:t xml:space="preserve"> </w:t>
      </w:r>
      <w:r w:rsidRPr="00523BA4">
        <w:rPr>
          <w:rFonts w:eastAsia="Batang" w:cstheme="minorHAnsi"/>
          <w:noProof/>
          <w:sz w:val="18"/>
          <w:szCs w:val="18"/>
          <w:lang w:eastAsia="en-AU"/>
        </w:rPr>
        <w:t>주시기</w:t>
      </w:r>
      <w:r w:rsidRPr="00523BA4">
        <w:rPr>
          <w:rFonts w:cstheme="minorHAnsi"/>
          <w:noProof/>
          <w:sz w:val="18"/>
          <w:szCs w:val="18"/>
          <w:lang w:eastAsia="en-AU"/>
        </w:rPr>
        <w:t xml:space="preserve"> </w:t>
      </w:r>
      <w:r w:rsidRPr="00523BA4">
        <w:rPr>
          <w:rFonts w:eastAsia="Batang" w:cstheme="minorHAnsi"/>
          <w:noProof/>
          <w:sz w:val="18"/>
          <w:szCs w:val="18"/>
          <w:lang w:eastAsia="en-AU"/>
        </w:rPr>
        <w:t>바랍니다에</w:t>
      </w:r>
      <w:r w:rsidRPr="00523BA4">
        <w:rPr>
          <w:rFonts w:cstheme="minorHAnsi"/>
          <w:noProof/>
          <w:sz w:val="18"/>
          <w:szCs w:val="18"/>
          <w:lang w:eastAsia="en-AU"/>
        </w:rPr>
        <w:t xml:space="preserve"> 1300 130 670</w:t>
      </w:r>
    </w:p>
    <w:p w14:paraId="0187EFFF" w14:textId="77777777" w:rsidR="008913B5" w:rsidRPr="00523BA4" w:rsidRDefault="008913B5" w:rsidP="00A75186">
      <w:pPr>
        <w:spacing w:line="240" w:lineRule="auto"/>
        <w:rPr>
          <w:rFonts w:cstheme="minorHAnsi"/>
          <w:i/>
          <w:sz w:val="18"/>
          <w:szCs w:val="18"/>
        </w:rPr>
      </w:pPr>
      <w:r w:rsidRPr="00523BA4">
        <w:rPr>
          <w:rFonts w:cstheme="minorHAnsi"/>
          <w:sz w:val="18"/>
          <w:szCs w:val="18"/>
        </w:rPr>
        <w:t xml:space="preserve">© Anti-Discrimination </w:t>
      </w:r>
      <w:r w:rsidR="00B014D3" w:rsidRPr="00523BA4">
        <w:rPr>
          <w:rFonts w:cstheme="minorHAnsi"/>
          <w:sz w:val="18"/>
          <w:szCs w:val="18"/>
        </w:rPr>
        <w:t>Commission Queensland 201</w:t>
      </w:r>
      <w:r w:rsidR="009417CD" w:rsidRPr="00523BA4">
        <w:rPr>
          <w:rFonts w:cstheme="minorHAnsi"/>
          <w:sz w:val="18"/>
          <w:szCs w:val="18"/>
        </w:rPr>
        <w:t>9</w:t>
      </w:r>
    </w:p>
    <w:p w14:paraId="570EAC1A" w14:textId="77777777" w:rsidR="008913B5" w:rsidRPr="00523BA4" w:rsidRDefault="008913B5" w:rsidP="00A75186">
      <w:pPr>
        <w:spacing w:line="240" w:lineRule="auto"/>
        <w:rPr>
          <w:rFonts w:cstheme="minorHAnsi"/>
          <w:i/>
          <w:sz w:val="18"/>
          <w:szCs w:val="18"/>
        </w:rPr>
      </w:pPr>
      <w:r w:rsidRPr="00523BA4">
        <w:rPr>
          <w:rFonts w:cstheme="minorHAnsi"/>
          <w:sz w:val="18"/>
          <w:szCs w:val="18"/>
        </w:rPr>
        <w:t>ISSN 1441-5747 (print)</w:t>
      </w:r>
      <w:r w:rsidR="00A5321B" w:rsidRPr="00523BA4">
        <w:rPr>
          <w:rFonts w:cstheme="minorHAnsi"/>
          <w:sz w:val="18"/>
          <w:szCs w:val="18"/>
        </w:rPr>
        <w:tab/>
      </w:r>
      <w:r w:rsidR="00A5321B" w:rsidRPr="00523BA4">
        <w:rPr>
          <w:rFonts w:cstheme="minorHAnsi"/>
          <w:sz w:val="18"/>
          <w:szCs w:val="18"/>
        </w:rPr>
        <w:tab/>
      </w:r>
      <w:r w:rsidRPr="00523BA4">
        <w:rPr>
          <w:rFonts w:cstheme="minorHAnsi"/>
          <w:sz w:val="18"/>
          <w:szCs w:val="18"/>
        </w:rPr>
        <w:t>ISSN 1837-0640 (online)</w:t>
      </w:r>
    </w:p>
    <w:p w14:paraId="68ED5090" w14:textId="77777777" w:rsidR="008913B5" w:rsidRPr="00523BA4" w:rsidRDefault="008913B5" w:rsidP="00A75186">
      <w:pPr>
        <w:spacing w:line="240" w:lineRule="auto"/>
        <w:rPr>
          <w:rFonts w:cstheme="minorHAnsi"/>
          <w:i/>
          <w:sz w:val="18"/>
          <w:szCs w:val="18"/>
        </w:rPr>
      </w:pPr>
      <w:r w:rsidRPr="00523BA4">
        <w:rPr>
          <w:rFonts w:cstheme="minorHAnsi"/>
          <w:sz w:val="18"/>
          <w:szCs w:val="18"/>
        </w:rPr>
        <w:t>Copyright protects this material. The Anti-Discrimination Commission Queensland has no objection to this material being reproduced but asserts its right to be recognised as the author of its material</w:t>
      </w:r>
      <w:r w:rsidR="00F13574" w:rsidRPr="00523BA4">
        <w:rPr>
          <w:rFonts w:cstheme="minorHAnsi"/>
          <w:sz w:val="18"/>
          <w:szCs w:val="18"/>
        </w:rPr>
        <w:t>,</w:t>
      </w:r>
      <w:r w:rsidRPr="00523BA4">
        <w:rPr>
          <w:rFonts w:cstheme="minorHAnsi"/>
          <w:sz w:val="18"/>
          <w:szCs w:val="18"/>
        </w:rPr>
        <w:t xml:space="preserve"> and the right to have its material remain unaltered. Printed copies of this re</w:t>
      </w:r>
      <w:r w:rsidR="00E55356" w:rsidRPr="00523BA4">
        <w:rPr>
          <w:rFonts w:cstheme="minorHAnsi"/>
          <w:sz w:val="18"/>
          <w:szCs w:val="18"/>
        </w:rPr>
        <w:t>port are available through the C</w:t>
      </w:r>
      <w:r w:rsidRPr="00523BA4">
        <w:rPr>
          <w:rFonts w:cstheme="minorHAnsi"/>
          <w:sz w:val="18"/>
          <w:szCs w:val="18"/>
        </w:rPr>
        <w:t xml:space="preserve">ommission’s </w:t>
      </w:r>
      <w:r w:rsidR="00F13574" w:rsidRPr="00523BA4">
        <w:rPr>
          <w:rFonts w:cstheme="minorHAnsi"/>
          <w:sz w:val="18"/>
          <w:szCs w:val="18"/>
        </w:rPr>
        <w:t xml:space="preserve">Brisbane </w:t>
      </w:r>
      <w:r w:rsidRPr="00523BA4">
        <w:rPr>
          <w:rFonts w:cstheme="minorHAnsi"/>
          <w:sz w:val="18"/>
          <w:szCs w:val="18"/>
        </w:rPr>
        <w:t xml:space="preserve">office. </w:t>
      </w:r>
    </w:p>
    <w:p w14:paraId="733897ED" w14:textId="77777777" w:rsidR="00E86F07" w:rsidRPr="00523BA4" w:rsidRDefault="00E86F07" w:rsidP="00A75186">
      <w:pPr>
        <w:spacing w:line="240" w:lineRule="auto"/>
        <w:rPr>
          <w:rFonts w:cstheme="minorHAnsi"/>
          <w:i/>
          <w:sz w:val="18"/>
          <w:szCs w:val="18"/>
        </w:rPr>
      </w:pPr>
      <w:r w:rsidRPr="00523BA4">
        <w:rPr>
          <w:rFonts w:cstheme="minorHAnsi"/>
          <w:sz w:val="18"/>
          <w:szCs w:val="18"/>
        </w:rPr>
        <w:t>This annual report is licensed by the State of Queensland (Anti-Discrimination Commission Queensland) under a Creative Commons Attribution (CC BY) 3.0 Australia licence.</w:t>
      </w:r>
    </w:p>
    <w:p w14:paraId="5D29435A" w14:textId="77777777" w:rsidR="00A5321B" w:rsidRPr="00523BA4" w:rsidRDefault="00A5321B" w:rsidP="00A75186">
      <w:pPr>
        <w:spacing w:line="240" w:lineRule="auto"/>
        <w:rPr>
          <w:rFonts w:cstheme="minorHAnsi"/>
          <w:i/>
          <w:color w:val="000000"/>
          <w:sz w:val="18"/>
          <w:szCs w:val="18"/>
        </w:rPr>
      </w:pPr>
      <w:r w:rsidRPr="00523BA4">
        <w:rPr>
          <w:rFonts w:cstheme="minorHAnsi"/>
          <w:i/>
          <w:noProof/>
          <w:sz w:val="18"/>
          <w:szCs w:val="18"/>
          <w:lang w:eastAsia="en-AU"/>
        </w:rPr>
        <w:drawing>
          <wp:inline distT="0" distB="0" distL="0" distR="0" wp14:anchorId="3C99E15B" wp14:editId="76673EFD">
            <wp:extent cx="828675" cy="285750"/>
            <wp:effectExtent l="0" t="0" r="9525" b="0"/>
            <wp:docPr id="2" name="Picture 2" descr="Creative Commons license, attribut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rsidR="00797077" w:rsidRPr="00523BA4">
        <w:rPr>
          <w:rFonts w:cstheme="minorHAnsi"/>
          <w:color w:val="000000"/>
          <w:sz w:val="18"/>
          <w:szCs w:val="18"/>
        </w:rPr>
        <w:t>To view a copy of this licence, visit</w:t>
      </w:r>
      <w:r w:rsidR="007B6AED" w:rsidRPr="00523BA4">
        <w:rPr>
          <w:rFonts w:cstheme="minorHAnsi"/>
          <w:color w:val="000000"/>
          <w:sz w:val="18"/>
          <w:szCs w:val="18"/>
        </w:rPr>
        <w:t>:</w:t>
      </w:r>
      <w:r w:rsidR="00797077" w:rsidRPr="00523BA4">
        <w:rPr>
          <w:rFonts w:cstheme="minorHAnsi"/>
          <w:color w:val="000000"/>
          <w:sz w:val="18"/>
          <w:szCs w:val="18"/>
        </w:rPr>
        <w:t xml:space="preserve"> </w:t>
      </w:r>
      <w:hyperlink r:id="rId12" w:history="1">
        <w:r w:rsidRPr="00523BA4">
          <w:rPr>
            <w:rStyle w:val="Hyperlink"/>
            <w:rFonts w:cstheme="minorHAnsi"/>
            <w:sz w:val="18"/>
            <w:szCs w:val="18"/>
          </w:rPr>
          <w:t>http://creativecommons.org/licenses/by/3.0/au/deed.en</w:t>
        </w:r>
      </w:hyperlink>
    </w:p>
    <w:p w14:paraId="1309AF09" w14:textId="77777777" w:rsidR="00FE0AE0" w:rsidRPr="00523BA4" w:rsidRDefault="008913B5" w:rsidP="00A75186">
      <w:pPr>
        <w:spacing w:line="240" w:lineRule="auto"/>
        <w:rPr>
          <w:rFonts w:cstheme="minorHAnsi"/>
          <w:i/>
          <w:sz w:val="18"/>
          <w:szCs w:val="18"/>
        </w:rPr>
      </w:pPr>
      <w:r w:rsidRPr="00523BA4">
        <w:rPr>
          <w:rFonts w:cstheme="minorHAnsi"/>
          <w:sz w:val="18"/>
          <w:szCs w:val="18"/>
        </w:rPr>
        <w:t xml:space="preserve">This publication </w:t>
      </w:r>
      <w:r w:rsidR="00F13574" w:rsidRPr="00523BA4">
        <w:rPr>
          <w:rFonts w:cstheme="minorHAnsi"/>
          <w:sz w:val="18"/>
          <w:szCs w:val="18"/>
        </w:rPr>
        <w:t>is available</w:t>
      </w:r>
      <w:r w:rsidR="009417CD" w:rsidRPr="00523BA4">
        <w:rPr>
          <w:rFonts w:cstheme="minorHAnsi"/>
          <w:sz w:val="18"/>
          <w:szCs w:val="18"/>
        </w:rPr>
        <w:t xml:space="preserve"> in electronic format on the Queensland Human Rights Commission</w:t>
      </w:r>
      <w:r w:rsidRPr="00523BA4">
        <w:rPr>
          <w:rFonts w:cstheme="minorHAnsi"/>
          <w:sz w:val="18"/>
          <w:szCs w:val="18"/>
        </w:rPr>
        <w:t xml:space="preserve">’s website at: </w:t>
      </w:r>
      <w:hyperlink r:id="rId13" w:history="1">
        <w:r w:rsidR="009417CD" w:rsidRPr="00523BA4">
          <w:rPr>
            <w:rStyle w:val="Hyperlink"/>
            <w:rFonts w:cstheme="minorHAnsi"/>
            <w:sz w:val="18"/>
            <w:szCs w:val="18"/>
          </w:rPr>
          <w:t>www.qhrc.qld.gov.au</w:t>
        </w:r>
      </w:hyperlink>
      <w:r w:rsidRPr="00523BA4">
        <w:rPr>
          <w:rFonts w:cstheme="minorHAnsi"/>
          <w:sz w:val="18"/>
          <w:szCs w:val="18"/>
        </w:rPr>
        <w:t>.</w:t>
      </w:r>
      <w:bookmarkStart w:id="0" w:name="_GoBack"/>
      <w:bookmarkEnd w:id="0"/>
    </w:p>
    <w:p w14:paraId="758CAFDA" w14:textId="77777777" w:rsidR="007F3CF5" w:rsidRDefault="007F3CF5" w:rsidP="00A75186">
      <w:pPr>
        <w:spacing w:line="240" w:lineRule="auto"/>
        <w:rPr>
          <w:rFonts w:ascii="Arial" w:eastAsiaTheme="minorHAnsi" w:hAnsi="Arial" w:cstheme="minorHAnsi"/>
          <w:i/>
          <w:noProof/>
          <w:sz w:val="24"/>
          <w:highlight w:val="yellow"/>
          <w:shd w:val="clear" w:color="auto" w:fill="ECDFD3" w:themeFill="accent2" w:themeFillTint="33"/>
          <w:lang w:eastAsia="en-AU"/>
        </w:rPr>
      </w:pPr>
      <w:r>
        <w:rPr>
          <w:rFonts w:eastAsiaTheme="minorHAnsi"/>
          <w:highlight w:val="yellow"/>
          <w:lang w:eastAsia="en-AU"/>
        </w:rPr>
        <w:br w:type="page"/>
      </w:r>
    </w:p>
    <w:sdt>
      <w:sdtPr>
        <w:rPr>
          <w:rFonts w:asciiTheme="minorHAnsi" w:eastAsiaTheme="minorEastAsia" w:hAnsiTheme="minorHAnsi" w:cstheme="minorBidi"/>
          <w:b/>
          <w:bCs w:val="0"/>
          <w:i/>
          <w:color w:val="auto"/>
          <w:sz w:val="20"/>
          <w:szCs w:val="20"/>
          <w:highlight w:val="yellow"/>
          <w:lang w:bidi="ar-SA"/>
        </w:rPr>
        <w:id w:val="1163655709"/>
        <w:docPartObj>
          <w:docPartGallery w:val="Table of Contents"/>
          <w:docPartUnique/>
        </w:docPartObj>
      </w:sdtPr>
      <w:sdtEndPr>
        <w:rPr>
          <w:b w:val="0"/>
          <w:i w:val="0"/>
          <w:noProof/>
          <w:color w:val="000000" w:themeColor="text1"/>
        </w:rPr>
      </w:sdtEndPr>
      <w:sdtContent>
        <w:p w14:paraId="31433841" w14:textId="77777777" w:rsidR="00CB415A" w:rsidRPr="00BF5FE5" w:rsidRDefault="00CB415A" w:rsidP="00A75186">
          <w:pPr>
            <w:pStyle w:val="TOCHeading"/>
          </w:pPr>
          <w:r w:rsidRPr="00BF5FE5">
            <w:t>Contents</w:t>
          </w:r>
        </w:p>
        <w:p w14:paraId="7AD1EB67" w14:textId="090DA05B" w:rsidR="00BF5FE5" w:rsidRPr="00B5590A" w:rsidRDefault="00CB415A" w:rsidP="00B5590A">
          <w:pPr>
            <w:pStyle w:val="TOC1"/>
            <w:shd w:val="clear" w:color="auto" w:fill="FFFFFF" w:themeFill="background2"/>
            <w:rPr>
              <w:rFonts w:cstheme="minorBidi"/>
              <w:i w:val="0"/>
              <w:iCs w:val="0"/>
              <w:sz w:val="20"/>
              <w:shd w:val="clear" w:color="auto" w:fill="auto"/>
              <w:lang w:eastAsia="en-AU"/>
            </w:rPr>
          </w:pPr>
          <w:r w:rsidRPr="00B5590A">
            <w:rPr>
              <w:i w:val="0"/>
              <w:sz w:val="20"/>
            </w:rPr>
            <w:fldChar w:fldCharType="begin"/>
          </w:r>
          <w:r w:rsidRPr="00B5590A">
            <w:rPr>
              <w:i w:val="0"/>
              <w:sz w:val="20"/>
            </w:rPr>
            <w:instrText xml:space="preserve"> TOC \o "1-3" \h \z \u </w:instrText>
          </w:r>
          <w:r w:rsidRPr="00B5590A">
            <w:rPr>
              <w:i w:val="0"/>
              <w:sz w:val="20"/>
            </w:rPr>
            <w:fldChar w:fldCharType="separate"/>
          </w:r>
          <w:hyperlink w:anchor="_Toc16855327" w:history="1">
            <w:r w:rsidR="00BF5FE5" w:rsidRPr="00B5590A">
              <w:rPr>
                <w:rStyle w:val="Hyperlink"/>
                <w:i w:val="0"/>
                <w:color w:val="000000" w:themeColor="text1"/>
                <w:sz w:val="20"/>
              </w:rPr>
              <w:t>Letter of compliance</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_Toc16855327 \h </w:instrText>
            </w:r>
            <w:r w:rsidR="00BF5FE5" w:rsidRPr="00B5590A">
              <w:rPr>
                <w:i w:val="0"/>
                <w:webHidden/>
                <w:sz w:val="20"/>
              </w:rPr>
            </w:r>
            <w:r w:rsidR="00BF5FE5" w:rsidRPr="00B5590A">
              <w:rPr>
                <w:i w:val="0"/>
                <w:webHidden/>
                <w:sz w:val="20"/>
              </w:rPr>
              <w:fldChar w:fldCharType="separate"/>
            </w:r>
            <w:r w:rsidR="00B5590A">
              <w:rPr>
                <w:i w:val="0"/>
                <w:webHidden/>
                <w:sz w:val="20"/>
              </w:rPr>
              <w:t>3</w:t>
            </w:r>
            <w:r w:rsidR="00BF5FE5" w:rsidRPr="00B5590A">
              <w:rPr>
                <w:i w:val="0"/>
                <w:webHidden/>
                <w:sz w:val="20"/>
              </w:rPr>
              <w:fldChar w:fldCharType="end"/>
            </w:r>
          </w:hyperlink>
        </w:p>
        <w:p w14:paraId="6240CDCB" w14:textId="3B07EEB6"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28" w:history="1">
            <w:r w:rsidR="00BF5FE5" w:rsidRPr="00B5590A">
              <w:rPr>
                <w:rStyle w:val="Hyperlink"/>
                <w:i w:val="0"/>
                <w:color w:val="000000" w:themeColor="text1"/>
                <w:sz w:val="20"/>
              </w:rPr>
              <w:t>Commissioner’s foreword</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_Toc16855328 \h </w:instrText>
            </w:r>
            <w:r w:rsidR="00BF5FE5" w:rsidRPr="00B5590A">
              <w:rPr>
                <w:i w:val="0"/>
                <w:webHidden/>
                <w:sz w:val="20"/>
              </w:rPr>
            </w:r>
            <w:r w:rsidR="00BF5FE5" w:rsidRPr="00B5590A">
              <w:rPr>
                <w:i w:val="0"/>
                <w:webHidden/>
                <w:sz w:val="20"/>
              </w:rPr>
              <w:fldChar w:fldCharType="separate"/>
            </w:r>
            <w:r w:rsidR="00B5590A">
              <w:rPr>
                <w:i w:val="0"/>
                <w:webHidden/>
                <w:sz w:val="20"/>
              </w:rPr>
              <w:t>4</w:t>
            </w:r>
            <w:r w:rsidR="00BF5FE5" w:rsidRPr="00B5590A">
              <w:rPr>
                <w:i w:val="0"/>
                <w:webHidden/>
                <w:sz w:val="20"/>
              </w:rPr>
              <w:fldChar w:fldCharType="end"/>
            </w:r>
          </w:hyperlink>
        </w:p>
        <w:p w14:paraId="6B23DCDB" w14:textId="2FE4D0FE"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29" w:history="1">
            <w:r w:rsidR="00BF5FE5" w:rsidRPr="00B5590A">
              <w:rPr>
                <w:rStyle w:val="Hyperlink"/>
                <w:i w:val="0"/>
                <w:color w:val="000000" w:themeColor="text1"/>
                <w:sz w:val="20"/>
              </w:rPr>
              <w:t>About the Anti-Discrimination Commission Queensland</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_Toc16855329 \h </w:instrText>
            </w:r>
            <w:r w:rsidR="00BF5FE5" w:rsidRPr="00B5590A">
              <w:rPr>
                <w:i w:val="0"/>
                <w:webHidden/>
                <w:sz w:val="20"/>
              </w:rPr>
            </w:r>
            <w:r w:rsidR="00BF5FE5" w:rsidRPr="00B5590A">
              <w:rPr>
                <w:i w:val="0"/>
                <w:webHidden/>
                <w:sz w:val="20"/>
              </w:rPr>
              <w:fldChar w:fldCharType="separate"/>
            </w:r>
            <w:r w:rsidR="00B5590A">
              <w:rPr>
                <w:i w:val="0"/>
                <w:webHidden/>
                <w:sz w:val="20"/>
              </w:rPr>
              <w:t>5</w:t>
            </w:r>
            <w:r w:rsidR="00BF5FE5" w:rsidRPr="00B5590A">
              <w:rPr>
                <w:i w:val="0"/>
                <w:webHidden/>
                <w:sz w:val="20"/>
              </w:rPr>
              <w:fldChar w:fldCharType="end"/>
            </w:r>
          </w:hyperlink>
        </w:p>
        <w:p w14:paraId="59DC9DEA" w14:textId="417853BF"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0" w:history="1">
            <w:r w:rsidR="00BF5FE5" w:rsidRPr="00B5590A">
              <w:rPr>
                <w:rStyle w:val="Hyperlink"/>
                <w:i w:val="0"/>
                <w:color w:val="000000" w:themeColor="text1"/>
                <w:sz w:val="20"/>
              </w:rPr>
              <w:t>Performance statement 2018-19</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_Toc16855330 \h </w:instrText>
            </w:r>
            <w:r w:rsidR="00BF5FE5" w:rsidRPr="00B5590A">
              <w:rPr>
                <w:i w:val="0"/>
                <w:webHidden/>
                <w:sz w:val="20"/>
              </w:rPr>
            </w:r>
            <w:r w:rsidR="00BF5FE5" w:rsidRPr="00B5590A">
              <w:rPr>
                <w:i w:val="0"/>
                <w:webHidden/>
                <w:sz w:val="20"/>
              </w:rPr>
              <w:fldChar w:fldCharType="separate"/>
            </w:r>
            <w:r w:rsidR="00B5590A">
              <w:rPr>
                <w:i w:val="0"/>
                <w:webHidden/>
                <w:sz w:val="20"/>
              </w:rPr>
              <w:t>9</w:t>
            </w:r>
            <w:r w:rsidR="00BF5FE5" w:rsidRPr="00B5590A">
              <w:rPr>
                <w:i w:val="0"/>
                <w:webHidden/>
                <w:sz w:val="20"/>
              </w:rPr>
              <w:fldChar w:fldCharType="end"/>
            </w:r>
          </w:hyperlink>
        </w:p>
        <w:p w14:paraId="7FA30A9F" w14:textId="48364143"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1" w:history="1">
            <w:r w:rsidR="00BF5FE5" w:rsidRPr="00B5590A">
              <w:rPr>
                <w:rStyle w:val="Hyperlink"/>
                <w:i w:val="0"/>
                <w:color w:val="000000" w:themeColor="text1"/>
                <w:sz w:val="20"/>
              </w:rPr>
              <w:t>Community engagement and education</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_Toc16855331 \h </w:instrText>
            </w:r>
            <w:r w:rsidR="00BF5FE5" w:rsidRPr="00B5590A">
              <w:rPr>
                <w:i w:val="0"/>
                <w:webHidden/>
                <w:sz w:val="20"/>
              </w:rPr>
            </w:r>
            <w:r w:rsidR="00BF5FE5" w:rsidRPr="00B5590A">
              <w:rPr>
                <w:i w:val="0"/>
                <w:webHidden/>
                <w:sz w:val="20"/>
              </w:rPr>
              <w:fldChar w:fldCharType="separate"/>
            </w:r>
            <w:r w:rsidR="00B5590A">
              <w:rPr>
                <w:i w:val="0"/>
                <w:webHidden/>
                <w:sz w:val="20"/>
              </w:rPr>
              <w:t>10</w:t>
            </w:r>
            <w:r w:rsidR="00BF5FE5" w:rsidRPr="00B5590A">
              <w:rPr>
                <w:i w:val="0"/>
                <w:webHidden/>
                <w:sz w:val="20"/>
              </w:rPr>
              <w:fldChar w:fldCharType="end"/>
            </w:r>
          </w:hyperlink>
        </w:p>
        <w:p w14:paraId="2CDB7631" w14:textId="19C6BCE2"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2" w:history="1">
            <w:r w:rsidR="00BF5FE5" w:rsidRPr="00B5590A">
              <w:rPr>
                <w:rStyle w:val="Hyperlink"/>
                <w:i w:val="0"/>
                <w:color w:val="000000" w:themeColor="text1"/>
                <w:sz w:val="20"/>
              </w:rPr>
              <w:t>Complaint management</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_Toc16855332 \h </w:instrText>
            </w:r>
            <w:r w:rsidR="00BF5FE5" w:rsidRPr="00B5590A">
              <w:rPr>
                <w:i w:val="0"/>
                <w:webHidden/>
                <w:sz w:val="20"/>
              </w:rPr>
            </w:r>
            <w:r w:rsidR="00BF5FE5" w:rsidRPr="00B5590A">
              <w:rPr>
                <w:i w:val="0"/>
                <w:webHidden/>
                <w:sz w:val="20"/>
              </w:rPr>
              <w:fldChar w:fldCharType="separate"/>
            </w:r>
            <w:r w:rsidR="00B5590A">
              <w:rPr>
                <w:i w:val="0"/>
                <w:webHidden/>
                <w:sz w:val="20"/>
              </w:rPr>
              <w:t>25</w:t>
            </w:r>
            <w:r w:rsidR="00BF5FE5" w:rsidRPr="00B5590A">
              <w:rPr>
                <w:i w:val="0"/>
                <w:webHidden/>
                <w:sz w:val="20"/>
              </w:rPr>
              <w:fldChar w:fldCharType="end"/>
            </w:r>
          </w:hyperlink>
        </w:p>
        <w:p w14:paraId="7A51F629" w14:textId="201E34C8"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3" w:history="1">
            <w:r w:rsidR="00BF5FE5" w:rsidRPr="00B5590A">
              <w:rPr>
                <w:rStyle w:val="Hyperlink"/>
                <w:i w:val="0"/>
                <w:color w:val="000000" w:themeColor="text1"/>
                <w:sz w:val="20"/>
              </w:rPr>
              <w:t>Influencing government policy and legislation</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_Toc16855333 \h </w:instrText>
            </w:r>
            <w:r w:rsidR="00BF5FE5" w:rsidRPr="00B5590A">
              <w:rPr>
                <w:i w:val="0"/>
                <w:webHidden/>
                <w:sz w:val="20"/>
              </w:rPr>
            </w:r>
            <w:r w:rsidR="00BF5FE5" w:rsidRPr="00B5590A">
              <w:rPr>
                <w:i w:val="0"/>
                <w:webHidden/>
                <w:sz w:val="20"/>
              </w:rPr>
              <w:fldChar w:fldCharType="separate"/>
            </w:r>
            <w:r w:rsidR="00B5590A">
              <w:rPr>
                <w:i w:val="0"/>
                <w:webHidden/>
                <w:sz w:val="20"/>
              </w:rPr>
              <w:t>38</w:t>
            </w:r>
            <w:r w:rsidR="00BF5FE5" w:rsidRPr="00B5590A">
              <w:rPr>
                <w:i w:val="0"/>
                <w:webHidden/>
                <w:sz w:val="20"/>
              </w:rPr>
              <w:fldChar w:fldCharType="end"/>
            </w:r>
          </w:hyperlink>
        </w:p>
        <w:p w14:paraId="355D8439" w14:textId="23068E0E"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4" w:history="1">
            <w:r w:rsidR="00BF5FE5" w:rsidRPr="00B5590A">
              <w:rPr>
                <w:rStyle w:val="Hyperlink"/>
                <w:i w:val="0"/>
                <w:color w:val="000000" w:themeColor="text1"/>
                <w:sz w:val="20"/>
              </w:rPr>
              <w:t>Legal information</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_Toc16855334 \h </w:instrText>
            </w:r>
            <w:r w:rsidR="00BF5FE5" w:rsidRPr="00B5590A">
              <w:rPr>
                <w:i w:val="0"/>
                <w:webHidden/>
                <w:sz w:val="20"/>
              </w:rPr>
            </w:r>
            <w:r w:rsidR="00BF5FE5" w:rsidRPr="00B5590A">
              <w:rPr>
                <w:i w:val="0"/>
                <w:webHidden/>
                <w:sz w:val="20"/>
              </w:rPr>
              <w:fldChar w:fldCharType="separate"/>
            </w:r>
            <w:r w:rsidR="00B5590A">
              <w:rPr>
                <w:i w:val="0"/>
                <w:webHidden/>
                <w:sz w:val="20"/>
              </w:rPr>
              <w:t>40</w:t>
            </w:r>
            <w:r w:rsidR="00BF5FE5" w:rsidRPr="00B5590A">
              <w:rPr>
                <w:i w:val="0"/>
                <w:webHidden/>
                <w:sz w:val="20"/>
              </w:rPr>
              <w:fldChar w:fldCharType="end"/>
            </w:r>
          </w:hyperlink>
        </w:p>
        <w:p w14:paraId="5FA645F6" w14:textId="6D722134"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35" w:history="1">
            <w:r w:rsidR="00BF5FE5" w:rsidRPr="00B5590A">
              <w:rPr>
                <w:rStyle w:val="Hyperlink"/>
                <w:i w:val="0"/>
                <w:color w:val="000000" w:themeColor="text1"/>
                <w:sz w:val="20"/>
              </w:rPr>
              <w:t>Corporate governance</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_Toc16855335 \h </w:instrText>
            </w:r>
            <w:r w:rsidR="00BF5FE5" w:rsidRPr="00B5590A">
              <w:rPr>
                <w:i w:val="0"/>
                <w:webHidden/>
                <w:sz w:val="20"/>
              </w:rPr>
            </w:r>
            <w:r w:rsidR="00BF5FE5" w:rsidRPr="00B5590A">
              <w:rPr>
                <w:i w:val="0"/>
                <w:webHidden/>
                <w:sz w:val="20"/>
              </w:rPr>
              <w:fldChar w:fldCharType="separate"/>
            </w:r>
            <w:r w:rsidR="00B5590A">
              <w:rPr>
                <w:i w:val="0"/>
                <w:webHidden/>
                <w:sz w:val="20"/>
              </w:rPr>
              <w:t>53</w:t>
            </w:r>
            <w:r w:rsidR="00BF5FE5" w:rsidRPr="00B5590A">
              <w:rPr>
                <w:i w:val="0"/>
                <w:webHidden/>
                <w:sz w:val="20"/>
              </w:rPr>
              <w:fldChar w:fldCharType="end"/>
            </w:r>
          </w:hyperlink>
        </w:p>
        <w:p w14:paraId="08D6E49C" w14:textId="546638BF"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46" w:history="1">
            <w:r w:rsidR="00BF5FE5" w:rsidRPr="00B5590A">
              <w:rPr>
                <w:rStyle w:val="Hyperlink"/>
                <w:i w:val="0"/>
                <w:color w:val="000000" w:themeColor="text1"/>
                <w:sz w:val="20"/>
              </w:rPr>
              <w:t>Summary of financial information</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_Toc16855346 \h </w:instrText>
            </w:r>
            <w:r w:rsidR="00BF5FE5" w:rsidRPr="00B5590A">
              <w:rPr>
                <w:i w:val="0"/>
                <w:webHidden/>
                <w:sz w:val="20"/>
              </w:rPr>
            </w:r>
            <w:r w:rsidR="00BF5FE5" w:rsidRPr="00B5590A">
              <w:rPr>
                <w:i w:val="0"/>
                <w:webHidden/>
                <w:sz w:val="20"/>
              </w:rPr>
              <w:fldChar w:fldCharType="separate"/>
            </w:r>
            <w:r w:rsidR="00B5590A">
              <w:rPr>
                <w:i w:val="0"/>
                <w:webHidden/>
                <w:sz w:val="20"/>
              </w:rPr>
              <w:t>60</w:t>
            </w:r>
            <w:r w:rsidR="00BF5FE5" w:rsidRPr="00B5590A">
              <w:rPr>
                <w:i w:val="0"/>
                <w:webHidden/>
                <w:sz w:val="20"/>
              </w:rPr>
              <w:fldChar w:fldCharType="end"/>
            </w:r>
          </w:hyperlink>
        </w:p>
        <w:p w14:paraId="370CD9EA" w14:textId="248591F1"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2" w:history="1">
            <w:r w:rsidR="00BF5FE5" w:rsidRPr="00B5590A">
              <w:rPr>
                <w:rStyle w:val="Hyperlink"/>
                <w:i w:val="0"/>
                <w:color w:val="000000" w:themeColor="text1"/>
                <w:sz w:val="20"/>
              </w:rPr>
              <w:t>Financial statements</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_Toc16855352 \h </w:instrText>
            </w:r>
            <w:r w:rsidR="00BF5FE5" w:rsidRPr="00B5590A">
              <w:rPr>
                <w:i w:val="0"/>
                <w:webHidden/>
                <w:sz w:val="20"/>
              </w:rPr>
            </w:r>
            <w:r w:rsidR="00BF5FE5" w:rsidRPr="00B5590A">
              <w:rPr>
                <w:i w:val="0"/>
                <w:webHidden/>
                <w:sz w:val="20"/>
              </w:rPr>
              <w:fldChar w:fldCharType="separate"/>
            </w:r>
            <w:r w:rsidR="00B5590A">
              <w:rPr>
                <w:i w:val="0"/>
                <w:webHidden/>
                <w:sz w:val="20"/>
              </w:rPr>
              <w:t>64</w:t>
            </w:r>
            <w:r w:rsidR="00BF5FE5" w:rsidRPr="00B5590A">
              <w:rPr>
                <w:i w:val="0"/>
                <w:webHidden/>
                <w:sz w:val="20"/>
              </w:rPr>
              <w:fldChar w:fldCharType="end"/>
            </w:r>
          </w:hyperlink>
        </w:p>
        <w:p w14:paraId="0310A40D" w14:textId="376D2E28"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3" w:history="1">
            <w:r w:rsidR="00BF5FE5" w:rsidRPr="00B5590A">
              <w:rPr>
                <w:rStyle w:val="Hyperlink"/>
                <w:i w:val="0"/>
                <w:color w:val="000000" w:themeColor="text1"/>
                <w:sz w:val="20"/>
              </w:rPr>
              <w:t>Appendix A: Compliance checklist</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_Toc16855353 \h </w:instrText>
            </w:r>
            <w:r w:rsidR="00BF5FE5" w:rsidRPr="00B5590A">
              <w:rPr>
                <w:i w:val="0"/>
                <w:webHidden/>
                <w:sz w:val="20"/>
              </w:rPr>
            </w:r>
            <w:r w:rsidR="00BF5FE5" w:rsidRPr="00B5590A">
              <w:rPr>
                <w:i w:val="0"/>
                <w:webHidden/>
                <w:sz w:val="20"/>
              </w:rPr>
              <w:fldChar w:fldCharType="separate"/>
            </w:r>
            <w:r w:rsidR="00B5590A">
              <w:rPr>
                <w:i w:val="0"/>
                <w:webHidden/>
                <w:sz w:val="20"/>
              </w:rPr>
              <w:t>65</w:t>
            </w:r>
            <w:r w:rsidR="00BF5FE5" w:rsidRPr="00B5590A">
              <w:rPr>
                <w:i w:val="0"/>
                <w:webHidden/>
                <w:sz w:val="20"/>
              </w:rPr>
              <w:fldChar w:fldCharType="end"/>
            </w:r>
          </w:hyperlink>
        </w:p>
        <w:p w14:paraId="3072497C" w14:textId="2F311E7F"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4" w:history="1">
            <w:r w:rsidR="00BF5FE5" w:rsidRPr="00B5590A">
              <w:rPr>
                <w:rStyle w:val="Hyperlink"/>
                <w:i w:val="0"/>
                <w:color w:val="000000" w:themeColor="text1"/>
                <w:sz w:val="20"/>
              </w:rPr>
              <w:t>Appendix B: Glossary of terms</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_Toc16855354 \h </w:instrText>
            </w:r>
            <w:r w:rsidR="00BF5FE5" w:rsidRPr="00B5590A">
              <w:rPr>
                <w:i w:val="0"/>
                <w:webHidden/>
                <w:sz w:val="20"/>
              </w:rPr>
            </w:r>
            <w:r w:rsidR="00BF5FE5" w:rsidRPr="00B5590A">
              <w:rPr>
                <w:i w:val="0"/>
                <w:webHidden/>
                <w:sz w:val="20"/>
              </w:rPr>
              <w:fldChar w:fldCharType="separate"/>
            </w:r>
            <w:r w:rsidR="00B5590A">
              <w:rPr>
                <w:i w:val="0"/>
                <w:webHidden/>
                <w:sz w:val="20"/>
              </w:rPr>
              <w:t>67</w:t>
            </w:r>
            <w:r w:rsidR="00BF5FE5" w:rsidRPr="00B5590A">
              <w:rPr>
                <w:i w:val="0"/>
                <w:webHidden/>
                <w:sz w:val="20"/>
              </w:rPr>
              <w:fldChar w:fldCharType="end"/>
            </w:r>
          </w:hyperlink>
        </w:p>
        <w:p w14:paraId="2B79EDD2" w14:textId="5FAAC41E"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5" w:history="1">
            <w:r w:rsidR="00BF5FE5" w:rsidRPr="00B5590A">
              <w:rPr>
                <w:rStyle w:val="Hyperlink"/>
                <w:i w:val="0"/>
                <w:color w:val="000000" w:themeColor="text1"/>
                <w:sz w:val="20"/>
              </w:rPr>
              <w:t>Appendix C: Complaint handling process</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_Toc16855355 \h </w:instrText>
            </w:r>
            <w:r w:rsidR="00BF5FE5" w:rsidRPr="00B5590A">
              <w:rPr>
                <w:i w:val="0"/>
                <w:webHidden/>
                <w:sz w:val="20"/>
              </w:rPr>
            </w:r>
            <w:r w:rsidR="00BF5FE5" w:rsidRPr="00B5590A">
              <w:rPr>
                <w:i w:val="0"/>
                <w:webHidden/>
                <w:sz w:val="20"/>
              </w:rPr>
              <w:fldChar w:fldCharType="separate"/>
            </w:r>
            <w:r w:rsidR="00B5590A">
              <w:rPr>
                <w:i w:val="0"/>
                <w:webHidden/>
                <w:sz w:val="20"/>
              </w:rPr>
              <w:t>68</w:t>
            </w:r>
            <w:r w:rsidR="00BF5FE5" w:rsidRPr="00B5590A">
              <w:rPr>
                <w:i w:val="0"/>
                <w:webHidden/>
                <w:sz w:val="20"/>
              </w:rPr>
              <w:fldChar w:fldCharType="end"/>
            </w:r>
          </w:hyperlink>
        </w:p>
        <w:p w14:paraId="7FA55E9D" w14:textId="717BA73D"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6" w:history="1">
            <w:r w:rsidR="00BF5FE5" w:rsidRPr="00B5590A">
              <w:rPr>
                <w:rStyle w:val="Hyperlink"/>
                <w:i w:val="0"/>
                <w:color w:val="000000" w:themeColor="text1"/>
                <w:sz w:val="20"/>
              </w:rPr>
              <w:t>Appendix D: Organisational structure</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_Toc16855356 \h </w:instrText>
            </w:r>
            <w:r w:rsidR="00BF5FE5" w:rsidRPr="00B5590A">
              <w:rPr>
                <w:i w:val="0"/>
                <w:webHidden/>
                <w:sz w:val="20"/>
              </w:rPr>
            </w:r>
            <w:r w:rsidR="00BF5FE5" w:rsidRPr="00B5590A">
              <w:rPr>
                <w:i w:val="0"/>
                <w:webHidden/>
                <w:sz w:val="20"/>
              </w:rPr>
              <w:fldChar w:fldCharType="separate"/>
            </w:r>
            <w:r w:rsidR="00B5590A">
              <w:rPr>
                <w:i w:val="0"/>
                <w:webHidden/>
                <w:sz w:val="20"/>
              </w:rPr>
              <w:t>69</w:t>
            </w:r>
            <w:r w:rsidR="00BF5FE5" w:rsidRPr="00B5590A">
              <w:rPr>
                <w:i w:val="0"/>
                <w:webHidden/>
                <w:sz w:val="20"/>
              </w:rPr>
              <w:fldChar w:fldCharType="end"/>
            </w:r>
          </w:hyperlink>
        </w:p>
        <w:p w14:paraId="062B9843" w14:textId="39B96AB4"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7" w:history="1">
            <w:r w:rsidR="00BF5FE5" w:rsidRPr="00B5590A">
              <w:rPr>
                <w:rStyle w:val="Hyperlink"/>
                <w:i w:val="0"/>
                <w:color w:val="000000" w:themeColor="text1"/>
                <w:sz w:val="20"/>
              </w:rPr>
              <w:t>Appendix E: Map of areas visited in 2018-19</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_Toc16855357 \h </w:instrText>
            </w:r>
            <w:r w:rsidR="00BF5FE5" w:rsidRPr="00B5590A">
              <w:rPr>
                <w:i w:val="0"/>
                <w:webHidden/>
                <w:sz w:val="20"/>
              </w:rPr>
            </w:r>
            <w:r w:rsidR="00BF5FE5" w:rsidRPr="00B5590A">
              <w:rPr>
                <w:i w:val="0"/>
                <w:webHidden/>
                <w:sz w:val="20"/>
              </w:rPr>
              <w:fldChar w:fldCharType="separate"/>
            </w:r>
            <w:r w:rsidR="00B5590A">
              <w:rPr>
                <w:i w:val="0"/>
                <w:webHidden/>
                <w:sz w:val="20"/>
              </w:rPr>
              <w:t>70</w:t>
            </w:r>
            <w:r w:rsidR="00BF5FE5" w:rsidRPr="00B5590A">
              <w:rPr>
                <w:i w:val="0"/>
                <w:webHidden/>
                <w:sz w:val="20"/>
              </w:rPr>
              <w:fldChar w:fldCharType="end"/>
            </w:r>
          </w:hyperlink>
        </w:p>
        <w:p w14:paraId="517CF31E" w14:textId="2DBE29B8" w:rsidR="00BF5FE5" w:rsidRPr="00B5590A" w:rsidRDefault="00523BA4" w:rsidP="00B5590A">
          <w:pPr>
            <w:pStyle w:val="TOC1"/>
            <w:shd w:val="clear" w:color="auto" w:fill="FFFFFF" w:themeFill="background2"/>
            <w:rPr>
              <w:rFonts w:cstheme="minorBidi"/>
              <w:i w:val="0"/>
              <w:iCs w:val="0"/>
              <w:sz w:val="20"/>
              <w:shd w:val="clear" w:color="auto" w:fill="auto"/>
              <w:lang w:eastAsia="en-AU"/>
            </w:rPr>
          </w:pPr>
          <w:hyperlink w:anchor="_Toc16855358" w:history="1">
            <w:r w:rsidR="00BF5FE5" w:rsidRPr="00B5590A">
              <w:rPr>
                <w:rStyle w:val="Hyperlink"/>
                <w:i w:val="0"/>
                <w:color w:val="000000" w:themeColor="text1"/>
                <w:sz w:val="20"/>
              </w:rPr>
              <w:t>Appendix F: Certified financial statements</w:t>
            </w:r>
            <w:r w:rsidR="00BF5FE5" w:rsidRPr="00B5590A">
              <w:rPr>
                <w:i w:val="0"/>
                <w:webHidden/>
                <w:sz w:val="20"/>
              </w:rPr>
              <w:tab/>
            </w:r>
            <w:r w:rsidR="00BF5FE5" w:rsidRPr="00B5590A">
              <w:rPr>
                <w:i w:val="0"/>
                <w:webHidden/>
                <w:sz w:val="20"/>
              </w:rPr>
              <w:fldChar w:fldCharType="begin"/>
            </w:r>
            <w:r w:rsidR="00BF5FE5" w:rsidRPr="00B5590A">
              <w:rPr>
                <w:i w:val="0"/>
                <w:webHidden/>
                <w:sz w:val="20"/>
              </w:rPr>
              <w:instrText xml:space="preserve"> PAGEREF _Toc16855358 \h </w:instrText>
            </w:r>
            <w:r w:rsidR="00BF5FE5" w:rsidRPr="00B5590A">
              <w:rPr>
                <w:i w:val="0"/>
                <w:webHidden/>
                <w:sz w:val="20"/>
              </w:rPr>
            </w:r>
            <w:r w:rsidR="00BF5FE5" w:rsidRPr="00B5590A">
              <w:rPr>
                <w:i w:val="0"/>
                <w:webHidden/>
                <w:sz w:val="20"/>
              </w:rPr>
              <w:fldChar w:fldCharType="separate"/>
            </w:r>
            <w:r w:rsidR="00B5590A">
              <w:rPr>
                <w:i w:val="0"/>
                <w:webHidden/>
                <w:sz w:val="20"/>
              </w:rPr>
              <w:t>71</w:t>
            </w:r>
            <w:r w:rsidR="00BF5FE5" w:rsidRPr="00B5590A">
              <w:rPr>
                <w:i w:val="0"/>
                <w:webHidden/>
                <w:sz w:val="20"/>
              </w:rPr>
              <w:fldChar w:fldCharType="end"/>
            </w:r>
          </w:hyperlink>
        </w:p>
        <w:p w14:paraId="4187A941" w14:textId="77777777" w:rsidR="00A57B08" w:rsidRPr="00CD055A" w:rsidRDefault="00CB415A" w:rsidP="00B5590A">
          <w:pPr>
            <w:shd w:val="clear" w:color="auto" w:fill="FFFFFF" w:themeFill="background2"/>
            <w:spacing w:line="240" w:lineRule="auto"/>
            <w:rPr>
              <w:noProof/>
              <w:highlight w:val="yellow"/>
            </w:rPr>
          </w:pPr>
          <w:r w:rsidRPr="00B5590A">
            <w:rPr>
              <w:rFonts w:ascii="Arial" w:hAnsi="Arial"/>
              <w:b/>
              <w:bCs/>
              <w:noProof/>
            </w:rPr>
            <w:fldChar w:fldCharType="end"/>
          </w:r>
        </w:p>
      </w:sdtContent>
    </w:sdt>
    <w:p w14:paraId="0C74F6E9" w14:textId="77777777" w:rsidR="00855288" w:rsidRPr="002F3BB0" w:rsidRDefault="00A63103" w:rsidP="00A75186">
      <w:pPr>
        <w:spacing w:line="240" w:lineRule="auto"/>
        <w:rPr>
          <w:color w:val="FF0000"/>
          <w:lang w:eastAsia="en-AU"/>
        </w:rPr>
      </w:pPr>
      <w:r w:rsidRPr="00CD055A">
        <w:rPr>
          <w:rStyle w:val="Hyperlink"/>
          <w:color w:val="auto"/>
          <w:highlight w:val="yellow"/>
          <w:u w:val="none"/>
        </w:rPr>
        <w:t xml:space="preserve"> </w:t>
      </w:r>
    </w:p>
    <w:p w14:paraId="7E310961" w14:textId="77777777" w:rsidR="008B2125" w:rsidRPr="00901C25" w:rsidRDefault="008B2125">
      <w:pPr>
        <w:pStyle w:val="Heading1"/>
      </w:pPr>
      <w:bookmarkStart w:id="1" w:name="_Toc366487293"/>
      <w:bookmarkStart w:id="2" w:name="_Toc397345674"/>
      <w:bookmarkStart w:id="3" w:name="_Toc16855327"/>
      <w:r w:rsidRPr="00DA5842">
        <w:lastRenderedPageBreak/>
        <w:t xml:space="preserve">Letter of </w:t>
      </w:r>
      <w:r w:rsidR="0062717A" w:rsidRPr="00DA5842">
        <w:t>compliance</w:t>
      </w:r>
      <w:bookmarkEnd w:id="1"/>
      <w:bookmarkEnd w:id="2"/>
      <w:bookmarkEnd w:id="3"/>
    </w:p>
    <w:p w14:paraId="0D25D89D" w14:textId="77777777" w:rsidR="00696C61" w:rsidRDefault="00696C61" w:rsidP="00523BA4">
      <w:pPr>
        <w:rPr>
          <w:rFonts w:eastAsia="Times New Roman"/>
          <w:lang w:eastAsia="en-AU"/>
        </w:rPr>
      </w:pPr>
    </w:p>
    <w:p w14:paraId="3A41CC0B" w14:textId="0A08C2CD" w:rsidR="00D3612E" w:rsidRPr="002F3BB0" w:rsidRDefault="009417CD" w:rsidP="00523BA4">
      <w:pPr>
        <w:rPr>
          <w:rFonts w:eastAsia="Times New Roman"/>
          <w:i/>
          <w:lang w:eastAsia="en-AU"/>
        </w:rPr>
      </w:pPr>
      <w:r>
        <w:rPr>
          <w:rFonts w:eastAsia="Times New Roman"/>
          <w:lang w:eastAsia="en-AU"/>
        </w:rPr>
        <w:t>30 August</w:t>
      </w:r>
      <w:r w:rsidR="00D3612E" w:rsidRPr="008F42E0">
        <w:rPr>
          <w:rFonts w:eastAsia="Times New Roman"/>
          <w:lang w:eastAsia="en-AU"/>
        </w:rPr>
        <w:t xml:space="preserve"> 201</w:t>
      </w:r>
      <w:r>
        <w:rPr>
          <w:rFonts w:eastAsia="Times New Roman"/>
          <w:lang w:eastAsia="en-AU"/>
        </w:rPr>
        <w:t>9</w:t>
      </w:r>
    </w:p>
    <w:p w14:paraId="72543069" w14:textId="77777777" w:rsidR="00AF7432" w:rsidRDefault="00AF7432" w:rsidP="00523BA4">
      <w:pPr>
        <w:rPr>
          <w:rFonts w:eastAsia="Times New Roman"/>
          <w:lang w:eastAsia="en-AU"/>
        </w:rPr>
      </w:pPr>
    </w:p>
    <w:p w14:paraId="093D9AF1" w14:textId="6F4983DA" w:rsidR="00D3612E" w:rsidRPr="002F3BB0" w:rsidRDefault="00D3612E" w:rsidP="00696C61">
      <w:pPr>
        <w:spacing w:after="0"/>
        <w:rPr>
          <w:rFonts w:eastAsia="Times New Roman"/>
          <w:i/>
          <w:lang w:eastAsia="en-AU"/>
        </w:rPr>
      </w:pPr>
      <w:r w:rsidRPr="002F3BB0">
        <w:rPr>
          <w:rFonts w:eastAsia="Times New Roman"/>
          <w:lang w:eastAsia="en-AU"/>
        </w:rPr>
        <w:t xml:space="preserve">The Honourable </w:t>
      </w:r>
      <w:r>
        <w:rPr>
          <w:rFonts w:eastAsia="Times New Roman"/>
          <w:lang w:eastAsia="en-AU"/>
        </w:rPr>
        <w:t>Yvette D’Ath</w:t>
      </w:r>
      <w:r w:rsidRPr="002F3BB0">
        <w:rPr>
          <w:rFonts w:eastAsia="Times New Roman"/>
          <w:lang w:eastAsia="en-AU"/>
        </w:rPr>
        <w:t xml:space="preserve"> MP</w:t>
      </w:r>
    </w:p>
    <w:p w14:paraId="1B6DB3F8" w14:textId="77777777" w:rsidR="00D3612E" w:rsidRPr="002F3BB0" w:rsidRDefault="00D3612E" w:rsidP="00696C61">
      <w:pPr>
        <w:spacing w:after="0"/>
        <w:rPr>
          <w:rFonts w:eastAsia="Times New Roman"/>
          <w:i/>
          <w:lang w:eastAsia="en-AU"/>
        </w:rPr>
      </w:pPr>
      <w:r w:rsidRPr="002F3BB0">
        <w:rPr>
          <w:rFonts w:eastAsia="Times New Roman"/>
          <w:lang w:eastAsia="en-AU"/>
        </w:rPr>
        <w:t xml:space="preserve">Attorney-General and Minister for Justice </w:t>
      </w:r>
      <w:r>
        <w:rPr>
          <w:rFonts w:eastAsia="Times New Roman"/>
          <w:lang w:eastAsia="en-AU"/>
        </w:rPr>
        <w:t>and Minister for Training and Skills</w:t>
      </w:r>
    </w:p>
    <w:p w14:paraId="5A9DEF35" w14:textId="77777777" w:rsidR="00D3612E" w:rsidRPr="002F3BB0" w:rsidRDefault="00D3612E" w:rsidP="00696C61">
      <w:pPr>
        <w:spacing w:after="0"/>
        <w:rPr>
          <w:rFonts w:eastAsia="Times New Roman"/>
          <w:i/>
          <w:lang w:eastAsia="en-AU"/>
        </w:rPr>
      </w:pPr>
      <w:r>
        <w:rPr>
          <w:rFonts w:eastAsia="Times New Roman"/>
          <w:lang w:eastAsia="en-AU"/>
        </w:rPr>
        <w:t>1 William Street</w:t>
      </w:r>
    </w:p>
    <w:p w14:paraId="77EEB458" w14:textId="77777777" w:rsidR="00D3612E" w:rsidRPr="002F3BB0" w:rsidRDefault="00D3612E" w:rsidP="00696C61">
      <w:pPr>
        <w:spacing w:after="0"/>
        <w:rPr>
          <w:rFonts w:eastAsia="Times New Roman"/>
          <w:i/>
          <w:lang w:eastAsia="en-AU"/>
        </w:rPr>
      </w:pPr>
      <w:r w:rsidRPr="002F3BB0">
        <w:rPr>
          <w:rFonts w:eastAsia="Times New Roman"/>
          <w:lang w:eastAsia="en-AU"/>
        </w:rPr>
        <w:t>Brisbane Qld 4000</w:t>
      </w:r>
    </w:p>
    <w:p w14:paraId="3A65EB48" w14:textId="77777777" w:rsidR="00AF7432" w:rsidRDefault="00AF7432" w:rsidP="00523BA4">
      <w:pPr>
        <w:rPr>
          <w:rFonts w:eastAsia="Times New Roman"/>
          <w:lang w:eastAsia="en-AU"/>
        </w:rPr>
      </w:pPr>
    </w:p>
    <w:p w14:paraId="1B8989FC" w14:textId="70DBC6C8" w:rsidR="00D3612E" w:rsidRPr="0048244A" w:rsidRDefault="00D3612E" w:rsidP="00523BA4">
      <w:pPr>
        <w:rPr>
          <w:rFonts w:eastAsia="Times New Roman"/>
          <w:i/>
          <w:lang w:eastAsia="en-AU"/>
        </w:rPr>
      </w:pPr>
      <w:r w:rsidRPr="0048244A">
        <w:rPr>
          <w:rFonts w:eastAsia="Times New Roman"/>
          <w:lang w:eastAsia="en-AU"/>
        </w:rPr>
        <w:t>Dear Attorney-General</w:t>
      </w:r>
    </w:p>
    <w:p w14:paraId="067F3F53" w14:textId="77777777" w:rsidR="00D3612E" w:rsidRPr="0048244A" w:rsidRDefault="00D3612E" w:rsidP="00523BA4">
      <w:pPr>
        <w:rPr>
          <w:rFonts w:eastAsia="Times New Roman"/>
          <w:i/>
          <w:lang w:eastAsia="en-AU"/>
        </w:rPr>
      </w:pPr>
      <w:r w:rsidRPr="0048244A">
        <w:rPr>
          <w:rFonts w:eastAsia="Times New Roman"/>
          <w:lang w:eastAsia="en-AU"/>
        </w:rPr>
        <w:t>I am pleased to present the Annual Report 201</w:t>
      </w:r>
      <w:r w:rsidR="009417CD">
        <w:rPr>
          <w:rFonts w:eastAsia="Times New Roman"/>
          <w:lang w:eastAsia="en-AU"/>
        </w:rPr>
        <w:t>8</w:t>
      </w:r>
      <w:r>
        <w:rPr>
          <w:rFonts w:eastAsia="Times New Roman"/>
          <w:lang w:eastAsia="en-AU"/>
        </w:rPr>
        <w:t>–</w:t>
      </w:r>
      <w:r w:rsidRPr="0048244A">
        <w:rPr>
          <w:rFonts w:eastAsia="Times New Roman"/>
          <w:lang w:eastAsia="en-AU"/>
        </w:rPr>
        <w:t>201</w:t>
      </w:r>
      <w:r w:rsidR="009417CD">
        <w:rPr>
          <w:rFonts w:eastAsia="Times New Roman"/>
          <w:lang w:eastAsia="en-AU"/>
        </w:rPr>
        <w:t>9</w:t>
      </w:r>
      <w:r w:rsidRPr="0048244A">
        <w:rPr>
          <w:rFonts w:eastAsia="Times New Roman"/>
          <w:lang w:eastAsia="en-AU"/>
        </w:rPr>
        <w:t xml:space="preserve"> and financial statements for </w:t>
      </w:r>
      <w:bookmarkStart w:id="4" w:name="OLE_LINK40"/>
      <w:bookmarkStart w:id="5" w:name="OLE_LINK41"/>
      <w:r w:rsidRPr="0048244A">
        <w:rPr>
          <w:rFonts w:eastAsia="Times New Roman"/>
          <w:lang w:eastAsia="en-AU"/>
        </w:rPr>
        <w:t>the Anti-Discrimination Commission Queensland.</w:t>
      </w:r>
      <w:bookmarkEnd w:id="4"/>
      <w:bookmarkEnd w:id="5"/>
    </w:p>
    <w:p w14:paraId="5AACFE29" w14:textId="77777777" w:rsidR="00D3612E" w:rsidRPr="0048244A" w:rsidRDefault="00D3612E" w:rsidP="00523BA4">
      <w:pPr>
        <w:rPr>
          <w:rFonts w:eastAsia="Times New Roman"/>
          <w:i/>
          <w:lang w:eastAsia="en-AU"/>
        </w:rPr>
      </w:pPr>
      <w:r w:rsidRPr="0048244A">
        <w:rPr>
          <w:rFonts w:eastAsia="Times New Roman"/>
          <w:lang w:eastAsia="en-AU"/>
        </w:rPr>
        <w:t>I certify that this Annual Report complies with:</w:t>
      </w:r>
    </w:p>
    <w:p w14:paraId="399F4EC6" w14:textId="77777777" w:rsidR="00D3612E" w:rsidRPr="006E6C7F" w:rsidRDefault="00D3612E" w:rsidP="006E6C7F">
      <w:pPr>
        <w:pStyle w:val="ListParagraph"/>
        <w:numPr>
          <w:ilvl w:val="0"/>
          <w:numId w:val="42"/>
        </w:numPr>
        <w:rPr>
          <w:rFonts w:eastAsia="Times New Roman"/>
          <w:i/>
          <w:lang w:eastAsia="en-AU"/>
        </w:rPr>
      </w:pPr>
      <w:r w:rsidRPr="006E6C7F">
        <w:rPr>
          <w:rFonts w:eastAsia="Times New Roman"/>
          <w:lang w:eastAsia="en-AU"/>
        </w:rPr>
        <w:t>the prescribed requirements of the Financial Accountability Act 2009 and the Financial and Performance Management Standard 2009, and</w:t>
      </w:r>
    </w:p>
    <w:p w14:paraId="2F9DE0A4" w14:textId="77777777" w:rsidR="00D3612E" w:rsidRPr="006E6C7F" w:rsidRDefault="00D3612E" w:rsidP="006E6C7F">
      <w:pPr>
        <w:pStyle w:val="ListParagraph"/>
        <w:numPr>
          <w:ilvl w:val="0"/>
          <w:numId w:val="42"/>
        </w:numPr>
        <w:rPr>
          <w:rFonts w:eastAsia="Times New Roman"/>
          <w:i/>
          <w:lang w:eastAsia="en-AU"/>
        </w:rPr>
      </w:pPr>
      <w:r w:rsidRPr="006E6C7F">
        <w:rPr>
          <w:rFonts w:eastAsia="Times New Roman"/>
          <w:lang w:eastAsia="en-AU"/>
        </w:rPr>
        <w:t>the detailed requirements set out in the Annual report requirements for Queensland Government agencies.</w:t>
      </w:r>
    </w:p>
    <w:p w14:paraId="56BFBDD5" w14:textId="79CC2503" w:rsidR="00D3612E" w:rsidRPr="0048244A" w:rsidRDefault="00D3612E" w:rsidP="00523BA4">
      <w:pPr>
        <w:rPr>
          <w:rFonts w:eastAsia="Times New Roman"/>
          <w:i/>
          <w:lang w:eastAsia="en-AU"/>
        </w:rPr>
      </w:pPr>
      <w:r w:rsidRPr="00795677">
        <w:rPr>
          <w:rFonts w:eastAsia="Times New Roman"/>
          <w:lang w:eastAsia="en-AU"/>
        </w:rPr>
        <w:t xml:space="preserve">A checklist outlining the annual reporting requirements can be found at </w:t>
      </w:r>
      <w:r w:rsidRPr="007366DB">
        <w:rPr>
          <w:rFonts w:eastAsia="Times New Roman"/>
          <w:lang w:eastAsia="en-AU"/>
        </w:rPr>
        <w:t xml:space="preserve">Appendix </w:t>
      </w:r>
      <w:r w:rsidR="007366DB" w:rsidRPr="007366DB">
        <w:rPr>
          <w:rFonts w:eastAsia="Times New Roman"/>
          <w:lang w:eastAsia="en-AU"/>
        </w:rPr>
        <w:t>A</w:t>
      </w:r>
      <w:r w:rsidRPr="00795677">
        <w:rPr>
          <w:rFonts w:eastAsia="Times New Roman"/>
          <w:lang w:eastAsia="en-AU"/>
        </w:rPr>
        <w:t xml:space="preserve"> of</w:t>
      </w:r>
      <w:r w:rsidRPr="0048244A">
        <w:rPr>
          <w:rFonts w:eastAsia="Times New Roman"/>
          <w:lang w:eastAsia="en-AU"/>
        </w:rPr>
        <w:t xml:space="preserve"> this ann</w:t>
      </w:r>
      <w:r w:rsidR="00AF7432">
        <w:rPr>
          <w:rFonts w:eastAsia="Times New Roman"/>
          <w:lang w:eastAsia="en-AU"/>
        </w:rPr>
        <w:t>ual report or accessed at www.qhrc</w:t>
      </w:r>
      <w:r w:rsidRPr="0048244A">
        <w:rPr>
          <w:rFonts w:eastAsia="Times New Roman"/>
          <w:lang w:eastAsia="en-AU"/>
        </w:rPr>
        <w:t>.qld.gov.au.</w:t>
      </w:r>
    </w:p>
    <w:p w14:paraId="14E26E72" w14:textId="77777777" w:rsidR="0062717A" w:rsidRDefault="00D3612E" w:rsidP="00523BA4">
      <w:pPr>
        <w:rPr>
          <w:rFonts w:eastAsia="Times New Roman"/>
          <w:i/>
          <w:lang w:eastAsia="en-AU"/>
        </w:rPr>
      </w:pPr>
      <w:r>
        <w:rPr>
          <w:rFonts w:eastAsia="Times New Roman"/>
          <w:lang w:eastAsia="en-AU"/>
        </w:rPr>
        <w:t>Y</w:t>
      </w:r>
      <w:r w:rsidR="0062717A" w:rsidRPr="0048244A">
        <w:rPr>
          <w:rFonts w:eastAsia="Times New Roman"/>
          <w:lang w:eastAsia="en-AU"/>
        </w:rPr>
        <w:t>ours sincerely</w:t>
      </w:r>
    </w:p>
    <w:p w14:paraId="26C2134E" w14:textId="1CC96A19" w:rsidR="009417CD" w:rsidRPr="002F3BB0" w:rsidRDefault="00F61F08" w:rsidP="00523BA4">
      <w:pPr>
        <w:rPr>
          <w:rFonts w:eastAsia="Times New Roman"/>
          <w:i/>
          <w:lang w:eastAsia="en-AU"/>
        </w:rPr>
      </w:pPr>
      <w:r>
        <w:rPr>
          <w:rFonts w:eastAsia="Times New Roman"/>
          <w:i/>
          <w:noProof/>
          <w:lang w:eastAsia="en-AU"/>
        </w:rPr>
        <w:drawing>
          <wp:inline distT="0" distB="0" distL="0" distR="0" wp14:anchorId="75F7F9A6" wp14:editId="3CEF0EFB">
            <wp:extent cx="1652159" cy="664522"/>
            <wp:effectExtent l="0" t="0" r="571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772FE791" w14:textId="77777777" w:rsidR="0062717A" w:rsidRPr="007366DB" w:rsidRDefault="009417CD" w:rsidP="00696C61">
      <w:pPr>
        <w:spacing w:after="0"/>
        <w:rPr>
          <w:rFonts w:eastAsia="Times New Roman"/>
          <w:b/>
          <w:i/>
          <w:lang w:eastAsia="en-AU"/>
        </w:rPr>
      </w:pPr>
      <w:r w:rsidRPr="007366DB">
        <w:rPr>
          <w:rFonts w:eastAsia="Times New Roman"/>
          <w:b/>
          <w:lang w:eastAsia="en-AU"/>
        </w:rPr>
        <w:t>Scott McDougall</w:t>
      </w:r>
    </w:p>
    <w:p w14:paraId="03D38C42" w14:textId="77777777" w:rsidR="0062717A" w:rsidRPr="007366DB" w:rsidRDefault="0062717A" w:rsidP="00696C61">
      <w:pPr>
        <w:spacing w:after="0"/>
        <w:rPr>
          <w:rFonts w:eastAsia="Times New Roman"/>
          <w:b/>
          <w:i/>
          <w:lang w:eastAsia="en-AU"/>
        </w:rPr>
      </w:pPr>
      <w:r w:rsidRPr="007366DB">
        <w:rPr>
          <w:rFonts w:eastAsia="Times New Roman"/>
          <w:b/>
          <w:lang w:eastAsia="en-AU"/>
        </w:rPr>
        <w:t>Commissioner</w:t>
      </w:r>
    </w:p>
    <w:p w14:paraId="65B866B6" w14:textId="77777777" w:rsidR="0062717A" w:rsidRPr="00AF0607" w:rsidRDefault="0062717A" w:rsidP="00696C61">
      <w:pPr>
        <w:spacing w:after="0"/>
        <w:rPr>
          <w:rFonts w:eastAsia="Times New Roman"/>
          <w:b/>
          <w:i/>
          <w:lang w:eastAsia="en-AU"/>
        </w:rPr>
      </w:pPr>
      <w:r w:rsidRPr="007366DB">
        <w:rPr>
          <w:rFonts w:eastAsia="Times New Roman"/>
          <w:b/>
          <w:lang w:eastAsia="en-AU"/>
        </w:rPr>
        <w:t>Anti-Discrimination</w:t>
      </w:r>
      <w:r w:rsidR="00397C8B" w:rsidRPr="007366DB">
        <w:rPr>
          <w:rFonts w:eastAsia="Times New Roman"/>
          <w:b/>
          <w:lang w:eastAsia="en-AU"/>
        </w:rPr>
        <w:t xml:space="preserve"> </w:t>
      </w:r>
      <w:r w:rsidRPr="007366DB">
        <w:rPr>
          <w:rFonts w:eastAsia="Times New Roman"/>
          <w:b/>
          <w:lang w:eastAsia="en-AU"/>
        </w:rPr>
        <w:t>Commission Queensland</w:t>
      </w:r>
    </w:p>
    <w:p w14:paraId="6E4950CC" w14:textId="77777777" w:rsidR="008B2125" w:rsidRPr="00DA5842" w:rsidRDefault="008B2125" w:rsidP="00A75186">
      <w:pPr>
        <w:pStyle w:val="Heading1"/>
      </w:pPr>
      <w:bookmarkStart w:id="6" w:name="_Toc366487294"/>
      <w:bookmarkStart w:id="7" w:name="_Toc397345675"/>
      <w:bookmarkStart w:id="8" w:name="_Toc16855328"/>
      <w:r w:rsidRPr="00DA5842">
        <w:lastRenderedPageBreak/>
        <w:t>Commissioner’s foreword</w:t>
      </w:r>
      <w:bookmarkEnd w:id="6"/>
      <w:bookmarkEnd w:id="7"/>
      <w:bookmarkEnd w:id="8"/>
    </w:p>
    <w:p w14:paraId="0DAD858B" w14:textId="77777777" w:rsidR="00A24778" w:rsidRPr="00A24778" w:rsidRDefault="00A24778" w:rsidP="00523BA4">
      <w:pPr>
        <w:rPr>
          <w:i/>
        </w:rPr>
      </w:pPr>
      <w:r w:rsidRPr="00A24778">
        <w:t>Welcome to the Anti-Discrimination Commission Queensland’s annual report for 2018–19 which is the final report of the Commission before transitioning to the Queensland Human Rights Commission on 1 July 2019.</w:t>
      </w:r>
    </w:p>
    <w:p w14:paraId="54E8DA78" w14:textId="77777777" w:rsidR="00A24778" w:rsidRPr="00A24778" w:rsidRDefault="00A24778" w:rsidP="00523BA4">
      <w:pPr>
        <w:rPr>
          <w:i/>
        </w:rPr>
      </w:pPr>
      <w:r w:rsidRPr="00A24778">
        <w:t>As the incoming Commissioner, I wish to thank my predecessor Mr Kevin Cocks AM for the outstanding achievements of the Commission during his term, and for his strong leadership in creating a fairer, more inclusive Queensland.</w:t>
      </w:r>
      <w:r w:rsidR="00803E9C">
        <w:t xml:space="preserve"> </w:t>
      </w:r>
      <w:r w:rsidRPr="00A24778">
        <w:t>Under Kevin’s oversight, the Commission successfully promoted greater social, cultural, and economic participation by those groups in our community who face structural discrimination on a daily basis.</w:t>
      </w:r>
    </w:p>
    <w:p w14:paraId="0412178C" w14:textId="77777777" w:rsidR="00A24778" w:rsidRPr="00A24778" w:rsidRDefault="00A24778" w:rsidP="00523BA4">
      <w:pPr>
        <w:rPr>
          <w:i/>
        </w:rPr>
      </w:pPr>
      <w:r w:rsidRPr="00A24778">
        <w:t>I would also like to thank and acknowledge the dedicated public service of Deputy Commissioner Neroli Holmes who acted as Commissioner prior to my commencement in October.</w:t>
      </w:r>
    </w:p>
    <w:p w14:paraId="451E0331" w14:textId="77777777" w:rsidR="00A24778" w:rsidRPr="00A24778" w:rsidRDefault="00A24778" w:rsidP="00523BA4">
      <w:pPr>
        <w:rPr>
          <w:i/>
        </w:rPr>
      </w:pPr>
      <w:r w:rsidRPr="00A24778">
        <w:t xml:space="preserve">This year saw the introduction of the </w:t>
      </w:r>
      <w:r w:rsidRPr="00AF7432">
        <w:rPr>
          <w:i/>
        </w:rPr>
        <w:t>Human Rights Act (2019)</w:t>
      </w:r>
      <w:r w:rsidRPr="00A24778">
        <w:t xml:space="preserve"> which will add significant functions to the Commission’s ongoing responsibilities under the </w:t>
      </w:r>
      <w:r w:rsidRPr="00AF7432">
        <w:rPr>
          <w:i/>
        </w:rPr>
        <w:t>Anti-Discrimination Act (1991)</w:t>
      </w:r>
      <w:r w:rsidRPr="00A24778">
        <w:t>.</w:t>
      </w:r>
      <w:r w:rsidR="00803E9C">
        <w:t xml:space="preserve"> </w:t>
      </w:r>
      <w:r w:rsidRPr="00A24778">
        <w:t>The Commission underwent an organisational restructure to reflect the new functions, resulting in the merging of two existing teams and the creation of a Legal Research and Policy Team.</w:t>
      </w:r>
      <w:r w:rsidR="00803E9C">
        <w:t xml:space="preserve"> </w:t>
      </w:r>
      <w:r w:rsidRPr="00A24778">
        <w:t xml:space="preserve">These changes occurred at a time when complaints received by the Commission rose </w:t>
      </w:r>
      <w:r w:rsidRPr="00404A82">
        <w:t xml:space="preserve">by </w:t>
      </w:r>
      <w:r w:rsidR="00404A82" w:rsidRPr="00404A82">
        <w:t>22</w:t>
      </w:r>
      <w:r w:rsidRPr="00404A82">
        <w:t>%</w:t>
      </w:r>
      <w:r w:rsidRPr="00A24778">
        <w:t xml:space="preserve"> to a total of </w:t>
      </w:r>
      <w:r w:rsidR="00404A82" w:rsidRPr="00404A82">
        <w:t>961</w:t>
      </w:r>
      <w:r w:rsidRPr="00A24778">
        <w:t xml:space="preserve"> for the year.</w:t>
      </w:r>
      <w:r w:rsidR="00803E9C">
        <w:t xml:space="preserve"> </w:t>
      </w:r>
    </w:p>
    <w:p w14:paraId="2B6D4485" w14:textId="77777777" w:rsidR="00A24778" w:rsidRPr="00A24778" w:rsidRDefault="00A24778" w:rsidP="00523BA4">
      <w:pPr>
        <w:rPr>
          <w:i/>
        </w:rPr>
      </w:pPr>
      <w:r w:rsidRPr="00A24778">
        <w:t>I would like to thank all staff for their patience, professionalism and commitment to the delivery of high quality services, and I look forward to working with the Commission’s talented team as we embark upon our important role in protecting and promoting the human rights of people in Queensland.</w:t>
      </w:r>
    </w:p>
    <w:p w14:paraId="527EE9A7" w14:textId="7C9B8BAD" w:rsidR="002B72E0" w:rsidRDefault="00696C61" w:rsidP="00523BA4">
      <w:pPr>
        <w:rPr>
          <w:rFonts w:cstheme="minorHAnsi"/>
          <w:i/>
          <w:szCs w:val="22"/>
          <w:lang w:val="en"/>
        </w:rPr>
      </w:pPr>
      <w:r>
        <w:rPr>
          <w:rFonts w:eastAsia="Times New Roman"/>
          <w:i/>
          <w:noProof/>
          <w:lang w:eastAsia="en-AU"/>
        </w:rPr>
        <w:drawing>
          <wp:inline distT="0" distB="0" distL="0" distR="0" wp14:anchorId="764A7796" wp14:editId="21DAAC8E">
            <wp:extent cx="1652159" cy="664522"/>
            <wp:effectExtent l="0" t="0" r="571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66B8534B" w14:textId="77777777" w:rsidR="001A23E8" w:rsidRPr="00B90BC7" w:rsidRDefault="009417CD" w:rsidP="00696C61">
      <w:pPr>
        <w:spacing w:after="0"/>
        <w:rPr>
          <w:rFonts w:cstheme="minorHAnsi"/>
          <w:b/>
          <w:i/>
          <w:szCs w:val="22"/>
        </w:rPr>
      </w:pPr>
      <w:r>
        <w:rPr>
          <w:rFonts w:cstheme="minorHAnsi"/>
          <w:b/>
          <w:szCs w:val="22"/>
        </w:rPr>
        <w:t>Scott McDougall</w:t>
      </w:r>
    </w:p>
    <w:p w14:paraId="486044FA" w14:textId="77777777" w:rsidR="008F545E" w:rsidRPr="00B90BC7" w:rsidRDefault="001A23E8" w:rsidP="00696C61">
      <w:pPr>
        <w:spacing w:after="0"/>
        <w:rPr>
          <w:rFonts w:cstheme="minorHAnsi"/>
          <w:b/>
          <w:szCs w:val="22"/>
        </w:rPr>
      </w:pPr>
      <w:r w:rsidRPr="00B90BC7">
        <w:rPr>
          <w:rFonts w:cstheme="minorHAnsi"/>
          <w:b/>
          <w:szCs w:val="22"/>
        </w:rPr>
        <w:t>Commissioner</w:t>
      </w:r>
    </w:p>
    <w:p w14:paraId="304317C4" w14:textId="77777777" w:rsidR="008B2125" w:rsidRPr="00DA5842" w:rsidRDefault="008B2125" w:rsidP="00A75186">
      <w:pPr>
        <w:pStyle w:val="Heading1"/>
      </w:pPr>
      <w:bookmarkStart w:id="9" w:name="_Toc366487296"/>
      <w:bookmarkStart w:id="10" w:name="_Toc397345677"/>
      <w:bookmarkStart w:id="11" w:name="_Toc16855329"/>
      <w:r w:rsidRPr="00DA5842">
        <w:lastRenderedPageBreak/>
        <w:t>About the Anti-Discrimination Commission Queensland</w:t>
      </w:r>
      <w:bookmarkEnd w:id="9"/>
      <w:bookmarkEnd w:id="10"/>
      <w:bookmarkEnd w:id="11"/>
    </w:p>
    <w:p w14:paraId="18F39817" w14:textId="77777777" w:rsidR="00BE5EF8" w:rsidRPr="00AD0EA3" w:rsidRDefault="00BE5EF8" w:rsidP="00523BA4">
      <w:pPr>
        <w:pStyle w:val="Heading2"/>
      </w:pPr>
      <w:r w:rsidRPr="00AD0EA3">
        <w:t xml:space="preserve">Our </w:t>
      </w:r>
      <w:r w:rsidRPr="006E37BF">
        <w:t>vision</w:t>
      </w:r>
    </w:p>
    <w:p w14:paraId="541E74AF" w14:textId="77777777" w:rsidR="00BE5EF8" w:rsidRPr="00B0793B" w:rsidRDefault="00BE5EF8" w:rsidP="00B0793B">
      <w:r w:rsidRPr="00B0793B">
        <w:t>A</w:t>
      </w:r>
      <w:r w:rsidR="00BE783D" w:rsidRPr="00B0793B">
        <w:t xml:space="preserve"> fair and inclusive Queensland.</w:t>
      </w:r>
    </w:p>
    <w:p w14:paraId="2F6F3E9C" w14:textId="77777777" w:rsidR="00BE5EF8" w:rsidRPr="003A10BE" w:rsidRDefault="00BE5EF8" w:rsidP="00523BA4">
      <w:pPr>
        <w:pStyle w:val="Heading2"/>
      </w:pPr>
      <w:r w:rsidRPr="003A10BE">
        <w:t>Our purpose</w:t>
      </w:r>
    </w:p>
    <w:p w14:paraId="59C1A2C3" w14:textId="77777777" w:rsidR="00BE5EF8" w:rsidRPr="00B0793B" w:rsidRDefault="00BE5EF8" w:rsidP="00B0793B">
      <w:r w:rsidRPr="00B0793B">
        <w:t>To strengthen the understanding, promotion and protection of human rights in Queensland.</w:t>
      </w:r>
    </w:p>
    <w:p w14:paraId="748E069A" w14:textId="77777777" w:rsidR="00F1724A" w:rsidRPr="003A10BE" w:rsidRDefault="00F1724A" w:rsidP="00523BA4">
      <w:pPr>
        <w:pStyle w:val="Heading2"/>
      </w:pPr>
      <w:r w:rsidRPr="003A10BE">
        <w:t>Our objectives</w:t>
      </w:r>
    </w:p>
    <w:p w14:paraId="07A03424" w14:textId="77777777" w:rsidR="00FD6A09" w:rsidRPr="00FD6A09" w:rsidRDefault="00FD6A09" w:rsidP="00B0793B">
      <w:pPr>
        <w:rPr>
          <w:rFonts w:eastAsia="Times New Roman"/>
          <w:i/>
          <w:lang w:eastAsia="en-AU"/>
        </w:rPr>
      </w:pPr>
      <w:r w:rsidRPr="00FD6A09">
        <w:t xml:space="preserve">The Commission’s key objectives are to: </w:t>
      </w:r>
    </w:p>
    <w:p w14:paraId="27FCF5AA" w14:textId="77777777" w:rsidR="00FD6A09" w:rsidRPr="00B0793B" w:rsidRDefault="00FD6A09" w:rsidP="005329BF">
      <w:pPr>
        <w:pStyle w:val="ListParagraph"/>
        <w:numPr>
          <w:ilvl w:val="0"/>
          <w:numId w:val="9"/>
        </w:numPr>
        <w:rPr>
          <w:rFonts w:eastAsia="Times New Roman"/>
          <w:i/>
          <w:lang w:eastAsia="en-AU"/>
        </w:rPr>
      </w:pPr>
      <w:r w:rsidRPr="00B0793B">
        <w:rPr>
          <w:rFonts w:eastAsia="Times New Roman"/>
          <w:lang w:eastAsia="en-AU"/>
        </w:rPr>
        <w:t>provide a fair, timely, and accessible complaint resolution service</w:t>
      </w:r>
      <w:r w:rsidR="00803E9C" w:rsidRPr="00B0793B">
        <w:rPr>
          <w:rFonts w:eastAsia="Times New Roman"/>
          <w:lang w:eastAsia="en-AU"/>
        </w:rPr>
        <w:t>;</w:t>
      </w:r>
    </w:p>
    <w:p w14:paraId="2E693128" w14:textId="77777777" w:rsidR="00FD6A09" w:rsidRPr="00B0793B" w:rsidRDefault="00FD6A09" w:rsidP="005329BF">
      <w:pPr>
        <w:pStyle w:val="ListParagraph"/>
        <w:numPr>
          <w:ilvl w:val="0"/>
          <w:numId w:val="9"/>
        </w:numPr>
        <w:rPr>
          <w:rFonts w:eastAsia="Times New Roman"/>
          <w:i/>
          <w:lang w:eastAsia="en-AU"/>
        </w:rPr>
      </w:pPr>
      <w:r w:rsidRPr="00B0793B">
        <w:rPr>
          <w:rFonts w:eastAsia="Times New Roman"/>
          <w:lang w:eastAsia="en-AU"/>
        </w:rPr>
        <w:t>provide information to the community about their rights and responsibilities under the Act</w:t>
      </w:r>
      <w:r w:rsidR="00803E9C" w:rsidRPr="00B0793B">
        <w:rPr>
          <w:rFonts w:eastAsia="Times New Roman"/>
          <w:lang w:eastAsia="en-AU"/>
        </w:rPr>
        <w:t>;</w:t>
      </w:r>
    </w:p>
    <w:p w14:paraId="148FA06E" w14:textId="77777777" w:rsidR="00FD6A09" w:rsidRPr="00B0793B" w:rsidRDefault="00FD6A09" w:rsidP="005329BF">
      <w:pPr>
        <w:pStyle w:val="ListParagraph"/>
        <w:numPr>
          <w:ilvl w:val="0"/>
          <w:numId w:val="9"/>
        </w:numPr>
        <w:rPr>
          <w:rFonts w:eastAsia="Times New Roman"/>
          <w:i/>
          <w:lang w:eastAsia="en-AU"/>
        </w:rPr>
      </w:pPr>
      <w:r w:rsidRPr="00B0793B">
        <w:rPr>
          <w:rFonts w:eastAsia="Times New Roman"/>
          <w:lang w:eastAsia="en-AU"/>
        </w:rPr>
        <w:t>promote understanding, acceptance, and public discussion of human rights in Queensland</w:t>
      </w:r>
      <w:r w:rsidR="00803E9C" w:rsidRPr="00B0793B">
        <w:rPr>
          <w:rFonts w:eastAsia="Times New Roman"/>
          <w:lang w:eastAsia="en-AU"/>
        </w:rPr>
        <w:t>;</w:t>
      </w:r>
      <w:r w:rsidRPr="00B0793B">
        <w:rPr>
          <w:rFonts w:eastAsia="Times New Roman"/>
          <w:lang w:eastAsia="en-AU"/>
        </w:rPr>
        <w:t xml:space="preserve"> and</w:t>
      </w:r>
    </w:p>
    <w:p w14:paraId="650A47B8" w14:textId="77777777" w:rsidR="00FD6A09" w:rsidRPr="00B0793B" w:rsidRDefault="00FD6A09" w:rsidP="005329BF">
      <w:pPr>
        <w:pStyle w:val="ListParagraph"/>
        <w:numPr>
          <w:ilvl w:val="0"/>
          <w:numId w:val="9"/>
        </w:numPr>
        <w:rPr>
          <w:rFonts w:eastAsia="Times New Roman"/>
          <w:i/>
          <w:lang w:eastAsia="en-AU"/>
        </w:rPr>
      </w:pPr>
      <w:r w:rsidRPr="00B0793B">
        <w:rPr>
          <w:rFonts w:eastAsia="Times New Roman"/>
          <w:lang w:eastAsia="en-AU"/>
        </w:rPr>
        <w:t>create opportunities for human rights to flourish.</w:t>
      </w:r>
    </w:p>
    <w:p w14:paraId="566E3AAE" w14:textId="77AB3A3A" w:rsidR="00F1724A" w:rsidRDefault="00F1724A" w:rsidP="00B0793B">
      <w:pPr>
        <w:rPr>
          <w:rFonts w:ascii="Arial" w:hAnsi="Arial" w:cs="Arial"/>
          <w:i/>
          <w:color w:val="000000"/>
        </w:rPr>
      </w:pPr>
      <w:r>
        <w:rPr>
          <w:rFonts w:ascii="Arial" w:hAnsi="Arial" w:cs="Arial"/>
          <w:color w:val="000000"/>
        </w:rPr>
        <w:t>The Commission supports the Queensland Government’s objectives for the community</w:t>
      </w:r>
      <w:r w:rsidR="00C80268">
        <w:rPr>
          <w:rFonts w:ascii="Arial" w:hAnsi="Arial" w:cs="Arial"/>
          <w:color w:val="000000"/>
        </w:rPr>
        <w:t>, and strives to meet these objectives through our work. The following values in particular are demonstrated clearly in the work of the Commission</w:t>
      </w:r>
      <w:r w:rsidR="00331E2D">
        <w:rPr>
          <w:rFonts w:ascii="Arial" w:hAnsi="Arial" w:cs="Arial"/>
          <w:color w:val="000000"/>
        </w:rPr>
        <w:t>.</w:t>
      </w:r>
    </w:p>
    <w:p w14:paraId="5DCE0112" w14:textId="77777777" w:rsidR="00C80268" w:rsidRDefault="00C80268" w:rsidP="00B0793B">
      <w:pPr>
        <w:rPr>
          <w:rFonts w:ascii="Arial" w:hAnsi="Arial" w:cs="Arial"/>
          <w:i/>
          <w:color w:val="000000"/>
        </w:rPr>
      </w:pPr>
      <w:r>
        <w:rPr>
          <w:rFonts w:ascii="Arial" w:hAnsi="Arial" w:cs="Arial"/>
          <w:color w:val="000000"/>
        </w:rPr>
        <w:t xml:space="preserve">Building safe, caring and connected communities: </w:t>
      </w:r>
    </w:p>
    <w:p w14:paraId="430C03E7" w14:textId="77777777" w:rsidR="00C80268" w:rsidRPr="00B0793B" w:rsidRDefault="00C72EB9" w:rsidP="005329BF">
      <w:pPr>
        <w:pStyle w:val="ListParagraph"/>
        <w:numPr>
          <w:ilvl w:val="0"/>
          <w:numId w:val="10"/>
        </w:numPr>
        <w:rPr>
          <w:rFonts w:eastAsia="Times New Roman"/>
          <w:i/>
          <w:lang w:eastAsia="en-AU"/>
        </w:rPr>
      </w:pPr>
      <w:r w:rsidRPr="00B0793B">
        <w:rPr>
          <w:rFonts w:eastAsia="Times New Roman"/>
          <w:lang w:eastAsia="en-AU"/>
        </w:rPr>
        <w:t>e</w:t>
      </w:r>
      <w:r w:rsidR="00C80268" w:rsidRPr="00B0793B">
        <w:rPr>
          <w:rFonts w:eastAsia="Times New Roman"/>
          <w:lang w:eastAsia="en-AU"/>
        </w:rPr>
        <w:t>nsuring an accessible and effective justice system</w:t>
      </w:r>
      <w:r w:rsidR="00803E9C" w:rsidRPr="00B0793B">
        <w:rPr>
          <w:rFonts w:eastAsia="Times New Roman"/>
          <w:lang w:eastAsia="en-AU"/>
        </w:rPr>
        <w:t>; and</w:t>
      </w:r>
    </w:p>
    <w:p w14:paraId="3EFE9221" w14:textId="77777777" w:rsidR="00C80268" w:rsidRPr="00B0793B" w:rsidRDefault="00C72EB9" w:rsidP="005329BF">
      <w:pPr>
        <w:pStyle w:val="ListParagraph"/>
        <w:numPr>
          <w:ilvl w:val="0"/>
          <w:numId w:val="10"/>
        </w:numPr>
        <w:rPr>
          <w:rFonts w:eastAsia="Times New Roman"/>
          <w:i/>
          <w:lang w:eastAsia="en-AU"/>
        </w:rPr>
      </w:pPr>
      <w:r w:rsidRPr="00B0793B">
        <w:rPr>
          <w:rFonts w:eastAsia="Times New Roman"/>
          <w:lang w:eastAsia="en-AU"/>
        </w:rPr>
        <w:t>e</w:t>
      </w:r>
      <w:r w:rsidR="00C80268" w:rsidRPr="00B0793B">
        <w:rPr>
          <w:rFonts w:eastAsia="Times New Roman"/>
          <w:lang w:eastAsia="en-AU"/>
        </w:rPr>
        <w:t>ncouraging safer and inclusive communities</w:t>
      </w:r>
      <w:r w:rsidRPr="00B0793B">
        <w:rPr>
          <w:rFonts w:eastAsia="Times New Roman"/>
          <w:lang w:eastAsia="en-AU"/>
        </w:rPr>
        <w:t>.</w:t>
      </w:r>
    </w:p>
    <w:p w14:paraId="4738D454" w14:textId="77777777" w:rsidR="00C80268" w:rsidRDefault="00C80268" w:rsidP="00B0793B">
      <w:pPr>
        <w:rPr>
          <w:rFonts w:ascii="Arial" w:hAnsi="Arial" w:cs="Arial"/>
          <w:i/>
          <w:color w:val="000000"/>
        </w:rPr>
      </w:pPr>
      <w:r>
        <w:rPr>
          <w:rFonts w:ascii="Arial" w:hAnsi="Arial" w:cs="Arial"/>
          <w:color w:val="000000"/>
        </w:rPr>
        <w:t>Delivering quality frontline services</w:t>
      </w:r>
      <w:r w:rsidR="00243246">
        <w:rPr>
          <w:rFonts w:ascii="Arial" w:hAnsi="Arial" w:cs="Arial"/>
          <w:color w:val="000000"/>
        </w:rPr>
        <w:t>:</w:t>
      </w:r>
    </w:p>
    <w:p w14:paraId="6A367A46" w14:textId="77777777" w:rsidR="00F1724A" w:rsidRPr="00B0793B" w:rsidRDefault="00C72EB9" w:rsidP="005329BF">
      <w:pPr>
        <w:pStyle w:val="ListParagraph"/>
        <w:numPr>
          <w:ilvl w:val="0"/>
          <w:numId w:val="11"/>
        </w:numPr>
        <w:rPr>
          <w:rFonts w:eastAsia="Times New Roman"/>
          <w:i/>
          <w:lang w:eastAsia="en-AU"/>
        </w:rPr>
      </w:pPr>
      <w:r w:rsidRPr="00B0793B">
        <w:rPr>
          <w:rFonts w:eastAsia="Times New Roman"/>
          <w:lang w:eastAsia="en-AU"/>
        </w:rPr>
        <w:t>p</w:t>
      </w:r>
      <w:r w:rsidR="00C80268" w:rsidRPr="00B0793B">
        <w:rPr>
          <w:rFonts w:eastAsia="Times New Roman"/>
          <w:lang w:eastAsia="en-AU"/>
        </w:rPr>
        <w:t>roviding responsive and integrated government services</w:t>
      </w:r>
      <w:r w:rsidR="00803E9C" w:rsidRPr="00B0793B">
        <w:rPr>
          <w:rFonts w:eastAsia="Times New Roman"/>
          <w:lang w:eastAsia="en-AU"/>
        </w:rPr>
        <w:t>; and</w:t>
      </w:r>
    </w:p>
    <w:p w14:paraId="46FDAE83" w14:textId="77777777" w:rsidR="00C80268" w:rsidRPr="00B0793B" w:rsidRDefault="00C72EB9" w:rsidP="005329BF">
      <w:pPr>
        <w:pStyle w:val="ListParagraph"/>
        <w:numPr>
          <w:ilvl w:val="0"/>
          <w:numId w:val="11"/>
        </w:numPr>
        <w:rPr>
          <w:rFonts w:eastAsia="Times New Roman"/>
          <w:i/>
          <w:lang w:eastAsia="en-AU"/>
        </w:rPr>
      </w:pPr>
      <w:r w:rsidRPr="00B0793B">
        <w:rPr>
          <w:rFonts w:eastAsia="Times New Roman"/>
          <w:lang w:eastAsia="en-AU"/>
        </w:rPr>
        <w:t>s</w:t>
      </w:r>
      <w:r w:rsidR="00C80268" w:rsidRPr="00B0793B">
        <w:rPr>
          <w:rFonts w:eastAsia="Times New Roman"/>
          <w:lang w:eastAsia="en-AU"/>
        </w:rPr>
        <w:t>upporting disadvantaged Queenslanders</w:t>
      </w:r>
      <w:r w:rsidRPr="00B0793B">
        <w:rPr>
          <w:rFonts w:eastAsia="Times New Roman"/>
          <w:lang w:eastAsia="en-AU"/>
        </w:rPr>
        <w:t>.</w:t>
      </w:r>
    </w:p>
    <w:p w14:paraId="0D1CC4B0" w14:textId="77777777" w:rsidR="00C80268" w:rsidRDefault="00C80268" w:rsidP="00B0793B">
      <w:pPr>
        <w:rPr>
          <w:rFonts w:ascii="Arial" w:hAnsi="Arial" w:cs="Arial"/>
          <w:i/>
          <w:color w:val="000000"/>
        </w:rPr>
      </w:pPr>
      <w:r>
        <w:rPr>
          <w:rFonts w:ascii="Arial" w:hAnsi="Arial" w:cs="Arial"/>
          <w:color w:val="000000"/>
        </w:rPr>
        <w:t>Creating jobs and a diverse economy</w:t>
      </w:r>
      <w:r w:rsidR="00243246">
        <w:rPr>
          <w:rFonts w:ascii="Arial" w:hAnsi="Arial" w:cs="Arial"/>
          <w:color w:val="000000"/>
        </w:rPr>
        <w:t>:</w:t>
      </w:r>
    </w:p>
    <w:p w14:paraId="23B25966" w14:textId="77777777" w:rsidR="00C80268" w:rsidRPr="00B0793B" w:rsidRDefault="00C72EB9" w:rsidP="005329BF">
      <w:pPr>
        <w:pStyle w:val="ListParagraph"/>
        <w:numPr>
          <w:ilvl w:val="0"/>
          <w:numId w:val="12"/>
        </w:numPr>
        <w:rPr>
          <w:rFonts w:eastAsia="Times New Roman"/>
          <w:i/>
          <w:lang w:eastAsia="en-AU"/>
        </w:rPr>
      </w:pPr>
      <w:r w:rsidRPr="00B0793B">
        <w:rPr>
          <w:rFonts w:eastAsia="Times New Roman"/>
          <w:lang w:eastAsia="en-AU"/>
        </w:rPr>
        <w:t>i</w:t>
      </w:r>
      <w:r w:rsidR="00C80268" w:rsidRPr="00B0793B">
        <w:rPr>
          <w:rFonts w:eastAsia="Times New Roman"/>
          <w:lang w:eastAsia="en-AU"/>
        </w:rPr>
        <w:t>ncreasing workforce participation</w:t>
      </w:r>
      <w:r w:rsidR="00803E9C" w:rsidRPr="00B0793B">
        <w:rPr>
          <w:rFonts w:eastAsia="Times New Roman"/>
          <w:lang w:eastAsia="en-AU"/>
        </w:rPr>
        <w:t>, and</w:t>
      </w:r>
    </w:p>
    <w:p w14:paraId="0C1C6025" w14:textId="77777777" w:rsidR="00C80268" w:rsidRPr="00B0793B" w:rsidRDefault="00C72EB9" w:rsidP="005329BF">
      <w:pPr>
        <w:pStyle w:val="ListParagraph"/>
        <w:numPr>
          <w:ilvl w:val="0"/>
          <w:numId w:val="12"/>
        </w:numPr>
        <w:rPr>
          <w:rFonts w:eastAsia="Times New Roman"/>
          <w:i/>
          <w:lang w:eastAsia="en-AU"/>
        </w:rPr>
      </w:pPr>
      <w:r w:rsidRPr="00B0793B">
        <w:rPr>
          <w:rFonts w:eastAsia="Times New Roman"/>
          <w:lang w:eastAsia="en-AU"/>
        </w:rPr>
        <w:t>e</w:t>
      </w:r>
      <w:r w:rsidR="00C80268" w:rsidRPr="00B0793B">
        <w:rPr>
          <w:rFonts w:eastAsia="Times New Roman"/>
          <w:lang w:eastAsia="en-AU"/>
        </w:rPr>
        <w:t>nsuring safe, productive and fair workplaces</w:t>
      </w:r>
      <w:r w:rsidRPr="00B0793B">
        <w:rPr>
          <w:rFonts w:eastAsia="Times New Roman"/>
          <w:lang w:eastAsia="en-AU"/>
        </w:rPr>
        <w:t>.</w:t>
      </w:r>
    </w:p>
    <w:p w14:paraId="49840C3C" w14:textId="77777777" w:rsidR="00696C61" w:rsidRDefault="00696C61">
      <w:pPr>
        <w:rPr>
          <w:rFonts w:ascii="Century Gothic" w:hAnsi="Century Gothic" w:cstheme="minorHAnsi"/>
          <w:color w:val="3B4E98"/>
          <w:sz w:val="32"/>
          <w:szCs w:val="22"/>
        </w:rPr>
      </w:pPr>
      <w:r>
        <w:br w:type="page"/>
      </w:r>
    </w:p>
    <w:p w14:paraId="37A126DC" w14:textId="7D80993F" w:rsidR="00F1724A" w:rsidRPr="003A10BE" w:rsidRDefault="0071372B" w:rsidP="00B0793B">
      <w:pPr>
        <w:pStyle w:val="Heading2"/>
      </w:pPr>
      <w:r w:rsidRPr="003A10BE">
        <w:lastRenderedPageBreak/>
        <w:t>Our values</w:t>
      </w:r>
    </w:p>
    <w:p w14:paraId="3C5CA156" w14:textId="77777777" w:rsidR="000E02B6" w:rsidRPr="003702EE" w:rsidRDefault="00F1724A" w:rsidP="00B0793B">
      <w:pPr>
        <w:rPr>
          <w:rFonts w:ascii="Arial" w:hAnsi="Arial" w:cs="Arial"/>
          <w:i/>
          <w:color w:val="000000"/>
        </w:rPr>
      </w:pPr>
      <w:r w:rsidRPr="003702EE">
        <w:rPr>
          <w:rFonts w:ascii="Arial" w:hAnsi="Arial" w:cs="Arial"/>
          <w:color w:val="000000"/>
        </w:rPr>
        <w:t>In delivering services to achieve our objectives</w:t>
      </w:r>
      <w:r w:rsidR="00957D82" w:rsidRPr="003702EE">
        <w:rPr>
          <w:rFonts w:ascii="Arial" w:hAnsi="Arial" w:cs="Arial"/>
          <w:color w:val="000000"/>
        </w:rPr>
        <w:t>,</w:t>
      </w:r>
      <w:r w:rsidRPr="003702EE">
        <w:rPr>
          <w:rFonts w:ascii="Arial" w:hAnsi="Arial" w:cs="Arial"/>
          <w:color w:val="000000"/>
        </w:rPr>
        <w:t xml:space="preserve"> we are committed to: </w:t>
      </w:r>
    </w:p>
    <w:p w14:paraId="48A62ACC" w14:textId="77777777" w:rsidR="000E02B6" w:rsidRPr="00B0793B" w:rsidRDefault="00A31DD2" w:rsidP="005329BF">
      <w:pPr>
        <w:pStyle w:val="ListParagraph"/>
        <w:numPr>
          <w:ilvl w:val="0"/>
          <w:numId w:val="13"/>
        </w:numPr>
        <w:rPr>
          <w:rFonts w:eastAsia="Times New Roman"/>
          <w:i/>
          <w:lang w:eastAsia="en-AU"/>
        </w:rPr>
      </w:pPr>
      <w:r w:rsidRPr="00B0793B">
        <w:rPr>
          <w:rFonts w:eastAsia="Times New Roman"/>
          <w:lang w:eastAsia="en-AU"/>
        </w:rPr>
        <w:t>t</w:t>
      </w:r>
      <w:r w:rsidR="00E65833" w:rsidRPr="00B0793B">
        <w:rPr>
          <w:rFonts w:eastAsia="Times New Roman"/>
          <w:lang w:eastAsia="en-AU"/>
        </w:rPr>
        <w:t xml:space="preserve">reating everyone with respect and dignity, </w:t>
      </w:r>
      <w:r w:rsidR="00C72EB9" w:rsidRPr="00B0793B">
        <w:rPr>
          <w:rFonts w:eastAsia="Times New Roman"/>
          <w:lang w:eastAsia="en-AU"/>
        </w:rPr>
        <w:t xml:space="preserve">and </w:t>
      </w:r>
      <w:r w:rsidR="00E65833" w:rsidRPr="00B0793B">
        <w:rPr>
          <w:rFonts w:eastAsia="Times New Roman"/>
          <w:lang w:eastAsia="en-AU"/>
        </w:rPr>
        <w:t>acknowledging their fundamental human rights</w:t>
      </w:r>
      <w:r w:rsidR="00803E9C" w:rsidRPr="00B0793B">
        <w:rPr>
          <w:rFonts w:eastAsia="Times New Roman"/>
          <w:lang w:eastAsia="en-AU"/>
        </w:rPr>
        <w:t>;</w:t>
      </w:r>
    </w:p>
    <w:p w14:paraId="29C4A3AF" w14:textId="77777777" w:rsidR="000E02B6" w:rsidRPr="00B0793B" w:rsidRDefault="00A31DD2" w:rsidP="005329BF">
      <w:pPr>
        <w:pStyle w:val="ListParagraph"/>
        <w:numPr>
          <w:ilvl w:val="0"/>
          <w:numId w:val="13"/>
        </w:numPr>
        <w:rPr>
          <w:rFonts w:eastAsia="Times New Roman"/>
          <w:i/>
          <w:lang w:eastAsia="en-AU"/>
        </w:rPr>
      </w:pPr>
      <w:r w:rsidRPr="00B0793B">
        <w:rPr>
          <w:rFonts w:eastAsia="Times New Roman"/>
          <w:lang w:eastAsia="en-AU"/>
        </w:rPr>
        <w:t>t</w:t>
      </w:r>
      <w:r w:rsidR="00E65833" w:rsidRPr="00B0793B">
        <w:rPr>
          <w:rFonts w:eastAsia="Times New Roman"/>
          <w:lang w:eastAsia="en-AU"/>
        </w:rPr>
        <w:t>reating everyone fairly and impartially</w:t>
      </w:r>
      <w:r w:rsidR="00803E9C" w:rsidRPr="00B0793B">
        <w:rPr>
          <w:rFonts w:eastAsia="Times New Roman"/>
          <w:lang w:eastAsia="en-AU"/>
        </w:rPr>
        <w:t>;</w:t>
      </w:r>
    </w:p>
    <w:p w14:paraId="77C846AA" w14:textId="62C4371D" w:rsidR="000E02B6" w:rsidRPr="00B0793B" w:rsidRDefault="00A31DD2" w:rsidP="005329BF">
      <w:pPr>
        <w:pStyle w:val="ListParagraph"/>
        <w:numPr>
          <w:ilvl w:val="0"/>
          <w:numId w:val="13"/>
        </w:numPr>
        <w:rPr>
          <w:rFonts w:eastAsia="Times New Roman"/>
          <w:i/>
          <w:lang w:eastAsia="en-AU"/>
        </w:rPr>
      </w:pPr>
      <w:r w:rsidRPr="00B0793B">
        <w:rPr>
          <w:rFonts w:eastAsia="Times New Roman"/>
          <w:lang w:eastAsia="en-AU"/>
        </w:rPr>
        <w:t>s</w:t>
      </w:r>
      <w:r w:rsidR="00E65833" w:rsidRPr="00B0793B">
        <w:rPr>
          <w:rFonts w:eastAsia="Times New Roman"/>
          <w:lang w:eastAsia="en-AU"/>
        </w:rPr>
        <w:t>upporting a workplace culture that encourages diversity, innovation and responsiveness to the needs of our clients</w:t>
      </w:r>
      <w:r w:rsidR="00803E9C" w:rsidRPr="00B0793B">
        <w:rPr>
          <w:rFonts w:eastAsia="Times New Roman"/>
          <w:lang w:eastAsia="en-AU"/>
        </w:rPr>
        <w:t>;</w:t>
      </w:r>
      <w:r w:rsidR="005B7166" w:rsidRPr="00B0793B">
        <w:rPr>
          <w:rFonts w:eastAsia="Times New Roman"/>
          <w:lang w:eastAsia="en-AU"/>
        </w:rPr>
        <w:t xml:space="preserve"> and</w:t>
      </w:r>
    </w:p>
    <w:p w14:paraId="594BDCA5" w14:textId="77777777" w:rsidR="000E02B6" w:rsidRPr="00B0793B" w:rsidRDefault="00A31DD2" w:rsidP="005329BF">
      <w:pPr>
        <w:pStyle w:val="ListParagraph"/>
        <w:numPr>
          <w:ilvl w:val="0"/>
          <w:numId w:val="13"/>
        </w:numPr>
        <w:rPr>
          <w:rFonts w:eastAsia="Times New Roman"/>
          <w:i/>
          <w:lang w:eastAsia="en-AU"/>
        </w:rPr>
      </w:pPr>
      <w:r w:rsidRPr="00B0793B">
        <w:rPr>
          <w:rFonts w:eastAsia="Times New Roman"/>
          <w:lang w:eastAsia="en-AU"/>
        </w:rPr>
        <w:t>v</w:t>
      </w:r>
      <w:r w:rsidR="00E65833" w:rsidRPr="00B0793B">
        <w:rPr>
          <w:rFonts w:eastAsia="Times New Roman"/>
          <w:lang w:eastAsia="en-AU"/>
        </w:rPr>
        <w:t>aluing our independence and the rule of law</w:t>
      </w:r>
      <w:r w:rsidR="000E02B6" w:rsidRPr="00B0793B">
        <w:rPr>
          <w:rFonts w:eastAsia="Times New Roman"/>
          <w:lang w:eastAsia="en-AU"/>
        </w:rPr>
        <w:t>.</w:t>
      </w:r>
    </w:p>
    <w:p w14:paraId="4E5C8D91" w14:textId="77777777" w:rsidR="00D87368" w:rsidRDefault="00D87368" w:rsidP="00B0793B">
      <w:pPr>
        <w:rPr>
          <w:rFonts w:eastAsia="Times New Roman"/>
          <w:i/>
          <w:lang w:eastAsia="en-AU"/>
        </w:rPr>
      </w:pPr>
      <w:r>
        <w:rPr>
          <w:rFonts w:eastAsia="Times New Roman"/>
          <w:lang w:eastAsia="en-AU"/>
        </w:rPr>
        <w:t xml:space="preserve">The way in which the Commission delivers services, develops and supports staff and engages with the community also reflects the Queensland public service values of putting customers first, translating ideas into action, unleashing potential, being courageous and empowering people. </w:t>
      </w:r>
    </w:p>
    <w:p w14:paraId="4FAFD588" w14:textId="77777777" w:rsidR="00BE5EF8" w:rsidRPr="003A10BE" w:rsidRDefault="00FD6A09" w:rsidP="00B0793B">
      <w:pPr>
        <w:pStyle w:val="Heading2"/>
      </w:pPr>
      <w:r>
        <w:t>O</w:t>
      </w:r>
      <w:r w:rsidR="00BE5EF8" w:rsidRPr="003A10BE">
        <w:t>ur functions</w:t>
      </w:r>
    </w:p>
    <w:p w14:paraId="279FA4CA" w14:textId="77777777" w:rsidR="00BE5EF8" w:rsidRPr="002F3BB0" w:rsidRDefault="00BE5EF8" w:rsidP="00B0793B">
      <w:pPr>
        <w:rPr>
          <w:i/>
        </w:rPr>
      </w:pPr>
      <w:r w:rsidRPr="002F3BB0">
        <w:t xml:space="preserve">Established under the </w:t>
      </w:r>
      <w:r w:rsidRPr="00AF7432">
        <w:rPr>
          <w:i/>
        </w:rPr>
        <w:t>Anti-Discrimination Act 1991</w:t>
      </w:r>
      <w:r w:rsidRPr="002F3BB0">
        <w:t xml:space="preserve">, the Commission is an independent statutory </w:t>
      </w:r>
      <w:r w:rsidR="003275D2" w:rsidRPr="002F3BB0">
        <w:t>bod</w:t>
      </w:r>
      <w:r w:rsidRPr="002F3BB0">
        <w:t xml:space="preserve">y that </w:t>
      </w:r>
      <w:r w:rsidR="00E448B8">
        <w:t xml:space="preserve">has </w:t>
      </w:r>
      <w:r w:rsidRPr="002F3BB0">
        <w:t>the following functions:</w:t>
      </w:r>
    </w:p>
    <w:p w14:paraId="32819FD1"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inquire into complaints and, where possible, to effect conciliation</w:t>
      </w:r>
      <w:r w:rsidR="00803E9C" w:rsidRPr="00B0793B">
        <w:rPr>
          <w:rFonts w:eastAsia="Times New Roman"/>
          <w:lang w:eastAsia="en-AU"/>
        </w:rPr>
        <w:t>;</w:t>
      </w:r>
    </w:p>
    <w:p w14:paraId="31DCE4E0"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carry out investigations relating to contraventions of the Act</w:t>
      </w:r>
      <w:r w:rsidR="00803E9C" w:rsidRPr="00B0793B">
        <w:rPr>
          <w:rFonts w:eastAsia="Times New Roman"/>
          <w:lang w:eastAsia="en-AU"/>
        </w:rPr>
        <w:t>;</w:t>
      </w:r>
    </w:p>
    <w:p w14:paraId="024537F3"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examine Acts and, when requested by the Minister, proposed Acts, to determine whether they are, or would be, inconsistent with the purposes of the Act, and to report to the Minister the results of the examination</w:t>
      </w:r>
      <w:r w:rsidR="00803E9C" w:rsidRPr="00B0793B">
        <w:rPr>
          <w:rFonts w:eastAsia="Times New Roman"/>
          <w:lang w:eastAsia="en-AU"/>
        </w:rPr>
        <w:t>;</w:t>
      </w:r>
    </w:p>
    <w:p w14:paraId="34801F33"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undertake research and educational programs to promote the purposes of the Act, and to coordinate programs undertaken by other people or authorities on behalf of the State</w:t>
      </w:r>
      <w:r w:rsidR="00803E9C" w:rsidRPr="00B0793B">
        <w:rPr>
          <w:rFonts w:eastAsia="Times New Roman"/>
          <w:lang w:eastAsia="en-AU"/>
        </w:rPr>
        <w:t>;</w:t>
      </w:r>
    </w:p>
    <w:p w14:paraId="3239AAAB"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consult with various organisations to ascertain means of improving services and conditions affecting groups that are subjected to contraventions of the Act</w:t>
      </w:r>
      <w:r w:rsidR="00803E9C" w:rsidRPr="00B0793B">
        <w:rPr>
          <w:rFonts w:eastAsia="Times New Roman"/>
          <w:lang w:eastAsia="en-AU"/>
        </w:rPr>
        <w:t>;</w:t>
      </w:r>
    </w:p>
    <w:p w14:paraId="69552302"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w</w:t>
      </w:r>
      <w:r w:rsidR="00BE5EF8" w:rsidRPr="00B0793B">
        <w:rPr>
          <w:rFonts w:eastAsia="Times New Roman"/>
          <w:lang w:eastAsia="en-AU"/>
        </w:rPr>
        <w:t>hen requested by the Minister, to research and develop additional grounds of discrimination and to make recommendations for the inclusion of such grounds in the Act</w:t>
      </w:r>
      <w:r w:rsidR="00803E9C" w:rsidRPr="00B0793B">
        <w:rPr>
          <w:rFonts w:eastAsia="Times New Roman"/>
          <w:lang w:eastAsia="en-AU"/>
        </w:rPr>
        <w:t>;</w:t>
      </w:r>
    </w:p>
    <w:p w14:paraId="022CE91C"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s</w:t>
      </w:r>
      <w:r w:rsidR="00BE5EF8" w:rsidRPr="00B0793B">
        <w:rPr>
          <w:rFonts w:eastAsia="Times New Roman"/>
          <w:lang w:eastAsia="en-AU"/>
        </w:rPr>
        <w:t xml:space="preserve">uch functions as are conferred on the </w:t>
      </w:r>
      <w:r w:rsidR="007E1B0E" w:rsidRPr="00B0793B">
        <w:rPr>
          <w:rFonts w:eastAsia="Times New Roman"/>
          <w:lang w:eastAsia="en-AU"/>
        </w:rPr>
        <w:t>C</w:t>
      </w:r>
      <w:r w:rsidR="00BE5EF8" w:rsidRPr="00B0793B">
        <w:rPr>
          <w:rFonts w:eastAsia="Times New Roman"/>
          <w:lang w:eastAsia="en-AU"/>
        </w:rPr>
        <w:t>ommission under</w:t>
      </w:r>
      <w:r w:rsidR="008D3073" w:rsidRPr="00B0793B">
        <w:rPr>
          <w:rFonts w:eastAsia="Times New Roman"/>
          <w:lang w:eastAsia="en-AU"/>
        </w:rPr>
        <w:t xml:space="preserve"> another act</w:t>
      </w:r>
      <w:r w:rsidR="00803E9C" w:rsidRPr="00B0793B">
        <w:rPr>
          <w:rFonts w:eastAsia="Times New Roman"/>
          <w:lang w:eastAsia="en-AU"/>
        </w:rPr>
        <w:t>;</w:t>
      </w:r>
    </w:p>
    <w:p w14:paraId="0FF7816F"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s</w:t>
      </w:r>
      <w:r w:rsidR="00BE5EF8" w:rsidRPr="00B0793B">
        <w:rPr>
          <w:rFonts w:eastAsia="Times New Roman"/>
          <w:lang w:eastAsia="en-AU"/>
        </w:rPr>
        <w:t xml:space="preserve">uch functions as are conferred on the </w:t>
      </w:r>
      <w:r w:rsidR="007E1B0E" w:rsidRPr="00B0793B">
        <w:rPr>
          <w:rFonts w:eastAsia="Times New Roman"/>
          <w:lang w:eastAsia="en-AU"/>
        </w:rPr>
        <w:t>C</w:t>
      </w:r>
      <w:r w:rsidR="00BE5EF8" w:rsidRPr="00B0793B">
        <w:rPr>
          <w:rFonts w:eastAsia="Times New Roman"/>
          <w:lang w:eastAsia="en-AU"/>
        </w:rPr>
        <w:t xml:space="preserve">ommission under an arrangement with the Commonwealth under part 3 of the </w:t>
      </w:r>
      <w:r w:rsidR="00BE5EF8" w:rsidRPr="0067689A">
        <w:rPr>
          <w:rFonts w:eastAsia="Times New Roman"/>
          <w:i/>
          <w:lang w:eastAsia="en-AU"/>
        </w:rPr>
        <w:t>Anti-Discrimination Act 1991</w:t>
      </w:r>
      <w:r w:rsidR="00803E9C" w:rsidRPr="00B0793B">
        <w:rPr>
          <w:rFonts w:eastAsia="Times New Roman"/>
          <w:lang w:eastAsia="en-AU"/>
        </w:rPr>
        <w:t>;</w:t>
      </w:r>
    </w:p>
    <w:p w14:paraId="252D43E3"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promote an understanding and acceptance, and the public discussion, of human rights in Queensland</w:t>
      </w:r>
      <w:r w:rsidR="00803E9C" w:rsidRPr="00B0793B">
        <w:rPr>
          <w:rFonts w:eastAsia="Times New Roman"/>
          <w:lang w:eastAsia="en-AU"/>
        </w:rPr>
        <w:t>;</w:t>
      </w:r>
    </w:p>
    <w:p w14:paraId="54922DA9"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i</w:t>
      </w:r>
      <w:r w:rsidR="00BE5EF8" w:rsidRPr="00B0793B">
        <w:rPr>
          <w:rFonts w:eastAsia="Times New Roman"/>
          <w:lang w:eastAsia="en-AU"/>
        </w:rPr>
        <w:t xml:space="preserve">f the </w:t>
      </w:r>
      <w:r w:rsidR="007E1B0E" w:rsidRPr="00B0793B">
        <w:rPr>
          <w:rFonts w:eastAsia="Times New Roman"/>
          <w:lang w:eastAsia="en-AU"/>
        </w:rPr>
        <w:t>C</w:t>
      </w:r>
      <w:r w:rsidR="00BE5EF8" w:rsidRPr="00B0793B">
        <w:rPr>
          <w:rFonts w:eastAsia="Times New Roman"/>
          <w:lang w:eastAsia="en-AU"/>
        </w:rPr>
        <w:t xml:space="preserve">ommission considers it appropriate to do so </w:t>
      </w:r>
      <w:r w:rsidR="005C09C2" w:rsidRPr="00B0793B">
        <w:rPr>
          <w:rFonts w:eastAsia="Times New Roman"/>
          <w:lang w:eastAsia="en-AU"/>
        </w:rPr>
        <w:t>—</w:t>
      </w:r>
      <w:r w:rsidR="00BE5EF8" w:rsidRPr="00B0793B">
        <w:rPr>
          <w:rFonts w:eastAsia="Times New Roman"/>
          <w:lang w:eastAsia="en-AU"/>
        </w:rPr>
        <w:t xml:space="preserve"> to intervene in a proceeding that involves human rights issues with the leave of the court hearing the proceeding and subject to any conditions imposed by the court</w:t>
      </w:r>
      <w:r w:rsidR="00803E9C" w:rsidRPr="00B0793B">
        <w:rPr>
          <w:rFonts w:eastAsia="Times New Roman"/>
          <w:lang w:eastAsia="en-AU"/>
        </w:rPr>
        <w:t>;</w:t>
      </w:r>
    </w:p>
    <w:p w14:paraId="06EE9034"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s</w:t>
      </w:r>
      <w:r w:rsidR="00BE5EF8" w:rsidRPr="00B0793B">
        <w:rPr>
          <w:rFonts w:eastAsia="Times New Roman"/>
          <w:lang w:eastAsia="en-AU"/>
        </w:rPr>
        <w:t>uch other functions as the Minister determines</w:t>
      </w:r>
      <w:r w:rsidR="00803E9C" w:rsidRPr="00B0793B">
        <w:rPr>
          <w:rFonts w:eastAsia="Times New Roman"/>
          <w:lang w:eastAsia="en-AU"/>
        </w:rPr>
        <w:t>; and</w:t>
      </w:r>
    </w:p>
    <w:p w14:paraId="091ECC46" w14:textId="77777777" w:rsidR="00BE5EF8" w:rsidRPr="00B0793B" w:rsidRDefault="003275D2" w:rsidP="005329BF">
      <w:pPr>
        <w:pStyle w:val="ListParagraph"/>
        <w:numPr>
          <w:ilvl w:val="0"/>
          <w:numId w:val="14"/>
        </w:numPr>
        <w:rPr>
          <w:rFonts w:eastAsia="Times New Roman"/>
          <w:i/>
          <w:lang w:eastAsia="en-AU"/>
        </w:rPr>
      </w:pPr>
      <w:r w:rsidRPr="00B0793B">
        <w:rPr>
          <w:rFonts w:eastAsia="Times New Roman"/>
          <w:lang w:eastAsia="en-AU"/>
        </w:rPr>
        <w:t>t</w:t>
      </w:r>
      <w:r w:rsidR="00BE5EF8" w:rsidRPr="00B0793B">
        <w:rPr>
          <w:rFonts w:eastAsia="Times New Roman"/>
          <w:lang w:eastAsia="en-AU"/>
        </w:rPr>
        <w:t>o take any action incidental or conducive to the discharge of the above functions.</w:t>
      </w:r>
    </w:p>
    <w:p w14:paraId="7D8F4170" w14:textId="77777777" w:rsidR="00DD7227" w:rsidRPr="003A10BE" w:rsidRDefault="00974858" w:rsidP="00B0793B">
      <w:pPr>
        <w:pStyle w:val="Heading2"/>
      </w:pPr>
      <w:r w:rsidRPr="003A10BE">
        <w:lastRenderedPageBreak/>
        <w:t>O</w:t>
      </w:r>
      <w:r w:rsidR="00DD7227" w:rsidRPr="003A10BE">
        <w:t xml:space="preserve">ur </w:t>
      </w:r>
      <w:r w:rsidR="0071372B" w:rsidRPr="003A10BE">
        <w:t>services</w:t>
      </w:r>
    </w:p>
    <w:p w14:paraId="7BCE65BD" w14:textId="77777777" w:rsidR="00D13B7C" w:rsidRPr="002F3BB0" w:rsidRDefault="00D13B7C" w:rsidP="00B0793B">
      <w:pPr>
        <w:rPr>
          <w:i/>
        </w:rPr>
      </w:pPr>
      <w:r w:rsidRPr="002F3BB0">
        <w:t>The Commission delivers frontline services to the Queensland community, including businesses, state and local government, the community sector</w:t>
      </w:r>
      <w:r w:rsidR="00333058">
        <w:t>,</w:t>
      </w:r>
      <w:r w:rsidRPr="002F3BB0">
        <w:t xml:space="preserve"> and people throughout the state. </w:t>
      </w:r>
    </w:p>
    <w:p w14:paraId="3821EDD6" w14:textId="77777777" w:rsidR="00D13B7C" w:rsidRPr="002F3BB0" w:rsidRDefault="00D13B7C" w:rsidP="00B0793B">
      <w:pPr>
        <w:rPr>
          <w:i/>
        </w:rPr>
      </w:pPr>
      <w:r w:rsidRPr="002F3BB0">
        <w:t xml:space="preserve">Our services include: </w:t>
      </w:r>
    </w:p>
    <w:p w14:paraId="08ADED0F" w14:textId="77777777" w:rsidR="00D13B7C" w:rsidRPr="00B0793B" w:rsidRDefault="00D13B7C" w:rsidP="005329BF">
      <w:pPr>
        <w:pStyle w:val="ListParagraph"/>
        <w:numPr>
          <w:ilvl w:val="0"/>
          <w:numId w:val="15"/>
        </w:numPr>
        <w:rPr>
          <w:rFonts w:eastAsia="Times New Roman"/>
          <w:i/>
          <w:lang w:eastAsia="en-AU"/>
        </w:rPr>
      </w:pPr>
      <w:r w:rsidRPr="00B0793B">
        <w:rPr>
          <w:rFonts w:eastAsia="Times New Roman"/>
          <w:lang w:eastAsia="en-AU"/>
        </w:rPr>
        <w:t>resolving complaints received under the Act</w:t>
      </w:r>
      <w:r w:rsidR="00803E9C" w:rsidRPr="00B0793B">
        <w:rPr>
          <w:rFonts w:eastAsia="Times New Roman"/>
          <w:lang w:eastAsia="en-AU"/>
        </w:rPr>
        <w:t>;</w:t>
      </w:r>
    </w:p>
    <w:p w14:paraId="136C026A" w14:textId="04CDE644" w:rsidR="00D13B7C" w:rsidRPr="00B0793B" w:rsidRDefault="00D13B7C" w:rsidP="005329BF">
      <w:pPr>
        <w:pStyle w:val="ListParagraph"/>
        <w:numPr>
          <w:ilvl w:val="0"/>
          <w:numId w:val="15"/>
        </w:numPr>
        <w:rPr>
          <w:rFonts w:eastAsia="Times New Roman"/>
          <w:i/>
          <w:lang w:eastAsia="en-AU"/>
        </w:rPr>
      </w:pPr>
      <w:r w:rsidRPr="00B0793B">
        <w:rPr>
          <w:rFonts w:eastAsia="Times New Roman"/>
          <w:lang w:eastAsia="en-AU"/>
        </w:rPr>
        <w:t>delivering training to business, government</w:t>
      </w:r>
      <w:r w:rsidR="00333058" w:rsidRPr="00B0793B">
        <w:rPr>
          <w:rFonts w:eastAsia="Times New Roman"/>
          <w:lang w:eastAsia="en-AU"/>
        </w:rPr>
        <w:t>,</w:t>
      </w:r>
      <w:r w:rsidRPr="00B0793B">
        <w:rPr>
          <w:rFonts w:eastAsia="Times New Roman"/>
          <w:lang w:eastAsia="en-AU"/>
        </w:rPr>
        <w:t xml:space="preserve"> and the community</w:t>
      </w:r>
      <w:r w:rsidR="00803E9C" w:rsidRPr="00B0793B">
        <w:rPr>
          <w:rFonts w:eastAsia="Times New Roman"/>
          <w:lang w:eastAsia="en-AU"/>
        </w:rPr>
        <w:t>;</w:t>
      </w:r>
      <w:r w:rsidRPr="00B0793B">
        <w:rPr>
          <w:rFonts w:eastAsia="Times New Roman"/>
          <w:lang w:eastAsia="en-AU"/>
        </w:rPr>
        <w:t xml:space="preserve"> and</w:t>
      </w:r>
    </w:p>
    <w:p w14:paraId="31A54532" w14:textId="77777777" w:rsidR="00D13B7C" w:rsidRPr="00B0793B" w:rsidRDefault="00D13B7C" w:rsidP="005329BF">
      <w:pPr>
        <w:pStyle w:val="ListParagraph"/>
        <w:numPr>
          <w:ilvl w:val="0"/>
          <w:numId w:val="15"/>
        </w:numPr>
        <w:rPr>
          <w:rFonts w:eastAsia="Times New Roman"/>
          <w:i/>
          <w:lang w:eastAsia="en-AU"/>
        </w:rPr>
      </w:pPr>
      <w:r w:rsidRPr="00B0793B">
        <w:rPr>
          <w:rFonts w:eastAsia="Times New Roman"/>
          <w:lang w:eastAsia="en-AU"/>
        </w:rPr>
        <w:t>promoting public discussion of human rights through a variety of community engagement and communication strategies</w:t>
      </w:r>
      <w:r w:rsidR="00192B54" w:rsidRPr="00B0793B">
        <w:rPr>
          <w:rFonts w:eastAsia="Times New Roman"/>
          <w:lang w:eastAsia="en-AU"/>
        </w:rPr>
        <w:t>.</w:t>
      </w:r>
    </w:p>
    <w:p w14:paraId="2C5C5AD8" w14:textId="77777777" w:rsidR="00555854" w:rsidRPr="002F3BB0" w:rsidRDefault="00D13B7C" w:rsidP="00B0793B">
      <w:pPr>
        <w:rPr>
          <w:i/>
        </w:rPr>
      </w:pPr>
      <w:r w:rsidRPr="002F3BB0">
        <w:t xml:space="preserve">More detail about how these services are delivered </w:t>
      </w:r>
      <w:r w:rsidR="00333058">
        <w:t>is available</w:t>
      </w:r>
      <w:r w:rsidRPr="002F3BB0">
        <w:t xml:space="preserve"> in the relevant sections of this annual report.</w:t>
      </w:r>
    </w:p>
    <w:p w14:paraId="6E15D57A" w14:textId="77777777" w:rsidR="00DF3784" w:rsidRPr="003A10BE" w:rsidRDefault="00DF3784" w:rsidP="00B0793B">
      <w:pPr>
        <w:pStyle w:val="Heading2"/>
      </w:pPr>
      <w:r w:rsidRPr="003A10BE">
        <w:t>Our people</w:t>
      </w:r>
    </w:p>
    <w:p w14:paraId="56AB8E53" w14:textId="763E1936" w:rsidR="00F66757" w:rsidRDefault="00F66757" w:rsidP="00B0793B">
      <w:pPr>
        <w:rPr>
          <w:i/>
        </w:rPr>
      </w:pPr>
      <w:bookmarkStart w:id="12" w:name="_Toc366482367"/>
      <w:bookmarkStart w:id="13" w:name="_Toc366487297"/>
      <w:r w:rsidRPr="002F3BB0">
        <w:t xml:space="preserve">The ADCQ is led by the Anti-Discrimination Commissioner who </w:t>
      </w:r>
      <w:r w:rsidR="00AA23AF" w:rsidRPr="002F3BB0">
        <w:t>is appointed by the Governor in Council</w:t>
      </w:r>
      <w:r w:rsidR="007437A6">
        <w:t>,</w:t>
      </w:r>
      <w:r w:rsidR="00AA23AF" w:rsidRPr="002F3BB0">
        <w:t xml:space="preserve"> and </w:t>
      </w:r>
      <w:r w:rsidRPr="002F3BB0">
        <w:t xml:space="preserve">reports to </w:t>
      </w:r>
      <w:r w:rsidR="007437A6">
        <w:t xml:space="preserve">the Queensland </w:t>
      </w:r>
      <w:r w:rsidRPr="002F3BB0">
        <w:t xml:space="preserve">Parliament </w:t>
      </w:r>
      <w:r w:rsidR="00192B54">
        <w:t>through</w:t>
      </w:r>
      <w:r w:rsidR="00192B54" w:rsidRPr="002F3BB0">
        <w:t xml:space="preserve"> </w:t>
      </w:r>
      <w:r w:rsidRPr="002F3BB0">
        <w:t>the Attorney-General and Minister for Justice. Although overall accountability for ADCQ services rests with the Commissioner, direct management responsibility of the various teams within the ADCQ is shared between the Commissioner and the Deputy Commissioner.</w:t>
      </w:r>
      <w:bookmarkEnd w:id="12"/>
      <w:bookmarkEnd w:id="13"/>
    </w:p>
    <w:p w14:paraId="3D56A5B6" w14:textId="687F1E2F" w:rsidR="00A725AE" w:rsidRDefault="00A725AE" w:rsidP="00B0793B">
      <w:pPr>
        <w:rPr>
          <w:rFonts w:eastAsia="Times New Roman"/>
          <w:i/>
          <w:lang w:eastAsia="en-AU"/>
        </w:rPr>
      </w:pPr>
      <w:r>
        <w:rPr>
          <w:rFonts w:eastAsia="Times New Roman"/>
          <w:lang w:eastAsia="en-AU"/>
        </w:rPr>
        <w:t xml:space="preserve">During 2018-19 an organisational restructure occurred to enable the Commission to deliver additional functions required under the </w:t>
      </w:r>
      <w:r w:rsidRPr="00AF7432">
        <w:rPr>
          <w:rFonts w:eastAsia="Times New Roman"/>
          <w:i/>
          <w:lang w:eastAsia="en-AU"/>
        </w:rPr>
        <w:t>Human Rights Act 2019</w:t>
      </w:r>
      <w:r w:rsidR="000C6D03">
        <w:rPr>
          <w:rFonts w:eastAsia="Times New Roman"/>
          <w:lang w:eastAsia="en-AU"/>
        </w:rPr>
        <w:t xml:space="preserve">, </w:t>
      </w:r>
      <w:r>
        <w:rPr>
          <w:rFonts w:eastAsia="Times New Roman"/>
          <w:lang w:eastAsia="en-AU"/>
        </w:rPr>
        <w:t xml:space="preserve">commencing in 2019-20. </w:t>
      </w:r>
      <w:r w:rsidR="000C6D03">
        <w:rPr>
          <w:rFonts w:eastAsia="Times New Roman"/>
          <w:lang w:eastAsia="en-AU"/>
        </w:rPr>
        <w:t xml:space="preserve">A staged implementation of the revised </w:t>
      </w:r>
      <w:r>
        <w:rPr>
          <w:rFonts w:eastAsia="Times New Roman"/>
          <w:lang w:eastAsia="en-AU"/>
        </w:rPr>
        <w:t xml:space="preserve">structure </w:t>
      </w:r>
      <w:r w:rsidR="000C6D03">
        <w:rPr>
          <w:rFonts w:eastAsia="Times New Roman"/>
          <w:lang w:eastAsia="en-AU"/>
        </w:rPr>
        <w:t xml:space="preserve">commenced in March 2019 and is </w:t>
      </w:r>
      <w:r>
        <w:rPr>
          <w:rFonts w:eastAsia="Times New Roman"/>
          <w:lang w:eastAsia="en-AU"/>
        </w:rPr>
        <w:t xml:space="preserve">reflected in the organisational structure in Appendix D.  </w:t>
      </w:r>
    </w:p>
    <w:p w14:paraId="0E7FDA4D" w14:textId="77777777" w:rsidR="00675838" w:rsidRPr="002F3BB0" w:rsidRDefault="00675838" w:rsidP="00B0793B">
      <w:pPr>
        <w:rPr>
          <w:i/>
        </w:rPr>
      </w:pPr>
      <w:r w:rsidRPr="002F3BB0">
        <w:t xml:space="preserve">The Commission </w:t>
      </w:r>
      <w:r w:rsidR="00F06866">
        <w:t xml:space="preserve">has </w:t>
      </w:r>
      <w:r w:rsidRPr="002F3BB0">
        <w:t>four offices located in Brisbane, Rockhampton,</w:t>
      </w:r>
      <w:r w:rsidR="00F06866">
        <w:t xml:space="preserve"> </w:t>
      </w:r>
      <w:r w:rsidRPr="002F3BB0">
        <w:t>Townsville and Cairns</w:t>
      </w:r>
      <w:r w:rsidR="00E448B8">
        <w:t xml:space="preserve"> </w:t>
      </w:r>
      <w:r w:rsidR="009A7751">
        <w:t>which</w:t>
      </w:r>
      <w:r w:rsidR="00E448B8">
        <w:t xml:space="preserve"> </w:t>
      </w:r>
      <w:r w:rsidR="00F06866">
        <w:t xml:space="preserve">deliver </w:t>
      </w:r>
      <w:r w:rsidR="00F06866" w:rsidRPr="002F3BB0">
        <w:t>services to the Queensland community</w:t>
      </w:r>
      <w:r w:rsidRPr="002F3BB0">
        <w:t xml:space="preserve">. Each regional office performs a variety of functions including complaint management, training, community engagement and provision of information services directly to the public. The Brisbane office </w:t>
      </w:r>
      <w:r w:rsidR="005B7166">
        <w:t xml:space="preserve">is </w:t>
      </w:r>
      <w:r w:rsidRPr="002F3BB0">
        <w:t>responsibl</w:t>
      </w:r>
      <w:r w:rsidR="005B7166">
        <w:t>e</w:t>
      </w:r>
      <w:r w:rsidRPr="002F3BB0">
        <w:t xml:space="preserve"> for executive and corporate services. </w:t>
      </w:r>
    </w:p>
    <w:p w14:paraId="28D7DDDF" w14:textId="3889A7D1" w:rsidR="00A725AE" w:rsidRDefault="00F66757" w:rsidP="00B0793B">
      <w:pPr>
        <w:rPr>
          <w:rFonts w:eastAsia="Times New Roman"/>
          <w:i/>
          <w:lang w:eastAsia="en-AU"/>
        </w:rPr>
      </w:pPr>
      <w:r w:rsidRPr="002F3BB0">
        <w:rPr>
          <w:rFonts w:eastAsia="Times New Roman"/>
          <w:lang w:eastAsia="en-AU"/>
        </w:rPr>
        <w:t xml:space="preserve">The </w:t>
      </w:r>
      <w:r w:rsidRPr="00996855">
        <w:rPr>
          <w:rFonts w:eastAsia="Times New Roman"/>
          <w:lang w:eastAsia="en-AU"/>
        </w:rPr>
        <w:t>Director</w:t>
      </w:r>
      <w:r w:rsidR="00996855" w:rsidRPr="00996855">
        <w:rPr>
          <w:rFonts w:eastAsia="Times New Roman"/>
          <w:lang w:eastAsia="en-AU"/>
        </w:rPr>
        <w:t>,</w:t>
      </w:r>
      <w:r w:rsidR="00996855">
        <w:rPr>
          <w:rFonts w:eastAsia="Times New Roman"/>
          <w:lang w:eastAsia="en-AU"/>
        </w:rPr>
        <w:t xml:space="preserve"> Complaint </w:t>
      </w:r>
      <w:r w:rsidR="001A73AA">
        <w:rPr>
          <w:rFonts w:eastAsia="Times New Roman"/>
          <w:lang w:eastAsia="en-AU"/>
        </w:rPr>
        <w:t>Management</w:t>
      </w:r>
      <w:r w:rsidRPr="002F3BB0">
        <w:rPr>
          <w:rFonts w:eastAsia="Times New Roman"/>
          <w:lang w:eastAsia="en-AU"/>
        </w:rPr>
        <w:t xml:space="preserve"> has program responsibility for the provision of complaint management services throughout the state</w:t>
      </w:r>
      <w:r w:rsidR="00A725AE">
        <w:rPr>
          <w:rFonts w:eastAsia="Times New Roman"/>
          <w:lang w:eastAsia="en-AU"/>
        </w:rPr>
        <w:t xml:space="preserve"> and supervision of the regional offices</w:t>
      </w:r>
      <w:r w:rsidRPr="002F3BB0">
        <w:rPr>
          <w:rFonts w:eastAsia="Times New Roman"/>
          <w:lang w:eastAsia="en-AU"/>
        </w:rPr>
        <w:t xml:space="preserve">. </w:t>
      </w:r>
    </w:p>
    <w:p w14:paraId="59E66EC6" w14:textId="5DF55C04" w:rsidR="00F66757" w:rsidRPr="002F3BB0" w:rsidRDefault="00F66757" w:rsidP="00B0793B">
      <w:pPr>
        <w:rPr>
          <w:rFonts w:eastAsia="Times New Roman"/>
          <w:i/>
          <w:lang w:eastAsia="en-AU"/>
        </w:rPr>
      </w:pPr>
      <w:r w:rsidRPr="002F3BB0">
        <w:rPr>
          <w:rFonts w:eastAsia="Times New Roman"/>
          <w:lang w:eastAsia="en-AU"/>
        </w:rPr>
        <w:t xml:space="preserve">The Brisbane Complaint Management </w:t>
      </w:r>
      <w:r w:rsidR="007437A6">
        <w:rPr>
          <w:rFonts w:eastAsia="Times New Roman"/>
          <w:lang w:eastAsia="en-AU"/>
        </w:rPr>
        <w:t>t</w:t>
      </w:r>
      <w:r w:rsidRPr="002F3BB0">
        <w:rPr>
          <w:rFonts w:eastAsia="Times New Roman"/>
          <w:lang w:eastAsia="en-AU"/>
        </w:rPr>
        <w:t>eam:</w:t>
      </w:r>
    </w:p>
    <w:p w14:paraId="7834819C" w14:textId="6CC13030" w:rsidR="00F66757" w:rsidRPr="00B0793B" w:rsidRDefault="005B7166" w:rsidP="005329BF">
      <w:pPr>
        <w:pStyle w:val="ListParagraph"/>
        <w:numPr>
          <w:ilvl w:val="0"/>
          <w:numId w:val="16"/>
        </w:numPr>
        <w:rPr>
          <w:rFonts w:eastAsia="Times New Roman"/>
          <w:i/>
          <w:lang w:eastAsia="en-AU"/>
        </w:rPr>
      </w:pPr>
      <w:r w:rsidRPr="00B0793B">
        <w:rPr>
          <w:rFonts w:eastAsia="Times New Roman"/>
          <w:lang w:eastAsia="en-AU"/>
        </w:rPr>
        <w:t>m</w:t>
      </w:r>
      <w:r w:rsidR="00F66757" w:rsidRPr="00B0793B">
        <w:rPr>
          <w:rFonts w:eastAsia="Times New Roman"/>
          <w:lang w:eastAsia="en-AU"/>
        </w:rPr>
        <w:t xml:space="preserve">anages the majority of complaints arising in </w:t>
      </w:r>
      <w:r w:rsidRPr="00B0793B">
        <w:rPr>
          <w:rFonts w:eastAsia="Times New Roman"/>
          <w:lang w:eastAsia="en-AU"/>
        </w:rPr>
        <w:t>S</w:t>
      </w:r>
      <w:r w:rsidR="00F66757" w:rsidRPr="00B0793B">
        <w:rPr>
          <w:rFonts w:eastAsia="Times New Roman"/>
          <w:lang w:eastAsia="en-AU"/>
        </w:rPr>
        <w:t>outh-</w:t>
      </w:r>
      <w:r w:rsidRPr="00B0793B">
        <w:rPr>
          <w:rFonts w:eastAsia="Times New Roman"/>
          <w:lang w:eastAsia="en-AU"/>
        </w:rPr>
        <w:t>E</w:t>
      </w:r>
      <w:r w:rsidR="00F66757" w:rsidRPr="00B0793B">
        <w:rPr>
          <w:rFonts w:eastAsia="Times New Roman"/>
          <w:lang w:eastAsia="en-AU"/>
        </w:rPr>
        <w:t>ast Queensland</w:t>
      </w:r>
      <w:r w:rsidR="003B7004" w:rsidRPr="00B0793B">
        <w:rPr>
          <w:rFonts w:eastAsia="Times New Roman"/>
          <w:lang w:eastAsia="en-AU"/>
        </w:rPr>
        <w:t>;</w:t>
      </w:r>
    </w:p>
    <w:p w14:paraId="115D3C27" w14:textId="64AA789B" w:rsidR="00F66757" w:rsidRPr="00B0793B" w:rsidRDefault="005B7166" w:rsidP="005329BF">
      <w:pPr>
        <w:pStyle w:val="ListParagraph"/>
        <w:numPr>
          <w:ilvl w:val="0"/>
          <w:numId w:val="16"/>
        </w:numPr>
        <w:rPr>
          <w:rFonts w:eastAsia="Times New Roman"/>
          <w:i/>
          <w:lang w:eastAsia="en-AU"/>
        </w:rPr>
      </w:pPr>
      <w:r w:rsidRPr="00B0793B">
        <w:rPr>
          <w:rFonts w:eastAsia="Times New Roman"/>
          <w:lang w:eastAsia="en-AU"/>
        </w:rPr>
        <w:t>p</w:t>
      </w:r>
      <w:r w:rsidR="00F66757" w:rsidRPr="00B0793B">
        <w:rPr>
          <w:rFonts w:eastAsia="Times New Roman"/>
          <w:lang w:eastAsia="en-AU"/>
        </w:rPr>
        <w:t>rovides information services to clients</w:t>
      </w:r>
      <w:r w:rsidR="003B7004" w:rsidRPr="00B0793B">
        <w:rPr>
          <w:rFonts w:eastAsia="Times New Roman"/>
          <w:lang w:eastAsia="en-AU"/>
        </w:rPr>
        <w:t>;</w:t>
      </w:r>
      <w:r w:rsidRPr="00B0793B">
        <w:rPr>
          <w:rFonts w:eastAsia="Times New Roman"/>
          <w:lang w:eastAsia="en-AU"/>
        </w:rPr>
        <w:t xml:space="preserve"> and</w:t>
      </w:r>
    </w:p>
    <w:p w14:paraId="40D96F06" w14:textId="77777777" w:rsidR="00F66757" w:rsidRPr="00B0793B" w:rsidRDefault="005B7166" w:rsidP="005329BF">
      <w:pPr>
        <w:pStyle w:val="ListParagraph"/>
        <w:numPr>
          <w:ilvl w:val="0"/>
          <w:numId w:val="16"/>
        </w:numPr>
        <w:rPr>
          <w:rFonts w:eastAsia="Times New Roman"/>
          <w:i/>
          <w:lang w:eastAsia="en-AU"/>
        </w:rPr>
      </w:pPr>
      <w:r w:rsidRPr="00B0793B">
        <w:rPr>
          <w:rFonts w:eastAsia="Times New Roman"/>
          <w:lang w:eastAsia="en-AU"/>
        </w:rPr>
        <w:t>p</w:t>
      </w:r>
      <w:r w:rsidR="00F66757" w:rsidRPr="00B0793B">
        <w:rPr>
          <w:rFonts w:eastAsia="Times New Roman"/>
          <w:lang w:eastAsia="en-AU"/>
        </w:rPr>
        <w:t>articipates in community engagement activities</w:t>
      </w:r>
      <w:r w:rsidRPr="00B0793B">
        <w:rPr>
          <w:rFonts w:eastAsia="Times New Roman"/>
          <w:lang w:eastAsia="en-AU"/>
        </w:rPr>
        <w:t>.</w:t>
      </w:r>
    </w:p>
    <w:p w14:paraId="3D8B81ED" w14:textId="77777777" w:rsidR="00696C61" w:rsidRDefault="00696C61">
      <w:pPr>
        <w:rPr>
          <w:rFonts w:eastAsia="Times New Roman"/>
          <w:lang w:eastAsia="en-AU"/>
        </w:rPr>
      </w:pPr>
      <w:r>
        <w:rPr>
          <w:rFonts w:eastAsia="Times New Roman"/>
          <w:lang w:eastAsia="en-AU"/>
        </w:rPr>
        <w:br w:type="page"/>
      </w:r>
    </w:p>
    <w:p w14:paraId="57319A67" w14:textId="6D144442" w:rsidR="001652C8" w:rsidRPr="002F3BB0" w:rsidRDefault="00F66757" w:rsidP="00B0793B">
      <w:pPr>
        <w:rPr>
          <w:rFonts w:eastAsia="Times New Roman"/>
          <w:i/>
          <w:lang w:eastAsia="en-AU"/>
        </w:rPr>
      </w:pPr>
      <w:r w:rsidRPr="002F3BB0">
        <w:rPr>
          <w:rFonts w:eastAsia="Times New Roman"/>
          <w:lang w:eastAsia="en-AU"/>
        </w:rPr>
        <w:lastRenderedPageBreak/>
        <w:t xml:space="preserve">The </w:t>
      </w:r>
      <w:r w:rsidR="00996855">
        <w:rPr>
          <w:rFonts w:eastAsia="Times New Roman"/>
          <w:lang w:eastAsia="en-AU"/>
        </w:rPr>
        <w:t>Director</w:t>
      </w:r>
      <w:r w:rsidRPr="002F3BB0">
        <w:rPr>
          <w:rFonts w:eastAsia="Times New Roman"/>
          <w:lang w:eastAsia="en-AU"/>
        </w:rPr>
        <w:t>,</w:t>
      </w:r>
      <w:r w:rsidR="00421E09">
        <w:rPr>
          <w:rFonts w:eastAsia="Times New Roman"/>
          <w:lang w:eastAsia="en-AU"/>
        </w:rPr>
        <w:t xml:space="preserve"> Engagement</w:t>
      </w:r>
      <w:r w:rsidR="00A725AE">
        <w:rPr>
          <w:rFonts w:eastAsia="Times New Roman"/>
          <w:lang w:eastAsia="en-AU"/>
        </w:rPr>
        <w:t xml:space="preserve"> and Corporate Services</w:t>
      </w:r>
      <w:r w:rsidRPr="002F3BB0">
        <w:rPr>
          <w:rFonts w:eastAsia="Times New Roman"/>
          <w:lang w:eastAsia="en-AU"/>
        </w:rPr>
        <w:t xml:space="preserve"> has program responsibility for the provision of</w:t>
      </w:r>
      <w:r w:rsidR="00A725AE">
        <w:rPr>
          <w:rFonts w:eastAsia="Times New Roman"/>
          <w:lang w:eastAsia="en-AU"/>
        </w:rPr>
        <w:t xml:space="preserve"> training and engagement activities, marketing and communications and the administrative, financial, human resource, information technology, facilities and governance services of the Commission. </w:t>
      </w:r>
      <w:r w:rsidR="00523BA4">
        <w:rPr>
          <w:rFonts w:eastAsia="Times New Roman"/>
          <w:i/>
          <w:lang w:eastAsia="en-AU"/>
        </w:rPr>
        <w:t xml:space="preserve"> </w:t>
      </w:r>
    </w:p>
    <w:p w14:paraId="5296035A" w14:textId="19A11099" w:rsidR="00F66757" w:rsidRDefault="00A725AE" w:rsidP="00B0793B">
      <w:pPr>
        <w:rPr>
          <w:rFonts w:eastAsia="Times New Roman"/>
          <w:i/>
          <w:lang w:eastAsia="en-AU"/>
        </w:rPr>
      </w:pPr>
      <w:bookmarkStart w:id="14" w:name="_Toc366482368"/>
      <w:bookmarkStart w:id="15" w:name="_Toc366487298"/>
      <w:r>
        <w:rPr>
          <w:rFonts w:eastAsia="Times New Roman"/>
          <w:lang w:eastAsia="en-AU"/>
        </w:rPr>
        <w:t xml:space="preserve">The newly established Legal, Research and Policy team is based in the Brisbane office and reports to the Deputy Commissioner. It provides executive support and legal services; develops human rights policy and undertakes research on human rights issues. </w:t>
      </w:r>
      <w:bookmarkEnd w:id="14"/>
      <w:bookmarkEnd w:id="15"/>
    </w:p>
    <w:p w14:paraId="600B6DFB" w14:textId="77777777" w:rsidR="008B2125" w:rsidRPr="00E014F3" w:rsidRDefault="008B2125" w:rsidP="00A75186">
      <w:pPr>
        <w:pStyle w:val="Heading1"/>
      </w:pPr>
      <w:bookmarkStart w:id="16" w:name="_Toc366487299"/>
      <w:bookmarkStart w:id="17" w:name="_Toc397345678"/>
      <w:bookmarkStart w:id="18" w:name="_Toc16855330"/>
      <w:r w:rsidRPr="00E014F3">
        <w:lastRenderedPageBreak/>
        <w:t xml:space="preserve">Performance </w:t>
      </w:r>
      <w:r w:rsidR="007437A6" w:rsidRPr="00E014F3">
        <w:t>s</w:t>
      </w:r>
      <w:r w:rsidRPr="00E014F3">
        <w:t>tatement 201</w:t>
      </w:r>
      <w:bookmarkEnd w:id="16"/>
      <w:bookmarkEnd w:id="17"/>
      <w:r w:rsidR="009417CD">
        <w:t>8</w:t>
      </w:r>
      <w:r w:rsidR="002B72E0">
        <w:t>-1</w:t>
      </w:r>
      <w:r w:rsidR="009417CD">
        <w:t>9</w:t>
      </w:r>
      <w:bookmarkEnd w:id="18"/>
    </w:p>
    <w:p w14:paraId="318731AB" w14:textId="77777777" w:rsidR="00D3612E" w:rsidRPr="00B0793B" w:rsidRDefault="00D3612E" w:rsidP="00B0793B">
      <w:r w:rsidRPr="00B0793B">
        <w:t>The ADCQ performed strongly throughout the 201</w:t>
      </w:r>
      <w:r w:rsidR="009417CD" w:rsidRPr="00B0793B">
        <w:t>8</w:t>
      </w:r>
      <w:r w:rsidRPr="00B0793B">
        <w:t>–1</w:t>
      </w:r>
      <w:r w:rsidR="009417CD" w:rsidRPr="00B0793B">
        <w:t>9</w:t>
      </w:r>
      <w:r w:rsidRPr="00B0793B">
        <w:t xml:space="preserve"> financial year, meeting or exceeding the majority of performance targets across core service delivery areas. Highlights included:</w:t>
      </w:r>
    </w:p>
    <w:p w14:paraId="2A892DC9" w14:textId="77777777" w:rsidR="00D3612E" w:rsidRPr="00B0793B" w:rsidRDefault="00D72BFE" w:rsidP="005329BF">
      <w:pPr>
        <w:pStyle w:val="ListParagraph"/>
        <w:numPr>
          <w:ilvl w:val="0"/>
          <w:numId w:val="17"/>
        </w:numPr>
      </w:pPr>
      <w:r w:rsidRPr="00B0793B">
        <w:t>resolving 5</w:t>
      </w:r>
      <w:r w:rsidR="00404A82" w:rsidRPr="00B0793B">
        <w:t>3</w:t>
      </w:r>
      <w:r w:rsidR="00D3612E" w:rsidRPr="00B0793B">
        <w:t xml:space="preserve">% of accepted complaints, with </w:t>
      </w:r>
      <w:r w:rsidR="00404A82" w:rsidRPr="00B0793B">
        <w:t>83</w:t>
      </w:r>
      <w:r w:rsidR="00D3612E" w:rsidRPr="00B0793B">
        <w:t>% of clients</w:t>
      </w:r>
      <w:r w:rsidR="000076EB" w:rsidRPr="00B0793B">
        <w:t xml:space="preserve"> as at 30 March 2019</w:t>
      </w:r>
      <w:r w:rsidR="00D3612E" w:rsidRPr="00B0793B">
        <w:t xml:space="preserve"> being satisfied with the complaint handling service</w:t>
      </w:r>
      <w:r w:rsidR="00803E9C" w:rsidRPr="00B0793B">
        <w:t>;</w:t>
      </w:r>
      <w:r w:rsidR="000076EB" w:rsidRPr="00B0793B">
        <w:t xml:space="preserve"> </w:t>
      </w:r>
    </w:p>
    <w:p w14:paraId="6BAE487D" w14:textId="77777777" w:rsidR="00D3612E" w:rsidRPr="00B0793B" w:rsidRDefault="00D3612E" w:rsidP="005329BF">
      <w:pPr>
        <w:pStyle w:val="ListParagraph"/>
        <w:numPr>
          <w:ilvl w:val="0"/>
          <w:numId w:val="17"/>
        </w:numPr>
      </w:pPr>
      <w:r w:rsidRPr="00B0793B">
        <w:t xml:space="preserve">delivering training to </w:t>
      </w:r>
      <w:r w:rsidR="00D72BFE" w:rsidRPr="00B0793B">
        <w:t>approximately 4</w:t>
      </w:r>
      <w:r w:rsidR="000076EB" w:rsidRPr="00B0793B">
        <w:t>480</w:t>
      </w:r>
      <w:r w:rsidR="00D72BFE" w:rsidRPr="00B0793B">
        <w:t xml:space="preserve"> </w:t>
      </w:r>
      <w:r w:rsidRPr="00B0793B">
        <w:t xml:space="preserve">people, and achieving an average </w:t>
      </w:r>
      <w:r w:rsidR="00D72BFE" w:rsidRPr="00B0793B">
        <w:t>9</w:t>
      </w:r>
      <w:r w:rsidR="009C604E" w:rsidRPr="00B0793B">
        <w:t>7</w:t>
      </w:r>
      <w:r w:rsidRPr="00B0793B">
        <w:t>% satisfaction rate</w:t>
      </w:r>
      <w:r w:rsidR="00803E9C" w:rsidRPr="00B0793B">
        <w:t>;</w:t>
      </w:r>
    </w:p>
    <w:p w14:paraId="181FE6C3" w14:textId="77777777" w:rsidR="00D3612E" w:rsidRPr="00B0793B" w:rsidRDefault="00D3612E" w:rsidP="005329BF">
      <w:pPr>
        <w:pStyle w:val="ListParagraph"/>
        <w:numPr>
          <w:ilvl w:val="0"/>
          <w:numId w:val="17"/>
        </w:numPr>
      </w:pPr>
      <w:r w:rsidRPr="00B0793B">
        <w:t xml:space="preserve">responding to </w:t>
      </w:r>
      <w:r w:rsidR="00BB65E7" w:rsidRPr="00B0793B">
        <w:t>2637</w:t>
      </w:r>
      <w:r w:rsidRPr="00B0793B">
        <w:t xml:space="preserve"> enquiries about the </w:t>
      </w:r>
      <w:r w:rsidRPr="00AF7432">
        <w:rPr>
          <w:i/>
        </w:rPr>
        <w:t>Anti-Discrimination Act 1991</w:t>
      </w:r>
      <w:r w:rsidRPr="00B0793B">
        <w:t xml:space="preserve"> and ADCQ services</w:t>
      </w:r>
      <w:r w:rsidR="00803E9C" w:rsidRPr="00B0793B">
        <w:t>;</w:t>
      </w:r>
    </w:p>
    <w:p w14:paraId="1AE48A5A" w14:textId="079B9134" w:rsidR="00D3612E" w:rsidRPr="00B0793B" w:rsidRDefault="00D3612E" w:rsidP="005329BF">
      <w:pPr>
        <w:pStyle w:val="ListParagraph"/>
        <w:numPr>
          <w:ilvl w:val="0"/>
          <w:numId w:val="17"/>
        </w:numPr>
      </w:pPr>
      <w:r w:rsidRPr="00B0793B">
        <w:t xml:space="preserve">conducting </w:t>
      </w:r>
      <w:r w:rsidR="00404A82" w:rsidRPr="00B0793B">
        <w:t>2</w:t>
      </w:r>
      <w:r w:rsidR="00F61F08" w:rsidRPr="00B0793B">
        <w:t>86</w:t>
      </w:r>
      <w:r w:rsidRPr="00B0793B">
        <w:t xml:space="preserve"> community engagement activities</w:t>
      </w:r>
      <w:r w:rsidR="00D72BFE" w:rsidRPr="00B0793B">
        <w:t xml:space="preserve"> including major projects</w:t>
      </w:r>
      <w:r w:rsidR="00803E9C" w:rsidRPr="00B0793B">
        <w:t>; and</w:t>
      </w:r>
    </w:p>
    <w:p w14:paraId="0177779B" w14:textId="77777777" w:rsidR="000C6D03" w:rsidRPr="00B0793B" w:rsidRDefault="00D3612E" w:rsidP="005329BF">
      <w:pPr>
        <w:pStyle w:val="ListParagraph"/>
        <w:numPr>
          <w:ilvl w:val="0"/>
          <w:numId w:val="17"/>
        </w:numPr>
      </w:pPr>
      <w:r w:rsidRPr="00B0793B">
        <w:t>enhancing discussion and understanding of contemporary human rights issues through submissions to a variety of state and federal inquiries and Parliamentary Committees</w:t>
      </w:r>
      <w:r w:rsidR="004936B8" w:rsidRPr="00B0793B">
        <w:t>.</w:t>
      </w:r>
    </w:p>
    <w:p w14:paraId="27D1E813" w14:textId="5B6138C8" w:rsidR="00D3612E" w:rsidRPr="00AF7432" w:rsidRDefault="00D3612E" w:rsidP="00696C61">
      <w:pPr>
        <w:pStyle w:val="Caption"/>
      </w:pPr>
      <w:r w:rsidRPr="00AF7432">
        <w:t xml:space="preserve">Table </w:t>
      </w:r>
      <w:r w:rsidR="00523BA4" w:rsidRPr="00AF7432">
        <w:fldChar w:fldCharType="begin"/>
      </w:r>
      <w:r w:rsidR="00523BA4" w:rsidRPr="00AF7432">
        <w:instrText xml:space="preserve"> SEQ Table \* ARABIC </w:instrText>
      </w:r>
      <w:r w:rsidR="00523BA4" w:rsidRPr="00AF7432">
        <w:fldChar w:fldCharType="separate"/>
      </w:r>
      <w:r w:rsidR="00B5590A">
        <w:rPr>
          <w:noProof/>
        </w:rPr>
        <w:t>1</w:t>
      </w:r>
      <w:r w:rsidR="00523BA4" w:rsidRPr="00AF7432">
        <w:fldChar w:fldCharType="end"/>
      </w:r>
      <w:r w:rsidRPr="00AF7432">
        <w:t xml:space="preserve">: Service </w:t>
      </w:r>
      <w:r w:rsidRPr="00696C61">
        <w:t>standards</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Caption w:val="Table 1 service standards"/>
        <w:tblDescription w:val="Measures of service standrads at ADCQ"/>
      </w:tblPr>
      <w:tblGrid>
        <w:gridCol w:w="3308"/>
        <w:gridCol w:w="815"/>
        <w:gridCol w:w="1352"/>
        <w:gridCol w:w="1318"/>
      </w:tblGrid>
      <w:tr w:rsidR="00D3612E" w:rsidRPr="00AF7432" w14:paraId="7107C298" w14:textId="77777777" w:rsidTr="00696C61">
        <w:trPr>
          <w:trHeight w:val="706"/>
        </w:trPr>
        <w:tc>
          <w:tcPr>
            <w:tcW w:w="5341" w:type="dxa"/>
          </w:tcPr>
          <w:p w14:paraId="3AC0F293" w14:textId="77777777" w:rsidR="00D3612E" w:rsidRPr="00AF7432" w:rsidRDefault="00D3612E" w:rsidP="00AF7432">
            <w:pPr>
              <w:rPr>
                <w:b/>
              </w:rPr>
            </w:pPr>
            <w:r w:rsidRPr="00AF7432">
              <w:rPr>
                <w:b/>
              </w:rPr>
              <w:t>Service standards</w:t>
            </w:r>
          </w:p>
        </w:tc>
        <w:tc>
          <w:tcPr>
            <w:tcW w:w="858" w:type="dxa"/>
          </w:tcPr>
          <w:p w14:paraId="1726CACB" w14:textId="77777777" w:rsidR="00D3612E" w:rsidRPr="00AF7432" w:rsidRDefault="00D3612E" w:rsidP="00AF7432">
            <w:pPr>
              <w:rPr>
                <w:b/>
              </w:rPr>
            </w:pPr>
            <w:r w:rsidRPr="00AF7432">
              <w:rPr>
                <w:b/>
              </w:rPr>
              <w:t>Notes</w:t>
            </w:r>
          </w:p>
        </w:tc>
        <w:tc>
          <w:tcPr>
            <w:tcW w:w="1479" w:type="dxa"/>
          </w:tcPr>
          <w:p w14:paraId="463E9BF9" w14:textId="77777777" w:rsidR="00D3612E" w:rsidRPr="00AF7432" w:rsidRDefault="00D3612E" w:rsidP="00AF7432">
            <w:pPr>
              <w:rPr>
                <w:b/>
              </w:rPr>
            </w:pPr>
            <w:r w:rsidRPr="00AF7432">
              <w:rPr>
                <w:b/>
              </w:rPr>
              <w:t>201</w:t>
            </w:r>
            <w:r w:rsidR="009417CD" w:rsidRPr="00AF7432">
              <w:rPr>
                <w:b/>
              </w:rPr>
              <w:t>8</w:t>
            </w:r>
            <w:r w:rsidRPr="00AF7432">
              <w:rPr>
                <w:b/>
              </w:rPr>
              <w:t>–1</w:t>
            </w:r>
            <w:r w:rsidR="009417CD" w:rsidRPr="00AF7432">
              <w:rPr>
                <w:b/>
              </w:rPr>
              <w:t>9</w:t>
            </w:r>
            <w:r w:rsidRPr="00AF7432">
              <w:rPr>
                <w:b/>
              </w:rPr>
              <w:t xml:space="preserve"> Target/est.</w:t>
            </w:r>
          </w:p>
        </w:tc>
        <w:tc>
          <w:tcPr>
            <w:tcW w:w="1699" w:type="dxa"/>
          </w:tcPr>
          <w:p w14:paraId="6AF26B35" w14:textId="77777777" w:rsidR="00D3612E" w:rsidRPr="00AF7432" w:rsidRDefault="00D3612E" w:rsidP="00AF7432">
            <w:pPr>
              <w:rPr>
                <w:b/>
              </w:rPr>
            </w:pPr>
            <w:r w:rsidRPr="00AF7432">
              <w:rPr>
                <w:b/>
              </w:rPr>
              <w:t>201</w:t>
            </w:r>
            <w:r w:rsidR="009417CD" w:rsidRPr="00AF7432">
              <w:rPr>
                <w:b/>
              </w:rPr>
              <w:t>8</w:t>
            </w:r>
            <w:r w:rsidRPr="00AF7432">
              <w:rPr>
                <w:b/>
              </w:rPr>
              <w:t>–1</w:t>
            </w:r>
            <w:r w:rsidR="009417CD" w:rsidRPr="00AF7432">
              <w:rPr>
                <w:b/>
              </w:rPr>
              <w:t>9</w:t>
            </w:r>
            <w:r w:rsidRPr="00AF7432">
              <w:rPr>
                <w:b/>
              </w:rPr>
              <w:t xml:space="preserve"> Actual</w:t>
            </w:r>
          </w:p>
        </w:tc>
      </w:tr>
      <w:tr w:rsidR="007C6755" w:rsidRPr="00B0793B" w14:paraId="794BD3C7" w14:textId="77777777" w:rsidTr="00696C61">
        <w:tc>
          <w:tcPr>
            <w:tcW w:w="9497" w:type="dxa"/>
            <w:gridSpan w:val="4"/>
          </w:tcPr>
          <w:p w14:paraId="51C12240" w14:textId="77777777" w:rsidR="007C6755" w:rsidRPr="00B0793B" w:rsidRDefault="007C6755" w:rsidP="00B0793B">
            <w:pPr>
              <w:rPr>
                <w:highlight w:val="yellow"/>
              </w:rPr>
            </w:pPr>
            <w:r w:rsidRPr="00B0793B">
              <w:t>Effectiveness measures</w:t>
            </w:r>
          </w:p>
        </w:tc>
      </w:tr>
      <w:tr w:rsidR="00D3612E" w:rsidRPr="00B0793B" w14:paraId="7586189C" w14:textId="77777777" w:rsidTr="00696C61">
        <w:tc>
          <w:tcPr>
            <w:tcW w:w="5341" w:type="dxa"/>
          </w:tcPr>
          <w:p w14:paraId="6D087406" w14:textId="77777777" w:rsidR="00D3612E" w:rsidRPr="00B0793B" w:rsidRDefault="00D3612E" w:rsidP="00B0793B">
            <w:r w:rsidRPr="00B0793B">
              <w:t>Percentage of accepted complaints resolved by conciliation</w:t>
            </w:r>
          </w:p>
        </w:tc>
        <w:tc>
          <w:tcPr>
            <w:tcW w:w="858" w:type="dxa"/>
          </w:tcPr>
          <w:p w14:paraId="7857F865" w14:textId="77777777" w:rsidR="00D3612E" w:rsidRPr="00B0793B" w:rsidRDefault="00D3612E" w:rsidP="00B0793B"/>
        </w:tc>
        <w:tc>
          <w:tcPr>
            <w:tcW w:w="1479" w:type="dxa"/>
          </w:tcPr>
          <w:p w14:paraId="61E14263" w14:textId="77777777" w:rsidR="00D3612E" w:rsidRPr="00B0793B" w:rsidRDefault="00D3612E" w:rsidP="00B0793B">
            <w:r w:rsidRPr="00B0793B">
              <w:t>55%</w:t>
            </w:r>
          </w:p>
        </w:tc>
        <w:tc>
          <w:tcPr>
            <w:tcW w:w="1699" w:type="dxa"/>
          </w:tcPr>
          <w:p w14:paraId="19BCA802" w14:textId="77777777" w:rsidR="00D3612E" w:rsidRPr="00B0793B" w:rsidRDefault="00D3612E" w:rsidP="00B0793B">
            <w:r w:rsidRPr="00B0793B">
              <w:t>5</w:t>
            </w:r>
            <w:r w:rsidR="009417CD" w:rsidRPr="00B0793B">
              <w:t>3</w:t>
            </w:r>
            <w:r w:rsidRPr="00B0793B">
              <w:t>%</w:t>
            </w:r>
          </w:p>
        </w:tc>
      </w:tr>
      <w:tr w:rsidR="00D3612E" w:rsidRPr="00B0793B" w14:paraId="529749DC" w14:textId="77777777" w:rsidTr="00696C61">
        <w:tc>
          <w:tcPr>
            <w:tcW w:w="5341" w:type="dxa"/>
          </w:tcPr>
          <w:p w14:paraId="346B083E" w14:textId="77777777" w:rsidR="00D3612E" w:rsidRPr="00B0793B" w:rsidRDefault="00D3612E" w:rsidP="00B0793B">
            <w:r w:rsidRPr="00B0793B">
              <w:t>Percentage of clients satisfied with complaint handling service measured via client survey</w:t>
            </w:r>
          </w:p>
        </w:tc>
        <w:tc>
          <w:tcPr>
            <w:tcW w:w="858" w:type="dxa"/>
          </w:tcPr>
          <w:p w14:paraId="0927F7D6" w14:textId="77777777" w:rsidR="00D3612E" w:rsidRPr="00B0793B" w:rsidRDefault="00D3612E" w:rsidP="00B0793B">
            <w:r w:rsidRPr="00B0793B">
              <w:t>1</w:t>
            </w:r>
            <w:r w:rsidR="00601838" w:rsidRPr="00B0793B">
              <w:t>, 3.</w:t>
            </w:r>
          </w:p>
        </w:tc>
        <w:tc>
          <w:tcPr>
            <w:tcW w:w="1479" w:type="dxa"/>
          </w:tcPr>
          <w:p w14:paraId="5D5B80E4" w14:textId="77777777" w:rsidR="00D3612E" w:rsidRPr="00B0793B" w:rsidRDefault="00D3612E" w:rsidP="00B0793B">
            <w:r w:rsidRPr="00B0793B">
              <w:t>85%</w:t>
            </w:r>
          </w:p>
        </w:tc>
        <w:tc>
          <w:tcPr>
            <w:tcW w:w="1699" w:type="dxa"/>
          </w:tcPr>
          <w:p w14:paraId="1A6C94DB" w14:textId="77777777" w:rsidR="00D3612E" w:rsidRPr="00B0793B" w:rsidRDefault="007C6755" w:rsidP="00B0793B">
            <w:r w:rsidRPr="00B0793B">
              <w:t>8</w:t>
            </w:r>
            <w:r w:rsidR="009417CD" w:rsidRPr="00B0793B">
              <w:t>3</w:t>
            </w:r>
            <w:r w:rsidR="00D3612E" w:rsidRPr="00B0793B">
              <w:t>%</w:t>
            </w:r>
          </w:p>
        </w:tc>
      </w:tr>
      <w:tr w:rsidR="00D3612E" w:rsidRPr="00B0793B" w14:paraId="76900E4E" w14:textId="77777777" w:rsidTr="00696C61">
        <w:tc>
          <w:tcPr>
            <w:tcW w:w="5341" w:type="dxa"/>
          </w:tcPr>
          <w:p w14:paraId="10F94E86" w14:textId="77777777" w:rsidR="00D3612E" w:rsidRPr="00B0793B" w:rsidRDefault="00D3612E" w:rsidP="00B0793B">
            <w:r w:rsidRPr="00B0793B">
              <w:t>Percentage of clients satisfied with training sessions measured via client survey</w:t>
            </w:r>
          </w:p>
        </w:tc>
        <w:tc>
          <w:tcPr>
            <w:tcW w:w="858" w:type="dxa"/>
          </w:tcPr>
          <w:p w14:paraId="474616BD" w14:textId="77777777" w:rsidR="00D3612E" w:rsidRPr="00B0793B" w:rsidRDefault="00D3612E" w:rsidP="00B0793B">
            <w:r w:rsidRPr="00B0793B">
              <w:t>1.</w:t>
            </w:r>
          </w:p>
        </w:tc>
        <w:tc>
          <w:tcPr>
            <w:tcW w:w="1479" w:type="dxa"/>
          </w:tcPr>
          <w:p w14:paraId="66E32301" w14:textId="77777777" w:rsidR="00D3612E" w:rsidRPr="00B0793B" w:rsidRDefault="00D3612E" w:rsidP="00B0793B">
            <w:r w:rsidRPr="00B0793B">
              <w:t>95%</w:t>
            </w:r>
          </w:p>
        </w:tc>
        <w:tc>
          <w:tcPr>
            <w:tcW w:w="1699" w:type="dxa"/>
          </w:tcPr>
          <w:p w14:paraId="32C2CF1B" w14:textId="77777777" w:rsidR="00D3612E" w:rsidRPr="00B0793B" w:rsidRDefault="00D3612E" w:rsidP="00B0793B">
            <w:r w:rsidRPr="00B0793B">
              <w:t>9</w:t>
            </w:r>
            <w:r w:rsidR="009417CD" w:rsidRPr="00B0793B">
              <w:t>7</w:t>
            </w:r>
            <w:r w:rsidRPr="00B0793B">
              <w:t>%</w:t>
            </w:r>
          </w:p>
        </w:tc>
      </w:tr>
      <w:tr w:rsidR="00D3612E" w:rsidRPr="00B0793B" w14:paraId="52965D56" w14:textId="77777777" w:rsidTr="00696C61">
        <w:tc>
          <w:tcPr>
            <w:tcW w:w="5341" w:type="dxa"/>
          </w:tcPr>
          <w:p w14:paraId="0F81BBD4" w14:textId="77777777" w:rsidR="00D3612E" w:rsidRPr="00B0793B" w:rsidRDefault="00D3612E" w:rsidP="00B0793B">
            <w:r w:rsidRPr="00B0793B">
              <w:t>Percentage of accepted complaints finalised within the Commission</w:t>
            </w:r>
          </w:p>
        </w:tc>
        <w:tc>
          <w:tcPr>
            <w:tcW w:w="858" w:type="dxa"/>
          </w:tcPr>
          <w:p w14:paraId="7F0F604B" w14:textId="77777777" w:rsidR="00D3612E" w:rsidRPr="00B0793B" w:rsidRDefault="00D3612E" w:rsidP="00B0793B"/>
        </w:tc>
        <w:tc>
          <w:tcPr>
            <w:tcW w:w="1479" w:type="dxa"/>
          </w:tcPr>
          <w:p w14:paraId="0BEE2ADD" w14:textId="77777777" w:rsidR="00D3612E" w:rsidRPr="00B0793B" w:rsidRDefault="00D3612E" w:rsidP="00B0793B">
            <w:r w:rsidRPr="00B0793B">
              <w:t>75%</w:t>
            </w:r>
          </w:p>
        </w:tc>
        <w:tc>
          <w:tcPr>
            <w:tcW w:w="1699" w:type="dxa"/>
          </w:tcPr>
          <w:p w14:paraId="4AEF1F73" w14:textId="77777777" w:rsidR="00D3612E" w:rsidRPr="00B0793B" w:rsidRDefault="00D3612E" w:rsidP="00B0793B">
            <w:r w:rsidRPr="00B0793B">
              <w:t>7</w:t>
            </w:r>
            <w:r w:rsidR="009417CD" w:rsidRPr="00B0793B">
              <w:t>0</w:t>
            </w:r>
            <w:r w:rsidRPr="00B0793B">
              <w:t>%</w:t>
            </w:r>
          </w:p>
        </w:tc>
      </w:tr>
      <w:tr w:rsidR="007C6755" w:rsidRPr="00B0793B" w14:paraId="0482D60B" w14:textId="77777777" w:rsidTr="00696C61">
        <w:tc>
          <w:tcPr>
            <w:tcW w:w="9497" w:type="dxa"/>
            <w:gridSpan w:val="4"/>
          </w:tcPr>
          <w:p w14:paraId="6D878EEC" w14:textId="77777777" w:rsidR="007C6755" w:rsidRPr="00B0793B" w:rsidRDefault="007C6755" w:rsidP="00B0793B">
            <w:r w:rsidRPr="00B0793B">
              <w:t>Efficiency measures</w:t>
            </w:r>
          </w:p>
        </w:tc>
      </w:tr>
      <w:tr w:rsidR="00D3612E" w:rsidRPr="00B0793B" w14:paraId="1B79C286" w14:textId="77777777" w:rsidTr="00696C61">
        <w:tc>
          <w:tcPr>
            <w:tcW w:w="5341" w:type="dxa"/>
          </w:tcPr>
          <w:p w14:paraId="2A5A2376" w14:textId="77777777" w:rsidR="00D3612E" w:rsidRPr="00B0793B" w:rsidRDefault="009417CD" w:rsidP="00B0793B">
            <w:r w:rsidRPr="00B0793B">
              <w:t>Clearance rate for complaints</w:t>
            </w:r>
          </w:p>
        </w:tc>
        <w:tc>
          <w:tcPr>
            <w:tcW w:w="858" w:type="dxa"/>
          </w:tcPr>
          <w:p w14:paraId="5F0F39EF" w14:textId="77777777" w:rsidR="00D3612E" w:rsidRPr="00B0793B" w:rsidRDefault="001F50BA" w:rsidP="00B0793B">
            <w:r w:rsidRPr="00B0793B">
              <w:t>2.</w:t>
            </w:r>
          </w:p>
        </w:tc>
        <w:tc>
          <w:tcPr>
            <w:tcW w:w="1479" w:type="dxa"/>
          </w:tcPr>
          <w:p w14:paraId="662E7E62" w14:textId="77777777" w:rsidR="00D3612E" w:rsidRPr="00B0793B" w:rsidRDefault="00D3612E" w:rsidP="00B0793B">
            <w:r w:rsidRPr="00B0793B">
              <w:t>—</w:t>
            </w:r>
          </w:p>
        </w:tc>
        <w:tc>
          <w:tcPr>
            <w:tcW w:w="1699" w:type="dxa"/>
          </w:tcPr>
          <w:p w14:paraId="20B35969" w14:textId="77777777" w:rsidR="00D3612E" w:rsidRPr="00B0793B" w:rsidRDefault="00D3612E" w:rsidP="00B0793B">
            <w:r w:rsidRPr="00B0793B">
              <w:t>—</w:t>
            </w:r>
          </w:p>
        </w:tc>
      </w:tr>
    </w:tbl>
    <w:p w14:paraId="29285D0E" w14:textId="77777777" w:rsidR="00D3612E" w:rsidRPr="007C6755" w:rsidRDefault="00D3612E" w:rsidP="00D3612E">
      <w:pPr>
        <w:spacing w:before="120" w:after="120" w:line="240" w:lineRule="auto"/>
        <w:rPr>
          <w:rFonts w:cstheme="minorHAnsi"/>
          <w:i/>
          <w:sz w:val="18"/>
          <w:szCs w:val="22"/>
        </w:rPr>
      </w:pPr>
      <w:r w:rsidRPr="007C6755">
        <w:rPr>
          <w:rFonts w:cstheme="minorHAnsi"/>
          <w:sz w:val="18"/>
          <w:szCs w:val="22"/>
        </w:rPr>
        <w:t>Notes</w:t>
      </w:r>
    </w:p>
    <w:p w14:paraId="0C86BBC7" w14:textId="77777777" w:rsidR="00D3612E" w:rsidRPr="00404A82" w:rsidRDefault="00D3612E" w:rsidP="005329BF">
      <w:pPr>
        <w:numPr>
          <w:ilvl w:val="0"/>
          <w:numId w:val="4"/>
        </w:numPr>
        <w:spacing w:before="120" w:after="120" w:line="240" w:lineRule="auto"/>
        <w:ind w:left="357" w:hanging="357"/>
        <w:rPr>
          <w:rFonts w:cstheme="minorHAnsi"/>
          <w:i/>
          <w:sz w:val="18"/>
          <w:szCs w:val="22"/>
        </w:rPr>
      </w:pPr>
      <w:r w:rsidRPr="007C6755">
        <w:rPr>
          <w:rFonts w:cstheme="minorHAnsi"/>
          <w:sz w:val="18"/>
          <w:szCs w:val="22"/>
        </w:rPr>
        <w:t xml:space="preserve">This is a measure of overall satisfaction with the services provided by the ADCQ. Complaint parties and training clients are surveyed to determine their satisfaction with the services they receive including, for example, relevance, </w:t>
      </w:r>
      <w:r w:rsidRPr="00404A82">
        <w:rPr>
          <w:rFonts w:cstheme="minorHAnsi"/>
          <w:sz w:val="18"/>
          <w:szCs w:val="22"/>
        </w:rPr>
        <w:t xml:space="preserve">impartiality, content and professionalism. The measure is calculated by dividing responses where clients indicate they are either satisfied or very satisfied by total responses and then expressing the result as a percentage. </w:t>
      </w:r>
    </w:p>
    <w:p w14:paraId="27DE8508" w14:textId="77777777" w:rsidR="001F50BA" w:rsidRDefault="001F50BA" w:rsidP="005329BF">
      <w:pPr>
        <w:numPr>
          <w:ilvl w:val="0"/>
          <w:numId w:val="4"/>
        </w:numPr>
        <w:spacing w:before="120" w:after="120" w:line="240" w:lineRule="auto"/>
        <w:ind w:left="357" w:hanging="357"/>
        <w:rPr>
          <w:rFonts w:cstheme="minorHAnsi"/>
          <w:i/>
          <w:sz w:val="18"/>
          <w:szCs w:val="22"/>
        </w:rPr>
      </w:pPr>
      <w:r w:rsidRPr="00404A82">
        <w:rPr>
          <w:rFonts w:cstheme="minorHAnsi"/>
          <w:sz w:val="18"/>
          <w:szCs w:val="22"/>
        </w:rPr>
        <w:t xml:space="preserve">This new service standard is a proxy measure of efficiency which compares the number of complaints finalised with the number of complaints received in the reporting period. The measure is affected by both the number and timing of new matters and closures. </w:t>
      </w:r>
      <w:r w:rsidR="00404A82" w:rsidRPr="00404A82">
        <w:rPr>
          <w:rFonts w:cstheme="minorHAnsi"/>
          <w:sz w:val="18"/>
          <w:szCs w:val="22"/>
        </w:rPr>
        <w:t xml:space="preserve">This measure was added in 2018-19 to commence in 2019-20. </w:t>
      </w:r>
    </w:p>
    <w:p w14:paraId="1EA23F2D" w14:textId="77777777" w:rsidR="00601838" w:rsidRPr="00404A82" w:rsidRDefault="00601838" w:rsidP="005329BF">
      <w:pPr>
        <w:numPr>
          <w:ilvl w:val="0"/>
          <w:numId w:val="4"/>
        </w:numPr>
        <w:spacing w:before="120" w:after="120" w:line="240" w:lineRule="auto"/>
        <w:ind w:left="357" w:hanging="357"/>
        <w:rPr>
          <w:rFonts w:cstheme="minorHAnsi"/>
          <w:i/>
          <w:sz w:val="18"/>
          <w:szCs w:val="22"/>
        </w:rPr>
      </w:pPr>
      <w:r>
        <w:rPr>
          <w:rFonts w:cstheme="minorHAnsi"/>
          <w:sz w:val="18"/>
          <w:szCs w:val="22"/>
        </w:rPr>
        <w:t xml:space="preserve">Service standards data is provided as at 30 March 2019 and may vary slightly from data as at 30 June 2019. </w:t>
      </w:r>
    </w:p>
    <w:p w14:paraId="515E6ED3" w14:textId="77777777" w:rsidR="00D3612E" w:rsidRDefault="00D3612E" w:rsidP="00D3612E">
      <w:pPr>
        <w:spacing w:before="120" w:after="120" w:line="240" w:lineRule="auto"/>
        <w:rPr>
          <w:rFonts w:cstheme="minorHAnsi"/>
          <w:i/>
          <w:sz w:val="18"/>
          <w:szCs w:val="22"/>
        </w:rPr>
      </w:pPr>
    </w:p>
    <w:p w14:paraId="65A37214" w14:textId="777848AC" w:rsidR="008B2125" w:rsidRPr="00DA5842" w:rsidRDefault="00AF7432" w:rsidP="00A75186">
      <w:pPr>
        <w:pStyle w:val="Heading1"/>
      </w:pPr>
      <w:bookmarkStart w:id="19" w:name="_Toc366487300"/>
      <w:bookmarkStart w:id="20" w:name="_Toc397345679"/>
      <w:bookmarkStart w:id="21" w:name="_Toc16855331"/>
      <w:r>
        <w:lastRenderedPageBreak/>
        <w:t>C</w:t>
      </w:r>
      <w:r w:rsidR="00135540" w:rsidRPr="00DA5842">
        <w:t xml:space="preserve">ommunity </w:t>
      </w:r>
      <w:r w:rsidR="004B5B49" w:rsidRPr="00DA5842">
        <w:t>e</w:t>
      </w:r>
      <w:r w:rsidR="004F08FB" w:rsidRPr="00DA5842">
        <w:t xml:space="preserve">ngagement and </w:t>
      </w:r>
      <w:r w:rsidR="004B5B49" w:rsidRPr="00DA5842">
        <w:t>e</w:t>
      </w:r>
      <w:r w:rsidR="004F08FB" w:rsidRPr="00DA5842">
        <w:t>ducation</w:t>
      </w:r>
      <w:bookmarkEnd w:id="19"/>
      <w:bookmarkEnd w:id="20"/>
      <w:bookmarkEnd w:id="21"/>
      <w:r w:rsidR="004F08FB" w:rsidRPr="00DA5842">
        <w:t xml:space="preserve"> </w:t>
      </w:r>
    </w:p>
    <w:p w14:paraId="4A5C6100" w14:textId="77777777" w:rsidR="00D3612E" w:rsidRPr="00325761" w:rsidRDefault="00D3612E" w:rsidP="00B0793B">
      <w:pPr>
        <w:rPr>
          <w:i/>
        </w:rPr>
      </w:pPr>
      <w:r w:rsidRPr="00325761">
        <w:t>An important aspect of the ADCQ’s role is the provision of education programs</w:t>
      </w:r>
      <w:r>
        <w:t>,</w:t>
      </w:r>
      <w:r w:rsidRPr="00325761">
        <w:t xml:space="preserve"> and the promotion of understanding, acceptance and public discussion of human rights in Queensland through communication and community engagement activities.</w:t>
      </w:r>
    </w:p>
    <w:p w14:paraId="550220E1" w14:textId="77777777" w:rsidR="00D3612E" w:rsidRPr="00325761" w:rsidRDefault="00D3612E" w:rsidP="00B0793B">
      <w:pPr>
        <w:rPr>
          <w:i/>
        </w:rPr>
      </w:pPr>
      <w:r w:rsidRPr="00325761">
        <w:t xml:space="preserve">The ADCQ Community Engagement Strategy incorporates eight strategic functional areas. These areas and their objectives are: </w:t>
      </w:r>
    </w:p>
    <w:p w14:paraId="4DB43672" w14:textId="5DC4951D" w:rsidR="00D3612E" w:rsidRPr="00B0793B" w:rsidRDefault="00D3612E" w:rsidP="00696C61">
      <w:pPr>
        <w:pStyle w:val="Caption"/>
      </w:pPr>
      <w:r w:rsidRPr="00B0793B">
        <w:t xml:space="preserve">Table </w:t>
      </w:r>
      <w:r w:rsidRPr="00B0793B">
        <w:fldChar w:fldCharType="begin"/>
      </w:r>
      <w:r w:rsidRPr="00B0793B">
        <w:instrText xml:space="preserve"> SEQ Table \* ARABIC </w:instrText>
      </w:r>
      <w:r w:rsidRPr="00B0793B">
        <w:fldChar w:fldCharType="separate"/>
      </w:r>
      <w:r w:rsidR="00B5590A">
        <w:rPr>
          <w:noProof/>
        </w:rPr>
        <w:t>2</w:t>
      </w:r>
      <w:r w:rsidRPr="00B0793B">
        <w:fldChar w:fldCharType="end"/>
      </w:r>
      <w:r w:rsidRPr="00B0793B">
        <w:t>: Community Engagement Strategy</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1759"/>
        <w:gridCol w:w="1600"/>
        <w:gridCol w:w="1697"/>
        <w:gridCol w:w="1737"/>
      </w:tblGrid>
      <w:tr w:rsidR="00D3612E" w:rsidRPr="00325761" w14:paraId="4A2587F0" w14:textId="77777777" w:rsidTr="00C74F57">
        <w:trPr>
          <w:trHeight w:val="380"/>
        </w:trPr>
        <w:tc>
          <w:tcPr>
            <w:tcW w:w="2350" w:type="dxa"/>
          </w:tcPr>
          <w:p w14:paraId="1599A409" w14:textId="77777777" w:rsidR="00D3612E" w:rsidRPr="00B0793B" w:rsidRDefault="00D3612E" w:rsidP="00B0793B">
            <w:pPr>
              <w:rPr>
                <w:rFonts w:eastAsia="Times New Roman"/>
                <w:b/>
                <w:i/>
                <w:lang w:eastAsia="en-AU"/>
              </w:rPr>
            </w:pPr>
            <w:r w:rsidRPr="00B0793B">
              <w:rPr>
                <w:rFonts w:eastAsia="Times New Roman"/>
                <w:b/>
                <w:lang w:eastAsia="en-AU"/>
              </w:rPr>
              <w:t>Engagement, consultation and community development</w:t>
            </w:r>
          </w:p>
        </w:tc>
        <w:tc>
          <w:tcPr>
            <w:tcW w:w="2228" w:type="dxa"/>
          </w:tcPr>
          <w:p w14:paraId="4236A0F8" w14:textId="77777777" w:rsidR="00D3612E" w:rsidRPr="00B0793B" w:rsidRDefault="00D3612E" w:rsidP="00B0793B">
            <w:pPr>
              <w:rPr>
                <w:rFonts w:eastAsia="Times New Roman"/>
                <w:b/>
                <w:bCs/>
                <w:i/>
                <w:lang w:eastAsia="en-AU"/>
              </w:rPr>
            </w:pPr>
            <w:r w:rsidRPr="00B0793B">
              <w:rPr>
                <w:rFonts w:eastAsia="Times New Roman"/>
                <w:b/>
                <w:bCs/>
                <w:lang w:eastAsia="en-AU"/>
              </w:rPr>
              <w:t>Web and social media</w:t>
            </w:r>
          </w:p>
        </w:tc>
        <w:tc>
          <w:tcPr>
            <w:tcW w:w="2228" w:type="dxa"/>
          </w:tcPr>
          <w:p w14:paraId="44CA30AC" w14:textId="77777777" w:rsidR="00D3612E" w:rsidRPr="00B0793B" w:rsidRDefault="00D3612E" w:rsidP="00B0793B">
            <w:pPr>
              <w:rPr>
                <w:rFonts w:eastAsia="Times New Roman"/>
                <w:b/>
                <w:i/>
                <w:lang w:eastAsia="en-AU"/>
              </w:rPr>
            </w:pPr>
            <w:r w:rsidRPr="00B0793B">
              <w:rPr>
                <w:rFonts w:eastAsia="Times New Roman"/>
                <w:b/>
                <w:lang w:eastAsia="en-AU"/>
              </w:rPr>
              <w:t>Partnerships and networks</w:t>
            </w:r>
          </w:p>
        </w:tc>
        <w:tc>
          <w:tcPr>
            <w:tcW w:w="2350" w:type="dxa"/>
          </w:tcPr>
          <w:p w14:paraId="1BBA0383" w14:textId="77777777" w:rsidR="00D3612E" w:rsidRPr="00B0793B" w:rsidRDefault="00D3612E" w:rsidP="00B0793B">
            <w:pPr>
              <w:rPr>
                <w:rFonts w:eastAsia="Times New Roman"/>
                <w:b/>
                <w:bCs/>
                <w:i/>
                <w:lang w:eastAsia="en-AU"/>
              </w:rPr>
            </w:pPr>
            <w:r w:rsidRPr="00B0793B">
              <w:rPr>
                <w:rFonts w:eastAsia="Times New Roman"/>
                <w:b/>
                <w:bCs/>
                <w:lang w:eastAsia="en-AU"/>
              </w:rPr>
              <w:t>Information products and services</w:t>
            </w:r>
          </w:p>
        </w:tc>
      </w:tr>
      <w:tr w:rsidR="00D3612E" w:rsidRPr="00325761" w14:paraId="7684B5F0" w14:textId="77777777" w:rsidTr="00C74F57">
        <w:trPr>
          <w:trHeight w:val="380"/>
        </w:trPr>
        <w:tc>
          <w:tcPr>
            <w:tcW w:w="2350" w:type="dxa"/>
          </w:tcPr>
          <w:p w14:paraId="1CDCE9BE" w14:textId="77777777" w:rsidR="00D3612E" w:rsidRPr="00B0793B" w:rsidRDefault="00D3612E" w:rsidP="00B0793B">
            <w:pPr>
              <w:rPr>
                <w:rFonts w:eastAsia="Times New Roman"/>
                <w:b/>
                <w:i/>
                <w:lang w:eastAsia="en-AU"/>
              </w:rPr>
            </w:pPr>
            <w:r w:rsidRPr="00B0793B">
              <w:rPr>
                <w:rFonts w:eastAsia="Times New Roman"/>
                <w:lang w:eastAsia="en-AU"/>
              </w:rPr>
              <w:t>Increase community ownership and investment in human rights</w:t>
            </w:r>
          </w:p>
        </w:tc>
        <w:tc>
          <w:tcPr>
            <w:tcW w:w="2228" w:type="dxa"/>
          </w:tcPr>
          <w:p w14:paraId="61FFD28C" w14:textId="77777777" w:rsidR="00D3612E" w:rsidRPr="00B0793B" w:rsidRDefault="00D3612E" w:rsidP="00B0793B">
            <w:pPr>
              <w:rPr>
                <w:rFonts w:eastAsia="Times New Roman"/>
                <w:b/>
                <w:bCs/>
                <w:i/>
                <w:lang w:eastAsia="en-AU"/>
              </w:rPr>
            </w:pPr>
            <w:r w:rsidRPr="00B0793B">
              <w:rPr>
                <w:rStyle w:val="Strong"/>
                <w:rFonts w:cstheme="minorHAnsi"/>
                <w:b w:val="0"/>
              </w:rPr>
              <w:t>Broaden ADCQ’s reach through the use of the web and social media to allow for education and</w:t>
            </w:r>
            <w:r w:rsidR="00803E9C" w:rsidRPr="00B0793B">
              <w:rPr>
                <w:rStyle w:val="Strong"/>
                <w:rFonts w:cstheme="minorHAnsi"/>
                <w:b w:val="0"/>
              </w:rPr>
              <w:t xml:space="preserve"> </w:t>
            </w:r>
            <w:r w:rsidRPr="00B0793B">
              <w:rPr>
                <w:rStyle w:val="Strong"/>
                <w:rFonts w:cstheme="minorHAnsi"/>
                <w:b w:val="0"/>
              </w:rPr>
              <w:t>discussion of human rights</w:t>
            </w:r>
          </w:p>
        </w:tc>
        <w:tc>
          <w:tcPr>
            <w:tcW w:w="2228" w:type="dxa"/>
          </w:tcPr>
          <w:p w14:paraId="2E3D2B5D" w14:textId="77777777" w:rsidR="00D3612E" w:rsidRPr="00B0793B" w:rsidRDefault="00D3612E" w:rsidP="00B0793B">
            <w:pPr>
              <w:rPr>
                <w:rFonts w:eastAsia="Times New Roman"/>
                <w:b/>
                <w:bCs/>
                <w:i/>
                <w:lang w:eastAsia="en-AU"/>
              </w:rPr>
            </w:pPr>
            <w:r w:rsidRPr="00B0793B">
              <w:rPr>
                <w:rStyle w:val="Strong"/>
                <w:rFonts w:cstheme="minorHAnsi"/>
                <w:b w:val="0"/>
              </w:rPr>
              <w:t>Enhance ADCQ’s reach and achievement of outcomes through collaboration</w:t>
            </w:r>
          </w:p>
        </w:tc>
        <w:tc>
          <w:tcPr>
            <w:tcW w:w="2350" w:type="dxa"/>
          </w:tcPr>
          <w:p w14:paraId="7BB554D7" w14:textId="77777777" w:rsidR="00D3612E" w:rsidRPr="00B0793B" w:rsidRDefault="00D3612E" w:rsidP="00B0793B">
            <w:pPr>
              <w:rPr>
                <w:rFonts w:eastAsia="Times New Roman"/>
                <w:b/>
                <w:bCs/>
                <w:i/>
                <w:lang w:eastAsia="en-AU"/>
              </w:rPr>
            </w:pPr>
            <w:r w:rsidRPr="00B0793B">
              <w:rPr>
                <w:rStyle w:val="Strong"/>
                <w:rFonts w:cstheme="minorHAnsi"/>
                <w:b w:val="0"/>
              </w:rPr>
              <w:t>Maintain a range of products and services that provide clear and accurate information in an engaging and accessible manner</w:t>
            </w:r>
          </w:p>
        </w:tc>
      </w:tr>
      <w:tr w:rsidR="00D3612E" w:rsidRPr="00325761" w14:paraId="23D41609" w14:textId="77777777" w:rsidTr="00C74F57">
        <w:tc>
          <w:tcPr>
            <w:tcW w:w="2350" w:type="dxa"/>
          </w:tcPr>
          <w:p w14:paraId="5C449F83" w14:textId="77777777" w:rsidR="00D3612E" w:rsidRPr="00B0793B" w:rsidRDefault="00D3612E" w:rsidP="00B0793B">
            <w:pPr>
              <w:rPr>
                <w:rFonts w:eastAsia="Times New Roman"/>
                <w:b/>
                <w:i/>
                <w:lang w:eastAsia="en-AU"/>
              </w:rPr>
            </w:pPr>
            <w:r w:rsidRPr="00B0793B">
              <w:rPr>
                <w:rFonts w:eastAsia="Times New Roman"/>
                <w:b/>
                <w:lang w:eastAsia="en-AU"/>
              </w:rPr>
              <w:t>Education</w:t>
            </w:r>
          </w:p>
        </w:tc>
        <w:tc>
          <w:tcPr>
            <w:tcW w:w="2228" w:type="dxa"/>
          </w:tcPr>
          <w:p w14:paraId="4FA85103" w14:textId="77777777" w:rsidR="00D3612E" w:rsidRPr="00B0793B" w:rsidRDefault="00D3612E" w:rsidP="00B0793B">
            <w:pPr>
              <w:rPr>
                <w:rFonts w:eastAsia="Times New Roman"/>
                <w:b/>
                <w:i/>
                <w:lang w:eastAsia="en-AU"/>
              </w:rPr>
            </w:pPr>
            <w:r w:rsidRPr="00B0793B">
              <w:rPr>
                <w:rFonts w:eastAsia="Times New Roman"/>
                <w:b/>
                <w:lang w:eastAsia="en-AU"/>
              </w:rPr>
              <w:t>Media</w:t>
            </w:r>
          </w:p>
        </w:tc>
        <w:tc>
          <w:tcPr>
            <w:tcW w:w="2228" w:type="dxa"/>
          </w:tcPr>
          <w:p w14:paraId="0738B390" w14:textId="77777777" w:rsidR="00D3612E" w:rsidRPr="00B0793B" w:rsidRDefault="00D3612E" w:rsidP="00B0793B">
            <w:pPr>
              <w:rPr>
                <w:rFonts w:eastAsia="Times New Roman"/>
                <w:b/>
                <w:i/>
                <w:lang w:eastAsia="en-AU"/>
              </w:rPr>
            </w:pPr>
            <w:r w:rsidRPr="00B0793B">
              <w:rPr>
                <w:rFonts w:eastAsia="Times New Roman"/>
                <w:b/>
                <w:lang w:eastAsia="en-AU"/>
              </w:rPr>
              <w:t>Events</w:t>
            </w:r>
          </w:p>
        </w:tc>
        <w:tc>
          <w:tcPr>
            <w:tcW w:w="2350" w:type="dxa"/>
          </w:tcPr>
          <w:p w14:paraId="254D5C21" w14:textId="77777777" w:rsidR="00D3612E" w:rsidRPr="00B0793B" w:rsidRDefault="00D3612E" w:rsidP="00B0793B">
            <w:pPr>
              <w:rPr>
                <w:rFonts w:eastAsia="Times New Roman"/>
                <w:b/>
                <w:bCs/>
                <w:i/>
                <w:lang w:eastAsia="en-AU"/>
              </w:rPr>
            </w:pPr>
            <w:r w:rsidRPr="00B0793B">
              <w:rPr>
                <w:rFonts w:eastAsia="Times New Roman"/>
                <w:b/>
                <w:bCs/>
                <w:lang w:eastAsia="en-AU"/>
              </w:rPr>
              <w:t>Marketing and promotion</w:t>
            </w:r>
            <w:r w:rsidRPr="00B0793B">
              <w:rPr>
                <w:rFonts w:eastAsia="Times New Roman"/>
                <w:b/>
                <w:lang w:eastAsia="en-AU"/>
              </w:rPr>
              <w:t xml:space="preserve"> </w:t>
            </w:r>
          </w:p>
        </w:tc>
      </w:tr>
      <w:tr w:rsidR="00D3612E" w:rsidRPr="00325761" w14:paraId="1BC37578" w14:textId="77777777" w:rsidTr="00C74F57">
        <w:tc>
          <w:tcPr>
            <w:tcW w:w="2350" w:type="dxa"/>
          </w:tcPr>
          <w:p w14:paraId="1A5E2C04" w14:textId="77777777" w:rsidR="00D3612E" w:rsidRPr="00B0793B" w:rsidRDefault="00D3612E" w:rsidP="00B0793B">
            <w:pPr>
              <w:rPr>
                <w:rFonts w:eastAsia="Times New Roman"/>
                <w:b/>
                <w:i/>
                <w:lang w:eastAsia="en-AU"/>
              </w:rPr>
            </w:pPr>
            <w:r w:rsidRPr="00B0793B">
              <w:rPr>
                <w:rStyle w:val="Strong"/>
                <w:rFonts w:cstheme="minorHAnsi"/>
                <w:b w:val="0"/>
              </w:rPr>
              <w:t>Establish ADCQ as the provider of Queensland’s best quality training in the field of discrimination and human rights</w:t>
            </w:r>
          </w:p>
        </w:tc>
        <w:tc>
          <w:tcPr>
            <w:tcW w:w="2228" w:type="dxa"/>
          </w:tcPr>
          <w:p w14:paraId="29CB59A4" w14:textId="77777777" w:rsidR="00D3612E" w:rsidRPr="00B0793B" w:rsidRDefault="00D3612E" w:rsidP="00B0793B">
            <w:pPr>
              <w:rPr>
                <w:rFonts w:eastAsia="Times New Roman"/>
                <w:b/>
                <w:i/>
                <w:lang w:eastAsia="en-AU"/>
              </w:rPr>
            </w:pPr>
            <w:r w:rsidRPr="00B0793B">
              <w:rPr>
                <w:rStyle w:val="Strong"/>
                <w:rFonts w:cstheme="minorHAnsi"/>
                <w:b w:val="0"/>
              </w:rPr>
              <w:t>Engage with media to promote human rights and education of the Queensland community</w:t>
            </w:r>
          </w:p>
        </w:tc>
        <w:tc>
          <w:tcPr>
            <w:tcW w:w="2228" w:type="dxa"/>
          </w:tcPr>
          <w:p w14:paraId="793AA74A" w14:textId="77777777" w:rsidR="00D3612E" w:rsidRPr="00B0793B" w:rsidRDefault="00D3612E" w:rsidP="00B0793B">
            <w:pPr>
              <w:rPr>
                <w:rFonts w:eastAsia="Times New Roman"/>
                <w:b/>
                <w:i/>
                <w:lang w:eastAsia="en-AU"/>
              </w:rPr>
            </w:pPr>
            <w:r w:rsidRPr="00B0793B">
              <w:rPr>
                <w:rStyle w:val="Strong"/>
                <w:rFonts w:cstheme="minorHAnsi"/>
                <w:b w:val="0"/>
              </w:rPr>
              <w:t>Maximise community engagement opportunities through involvement in key human rights events</w:t>
            </w:r>
          </w:p>
        </w:tc>
        <w:tc>
          <w:tcPr>
            <w:tcW w:w="2350" w:type="dxa"/>
          </w:tcPr>
          <w:p w14:paraId="5A30C35C" w14:textId="77777777" w:rsidR="00D3612E" w:rsidRPr="00B0793B" w:rsidRDefault="00D3612E" w:rsidP="00B0793B">
            <w:pPr>
              <w:rPr>
                <w:rFonts w:eastAsia="Times New Roman"/>
                <w:b/>
                <w:i/>
                <w:lang w:eastAsia="en-AU"/>
              </w:rPr>
            </w:pPr>
            <w:r w:rsidRPr="00B0793B">
              <w:rPr>
                <w:rStyle w:val="Strong"/>
                <w:rFonts w:cstheme="minorHAnsi"/>
                <w:b w:val="0"/>
              </w:rPr>
              <w:t>Build a recognisable ADCQ brand, associated with quality education, professional complaint management, and a fair and inclusive Queensland</w:t>
            </w:r>
          </w:p>
        </w:tc>
      </w:tr>
    </w:tbl>
    <w:p w14:paraId="347E364A" w14:textId="77777777" w:rsidR="00D3612E" w:rsidRDefault="00D3612E" w:rsidP="00B0793B">
      <w:pPr>
        <w:rPr>
          <w:b/>
          <w:i/>
        </w:rPr>
      </w:pPr>
    </w:p>
    <w:p w14:paraId="68F5897A" w14:textId="77777777" w:rsidR="00D3612E" w:rsidRDefault="00D3612E" w:rsidP="00B0793B">
      <w:pPr>
        <w:rPr>
          <w:b/>
          <w:i/>
        </w:rPr>
      </w:pPr>
      <w:r>
        <w:rPr>
          <w:b/>
        </w:rPr>
        <w:br w:type="page"/>
      </w:r>
    </w:p>
    <w:p w14:paraId="2EA7E9EF" w14:textId="77777777" w:rsidR="00D3612E" w:rsidRPr="003A10BE" w:rsidRDefault="00D3612E" w:rsidP="00B0793B">
      <w:pPr>
        <w:pStyle w:val="Heading2"/>
      </w:pPr>
      <w:r w:rsidRPr="003A10BE">
        <w:lastRenderedPageBreak/>
        <w:t>Engagement, community development and major projects</w:t>
      </w:r>
    </w:p>
    <w:p w14:paraId="7AC63CC7" w14:textId="77777777" w:rsidR="00D3612E" w:rsidRPr="00325761" w:rsidRDefault="00D3612E" w:rsidP="00B0793B">
      <w:pPr>
        <w:rPr>
          <w:i/>
        </w:rPr>
      </w:pPr>
      <w:r w:rsidRPr="00325761">
        <w:t>The ADCQ’s community engagement and development is the main means of achieving our vision of a fair and inclusive Queensland. These activities serve two purposes:</w:t>
      </w:r>
    </w:p>
    <w:p w14:paraId="22169F06" w14:textId="77777777" w:rsidR="00D3612E" w:rsidRPr="00B0793B" w:rsidRDefault="00D3612E" w:rsidP="005329BF">
      <w:pPr>
        <w:pStyle w:val="ListParagraph"/>
        <w:numPr>
          <w:ilvl w:val="0"/>
          <w:numId w:val="18"/>
        </w:numPr>
        <w:rPr>
          <w:rFonts w:eastAsia="Times New Roman"/>
          <w:i/>
          <w:lang w:eastAsia="en-AU"/>
        </w:rPr>
      </w:pPr>
      <w:r w:rsidRPr="00B0793B">
        <w:rPr>
          <w:rFonts w:eastAsia="Times New Roman"/>
          <w:lang w:eastAsia="en-AU"/>
        </w:rPr>
        <w:t xml:space="preserve">raising community awareness of the role of the ADCQ and the </w:t>
      </w:r>
      <w:r w:rsidRPr="00AF7432">
        <w:rPr>
          <w:rFonts w:eastAsia="Times New Roman"/>
          <w:i/>
          <w:lang w:eastAsia="en-AU"/>
        </w:rPr>
        <w:t>Anti-Discrimination Act 1991</w:t>
      </w:r>
      <w:r w:rsidRPr="00B0793B">
        <w:rPr>
          <w:rFonts w:eastAsia="Times New Roman"/>
          <w:lang w:eastAsia="en-AU"/>
        </w:rPr>
        <w:t xml:space="preserve">, and </w:t>
      </w:r>
    </w:p>
    <w:p w14:paraId="58DF5F0D" w14:textId="77777777" w:rsidR="00D3612E" w:rsidRPr="00B0793B" w:rsidRDefault="00D3612E" w:rsidP="005329BF">
      <w:pPr>
        <w:pStyle w:val="ListParagraph"/>
        <w:numPr>
          <w:ilvl w:val="0"/>
          <w:numId w:val="18"/>
        </w:numPr>
        <w:rPr>
          <w:i/>
        </w:rPr>
      </w:pPr>
      <w:r w:rsidRPr="00B0793B">
        <w:rPr>
          <w:rFonts w:eastAsia="Times New Roman"/>
          <w:lang w:eastAsia="en-AU"/>
        </w:rPr>
        <w:t>enhancing community</w:t>
      </w:r>
      <w:r w:rsidRPr="00325761">
        <w:t xml:space="preserve"> capacity to create opportunities for human rights to flourish.</w:t>
      </w:r>
    </w:p>
    <w:p w14:paraId="0C4E6691" w14:textId="77777777" w:rsidR="00D3612E" w:rsidRDefault="00D3612E" w:rsidP="00B0793B">
      <w:pPr>
        <w:rPr>
          <w:i/>
        </w:rPr>
      </w:pPr>
      <w:r w:rsidRPr="00325761">
        <w:t>The ADCQ aims to actively identify, direct</w:t>
      </w:r>
      <w:r>
        <w:t>,</w:t>
      </w:r>
      <w:r w:rsidRPr="00325761">
        <w:t xml:space="preserve"> and support the capabilities of individuals and groups to achieve positive outcomes</w:t>
      </w:r>
      <w:r>
        <w:t>,</w:t>
      </w:r>
      <w:r w:rsidRPr="00325761">
        <w:t xml:space="preserve"> and create spaces where human rights can flourish. ADCQ’s role is to provide information, connect people, build networks, and coordinate community projects and events. </w:t>
      </w:r>
    </w:p>
    <w:p w14:paraId="36C19148" w14:textId="77777777" w:rsidR="00D3612E" w:rsidRPr="00325761" w:rsidRDefault="00D3612E" w:rsidP="00B0793B">
      <w:pPr>
        <w:rPr>
          <w:i/>
        </w:rPr>
      </w:pPr>
      <w:r w:rsidRPr="00325761">
        <w:t>Major achievements in this area throughout 201</w:t>
      </w:r>
      <w:r w:rsidR="001F50BA">
        <w:t>8</w:t>
      </w:r>
      <w:r>
        <w:t>–</w:t>
      </w:r>
      <w:r w:rsidRPr="00325761">
        <w:t>1</w:t>
      </w:r>
      <w:r w:rsidR="001F50BA">
        <w:t>9</w:t>
      </w:r>
      <w:r w:rsidRPr="00325761">
        <w:t xml:space="preserve"> include:</w:t>
      </w:r>
    </w:p>
    <w:p w14:paraId="3AEF515F" w14:textId="77777777" w:rsidR="00D3612E" w:rsidRPr="00C56E2C" w:rsidRDefault="00D3612E" w:rsidP="00B0793B">
      <w:pPr>
        <w:pStyle w:val="Heading3"/>
      </w:pPr>
      <w:r w:rsidRPr="004620A7">
        <w:t xml:space="preserve">Human </w:t>
      </w:r>
      <w:r w:rsidRPr="00331E2D">
        <w:t>Rights</w:t>
      </w:r>
      <w:r w:rsidRPr="004620A7">
        <w:t xml:space="preserve"> Month</w:t>
      </w:r>
    </w:p>
    <w:p w14:paraId="5B28798A" w14:textId="0D0EDF7C" w:rsidR="004620A7" w:rsidRDefault="004620A7" w:rsidP="00B0793B">
      <w:pPr>
        <w:rPr>
          <w:rFonts w:ascii="Arial" w:hAnsi="Arial" w:cs="Arial"/>
          <w:i/>
        </w:rPr>
      </w:pPr>
      <w:r>
        <w:rPr>
          <w:rFonts w:ascii="Arial" w:hAnsi="Arial" w:cs="Arial"/>
        </w:rPr>
        <w:t>For the fourth year running, the ADCQ ran the Human Rights Month campaign from 10 November to</w:t>
      </w:r>
      <w:r w:rsidR="00807134">
        <w:rPr>
          <w:rFonts w:ascii="Arial" w:hAnsi="Arial" w:cs="Arial"/>
        </w:rPr>
        <w:t xml:space="preserve"> </w:t>
      </w:r>
      <w:r>
        <w:rPr>
          <w:rFonts w:ascii="Arial" w:hAnsi="Arial" w:cs="Arial"/>
        </w:rPr>
        <w:t>10 December 2018. The focus of the 2018 campaign was on the 70</w:t>
      </w:r>
      <w:r w:rsidRPr="004620A7">
        <w:rPr>
          <w:rFonts w:ascii="Arial" w:hAnsi="Arial" w:cs="Arial"/>
          <w:vertAlign w:val="superscript"/>
        </w:rPr>
        <w:t>th</w:t>
      </w:r>
      <w:r>
        <w:rPr>
          <w:rFonts w:ascii="Arial" w:hAnsi="Arial" w:cs="Arial"/>
        </w:rPr>
        <w:t xml:space="preserve"> anniversary of the Universal Declaration of Human Rights. This theme was chosen to celebrate the milestone, and also in preparation for the anticipated introduction of the Queensland </w:t>
      </w:r>
      <w:r w:rsidRPr="00C74F57">
        <w:rPr>
          <w:rFonts w:ascii="Arial" w:hAnsi="Arial" w:cs="Arial"/>
          <w:i/>
        </w:rPr>
        <w:t>Human Rights Act 2019</w:t>
      </w:r>
      <w:r>
        <w:rPr>
          <w:rFonts w:ascii="Arial" w:hAnsi="Arial" w:cs="Arial"/>
        </w:rPr>
        <w:t>.</w:t>
      </w:r>
      <w:r w:rsidR="00803E9C">
        <w:rPr>
          <w:rFonts w:ascii="Arial" w:hAnsi="Arial" w:cs="Arial"/>
        </w:rPr>
        <w:t xml:space="preserve"> </w:t>
      </w:r>
    </w:p>
    <w:p w14:paraId="3ACB9998" w14:textId="77777777" w:rsidR="00325B4C" w:rsidRPr="007C6755" w:rsidRDefault="004620A7" w:rsidP="00B0793B">
      <w:pPr>
        <w:rPr>
          <w:rFonts w:ascii="Arial" w:hAnsi="Arial" w:cs="Arial"/>
          <w:b/>
          <w:i/>
          <w:highlight w:val="yellow"/>
        </w:rPr>
      </w:pPr>
      <w:r>
        <w:rPr>
          <w:rFonts w:ascii="Arial" w:hAnsi="Arial" w:cs="Arial"/>
        </w:rPr>
        <w:t xml:space="preserve">The campaign provided information and resources about the international human rights framework and its linkages to domestic anti-discrimination and human rights provisions. </w:t>
      </w:r>
    </w:p>
    <w:p w14:paraId="2FD03CBA" w14:textId="77777777" w:rsidR="00D3612E" w:rsidRPr="004936B8" w:rsidRDefault="00D3612E" w:rsidP="00B0793B">
      <w:pPr>
        <w:pStyle w:val="Heading3"/>
      </w:pPr>
      <w:r w:rsidRPr="004936B8">
        <w:t>Aboriginal and Torres Strait Islander Optimal Health Project</w:t>
      </w:r>
    </w:p>
    <w:p w14:paraId="5ED93A51" w14:textId="77777777" w:rsidR="004936B8" w:rsidRPr="004936B8" w:rsidRDefault="004936B8" w:rsidP="00B0793B">
      <w:pPr>
        <w:rPr>
          <w:b/>
          <w:i/>
        </w:rPr>
      </w:pPr>
      <w:r w:rsidRPr="004936B8">
        <w:t>In 2017 the ADCQ in partnership with the Queensland Aboriginal and Islander Health Council (QAIHC) published a report on institutional barriers to health equity for Aboriginal and Torres Strait Islander people in Queensland's public hospital and health services. The report used a tool, known as the Matrix, to provide a set of baseline data from which to measure progress towards elimination of institutional barriers to health equity in health services over time. Since completion of the report, Queensland Health, QAIHC, and the Commission have collaborated on ways to improve health equity for Aboriginal and Torres Strait Islander people when accessing public hospital and health services.</w:t>
      </w:r>
    </w:p>
    <w:p w14:paraId="4E9F139C" w14:textId="77777777" w:rsidR="004936B8" w:rsidRPr="004936B8" w:rsidRDefault="004936B8" w:rsidP="00B0793B">
      <w:pPr>
        <w:rPr>
          <w:rFonts w:ascii="Arial" w:hAnsi="Arial" w:cs="Arial"/>
          <w:i/>
        </w:rPr>
      </w:pPr>
      <w:r w:rsidRPr="004936B8">
        <w:rPr>
          <w:rFonts w:ascii="Arial" w:hAnsi="Arial" w:cs="Arial"/>
        </w:rPr>
        <w:t>In November 2018, a panel of experts in Aboriginal and Torres Strait Islander health reviewed and refined the Matrix tool, to more accurately reflect the matters that are within the immediate control of public health service providers.</w:t>
      </w:r>
    </w:p>
    <w:p w14:paraId="47C02DE0" w14:textId="77777777" w:rsidR="004936B8" w:rsidRPr="004936B8" w:rsidRDefault="004936B8" w:rsidP="00B0793B">
      <w:pPr>
        <w:rPr>
          <w:rFonts w:ascii="Arial" w:hAnsi="Arial" w:cs="Arial"/>
          <w:b/>
          <w:i/>
        </w:rPr>
      </w:pPr>
      <w:r w:rsidRPr="004936B8">
        <w:rPr>
          <w:rFonts w:ascii="Arial" w:hAnsi="Arial" w:cs="Arial"/>
        </w:rPr>
        <w:t xml:space="preserve">Noticeable changes have occurred in Queensland Health and Hospital Services since the first audit. The representation of Aboriginal and Torres </w:t>
      </w:r>
      <w:r w:rsidRPr="004936B8">
        <w:rPr>
          <w:rFonts w:ascii="Arial" w:hAnsi="Arial" w:cs="Arial"/>
        </w:rPr>
        <w:lastRenderedPageBreak/>
        <w:t xml:space="preserve">Strait Islander people on hospital boards has increased from 9 positions in 2017 to 17 positions in 2019; there are now new identified executive directors of Aboriginal and Torres Strait Islander Health in the Cairns and Hinterland, North West, Torres and Cape and Townsville Hospital and Health Services; and Aboriginal and Torres Strait Islander people have been appointed to other senior positions across Queensland Health.   </w:t>
      </w:r>
    </w:p>
    <w:p w14:paraId="32ACBAED" w14:textId="77777777" w:rsidR="004936B8" w:rsidRPr="004936B8" w:rsidRDefault="004936B8" w:rsidP="00B0793B">
      <w:pPr>
        <w:rPr>
          <w:rFonts w:ascii="Arial" w:hAnsi="Arial" w:cs="Arial"/>
          <w:i/>
        </w:rPr>
      </w:pPr>
      <w:r w:rsidRPr="004936B8">
        <w:rPr>
          <w:rFonts w:ascii="Arial" w:hAnsi="Arial" w:cs="Arial"/>
        </w:rPr>
        <w:t xml:space="preserve">Breaking down institutional barriers to Indigenous health equity will require constant vigilance and long term vision. In order for things to continue to improve, ongoing monitoring will be required – from both within the health system and outside it. ADCQ and QAIHC have committed to undertaking a follow-up audit in 2019-20 to measure  how much change has taken place since the first round of figures were published, and to see what work remains to be done. </w:t>
      </w:r>
    </w:p>
    <w:p w14:paraId="57164D88" w14:textId="77777777" w:rsidR="0011148F" w:rsidRPr="0011148F" w:rsidRDefault="0011148F" w:rsidP="00B0793B">
      <w:pPr>
        <w:pStyle w:val="Heading3"/>
      </w:pPr>
      <w:r w:rsidRPr="004936B8">
        <w:t>Women In Prison Report</w:t>
      </w:r>
    </w:p>
    <w:p w14:paraId="1FFF9F13" w14:textId="77777777" w:rsidR="004936B8" w:rsidRPr="004936B8" w:rsidRDefault="004936B8" w:rsidP="00B0793B">
      <w:pPr>
        <w:rPr>
          <w:rFonts w:ascii="Arial" w:hAnsi="Arial" w:cs="Arial"/>
          <w:i/>
        </w:rPr>
      </w:pPr>
      <w:r w:rsidRPr="004936B8">
        <w:rPr>
          <w:rFonts w:ascii="Arial" w:hAnsi="Arial" w:cs="Arial"/>
        </w:rPr>
        <w:t xml:space="preserve">In 2004, the Commission received a submission from the advocacy group for female prisoners, Sisters Inside Inc, requesting the Commission to inquire into possible discrimination on the basis of sex, race, and disability within Queensland women’s prisons. In response to the wide range of matters raised by Sisters Inside, the Commission conducted a thorough review on the treatment of women in Queensland prisons, and published the </w:t>
      </w:r>
      <w:r w:rsidRPr="00807134">
        <w:rPr>
          <w:rFonts w:ascii="Arial" w:hAnsi="Arial" w:cs="Arial"/>
          <w:i/>
        </w:rPr>
        <w:t>Women In Prison</w:t>
      </w:r>
      <w:r w:rsidRPr="004936B8">
        <w:rPr>
          <w:rFonts w:ascii="Arial" w:hAnsi="Arial" w:cs="Arial"/>
        </w:rPr>
        <w:t xml:space="preserve"> report in 2006.  </w:t>
      </w:r>
    </w:p>
    <w:p w14:paraId="2C866D5A" w14:textId="20011BC8" w:rsidR="004936B8" w:rsidRPr="004936B8" w:rsidRDefault="004936B8" w:rsidP="00B0793B">
      <w:pPr>
        <w:rPr>
          <w:rFonts w:ascii="Arial" w:hAnsi="Arial" w:cs="Arial"/>
          <w:i/>
        </w:rPr>
      </w:pPr>
      <w:r w:rsidRPr="004936B8">
        <w:rPr>
          <w:rFonts w:ascii="Arial" w:hAnsi="Arial" w:cs="Arial"/>
        </w:rPr>
        <w:t xml:space="preserve">Ten years on from the report, and with the numbers of women being incarcerated steadily increasing, the Commission commenced a follow-up consultation </w:t>
      </w:r>
      <w:r w:rsidR="00807134">
        <w:rPr>
          <w:rFonts w:ascii="Arial" w:hAnsi="Arial" w:cs="Arial"/>
        </w:rPr>
        <w:t xml:space="preserve">which is reported in our </w:t>
      </w:r>
      <w:r w:rsidR="00807134" w:rsidRPr="00807134">
        <w:rPr>
          <w:rFonts w:ascii="Arial" w:hAnsi="Arial" w:cs="Arial"/>
          <w:i/>
        </w:rPr>
        <w:t>Women I</w:t>
      </w:r>
      <w:r w:rsidRPr="00807134">
        <w:rPr>
          <w:rFonts w:ascii="Arial" w:hAnsi="Arial" w:cs="Arial"/>
          <w:i/>
        </w:rPr>
        <w:t>n Prison 2019</w:t>
      </w:r>
      <w:r w:rsidRPr="004936B8">
        <w:rPr>
          <w:rFonts w:ascii="Arial" w:hAnsi="Arial" w:cs="Arial"/>
        </w:rPr>
        <w:t xml:space="preserve"> human rights consultation report. </w:t>
      </w:r>
    </w:p>
    <w:p w14:paraId="3C1DDA2E" w14:textId="77777777" w:rsidR="004936B8" w:rsidRPr="004936B8" w:rsidRDefault="004936B8" w:rsidP="00B0793B">
      <w:pPr>
        <w:rPr>
          <w:rFonts w:ascii="Arial" w:hAnsi="Arial" w:cs="Arial"/>
          <w:i/>
        </w:rPr>
      </w:pPr>
      <w:r w:rsidRPr="004936B8">
        <w:rPr>
          <w:rFonts w:ascii="Arial" w:hAnsi="Arial" w:cs="Arial"/>
        </w:rPr>
        <w:t xml:space="preserve">We found that in many ways, the situation had not improved in the intervening decade. </w:t>
      </w:r>
    </w:p>
    <w:p w14:paraId="6047F14C" w14:textId="77777777" w:rsidR="004936B8" w:rsidRPr="004936B8" w:rsidRDefault="004936B8" w:rsidP="00B0793B">
      <w:pPr>
        <w:rPr>
          <w:rFonts w:ascii="Arial" w:hAnsi="Arial" w:cs="Arial"/>
          <w:i/>
        </w:rPr>
      </w:pPr>
      <w:r w:rsidRPr="004936B8">
        <w:rPr>
          <w:rFonts w:ascii="Arial" w:hAnsi="Arial" w:cs="Arial"/>
        </w:rPr>
        <w:t>The female prison population swelled by 59% between 2006 and 2016. Recently, overcrowding resulting from that increase has impacted several other parts of the prison system and negatively affected female prisoners, both during and after incarceration. With the opening of the new Southern Queensland Correctional Centre for Women in late 2018, overcrowding and its negative consequences has been solved for the present time.</w:t>
      </w:r>
    </w:p>
    <w:p w14:paraId="4300E19A" w14:textId="77777777" w:rsidR="004936B8" w:rsidRPr="004936B8" w:rsidRDefault="004936B8" w:rsidP="00B0793B">
      <w:pPr>
        <w:rPr>
          <w:rFonts w:ascii="Arial" w:hAnsi="Arial" w:cs="Arial"/>
          <w:i/>
        </w:rPr>
      </w:pPr>
      <w:r w:rsidRPr="004936B8">
        <w:rPr>
          <w:rFonts w:ascii="Arial" w:hAnsi="Arial" w:cs="Arial"/>
        </w:rPr>
        <w:t xml:space="preserve">The over-representation of Aboriginal and Torres Strait Islander women within the female prison population is of serious concern. Over one third (35%) of female prisoners are Aboriginal and Torres Strait Islander women. Not only are they statistically more likely to be incarcerated, Aboriginal and Torres Strait Islander women fare worse in prison than their non-Indigenous counterparts. They are more likely than non-Indigenous women to be held in high security prisons, make up almost half of the female prisoners on safety orders or separate confinements, and are more likely to return to prison for breach of parole. It is clear that the system is not designed with them in mind, and does not respond well to the complex and specific needs of Aboriginal and Torres Strait Islander women in prison. </w:t>
      </w:r>
    </w:p>
    <w:p w14:paraId="13DBA77E" w14:textId="77777777" w:rsidR="004936B8" w:rsidRPr="004936B8" w:rsidRDefault="004936B8" w:rsidP="00B0793B">
      <w:pPr>
        <w:rPr>
          <w:rFonts w:ascii="Arial" w:hAnsi="Arial" w:cs="Arial"/>
          <w:i/>
        </w:rPr>
      </w:pPr>
      <w:r w:rsidRPr="004936B8">
        <w:rPr>
          <w:rFonts w:ascii="Arial" w:hAnsi="Arial" w:cs="Arial"/>
        </w:rPr>
        <w:lastRenderedPageBreak/>
        <w:t xml:space="preserve">The large increase in the numbers of female prisoners in the past decade have stretched the limited resources available in prisons for counselling and substance abuse programs. Many women in prison have backgrounds involving complex trauma, with high levels of sexual abuse and substance problems compared to the general population, but have little or no access to support for these issues inside prison. </w:t>
      </w:r>
    </w:p>
    <w:p w14:paraId="6CB53861" w14:textId="77777777" w:rsidR="004936B8" w:rsidRPr="004936B8" w:rsidRDefault="004936B8" w:rsidP="00B0793B">
      <w:pPr>
        <w:rPr>
          <w:rFonts w:ascii="Arial" w:hAnsi="Arial" w:cs="Arial"/>
          <w:i/>
        </w:rPr>
      </w:pPr>
      <w:r w:rsidRPr="004936B8">
        <w:rPr>
          <w:rFonts w:ascii="Arial" w:hAnsi="Arial" w:cs="Arial"/>
        </w:rPr>
        <w:t xml:space="preserve">Lack of support was also apparent when women transitioned from prison to living in the community once they have served their sentences. Recently, enhanced transitional support has been developed and is now being offered to women as they exit prison. </w:t>
      </w:r>
    </w:p>
    <w:p w14:paraId="7F40D67F" w14:textId="77777777" w:rsidR="004936B8" w:rsidRPr="004936B8" w:rsidRDefault="004936B8" w:rsidP="00B0793B">
      <w:pPr>
        <w:rPr>
          <w:rFonts w:ascii="Arial" w:hAnsi="Arial" w:cs="Arial"/>
          <w:i/>
        </w:rPr>
      </w:pPr>
      <w:r w:rsidRPr="004936B8">
        <w:rPr>
          <w:rFonts w:ascii="Arial" w:hAnsi="Arial" w:cs="Arial"/>
        </w:rPr>
        <w:t>The lack of available, appropriate, and affordable housing has taken its toll on women exiting prison. Both short-term transitional housing and longer-term accommodation are in short supply, impacting heavily on women trying to reintegrate into society. The critical shortage of housing has resulted in women being refused bail or parole. The lack of housing may also be a contributing factor to women offending and reoffending. Recently, an intergovernmental taskforce has started to address this critical housing shortage.</w:t>
      </w:r>
    </w:p>
    <w:p w14:paraId="7571D0AD" w14:textId="77777777" w:rsidR="004936B8" w:rsidRPr="004936B8" w:rsidRDefault="004936B8" w:rsidP="00B0793B">
      <w:pPr>
        <w:rPr>
          <w:rFonts w:ascii="Arial" w:hAnsi="Arial" w:cs="Arial"/>
          <w:i/>
        </w:rPr>
      </w:pPr>
      <w:r w:rsidRPr="004936B8">
        <w:rPr>
          <w:rFonts w:ascii="Arial" w:hAnsi="Arial" w:cs="Arial"/>
        </w:rPr>
        <w:t>This report contains 46 recommendations to improve the prison system and outcomes for female prisoners.</w:t>
      </w:r>
    </w:p>
    <w:p w14:paraId="2A5F7782" w14:textId="77777777" w:rsidR="004936B8" w:rsidRPr="004936B8" w:rsidRDefault="004936B8" w:rsidP="00B0793B">
      <w:pPr>
        <w:rPr>
          <w:rFonts w:ascii="Arial" w:hAnsi="Arial" w:cs="Arial"/>
          <w:b/>
          <w:i/>
        </w:rPr>
      </w:pPr>
      <w:r w:rsidRPr="004936B8">
        <w:rPr>
          <w:rFonts w:ascii="Arial" w:hAnsi="Arial" w:cs="Arial"/>
        </w:rPr>
        <w:t>This report is the latest of several released in recent years focussing on aspects of the Queensland correctional system and the over-representation of Indigenous people in Australian prisons. All have called for sweeping changes. Although there appears to be growing awareness amongst government that major reform is vital, courage and leadership will be required to develop and implement a coherent plan to reduce the number of women in Queensland prisons.</w:t>
      </w:r>
    </w:p>
    <w:p w14:paraId="0DA93BAB" w14:textId="77777777" w:rsidR="00055C8F" w:rsidRDefault="00055C8F">
      <w:pPr>
        <w:rPr>
          <w:rFonts w:ascii="Arial" w:hAnsi="Arial" w:cs="Arial"/>
          <w:b/>
          <w:i/>
          <w:sz w:val="24"/>
          <w:szCs w:val="22"/>
        </w:rPr>
      </w:pPr>
      <w:r>
        <w:rPr>
          <w:rFonts w:ascii="Arial" w:hAnsi="Arial" w:cs="Arial"/>
          <w:b/>
          <w:sz w:val="24"/>
          <w:szCs w:val="22"/>
        </w:rPr>
        <w:br w:type="page"/>
      </w:r>
    </w:p>
    <w:p w14:paraId="3062B9C2" w14:textId="77777777" w:rsidR="00FC177C" w:rsidRDefault="00FC177C" w:rsidP="00321242">
      <w:pPr>
        <w:pStyle w:val="Heading2"/>
      </w:pPr>
      <w:r>
        <w:lastRenderedPageBreak/>
        <w:t>Whole-of-government plans</w:t>
      </w:r>
    </w:p>
    <w:p w14:paraId="567D0883" w14:textId="77777777" w:rsidR="00FC177C" w:rsidRDefault="00FC177C" w:rsidP="00B0793B">
      <w:pPr>
        <w:rPr>
          <w:i/>
        </w:rPr>
      </w:pPr>
      <w:r>
        <w:t>ADCQ contributed actively to the following whole-of government plans and initiatives during 2018-19:</w:t>
      </w:r>
    </w:p>
    <w:p w14:paraId="15BC7CE8" w14:textId="77777777" w:rsidR="00055C8F" w:rsidRDefault="00055C8F" w:rsidP="00B0793B">
      <w:pPr>
        <w:pStyle w:val="Heading3"/>
      </w:pPr>
      <w:r>
        <w:t>Queensland: an age-friendly community – Action plan</w:t>
      </w:r>
    </w:p>
    <w:p w14:paraId="7B1098A9" w14:textId="56169117" w:rsidR="00055C8F" w:rsidRPr="00055C8F" w:rsidRDefault="00055C8F" w:rsidP="00B0793B">
      <w:pPr>
        <w:rPr>
          <w:i/>
        </w:rPr>
      </w:pPr>
      <w:r>
        <w:t>ADCQ delivered 15 free age-friendly communities training sessions throughout the year, providing information to seniors about their rights and responsibilities under Queensland anti-discrimination law. A further 55 training sessions on unconscious bias were delivered, and 211 general training sessions that contained information about the prevention of age discrimination. ADCQ staff also attended seniors</w:t>
      </w:r>
      <w:r w:rsidR="004936B8">
        <w:t>’</w:t>
      </w:r>
      <w:r>
        <w:t xml:space="preserve"> events including Ipswich City Council’s, See Create Connect Expo and Townsville Seniors Expo. </w:t>
      </w:r>
    </w:p>
    <w:p w14:paraId="46BD7711" w14:textId="77777777" w:rsidR="00055C8F" w:rsidRDefault="00055C8F" w:rsidP="00B0793B">
      <w:pPr>
        <w:pStyle w:val="Heading3"/>
      </w:pPr>
      <w:r>
        <w:t>Multicultural Action Plan</w:t>
      </w:r>
    </w:p>
    <w:p w14:paraId="6D8DA1C3" w14:textId="77777777" w:rsidR="00055C8F" w:rsidRPr="00D5091B" w:rsidRDefault="00D5091B" w:rsidP="00B0793B">
      <w:pPr>
        <w:rPr>
          <w:b/>
          <w:i/>
        </w:rPr>
      </w:pPr>
      <w:r w:rsidRPr="00D5091B">
        <w:t>ADCQ delivered 277 training sessions this year which provided information on discrimination law, unconscious bias and financial benefits of diverse and inclusive workplaces.</w:t>
      </w:r>
      <w:r>
        <w:rPr>
          <w:b/>
        </w:rPr>
        <w:t xml:space="preserve"> </w:t>
      </w:r>
      <w:r w:rsidRPr="00D5091B">
        <w:t>All other ADCQ actions contained in the 2016-18 Multicultural Action Plan were finalised prior to this financial year. Further actions have been committed to for the revised 2019-22 action plan.</w:t>
      </w:r>
      <w:r>
        <w:rPr>
          <w:b/>
        </w:rPr>
        <w:t xml:space="preserve"> </w:t>
      </w:r>
    </w:p>
    <w:p w14:paraId="6D83A6D4" w14:textId="77777777" w:rsidR="00055C8F" w:rsidRDefault="00055C8F" w:rsidP="00B0793B">
      <w:pPr>
        <w:pStyle w:val="Heading3"/>
      </w:pPr>
      <w:r>
        <w:t xml:space="preserve">Queensland Youth Strategy </w:t>
      </w:r>
    </w:p>
    <w:p w14:paraId="6EA40FEB" w14:textId="77777777" w:rsidR="00FC177C" w:rsidRPr="00FC177C" w:rsidRDefault="00055C8F" w:rsidP="00B0793B">
      <w:pPr>
        <w:rPr>
          <w:i/>
        </w:rPr>
      </w:pPr>
      <w:r>
        <w:t xml:space="preserve">Student and teacher resources on the ADCQ website were accessed 4453 times (3235 unique views) during 2018-19. ADCQ used social media to promote information and events relevant to youth during the year, including information about age discrimination, Queensland Youth Week activities, the benefits of age-friendly workplaces, Wear It Purple Day and Queeriosity. Young people were also engaged in a consultation process for the development of a Trans@School resource. The resource is aimed at educating school communities, students and other stakeholders about the legal aspects of practical issues affecting transgender students in schools. </w:t>
      </w:r>
    </w:p>
    <w:p w14:paraId="5188A899" w14:textId="77777777" w:rsidR="00D3612E" w:rsidRDefault="00D3612E" w:rsidP="00B0793B">
      <w:pPr>
        <w:pStyle w:val="Heading2"/>
      </w:pPr>
      <w:r w:rsidRPr="00DB07DB">
        <w:t>Speaking engagements</w:t>
      </w:r>
    </w:p>
    <w:p w14:paraId="02B8DC8A" w14:textId="6EB2FF26" w:rsidR="00DB07DB" w:rsidRPr="00440AA6" w:rsidRDefault="00DB07DB" w:rsidP="00B0793B">
      <w:pPr>
        <w:rPr>
          <w:i/>
        </w:rPr>
      </w:pPr>
      <w:r w:rsidRPr="00A24778">
        <w:t>Staff of the Commission regularly accept invitations to speak to students, community groups, lawyers, employee and employer groups, and at community events. Speaking topics range from specific issues in anti-discrimination law to a broad overview of human rights a</w:t>
      </w:r>
      <w:r w:rsidRPr="00440AA6">
        <w:t>nd anti-dis</w:t>
      </w:r>
      <w:r w:rsidR="00A24778" w:rsidRPr="00440AA6">
        <w:t>crimination instruments. In 2018</w:t>
      </w:r>
      <w:r w:rsidRPr="00440AA6">
        <w:t>-1</w:t>
      </w:r>
      <w:r w:rsidR="00A24778" w:rsidRPr="00440AA6">
        <w:t>9</w:t>
      </w:r>
      <w:r w:rsidRPr="00440AA6">
        <w:t xml:space="preserve">, a total of </w:t>
      </w:r>
      <w:r w:rsidR="00874C54">
        <w:t>2</w:t>
      </w:r>
      <w:r w:rsidR="00F61F08">
        <w:t>8</w:t>
      </w:r>
      <w:r w:rsidRPr="00440AA6">
        <w:t xml:space="preserve"> formal speaking engagements were conducted including presentations to: </w:t>
      </w:r>
    </w:p>
    <w:p w14:paraId="08F13D47" w14:textId="0D4C1B90" w:rsidR="00DB07DB" w:rsidRPr="00B0793B" w:rsidRDefault="00440AA6" w:rsidP="005329BF">
      <w:pPr>
        <w:pStyle w:val="ListParagraph"/>
        <w:numPr>
          <w:ilvl w:val="0"/>
          <w:numId w:val="19"/>
        </w:numPr>
        <w:rPr>
          <w:i/>
        </w:rPr>
      </w:pPr>
      <w:r w:rsidRPr="00321242">
        <w:t>Legal Studies Teachers’ Conference</w:t>
      </w:r>
      <w:r w:rsidR="004D4981">
        <w:t>;</w:t>
      </w:r>
    </w:p>
    <w:p w14:paraId="29C8878A" w14:textId="3BF3E5D6" w:rsidR="00440AA6" w:rsidRPr="00B0793B" w:rsidRDefault="00440AA6" w:rsidP="005329BF">
      <w:pPr>
        <w:pStyle w:val="ListParagraph"/>
        <w:numPr>
          <w:ilvl w:val="0"/>
          <w:numId w:val="19"/>
        </w:numPr>
        <w:rPr>
          <w:i/>
        </w:rPr>
      </w:pPr>
      <w:r w:rsidRPr="00321242">
        <w:t>Human Rights Law Conference</w:t>
      </w:r>
      <w:r w:rsidR="004D4981">
        <w:t>;</w:t>
      </w:r>
    </w:p>
    <w:p w14:paraId="0D049331" w14:textId="40BAA43E" w:rsidR="00440AA6" w:rsidRPr="00B0793B" w:rsidRDefault="00440AA6" w:rsidP="005329BF">
      <w:pPr>
        <w:pStyle w:val="ListParagraph"/>
        <w:numPr>
          <w:ilvl w:val="0"/>
          <w:numId w:val="19"/>
        </w:numPr>
        <w:rPr>
          <w:i/>
        </w:rPr>
      </w:pPr>
      <w:r w:rsidRPr="00321242">
        <w:t>Bond University – Diversity in the workplace panel</w:t>
      </w:r>
      <w:r w:rsidR="004D4981">
        <w:t>;</w:t>
      </w:r>
    </w:p>
    <w:p w14:paraId="038F6FC5" w14:textId="6B5D71F9" w:rsidR="00440AA6" w:rsidRPr="00B0793B" w:rsidRDefault="00440AA6" w:rsidP="005329BF">
      <w:pPr>
        <w:pStyle w:val="ListParagraph"/>
        <w:numPr>
          <w:ilvl w:val="0"/>
          <w:numId w:val="19"/>
        </w:numPr>
        <w:rPr>
          <w:i/>
        </w:rPr>
      </w:pPr>
      <w:r w:rsidRPr="00321242">
        <w:t>Bribie Island High School – transgender students in school</w:t>
      </w:r>
      <w:r w:rsidR="004D4981">
        <w:t>;</w:t>
      </w:r>
    </w:p>
    <w:p w14:paraId="30BF93CC" w14:textId="12C36E7C" w:rsidR="00440AA6" w:rsidRPr="00B0793B" w:rsidRDefault="00440AA6" w:rsidP="005329BF">
      <w:pPr>
        <w:pStyle w:val="ListParagraph"/>
        <w:numPr>
          <w:ilvl w:val="0"/>
          <w:numId w:val="19"/>
        </w:numPr>
        <w:rPr>
          <w:i/>
        </w:rPr>
      </w:pPr>
      <w:r w:rsidRPr="00321242">
        <w:t>Brisbane Regio</w:t>
      </w:r>
      <w:r w:rsidR="004D4981">
        <w:t>nal Disability Advisory Council;</w:t>
      </w:r>
    </w:p>
    <w:p w14:paraId="4095D648" w14:textId="3EBC37E2" w:rsidR="00440AA6" w:rsidRPr="00B0793B" w:rsidRDefault="00440AA6" w:rsidP="005329BF">
      <w:pPr>
        <w:pStyle w:val="ListParagraph"/>
        <w:numPr>
          <w:ilvl w:val="0"/>
          <w:numId w:val="19"/>
        </w:numPr>
        <w:rPr>
          <w:i/>
        </w:rPr>
      </w:pPr>
      <w:r w:rsidRPr="00321242">
        <w:t>Central Queensland Multicultural Association Harmony Day event</w:t>
      </w:r>
      <w:r w:rsidR="004D4981">
        <w:t>;</w:t>
      </w:r>
    </w:p>
    <w:p w14:paraId="4F4A7032" w14:textId="0AC278A0" w:rsidR="00440AA6" w:rsidRPr="00B0793B" w:rsidRDefault="00440AA6" w:rsidP="005329BF">
      <w:pPr>
        <w:pStyle w:val="ListParagraph"/>
        <w:numPr>
          <w:ilvl w:val="0"/>
          <w:numId w:val="19"/>
        </w:numPr>
        <w:rPr>
          <w:i/>
        </w:rPr>
      </w:pPr>
      <w:r w:rsidRPr="00321242">
        <w:t>Minter Ellison Human Rights Seminar</w:t>
      </w:r>
      <w:r w:rsidR="004D4981">
        <w:t>;</w:t>
      </w:r>
    </w:p>
    <w:p w14:paraId="75BEFCD6" w14:textId="7393A2E3" w:rsidR="00440AA6" w:rsidRPr="00B0793B" w:rsidRDefault="00440AA6" w:rsidP="005329BF">
      <w:pPr>
        <w:pStyle w:val="ListParagraph"/>
        <w:numPr>
          <w:ilvl w:val="0"/>
          <w:numId w:val="19"/>
        </w:numPr>
        <w:rPr>
          <w:i/>
        </w:rPr>
      </w:pPr>
      <w:r w:rsidRPr="00321242">
        <w:t>James Cook University, Cairns – guest lecture to social work students</w:t>
      </w:r>
      <w:r w:rsidR="004D4981">
        <w:t>;</w:t>
      </w:r>
    </w:p>
    <w:p w14:paraId="3AF6934E" w14:textId="26624251" w:rsidR="00440AA6" w:rsidRPr="00B0793B" w:rsidRDefault="00440AA6" w:rsidP="005329BF">
      <w:pPr>
        <w:pStyle w:val="ListParagraph"/>
        <w:numPr>
          <w:ilvl w:val="0"/>
          <w:numId w:val="19"/>
        </w:numPr>
        <w:rPr>
          <w:i/>
        </w:rPr>
      </w:pPr>
      <w:r w:rsidRPr="00321242">
        <w:lastRenderedPageBreak/>
        <w:t>QCAT Biennial Members’ Conference</w:t>
      </w:r>
      <w:r w:rsidR="004D4981">
        <w:t>;</w:t>
      </w:r>
    </w:p>
    <w:p w14:paraId="207DF107" w14:textId="1701B223" w:rsidR="00440AA6" w:rsidRPr="00B0793B" w:rsidRDefault="00440AA6" w:rsidP="005329BF">
      <w:pPr>
        <w:pStyle w:val="ListParagraph"/>
        <w:numPr>
          <w:ilvl w:val="0"/>
          <w:numId w:val="19"/>
        </w:numPr>
        <w:rPr>
          <w:i/>
        </w:rPr>
      </w:pPr>
      <w:r w:rsidRPr="00321242">
        <w:t>The Smith Family, Townsville – community networking function</w:t>
      </w:r>
      <w:r w:rsidR="004D4981">
        <w:t>;</w:t>
      </w:r>
    </w:p>
    <w:p w14:paraId="1A945D48" w14:textId="1B0D30B6" w:rsidR="00440AA6" w:rsidRPr="00B0793B" w:rsidRDefault="00440AA6" w:rsidP="005329BF">
      <w:pPr>
        <w:pStyle w:val="ListParagraph"/>
        <w:numPr>
          <w:ilvl w:val="0"/>
          <w:numId w:val="19"/>
        </w:numPr>
        <w:rPr>
          <w:i/>
        </w:rPr>
      </w:pPr>
      <w:r w:rsidRPr="00321242">
        <w:t>YFS Ltd – Culturally Competent Criminal Law Clinic</w:t>
      </w:r>
      <w:r w:rsidR="004D4981">
        <w:t>;</w:t>
      </w:r>
    </w:p>
    <w:p w14:paraId="48CB4E6D" w14:textId="2CA0F592" w:rsidR="00440AA6" w:rsidRPr="00B0793B" w:rsidRDefault="00440AA6" w:rsidP="005329BF">
      <w:pPr>
        <w:pStyle w:val="ListParagraph"/>
        <w:numPr>
          <w:ilvl w:val="0"/>
          <w:numId w:val="19"/>
        </w:numPr>
        <w:rPr>
          <w:i/>
        </w:rPr>
      </w:pPr>
      <w:r w:rsidRPr="00321242">
        <w:t>UQ Law School Forensic Mental Health &amp; Human Rights Workshop</w:t>
      </w:r>
      <w:r w:rsidR="004D4981">
        <w:t>;</w:t>
      </w:r>
    </w:p>
    <w:p w14:paraId="3A8C7913" w14:textId="450E6048" w:rsidR="00440AA6" w:rsidRPr="00B0793B" w:rsidRDefault="00440AA6" w:rsidP="005329BF">
      <w:pPr>
        <w:pStyle w:val="ListParagraph"/>
        <w:numPr>
          <w:ilvl w:val="0"/>
          <w:numId w:val="19"/>
        </w:numPr>
        <w:rPr>
          <w:i/>
        </w:rPr>
      </w:pPr>
      <w:r w:rsidRPr="00321242">
        <w:t>TAFE – Diploma of Travel and Tourism students</w:t>
      </w:r>
      <w:r w:rsidR="004D4981">
        <w:t>;</w:t>
      </w:r>
    </w:p>
    <w:p w14:paraId="3A0DA0B3" w14:textId="4E86BE94" w:rsidR="00440AA6" w:rsidRPr="00B0793B" w:rsidRDefault="00440AA6" w:rsidP="005329BF">
      <w:pPr>
        <w:pStyle w:val="ListParagraph"/>
        <w:numPr>
          <w:ilvl w:val="0"/>
          <w:numId w:val="19"/>
        </w:numPr>
        <w:rPr>
          <w:i/>
        </w:rPr>
      </w:pPr>
      <w:r w:rsidRPr="00321242">
        <w:t>Peakcare Queensland – National Child Protection Conference</w:t>
      </w:r>
      <w:r w:rsidR="004D4981">
        <w:t>;</w:t>
      </w:r>
    </w:p>
    <w:p w14:paraId="37DAC1DA" w14:textId="1A9AFD13" w:rsidR="00440AA6" w:rsidRPr="00B0793B" w:rsidRDefault="00440AA6" w:rsidP="005329BF">
      <w:pPr>
        <w:pStyle w:val="ListParagraph"/>
        <w:numPr>
          <w:ilvl w:val="0"/>
          <w:numId w:val="19"/>
        </w:numPr>
        <w:rPr>
          <w:i/>
        </w:rPr>
      </w:pPr>
      <w:r w:rsidRPr="00321242">
        <w:t>QCOSS – building awareness of the Human Rights Act in Queensland</w:t>
      </w:r>
      <w:r w:rsidR="004D4981">
        <w:t>.</w:t>
      </w:r>
    </w:p>
    <w:p w14:paraId="5E4BA554" w14:textId="77777777" w:rsidR="00D3612E" w:rsidRPr="003A10BE" w:rsidRDefault="00D3612E" w:rsidP="00B0793B">
      <w:pPr>
        <w:pStyle w:val="Heading2"/>
      </w:pPr>
      <w:r w:rsidRPr="003A10BE">
        <w:t>Web and social media</w:t>
      </w:r>
    </w:p>
    <w:p w14:paraId="17127F41" w14:textId="77777777" w:rsidR="00D3612E" w:rsidRPr="00D21577" w:rsidRDefault="00D3612E" w:rsidP="00B0793B">
      <w:pPr>
        <w:rPr>
          <w:rFonts w:cstheme="minorHAnsi"/>
          <w:i/>
        </w:rPr>
      </w:pPr>
      <w:r w:rsidRPr="00D21577">
        <w:rPr>
          <w:rFonts w:cstheme="minorHAnsi"/>
        </w:rPr>
        <w:t>Effective use of web-based technologies supports the ADCQ’s drive to engage with the community, provide digital means of access and service delivery, and connect with a wide range of clients. The website is accessible for users with assistive technologies.</w:t>
      </w:r>
    </w:p>
    <w:p w14:paraId="3BA89E21" w14:textId="77777777" w:rsidR="00D3612E" w:rsidRPr="00D21577" w:rsidRDefault="00D3612E" w:rsidP="00B0793B">
      <w:pPr>
        <w:rPr>
          <w:rFonts w:cstheme="minorHAnsi"/>
          <w:i/>
        </w:rPr>
      </w:pPr>
      <w:r w:rsidRPr="00D21577">
        <w:rPr>
          <w:rFonts w:cstheme="minorHAnsi"/>
        </w:rPr>
        <w:t>The ADCQ website is currently AA compliant with the W3C (World Wide Web Consortium) Guidelines, and in some areas is AAA compliant. This enables people with visual and motor impairments, as well as people from non-English speaking backgrounds</w:t>
      </w:r>
      <w:r w:rsidR="00014F98">
        <w:rPr>
          <w:rFonts w:cstheme="minorHAnsi"/>
        </w:rPr>
        <w:t>,</w:t>
      </w:r>
      <w:r w:rsidRPr="00D21577">
        <w:rPr>
          <w:rFonts w:cstheme="minorHAnsi"/>
        </w:rPr>
        <w:t xml:space="preserve"> to access the site. The ADCQ is aware of the importance of making information and services accessible to all Queenslanders and is committed to working on continuous improvement in this area.</w:t>
      </w:r>
    </w:p>
    <w:p w14:paraId="4EC736B2" w14:textId="77777777" w:rsidR="00D3612E" w:rsidRPr="001F50BA" w:rsidRDefault="00D3612E" w:rsidP="00B0793B">
      <w:pPr>
        <w:rPr>
          <w:rFonts w:eastAsia="Times New Roman" w:cstheme="minorHAnsi"/>
          <w:bCs/>
          <w:i/>
          <w:highlight w:val="yellow"/>
          <w:lang w:eastAsia="en-AU"/>
        </w:rPr>
      </w:pPr>
      <w:r w:rsidRPr="00D21577">
        <w:rPr>
          <w:rFonts w:cstheme="minorHAnsi"/>
        </w:rPr>
        <w:t>The Commission’s website remains a popular means for Queenslanders to access information about</w:t>
      </w:r>
      <w:r w:rsidRPr="00D21577">
        <w:rPr>
          <w:rFonts w:eastAsia="Times New Roman" w:cstheme="minorHAnsi"/>
          <w:bCs/>
          <w:lang w:eastAsia="en-AU"/>
        </w:rPr>
        <w:t xml:space="preserve"> discrimination law and the services of the ADCQ. In 201</w:t>
      </w:r>
      <w:r w:rsidR="00440AA6" w:rsidRPr="00D21577">
        <w:rPr>
          <w:rFonts w:eastAsia="Times New Roman" w:cstheme="minorHAnsi"/>
          <w:bCs/>
          <w:lang w:eastAsia="en-AU"/>
        </w:rPr>
        <w:t>8</w:t>
      </w:r>
      <w:r w:rsidRPr="00D21577">
        <w:rPr>
          <w:rFonts w:eastAsia="Times New Roman" w:cstheme="minorHAnsi"/>
          <w:bCs/>
          <w:lang w:eastAsia="en-AU"/>
        </w:rPr>
        <w:t>–1</w:t>
      </w:r>
      <w:r w:rsidR="00440AA6" w:rsidRPr="00D21577">
        <w:rPr>
          <w:rFonts w:eastAsia="Times New Roman" w:cstheme="minorHAnsi"/>
          <w:bCs/>
          <w:lang w:eastAsia="en-AU"/>
        </w:rPr>
        <w:t>9</w:t>
      </w:r>
      <w:r w:rsidRPr="00D21577">
        <w:rPr>
          <w:rFonts w:eastAsia="Times New Roman" w:cstheme="minorHAnsi"/>
          <w:bCs/>
          <w:lang w:eastAsia="en-AU"/>
        </w:rPr>
        <w:t xml:space="preserve"> there were </w:t>
      </w:r>
      <w:r w:rsidR="00BB65E7" w:rsidRPr="00D21577">
        <w:rPr>
          <w:rFonts w:eastAsia="Times New Roman" w:cstheme="minorHAnsi"/>
          <w:bCs/>
          <w:lang w:eastAsia="en-AU"/>
        </w:rPr>
        <w:t>243</w:t>
      </w:r>
      <w:r w:rsidR="00CB7FA1" w:rsidRPr="00D21577">
        <w:rPr>
          <w:rFonts w:eastAsia="Times New Roman" w:cstheme="minorHAnsi"/>
          <w:bCs/>
          <w:lang w:eastAsia="en-AU"/>
        </w:rPr>
        <w:t>,</w:t>
      </w:r>
      <w:r w:rsidR="00BB65E7" w:rsidRPr="00D21577">
        <w:rPr>
          <w:rFonts w:eastAsia="Times New Roman" w:cstheme="minorHAnsi"/>
          <w:bCs/>
          <w:lang w:eastAsia="en-AU"/>
        </w:rPr>
        <w:t>860</w:t>
      </w:r>
      <w:r w:rsidRPr="00D21577">
        <w:rPr>
          <w:rFonts w:eastAsia="Times New Roman" w:cstheme="minorHAnsi"/>
          <w:bCs/>
          <w:lang w:eastAsia="en-AU"/>
        </w:rPr>
        <w:t xml:space="preserve"> visitors</w:t>
      </w:r>
      <w:r w:rsidRPr="00BB65E7">
        <w:rPr>
          <w:rFonts w:eastAsia="Times New Roman" w:cstheme="minorHAnsi"/>
          <w:bCs/>
          <w:lang w:eastAsia="en-AU"/>
        </w:rPr>
        <w:t xml:space="preserve"> to the Commiss</w:t>
      </w:r>
      <w:r w:rsidR="00CB7FA1" w:rsidRPr="00BB65E7">
        <w:rPr>
          <w:rFonts w:eastAsia="Times New Roman" w:cstheme="minorHAnsi"/>
          <w:bCs/>
          <w:lang w:eastAsia="en-AU"/>
        </w:rPr>
        <w:t xml:space="preserve">ion’s website, an </w:t>
      </w:r>
      <w:r w:rsidRPr="00BB65E7">
        <w:rPr>
          <w:rFonts w:eastAsia="Times New Roman" w:cstheme="minorHAnsi"/>
          <w:bCs/>
          <w:lang w:eastAsia="en-AU"/>
        </w:rPr>
        <w:t xml:space="preserve">increase from the previous year’s total of </w:t>
      </w:r>
      <w:r w:rsidR="00D21577" w:rsidRPr="00D21577">
        <w:rPr>
          <w:rFonts w:eastAsia="Times New Roman" w:cstheme="minorHAnsi"/>
          <w:bCs/>
          <w:lang w:eastAsia="en-AU"/>
        </w:rPr>
        <w:t>211</w:t>
      </w:r>
      <w:r w:rsidRPr="00D21577">
        <w:rPr>
          <w:rFonts w:eastAsia="Times New Roman" w:cstheme="minorHAnsi"/>
          <w:bCs/>
          <w:lang w:eastAsia="en-AU"/>
        </w:rPr>
        <w:t>,</w:t>
      </w:r>
      <w:r w:rsidR="00D21577" w:rsidRPr="00D21577">
        <w:rPr>
          <w:rFonts w:eastAsia="Times New Roman" w:cstheme="minorHAnsi"/>
          <w:bCs/>
          <w:lang w:eastAsia="en-AU"/>
        </w:rPr>
        <w:t>788</w:t>
      </w:r>
      <w:r w:rsidRPr="00BB65E7">
        <w:rPr>
          <w:rFonts w:eastAsia="Times New Roman" w:cstheme="minorHAnsi"/>
          <w:bCs/>
          <w:lang w:eastAsia="en-AU"/>
        </w:rPr>
        <w:t xml:space="preserve"> visitors. New visitors made up </w:t>
      </w:r>
      <w:r w:rsidR="00BB65E7">
        <w:rPr>
          <w:rFonts w:eastAsia="Times New Roman" w:cstheme="minorHAnsi"/>
          <w:bCs/>
          <w:lang w:eastAsia="en-AU"/>
        </w:rPr>
        <w:t>86.6</w:t>
      </w:r>
      <w:r w:rsidRPr="00BB65E7">
        <w:rPr>
          <w:rFonts w:eastAsia="Times New Roman" w:cstheme="minorHAnsi"/>
          <w:bCs/>
          <w:lang w:eastAsia="en-AU"/>
        </w:rPr>
        <w:t>% of all website visits this</w:t>
      </w:r>
      <w:r w:rsidR="00BB65E7" w:rsidRPr="00BB65E7">
        <w:rPr>
          <w:rFonts w:eastAsia="Times New Roman" w:cstheme="minorHAnsi"/>
          <w:bCs/>
          <w:lang w:eastAsia="en-AU"/>
        </w:rPr>
        <w:t xml:space="preserve"> financial year.</w:t>
      </w:r>
    </w:p>
    <w:p w14:paraId="4B8A3B48" w14:textId="7451F06A" w:rsidR="00BF0597" w:rsidRDefault="00D3612E" w:rsidP="00B0793B">
      <w:pPr>
        <w:rPr>
          <w:rFonts w:eastAsia="Times New Roman" w:cstheme="minorHAnsi"/>
          <w:bCs/>
          <w:lang w:eastAsia="en-AU"/>
        </w:rPr>
      </w:pPr>
      <w:r w:rsidRPr="00BB65E7">
        <w:rPr>
          <w:rFonts w:eastAsia="Times New Roman" w:cstheme="minorHAnsi"/>
          <w:bCs/>
          <w:lang w:eastAsia="en-AU"/>
        </w:rPr>
        <w:t xml:space="preserve">Table 3 shows the top twenty most visited pages on </w:t>
      </w:r>
      <w:r w:rsidR="00BB65E7" w:rsidRPr="00BB65E7">
        <w:rPr>
          <w:rFonts w:eastAsia="Times New Roman" w:cstheme="minorHAnsi"/>
          <w:bCs/>
          <w:lang w:eastAsia="en-AU"/>
        </w:rPr>
        <w:t xml:space="preserve">the Commission’s </w:t>
      </w:r>
      <w:r w:rsidR="00BB65E7" w:rsidRPr="007B0DDA">
        <w:rPr>
          <w:rFonts w:eastAsia="Times New Roman" w:cstheme="minorHAnsi"/>
          <w:bCs/>
          <w:lang w:eastAsia="en-AU"/>
        </w:rPr>
        <w:t>website in 2018</w:t>
      </w:r>
      <w:r w:rsidRPr="007B0DDA">
        <w:rPr>
          <w:rFonts w:eastAsia="Times New Roman" w:cstheme="minorHAnsi"/>
          <w:bCs/>
          <w:lang w:eastAsia="en-AU"/>
        </w:rPr>
        <w:t>–1</w:t>
      </w:r>
      <w:r w:rsidR="00BB65E7" w:rsidRPr="007B0DDA">
        <w:rPr>
          <w:rFonts w:eastAsia="Times New Roman" w:cstheme="minorHAnsi"/>
          <w:bCs/>
          <w:lang w:eastAsia="en-AU"/>
        </w:rPr>
        <w:t>9</w:t>
      </w:r>
      <w:r w:rsidRPr="007B0DDA">
        <w:rPr>
          <w:rFonts w:eastAsia="Times New Roman" w:cstheme="minorHAnsi"/>
          <w:bCs/>
          <w:lang w:eastAsia="en-AU"/>
        </w:rPr>
        <w:t xml:space="preserve">. This list shows that visitors to the site are continuing to locate general information products and resources developed by the Commission as well as information on the law and making a complaint. </w:t>
      </w:r>
      <w:r w:rsidR="00CB7FA1" w:rsidRPr="007B0DDA">
        <w:rPr>
          <w:rFonts w:eastAsia="Times New Roman" w:cstheme="minorHAnsi"/>
          <w:bCs/>
          <w:lang w:eastAsia="en-AU"/>
        </w:rPr>
        <w:t>Th</w:t>
      </w:r>
      <w:r w:rsidR="007B0DDA" w:rsidRPr="007B0DDA">
        <w:rPr>
          <w:rFonts w:eastAsia="Times New Roman" w:cstheme="minorHAnsi"/>
          <w:bCs/>
          <w:lang w:eastAsia="en-AU"/>
        </w:rPr>
        <w:t xml:space="preserve">is year new information about the </w:t>
      </w:r>
      <w:r w:rsidR="007B0DDA" w:rsidRPr="00BF0597">
        <w:rPr>
          <w:rFonts w:eastAsia="Times New Roman" w:cstheme="minorHAnsi"/>
          <w:bCs/>
          <w:i/>
          <w:lang w:eastAsia="en-AU"/>
        </w:rPr>
        <w:t>Human Rights Act 2019</w:t>
      </w:r>
      <w:r w:rsidR="007B0DDA" w:rsidRPr="007B0DDA">
        <w:rPr>
          <w:rFonts w:eastAsia="Times New Roman" w:cstheme="minorHAnsi"/>
          <w:bCs/>
          <w:lang w:eastAsia="en-AU"/>
        </w:rPr>
        <w:t xml:space="preserve"> was readily accessed by web visitors. </w:t>
      </w:r>
    </w:p>
    <w:p w14:paraId="0680F677" w14:textId="77777777" w:rsidR="00BF0597" w:rsidRDefault="00BF0597">
      <w:pPr>
        <w:rPr>
          <w:rFonts w:eastAsia="Times New Roman" w:cstheme="minorHAnsi"/>
          <w:bCs/>
          <w:lang w:eastAsia="en-AU"/>
        </w:rPr>
      </w:pPr>
      <w:r>
        <w:rPr>
          <w:rFonts w:eastAsia="Times New Roman" w:cstheme="minorHAnsi"/>
          <w:bCs/>
          <w:lang w:eastAsia="en-AU"/>
        </w:rPr>
        <w:br w:type="page"/>
      </w:r>
    </w:p>
    <w:p w14:paraId="11111339" w14:textId="1ABB2CAE" w:rsidR="00D3612E" w:rsidRPr="00B0793B" w:rsidRDefault="00D3612E" w:rsidP="00C74F57">
      <w:pPr>
        <w:pStyle w:val="Caption"/>
      </w:pPr>
      <w:r w:rsidRPr="00B0793B">
        <w:lastRenderedPageBreak/>
        <w:t xml:space="preserve">Table </w:t>
      </w:r>
      <w:r w:rsidRPr="00B0793B">
        <w:fldChar w:fldCharType="begin"/>
      </w:r>
      <w:r w:rsidRPr="00B0793B">
        <w:instrText xml:space="preserve"> SEQ Table \* ARABIC </w:instrText>
      </w:r>
      <w:r w:rsidRPr="00B0793B">
        <w:fldChar w:fldCharType="separate"/>
      </w:r>
      <w:r w:rsidR="00B5590A">
        <w:rPr>
          <w:noProof/>
        </w:rPr>
        <w:t>3</w:t>
      </w:r>
      <w:r w:rsidRPr="00B0793B">
        <w:fldChar w:fldCharType="end"/>
      </w:r>
      <w:r w:rsidRPr="00B0793B">
        <w:t>: Top 20 most visited website pages</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4A0" w:firstRow="1" w:lastRow="0" w:firstColumn="1" w:lastColumn="0" w:noHBand="0" w:noVBand="1"/>
        <w:tblCaption w:val="Top 20 most visited website pages"/>
        <w:tblDescription w:val="A list of the 20 most visited ADCQ website pages"/>
      </w:tblPr>
      <w:tblGrid>
        <w:gridCol w:w="605"/>
        <w:gridCol w:w="2945"/>
        <w:gridCol w:w="607"/>
        <w:gridCol w:w="2636"/>
      </w:tblGrid>
      <w:tr w:rsidR="00D3612E" w:rsidRPr="00230332" w14:paraId="35A297CD" w14:textId="77777777" w:rsidTr="00C74F57">
        <w:trPr>
          <w:trHeight w:val="318"/>
        </w:trPr>
        <w:tc>
          <w:tcPr>
            <w:tcW w:w="771" w:type="dxa"/>
          </w:tcPr>
          <w:p w14:paraId="571B31EB" w14:textId="77777777" w:rsidR="00D3612E" w:rsidRPr="00230332" w:rsidRDefault="00D3612E" w:rsidP="00B0793B">
            <w:pPr>
              <w:rPr>
                <w:rFonts w:cstheme="minorHAnsi"/>
                <w:i/>
              </w:rPr>
            </w:pPr>
            <w:r w:rsidRPr="00230332">
              <w:rPr>
                <w:rFonts w:cstheme="minorHAnsi"/>
              </w:rPr>
              <w:t>1</w:t>
            </w:r>
          </w:p>
        </w:tc>
        <w:tc>
          <w:tcPr>
            <w:tcW w:w="4374" w:type="dxa"/>
          </w:tcPr>
          <w:p w14:paraId="4956F7C3" w14:textId="77777777" w:rsidR="00D3612E" w:rsidRPr="00BB65E7" w:rsidRDefault="00BB65E7" w:rsidP="00B0793B">
            <w:pPr>
              <w:rPr>
                <w:rFonts w:cstheme="minorHAnsi"/>
                <w:i/>
              </w:rPr>
            </w:pPr>
            <w:r w:rsidRPr="00BB65E7">
              <w:rPr>
                <w:rFonts w:cstheme="minorHAnsi"/>
              </w:rPr>
              <w:t>Resources for employers – employer rights &amp; responsibilities</w:t>
            </w:r>
          </w:p>
        </w:tc>
        <w:tc>
          <w:tcPr>
            <w:tcW w:w="777" w:type="dxa"/>
          </w:tcPr>
          <w:p w14:paraId="286BC331" w14:textId="77777777" w:rsidR="00D3612E" w:rsidRPr="00BB65E7" w:rsidRDefault="00D3612E" w:rsidP="00B0793B">
            <w:pPr>
              <w:rPr>
                <w:rFonts w:cstheme="minorHAnsi"/>
                <w:i/>
              </w:rPr>
            </w:pPr>
            <w:r w:rsidRPr="00BB65E7">
              <w:rPr>
                <w:rFonts w:cstheme="minorHAnsi"/>
              </w:rPr>
              <w:t>11</w:t>
            </w:r>
          </w:p>
        </w:tc>
        <w:tc>
          <w:tcPr>
            <w:tcW w:w="3842" w:type="dxa"/>
          </w:tcPr>
          <w:p w14:paraId="492BEFFD" w14:textId="77777777" w:rsidR="00D3612E" w:rsidRPr="00BB65E7" w:rsidRDefault="00BB65E7" w:rsidP="00B0793B">
            <w:pPr>
              <w:rPr>
                <w:rFonts w:cstheme="minorHAnsi"/>
                <w:i/>
              </w:rPr>
            </w:pPr>
            <w:r w:rsidRPr="00BB65E7">
              <w:rPr>
                <w:rFonts w:cstheme="minorHAnsi"/>
              </w:rPr>
              <w:t>Making a complaint</w:t>
            </w:r>
          </w:p>
        </w:tc>
      </w:tr>
      <w:tr w:rsidR="00D3612E" w:rsidRPr="00230332" w14:paraId="17AE2D73" w14:textId="77777777" w:rsidTr="00C74F57">
        <w:trPr>
          <w:trHeight w:val="318"/>
        </w:trPr>
        <w:tc>
          <w:tcPr>
            <w:tcW w:w="771" w:type="dxa"/>
          </w:tcPr>
          <w:p w14:paraId="39A6539D" w14:textId="77777777" w:rsidR="00D3612E" w:rsidRPr="00230332" w:rsidRDefault="00D3612E" w:rsidP="00B0793B">
            <w:pPr>
              <w:rPr>
                <w:rFonts w:cstheme="minorHAnsi"/>
                <w:i/>
              </w:rPr>
            </w:pPr>
            <w:r w:rsidRPr="00230332">
              <w:rPr>
                <w:rFonts w:cstheme="minorHAnsi"/>
              </w:rPr>
              <w:t>2</w:t>
            </w:r>
          </w:p>
        </w:tc>
        <w:tc>
          <w:tcPr>
            <w:tcW w:w="4374" w:type="dxa"/>
          </w:tcPr>
          <w:p w14:paraId="3CE27418" w14:textId="77777777" w:rsidR="00D3612E" w:rsidRPr="00BB65E7" w:rsidRDefault="00BB65E7" w:rsidP="00B0793B">
            <w:pPr>
              <w:rPr>
                <w:rFonts w:cstheme="minorHAnsi"/>
                <w:i/>
              </w:rPr>
            </w:pPr>
            <w:r w:rsidRPr="00BB65E7">
              <w:rPr>
                <w:rFonts w:cstheme="minorHAnsi"/>
              </w:rPr>
              <w:t>Case studies - sexual harassment</w:t>
            </w:r>
            <w:r w:rsidR="00014F98">
              <w:rPr>
                <w:rFonts w:cstheme="minorHAnsi"/>
              </w:rPr>
              <w:t xml:space="preserve"> </w:t>
            </w:r>
          </w:p>
        </w:tc>
        <w:tc>
          <w:tcPr>
            <w:tcW w:w="777" w:type="dxa"/>
          </w:tcPr>
          <w:p w14:paraId="568C9030" w14:textId="77777777" w:rsidR="00D3612E" w:rsidRPr="00BB65E7" w:rsidRDefault="00D3612E" w:rsidP="00B0793B">
            <w:pPr>
              <w:rPr>
                <w:rFonts w:cstheme="minorHAnsi"/>
                <w:i/>
              </w:rPr>
            </w:pPr>
            <w:r w:rsidRPr="00BB65E7">
              <w:rPr>
                <w:rFonts w:cstheme="minorHAnsi"/>
              </w:rPr>
              <w:t>12</w:t>
            </w:r>
          </w:p>
        </w:tc>
        <w:tc>
          <w:tcPr>
            <w:tcW w:w="3842" w:type="dxa"/>
          </w:tcPr>
          <w:p w14:paraId="6984689D" w14:textId="77777777" w:rsidR="00D3612E" w:rsidRPr="00BB65E7" w:rsidRDefault="00230332" w:rsidP="00B0793B">
            <w:pPr>
              <w:rPr>
                <w:rFonts w:cstheme="minorHAnsi"/>
                <w:i/>
              </w:rPr>
            </w:pPr>
            <w:r w:rsidRPr="00BB65E7">
              <w:rPr>
                <w:rFonts w:cstheme="minorHAnsi"/>
              </w:rPr>
              <w:t>Resources for employers</w:t>
            </w:r>
          </w:p>
        </w:tc>
      </w:tr>
      <w:tr w:rsidR="00D3612E" w:rsidRPr="00230332" w14:paraId="183A3DAD" w14:textId="77777777" w:rsidTr="00C74F57">
        <w:trPr>
          <w:trHeight w:val="318"/>
        </w:trPr>
        <w:tc>
          <w:tcPr>
            <w:tcW w:w="771" w:type="dxa"/>
          </w:tcPr>
          <w:p w14:paraId="10124329" w14:textId="77777777" w:rsidR="00D3612E" w:rsidRPr="00230332" w:rsidRDefault="00D3612E" w:rsidP="00B0793B">
            <w:pPr>
              <w:rPr>
                <w:rFonts w:cstheme="minorHAnsi"/>
                <w:i/>
              </w:rPr>
            </w:pPr>
            <w:r w:rsidRPr="00230332">
              <w:rPr>
                <w:rFonts w:cstheme="minorHAnsi"/>
              </w:rPr>
              <w:t>3</w:t>
            </w:r>
          </w:p>
        </w:tc>
        <w:tc>
          <w:tcPr>
            <w:tcW w:w="4374" w:type="dxa"/>
          </w:tcPr>
          <w:p w14:paraId="27A74015" w14:textId="77777777" w:rsidR="00D3612E" w:rsidRPr="00BB65E7" w:rsidRDefault="00BB65E7" w:rsidP="00B0793B">
            <w:pPr>
              <w:rPr>
                <w:rFonts w:cstheme="minorHAnsi"/>
                <w:i/>
              </w:rPr>
            </w:pPr>
            <w:r w:rsidRPr="00BB65E7">
              <w:rPr>
                <w:rFonts w:cstheme="minorHAnsi"/>
              </w:rPr>
              <w:t>Resources for employers – diversity in the workplace</w:t>
            </w:r>
          </w:p>
        </w:tc>
        <w:tc>
          <w:tcPr>
            <w:tcW w:w="777" w:type="dxa"/>
          </w:tcPr>
          <w:p w14:paraId="56522458" w14:textId="77777777" w:rsidR="00D3612E" w:rsidRPr="00BB65E7" w:rsidRDefault="00D3612E" w:rsidP="00B0793B">
            <w:pPr>
              <w:rPr>
                <w:rFonts w:cstheme="minorHAnsi"/>
                <w:i/>
              </w:rPr>
            </w:pPr>
            <w:r w:rsidRPr="00BB65E7">
              <w:rPr>
                <w:rFonts w:cstheme="minorHAnsi"/>
              </w:rPr>
              <w:t>13</w:t>
            </w:r>
          </w:p>
        </w:tc>
        <w:tc>
          <w:tcPr>
            <w:tcW w:w="3842" w:type="dxa"/>
          </w:tcPr>
          <w:p w14:paraId="28491F15" w14:textId="77777777" w:rsidR="00D3612E" w:rsidRPr="00BB65E7" w:rsidRDefault="00BB65E7" w:rsidP="00B0793B">
            <w:pPr>
              <w:rPr>
                <w:rFonts w:cstheme="minorHAnsi"/>
                <w:i/>
              </w:rPr>
            </w:pPr>
            <w:r w:rsidRPr="00BB65E7">
              <w:rPr>
                <w:rFonts w:cstheme="minorHAnsi"/>
              </w:rPr>
              <w:t>Guidelines – discrimination in education</w:t>
            </w:r>
          </w:p>
        </w:tc>
      </w:tr>
      <w:tr w:rsidR="00D3612E" w:rsidRPr="00230332" w14:paraId="201AE417" w14:textId="77777777" w:rsidTr="00C74F57">
        <w:trPr>
          <w:trHeight w:val="318"/>
        </w:trPr>
        <w:tc>
          <w:tcPr>
            <w:tcW w:w="771" w:type="dxa"/>
          </w:tcPr>
          <w:p w14:paraId="0D5CCF8C" w14:textId="77777777" w:rsidR="00D3612E" w:rsidRPr="00230332" w:rsidRDefault="00D3612E" w:rsidP="00B0793B">
            <w:pPr>
              <w:rPr>
                <w:rFonts w:cstheme="minorHAnsi"/>
                <w:i/>
              </w:rPr>
            </w:pPr>
            <w:r w:rsidRPr="00230332">
              <w:rPr>
                <w:rFonts w:cstheme="minorHAnsi"/>
              </w:rPr>
              <w:t>4</w:t>
            </w:r>
          </w:p>
        </w:tc>
        <w:tc>
          <w:tcPr>
            <w:tcW w:w="4374" w:type="dxa"/>
          </w:tcPr>
          <w:p w14:paraId="3C92DC17" w14:textId="77777777" w:rsidR="00D3612E" w:rsidRPr="00BB65E7" w:rsidRDefault="00BB65E7" w:rsidP="00B0793B">
            <w:pPr>
              <w:rPr>
                <w:rFonts w:cstheme="minorHAnsi"/>
                <w:i/>
              </w:rPr>
            </w:pPr>
            <w:r w:rsidRPr="00BB65E7">
              <w:rPr>
                <w:rFonts w:cstheme="minorHAnsi"/>
              </w:rPr>
              <w:t>Fact sheet – Indirect discrimination</w:t>
            </w:r>
          </w:p>
        </w:tc>
        <w:tc>
          <w:tcPr>
            <w:tcW w:w="777" w:type="dxa"/>
          </w:tcPr>
          <w:p w14:paraId="69123AF7" w14:textId="77777777" w:rsidR="00D3612E" w:rsidRPr="00BB65E7" w:rsidRDefault="00D3612E" w:rsidP="00B0793B">
            <w:pPr>
              <w:rPr>
                <w:rFonts w:cstheme="minorHAnsi"/>
                <w:i/>
              </w:rPr>
            </w:pPr>
            <w:r w:rsidRPr="00BB65E7">
              <w:rPr>
                <w:rFonts w:cstheme="minorHAnsi"/>
              </w:rPr>
              <w:t>14</w:t>
            </w:r>
          </w:p>
        </w:tc>
        <w:tc>
          <w:tcPr>
            <w:tcW w:w="3842" w:type="dxa"/>
          </w:tcPr>
          <w:p w14:paraId="7B6D030C" w14:textId="77777777" w:rsidR="00D3612E" w:rsidRPr="00BB65E7" w:rsidRDefault="00BB65E7" w:rsidP="00B0793B">
            <w:pPr>
              <w:rPr>
                <w:rFonts w:cstheme="minorHAnsi"/>
                <w:i/>
              </w:rPr>
            </w:pPr>
            <w:r w:rsidRPr="00BB65E7">
              <w:rPr>
                <w:rFonts w:cstheme="minorHAnsi"/>
              </w:rPr>
              <w:t>Guidelines – discrimination in the provision of goods and services</w:t>
            </w:r>
          </w:p>
        </w:tc>
      </w:tr>
      <w:tr w:rsidR="00D3612E" w:rsidRPr="00230332" w14:paraId="194BEFDE" w14:textId="77777777" w:rsidTr="00C74F57">
        <w:trPr>
          <w:trHeight w:val="318"/>
        </w:trPr>
        <w:tc>
          <w:tcPr>
            <w:tcW w:w="771" w:type="dxa"/>
          </w:tcPr>
          <w:p w14:paraId="42ACFC3B" w14:textId="77777777" w:rsidR="00D3612E" w:rsidRPr="00230332" w:rsidRDefault="00D3612E" w:rsidP="00B0793B">
            <w:pPr>
              <w:rPr>
                <w:rFonts w:cstheme="minorHAnsi"/>
                <w:i/>
              </w:rPr>
            </w:pPr>
            <w:r w:rsidRPr="00230332">
              <w:rPr>
                <w:rFonts w:cstheme="minorHAnsi"/>
              </w:rPr>
              <w:t>5</w:t>
            </w:r>
          </w:p>
        </w:tc>
        <w:tc>
          <w:tcPr>
            <w:tcW w:w="4374" w:type="dxa"/>
          </w:tcPr>
          <w:p w14:paraId="01552DEB" w14:textId="77777777" w:rsidR="00D3612E" w:rsidRPr="00BB65E7" w:rsidRDefault="00BB65E7" w:rsidP="00B0793B">
            <w:pPr>
              <w:rPr>
                <w:rFonts w:cstheme="minorHAnsi"/>
                <w:i/>
              </w:rPr>
            </w:pPr>
            <w:r w:rsidRPr="00BB65E7">
              <w:rPr>
                <w:rFonts w:cstheme="minorHAnsi"/>
              </w:rPr>
              <w:t>Legislation</w:t>
            </w:r>
          </w:p>
        </w:tc>
        <w:tc>
          <w:tcPr>
            <w:tcW w:w="777" w:type="dxa"/>
          </w:tcPr>
          <w:p w14:paraId="3BCF329D" w14:textId="77777777" w:rsidR="00D3612E" w:rsidRPr="00BB65E7" w:rsidRDefault="00D3612E" w:rsidP="00B0793B">
            <w:pPr>
              <w:rPr>
                <w:rFonts w:cstheme="minorHAnsi"/>
                <w:i/>
              </w:rPr>
            </w:pPr>
            <w:r w:rsidRPr="00BB65E7">
              <w:rPr>
                <w:rFonts w:cstheme="minorHAnsi"/>
              </w:rPr>
              <w:t>15</w:t>
            </w:r>
          </w:p>
        </w:tc>
        <w:tc>
          <w:tcPr>
            <w:tcW w:w="3842" w:type="dxa"/>
          </w:tcPr>
          <w:p w14:paraId="16D58B41" w14:textId="77777777" w:rsidR="00D3612E" w:rsidRPr="00BB65E7" w:rsidRDefault="00BB65E7" w:rsidP="00B0793B">
            <w:pPr>
              <w:rPr>
                <w:rFonts w:cstheme="minorHAnsi"/>
                <w:i/>
              </w:rPr>
            </w:pPr>
            <w:r w:rsidRPr="00BB65E7">
              <w:rPr>
                <w:rFonts w:cstheme="minorHAnsi"/>
              </w:rPr>
              <w:t>Human rights</w:t>
            </w:r>
          </w:p>
        </w:tc>
      </w:tr>
      <w:tr w:rsidR="00D3612E" w:rsidRPr="00230332" w14:paraId="3A695594" w14:textId="77777777" w:rsidTr="00C74F57">
        <w:trPr>
          <w:trHeight w:val="318"/>
        </w:trPr>
        <w:tc>
          <w:tcPr>
            <w:tcW w:w="771" w:type="dxa"/>
          </w:tcPr>
          <w:p w14:paraId="113DD46B" w14:textId="77777777" w:rsidR="00D3612E" w:rsidRPr="00230332" w:rsidRDefault="00D3612E" w:rsidP="00B0793B">
            <w:pPr>
              <w:rPr>
                <w:rFonts w:cstheme="minorHAnsi"/>
                <w:i/>
              </w:rPr>
            </w:pPr>
            <w:r w:rsidRPr="00230332">
              <w:rPr>
                <w:rFonts w:cstheme="minorHAnsi"/>
              </w:rPr>
              <w:t>6</w:t>
            </w:r>
          </w:p>
        </w:tc>
        <w:tc>
          <w:tcPr>
            <w:tcW w:w="4374" w:type="dxa"/>
          </w:tcPr>
          <w:p w14:paraId="0C0ACC44" w14:textId="77777777" w:rsidR="00D3612E" w:rsidRPr="00BB65E7" w:rsidRDefault="003A6040" w:rsidP="00B0793B">
            <w:pPr>
              <w:rPr>
                <w:rFonts w:cstheme="minorHAnsi"/>
                <w:i/>
              </w:rPr>
            </w:pPr>
            <w:r w:rsidRPr="00BB65E7">
              <w:rPr>
                <w:rFonts w:cstheme="minorHAnsi"/>
              </w:rPr>
              <w:t xml:space="preserve">Complaints </w:t>
            </w:r>
          </w:p>
        </w:tc>
        <w:tc>
          <w:tcPr>
            <w:tcW w:w="777" w:type="dxa"/>
          </w:tcPr>
          <w:p w14:paraId="154AF372" w14:textId="77777777" w:rsidR="00D3612E" w:rsidRPr="00BB65E7" w:rsidRDefault="00D3612E" w:rsidP="00B0793B">
            <w:pPr>
              <w:rPr>
                <w:rFonts w:cstheme="minorHAnsi"/>
                <w:i/>
              </w:rPr>
            </w:pPr>
            <w:r w:rsidRPr="00BB65E7">
              <w:rPr>
                <w:rFonts w:cstheme="minorHAnsi"/>
              </w:rPr>
              <w:t>16</w:t>
            </w:r>
          </w:p>
        </w:tc>
        <w:tc>
          <w:tcPr>
            <w:tcW w:w="3842" w:type="dxa"/>
          </w:tcPr>
          <w:p w14:paraId="776A0C5D" w14:textId="77777777" w:rsidR="00D3612E" w:rsidRPr="00BB65E7" w:rsidRDefault="00BB65E7" w:rsidP="00B0793B">
            <w:pPr>
              <w:rPr>
                <w:rFonts w:cstheme="minorHAnsi"/>
                <w:i/>
              </w:rPr>
            </w:pPr>
            <w:r w:rsidRPr="00BB65E7">
              <w:rPr>
                <w:rFonts w:cstheme="minorHAnsi"/>
              </w:rPr>
              <w:t>Make a complaint</w:t>
            </w:r>
          </w:p>
        </w:tc>
      </w:tr>
      <w:tr w:rsidR="00D3612E" w:rsidRPr="00230332" w14:paraId="3DEA3967" w14:textId="77777777" w:rsidTr="00C74F57">
        <w:trPr>
          <w:trHeight w:val="318"/>
        </w:trPr>
        <w:tc>
          <w:tcPr>
            <w:tcW w:w="771" w:type="dxa"/>
          </w:tcPr>
          <w:p w14:paraId="7604EA1A" w14:textId="77777777" w:rsidR="00D3612E" w:rsidRPr="00230332" w:rsidRDefault="00D3612E" w:rsidP="00B0793B">
            <w:pPr>
              <w:rPr>
                <w:rFonts w:cstheme="minorHAnsi"/>
                <w:i/>
              </w:rPr>
            </w:pPr>
            <w:r w:rsidRPr="00230332">
              <w:rPr>
                <w:rFonts w:cstheme="minorHAnsi"/>
              </w:rPr>
              <w:t>7</w:t>
            </w:r>
          </w:p>
        </w:tc>
        <w:tc>
          <w:tcPr>
            <w:tcW w:w="4374" w:type="dxa"/>
          </w:tcPr>
          <w:p w14:paraId="3595D165" w14:textId="2BC36547" w:rsidR="00D3612E" w:rsidRPr="00BB65E7" w:rsidRDefault="00BB65E7" w:rsidP="00B0793B">
            <w:pPr>
              <w:rPr>
                <w:rFonts w:cstheme="minorHAnsi"/>
                <w:i/>
              </w:rPr>
            </w:pPr>
            <w:r w:rsidRPr="00BB65E7">
              <w:rPr>
                <w:rFonts w:cstheme="minorHAnsi"/>
              </w:rPr>
              <w:t xml:space="preserve">Complaints </w:t>
            </w:r>
            <w:r w:rsidR="00014F98">
              <w:rPr>
                <w:rFonts w:cstheme="minorHAnsi"/>
              </w:rPr>
              <w:t>–</w:t>
            </w:r>
            <w:r w:rsidRPr="00BB65E7">
              <w:rPr>
                <w:rFonts w:cstheme="minorHAnsi"/>
              </w:rPr>
              <w:t xml:space="preserve"> discrimination</w:t>
            </w:r>
            <w:r w:rsidR="00014F98">
              <w:rPr>
                <w:rFonts w:cstheme="minorHAnsi"/>
              </w:rPr>
              <w:t xml:space="preserve"> </w:t>
            </w:r>
          </w:p>
        </w:tc>
        <w:tc>
          <w:tcPr>
            <w:tcW w:w="777" w:type="dxa"/>
          </w:tcPr>
          <w:p w14:paraId="4F8EE389" w14:textId="77777777" w:rsidR="00D3612E" w:rsidRPr="00BB65E7" w:rsidRDefault="00D3612E" w:rsidP="00B0793B">
            <w:pPr>
              <w:rPr>
                <w:rFonts w:cstheme="minorHAnsi"/>
                <w:i/>
              </w:rPr>
            </w:pPr>
            <w:r w:rsidRPr="00BB65E7">
              <w:rPr>
                <w:rFonts w:cstheme="minorHAnsi"/>
              </w:rPr>
              <w:t>17</w:t>
            </w:r>
          </w:p>
        </w:tc>
        <w:tc>
          <w:tcPr>
            <w:tcW w:w="3842" w:type="dxa"/>
          </w:tcPr>
          <w:p w14:paraId="37BBE26D" w14:textId="77777777" w:rsidR="00D3612E" w:rsidRPr="00BB65E7" w:rsidRDefault="00BB65E7" w:rsidP="00B0793B">
            <w:pPr>
              <w:rPr>
                <w:rFonts w:cstheme="minorHAnsi"/>
                <w:i/>
              </w:rPr>
            </w:pPr>
            <w:r w:rsidRPr="00BB65E7">
              <w:rPr>
                <w:rFonts w:cstheme="minorHAnsi"/>
              </w:rPr>
              <w:t>About us</w:t>
            </w:r>
          </w:p>
        </w:tc>
      </w:tr>
      <w:tr w:rsidR="00D3612E" w:rsidRPr="00230332" w14:paraId="11D443B8" w14:textId="77777777" w:rsidTr="00C74F57">
        <w:trPr>
          <w:trHeight w:val="318"/>
        </w:trPr>
        <w:tc>
          <w:tcPr>
            <w:tcW w:w="771" w:type="dxa"/>
          </w:tcPr>
          <w:p w14:paraId="5DA8FB09" w14:textId="77777777" w:rsidR="00D3612E" w:rsidRPr="00230332" w:rsidRDefault="00D3612E" w:rsidP="00B0793B">
            <w:pPr>
              <w:rPr>
                <w:rFonts w:cstheme="minorHAnsi"/>
                <w:i/>
              </w:rPr>
            </w:pPr>
            <w:r w:rsidRPr="00230332">
              <w:rPr>
                <w:rFonts w:cstheme="minorHAnsi"/>
              </w:rPr>
              <w:t>8</w:t>
            </w:r>
          </w:p>
        </w:tc>
        <w:tc>
          <w:tcPr>
            <w:tcW w:w="4374" w:type="dxa"/>
          </w:tcPr>
          <w:p w14:paraId="36B36136" w14:textId="77777777" w:rsidR="00D3612E" w:rsidRPr="00BB65E7" w:rsidRDefault="00BB65E7" w:rsidP="00B0793B">
            <w:pPr>
              <w:rPr>
                <w:rFonts w:cstheme="minorHAnsi"/>
                <w:i/>
              </w:rPr>
            </w:pPr>
            <w:r w:rsidRPr="00BB65E7">
              <w:rPr>
                <w:rFonts w:cstheme="minorHAnsi"/>
              </w:rPr>
              <w:t>Human rights – Qld Human Rights Act</w:t>
            </w:r>
          </w:p>
        </w:tc>
        <w:tc>
          <w:tcPr>
            <w:tcW w:w="777" w:type="dxa"/>
          </w:tcPr>
          <w:p w14:paraId="1AA51F66" w14:textId="77777777" w:rsidR="00D3612E" w:rsidRPr="00BB65E7" w:rsidRDefault="00D3612E" w:rsidP="00B0793B">
            <w:pPr>
              <w:rPr>
                <w:rFonts w:cstheme="minorHAnsi"/>
                <w:i/>
              </w:rPr>
            </w:pPr>
            <w:r w:rsidRPr="00BB65E7">
              <w:rPr>
                <w:rFonts w:cstheme="minorHAnsi"/>
              </w:rPr>
              <w:t>18</w:t>
            </w:r>
          </w:p>
        </w:tc>
        <w:tc>
          <w:tcPr>
            <w:tcW w:w="3842" w:type="dxa"/>
          </w:tcPr>
          <w:p w14:paraId="4BB24A2B" w14:textId="77777777" w:rsidR="00D3612E" w:rsidRPr="00BB65E7" w:rsidRDefault="00BB65E7" w:rsidP="00B0793B">
            <w:pPr>
              <w:rPr>
                <w:rFonts w:cstheme="minorHAnsi"/>
                <w:i/>
              </w:rPr>
            </w:pPr>
            <w:r w:rsidRPr="00BB65E7">
              <w:rPr>
                <w:rFonts w:cstheme="minorHAnsi"/>
              </w:rPr>
              <w:t>Case studies – sex discrimination</w:t>
            </w:r>
          </w:p>
        </w:tc>
      </w:tr>
      <w:tr w:rsidR="00D3612E" w:rsidRPr="00230332" w14:paraId="0B045277" w14:textId="77777777" w:rsidTr="00C74F57">
        <w:trPr>
          <w:trHeight w:val="318"/>
        </w:trPr>
        <w:tc>
          <w:tcPr>
            <w:tcW w:w="771" w:type="dxa"/>
          </w:tcPr>
          <w:p w14:paraId="17369322" w14:textId="77777777" w:rsidR="00D3612E" w:rsidRPr="00230332" w:rsidRDefault="00D3612E" w:rsidP="00B0793B">
            <w:pPr>
              <w:rPr>
                <w:rFonts w:cstheme="minorHAnsi"/>
                <w:i/>
              </w:rPr>
            </w:pPr>
            <w:r w:rsidRPr="00230332">
              <w:rPr>
                <w:rFonts w:cstheme="minorHAnsi"/>
              </w:rPr>
              <w:t>9</w:t>
            </w:r>
          </w:p>
        </w:tc>
        <w:tc>
          <w:tcPr>
            <w:tcW w:w="4374" w:type="dxa"/>
          </w:tcPr>
          <w:p w14:paraId="23B7360D" w14:textId="77777777" w:rsidR="00D3612E" w:rsidRPr="00BB65E7" w:rsidRDefault="00BB65E7" w:rsidP="00B0793B">
            <w:pPr>
              <w:rPr>
                <w:rFonts w:cstheme="minorHAnsi"/>
                <w:i/>
              </w:rPr>
            </w:pPr>
            <w:r w:rsidRPr="00BB65E7">
              <w:rPr>
                <w:rFonts w:cstheme="minorHAnsi"/>
              </w:rPr>
              <w:t>Resources – case studies</w:t>
            </w:r>
          </w:p>
        </w:tc>
        <w:tc>
          <w:tcPr>
            <w:tcW w:w="777" w:type="dxa"/>
          </w:tcPr>
          <w:p w14:paraId="46A15B20" w14:textId="77777777" w:rsidR="00D3612E" w:rsidRPr="00BB65E7" w:rsidRDefault="00D3612E" w:rsidP="00B0793B">
            <w:pPr>
              <w:rPr>
                <w:rFonts w:cstheme="minorHAnsi"/>
                <w:i/>
              </w:rPr>
            </w:pPr>
            <w:r w:rsidRPr="00BB65E7">
              <w:rPr>
                <w:rFonts w:cstheme="minorHAnsi"/>
              </w:rPr>
              <w:t>19</w:t>
            </w:r>
          </w:p>
        </w:tc>
        <w:tc>
          <w:tcPr>
            <w:tcW w:w="3842" w:type="dxa"/>
          </w:tcPr>
          <w:p w14:paraId="3731C2A0" w14:textId="77777777" w:rsidR="00D3612E" w:rsidRPr="00BB65E7" w:rsidRDefault="00BB65E7" w:rsidP="00B0793B">
            <w:pPr>
              <w:rPr>
                <w:rFonts w:cstheme="minorHAnsi"/>
                <w:i/>
              </w:rPr>
            </w:pPr>
            <w:r w:rsidRPr="00BB65E7">
              <w:rPr>
                <w:rFonts w:cstheme="minorHAnsi"/>
              </w:rPr>
              <w:t>Complaints – sexual harassment</w:t>
            </w:r>
          </w:p>
        </w:tc>
      </w:tr>
      <w:tr w:rsidR="00D3612E" w:rsidRPr="007F1A9A" w14:paraId="6673408E" w14:textId="77777777" w:rsidTr="00C74F57">
        <w:trPr>
          <w:trHeight w:val="318"/>
        </w:trPr>
        <w:tc>
          <w:tcPr>
            <w:tcW w:w="771" w:type="dxa"/>
          </w:tcPr>
          <w:p w14:paraId="3FDC46A5" w14:textId="77777777" w:rsidR="00D3612E" w:rsidRPr="00230332" w:rsidRDefault="00D3612E" w:rsidP="00B0793B">
            <w:pPr>
              <w:rPr>
                <w:rFonts w:cstheme="minorHAnsi"/>
                <w:i/>
              </w:rPr>
            </w:pPr>
            <w:r w:rsidRPr="00230332">
              <w:rPr>
                <w:rFonts w:cstheme="minorHAnsi"/>
              </w:rPr>
              <w:t>10</w:t>
            </w:r>
          </w:p>
        </w:tc>
        <w:tc>
          <w:tcPr>
            <w:tcW w:w="4374" w:type="dxa"/>
          </w:tcPr>
          <w:p w14:paraId="008EF040" w14:textId="77777777" w:rsidR="00D3612E" w:rsidRPr="00BB65E7" w:rsidRDefault="003A6040" w:rsidP="00B0793B">
            <w:pPr>
              <w:rPr>
                <w:rFonts w:cstheme="minorHAnsi"/>
                <w:i/>
              </w:rPr>
            </w:pPr>
            <w:r w:rsidRPr="00BB65E7">
              <w:rPr>
                <w:rFonts w:cstheme="minorHAnsi"/>
              </w:rPr>
              <w:t>Guidelines – discrimination in e</w:t>
            </w:r>
            <w:r w:rsidR="00BB65E7" w:rsidRPr="00BB65E7">
              <w:rPr>
                <w:rFonts w:cstheme="minorHAnsi"/>
              </w:rPr>
              <w:t>mployment</w:t>
            </w:r>
          </w:p>
        </w:tc>
        <w:tc>
          <w:tcPr>
            <w:tcW w:w="777" w:type="dxa"/>
          </w:tcPr>
          <w:p w14:paraId="06A38598" w14:textId="77777777" w:rsidR="00D3612E" w:rsidRPr="00BB65E7" w:rsidRDefault="00D3612E" w:rsidP="00B0793B">
            <w:pPr>
              <w:rPr>
                <w:rFonts w:cstheme="minorHAnsi"/>
                <w:i/>
              </w:rPr>
            </w:pPr>
            <w:r w:rsidRPr="00BB65E7">
              <w:rPr>
                <w:rFonts w:cstheme="minorHAnsi"/>
              </w:rPr>
              <w:t>20</w:t>
            </w:r>
          </w:p>
        </w:tc>
        <w:tc>
          <w:tcPr>
            <w:tcW w:w="3842" w:type="dxa"/>
          </w:tcPr>
          <w:p w14:paraId="4A48D07E" w14:textId="77777777" w:rsidR="00D3612E" w:rsidRPr="00BB65E7" w:rsidRDefault="00BB65E7" w:rsidP="00B0793B">
            <w:pPr>
              <w:rPr>
                <w:rFonts w:cstheme="minorHAnsi"/>
                <w:i/>
              </w:rPr>
            </w:pPr>
            <w:r w:rsidRPr="00BB65E7">
              <w:rPr>
                <w:rFonts w:cstheme="minorHAnsi"/>
              </w:rPr>
              <w:t>Contact us</w:t>
            </w:r>
          </w:p>
        </w:tc>
      </w:tr>
    </w:tbl>
    <w:p w14:paraId="29811306" w14:textId="77777777" w:rsidR="00BF0597" w:rsidRDefault="00BF0597" w:rsidP="00B0793B"/>
    <w:p w14:paraId="6E806CD0" w14:textId="10DDD6AB" w:rsidR="00D3612E" w:rsidRPr="00315AE9" w:rsidRDefault="00D3612E" w:rsidP="00B0793B">
      <w:pPr>
        <w:rPr>
          <w:rFonts w:cstheme="minorHAnsi"/>
        </w:rPr>
      </w:pPr>
      <w:r w:rsidRPr="00B945B1">
        <w:t xml:space="preserve">The Commission maintains a social media presence through Facebook, </w:t>
      </w:r>
      <w:r>
        <w:t>YouT</w:t>
      </w:r>
      <w:r w:rsidRPr="00B945B1">
        <w:t>ube</w:t>
      </w:r>
      <w:r w:rsidR="001F50BA">
        <w:t>, Instagram</w:t>
      </w:r>
      <w:r w:rsidRPr="00B945B1">
        <w:t xml:space="preserve"> and Twitter accounts.</w:t>
      </w:r>
      <w:r>
        <w:t xml:space="preserve"> </w:t>
      </w:r>
      <w:r w:rsidRPr="00315AE9">
        <w:t>These platforms enable real</w:t>
      </w:r>
      <w:r>
        <w:t>-</w:t>
      </w:r>
      <w:r w:rsidRPr="00315AE9">
        <w:t>time dissemination of information, promotion of activities and events, and two-way engagement with stakeholders</w:t>
      </w:r>
      <w:r w:rsidR="005E6451">
        <w:t>.</w:t>
      </w:r>
      <w:r w:rsidRPr="00315AE9">
        <w:t xml:space="preserve"> The ADCQ’s social medi</w:t>
      </w:r>
      <w:r w:rsidR="001F50BA">
        <w:t xml:space="preserve">a engagement is managed by the Engagement and Corporate Services </w:t>
      </w:r>
      <w:r w:rsidRPr="00315AE9">
        <w:t>team in the Brisbane office</w:t>
      </w:r>
      <w:r>
        <w:t>,</w:t>
      </w:r>
      <w:r w:rsidRPr="00315AE9">
        <w:t xml:space="preserve"> and is guided by an internal social media policy.</w:t>
      </w:r>
    </w:p>
    <w:p w14:paraId="4FDB509D" w14:textId="77777777" w:rsidR="00D3612E" w:rsidRPr="001950FF" w:rsidRDefault="00D3612E" w:rsidP="00B0793B">
      <w:pPr>
        <w:pStyle w:val="Heading2"/>
      </w:pPr>
      <w:r w:rsidRPr="001950FF">
        <w:t>Partnerships and networks</w:t>
      </w:r>
    </w:p>
    <w:p w14:paraId="2BB063FD" w14:textId="77777777" w:rsidR="00D3612E" w:rsidRPr="0071456F" w:rsidRDefault="00D3612E" w:rsidP="00B0793B">
      <w:pPr>
        <w:rPr>
          <w:rFonts w:cstheme="minorHAnsi"/>
          <w:i/>
        </w:rPr>
      </w:pPr>
      <w:r w:rsidRPr="0071456F">
        <w:rPr>
          <w:rFonts w:cstheme="minorHAnsi"/>
        </w:rPr>
        <w:t>As a small organisation, the ADCQ is increasingly aware that the establishment of strong and productive partnerships and networks is an effective strategy for achieving outcomes across a broader range of issues, stakeholder groups</w:t>
      </w:r>
      <w:r>
        <w:rPr>
          <w:rFonts w:cstheme="minorHAnsi"/>
        </w:rPr>
        <w:t>,</w:t>
      </w:r>
      <w:r w:rsidRPr="0071456F">
        <w:rPr>
          <w:rFonts w:cstheme="minorHAnsi"/>
        </w:rPr>
        <w:t xml:space="preserve"> and geographical areas. The ADCQ is involved in key networks and partnerships throughout Queensland. Through these we provide information on human rights issues and legislation, </w:t>
      </w:r>
      <w:r>
        <w:rPr>
          <w:rFonts w:cstheme="minorHAnsi"/>
        </w:rPr>
        <w:t xml:space="preserve">and </w:t>
      </w:r>
      <w:r w:rsidRPr="0071456F">
        <w:rPr>
          <w:rFonts w:cstheme="minorHAnsi"/>
        </w:rPr>
        <w:t xml:space="preserve">in-kind support for actions and initiatives, while gaining a deeper understanding of the issues, challenges and </w:t>
      </w:r>
      <w:r w:rsidRPr="00FE3564">
        <w:rPr>
          <w:rFonts w:cstheme="minorHAnsi"/>
        </w:rPr>
        <w:t>achievements within the community. The key partnerships and networks in which ADCQ was an active member in 201</w:t>
      </w:r>
      <w:r w:rsidR="001F50BA">
        <w:rPr>
          <w:rFonts w:cstheme="minorHAnsi"/>
        </w:rPr>
        <w:t>8</w:t>
      </w:r>
      <w:r w:rsidRPr="00FE3564">
        <w:rPr>
          <w:rFonts w:cstheme="minorHAnsi"/>
        </w:rPr>
        <w:t>–1</w:t>
      </w:r>
      <w:r w:rsidR="001F50BA">
        <w:rPr>
          <w:rFonts w:cstheme="minorHAnsi"/>
        </w:rPr>
        <w:t>9</w:t>
      </w:r>
      <w:r w:rsidRPr="00FE3564">
        <w:rPr>
          <w:rFonts w:cstheme="minorHAnsi"/>
        </w:rPr>
        <w:t xml:space="preserve"> were:</w:t>
      </w:r>
    </w:p>
    <w:p w14:paraId="28F8A94B" w14:textId="02516FD5" w:rsidR="00D3612E" w:rsidRPr="001950FF" w:rsidRDefault="00D3612E" w:rsidP="00B0793B">
      <w:pPr>
        <w:pStyle w:val="Heading3"/>
      </w:pPr>
      <w:r w:rsidRPr="001950FF">
        <w:t>Police Ethnic Advisory Group (PEAG)</w:t>
      </w:r>
    </w:p>
    <w:p w14:paraId="6683678E" w14:textId="6CC0F250" w:rsidR="00D3612E" w:rsidRPr="0071456F" w:rsidRDefault="00D3612E" w:rsidP="00B0793B">
      <w:pPr>
        <w:rPr>
          <w:rFonts w:cstheme="minorHAnsi"/>
          <w:i/>
          <w:color w:val="000000"/>
          <w:lang w:val="en-GB"/>
        </w:rPr>
      </w:pPr>
      <w:r w:rsidRPr="0071456F">
        <w:rPr>
          <w:rFonts w:cstheme="minorHAnsi"/>
          <w:color w:val="000000"/>
          <w:lang w:val="en-GB"/>
        </w:rPr>
        <w:t xml:space="preserve">PEAG is an advisory body to the Queensland Police Service on issues relating to cultural diversity. The group contributes to the promotion and maintenance of harmonious relations between Queensland police and ethnic communities. The ADCQ contributes on matters that fall within its jurisdiction under the </w:t>
      </w:r>
      <w:r w:rsidRPr="00BF0597">
        <w:rPr>
          <w:rFonts w:cstheme="minorHAnsi"/>
          <w:i/>
          <w:color w:val="000000"/>
          <w:lang w:val="en-GB"/>
        </w:rPr>
        <w:t>Anti-Discrimination Act 1991</w:t>
      </w:r>
      <w:r w:rsidRPr="0071456F">
        <w:rPr>
          <w:rFonts w:cstheme="minorHAnsi"/>
          <w:color w:val="000000"/>
          <w:lang w:val="en-GB"/>
        </w:rPr>
        <w:t>.</w:t>
      </w:r>
    </w:p>
    <w:p w14:paraId="555671B6" w14:textId="77777777" w:rsidR="00C74F57" w:rsidRDefault="00C74F57">
      <w:pPr>
        <w:rPr>
          <w:rFonts w:ascii="Century Gothic" w:eastAsiaTheme="majorEastAsia" w:hAnsi="Century Gothic" w:cstheme="majorBidi"/>
          <w:bCs/>
          <w:color w:val="5E1F71" w:themeColor="accent1"/>
          <w:sz w:val="24"/>
          <w:szCs w:val="22"/>
        </w:rPr>
      </w:pPr>
      <w:r>
        <w:br w:type="page"/>
      </w:r>
    </w:p>
    <w:p w14:paraId="5A288D19" w14:textId="05E8F6F3" w:rsidR="00D3612E" w:rsidRPr="001950FF" w:rsidRDefault="00D3612E" w:rsidP="00B0793B">
      <w:pPr>
        <w:pStyle w:val="Heading3"/>
      </w:pPr>
      <w:r w:rsidRPr="001950FF">
        <w:lastRenderedPageBreak/>
        <w:t>Queensland Police Service and Muslim Community Reference Group</w:t>
      </w:r>
    </w:p>
    <w:p w14:paraId="60B9E21B" w14:textId="77777777" w:rsidR="00D3612E" w:rsidRDefault="00D3612E" w:rsidP="00B0793B">
      <w:pPr>
        <w:rPr>
          <w:rFonts w:cstheme="minorHAnsi"/>
          <w:i/>
        </w:rPr>
      </w:pPr>
      <w:r w:rsidRPr="00570A6B">
        <w:rPr>
          <w:rFonts w:cstheme="minorHAnsi"/>
        </w:rPr>
        <w:t>The ADCQ is an active member of this Queensland Police Service initi</w:t>
      </w:r>
      <w:r>
        <w:rPr>
          <w:rFonts w:cstheme="minorHAnsi"/>
        </w:rPr>
        <w:t xml:space="preserve">ated community reference group, which consists of representatives from several local, state and federal government agencies, as well as the Islamic Council of Queensland, the Islamic College of Brisbane, and the broader South-East Queensland Muslim Community. </w:t>
      </w:r>
    </w:p>
    <w:p w14:paraId="3E32F38E" w14:textId="70075716" w:rsidR="00D3612E" w:rsidRPr="003D3E81" w:rsidRDefault="00D3612E" w:rsidP="00B0793B">
      <w:pPr>
        <w:rPr>
          <w:rFonts w:cstheme="minorHAnsi"/>
          <w:b/>
          <w:i/>
        </w:rPr>
      </w:pPr>
      <w:r>
        <w:rPr>
          <w:rFonts w:cstheme="minorHAnsi"/>
        </w:rPr>
        <w:t>The group meets every two to three months or as needed, to share information relevant to the Muslim community including community cohesion initiatives; identified threats, action being taken by relevant authorities</w:t>
      </w:r>
      <w:r w:rsidR="00014F98">
        <w:rPr>
          <w:rFonts w:cstheme="minorHAnsi"/>
        </w:rPr>
        <w:t>,</w:t>
      </w:r>
      <w:r>
        <w:rPr>
          <w:rFonts w:cstheme="minorHAnsi"/>
        </w:rPr>
        <w:t xml:space="preserve"> and feedback from the community.</w:t>
      </w:r>
    </w:p>
    <w:p w14:paraId="43B66102" w14:textId="77777777" w:rsidR="00D3612E" w:rsidRDefault="00D3612E" w:rsidP="00B0793B">
      <w:pPr>
        <w:pStyle w:val="Heading3"/>
      </w:pPr>
      <w:r w:rsidRPr="00591BC7">
        <w:t>Senior Officers Group on Multicultural Affairs (SOGMA)</w:t>
      </w:r>
      <w:r w:rsidRPr="003D3E81">
        <w:t xml:space="preserve"> </w:t>
      </w:r>
    </w:p>
    <w:p w14:paraId="46B45C13" w14:textId="77777777" w:rsidR="00D3612E" w:rsidRPr="004B5511" w:rsidRDefault="00D3612E" w:rsidP="00B0793B">
      <w:pPr>
        <w:rPr>
          <w:rFonts w:cstheme="minorHAnsi"/>
          <w:i/>
        </w:rPr>
      </w:pPr>
      <w:r w:rsidRPr="004B5511">
        <w:rPr>
          <w:rFonts w:cstheme="minorHAnsi"/>
        </w:rPr>
        <w:t xml:space="preserve">The Senior Officers Group on Multicultural Affairs (SOGMA) was established in 2016 in response to the introduction of the Multicultural Recognition Act and associated Multicultural </w:t>
      </w:r>
      <w:r>
        <w:rPr>
          <w:rFonts w:cstheme="minorHAnsi"/>
        </w:rPr>
        <w:t xml:space="preserve">Queensland </w:t>
      </w:r>
      <w:r w:rsidRPr="004B5511">
        <w:rPr>
          <w:rFonts w:cstheme="minorHAnsi"/>
        </w:rPr>
        <w:t xml:space="preserve">Charter. </w:t>
      </w:r>
      <w:r>
        <w:rPr>
          <w:rFonts w:cstheme="minorHAnsi"/>
        </w:rPr>
        <w:t xml:space="preserve">SOGMA provides whole-of-government strategic leadership and advice on key elements to implement the Queensland Multicultural Recognition Act. </w:t>
      </w:r>
    </w:p>
    <w:p w14:paraId="103D1049" w14:textId="77777777" w:rsidR="00D3612E" w:rsidRPr="007B0DDA" w:rsidRDefault="00D3612E" w:rsidP="00B0793B">
      <w:pPr>
        <w:pStyle w:val="Heading3"/>
      </w:pPr>
      <w:r w:rsidRPr="007B0DDA">
        <w:t>Multicultural</w:t>
      </w:r>
      <w:r w:rsidR="00FE3564" w:rsidRPr="007B0DDA">
        <w:t xml:space="preserve"> and multi-faith </w:t>
      </w:r>
      <w:r w:rsidRPr="007B0DDA">
        <w:t>networks</w:t>
      </w:r>
    </w:p>
    <w:p w14:paraId="11A669A9" w14:textId="77777777" w:rsidR="00D3612E" w:rsidRPr="007B0DDA" w:rsidRDefault="00D3612E" w:rsidP="00B0793B">
      <w:pPr>
        <w:rPr>
          <w:rFonts w:eastAsia="Times New Roman" w:cstheme="minorHAnsi"/>
          <w:i/>
          <w:lang w:eastAsia="en-AU"/>
        </w:rPr>
      </w:pPr>
      <w:r w:rsidRPr="007B0DDA">
        <w:rPr>
          <w:rFonts w:eastAsia="Times New Roman" w:cstheme="minorHAnsi"/>
          <w:lang w:eastAsia="en-AU"/>
        </w:rPr>
        <w:t xml:space="preserve">The ADCQ is an active member of multicultural </w:t>
      </w:r>
      <w:r w:rsidR="00FE3564" w:rsidRPr="007B0DDA">
        <w:rPr>
          <w:rFonts w:eastAsia="Times New Roman" w:cstheme="minorHAnsi"/>
          <w:lang w:eastAsia="en-AU"/>
        </w:rPr>
        <w:t xml:space="preserve">and multi-faith </w:t>
      </w:r>
      <w:r w:rsidRPr="007B0DDA">
        <w:rPr>
          <w:rFonts w:eastAsia="Times New Roman" w:cstheme="minorHAnsi"/>
          <w:lang w:eastAsia="en-AU"/>
        </w:rPr>
        <w:t>networks across Queensland including:</w:t>
      </w:r>
    </w:p>
    <w:p w14:paraId="38302128" w14:textId="77777777" w:rsidR="00D3612E" w:rsidRPr="00B0793B" w:rsidRDefault="00D3612E" w:rsidP="005329BF">
      <w:pPr>
        <w:pStyle w:val="ListParagraph"/>
        <w:numPr>
          <w:ilvl w:val="0"/>
          <w:numId w:val="20"/>
        </w:numPr>
        <w:rPr>
          <w:rFonts w:eastAsia="Times New Roman" w:cstheme="minorHAnsi"/>
          <w:i/>
          <w:lang w:eastAsia="en-AU"/>
        </w:rPr>
      </w:pPr>
      <w:r w:rsidRPr="00B0793B">
        <w:rPr>
          <w:rFonts w:eastAsia="Times New Roman" w:cstheme="minorHAnsi"/>
          <w:lang w:eastAsia="en-AU"/>
        </w:rPr>
        <w:t>Cairns and Region Multicultural Service Providers Network</w:t>
      </w:r>
      <w:r w:rsidR="00014F98" w:rsidRPr="00B0793B">
        <w:rPr>
          <w:rFonts w:eastAsia="Times New Roman" w:cstheme="minorHAnsi"/>
          <w:lang w:eastAsia="en-AU"/>
        </w:rPr>
        <w:t>;</w:t>
      </w:r>
    </w:p>
    <w:p w14:paraId="2974CE2E" w14:textId="77777777" w:rsidR="00D3612E" w:rsidRPr="00B0793B" w:rsidRDefault="00D3612E" w:rsidP="005329BF">
      <w:pPr>
        <w:pStyle w:val="ListParagraph"/>
        <w:numPr>
          <w:ilvl w:val="0"/>
          <w:numId w:val="20"/>
        </w:numPr>
        <w:rPr>
          <w:rFonts w:eastAsia="Times New Roman" w:cstheme="minorHAnsi"/>
          <w:i/>
          <w:lang w:eastAsia="en-AU"/>
        </w:rPr>
      </w:pPr>
      <w:r w:rsidRPr="00B0793B">
        <w:rPr>
          <w:rFonts w:eastAsia="Times New Roman" w:cstheme="minorHAnsi"/>
          <w:lang w:eastAsia="en-AU"/>
        </w:rPr>
        <w:t>Cairns Local Area Coordination Committee</w:t>
      </w:r>
      <w:r w:rsidR="00014F98" w:rsidRPr="00B0793B">
        <w:rPr>
          <w:rFonts w:eastAsia="Times New Roman" w:cstheme="minorHAnsi"/>
          <w:lang w:eastAsia="en-AU"/>
        </w:rPr>
        <w:t>;</w:t>
      </w:r>
    </w:p>
    <w:p w14:paraId="01167B9A" w14:textId="77777777" w:rsidR="00D3612E" w:rsidRPr="00B0793B" w:rsidRDefault="00D3612E" w:rsidP="005329BF">
      <w:pPr>
        <w:pStyle w:val="ListParagraph"/>
        <w:numPr>
          <w:ilvl w:val="0"/>
          <w:numId w:val="20"/>
        </w:numPr>
        <w:rPr>
          <w:rFonts w:eastAsia="Times New Roman" w:cstheme="minorHAnsi"/>
          <w:i/>
          <w:lang w:eastAsia="en-AU"/>
        </w:rPr>
      </w:pPr>
      <w:r w:rsidRPr="00B0793B">
        <w:rPr>
          <w:rFonts w:eastAsia="Times New Roman" w:cstheme="minorHAnsi"/>
          <w:lang w:eastAsia="en-AU"/>
        </w:rPr>
        <w:t>Multicultural Advisory and Action Group</w:t>
      </w:r>
      <w:r w:rsidR="00307EFE" w:rsidRPr="00B0793B">
        <w:rPr>
          <w:rFonts w:eastAsia="Times New Roman" w:cstheme="minorHAnsi"/>
          <w:lang w:eastAsia="en-AU"/>
        </w:rPr>
        <w:t xml:space="preserve"> (MAAG)</w:t>
      </w:r>
      <w:r w:rsidRPr="00B0793B">
        <w:rPr>
          <w:rFonts w:eastAsia="Times New Roman" w:cstheme="minorHAnsi"/>
          <w:lang w:eastAsia="en-AU"/>
        </w:rPr>
        <w:t>, Gold Coast</w:t>
      </w:r>
      <w:r w:rsidR="00014F98" w:rsidRPr="00B0793B">
        <w:rPr>
          <w:rFonts w:eastAsia="Times New Roman" w:cstheme="minorHAnsi"/>
          <w:lang w:eastAsia="en-AU"/>
        </w:rPr>
        <w:t>; and</w:t>
      </w:r>
    </w:p>
    <w:p w14:paraId="569081F5" w14:textId="77777777" w:rsidR="00FE3564" w:rsidRPr="00B0793B" w:rsidRDefault="00FE3564" w:rsidP="005329BF">
      <w:pPr>
        <w:pStyle w:val="ListParagraph"/>
        <w:numPr>
          <w:ilvl w:val="0"/>
          <w:numId w:val="20"/>
        </w:numPr>
        <w:rPr>
          <w:rFonts w:eastAsia="Times New Roman" w:cstheme="minorHAnsi"/>
          <w:i/>
          <w:lang w:eastAsia="en-AU"/>
        </w:rPr>
      </w:pPr>
      <w:r w:rsidRPr="00B0793B">
        <w:rPr>
          <w:rFonts w:eastAsia="Times New Roman" w:cstheme="minorHAnsi"/>
          <w:lang w:eastAsia="en-AU"/>
        </w:rPr>
        <w:t>Chai Community (multi-faith women’s network), Gold Coast</w:t>
      </w:r>
      <w:r w:rsidR="00014F98" w:rsidRPr="00B0793B">
        <w:rPr>
          <w:rFonts w:eastAsia="Times New Roman" w:cstheme="minorHAnsi"/>
          <w:lang w:eastAsia="en-AU"/>
        </w:rPr>
        <w:t>.</w:t>
      </w:r>
    </w:p>
    <w:p w14:paraId="00D68AFF" w14:textId="77777777" w:rsidR="00D3612E" w:rsidRPr="007B0DDA" w:rsidRDefault="00D3612E" w:rsidP="00B0793B">
      <w:pPr>
        <w:pStyle w:val="Heading3"/>
      </w:pPr>
      <w:r w:rsidRPr="007B0DDA">
        <w:t>Disability networks</w:t>
      </w:r>
    </w:p>
    <w:p w14:paraId="419F024C" w14:textId="77777777" w:rsidR="00D3612E" w:rsidRPr="007B0DDA" w:rsidRDefault="00D3612E" w:rsidP="00B0793B">
      <w:pPr>
        <w:rPr>
          <w:rFonts w:eastAsia="Times New Roman" w:cstheme="minorHAnsi"/>
          <w:i/>
          <w:lang w:eastAsia="en-AU"/>
        </w:rPr>
      </w:pPr>
      <w:r w:rsidRPr="007B0DDA">
        <w:rPr>
          <w:rFonts w:eastAsia="Times New Roman" w:cstheme="minorHAnsi"/>
          <w:lang w:eastAsia="en-AU"/>
        </w:rPr>
        <w:t>The ADCQ is involved with disability advisory groups and networks across the state, including:</w:t>
      </w:r>
    </w:p>
    <w:p w14:paraId="0C27F727"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Queenslanders with Disability Network</w:t>
      </w:r>
      <w:r w:rsidR="00014F98" w:rsidRPr="00B0793B">
        <w:rPr>
          <w:rFonts w:eastAsia="Times New Roman" w:cstheme="minorHAnsi"/>
          <w:lang w:eastAsia="en-AU"/>
        </w:rPr>
        <w:t>;</w:t>
      </w:r>
    </w:p>
    <w:p w14:paraId="7441546D"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Queensland Disability Information Network</w:t>
      </w:r>
      <w:r w:rsidR="00014F98" w:rsidRPr="00B0793B">
        <w:rPr>
          <w:rFonts w:eastAsia="Times New Roman" w:cstheme="minorHAnsi"/>
          <w:lang w:eastAsia="en-AU"/>
        </w:rPr>
        <w:t>;</w:t>
      </w:r>
    </w:p>
    <w:p w14:paraId="0950E1D2"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Aboriginal and Torres Strait Islander Disability Network Queensland</w:t>
      </w:r>
      <w:r w:rsidR="00014F98" w:rsidRPr="00B0793B">
        <w:rPr>
          <w:rFonts w:eastAsia="Times New Roman" w:cstheme="minorHAnsi"/>
          <w:lang w:eastAsia="en-AU"/>
        </w:rPr>
        <w:t>;</w:t>
      </w:r>
    </w:p>
    <w:p w14:paraId="7EF3F174"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Rockhampton Access and Equity Group</w:t>
      </w:r>
      <w:r w:rsidR="00014F98" w:rsidRPr="00B0793B">
        <w:rPr>
          <w:rFonts w:eastAsia="Times New Roman" w:cstheme="minorHAnsi"/>
          <w:lang w:eastAsia="en-AU"/>
        </w:rPr>
        <w:t>;</w:t>
      </w:r>
    </w:p>
    <w:p w14:paraId="6F82E9DF"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Capricorn Coast Community Access Group</w:t>
      </w:r>
      <w:r w:rsidR="00014F98" w:rsidRPr="00B0793B">
        <w:rPr>
          <w:rFonts w:eastAsia="Times New Roman" w:cstheme="minorHAnsi"/>
          <w:lang w:eastAsia="en-AU"/>
        </w:rPr>
        <w:t>;</w:t>
      </w:r>
    </w:p>
    <w:p w14:paraId="0C52FE3C"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Townsville Inclusive Community Advisory Committee</w:t>
      </w:r>
      <w:r w:rsidR="00014F98" w:rsidRPr="00B0793B">
        <w:rPr>
          <w:rFonts w:eastAsia="Times New Roman" w:cstheme="minorHAnsi"/>
          <w:lang w:eastAsia="en-AU"/>
        </w:rPr>
        <w:t>;</w:t>
      </w:r>
    </w:p>
    <w:p w14:paraId="66EFFEC3" w14:textId="77777777" w:rsidR="00D3612E" w:rsidRPr="00B0793B" w:rsidRDefault="00D3612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Capricornia Region Accessible Transport Network</w:t>
      </w:r>
      <w:r w:rsidR="00014F98" w:rsidRPr="00B0793B">
        <w:rPr>
          <w:rFonts w:eastAsia="Times New Roman" w:cstheme="minorHAnsi"/>
          <w:lang w:eastAsia="en-AU"/>
        </w:rPr>
        <w:t>; and</w:t>
      </w:r>
    </w:p>
    <w:p w14:paraId="200D7D2C" w14:textId="77777777" w:rsidR="00307EFE" w:rsidRPr="00B0793B" w:rsidRDefault="00307EFE" w:rsidP="005329BF">
      <w:pPr>
        <w:pStyle w:val="ListParagraph"/>
        <w:numPr>
          <w:ilvl w:val="0"/>
          <w:numId w:val="21"/>
        </w:numPr>
        <w:rPr>
          <w:rFonts w:eastAsia="Times New Roman" w:cstheme="minorHAnsi"/>
          <w:i/>
          <w:lang w:eastAsia="en-AU"/>
        </w:rPr>
      </w:pPr>
      <w:r w:rsidRPr="00B0793B">
        <w:rPr>
          <w:rFonts w:eastAsia="Times New Roman" w:cstheme="minorHAnsi"/>
          <w:lang w:eastAsia="en-AU"/>
        </w:rPr>
        <w:t>Cairns Transition Network</w:t>
      </w:r>
      <w:r w:rsidR="00014F98" w:rsidRPr="00B0793B">
        <w:rPr>
          <w:rFonts w:eastAsia="Times New Roman" w:cstheme="minorHAnsi"/>
          <w:lang w:eastAsia="en-AU"/>
        </w:rPr>
        <w:t>.</w:t>
      </w:r>
    </w:p>
    <w:p w14:paraId="328D143F" w14:textId="77777777" w:rsidR="00D3612E" w:rsidRPr="0042740B" w:rsidRDefault="00D3612E" w:rsidP="00B0793B">
      <w:pPr>
        <w:rPr>
          <w:rFonts w:cstheme="minorHAnsi"/>
          <w:i/>
        </w:rPr>
      </w:pPr>
      <w:r w:rsidRPr="0042740B">
        <w:rPr>
          <w:rFonts w:cstheme="minorHAnsi"/>
        </w:rPr>
        <w:t>The ADCQ gives input on matters relating to impairment discrimination and accessibility, as well as keeping abreast of issues concerning this significant stakeholder group.</w:t>
      </w:r>
    </w:p>
    <w:p w14:paraId="5EB28FE5" w14:textId="77777777" w:rsidR="00C74F57" w:rsidRDefault="00C74F57">
      <w:pPr>
        <w:rPr>
          <w:rFonts w:ascii="Century Gothic" w:eastAsiaTheme="majorEastAsia" w:hAnsi="Century Gothic" w:cstheme="majorBidi"/>
          <w:bCs/>
          <w:color w:val="5E1F71" w:themeColor="accent1"/>
          <w:sz w:val="24"/>
          <w:szCs w:val="22"/>
        </w:rPr>
      </w:pPr>
      <w:r>
        <w:br w:type="page"/>
      </w:r>
    </w:p>
    <w:p w14:paraId="694E79BE" w14:textId="728B225F" w:rsidR="00D3612E" w:rsidRPr="001950FF" w:rsidRDefault="00D3612E" w:rsidP="00B0793B">
      <w:pPr>
        <w:pStyle w:val="Heading3"/>
      </w:pPr>
      <w:r w:rsidRPr="001950FF">
        <w:lastRenderedPageBreak/>
        <w:t>Community and other networks</w:t>
      </w:r>
    </w:p>
    <w:p w14:paraId="02A16B75" w14:textId="77777777" w:rsidR="00D3612E" w:rsidRPr="007B0DDA" w:rsidRDefault="00D3612E" w:rsidP="00B0793B">
      <w:pPr>
        <w:rPr>
          <w:rFonts w:cstheme="minorHAnsi"/>
          <w:i/>
        </w:rPr>
      </w:pPr>
      <w:r w:rsidRPr="007B0DDA">
        <w:rPr>
          <w:rFonts w:cstheme="minorHAnsi"/>
        </w:rPr>
        <w:t xml:space="preserve">The Commission is represented in a variety of other professional and community networks including: </w:t>
      </w:r>
    </w:p>
    <w:p w14:paraId="05A41D88" w14:textId="77777777" w:rsidR="00D3612E" w:rsidRPr="00B0793B" w:rsidRDefault="00D3612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Townsville Community Network</w:t>
      </w:r>
      <w:r w:rsidR="00014F98" w:rsidRPr="00B0793B">
        <w:rPr>
          <w:rFonts w:eastAsia="Times New Roman" w:cstheme="minorHAnsi"/>
          <w:lang w:eastAsia="en-AU"/>
        </w:rPr>
        <w:t>;</w:t>
      </w:r>
    </w:p>
    <w:p w14:paraId="040D9C77" w14:textId="77777777" w:rsidR="00D3612E" w:rsidRPr="00B0793B" w:rsidRDefault="00D3612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Burdekin Community Network</w:t>
      </w:r>
      <w:r w:rsidR="00014F98" w:rsidRPr="00B0793B">
        <w:rPr>
          <w:rFonts w:eastAsia="Times New Roman" w:cstheme="minorHAnsi"/>
          <w:lang w:eastAsia="en-AU"/>
        </w:rPr>
        <w:t>;</w:t>
      </w:r>
    </w:p>
    <w:p w14:paraId="1938323A" w14:textId="77777777" w:rsidR="00D3612E" w:rsidRPr="00B0793B" w:rsidRDefault="00D3612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Townsville Organisational Networking forum</w:t>
      </w:r>
      <w:r w:rsidR="00014F98" w:rsidRPr="00B0793B">
        <w:rPr>
          <w:rFonts w:eastAsia="Times New Roman" w:cstheme="minorHAnsi"/>
          <w:lang w:eastAsia="en-AU"/>
        </w:rPr>
        <w:t>;</w:t>
      </w:r>
      <w:r w:rsidRPr="00B0793B">
        <w:rPr>
          <w:rFonts w:eastAsia="Times New Roman" w:cstheme="minorHAnsi"/>
          <w:lang w:eastAsia="en-AU"/>
        </w:rPr>
        <w:t xml:space="preserve"> </w:t>
      </w:r>
    </w:p>
    <w:p w14:paraId="1BEB9DB6" w14:textId="77777777" w:rsidR="00D3612E" w:rsidRPr="00B0793B" w:rsidRDefault="00D3612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Queensland Law Society’s Equalising Opportunities in the Law (EOL) Committee</w:t>
      </w:r>
      <w:r w:rsidR="00014F98" w:rsidRPr="00B0793B">
        <w:rPr>
          <w:rFonts w:eastAsia="Times New Roman" w:cstheme="minorHAnsi"/>
          <w:lang w:eastAsia="en-AU"/>
        </w:rPr>
        <w:t>;</w:t>
      </w:r>
    </w:p>
    <w:p w14:paraId="390E1C5E" w14:textId="77777777" w:rsidR="00D3612E" w:rsidRPr="00B0793B" w:rsidRDefault="00D3612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Play by the Rules – safe, fair and inclusive sport professional network</w:t>
      </w:r>
      <w:r w:rsidR="00014F98" w:rsidRPr="00B0793B">
        <w:rPr>
          <w:rFonts w:eastAsia="Times New Roman" w:cstheme="minorHAnsi"/>
          <w:lang w:eastAsia="en-AU"/>
        </w:rPr>
        <w:t>;</w:t>
      </w:r>
    </w:p>
    <w:p w14:paraId="6D632666" w14:textId="77777777" w:rsidR="00307EFE" w:rsidRPr="00B0793B" w:rsidRDefault="00307EFE"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Diversity Practitioners Association (DPA)</w:t>
      </w:r>
      <w:r w:rsidR="00014F98" w:rsidRPr="00B0793B">
        <w:rPr>
          <w:rFonts w:eastAsia="Times New Roman" w:cstheme="minorHAnsi"/>
          <w:lang w:eastAsia="en-AU"/>
        </w:rPr>
        <w:t>; and</w:t>
      </w:r>
    </w:p>
    <w:p w14:paraId="0FC5189C" w14:textId="77777777" w:rsidR="00765D7C" w:rsidRPr="00B0793B" w:rsidRDefault="00765D7C" w:rsidP="005329BF">
      <w:pPr>
        <w:pStyle w:val="ListParagraph"/>
        <w:numPr>
          <w:ilvl w:val="0"/>
          <w:numId w:val="22"/>
        </w:numPr>
        <w:rPr>
          <w:rFonts w:eastAsia="Times New Roman" w:cstheme="minorHAnsi"/>
          <w:i/>
          <w:lang w:eastAsia="en-AU"/>
        </w:rPr>
      </w:pPr>
      <w:r w:rsidRPr="00B0793B">
        <w:rPr>
          <w:rFonts w:eastAsia="Times New Roman" w:cstheme="minorHAnsi"/>
          <w:lang w:eastAsia="en-AU"/>
        </w:rPr>
        <w:t>Coordinators of Funded Services Network, Cairns</w:t>
      </w:r>
      <w:r w:rsidR="00014F98" w:rsidRPr="00B0793B">
        <w:rPr>
          <w:rFonts w:eastAsia="Times New Roman" w:cstheme="minorHAnsi"/>
          <w:lang w:eastAsia="en-AU"/>
        </w:rPr>
        <w:t>.</w:t>
      </w:r>
    </w:p>
    <w:p w14:paraId="174DCE66" w14:textId="77777777" w:rsidR="00D3612E" w:rsidRPr="001950FF" w:rsidRDefault="00D3612E" w:rsidP="00321242">
      <w:pPr>
        <w:pStyle w:val="Heading2"/>
      </w:pPr>
      <w:r w:rsidRPr="001950FF">
        <w:t>Information products and services</w:t>
      </w:r>
    </w:p>
    <w:p w14:paraId="1EF3DB99" w14:textId="77777777" w:rsidR="00D3612E" w:rsidRPr="000F4C4A" w:rsidRDefault="00D3612E" w:rsidP="00321242">
      <w:pPr>
        <w:pStyle w:val="Heading3"/>
      </w:pPr>
      <w:r w:rsidRPr="000F4C4A">
        <w:t>Products</w:t>
      </w:r>
    </w:p>
    <w:p w14:paraId="0C3C4D6F" w14:textId="77777777" w:rsidR="00D3612E" w:rsidRPr="00467231" w:rsidRDefault="00D3612E" w:rsidP="009B351B">
      <w:pPr>
        <w:rPr>
          <w:i/>
        </w:rPr>
      </w:pPr>
      <w:r w:rsidRPr="00EF62D3">
        <w:t>The Commission produces a wide range of print and non-print publications including guidelines, fact sheets</w:t>
      </w:r>
      <w:r w:rsidRPr="000F365D">
        <w:t xml:space="preserve">, information brochures, rights cards, videos, and audio files. </w:t>
      </w:r>
      <w:r w:rsidRPr="00467231">
        <w:t>All publications are available online, and many in hard copy by request.</w:t>
      </w:r>
    </w:p>
    <w:p w14:paraId="00734E6E" w14:textId="689BA1C4" w:rsidR="00D3612E" w:rsidRDefault="00467231" w:rsidP="009B351B">
      <w:pPr>
        <w:rPr>
          <w:i/>
        </w:rPr>
      </w:pPr>
      <w:r w:rsidRPr="00467231">
        <w:t xml:space="preserve">In 2018-19 the Commission’s hard copy newsletter, </w:t>
      </w:r>
      <w:r w:rsidR="00D3612E" w:rsidRPr="009B351B">
        <w:rPr>
          <w:i/>
        </w:rPr>
        <w:t>Balancing the Act</w:t>
      </w:r>
      <w:r w:rsidR="004D4981">
        <w:rPr>
          <w:i/>
        </w:rPr>
        <w:t>,</w:t>
      </w:r>
      <w:r w:rsidR="00D3612E" w:rsidRPr="00467231">
        <w:t xml:space="preserve"> </w:t>
      </w:r>
      <w:r w:rsidRPr="00467231">
        <w:t>was replaced by a schedule of email</w:t>
      </w:r>
      <w:r w:rsidR="00014F98">
        <w:t xml:space="preserve"> bulletins</w:t>
      </w:r>
      <w:r w:rsidRPr="00467231">
        <w:t>.</w:t>
      </w:r>
      <w:r w:rsidR="007B0DDA">
        <w:t xml:space="preserve"> Subscribers are provided with a range of information about ADCQ services as well as changes to legislation and events promoting diversity and inclusion. </w:t>
      </w:r>
    </w:p>
    <w:p w14:paraId="629480CA" w14:textId="77777777" w:rsidR="00D3612E" w:rsidRPr="000F4C4A" w:rsidRDefault="00D3612E" w:rsidP="009B351B">
      <w:pPr>
        <w:pStyle w:val="Heading3"/>
      </w:pPr>
      <w:r w:rsidRPr="000F4C4A">
        <w:t>Services</w:t>
      </w:r>
    </w:p>
    <w:p w14:paraId="761DB360" w14:textId="77777777" w:rsidR="00D3612E" w:rsidRPr="007B0DDA" w:rsidRDefault="00D3612E" w:rsidP="009B351B">
      <w:pPr>
        <w:rPr>
          <w:rFonts w:ascii="Arial" w:hAnsi="Arial" w:cs="Arial"/>
          <w:i/>
        </w:rPr>
      </w:pPr>
      <w:r w:rsidRPr="00046778">
        <w:rPr>
          <w:rFonts w:ascii="Arial" w:hAnsi="Arial" w:cs="Arial"/>
        </w:rPr>
        <w:t xml:space="preserve">The Commission continues to provide a free, accessible and personal information service for Queenslanders to help them understand their rights and responsibilities under the Act. The </w:t>
      </w:r>
      <w:r w:rsidRPr="00583EF4">
        <w:rPr>
          <w:rFonts w:ascii="Arial" w:hAnsi="Arial" w:cs="Arial"/>
        </w:rPr>
        <w:t xml:space="preserve">Brisbane office continues to respond </w:t>
      </w:r>
      <w:r w:rsidRPr="007B0DDA">
        <w:rPr>
          <w:rFonts w:ascii="Arial" w:hAnsi="Arial" w:cs="Arial"/>
        </w:rPr>
        <w:t>the bulk of enquiries across the state.</w:t>
      </w:r>
    </w:p>
    <w:p w14:paraId="3BDFB66E" w14:textId="69965729" w:rsidR="005E6451" w:rsidRPr="00046778" w:rsidRDefault="00D3612E" w:rsidP="009B351B">
      <w:pPr>
        <w:rPr>
          <w:i/>
        </w:rPr>
      </w:pPr>
      <w:r w:rsidRPr="007B0DDA">
        <w:rPr>
          <w:rFonts w:ascii="Arial" w:hAnsi="Arial" w:cs="Arial"/>
        </w:rPr>
        <w:t xml:space="preserve">This year the Commission answered </w:t>
      </w:r>
      <w:r w:rsidR="007B0DDA" w:rsidRPr="007B0DDA">
        <w:rPr>
          <w:rFonts w:ascii="Arial" w:hAnsi="Arial" w:cs="Arial"/>
        </w:rPr>
        <w:t>2</w:t>
      </w:r>
      <w:r w:rsidR="00583EF4" w:rsidRPr="007B0DDA">
        <w:rPr>
          <w:rFonts w:ascii="Arial" w:hAnsi="Arial" w:cs="Arial"/>
        </w:rPr>
        <w:t>,</w:t>
      </w:r>
      <w:r w:rsidR="007B0DDA" w:rsidRPr="007B0DDA">
        <w:rPr>
          <w:rFonts w:ascii="Arial" w:hAnsi="Arial" w:cs="Arial"/>
        </w:rPr>
        <w:t>637</w:t>
      </w:r>
      <w:r w:rsidRPr="007B0DDA">
        <w:rPr>
          <w:rFonts w:ascii="Arial" w:hAnsi="Arial" w:cs="Arial"/>
        </w:rPr>
        <w:t xml:space="preserve"> telephone, email, postal and personal enquiries about anti-discrimination laws, a</w:t>
      </w:r>
      <w:r w:rsidR="007B0DDA" w:rsidRPr="007B0DDA">
        <w:rPr>
          <w:rFonts w:ascii="Arial" w:hAnsi="Arial" w:cs="Arial"/>
        </w:rPr>
        <w:t xml:space="preserve"> de</w:t>
      </w:r>
      <w:r w:rsidR="00583EF4" w:rsidRPr="007B0DDA">
        <w:rPr>
          <w:rFonts w:ascii="Arial" w:hAnsi="Arial" w:cs="Arial"/>
        </w:rPr>
        <w:t xml:space="preserve">crease from </w:t>
      </w:r>
      <w:r w:rsidR="007B0DDA" w:rsidRPr="007B0DDA">
        <w:rPr>
          <w:rFonts w:ascii="Arial" w:hAnsi="Arial" w:cs="Arial"/>
        </w:rPr>
        <w:t>3</w:t>
      </w:r>
      <w:r w:rsidR="00583EF4" w:rsidRPr="007B0DDA">
        <w:rPr>
          <w:rFonts w:ascii="Arial" w:hAnsi="Arial" w:cs="Arial"/>
        </w:rPr>
        <w:t>,</w:t>
      </w:r>
      <w:r w:rsidR="007B0DDA" w:rsidRPr="007B0DDA">
        <w:rPr>
          <w:rFonts w:ascii="Arial" w:hAnsi="Arial" w:cs="Arial"/>
        </w:rPr>
        <w:t>038</w:t>
      </w:r>
      <w:r w:rsidR="00583EF4" w:rsidRPr="007B0DDA">
        <w:rPr>
          <w:rFonts w:ascii="Arial" w:hAnsi="Arial" w:cs="Arial"/>
        </w:rPr>
        <w:t xml:space="preserve"> in</w:t>
      </w:r>
      <w:r w:rsidR="00583EF4" w:rsidRPr="00583EF4">
        <w:rPr>
          <w:rFonts w:ascii="Arial" w:hAnsi="Arial" w:cs="Arial"/>
        </w:rPr>
        <w:t xml:space="preserve"> the previous year.</w:t>
      </w:r>
      <w:r w:rsidR="007B0DDA">
        <w:rPr>
          <w:rFonts w:ascii="Arial" w:hAnsi="Arial" w:cs="Arial"/>
        </w:rPr>
        <w:t xml:space="preserve"> </w:t>
      </w:r>
      <w:r w:rsidRPr="00931B9A">
        <w:rPr>
          <w:rFonts w:ascii="Arial" w:hAnsi="Arial" w:cs="Arial"/>
        </w:rPr>
        <w:t>In response to the wide range of enquiries it receives, the Commission provides telephone information as well as fact sheets, brochures and videos which it makes available to the public through the website and by email or post.</w:t>
      </w:r>
    </w:p>
    <w:p w14:paraId="11AF7622" w14:textId="77777777" w:rsidR="00C74F57" w:rsidRDefault="00C74F57">
      <w:pPr>
        <w:rPr>
          <w:rFonts w:ascii="Century Gothic" w:eastAsiaTheme="majorEastAsia" w:hAnsi="Century Gothic" w:cstheme="majorBidi"/>
          <w:bCs/>
          <w:color w:val="5E1F71" w:themeColor="accent1"/>
          <w:sz w:val="24"/>
          <w:szCs w:val="22"/>
        </w:rPr>
      </w:pPr>
      <w:r>
        <w:br w:type="page"/>
      </w:r>
    </w:p>
    <w:p w14:paraId="10666F9B" w14:textId="347F460F" w:rsidR="00D3612E" w:rsidRPr="007B0DDA" w:rsidRDefault="00D3612E" w:rsidP="009B351B">
      <w:pPr>
        <w:pStyle w:val="Heading3"/>
      </w:pPr>
      <w:r w:rsidRPr="007B0DDA">
        <w:lastRenderedPageBreak/>
        <w:t>Marketing and promotion</w:t>
      </w:r>
    </w:p>
    <w:p w14:paraId="44D45863" w14:textId="77777777" w:rsidR="00D3612E" w:rsidRPr="007B0DDA" w:rsidRDefault="00D3612E" w:rsidP="009B351B">
      <w:pPr>
        <w:rPr>
          <w:i/>
        </w:rPr>
      </w:pPr>
      <w:r w:rsidRPr="007B0DDA">
        <w:t>The ADCQ mostly relies on our established and developing networks to communicate with stakeholders and the broader community. No professional marketing services were engaged in 201</w:t>
      </w:r>
      <w:r w:rsidR="001F50BA" w:rsidRPr="007B0DDA">
        <w:t>8</w:t>
      </w:r>
      <w:r w:rsidRPr="007B0DDA">
        <w:t>–1</w:t>
      </w:r>
      <w:r w:rsidR="001F50BA" w:rsidRPr="007B0DDA">
        <w:t>9</w:t>
      </w:r>
      <w:r w:rsidRPr="007B0DDA">
        <w:t>.</w:t>
      </w:r>
    </w:p>
    <w:p w14:paraId="214FA7F5" w14:textId="77777777" w:rsidR="00D3612E" w:rsidRPr="00EE5A2E" w:rsidRDefault="00D3612E" w:rsidP="009B351B">
      <w:pPr>
        <w:rPr>
          <w:i/>
        </w:rPr>
      </w:pPr>
      <w:r w:rsidRPr="007B0DDA">
        <w:t>The ADCQ promotes not only the work and services of the Commission, but the positive human rights actions and initiatives of the Queensland community. The ADCQ web and social media pages are used to highlight community events, activities, and stories of human rights leadership. This promotion acknowledges the efforts of local human rights pioneers, as well as furthering discussion, action and collaboration on human rights issues, in line with our legislative function ‘to promote an understanding and acceptance, and the public discussion, of human rights in Queensland.’</w:t>
      </w:r>
    </w:p>
    <w:p w14:paraId="085E655C" w14:textId="77777777" w:rsidR="00A6466D" w:rsidRDefault="00A6466D" w:rsidP="009B351B">
      <w:pPr>
        <w:rPr>
          <w:rFonts w:ascii="Century Gothic" w:hAnsi="Century Gothic"/>
          <w:i/>
          <w:color w:val="3B4E98"/>
          <w:sz w:val="32"/>
        </w:rPr>
      </w:pPr>
      <w:r>
        <w:br w:type="page"/>
      </w:r>
    </w:p>
    <w:p w14:paraId="07EB1B41" w14:textId="6B286959" w:rsidR="00D3612E" w:rsidRPr="001950FF" w:rsidRDefault="00D3612E" w:rsidP="009B351B">
      <w:pPr>
        <w:pStyle w:val="Heading2"/>
      </w:pPr>
      <w:r w:rsidRPr="001950FF">
        <w:lastRenderedPageBreak/>
        <w:t>Events</w:t>
      </w:r>
    </w:p>
    <w:p w14:paraId="61813765" w14:textId="77777777" w:rsidR="00D3612E" w:rsidRPr="007C527E" w:rsidRDefault="00D3612E" w:rsidP="009B351B">
      <w:pPr>
        <w:rPr>
          <w:i/>
        </w:rPr>
      </w:pPr>
      <w:r w:rsidRPr="00046778">
        <w:t>Each year the ADCQ attends a variety of community events across the state. Having a presence at these events not only enables the Commission to share in the celebration and recognition of diversity and inclusion, but it raises awareness of the ADCQ and its role</w:t>
      </w:r>
      <w:r w:rsidR="006E2367">
        <w:t>,</w:t>
      </w:r>
      <w:r w:rsidRPr="00046778">
        <w:t xml:space="preserve"> and makes information available to the community. In most cases, the ADCQ presence at community events is in the form of an information stall. On some occasions Commission staff members are asked to open events or undertake speaking engagements. In regional areas, ADCQ staff members often have significant involvement on planning and organising committees for major community events. During the reporting period, ADCQ staff was involved in the following types of community events</w:t>
      </w:r>
      <w:r w:rsidRPr="007C527E">
        <w:t>:</w:t>
      </w:r>
    </w:p>
    <w:p w14:paraId="35371308" w14:textId="77777777" w:rsidR="000D36A0" w:rsidRPr="009B351B" w:rsidRDefault="000D36A0" w:rsidP="005329BF">
      <w:pPr>
        <w:pStyle w:val="ListParagraph"/>
        <w:numPr>
          <w:ilvl w:val="0"/>
          <w:numId w:val="23"/>
        </w:numPr>
        <w:rPr>
          <w:i/>
        </w:rPr>
      </w:pPr>
      <w:r w:rsidRPr="008445E6">
        <w:t>Luminous Lantern Parade, Brisbane</w:t>
      </w:r>
      <w:r w:rsidR="00C94A09">
        <w:t>;</w:t>
      </w:r>
    </w:p>
    <w:p w14:paraId="1CE1DE9E" w14:textId="77777777" w:rsidR="000D36A0" w:rsidRPr="009B351B" w:rsidRDefault="000D36A0" w:rsidP="005329BF">
      <w:pPr>
        <w:pStyle w:val="ListParagraph"/>
        <w:numPr>
          <w:ilvl w:val="0"/>
          <w:numId w:val="23"/>
        </w:numPr>
        <w:rPr>
          <w:i/>
        </w:rPr>
      </w:pPr>
      <w:r w:rsidRPr="008445E6">
        <w:t>NAIDOC week events in Cairns, Townsville, Rockhampton</w:t>
      </w:r>
      <w:r w:rsidR="008445E6" w:rsidRPr="008445E6">
        <w:t xml:space="preserve"> and</w:t>
      </w:r>
      <w:r w:rsidRPr="008445E6">
        <w:t xml:space="preserve"> Brisbane</w:t>
      </w:r>
      <w:r w:rsidR="00C94A09">
        <w:t>;</w:t>
      </w:r>
      <w:r w:rsidRPr="008445E6">
        <w:t xml:space="preserve"> </w:t>
      </w:r>
    </w:p>
    <w:p w14:paraId="20261C88" w14:textId="77777777" w:rsidR="000952B4" w:rsidRPr="009B351B" w:rsidRDefault="00E1792A" w:rsidP="005329BF">
      <w:pPr>
        <w:pStyle w:val="ListParagraph"/>
        <w:numPr>
          <w:ilvl w:val="0"/>
          <w:numId w:val="23"/>
        </w:numPr>
        <w:rPr>
          <w:i/>
        </w:rPr>
      </w:pPr>
      <w:r w:rsidRPr="00E1792A">
        <w:t xml:space="preserve">Multicultural events </w:t>
      </w:r>
      <w:r w:rsidR="00D3612E" w:rsidRPr="00E1792A">
        <w:t xml:space="preserve">in </w:t>
      </w:r>
      <w:r w:rsidR="000952B4" w:rsidRPr="00E1792A">
        <w:t xml:space="preserve">Brisbane, </w:t>
      </w:r>
      <w:r w:rsidRPr="00E1792A">
        <w:t xml:space="preserve">Cairns, Mareeba and </w:t>
      </w:r>
      <w:r w:rsidR="000952B4" w:rsidRPr="00E1792A">
        <w:t>Townsville</w:t>
      </w:r>
      <w:r w:rsidR="00C94A09">
        <w:t>;</w:t>
      </w:r>
    </w:p>
    <w:p w14:paraId="71214BAB" w14:textId="77777777" w:rsidR="007C527E" w:rsidRPr="009B351B" w:rsidRDefault="008445E6" w:rsidP="005329BF">
      <w:pPr>
        <w:pStyle w:val="ListParagraph"/>
        <w:numPr>
          <w:ilvl w:val="0"/>
          <w:numId w:val="23"/>
        </w:numPr>
        <w:rPr>
          <w:i/>
        </w:rPr>
      </w:pPr>
      <w:r w:rsidRPr="00CB0EE0">
        <w:t>Law Week, Rockhampton</w:t>
      </w:r>
      <w:r w:rsidR="00C94A09">
        <w:t>;</w:t>
      </w:r>
    </w:p>
    <w:p w14:paraId="2560DD27" w14:textId="77777777" w:rsidR="000952B4" w:rsidRPr="009B351B" w:rsidRDefault="00E1792A" w:rsidP="005329BF">
      <w:pPr>
        <w:pStyle w:val="ListParagraph"/>
        <w:numPr>
          <w:ilvl w:val="0"/>
          <w:numId w:val="23"/>
        </w:numPr>
        <w:rPr>
          <w:i/>
        </w:rPr>
      </w:pPr>
      <w:r w:rsidRPr="00CB0EE0">
        <w:t>Seniors</w:t>
      </w:r>
      <w:r w:rsidR="00CB0EE0">
        <w:t xml:space="preserve"> events in Townsville, Ipswich and </w:t>
      </w:r>
      <w:r w:rsidR="00CB0EE0" w:rsidRPr="00CB0EE0">
        <w:t>Cairns</w:t>
      </w:r>
      <w:r w:rsidR="00C94A09">
        <w:t>;</w:t>
      </w:r>
    </w:p>
    <w:p w14:paraId="1010E8BA" w14:textId="77777777" w:rsidR="00E1792A" w:rsidRPr="009B351B" w:rsidRDefault="00E1792A" w:rsidP="005329BF">
      <w:pPr>
        <w:pStyle w:val="ListParagraph"/>
        <w:numPr>
          <w:ilvl w:val="0"/>
          <w:numId w:val="23"/>
        </w:numPr>
        <w:rPr>
          <w:i/>
        </w:rPr>
      </w:pPr>
      <w:r w:rsidRPr="00CB0EE0">
        <w:t xml:space="preserve">University orientation week events in Rockhampton, Townsville </w:t>
      </w:r>
      <w:r w:rsidR="00CB0EE0">
        <w:t>and Cairns</w:t>
      </w:r>
      <w:r w:rsidR="00C94A09">
        <w:t>; and</w:t>
      </w:r>
    </w:p>
    <w:p w14:paraId="73BCECF3" w14:textId="77777777" w:rsidR="00CB0EE0" w:rsidRPr="009B351B" w:rsidRDefault="00CB0EE0" w:rsidP="005329BF">
      <w:pPr>
        <w:pStyle w:val="ListParagraph"/>
        <w:numPr>
          <w:ilvl w:val="0"/>
          <w:numId w:val="23"/>
        </w:numPr>
        <w:rPr>
          <w:i/>
        </w:rPr>
      </w:pPr>
      <w:r>
        <w:t>Disability inclusion and awareness events in Brisbane, Townsville, Rockhampton and Cairns.</w:t>
      </w:r>
    </w:p>
    <w:p w14:paraId="31DB2E20" w14:textId="33338ED1" w:rsidR="00D3612E" w:rsidRDefault="00D3612E" w:rsidP="009B351B">
      <w:r>
        <w:t xml:space="preserve">Major </w:t>
      </w:r>
      <w:r w:rsidR="00331E2D">
        <w:t>e</w:t>
      </w:r>
      <w:r>
        <w:t>vents which ADCQ hosted or co-hosted in 201</w:t>
      </w:r>
      <w:r w:rsidR="007A64CA">
        <w:t>8</w:t>
      </w:r>
      <w:r>
        <w:t>-1</w:t>
      </w:r>
      <w:r w:rsidR="007A64CA">
        <w:t>9</w:t>
      </w:r>
      <w:r w:rsidR="009B351B">
        <w:t>:</w:t>
      </w:r>
      <w:r>
        <w:t xml:space="preserve"> </w:t>
      </w:r>
    </w:p>
    <w:p w14:paraId="5324A32A" w14:textId="77777777" w:rsidR="00C61358" w:rsidRPr="0059146B" w:rsidRDefault="00C61358" w:rsidP="009B351B">
      <w:pPr>
        <w:pStyle w:val="Heading3"/>
        <w:rPr>
          <w:shd w:val="clear" w:color="auto" w:fill="FFFFFF"/>
        </w:rPr>
      </w:pPr>
      <w:r>
        <w:t>Mabo Oration</w:t>
      </w:r>
    </w:p>
    <w:p w14:paraId="3F947293" w14:textId="77777777" w:rsidR="0059146B" w:rsidRDefault="0059146B" w:rsidP="009B351B">
      <w:pPr>
        <w:rPr>
          <w:rFonts w:ascii="Arial" w:hAnsi="Arial" w:cs="Arial"/>
          <w:i/>
          <w:shd w:val="clear" w:color="auto" w:fill="FFFFFF"/>
        </w:rPr>
      </w:pPr>
      <w:r w:rsidRPr="00C370C9">
        <w:rPr>
          <w:rFonts w:ascii="Arial" w:hAnsi="Arial" w:cs="Arial"/>
          <w:shd w:val="clear" w:color="auto" w:fill="FFFFFF"/>
        </w:rPr>
        <w:t xml:space="preserve">In </w:t>
      </w:r>
      <w:r>
        <w:rPr>
          <w:rFonts w:ascii="Arial" w:hAnsi="Arial" w:cs="Arial"/>
          <w:shd w:val="clear" w:color="auto" w:fill="FFFFFF"/>
        </w:rPr>
        <w:t xml:space="preserve">June </w:t>
      </w:r>
      <w:r w:rsidRPr="00C370C9">
        <w:rPr>
          <w:rFonts w:ascii="Arial" w:hAnsi="Arial" w:cs="Arial"/>
          <w:shd w:val="clear" w:color="auto" w:fill="FFFFFF"/>
        </w:rPr>
        <w:t>201</w:t>
      </w:r>
      <w:r>
        <w:rPr>
          <w:rFonts w:ascii="Arial" w:hAnsi="Arial" w:cs="Arial"/>
          <w:shd w:val="clear" w:color="auto" w:fill="FFFFFF"/>
        </w:rPr>
        <w:t>9, coinciding with Mabo Day,</w:t>
      </w:r>
      <w:r w:rsidRPr="00C370C9">
        <w:rPr>
          <w:rFonts w:ascii="Arial" w:hAnsi="Arial" w:cs="Arial"/>
          <w:shd w:val="clear" w:color="auto" w:fill="FFFFFF"/>
        </w:rPr>
        <w:t xml:space="preserve"> the ADCQ co-hosted the biennial Mabo Oration in partnership with </w:t>
      </w:r>
      <w:r>
        <w:rPr>
          <w:rFonts w:ascii="Arial" w:hAnsi="Arial" w:cs="Arial"/>
          <w:shd w:val="clear" w:color="auto" w:fill="FFFFFF"/>
        </w:rPr>
        <w:t xml:space="preserve">the </w:t>
      </w:r>
      <w:r w:rsidRPr="00C370C9">
        <w:rPr>
          <w:rFonts w:ascii="Arial" w:hAnsi="Arial" w:cs="Arial"/>
          <w:shd w:val="clear" w:color="auto" w:fill="FFFFFF"/>
        </w:rPr>
        <w:t>Queensland Performing Arts Centre</w:t>
      </w:r>
      <w:r>
        <w:rPr>
          <w:rFonts w:ascii="Arial" w:hAnsi="Arial" w:cs="Arial"/>
          <w:shd w:val="clear" w:color="auto" w:fill="FFFFFF"/>
        </w:rPr>
        <w:t xml:space="preserve"> (QPAC)</w:t>
      </w:r>
      <w:r w:rsidRPr="00C370C9">
        <w:rPr>
          <w:rFonts w:ascii="Arial" w:hAnsi="Arial" w:cs="Arial"/>
          <w:shd w:val="clear" w:color="auto" w:fill="FFFFFF"/>
        </w:rPr>
        <w:t xml:space="preserve"> and the Mabo family. </w:t>
      </w:r>
    </w:p>
    <w:p w14:paraId="3CFC55F5" w14:textId="77777777" w:rsidR="0059146B" w:rsidRDefault="0059146B" w:rsidP="009B351B">
      <w:pPr>
        <w:rPr>
          <w:rFonts w:ascii="Arial" w:hAnsi="Arial" w:cs="Arial"/>
          <w:i/>
          <w:shd w:val="clear" w:color="auto" w:fill="FFFFFF"/>
        </w:rPr>
      </w:pPr>
      <w:r>
        <w:rPr>
          <w:rFonts w:ascii="Arial" w:hAnsi="Arial" w:cs="Arial"/>
          <w:shd w:val="clear" w:color="auto" w:fill="FFFFFF"/>
        </w:rPr>
        <w:t>This year’s orator was Luke Pearson, founder and CEO of IndigenousX, a social media platform designed to showcase and amplify a diverse range of Indigenous voices online.</w:t>
      </w:r>
      <w:r w:rsidR="00803E9C">
        <w:rPr>
          <w:rFonts w:ascii="Arial" w:hAnsi="Arial" w:cs="Arial"/>
          <w:shd w:val="clear" w:color="auto" w:fill="FFFFFF"/>
        </w:rPr>
        <w:t xml:space="preserve"> </w:t>
      </w:r>
    </w:p>
    <w:p w14:paraId="377A68B4" w14:textId="77777777" w:rsidR="0059146B" w:rsidRPr="00C370C9" w:rsidRDefault="0059146B" w:rsidP="009B351B">
      <w:pPr>
        <w:rPr>
          <w:rFonts w:ascii="Arial" w:hAnsi="Arial" w:cs="Arial"/>
          <w:i/>
          <w:shd w:val="clear" w:color="auto" w:fill="FFFFFF"/>
        </w:rPr>
      </w:pPr>
      <w:r w:rsidRPr="00C370C9">
        <w:rPr>
          <w:rFonts w:ascii="Arial" w:hAnsi="Arial" w:cs="Arial"/>
          <w:shd w:val="clear" w:color="auto" w:fill="FFFFFF"/>
        </w:rPr>
        <w:t>The 201</w:t>
      </w:r>
      <w:r>
        <w:rPr>
          <w:rFonts w:ascii="Arial" w:hAnsi="Arial" w:cs="Arial"/>
          <w:shd w:val="clear" w:color="auto" w:fill="FFFFFF"/>
        </w:rPr>
        <w:t>9</w:t>
      </w:r>
      <w:r w:rsidRPr="00C370C9">
        <w:rPr>
          <w:rFonts w:ascii="Arial" w:hAnsi="Arial" w:cs="Arial"/>
          <w:shd w:val="clear" w:color="auto" w:fill="FFFFFF"/>
        </w:rPr>
        <w:t xml:space="preserve"> Mabo Oration was </w:t>
      </w:r>
      <w:r w:rsidR="00765D7C">
        <w:rPr>
          <w:rFonts w:ascii="Arial" w:hAnsi="Arial" w:cs="Arial"/>
          <w:shd w:val="clear" w:color="auto" w:fill="FFFFFF"/>
        </w:rPr>
        <w:t xml:space="preserve">delivered to a sold out crowd of almost 800 people and also live streamed on Facebook. </w:t>
      </w:r>
    </w:p>
    <w:p w14:paraId="659DF0CE" w14:textId="77777777" w:rsidR="00D3612E" w:rsidRDefault="0059146B" w:rsidP="009B351B">
      <w:pPr>
        <w:pStyle w:val="Heading3"/>
      </w:pPr>
      <w:r w:rsidRPr="00D57882">
        <w:t>Townsville Inclusive Games</w:t>
      </w:r>
      <w:r w:rsidR="00D3612E" w:rsidRPr="00D57882">
        <w:t xml:space="preserve"> Day</w:t>
      </w:r>
    </w:p>
    <w:p w14:paraId="772BFC27" w14:textId="77777777" w:rsidR="00765D7C" w:rsidRDefault="00765D7C" w:rsidP="009B351B">
      <w:pPr>
        <w:rPr>
          <w:rFonts w:ascii="Arial" w:hAnsi="Arial" w:cs="Arial"/>
          <w:i/>
        </w:rPr>
      </w:pPr>
      <w:r w:rsidRPr="00E61023">
        <w:rPr>
          <w:rFonts w:ascii="Arial" w:hAnsi="Arial" w:cs="Arial"/>
        </w:rPr>
        <w:t>In September 2018, o</w:t>
      </w:r>
      <w:r w:rsidR="002E1892" w:rsidRPr="00E61023">
        <w:rPr>
          <w:rFonts w:ascii="Arial" w:hAnsi="Arial" w:cs="Arial"/>
        </w:rPr>
        <w:t xml:space="preserve">ur </w:t>
      </w:r>
      <w:r w:rsidR="00E81363" w:rsidRPr="00E61023">
        <w:rPr>
          <w:rFonts w:ascii="Arial" w:hAnsi="Arial" w:cs="Arial"/>
        </w:rPr>
        <w:t>Townsville team h</w:t>
      </w:r>
      <w:r w:rsidR="002E1892" w:rsidRPr="00E61023">
        <w:rPr>
          <w:rFonts w:ascii="Arial" w:hAnsi="Arial" w:cs="Arial"/>
        </w:rPr>
        <w:t xml:space="preserve">osted their second </w:t>
      </w:r>
      <w:r w:rsidR="00E81363" w:rsidRPr="00E61023">
        <w:rPr>
          <w:rFonts w:ascii="Arial" w:hAnsi="Arial" w:cs="Arial"/>
        </w:rPr>
        <w:t xml:space="preserve">inclusive games day </w:t>
      </w:r>
      <w:r w:rsidRPr="00E61023">
        <w:rPr>
          <w:rFonts w:ascii="Arial" w:hAnsi="Arial" w:cs="Arial"/>
        </w:rPr>
        <w:t xml:space="preserve">in partnership with Townsville City Council and Cootharinga North Queensland. The event was held as part of Disability Action Week. </w:t>
      </w:r>
    </w:p>
    <w:p w14:paraId="4BAC816E" w14:textId="77777777" w:rsidR="00E61023" w:rsidRPr="00E61023" w:rsidRDefault="00E61023" w:rsidP="009B351B">
      <w:pPr>
        <w:rPr>
          <w:rFonts w:ascii="Arial" w:hAnsi="Arial" w:cs="Arial"/>
          <w:i/>
        </w:rPr>
      </w:pPr>
      <w:r w:rsidRPr="00E61023">
        <w:rPr>
          <w:rFonts w:ascii="Arial" w:hAnsi="Arial" w:cs="Arial"/>
        </w:rPr>
        <w:t xml:space="preserve">Participants of all abilities participated in a range of activities including netball, rugby league, goal ball, AFL, basketball and wheelchair basketball, land-based water polo and tai chi. WNBL Townsville Fire players and Invictus Games athletes were also in attendance, assisting participants with activities throughout the day. The inclusive games day gave participants a unique opportunity to get involved in new sports, learn skills, socialise and </w:t>
      </w:r>
      <w:r w:rsidRPr="00E61023">
        <w:rPr>
          <w:rFonts w:ascii="Arial" w:hAnsi="Arial" w:cs="Arial"/>
        </w:rPr>
        <w:lastRenderedPageBreak/>
        <w:t>engage with others while also demonstrating their enthusiasm and abilities to the activity facilitators and other participants.</w:t>
      </w:r>
      <w:r w:rsidR="00803E9C">
        <w:rPr>
          <w:rFonts w:ascii="Arial" w:hAnsi="Arial" w:cs="Arial"/>
        </w:rPr>
        <w:t xml:space="preserve"> </w:t>
      </w:r>
    </w:p>
    <w:p w14:paraId="51D54E87" w14:textId="77777777" w:rsidR="00D85E3B" w:rsidRDefault="00D85E3B" w:rsidP="009B351B">
      <w:pPr>
        <w:pStyle w:val="Heading3"/>
      </w:pPr>
      <w:r>
        <w:t>Cairns All Abilities Sports Day</w:t>
      </w:r>
    </w:p>
    <w:p w14:paraId="4BAB783D" w14:textId="2477037C" w:rsidR="00927332" w:rsidRDefault="00D85E3B" w:rsidP="009B351B">
      <w:pPr>
        <w:rPr>
          <w:rFonts w:ascii="Arial" w:hAnsi="Arial" w:cs="Arial"/>
          <w:b/>
          <w:i/>
          <w:color w:val="63891F" w:themeColor="accent5"/>
        </w:rPr>
      </w:pPr>
      <w:r w:rsidRPr="00D85E3B">
        <w:rPr>
          <w:rFonts w:ascii="Arial" w:hAnsi="Arial" w:cs="Arial"/>
        </w:rPr>
        <w:t>In celebration of Disability Action Week</w:t>
      </w:r>
      <w:r w:rsidR="00091B39">
        <w:rPr>
          <w:rFonts w:ascii="Arial" w:hAnsi="Arial" w:cs="Arial"/>
        </w:rPr>
        <w:t xml:space="preserve"> 2018</w:t>
      </w:r>
      <w:r w:rsidRPr="00D85E3B">
        <w:rPr>
          <w:rFonts w:ascii="Arial" w:hAnsi="Arial" w:cs="Arial"/>
        </w:rPr>
        <w:t xml:space="preserve">, our Cairns team </w:t>
      </w:r>
      <w:r>
        <w:rPr>
          <w:rFonts w:ascii="Arial" w:hAnsi="Arial" w:cs="Arial"/>
        </w:rPr>
        <w:t>partnered with ARC Disability Services, Surf Life Saving Queensland and other local sports groups to deliver the 6</w:t>
      </w:r>
      <w:r w:rsidRPr="00D85E3B">
        <w:rPr>
          <w:rFonts w:ascii="Arial" w:hAnsi="Arial" w:cs="Arial"/>
          <w:vertAlign w:val="superscript"/>
        </w:rPr>
        <w:t>th</w:t>
      </w:r>
      <w:r>
        <w:rPr>
          <w:rFonts w:ascii="Arial" w:hAnsi="Arial" w:cs="Arial"/>
        </w:rPr>
        <w:t xml:space="preserve"> annual All Abilities Sports Day. </w:t>
      </w:r>
      <w:r w:rsidR="00091B39">
        <w:rPr>
          <w:rFonts w:ascii="Arial" w:hAnsi="Arial" w:cs="Arial"/>
        </w:rPr>
        <w:t xml:space="preserve">The successful event again provided participants of all ages and abilities the opportunity to engage in sports, games and social activities together. Held on the Cairns Esplanade, the day involved a free sausage sizzle and a range of activities including chess and checkers, boccia, golf using a ParaGolfer, cricket, sailing, rugby league, AFL, tennis and a fitness circuit. </w:t>
      </w:r>
    </w:p>
    <w:p w14:paraId="410837E0" w14:textId="77777777" w:rsidR="00D57882" w:rsidRPr="00A454E6" w:rsidRDefault="00D57882" w:rsidP="009B351B">
      <w:pPr>
        <w:pStyle w:val="Heading3"/>
      </w:pPr>
      <w:r w:rsidRPr="00A454E6">
        <w:t xml:space="preserve">Changing Lives, Changing Communities </w:t>
      </w:r>
    </w:p>
    <w:p w14:paraId="73546EC1" w14:textId="77777777" w:rsidR="00B34994" w:rsidRPr="009B351B" w:rsidRDefault="00B34994" w:rsidP="009B351B">
      <w:r w:rsidRPr="00A454E6">
        <w:rPr>
          <w:rFonts w:ascii="Arial" w:hAnsi="Arial" w:cs="Arial"/>
        </w:rPr>
        <w:t xml:space="preserve">Throughout 2018-19, a series of 12, two-day events were held across </w:t>
      </w:r>
      <w:r w:rsidRPr="009B351B">
        <w:t xml:space="preserve">Queensland as part of the Changing Lives, Changing Communities project, a partnership between ADCQ, Queensland Council of Social Service (QCOSS) and Queenslanders with Disability Network (QDN). </w:t>
      </w:r>
      <w:r w:rsidR="00A454E6" w:rsidRPr="009B351B">
        <w:t>The events provided new ways for people – citizens, community organisations, the private sector and government representatives – to come together, envision and ask, ‘what will it take to create communities where everyone contributes, matters and belongs?’</w:t>
      </w:r>
      <w:r w:rsidR="00803E9C" w:rsidRPr="009B351B">
        <w:t xml:space="preserve"> </w:t>
      </w:r>
      <w:r w:rsidR="00A454E6" w:rsidRPr="009B351B">
        <w:t xml:space="preserve">The aim of the events was to co-create solutions to ensure everyone is included in their community, and can access what they need; like a place to call home, good health, transport, education and meaningful employment. </w:t>
      </w:r>
    </w:p>
    <w:p w14:paraId="0929CEEA" w14:textId="77777777" w:rsidR="00A454E6" w:rsidRPr="00A454E6" w:rsidRDefault="00A454E6" w:rsidP="009B351B">
      <w:pPr>
        <w:rPr>
          <w:rFonts w:ascii="Arial" w:hAnsi="Arial" w:cs="Arial"/>
          <w:i/>
        </w:rPr>
      </w:pPr>
      <w:r w:rsidRPr="00A454E6">
        <w:rPr>
          <w:rFonts w:ascii="Arial" w:hAnsi="Arial" w:cs="Arial"/>
        </w:rPr>
        <w:t xml:space="preserve">The Changing Lives, Changing Communities events will continue throughout 2019-20. </w:t>
      </w:r>
    </w:p>
    <w:p w14:paraId="51FEE9CA" w14:textId="77777777" w:rsidR="008F5D12" w:rsidRPr="00035607" w:rsidRDefault="00D3612E" w:rsidP="009B351B">
      <w:pPr>
        <w:pStyle w:val="Heading3"/>
      </w:pPr>
      <w:r w:rsidRPr="002E1892">
        <w:t>Internation</w:t>
      </w:r>
      <w:r w:rsidR="000D0FA6" w:rsidRPr="002E1892">
        <w:t>al Women’s Day</w:t>
      </w:r>
      <w:r w:rsidR="000D0FA6" w:rsidRPr="00035607">
        <w:t xml:space="preserve"> – Townsville and Rockhampton</w:t>
      </w:r>
    </w:p>
    <w:p w14:paraId="3B5BCAAB" w14:textId="10DA971E" w:rsidR="000D0FA6" w:rsidRDefault="000D0FA6" w:rsidP="009B351B">
      <w:pPr>
        <w:rPr>
          <w:rFonts w:ascii="Arial" w:hAnsi="Arial" w:cs="Arial"/>
          <w:i/>
          <w:szCs w:val="32"/>
        </w:rPr>
      </w:pPr>
      <w:r w:rsidRPr="000D0FA6">
        <w:rPr>
          <w:rFonts w:ascii="Arial" w:hAnsi="Arial" w:cs="Arial"/>
          <w:szCs w:val="32"/>
        </w:rPr>
        <w:t>F</w:t>
      </w:r>
      <w:r w:rsidR="007D4D78">
        <w:rPr>
          <w:rFonts w:ascii="Arial" w:hAnsi="Arial" w:cs="Arial"/>
          <w:szCs w:val="32"/>
        </w:rPr>
        <w:t>or the fourth</w:t>
      </w:r>
      <w:r w:rsidRPr="000D0FA6">
        <w:rPr>
          <w:rFonts w:ascii="Arial" w:hAnsi="Arial" w:cs="Arial"/>
          <w:szCs w:val="32"/>
        </w:rPr>
        <w:t xml:space="preserve"> consecutive year </w:t>
      </w:r>
      <w:r>
        <w:rPr>
          <w:rFonts w:ascii="Arial" w:hAnsi="Arial" w:cs="Arial"/>
          <w:szCs w:val="32"/>
        </w:rPr>
        <w:t xml:space="preserve">the North Queensland office of the ADCQ partnered with North Queensland Women’s Legal Service to host an International Women’s Day event with the theme </w:t>
      </w:r>
      <w:r w:rsidR="007D4D78" w:rsidRPr="002E550A">
        <w:rPr>
          <w:rFonts w:ascii="Arial" w:hAnsi="Arial" w:cs="Arial"/>
          <w:i/>
          <w:szCs w:val="32"/>
        </w:rPr>
        <w:t>Invest in Women. Invest in the Future.</w:t>
      </w:r>
      <w:r>
        <w:rPr>
          <w:rFonts w:ascii="Arial" w:hAnsi="Arial" w:cs="Arial"/>
          <w:szCs w:val="32"/>
        </w:rPr>
        <w:t xml:space="preserve"> </w:t>
      </w:r>
    </w:p>
    <w:p w14:paraId="4B7AC542" w14:textId="3AA1A3DB" w:rsidR="000D0FA6" w:rsidRDefault="007D4D78" w:rsidP="009B351B">
      <w:pPr>
        <w:rPr>
          <w:rFonts w:ascii="Arial" w:hAnsi="Arial" w:cs="Arial"/>
          <w:i/>
          <w:szCs w:val="32"/>
        </w:rPr>
      </w:pPr>
      <w:r>
        <w:rPr>
          <w:rFonts w:ascii="Arial" w:hAnsi="Arial" w:cs="Arial"/>
          <w:szCs w:val="32"/>
        </w:rPr>
        <w:t>The sold out event provided a platform for three local women to share their stories of success</w:t>
      </w:r>
      <w:r w:rsidR="00C94A09">
        <w:rPr>
          <w:rFonts w:ascii="Arial" w:hAnsi="Arial" w:cs="Arial"/>
          <w:szCs w:val="32"/>
        </w:rPr>
        <w:t xml:space="preserve"> – who </w:t>
      </w:r>
      <w:r>
        <w:rPr>
          <w:rFonts w:ascii="Arial" w:hAnsi="Arial" w:cs="Arial"/>
          <w:szCs w:val="32"/>
        </w:rPr>
        <w:t>invested in them, the challenges they have faced along their journeys</w:t>
      </w:r>
      <w:r w:rsidR="00C94A09">
        <w:rPr>
          <w:rFonts w:ascii="Arial" w:hAnsi="Arial" w:cs="Arial"/>
          <w:szCs w:val="32"/>
        </w:rPr>
        <w:t>,</w:t>
      </w:r>
      <w:r>
        <w:rPr>
          <w:rFonts w:ascii="Arial" w:hAnsi="Arial" w:cs="Arial"/>
          <w:szCs w:val="32"/>
        </w:rPr>
        <w:t xml:space="preserve"> and how they are supporting and investing in other women.</w:t>
      </w:r>
      <w:r w:rsidR="00803E9C">
        <w:rPr>
          <w:rFonts w:ascii="Arial" w:hAnsi="Arial" w:cs="Arial"/>
          <w:szCs w:val="32"/>
        </w:rPr>
        <w:t xml:space="preserve"> </w:t>
      </w:r>
    </w:p>
    <w:p w14:paraId="3FEE453A" w14:textId="4452B0D6" w:rsidR="000D0FA6" w:rsidRDefault="000D0FA6" w:rsidP="009B351B">
      <w:pPr>
        <w:rPr>
          <w:rFonts w:ascii="Arial" w:hAnsi="Arial" w:cs="Arial"/>
          <w:i/>
          <w:szCs w:val="32"/>
        </w:rPr>
      </w:pPr>
      <w:r>
        <w:rPr>
          <w:rFonts w:ascii="Arial" w:hAnsi="Arial" w:cs="Arial"/>
          <w:szCs w:val="32"/>
        </w:rPr>
        <w:t xml:space="preserve">The Central Queensland office of the ADCQ also celebrated International Women’s’ Day by hosting </w:t>
      </w:r>
      <w:r w:rsidRPr="002E1892">
        <w:rPr>
          <w:rFonts w:ascii="Arial" w:hAnsi="Arial" w:cs="Arial"/>
          <w:szCs w:val="32"/>
        </w:rPr>
        <w:t>a movie evening where the film</w:t>
      </w:r>
      <w:r w:rsidR="009E109C" w:rsidRPr="002E1892">
        <w:rPr>
          <w:rFonts w:ascii="Arial" w:hAnsi="Arial" w:cs="Arial"/>
          <w:szCs w:val="32"/>
        </w:rPr>
        <w:t xml:space="preserve"> </w:t>
      </w:r>
      <w:r w:rsidR="009E109C" w:rsidRPr="009B351B">
        <w:rPr>
          <w:rFonts w:ascii="Arial" w:hAnsi="Arial" w:cs="Arial"/>
          <w:i/>
          <w:szCs w:val="32"/>
        </w:rPr>
        <w:t>On the Basis of Sex</w:t>
      </w:r>
      <w:r w:rsidRPr="002E1892">
        <w:rPr>
          <w:rFonts w:ascii="Arial" w:hAnsi="Arial" w:cs="Arial"/>
          <w:szCs w:val="32"/>
        </w:rPr>
        <w:t xml:space="preserve"> was shown</w:t>
      </w:r>
      <w:r w:rsidR="007D4D78" w:rsidRPr="002E1892">
        <w:rPr>
          <w:rFonts w:ascii="Arial" w:hAnsi="Arial" w:cs="Arial"/>
          <w:szCs w:val="32"/>
        </w:rPr>
        <w:t xml:space="preserve"> to an audience of approximately 96</w:t>
      </w:r>
      <w:r w:rsidRPr="002E1892">
        <w:rPr>
          <w:rFonts w:ascii="Arial" w:hAnsi="Arial" w:cs="Arial"/>
          <w:szCs w:val="32"/>
        </w:rPr>
        <w:t xml:space="preserve">. The movie </w:t>
      </w:r>
      <w:r w:rsidR="009E109C">
        <w:rPr>
          <w:rFonts w:ascii="Arial" w:hAnsi="Arial" w:cs="Arial"/>
          <w:szCs w:val="32"/>
        </w:rPr>
        <w:t xml:space="preserve">is an American biographical legal drama based on the life and early cases of Supreme Court Justice Ruth Bader Ginsburg. </w:t>
      </w:r>
      <w:r w:rsidR="005C3617">
        <w:rPr>
          <w:rFonts w:ascii="Arial" w:hAnsi="Arial" w:cs="Arial"/>
          <w:szCs w:val="32"/>
        </w:rPr>
        <w:t>It depicts the struggle endured by Justice Ginsburg as a new mother facing adversity and numerous obstacles in her fight for equal rights.</w:t>
      </w:r>
    </w:p>
    <w:p w14:paraId="32E28A27" w14:textId="77777777" w:rsidR="00D3612E" w:rsidRPr="008F5D12" w:rsidRDefault="00D3612E" w:rsidP="009B351B">
      <w:pPr>
        <w:pStyle w:val="Heading2"/>
        <w:rPr>
          <w:color w:val="63891F" w:themeColor="accent5"/>
          <w:highlight w:val="yellow"/>
        </w:rPr>
      </w:pPr>
      <w:r w:rsidRPr="008F5D12">
        <w:lastRenderedPageBreak/>
        <w:t>Media</w:t>
      </w:r>
    </w:p>
    <w:p w14:paraId="37DAC9F8" w14:textId="6192C0B5" w:rsidR="00D3612E" w:rsidRPr="009B351B" w:rsidRDefault="00D3612E" w:rsidP="009B351B">
      <w:r w:rsidRPr="009B351B">
        <w:t>In 201</w:t>
      </w:r>
      <w:r w:rsidR="001F50BA" w:rsidRPr="009B351B">
        <w:t>8</w:t>
      </w:r>
      <w:r w:rsidRPr="009B351B">
        <w:t>–1</w:t>
      </w:r>
      <w:r w:rsidR="001F50BA" w:rsidRPr="009B351B">
        <w:t>9</w:t>
      </w:r>
      <w:r w:rsidRPr="009B351B">
        <w:t xml:space="preserve">, the ADCQ provided information and public comment to a variety of mainstream, regional and independent media outlets including </w:t>
      </w:r>
      <w:r w:rsidR="0074046F" w:rsidRPr="009B351B">
        <w:t xml:space="preserve">ABC 4 Corners, </w:t>
      </w:r>
      <w:r w:rsidR="007C527E" w:rsidRPr="009B351B">
        <w:t>WIN News Rockhampton, The Courier Mail, A Current Affair, ABC News online, ABC Radio National, 4EB, Central Queensland Radio, The Guardian and Ten TV.</w:t>
      </w:r>
      <w:r w:rsidR="00803E9C" w:rsidRPr="009B351B">
        <w:t xml:space="preserve"> </w:t>
      </w:r>
    </w:p>
    <w:p w14:paraId="5F82F3BA" w14:textId="77777777" w:rsidR="00D3612E" w:rsidRPr="001950FF" w:rsidRDefault="00D3612E" w:rsidP="009B351B">
      <w:pPr>
        <w:pStyle w:val="Heading2"/>
      </w:pPr>
      <w:r w:rsidRPr="001950FF">
        <w:t>Education</w:t>
      </w:r>
    </w:p>
    <w:p w14:paraId="3DCD0F19" w14:textId="77777777" w:rsidR="00D3612E" w:rsidRPr="00513FB9" w:rsidRDefault="00D3612E" w:rsidP="009B351B">
      <w:pPr>
        <w:rPr>
          <w:i/>
        </w:rPr>
      </w:pPr>
      <w:r w:rsidRPr="0059146B">
        <w:t xml:space="preserve">The ADCQ delivers training courses based on the </w:t>
      </w:r>
      <w:r w:rsidRPr="0067689A">
        <w:rPr>
          <w:i/>
        </w:rPr>
        <w:t>Anti-Discrimination Act 1991</w:t>
      </w:r>
      <w:r w:rsidRPr="0059146B">
        <w:t xml:space="preserve"> as well as topics related to diversity, inclusion and stereotypes. The primary objectives of training are to educate people in Queensland about their rights and responsibilities under the Act, encourage inclusive attitudes and practices</w:t>
      </w:r>
      <w:r w:rsidR="00C94A09">
        <w:t>,</w:t>
      </w:r>
      <w:r w:rsidRPr="0059146B">
        <w:t xml:space="preserve"> and to support organisations to adopt best practice methods for preventing and managing discrimination and harassment in the workplace. Training is provided on a fee-for-service basis, with reduced rates offered to small community organisations and groups that demonstrate limited capacity to pay. Training services are delivered primarily on client demand, with only intermittent email marketing undertaken.</w:t>
      </w:r>
    </w:p>
    <w:p w14:paraId="7EC8F477" w14:textId="77777777" w:rsidR="00D3612E" w:rsidRPr="001950FF" w:rsidRDefault="00D3612E" w:rsidP="009B351B">
      <w:pPr>
        <w:pStyle w:val="Heading3"/>
      </w:pPr>
      <w:r w:rsidRPr="001950FF">
        <w:t>State-wide training performance</w:t>
      </w:r>
    </w:p>
    <w:p w14:paraId="7C78AD77" w14:textId="3AEAD2D3" w:rsidR="00927332" w:rsidRDefault="00D3612E" w:rsidP="009B351B">
      <w:pPr>
        <w:rPr>
          <w:i/>
        </w:rPr>
      </w:pPr>
      <w:r w:rsidRPr="00D21577">
        <w:t>In 201</w:t>
      </w:r>
      <w:r w:rsidR="0059146B" w:rsidRPr="00D21577">
        <w:t>8</w:t>
      </w:r>
      <w:r w:rsidRPr="00D21577">
        <w:t>–1</w:t>
      </w:r>
      <w:r w:rsidR="0059146B" w:rsidRPr="00D21577">
        <w:t>9</w:t>
      </w:r>
      <w:r w:rsidRPr="00D21577">
        <w:t xml:space="preserve"> we delivered </w:t>
      </w:r>
      <w:r w:rsidR="0059146B" w:rsidRPr="00D21577">
        <w:t>277</w:t>
      </w:r>
      <w:r w:rsidR="00167728" w:rsidRPr="00D21577">
        <w:t xml:space="preserve"> training sessions to approximately</w:t>
      </w:r>
      <w:r w:rsidRPr="00D21577">
        <w:t xml:space="preserve"> 4,</w:t>
      </w:r>
      <w:r w:rsidR="0059146B" w:rsidRPr="00D21577">
        <w:t>480</w:t>
      </w:r>
      <w:r w:rsidR="00167728" w:rsidRPr="00D21577">
        <w:t xml:space="preserve"> people. This was a</w:t>
      </w:r>
      <w:r w:rsidR="00D21577">
        <w:t xml:space="preserve"> slight in</w:t>
      </w:r>
      <w:r w:rsidR="0059146B" w:rsidRPr="00D21577">
        <w:t xml:space="preserve">crease on </w:t>
      </w:r>
      <w:r w:rsidR="00167728" w:rsidRPr="00D21577">
        <w:t xml:space="preserve">the previous year’s total of </w:t>
      </w:r>
      <w:r w:rsidR="00D21577">
        <w:t>271</w:t>
      </w:r>
      <w:r w:rsidR="00167728" w:rsidRPr="00D21577">
        <w:t xml:space="preserve"> </w:t>
      </w:r>
      <w:r w:rsidRPr="00D21577">
        <w:t xml:space="preserve">sessions. </w:t>
      </w:r>
      <w:r w:rsidR="00D21577">
        <w:t>Overall t</w:t>
      </w:r>
      <w:r w:rsidRPr="00D21577">
        <w:t>raining d</w:t>
      </w:r>
      <w:r w:rsidR="00D21577" w:rsidRPr="00D21577">
        <w:t>emand from across the various sectors evened out this financial year. While the previous year saw increased demand in training to the public sector, this year 88 sessions were delivered to public sector organisations compared with the 136 sessions delivered in 2017-18. Private sector training increased from 59 sessions to 92 sessions and community sector training also increased from 31 sessions to 48.</w:t>
      </w:r>
      <w:r w:rsidR="00803E9C">
        <w:t xml:space="preserve"> </w:t>
      </w:r>
    </w:p>
    <w:p w14:paraId="3CA3A7B1" w14:textId="77777777" w:rsidR="00D3612E" w:rsidRPr="00696C61" w:rsidRDefault="00167728" w:rsidP="00696C61">
      <w:pPr>
        <w:pStyle w:val="Caption"/>
      </w:pPr>
      <w:r w:rsidRPr="00696C61">
        <w:t xml:space="preserve"> </w:t>
      </w:r>
      <w:r w:rsidR="00D3612E" w:rsidRPr="00696C61">
        <w:t>Table 4: Delivery of training by sector, by region</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1383"/>
        <w:gridCol w:w="1098"/>
        <w:gridCol w:w="1137"/>
        <w:gridCol w:w="1068"/>
        <w:gridCol w:w="1069"/>
        <w:gridCol w:w="1038"/>
      </w:tblGrid>
      <w:tr w:rsidR="00D3612E" w:rsidRPr="00C86DCC" w14:paraId="6C43B296" w14:textId="77777777" w:rsidTr="00696C61">
        <w:trPr>
          <w:trHeight w:val="438"/>
        </w:trPr>
        <w:tc>
          <w:tcPr>
            <w:tcW w:w="1583" w:type="dxa"/>
          </w:tcPr>
          <w:p w14:paraId="6D64F5B5" w14:textId="77777777" w:rsidR="00D3612E" w:rsidRPr="00005DA9" w:rsidRDefault="00D3612E" w:rsidP="009B351B">
            <w:pPr>
              <w:rPr>
                <w:rFonts w:eastAsia="Times New Roman"/>
                <w:i/>
                <w:lang w:eastAsia="en-AU"/>
              </w:rPr>
            </w:pPr>
          </w:p>
        </w:tc>
        <w:tc>
          <w:tcPr>
            <w:tcW w:w="1417" w:type="dxa"/>
          </w:tcPr>
          <w:p w14:paraId="55331ABC" w14:textId="77777777" w:rsidR="00D3612E" w:rsidRPr="00005DA9" w:rsidRDefault="00D3612E" w:rsidP="009B351B">
            <w:pPr>
              <w:rPr>
                <w:rFonts w:eastAsia="Times New Roman"/>
                <w:b/>
                <w:bCs/>
                <w:i/>
                <w:lang w:eastAsia="en-AU"/>
              </w:rPr>
            </w:pPr>
            <w:r w:rsidRPr="00005DA9">
              <w:rPr>
                <w:rFonts w:eastAsia="Times New Roman"/>
                <w:b/>
                <w:bCs/>
                <w:lang w:eastAsia="en-AU"/>
              </w:rPr>
              <w:t>South-East</w:t>
            </w:r>
          </w:p>
        </w:tc>
        <w:tc>
          <w:tcPr>
            <w:tcW w:w="1433" w:type="dxa"/>
          </w:tcPr>
          <w:p w14:paraId="24959369" w14:textId="77777777" w:rsidR="00D3612E" w:rsidRPr="00005DA9" w:rsidRDefault="00D3612E" w:rsidP="009B351B">
            <w:pPr>
              <w:rPr>
                <w:rFonts w:eastAsia="Times New Roman"/>
                <w:b/>
                <w:bCs/>
                <w:i/>
                <w:lang w:eastAsia="en-AU"/>
              </w:rPr>
            </w:pPr>
            <w:r w:rsidRPr="00005DA9">
              <w:rPr>
                <w:rFonts w:eastAsia="Times New Roman"/>
                <w:b/>
                <w:bCs/>
                <w:lang w:eastAsia="en-AU"/>
              </w:rPr>
              <w:t>Central</w:t>
            </w:r>
          </w:p>
        </w:tc>
        <w:tc>
          <w:tcPr>
            <w:tcW w:w="1477" w:type="dxa"/>
          </w:tcPr>
          <w:p w14:paraId="1944F951" w14:textId="77777777" w:rsidR="00D3612E" w:rsidRPr="00005DA9" w:rsidRDefault="00D3612E" w:rsidP="009B351B">
            <w:pPr>
              <w:rPr>
                <w:rFonts w:eastAsia="Times New Roman"/>
                <w:b/>
                <w:bCs/>
                <w:i/>
                <w:lang w:eastAsia="en-AU"/>
              </w:rPr>
            </w:pPr>
            <w:r w:rsidRPr="00005DA9">
              <w:rPr>
                <w:rFonts w:eastAsia="Times New Roman"/>
                <w:b/>
                <w:bCs/>
                <w:lang w:eastAsia="en-AU"/>
              </w:rPr>
              <w:t>North</w:t>
            </w:r>
          </w:p>
        </w:tc>
        <w:tc>
          <w:tcPr>
            <w:tcW w:w="1478" w:type="dxa"/>
          </w:tcPr>
          <w:p w14:paraId="061D478F" w14:textId="77777777" w:rsidR="00D3612E" w:rsidRPr="00005DA9" w:rsidRDefault="00D3612E" w:rsidP="009B351B">
            <w:pPr>
              <w:rPr>
                <w:rFonts w:eastAsia="Times New Roman"/>
                <w:b/>
                <w:bCs/>
                <w:i/>
                <w:lang w:eastAsia="en-AU"/>
              </w:rPr>
            </w:pPr>
            <w:r w:rsidRPr="00005DA9">
              <w:rPr>
                <w:rFonts w:eastAsia="Times New Roman"/>
                <w:b/>
                <w:bCs/>
                <w:lang w:eastAsia="en-AU"/>
              </w:rPr>
              <w:t>Far North</w:t>
            </w:r>
          </w:p>
        </w:tc>
        <w:tc>
          <w:tcPr>
            <w:tcW w:w="1479" w:type="dxa"/>
          </w:tcPr>
          <w:p w14:paraId="2C4EF618" w14:textId="77777777" w:rsidR="00D3612E" w:rsidRPr="00005DA9" w:rsidRDefault="00D3612E" w:rsidP="009B351B">
            <w:pPr>
              <w:rPr>
                <w:rFonts w:eastAsia="Times New Roman"/>
                <w:b/>
                <w:bCs/>
                <w:i/>
                <w:lang w:eastAsia="en-AU"/>
              </w:rPr>
            </w:pPr>
            <w:r w:rsidRPr="00005DA9">
              <w:rPr>
                <w:rFonts w:eastAsia="Times New Roman"/>
                <w:b/>
                <w:bCs/>
                <w:lang w:eastAsia="en-AU"/>
              </w:rPr>
              <w:t>Total</w:t>
            </w:r>
          </w:p>
        </w:tc>
      </w:tr>
      <w:tr w:rsidR="00D3612E" w:rsidRPr="00C86DCC" w14:paraId="2997E648" w14:textId="77777777" w:rsidTr="00696C61">
        <w:trPr>
          <w:trHeight w:val="690"/>
        </w:trPr>
        <w:tc>
          <w:tcPr>
            <w:tcW w:w="1583" w:type="dxa"/>
          </w:tcPr>
          <w:p w14:paraId="7C270359" w14:textId="77777777" w:rsidR="00D3612E" w:rsidRPr="00C45499" w:rsidRDefault="00D3612E" w:rsidP="009B351B">
            <w:pPr>
              <w:rPr>
                <w:rFonts w:eastAsia="Times New Roman"/>
                <w:i/>
                <w:lang w:eastAsia="en-AU"/>
              </w:rPr>
            </w:pPr>
            <w:r w:rsidRPr="00C45499">
              <w:rPr>
                <w:rFonts w:eastAsia="Times New Roman"/>
                <w:lang w:eastAsia="en-AU"/>
              </w:rPr>
              <w:t>Private sector</w:t>
            </w:r>
          </w:p>
        </w:tc>
        <w:tc>
          <w:tcPr>
            <w:tcW w:w="1417" w:type="dxa"/>
          </w:tcPr>
          <w:p w14:paraId="7FB86C08" w14:textId="77777777" w:rsidR="00D3612E" w:rsidRPr="00C45499" w:rsidRDefault="0054143D" w:rsidP="009B351B">
            <w:pPr>
              <w:rPr>
                <w:rFonts w:eastAsia="Times New Roman"/>
                <w:i/>
                <w:lang w:eastAsia="en-AU"/>
              </w:rPr>
            </w:pPr>
            <w:r>
              <w:rPr>
                <w:rFonts w:eastAsia="Times New Roman"/>
                <w:lang w:eastAsia="en-AU"/>
              </w:rPr>
              <w:t>31</w:t>
            </w:r>
          </w:p>
        </w:tc>
        <w:tc>
          <w:tcPr>
            <w:tcW w:w="1433" w:type="dxa"/>
          </w:tcPr>
          <w:p w14:paraId="6115751A" w14:textId="77777777" w:rsidR="00D3612E" w:rsidRPr="00C45499" w:rsidRDefault="0054143D" w:rsidP="009B351B">
            <w:pPr>
              <w:rPr>
                <w:rFonts w:eastAsia="Times New Roman"/>
                <w:i/>
                <w:lang w:eastAsia="en-AU"/>
              </w:rPr>
            </w:pPr>
            <w:r>
              <w:rPr>
                <w:rFonts w:eastAsia="Times New Roman"/>
                <w:lang w:eastAsia="en-AU"/>
              </w:rPr>
              <w:t>18</w:t>
            </w:r>
          </w:p>
        </w:tc>
        <w:tc>
          <w:tcPr>
            <w:tcW w:w="1477" w:type="dxa"/>
          </w:tcPr>
          <w:p w14:paraId="0F3A4C93" w14:textId="77777777" w:rsidR="00D3612E" w:rsidRPr="00C45499" w:rsidRDefault="0054143D" w:rsidP="009B351B">
            <w:pPr>
              <w:rPr>
                <w:rFonts w:eastAsia="Times New Roman"/>
                <w:i/>
                <w:lang w:eastAsia="en-AU"/>
              </w:rPr>
            </w:pPr>
            <w:r>
              <w:rPr>
                <w:rFonts w:eastAsia="Times New Roman"/>
                <w:lang w:eastAsia="en-AU"/>
              </w:rPr>
              <w:t>30</w:t>
            </w:r>
          </w:p>
        </w:tc>
        <w:tc>
          <w:tcPr>
            <w:tcW w:w="1478" w:type="dxa"/>
          </w:tcPr>
          <w:p w14:paraId="4A986CFB" w14:textId="77777777" w:rsidR="00D3612E" w:rsidRPr="00C45499" w:rsidRDefault="0054143D" w:rsidP="009B351B">
            <w:pPr>
              <w:rPr>
                <w:rFonts w:eastAsia="Times New Roman"/>
                <w:i/>
                <w:lang w:eastAsia="en-AU"/>
              </w:rPr>
            </w:pPr>
            <w:r>
              <w:rPr>
                <w:rFonts w:eastAsia="Times New Roman"/>
                <w:lang w:eastAsia="en-AU"/>
              </w:rPr>
              <w:t>13</w:t>
            </w:r>
          </w:p>
        </w:tc>
        <w:tc>
          <w:tcPr>
            <w:tcW w:w="1479" w:type="dxa"/>
          </w:tcPr>
          <w:p w14:paraId="5499C142" w14:textId="77777777" w:rsidR="00D3612E" w:rsidRPr="00C45499" w:rsidRDefault="000B3ADF" w:rsidP="009B351B">
            <w:pPr>
              <w:rPr>
                <w:rFonts w:eastAsia="Times New Roman"/>
                <w:b/>
                <w:i/>
                <w:lang w:eastAsia="en-AU"/>
              </w:rPr>
            </w:pPr>
            <w:r>
              <w:rPr>
                <w:rFonts w:eastAsia="Times New Roman"/>
                <w:b/>
                <w:lang w:eastAsia="en-AU"/>
              </w:rPr>
              <w:t>92</w:t>
            </w:r>
          </w:p>
        </w:tc>
      </w:tr>
      <w:tr w:rsidR="00D3612E" w:rsidRPr="00C86DCC" w14:paraId="5DCCD8BB" w14:textId="77777777" w:rsidTr="00696C61">
        <w:trPr>
          <w:trHeight w:val="397"/>
        </w:trPr>
        <w:tc>
          <w:tcPr>
            <w:tcW w:w="1583" w:type="dxa"/>
          </w:tcPr>
          <w:p w14:paraId="436A21D0" w14:textId="77777777" w:rsidR="00D3612E" w:rsidRPr="00C45499" w:rsidRDefault="00D3612E" w:rsidP="009B351B">
            <w:pPr>
              <w:rPr>
                <w:rFonts w:eastAsia="Times New Roman"/>
                <w:i/>
                <w:lang w:eastAsia="en-AU"/>
              </w:rPr>
            </w:pPr>
            <w:r w:rsidRPr="00C45499">
              <w:rPr>
                <w:rFonts w:eastAsia="Times New Roman"/>
                <w:lang w:eastAsia="en-AU"/>
              </w:rPr>
              <w:t>Public sector</w:t>
            </w:r>
          </w:p>
        </w:tc>
        <w:tc>
          <w:tcPr>
            <w:tcW w:w="1417" w:type="dxa"/>
          </w:tcPr>
          <w:p w14:paraId="599FF13E" w14:textId="77777777" w:rsidR="00D3612E" w:rsidRPr="00C45499" w:rsidRDefault="0054143D" w:rsidP="009B351B">
            <w:pPr>
              <w:rPr>
                <w:rFonts w:eastAsia="Times New Roman"/>
                <w:i/>
                <w:lang w:eastAsia="en-AU"/>
              </w:rPr>
            </w:pPr>
            <w:r>
              <w:rPr>
                <w:rFonts w:eastAsia="Times New Roman"/>
                <w:lang w:eastAsia="en-AU"/>
              </w:rPr>
              <w:t>66</w:t>
            </w:r>
          </w:p>
        </w:tc>
        <w:tc>
          <w:tcPr>
            <w:tcW w:w="1433" w:type="dxa"/>
          </w:tcPr>
          <w:p w14:paraId="67F6B8B4" w14:textId="77777777" w:rsidR="00D3612E" w:rsidRPr="00C45499" w:rsidRDefault="000B3ADF" w:rsidP="009B351B">
            <w:pPr>
              <w:rPr>
                <w:rFonts w:eastAsia="Times New Roman"/>
                <w:i/>
                <w:lang w:eastAsia="en-AU"/>
              </w:rPr>
            </w:pPr>
            <w:r>
              <w:rPr>
                <w:rFonts w:eastAsia="Times New Roman"/>
                <w:lang w:eastAsia="en-AU"/>
              </w:rPr>
              <w:t>2</w:t>
            </w:r>
          </w:p>
        </w:tc>
        <w:tc>
          <w:tcPr>
            <w:tcW w:w="1477" w:type="dxa"/>
          </w:tcPr>
          <w:p w14:paraId="7F18C1C8" w14:textId="77777777" w:rsidR="00D3612E" w:rsidRPr="00C45499" w:rsidRDefault="000B3ADF" w:rsidP="009B351B">
            <w:pPr>
              <w:rPr>
                <w:rFonts w:eastAsia="Times New Roman"/>
                <w:i/>
                <w:lang w:eastAsia="en-AU"/>
              </w:rPr>
            </w:pPr>
            <w:r>
              <w:rPr>
                <w:rFonts w:eastAsia="Times New Roman"/>
                <w:lang w:eastAsia="en-AU"/>
              </w:rPr>
              <w:t>10</w:t>
            </w:r>
          </w:p>
        </w:tc>
        <w:tc>
          <w:tcPr>
            <w:tcW w:w="1478" w:type="dxa"/>
          </w:tcPr>
          <w:p w14:paraId="73CF012D" w14:textId="77777777" w:rsidR="00D3612E" w:rsidRPr="00C45499" w:rsidRDefault="0054143D" w:rsidP="009B351B">
            <w:pPr>
              <w:rPr>
                <w:rFonts w:eastAsia="Times New Roman"/>
                <w:i/>
                <w:lang w:eastAsia="en-AU"/>
              </w:rPr>
            </w:pPr>
            <w:r>
              <w:rPr>
                <w:rFonts w:eastAsia="Times New Roman"/>
                <w:lang w:eastAsia="en-AU"/>
              </w:rPr>
              <w:t>10</w:t>
            </w:r>
          </w:p>
        </w:tc>
        <w:tc>
          <w:tcPr>
            <w:tcW w:w="1479" w:type="dxa"/>
          </w:tcPr>
          <w:p w14:paraId="676D0E5C" w14:textId="77777777" w:rsidR="00D3612E" w:rsidRPr="00C45499" w:rsidRDefault="000B3ADF" w:rsidP="009B351B">
            <w:pPr>
              <w:rPr>
                <w:rFonts w:eastAsia="Times New Roman"/>
                <w:b/>
                <w:i/>
                <w:lang w:eastAsia="en-AU"/>
              </w:rPr>
            </w:pPr>
            <w:r>
              <w:rPr>
                <w:rFonts w:eastAsia="Times New Roman"/>
                <w:b/>
                <w:lang w:eastAsia="en-AU"/>
              </w:rPr>
              <w:t>88</w:t>
            </w:r>
          </w:p>
        </w:tc>
      </w:tr>
      <w:tr w:rsidR="00D3612E" w:rsidRPr="00C86DCC" w14:paraId="3B1EC09B" w14:textId="77777777" w:rsidTr="00696C61">
        <w:trPr>
          <w:trHeight w:val="397"/>
        </w:trPr>
        <w:tc>
          <w:tcPr>
            <w:tcW w:w="1583" w:type="dxa"/>
          </w:tcPr>
          <w:p w14:paraId="16A35AB3" w14:textId="77777777" w:rsidR="00D3612E" w:rsidRPr="00C45499" w:rsidRDefault="00D3612E" w:rsidP="009B351B">
            <w:pPr>
              <w:rPr>
                <w:rFonts w:eastAsia="Times New Roman"/>
                <w:i/>
                <w:lang w:eastAsia="en-AU"/>
              </w:rPr>
            </w:pPr>
            <w:r w:rsidRPr="00C45499">
              <w:rPr>
                <w:rFonts w:eastAsia="Times New Roman"/>
                <w:lang w:eastAsia="en-AU"/>
              </w:rPr>
              <w:t>Community</w:t>
            </w:r>
          </w:p>
        </w:tc>
        <w:tc>
          <w:tcPr>
            <w:tcW w:w="1417" w:type="dxa"/>
          </w:tcPr>
          <w:p w14:paraId="13DB3390" w14:textId="77777777" w:rsidR="00D3612E" w:rsidRPr="00C45499" w:rsidRDefault="0054143D" w:rsidP="009B351B">
            <w:pPr>
              <w:rPr>
                <w:rFonts w:eastAsia="Times New Roman"/>
                <w:i/>
                <w:lang w:eastAsia="en-AU"/>
              </w:rPr>
            </w:pPr>
            <w:r>
              <w:rPr>
                <w:rFonts w:eastAsia="Times New Roman"/>
                <w:lang w:eastAsia="en-AU"/>
              </w:rPr>
              <w:t>37</w:t>
            </w:r>
          </w:p>
        </w:tc>
        <w:tc>
          <w:tcPr>
            <w:tcW w:w="1433" w:type="dxa"/>
          </w:tcPr>
          <w:p w14:paraId="5B55C712" w14:textId="77777777" w:rsidR="00D3612E" w:rsidRPr="00C45499" w:rsidRDefault="0054143D" w:rsidP="009B351B">
            <w:pPr>
              <w:rPr>
                <w:rFonts w:eastAsia="Times New Roman"/>
                <w:i/>
                <w:lang w:eastAsia="en-AU"/>
              </w:rPr>
            </w:pPr>
            <w:r>
              <w:rPr>
                <w:rFonts w:eastAsia="Times New Roman"/>
                <w:lang w:eastAsia="en-AU"/>
              </w:rPr>
              <w:t>5</w:t>
            </w:r>
          </w:p>
        </w:tc>
        <w:tc>
          <w:tcPr>
            <w:tcW w:w="1477" w:type="dxa"/>
          </w:tcPr>
          <w:p w14:paraId="04C2DA61" w14:textId="77777777" w:rsidR="00D3612E" w:rsidRPr="00C45499" w:rsidRDefault="007B6D97" w:rsidP="009B351B">
            <w:pPr>
              <w:rPr>
                <w:rFonts w:eastAsia="Times New Roman"/>
                <w:i/>
                <w:lang w:eastAsia="en-AU"/>
              </w:rPr>
            </w:pPr>
            <w:r>
              <w:rPr>
                <w:rFonts w:eastAsia="Times New Roman"/>
                <w:lang w:eastAsia="en-AU"/>
              </w:rPr>
              <w:t>3</w:t>
            </w:r>
          </w:p>
        </w:tc>
        <w:tc>
          <w:tcPr>
            <w:tcW w:w="1478" w:type="dxa"/>
          </w:tcPr>
          <w:p w14:paraId="424070BD" w14:textId="77777777" w:rsidR="00D3612E" w:rsidRPr="00C45499" w:rsidRDefault="0054143D" w:rsidP="009B351B">
            <w:pPr>
              <w:rPr>
                <w:rFonts w:eastAsia="Times New Roman"/>
                <w:i/>
                <w:lang w:eastAsia="en-AU"/>
              </w:rPr>
            </w:pPr>
            <w:r>
              <w:rPr>
                <w:rFonts w:eastAsia="Times New Roman"/>
                <w:lang w:eastAsia="en-AU"/>
              </w:rPr>
              <w:t>4</w:t>
            </w:r>
          </w:p>
        </w:tc>
        <w:tc>
          <w:tcPr>
            <w:tcW w:w="1479" w:type="dxa"/>
          </w:tcPr>
          <w:p w14:paraId="3D31D0A9" w14:textId="67AAB4A6" w:rsidR="00D3612E" w:rsidRPr="00C45499" w:rsidRDefault="000B3ADF" w:rsidP="009B351B">
            <w:pPr>
              <w:rPr>
                <w:rFonts w:eastAsia="Times New Roman"/>
                <w:b/>
                <w:i/>
                <w:lang w:eastAsia="en-AU"/>
              </w:rPr>
            </w:pPr>
            <w:r>
              <w:rPr>
                <w:rFonts w:eastAsia="Times New Roman"/>
                <w:b/>
                <w:lang w:eastAsia="en-AU"/>
              </w:rPr>
              <w:t>4</w:t>
            </w:r>
            <w:r w:rsidR="00B66DAB">
              <w:rPr>
                <w:rFonts w:eastAsia="Times New Roman"/>
                <w:b/>
                <w:lang w:eastAsia="en-AU"/>
              </w:rPr>
              <w:t>9</w:t>
            </w:r>
          </w:p>
        </w:tc>
      </w:tr>
      <w:tr w:rsidR="00D3612E" w:rsidRPr="00C86DCC" w14:paraId="1B9C9CDF" w14:textId="77777777" w:rsidTr="00696C61">
        <w:trPr>
          <w:trHeight w:val="397"/>
        </w:trPr>
        <w:tc>
          <w:tcPr>
            <w:tcW w:w="1583" w:type="dxa"/>
          </w:tcPr>
          <w:p w14:paraId="25CFD2A7" w14:textId="77777777" w:rsidR="00D3612E" w:rsidRPr="00C45499" w:rsidRDefault="00D3612E" w:rsidP="009B351B">
            <w:pPr>
              <w:rPr>
                <w:rFonts w:eastAsia="Times New Roman"/>
                <w:i/>
                <w:lang w:eastAsia="en-AU"/>
              </w:rPr>
            </w:pPr>
            <w:r w:rsidRPr="00C45499">
              <w:rPr>
                <w:rFonts w:eastAsia="Times New Roman"/>
                <w:lang w:eastAsia="en-AU"/>
              </w:rPr>
              <w:t>In-house</w:t>
            </w:r>
          </w:p>
        </w:tc>
        <w:tc>
          <w:tcPr>
            <w:tcW w:w="1417" w:type="dxa"/>
          </w:tcPr>
          <w:p w14:paraId="30D10A10" w14:textId="77777777" w:rsidR="00D3612E" w:rsidRPr="00C45499" w:rsidRDefault="000B3ADF" w:rsidP="009B351B">
            <w:pPr>
              <w:rPr>
                <w:rFonts w:eastAsia="Times New Roman"/>
                <w:i/>
                <w:lang w:eastAsia="en-AU"/>
              </w:rPr>
            </w:pPr>
            <w:r>
              <w:rPr>
                <w:rFonts w:eastAsia="Times New Roman"/>
                <w:lang w:eastAsia="en-AU"/>
              </w:rPr>
              <w:t>16</w:t>
            </w:r>
          </w:p>
        </w:tc>
        <w:tc>
          <w:tcPr>
            <w:tcW w:w="1433" w:type="dxa"/>
          </w:tcPr>
          <w:p w14:paraId="5E7BE6E5" w14:textId="77777777" w:rsidR="00D3612E" w:rsidRPr="00C45499" w:rsidRDefault="000B3ADF" w:rsidP="009B351B">
            <w:pPr>
              <w:rPr>
                <w:rFonts w:eastAsia="Times New Roman"/>
                <w:i/>
                <w:lang w:eastAsia="en-AU"/>
              </w:rPr>
            </w:pPr>
            <w:r>
              <w:rPr>
                <w:rFonts w:eastAsia="Times New Roman"/>
                <w:lang w:eastAsia="en-AU"/>
              </w:rPr>
              <w:t>12</w:t>
            </w:r>
          </w:p>
        </w:tc>
        <w:tc>
          <w:tcPr>
            <w:tcW w:w="1477" w:type="dxa"/>
          </w:tcPr>
          <w:p w14:paraId="5255CC49" w14:textId="77777777" w:rsidR="00D3612E" w:rsidRPr="00C45499" w:rsidRDefault="000B3ADF" w:rsidP="009B351B">
            <w:pPr>
              <w:rPr>
                <w:rFonts w:eastAsia="Times New Roman"/>
                <w:i/>
                <w:lang w:eastAsia="en-AU"/>
              </w:rPr>
            </w:pPr>
            <w:r>
              <w:rPr>
                <w:rFonts w:eastAsia="Times New Roman"/>
                <w:lang w:eastAsia="en-AU"/>
              </w:rPr>
              <w:t>13</w:t>
            </w:r>
          </w:p>
        </w:tc>
        <w:tc>
          <w:tcPr>
            <w:tcW w:w="1478" w:type="dxa"/>
          </w:tcPr>
          <w:p w14:paraId="408AF857" w14:textId="77777777" w:rsidR="00D3612E" w:rsidRPr="00C45499" w:rsidRDefault="000B3ADF" w:rsidP="009B351B">
            <w:pPr>
              <w:rPr>
                <w:rFonts w:eastAsia="Times New Roman"/>
                <w:i/>
                <w:lang w:eastAsia="en-AU"/>
              </w:rPr>
            </w:pPr>
            <w:r>
              <w:rPr>
                <w:rFonts w:eastAsia="Times New Roman"/>
                <w:lang w:eastAsia="en-AU"/>
              </w:rPr>
              <w:t>7</w:t>
            </w:r>
          </w:p>
        </w:tc>
        <w:tc>
          <w:tcPr>
            <w:tcW w:w="1479" w:type="dxa"/>
          </w:tcPr>
          <w:p w14:paraId="2E660A0F" w14:textId="77777777" w:rsidR="00D3612E" w:rsidRPr="00C45499" w:rsidRDefault="000B3ADF" w:rsidP="009B351B">
            <w:pPr>
              <w:rPr>
                <w:rFonts w:eastAsia="Times New Roman"/>
                <w:b/>
                <w:i/>
                <w:lang w:eastAsia="en-AU"/>
              </w:rPr>
            </w:pPr>
            <w:r>
              <w:rPr>
                <w:rFonts w:eastAsia="Times New Roman"/>
                <w:b/>
                <w:lang w:eastAsia="en-AU"/>
              </w:rPr>
              <w:t>48</w:t>
            </w:r>
          </w:p>
        </w:tc>
      </w:tr>
      <w:tr w:rsidR="00D3612E" w:rsidRPr="00C86DCC" w14:paraId="5E018B96" w14:textId="77777777" w:rsidTr="00696C61">
        <w:trPr>
          <w:trHeight w:val="397"/>
        </w:trPr>
        <w:tc>
          <w:tcPr>
            <w:tcW w:w="1583" w:type="dxa"/>
          </w:tcPr>
          <w:p w14:paraId="623ACC0F" w14:textId="77777777" w:rsidR="00D3612E" w:rsidRPr="00C45499" w:rsidRDefault="00D3612E" w:rsidP="009B351B">
            <w:pPr>
              <w:rPr>
                <w:rFonts w:eastAsia="Times New Roman"/>
                <w:b/>
                <w:i/>
                <w:lang w:eastAsia="en-AU"/>
              </w:rPr>
            </w:pPr>
            <w:r w:rsidRPr="00C45499">
              <w:rPr>
                <w:rFonts w:eastAsia="Times New Roman"/>
                <w:b/>
                <w:lang w:eastAsia="en-AU"/>
              </w:rPr>
              <w:t>Total</w:t>
            </w:r>
          </w:p>
        </w:tc>
        <w:tc>
          <w:tcPr>
            <w:tcW w:w="1417" w:type="dxa"/>
          </w:tcPr>
          <w:p w14:paraId="04B34C5F" w14:textId="77777777" w:rsidR="00D3612E" w:rsidRPr="00C45499" w:rsidRDefault="000B3ADF" w:rsidP="009B351B">
            <w:pPr>
              <w:rPr>
                <w:rFonts w:eastAsia="Times New Roman"/>
                <w:b/>
                <w:i/>
                <w:lang w:eastAsia="en-AU"/>
              </w:rPr>
            </w:pPr>
            <w:r>
              <w:rPr>
                <w:rFonts w:eastAsia="Times New Roman"/>
                <w:b/>
                <w:lang w:eastAsia="en-AU"/>
              </w:rPr>
              <w:t>150</w:t>
            </w:r>
          </w:p>
        </w:tc>
        <w:tc>
          <w:tcPr>
            <w:tcW w:w="1433" w:type="dxa"/>
          </w:tcPr>
          <w:p w14:paraId="6D8581B8" w14:textId="77777777" w:rsidR="00D3612E" w:rsidRPr="00C45499" w:rsidRDefault="000B3ADF" w:rsidP="009B351B">
            <w:pPr>
              <w:rPr>
                <w:rFonts w:eastAsia="Times New Roman"/>
                <w:b/>
                <w:i/>
                <w:lang w:eastAsia="en-AU"/>
              </w:rPr>
            </w:pPr>
            <w:r>
              <w:rPr>
                <w:rFonts w:eastAsia="Times New Roman"/>
                <w:b/>
                <w:lang w:eastAsia="en-AU"/>
              </w:rPr>
              <w:t>37</w:t>
            </w:r>
          </w:p>
        </w:tc>
        <w:tc>
          <w:tcPr>
            <w:tcW w:w="1477" w:type="dxa"/>
          </w:tcPr>
          <w:p w14:paraId="35CE6C4D" w14:textId="77777777" w:rsidR="00D3612E" w:rsidRPr="00C45499" w:rsidRDefault="007B6D97" w:rsidP="009B351B">
            <w:pPr>
              <w:rPr>
                <w:rFonts w:eastAsia="Times New Roman"/>
                <w:b/>
                <w:i/>
                <w:lang w:eastAsia="en-AU"/>
              </w:rPr>
            </w:pPr>
            <w:r>
              <w:rPr>
                <w:rFonts w:eastAsia="Times New Roman"/>
                <w:b/>
                <w:lang w:eastAsia="en-AU"/>
              </w:rPr>
              <w:t>56</w:t>
            </w:r>
          </w:p>
        </w:tc>
        <w:tc>
          <w:tcPr>
            <w:tcW w:w="1478" w:type="dxa"/>
          </w:tcPr>
          <w:p w14:paraId="4B1D9492" w14:textId="77777777" w:rsidR="00D3612E" w:rsidRPr="00C45499" w:rsidRDefault="000B3ADF" w:rsidP="009B351B">
            <w:pPr>
              <w:rPr>
                <w:rFonts w:eastAsia="Times New Roman"/>
                <w:b/>
                <w:i/>
                <w:lang w:eastAsia="en-AU"/>
              </w:rPr>
            </w:pPr>
            <w:r>
              <w:rPr>
                <w:rFonts w:eastAsia="Times New Roman"/>
                <w:b/>
                <w:lang w:eastAsia="en-AU"/>
              </w:rPr>
              <w:t>34</w:t>
            </w:r>
          </w:p>
        </w:tc>
        <w:tc>
          <w:tcPr>
            <w:tcW w:w="1479" w:type="dxa"/>
          </w:tcPr>
          <w:p w14:paraId="48D993A2" w14:textId="77777777" w:rsidR="00D3612E" w:rsidRPr="00C45499" w:rsidRDefault="007B6D97" w:rsidP="009B351B">
            <w:pPr>
              <w:rPr>
                <w:rFonts w:eastAsia="Times New Roman"/>
                <w:b/>
                <w:i/>
                <w:lang w:eastAsia="en-AU"/>
              </w:rPr>
            </w:pPr>
            <w:r>
              <w:rPr>
                <w:rFonts w:eastAsia="Times New Roman"/>
                <w:b/>
                <w:lang w:eastAsia="en-AU"/>
              </w:rPr>
              <w:t>277</w:t>
            </w:r>
          </w:p>
        </w:tc>
      </w:tr>
    </w:tbl>
    <w:p w14:paraId="172E587D" w14:textId="77777777" w:rsidR="00696C61" w:rsidRDefault="00696C61" w:rsidP="00696C61">
      <w:pPr>
        <w:pStyle w:val="Caption"/>
      </w:pPr>
    </w:p>
    <w:p w14:paraId="49778ECA" w14:textId="77777777" w:rsidR="00C74F57" w:rsidRDefault="00C74F57">
      <w:pPr>
        <w:rPr>
          <w:b/>
          <w:bCs/>
          <w:i/>
          <w:color w:val="3B4E98"/>
          <w:sz w:val="18"/>
          <w:szCs w:val="18"/>
        </w:rPr>
      </w:pPr>
      <w:r>
        <w:br w:type="page"/>
      </w:r>
    </w:p>
    <w:p w14:paraId="7C54DC3F" w14:textId="5B5E3DD9" w:rsidR="00D3612E" w:rsidRPr="009B351B" w:rsidRDefault="00D3612E" w:rsidP="00696C61">
      <w:pPr>
        <w:pStyle w:val="Caption"/>
      </w:pPr>
      <w:r w:rsidRPr="009B351B">
        <w:lastRenderedPageBreak/>
        <w:t>Table 5: Types of training sessions</w:t>
      </w:r>
    </w:p>
    <w:tbl>
      <w:tblPr>
        <w:tblStyle w:val="TableGridLight"/>
        <w:tblW w:w="8951" w:type="dxa"/>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ayout w:type="fixed"/>
        <w:tblLook w:val="01E0" w:firstRow="1" w:lastRow="1" w:firstColumn="1" w:lastColumn="1" w:noHBand="0" w:noVBand="0"/>
      </w:tblPr>
      <w:tblGrid>
        <w:gridCol w:w="3791"/>
        <w:gridCol w:w="1236"/>
        <w:gridCol w:w="1094"/>
        <w:gridCol w:w="1094"/>
        <w:gridCol w:w="952"/>
        <w:gridCol w:w="784"/>
      </w:tblGrid>
      <w:tr w:rsidR="00D3612E" w:rsidRPr="00C86DCC" w14:paraId="2E4C6323" w14:textId="77777777" w:rsidTr="002E550A">
        <w:trPr>
          <w:trHeight w:val="497"/>
        </w:trPr>
        <w:tc>
          <w:tcPr>
            <w:tcW w:w="3791" w:type="dxa"/>
          </w:tcPr>
          <w:p w14:paraId="5E924629" w14:textId="77777777" w:rsidR="00D3612E" w:rsidRPr="00005DA9" w:rsidRDefault="00D3612E" w:rsidP="009B351B">
            <w:pPr>
              <w:rPr>
                <w:rFonts w:eastAsia="Times New Roman"/>
                <w:i/>
                <w:lang w:eastAsia="en-AU"/>
              </w:rPr>
            </w:pPr>
            <w:r w:rsidRPr="00005DA9">
              <w:rPr>
                <w:rFonts w:eastAsia="Times New Roman"/>
                <w:b/>
                <w:bCs/>
                <w:lang w:eastAsia="en-AU"/>
              </w:rPr>
              <w:t>Course</w:t>
            </w:r>
          </w:p>
        </w:tc>
        <w:tc>
          <w:tcPr>
            <w:tcW w:w="1236" w:type="dxa"/>
          </w:tcPr>
          <w:p w14:paraId="2C9A74AD" w14:textId="77777777" w:rsidR="00D3612E" w:rsidRPr="00005DA9" w:rsidRDefault="00D3612E" w:rsidP="009B351B">
            <w:pPr>
              <w:rPr>
                <w:rFonts w:eastAsia="Times New Roman"/>
                <w:b/>
                <w:bCs/>
                <w:i/>
                <w:lang w:eastAsia="en-AU"/>
              </w:rPr>
            </w:pPr>
            <w:r w:rsidRPr="00005DA9">
              <w:rPr>
                <w:rFonts w:eastAsia="Times New Roman"/>
                <w:b/>
                <w:bCs/>
                <w:lang w:eastAsia="en-AU"/>
              </w:rPr>
              <w:t>South-East</w:t>
            </w:r>
          </w:p>
        </w:tc>
        <w:tc>
          <w:tcPr>
            <w:tcW w:w="1094" w:type="dxa"/>
          </w:tcPr>
          <w:p w14:paraId="3C7AEC43" w14:textId="77777777" w:rsidR="00D3612E" w:rsidRPr="00005DA9" w:rsidRDefault="00D3612E" w:rsidP="009B351B">
            <w:pPr>
              <w:rPr>
                <w:rFonts w:eastAsia="Times New Roman"/>
                <w:b/>
                <w:bCs/>
                <w:i/>
                <w:lang w:eastAsia="en-AU"/>
              </w:rPr>
            </w:pPr>
            <w:r w:rsidRPr="00005DA9">
              <w:rPr>
                <w:rFonts w:eastAsia="Times New Roman"/>
                <w:b/>
                <w:bCs/>
                <w:lang w:eastAsia="en-AU"/>
              </w:rPr>
              <w:t>Central</w:t>
            </w:r>
          </w:p>
        </w:tc>
        <w:tc>
          <w:tcPr>
            <w:tcW w:w="1094" w:type="dxa"/>
          </w:tcPr>
          <w:p w14:paraId="52C690E5" w14:textId="77777777" w:rsidR="00D3612E" w:rsidRPr="00005DA9" w:rsidRDefault="00D3612E" w:rsidP="009B351B">
            <w:pPr>
              <w:rPr>
                <w:rFonts w:eastAsia="Times New Roman"/>
                <w:b/>
                <w:bCs/>
                <w:i/>
                <w:lang w:eastAsia="en-AU"/>
              </w:rPr>
            </w:pPr>
            <w:r w:rsidRPr="00005DA9">
              <w:rPr>
                <w:rFonts w:eastAsia="Times New Roman"/>
                <w:b/>
                <w:bCs/>
                <w:lang w:eastAsia="en-AU"/>
              </w:rPr>
              <w:t>North</w:t>
            </w:r>
          </w:p>
        </w:tc>
        <w:tc>
          <w:tcPr>
            <w:tcW w:w="952" w:type="dxa"/>
          </w:tcPr>
          <w:p w14:paraId="26B170C4" w14:textId="77777777" w:rsidR="00D3612E" w:rsidRPr="00005DA9" w:rsidRDefault="00D3612E" w:rsidP="009B351B">
            <w:pPr>
              <w:rPr>
                <w:rFonts w:eastAsia="Times New Roman"/>
                <w:b/>
                <w:bCs/>
                <w:i/>
                <w:lang w:eastAsia="en-AU"/>
              </w:rPr>
            </w:pPr>
            <w:r w:rsidRPr="00005DA9">
              <w:rPr>
                <w:rFonts w:eastAsia="Times New Roman"/>
                <w:b/>
                <w:bCs/>
                <w:lang w:eastAsia="en-AU"/>
              </w:rPr>
              <w:t>Far North</w:t>
            </w:r>
          </w:p>
        </w:tc>
        <w:tc>
          <w:tcPr>
            <w:tcW w:w="784" w:type="dxa"/>
          </w:tcPr>
          <w:p w14:paraId="003FE54D" w14:textId="77777777" w:rsidR="00D3612E" w:rsidRPr="00005DA9" w:rsidRDefault="00D3612E" w:rsidP="009B351B">
            <w:pPr>
              <w:rPr>
                <w:rFonts w:eastAsia="Times New Roman"/>
                <w:b/>
                <w:bCs/>
                <w:i/>
                <w:lang w:eastAsia="en-AU"/>
              </w:rPr>
            </w:pPr>
            <w:r w:rsidRPr="00005DA9">
              <w:rPr>
                <w:rFonts w:eastAsia="Times New Roman"/>
                <w:b/>
                <w:bCs/>
                <w:lang w:eastAsia="en-AU"/>
              </w:rPr>
              <w:t>Total</w:t>
            </w:r>
          </w:p>
        </w:tc>
      </w:tr>
      <w:tr w:rsidR="00D3612E" w:rsidRPr="00C86DCC" w14:paraId="673DE87C" w14:textId="77777777" w:rsidTr="002E550A">
        <w:tc>
          <w:tcPr>
            <w:tcW w:w="3791" w:type="dxa"/>
          </w:tcPr>
          <w:p w14:paraId="4383F6FB" w14:textId="77777777" w:rsidR="00D3612E" w:rsidRPr="00C45499" w:rsidRDefault="00D3612E" w:rsidP="009B351B">
            <w:pPr>
              <w:rPr>
                <w:rFonts w:eastAsia="Times New Roman"/>
                <w:i/>
                <w:lang w:eastAsia="en-AU"/>
              </w:rPr>
            </w:pPr>
            <w:r w:rsidRPr="00C45499">
              <w:rPr>
                <w:rFonts w:eastAsia="Times New Roman"/>
                <w:lang w:eastAsia="en-AU"/>
              </w:rPr>
              <w:t>Introduction to the Anti-Discrimination Act</w:t>
            </w:r>
          </w:p>
        </w:tc>
        <w:tc>
          <w:tcPr>
            <w:tcW w:w="1236" w:type="dxa"/>
          </w:tcPr>
          <w:p w14:paraId="38A6C510" w14:textId="77777777" w:rsidR="00D3612E" w:rsidRPr="00C45499" w:rsidRDefault="005F3972" w:rsidP="009B351B">
            <w:pPr>
              <w:rPr>
                <w:rFonts w:eastAsia="Times New Roman"/>
                <w:i/>
                <w:lang w:eastAsia="en-AU"/>
              </w:rPr>
            </w:pPr>
            <w:r>
              <w:rPr>
                <w:rFonts w:eastAsia="Times New Roman"/>
                <w:lang w:eastAsia="en-AU"/>
              </w:rPr>
              <w:t>62</w:t>
            </w:r>
          </w:p>
        </w:tc>
        <w:tc>
          <w:tcPr>
            <w:tcW w:w="1094" w:type="dxa"/>
          </w:tcPr>
          <w:p w14:paraId="70E2D465" w14:textId="77777777" w:rsidR="00D3612E" w:rsidRPr="00C45499" w:rsidRDefault="00D50B67" w:rsidP="009B351B">
            <w:pPr>
              <w:rPr>
                <w:rFonts w:eastAsia="Times New Roman"/>
                <w:i/>
                <w:lang w:eastAsia="en-AU"/>
              </w:rPr>
            </w:pPr>
            <w:r>
              <w:rPr>
                <w:rFonts w:eastAsia="Times New Roman"/>
                <w:lang w:eastAsia="en-AU"/>
              </w:rPr>
              <w:t>17</w:t>
            </w:r>
          </w:p>
        </w:tc>
        <w:tc>
          <w:tcPr>
            <w:tcW w:w="1094" w:type="dxa"/>
          </w:tcPr>
          <w:p w14:paraId="48FB21E0" w14:textId="77777777" w:rsidR="00D3612E" w:rsidRPr="00C45499" w:rsidRDefault="00D50B67" w:rsidP="009B351B">
            <w:pPr>
              <w:rPr>
                <w:rFonts w:eastAsia="Times New Roman"/>
                <w:i/>
                <w:lang w:eastAsia="en-AU"/>
              </w:rPr>
            </w:pPr>
            <w:r>
              <w:rPr>
                <w:rFonts w:eastAsia="Times New Roman"/>
                <w:lang w:eastAsia="en-AU"/>
              </w:rPr>
              <w:t>24</w:t>
            </w:r>
          </w:p>
        </w:tc>
        <w:tc>
          <w:tcPr>
            <w:tcW w:w="952" w:type="dxa"/>
          </w:tcPr>
          <w:p w14:paraId="654F5987" w14:textId="77777777" w:rsidR="00D3612E" w:rsidRPr="00C45499" w:rsidRDefault="005F3972" w:rsidP="009B351B">
            <w:pPr>
              <w:rPr>
                <w:rFonts w:eastAsia="Times New Roman"/>
                <w:i/>
                <w:lang w:eastAsia="en-AU"/>
              </w:rPr>
            </w:pPr>
            <w:r>
              <w:rPr>
                <w:rFonts w:eastAsia="Times New Roman"/>
                <w:lang w:eastAsia="en-AU"/>
              </w:rPr>
              <w:t>14</w:t>
            </w:r>
          </w:p>
        </w:tc>
        <w:tc>
          <w:tcPr>
            <w:tcW w:w="784" w:type="dxa"/>
          </w:tcPr>
          <w:p w14:paraId="302A7100" w14:textId="77777777" w:rsidR="00D3612E" w:rsidRPr="00C45499" w:rsidRDefault="00D50B67" w:rsidP="009B351B">
            <w:pPr>
              <w:rPr>
                <w:rFonts w:eastAsia="Times New Roman"/>
                <w:i/>
                <w:lang w:eastAsia="en-AU"/>
              </w:rPr>
            </w:pPr>
            <w:r>
              <w:rPr>
                <w:rFonts w:eastAsia="Times New Roman"/>
                <w:lang w:eastAsia="en-AU"/>
              </w:rPr>
              <w:t>117</w:t>
            </w:r>
          </w:p>
        </w:tc>
      </w:tr>
      <w:tr w:rsidR="00D3612E" w:rsidRPr="00C86DCC" w14:paraId="6EE8BD5B" w14:textId="77777777" w:rsidTr="002E550A">
        <w:tc>
          <w:tcPr>
            <w:tcW w:w="3791" w:type="dxa"/>
          </w:tcPr>
          <w:p w14:paraId="4D0CD4EF" w14:textId="77777777" w:rsidR="00D3612E" w:rsidRPr="00C45499" w:rsidRDefault="00D3612E" w:rsidP="009B351B">
            <w:pPr>
              <w:rPr>
                <w:rFonts w:eastAsia="Times New Roman"/>
                <w:i/>
                <w:lang w:eastAsia="en-AU"/>
              </w:rPr>
            </w:pPr>
            <w:r w:rsidRPr="00C45499">
              <w:rPr>
                <w:rFonts w:eastAsia="Times New Roman"/>
                <w:lang w:eastAsia="en-AU"/>
              </w:rPr>
              <w:t>The Contact Officer (standard and refresher course)</w:t>
            </w:r>
          </w:p>
        </w:tc>
        <w:tc>
          <w:tcPr>
            <w:tcW w:w="1236" w:type="dxa"/>
          </w:tcPr>
          <w:p w14:paraId="0051A048" w14:textId="77777777" w:rsidR="00D3612E" w:rsidRPr="00C45499" w:rsidRDefault="005F3972" w:rsidP="009B351B">
            <w:pPr>
              <w:rPr>
                <w:rFonts w:eastAsia="Times New Roman"/>
                <w:i/>
                <w:lang w:eastAsia="en-AU"/>
              </w:rPr>
            </w:pPr>
            <w:r>
              <w:rPr>
                <w:rFonts w:eastAsia="Times New Roman"/>
                <w:lang w:eastAsia="en-AU"/>
              </w:rPr>
              <w:t>11</w:t>
            </w:r>
          </w:p>
        </w:tc>
        <w:tc>
          <w:tcPr>
            <w:tcW w:w="1094" w:type="dxa"/>
          </w:tcPr>
          <w:p w14:paraId="567E9A42" w14:textId="77777777" w:rsidR="00D3612E" w:rsidRPr="00C45499" w:rsidRDefault="00D50B67" w:rsidP="009B351B">
            <w:pPr>
              <w:rPr>
                <w:rFonts w:eastAsia="Times New Roman"/>
                <w:i/>
                <w:lang w:eastAsia="en-AU"/>
              </w:rPr>
            </w:pPr>
            <w:r>
              <w:rPr>
                <w:rFonts w:eastAsia="Times New Roman"/>
                <w:lang w:eastAsia="en-AU"/>
              </w:rPr>
              <w:t>5</w:t>
            </w:r>
          </w:p>
        </w:tc>
        <w:tc>
          <w:tcPr>
            <w:tcW w:w="1094" w:type="dxa"/>
          </w:tcPr>
          <w:p w14:paraId="51F0C758" w14:textId="77777777" w:rsidR="00D3612E" w:rsidRPr="00C45499" w:rsidRDefault="00D50B67" w:rsidP="009B351B">
            <w:pPr>
              <w:rPr>
                <w:rFonts w:eastAsia="Times New Roman"/>
                <w:i/>
                <w:lang w:eastAsia="en-AU"/>
              </w:rPr>
            </w:pPr>
            <w:r>
              <w:rPr>
                <w:rFonts w:eastAsia="Times New Roman"/>
                <w:lang w:eastAsia="en-AU"/>
              </w:rPr>
              <w:t>7</w:t>
            </w:r>
          </w:p>
        </w:tc>
        <w:tc>
          <w:tcPr>
            <w:tcW w:w="952" w:type="dxa"/>
          </w:tcPr>
          <w:p w14:paraId="1D1C5C61" w14:textId="77777777" w:rsidR="00D3612E" w:rsidRPr="00C45499" w:rsidRDefault="005F3972" w:rsidP="009B351B">
            <w:pPr>
              <w:rPr>
                <w:rFonts w:eastAsia="Times New Roman"/>
                <w:i/>
                <w:lang w:eastAsia="en-AU"/>
              </w:rPr>
            </w:pPr>
            <w:r>
              <w:rPr>
                <w:rFonts w:eastAsia="Times New Roman"/>
                <w:lang w:eastAsia="en-AU"/>
              </w:rPr>
              <w:t>2</w:t>
            </w:r>
          </w:p>
        </w:tc>
        <w:tc>
          <w:tcPr>
            <w:tcW w:w="784" w:type="dxa"/>
          </w:tcPr>
          <w:p w14:paraId="6410ADCF" w14:textId="77777777" w:rsidR="00D3612E" w:rsidRPr="00C45499" w:rsidRDefault="00D50B67" w:rsidP="009B351B">
            <w:pPr>
              <w:rPr>
                <w:rFonts w:eastAsia="Times New Roman"/>
                <w:i/>
                <w:lang w:eastAsia="en-AU"/>
              </w:rPr>
            </w:pPr>
            <w:r>
              <w:rPr>
                <w:rFonts w:eastAsia="Times New Roman"/>
                <w:lang w:eastAsia="en-AU"/>
              </w:rPr>
              <w:t>25</w:t>
            </w:r>
          </w:p>
        </w:tc>
      </w:tr>
      <w:tr w:rsidR="00D3612E" w:rsidRPr="00C86DCC" w14:paraId="03326C0C" w14:textId="77777777" w:rsidTr="002E550A">
        <w:tc>
          <w:tcPr>
            <w:tcW w:w="3791" w:type="dxa"/>
          </w:tcPr>
          <w:p w14:paraId="71B5401F" w14:textId="77777777" w:rsidR="00D3612E" w:rsidRPr="00C45499" w:rsidRDefault="00D3612E" w:rsidP="009B351B">
            <w:pPr>
              <w:rPr>
                <w:rFonts w:eastAsia="Times New Roman"/>
                <w:i/>
                <w:lang w:eastAsia="en-AU"/>
              </w:rPr>
            </w:pPr>
            <w:r w:rsidRPr="00C45499">
              <w:rPr>
                <w:rFonts w:eastAsia="Times New Roman"/>
                <w:lang w:eastAsia="en-AU"/>
              </w:rPr>
              <w:t>Managing complaints</w:t>
            </w:r>
          </w:p>
        </w:tc>
        <w:tc>
          <w:tcPr>
            <w:tcW w:w="1236" w:type="dxa"/>
          </w:tcPr>
          <w:p w14:paraId="5169CD09" w14:textId="77777777" w:rsidR="00D3612E" w:rsidRPr="00C45499" w:rsidRDefault="003126C2" w:rsidP="009B351B">
            <w:pPr>
              <w:rPr>
                <w:rFonts w:eastAsia="Times New Roman"/>
                <w:i/>
                <w:lang w:eastAsia="en-AU"/>
              </w:rPr>
            </w:pPr>
            <w:r>
              <w:rPr>
                <w:rFonts w:eastAsia="Times New Roman"/>
                <w:lang w:eastAsia="en-AU"/>
              </w:rPr>
              <w:t>2</w:t>
            </w:r>
          </w:p>
        </w:tc>
        <w:tc>
          <w:tcPr>
            <w:tcW w:w="1094" w:type="dxa"/>
          </w:tcPr>
          <w:p w14:paraId="62EBC223" w14:textId="77777777" w:rsidR="00D3612E" w:rsidRPr="00C45499" w:rsidRDefault="003126C2" w:rsidP="009B351B">
            <w:pPr>
              <w:rPr>
                <w:rFonts w:eastAsia="Times New Roman"/>
                <w:i/>
                <w:lang w:eastAsia="en-AU"/>
              </w:rPr>
            </w:pPr>
            <w:r>
              <w:rPr>
                <w:rFonts w:eastAsia="Times New Roman"/>
                <w:lang w:eastAsia="en-AU"/>
              </w:rPr>
              <w:t>1</w:t>
            </w:r>
          </w:p>
        </w:tc>
        <w:tc>
          <w:tcPr>
            <w:tcW w:w="1094" w:type="dxa"/>
          </w:tcPr>
          <w:p w14:paraId="098399D3" w14:textId="77777777" w:rsidR="00D3612E" w:rsidRPr="00C45499" w:rsidRDefault="003126C2" w:rsidP="009B351B">
            <w:pPr>
              <w:rPr>
                <w:rFonts w:eastAsia="Times New Roman"/>
                <w:i/>
                <w:lang w:eastAsia="en-AU"/>
              </w:rPr>
            </w:pPr>
            <w:r w:rsidRPr="00C45499">
              <w:rPr>
                <w:rFonts w:eastAsia="Times New Roman"/>
                <w:lang w:eastAsia="en-AU"/>
              </w:rPr>
              <w:t>—</w:t>
            </w:r>
          </w:p>
        </w:tc>
        <w:tc>
          <w:tcPr>
            <w:tcW w:w="952" w:type="dxa"/>
          </w:tcPr>
          <w:p w14:paraId="18B0F6B7" w14:textId="77777777" w:rsidR="00D3612E" w:rsidRPr="00C45499" w:rsidRDefault="003126C2" w:rsidP="009B351B">
            <w:pPr>
              <w:rPr>
                <w:rFonts w:eastAsia="Times New Roman"/>
                <w:i/>
                <w:lang w:eastAsia="en-AU"/>
              </w:rPr>
            </w:pPr>
            <w:r>
              <w:rPr>
                <w:rFonts w:eastAsia="Times New Roman"/>
                <w:lang w:eastAsia="en-AU"/>
              </w:rPr>
              <w:t>1</w:t>
            </w:r>
          </w:p>
        </w:tc>
        <w:tc>
          <w:tcPr>
            <w:tcW w:w="784" w:type="dxa"/>
          </w:tcPr>
          <w:p w14:paraId="57F593C2" w14:textId="77777777" w:rsidR="00D3612E" w:rsidRPr="00C45499" w:rsidRDefault="003126C2" w:rsidP="009B351B">
            <w:pPr>
              <w:rPr>
                <w:rFonts w:eastAsia="Times New Roman"/>
                <w:i/>
                <w:lang w:eastAsia="en-AU"/>
              </w:rPr>
            </w:pPr>
            <w:r>
              <w:rPr>
                <w:rFonts w:eastAsia="Times New Roman"/>
                <w:lang w:eastAsia="en-AU"/>
              </w:rPr>
              <w:t>4</w:t>
            </w:r>
          </w:p>
        </w:tc>
      </w:tr>
      <w:tr w:rsidR="00D3612E" w:rsidRPr="00C86DCC" w14:paraId="7B5E30F4" w14:textId="77777777" w:rsidTr="002E550A">
        <w:tc>
          <w:tcPr>
            <w:tcW w:w="3791" w:type="dxa"/>
          </w:tcPr>
          <w:p w14:paraId="4067B16C" w14:textId="77777777" w:rsidR="00D3612E" w:rsidRPr="00C45499" w:rsidRDefault="00D3612E" w:rsidP="009B351B">
            <w:pPr>
              <w:rPr>
                <w:rFonts w:eastAsia="Times New Roman"/>
                <w:i/>
                <w:lang w:eastAsia="en-AU"/>
              </w:rPr>
            </w:pPr>
            <w:r w:rsidRPr="00C45499">
              <w:rPr>
                <w:rFonts w:eastAsia="Times New Roman"/>
                <w:lang w:eastAsia="en-AU"/>
              </w:rPr>
              <w:t>Recruitment and Selection</w:t>
            </w:r>
          </w:p>
        </w:tc>
        <w:tc>
          <w:tcPr>
            <w:tcW w:w="1236" w:type="dxa"/>
          </w:tcPr>
          <w:p w14:paraId="650E4464" w14:textId="77777777" w:rsidR="00D3612E" w:rsidRPr="00C45499" w:rsidRDefault="005F3972" w:rsidP="009B351B">
            <w:pPr>
              <w:rPr>
                <w:rFonts w:eastAsia="Times New Roman"/>
                <w:i/>
                <w:lang w:eastAsia="en-AU"/>
              </w:rPr>
            </w:pPr>
            <w:r w:rsidRPr="00C45499">
              <w:rPr>
                <w:rFonts w:eastAsia="Times New Roman"/>
                <w:lang w:eastAsia="en-AU"/>
              </w:rPr>
              <w:t>—</w:t>
            </w:r>
          </w:p>
        </w:tc>
        <w:tc>
          <w:tcPr>
            <w:tcW w:w="1094" w:type="dxa"/>
          </w:tcPr>
          <w:p w14:paraId="6F629E18" w14:textId="77777777" w:rsidR="00D3612E" w:rsidRPr="00C45499" w:rsidRDefault="00D50B67" w:rsidP="009B351B">
            <w:pPr>
              <w:rPr>
                <w:rFonts w:eastAsia="Times New Roman"/>
                <w:i/>
                <w:lang w:eastAsia="en-AU"/>
              </w:rPr>
            </w:pPr>
            <w:r>
              <w:rPr>
                <w:rFonts w:eastAsia="Times New Roman"/>
                <w:lang w:eastAsia="en-AU"/>
              </w:rPr>
              <w:t>1</w:t>
            </w:r>
          </w:p>
        </w:tc>
        <w:tc>
          <w:tcPr>
            <w:tcW w:w="1094" w:type="dxa"/>
          </w:tcPr>
          <w:p w14:paraId="355802E5" w14:textId="77777777" w:rsidR="00D3612E" w:rsidRPr="00C45499" w:rsidRDefault="00D50B67" w:rsidP="009B351B">
            <w:pPr>
              <w:rPr>
                <w:rFonts w:eastAsia="Times New Roman"/>
                <w:i/>
                <w:lang w:eastAsia="en-AU"/>
              </w:rPr>
            </w:pPr>
            <w:r>
              <w:rPr>
                <w:rFonts w:eastAsia="Times New Roman"/>
                <w:lang w:eastAsia="en-AU"/>
              </w:rPr>
              <w:t>2</w:t>
            </w:r>
          </w:p>
        </w:tc>
        <w:tc>
          <w:tcPr>
            <w:tcW w:w="952" w:type="dxa"/>
          </w:tcPr>
          <w:p w14:paraId="0C73CE8E" w14:textId="77777777" w:rsidR="00D3612E" w:rsidRPr="00C45499" w:rsidRDefault="005F3972" w:rsidP="009B351B">
            <w:pPr>
              <w:rPr>
                <w:rFonts w:eastAsia="Times New Roman"/>
                <w:i/>
                <w:lang w:eastAsia="en-AU"/>
              </w:rPr>
            </w:pPr>
            <w:r>
              <w:rPr>
                <w:rFonts w:eastAsia="Times New Roman"/>
                <w:lang w:eastAsia="en-AU"/>
              </w:rPr>
              <w:t>3</w:t>
            </w:r>
          </w:p>
        </w:tc>
        <w:tc>
          <w:tcPr>
            <w:tcW w:w="784" w:type="dxa"/>
          </w:tcPr>
          <w:p w14:paraId="51C7DC60" w14:textId="77777777" w:rsidR="00D3612E" w:rsidRPr="00C45499" w:rsidRDefault="00D50B67" w:rsidP="009B351B">
            <w:pPr>
              <w:rPr>
                <w:rFonts w:eastAsia="Times New Roman"/>
                <w:i/>
                <w:lang w:eastAsia="en-AU"/>
              </w:rPr>
            </w:pPr>
            <w:r>
              <w:rPr>
                <w:rFonts w:eastAsia="Times New Roman"/>
                <w:lang w:eastAsia="en-AU"/>
              </w:rPr>
              <w:t>6</w:t>
            </w:r>
          </w:p>
        </w:tc>
      </w:tr>
      <w:tr w:rsidR="00D3612E" w:rsidRPr="00C86DCC" w14:paraId="72764B08" w14:textId="77777777" w:rsidTr="002E550A">
        <w:tc>
          <w:tcPr>
            <w:tcW w:w="3791" w:type="dxa"/>
          </w:tcPr>
          <w:p w14:paraId="6788F7ED" w14:textId="77777777" w:rsidR="00D3612E" w:rsidRPr="00C45499" w:rsidRDefault="00D3612E" w:rsidP="009B351B">
            <w:pPr>
              <w:rPr>
                <w:rFonts w:eastAsia="Times New Roman"/>
                <w:i/>
                <w:lang w:eastAsia="en-AU"/>
              </w:rPr>
            </w:pPr>
            <w:r w:rsidRPr="00C45499">
              <w:rPr>
                <w:rFonts w:eastAsia="Times New Roman"/>
                <w:lang w:eastAsia="en-AU"/>
              </w:rPr>
              <w:t xml:space="preserve">Tracking your rights — A and TSI </w:t>
            </w:r>
          </w:p>
        </w:tc>
        <w:tc>
          <w:tcPr>
            <w:tcW w:w="1236" w:type="dxa"/>
          </w:tcPr>
          <w:p w14:paraId="0C9C1F89" w14:textId="77777777" w:rsidR="00D3612E" w:rsidRPr="00C45499" w:rsidRDefault="003126C2" w:rsidP="009B351B">
            <w:pPr>
              <w:rPr>
                <w:rFonts w:eastAsia="Times New Roman"/>
                <w:i/>
                <w:lang w:eastAsia="en-AU"/>
              </w:rPr>
            </w:pPr>
            <w:r>
              <w:rPr>
                <w:rFonts w:eastAsia="Times New Roman"/>
                <w:lang w:eastAsia="en-AU"/>
              </w:rPr>
              <w:t>7</w:t>
            </w:r>
          </w:p>
        </w:tc>
        <w:tc>
          <w:tcPr>
            <w:tcW w:w="1094" w:type="dxa"/>
          </w:tcPr>
          <w:p w14:paraId="5C72757A" w14:textId="77777777" w:rsidR="00D3612E" w:rsidRPr="00C45499" w:rsidRDefault="003126C2" w:rsidP="009B351B">
            <w:pPr>
              <w:rPr>
                <w:rFonts w:eastAsia="Times New Roman"/>
                <w:i/>
                <w:lang w:eastAsia="en-AU"/>
              </w:rPr>
            </w:pPr>
            <w:r w:rsidRPr="00C45499">
              <w:rPr>
                <w:rFonts w:eastAsia="Times New Roman"/>
                <w:lang w:eastAsia="en-AU"/>
              </w:rPr>
              <w:t>—</w:t>
            </w:r>
          </w:p>
        </w:tc>
        <w:tc>
          <w:tcPr>
            <w:tcW w:w="1094" w:type="dxa"/>
          </w:tcPr>
          <w:p w14:paraId="2E11B7B1" w14:textId="77777777" w:rsidR="00D3612E" w:rsidRPr="00C45499" w:rsidRDefault="003126C2" w:rsidP="009B351B">
            <w:pPr>
              <w:rPr>
                <w:rFonts w:eastAsia="Times New Roman"/>
                <w:i/>
                <w:lang w:eastAsia="en-AU"/>
              </w:rPr>
            </w:pPr>
            <w:r w:rsidRPr="00C45499">
              <w:rPr>
                <w:rFonts w:eastAsia="Times New Roman"/>
                <w:lang w:eastAsia="en-AU"/>
              </w:rPr>
              <w:t>—</w:t>
            </w:r>
          </w:p>
        </w:tc>
        <w:tc>
          <w:tcPr>
            <w:tcW w:w="952" w:type="dxa"/>
          </w:tcPr>
          <w:p w14:paraId="78C0CA21" w14:textId="77777777" w:rsidR="00D3612E" w:rsidRPr="00C45499" w:rsidRDefault="003126C2" w:rsidP="009B351B">
            <w:pPr>
              <w:rPr>
                <w:rFonts w:eastAsia="Times New Roman"/>
                <w:i/>
                <w:lang w:eastAsia="en-AU"/>
              </w:rPr>
            </w:pPr>
            <w:r w:rsidRPr="00C45499">
              <w:rPr>
                <w:rFonts w:eastAsia="Times New Roman"/>
                <w:lang w:eastAsia="en-AU"/>
              </w:rPr>
              <w:t>—</w:t>
            </w:r>
          </w:p>
        </w:tc>
        <w:tc>
          <w:tcPr>
            <w:tcW w:w="784" w:type="dxa"/>
          </w:tcPr>
          <w:p w14:paraId="1717431C" w14:textId="77777777" w:rsidR="00D3612E" w:rsidRPr="00C45499" w:rsidRDefault="003126C2" w:rsidP="009B351B">
            <w:pPr>
              <w:rPr>
                <w:rFonts w:eastAsia="Times New Roman"/>
                <w:i/>
                <w:lang w:eastAsia="en-AU"/>
              </w:rPr>
            </w:pPr>
            <w:r>
              <w:rPr>
                <w:rFonts w:eastAsia="Times New Roman"/>
                <w:lang w:eastAsia="en-AU"/>
              </w:rPr>
              <w:t>7</w:t>
            </w:r>
          </w:p>
        </w:tc>
      </w:tr>
      <w:tr w:rsidR="00D3612E" w:rsidRPr="00C86DCC" w14:paraId="7FE89811" w14:textId="77777777" w:rsidTr="002E550A">
        <w:tc>
          <w:tcPr>
            <w:tcW w:w="3791" w:type="dxa"/>
          </w:tcPr>
          <w:p w14:paraId="3F296525" w14:textId="77777777" w:rsidR="00D3612E" w:rsidRPr="00C45499" w:rsidRDefault="00D3612E" w:rsidP="009B351B">
            <w:pPr>
              <w:rPr>
                <w:rFonts w:eastAsia="Times New Roman"/>
                <w:i/>
                <w:lang w:eastAsia="en-AU"/>
              </w:rPr>
            </w:pPr>
            <w:r w:rsidRPr="00C45499">
              <w:rPr>
                <w:rFonts w:eastAsia="Times New Roman"/>
                <w:lang w:eastAsia="en-AU"/>
              </w:rPr>
              <w:t xml:space="preserve">Introduction to the Anti-Discrimination Act for Managers </w:t>
            </w:r>
          </w:p>
        </w:tc>
        <w:tc>
          <w:tcPr>
            <w:tcW w:w="1236" w:type="dxa"/>
          </w:tcPr>
          <w:p w14:paraId="321A245E" w14:textId="77777777" w:rsidR="00D3612E" w:rsidRPr="00C45499" w:rsidRDefault="005F3972" w:rsidP="009B351B">
            <w:pPr>
              <w:rPr>
                <w:rFonts w:eastAsia="Times New Roman"/>
                <w:i/>
                <w:lang w:eastAsia="en-AU"/>
              </w:rPr>
            </w:pPr>
            <w:r>
              <w:rPr>
                <w:rFonts w:eastAsia="Times New Roman"/>
                <w:lang w:eastAsia="en-AU"/>
              </w:rPr>
              <w:t>17</w:t>
            </w:r>
          </w:p>
        </w:tc>
        <w:tc>
          <w:tcPr>
            <w:tcW w:w="1094" w:type="dxa"/>
          </w:tcPr>
          <w:p w14:paraId="2FF20184" w14:textId="77777777" w:rsidR="00D3612E" w:rsidRPr="00C45499" w:rsidRDefault="00D50B67" w:rsidP="009B351B">
            <w:pPr>
              <w:rPr>
                <w:rFonts w:eastAsia="Times New Roman"/>
                <w:i/>
                <w:lang w:eastAsia="en-AU"/>
              </w:rPr>
            </w:pPr>
            <w:r>
              <w:rPr>
                <w:rFonts w:eastAsia="Times New Roman"/>
                <w:lang w:eastAsia="en-AU"/>
              </w:rPr>
              <w:t>7</w:t>
            </w:r>
          </w:p>
        </w:tc>
        <w:tc>
          <w:tcPr>
            <w:tcW w:w="1094" w:type="dxa"/>
          </w:tcPr>
          <w:p w14:paraId="7230F6D9" w14:textId="77777777" w:rsidR="00D3612E" w:rsidRPr="00C45499" w:rsidRDefault="00D50B67" w:rsidP="009B351B">
            <w:pPr>
              <w:rPr>
                <w:rFonts w:eastAsia="Times New Roman"/>
                <w:i/>
                <w:lang w:eastAsia="en-AU"/>
              </w:rPr>
            </w:pPr>
            <w:r>
              <w:rPr>
                <w:rFonts w:eastAsia="Times New Roman"/>
                <w:lang w:eastAsia="en-AU"/>
              </w:rPr>
              <w:t>6</w:t>
            </w:r>
          </w:p>
        </w:tc>
        <w:tc>
          <w:tcPr>
            <w:tcW w:w="952" w:type="dxa"/>
          </w:tcPr>
          <w:p w14:paraId="5B7AD120" w14:textId="77777777" w:rsidR="00D3612E" w:rsidRPr="00C45499" w:rsidRDefault="005F3972" w:rsidP="009B351B">
            <w:pPr>
              <w:rPr>
                <w:rFonts w:eastAsia="Times New Roman"/>
                <w:i/>
                <w:lang w:eastAsia="en-AU"/>
              </w:rPr>
            </w:pPr>
            <w:r>
              <w:rPr>
                <w:rFonts w:eastAsia="Times New Roman"/>
                <w:lang w:eastAsia="en-AU"/>
              </w:rPr>
              <w:t>10</w:t>
            </w:r>
          </w:p>
        </w:tc>
        <w:tc>
          <w:tcPr>
            <w:tcW w:w="784" w:type="dxa"/>
          </w:tcPr>
          <w:p w14:paraId="11B5A0DA" w14:textId="77777777" w:rsidR="00D3612E" w:rsidRPr="00C45499" w:rsidRDefault="00D50B67" w:rsidP="009B351B">
            <w:pPr>
              <w:rPr>
                <w:rFonts w:eastAsia="Times New Roman"/>
                <w:i/>
                <w:lang w:eastAsia="en-AU"/>
              </w:rPr>
            </w:pPr>
            <w:r>
              <w:rPr>
                <w:rFonts w:eastAsia="Times New Roman"/>
                <w:lang w:eastAsia="en-AU"/>
              </w:rPr>
              <w:t>40</w:t>
            </w:r>
          </w:p>
        </w:tc>
      </w:tr>
      <w:tr w:rsidR="00D3612E" w:rsidRPr="00C86DCC" w14:paraId="2741E55B" w14:textId="77777777" w:rsidTr="002E550A">
        <w:tc>
          <w:tcPr>
            <w:tcW w:w="3791" w:type="dxa"/>
          </w:tcPr>
          <w:p w14:paraId="191ED251" w14:textId="77777777" w:rsidR="00D3612E" w:rsidRPr="00C45499" w:rsidRDefault="00D3612E" w:rsidP="009B351B">
            <w:pPr>
              <w:rPr>
                <w:rFonts w:eastAsia="Times New Roman"/>
                <w:i/>
                <w:lang w:eastAsia="en-AU"/>
              </w:rPr>
            </w:pPr>
            <w:r w:rsidRPr="00C45499">
              <w:rPr>
                <w:rFonts w:eastAsia="Times New Roman"/>
                <w:lang w:eastAsia="en-AU"/>
              </w:rPr>
              <w:t xml:space="preserve">Unconscious bias </w:t>
            </w:r>
          </w:p>
        </w:tc>
        <w:tc>
          <w:tcPr>
            <w:tcW w:w="1236" w:type="dxa"/>
          </w:tcPr>
          <w:p w14:paraId="4E7736EE" w14:textId="77777777" w:rsidR="00D3612E" w:rsidRPr="00C45499" w:rsidRDefault="005F3972" w:rsidP="009B351B">
            <w:pPr>
              <w:rPr>
                <w:rFonts w:eastAsia="Times New Roman"/>
                <w:i/>
                <w:lang w:eastAsia="en-AU"/>
              </w:rPr>
            </w:pPr>
            <w:r>
              <w:rPr>
                <w:rFonts w:eastAsia="Times New Roman"/>
                <w:lang w:eastAsia="en-AU"/>
              </w:rPr>
              <w:t>31</w:t>
            </w:r>
          </w:p>
        </w:tc>
        <w:tc>
          <w:tcPr>
            <w:tcW w:w="1094" w:type="dxa"/>
          </w:tcPr>
          <w:p w14:paraId="4E832991" w14:textId="77777777" w:rsidR="00D3612E" w:rsidRPr="00C45499" w:rsidRDefault="00D50B67" w:rsidP="009B351B">
            <w:pPr>
              <w:rPr>
                <w:rFonts w:eastAsia="Times New Roman"/>
                <w:i/>
                <w:lang w:eastAsia="en-AU"/>
              </w:rPr>
            </w:pPr>
            <w:r>
              <w:rPr>
                <w:rFonts w:eastAsia="Times New Roman"/>
                <w:lang w:eastAsia="en-AU"/>
              </w:rPr>
              <w:t>5</w:t>
            </w:r>
          </w:p>
        </w:tc>
        <w:tc>
          <w:tcPr>
            <w:tcW w:w="1094" w:type="dxa"/>
          </w:tcPr>
          <w:p w14:paraId="18DE891A" w14:textId="77777777" w:rsidR="00D3612E" w:rsidRPr="00C45499" w:rsidRDefault="00D50B67" w:rsidP="009B351B">
            <w:pPr>
              <w:rPr>
                <w:rFonts w:eastAsia="Times New Roman"/>
                <w:i/>
                <w:lang w:eastAsia="en-AU"/>
              </w:rPr>
            </w:pPr>
            <w:r>
              <w:rPr>
                <w:rFonts w:eastAsia="Times New Roman"/>
                <w:lang w:eastAsia="en-AU"/>
              </w:rPr>
              <w:t>13</w:t>
            </w:r>
          </w:p>
        </w:tc>
        <w:tc>
          <w:tcPr>
            <w:tcW w:w="952" w:type="dxa"/>
          </w:tcPr>
          <w:p w14:paraId="2C3E73BA" w14:textId="77777777" w:rsidR="00D3612E" w:rsidRPr="00C45499" w:rsidRDefault="00D50B67" w:rsidP="009B351B">
            <w:pPr>
              <w:rPr>
                <w:rFonts w:eastAsia="Times New Roman"/>
                <w:i/>
                <w:lang w:eastAsia="en-AU"/>
              </w:rPr>
            </w:pPr>
            <w:r>
              <w:rPr>
                <w:rFonts w:eastAsia="Times New Roman"/>
                <w:lang w:eastAsia="en-AU"/>
              </w:rPr>
              <w:t>3</w:t>
            </w:r>
          </w:p>
        </w:tc>
        <w:tc>
          <w:tcPr>
            <w:tcW w:w="784" w:type="dxa"/>
          </w:tcPr>
          <w:p w14:paraId="72EA72C5" w14:textId="77777777" w:rsidR="00D3612E" w:rsidRPr="00C45499" w:rsidRDefault="00D50B67" w:rsidP="009B351B">
            <w:pPr>
              <w:rPr>
                <w:rFonts w:eastAsia="Times New Roman"/>
                <w:i/>
                <w:lang w:eastAsia="en-AU"/>
              </w:rPr>
            </w:pPr>
            <w:r>
              <w:rPr>
                <w:rFonts w:eastAsia="Times New Roman"/>
                <w:lang w:eastAsia="en-AU"/>
              </w:rPr>
              <w:t>52</w:t>
            </w:r>
          </w:p>
        </w:tc>
      </w:tr>
      <w:tr w:rsidR="00D3612E" w:rsidRPr="00C86DCC" w14:paraId="19569F21" w14:textId="77777777" w:rsidTr="002E550A">
        <w:tc>
          <w:tcPr>
            <w:tcW w:w="3791" w:type="dxa"/>
          </w:tcPr>
          <w:p w14:paraId="26089C37" w14:textId="77777777" w:rsidR="00D3612E" w:rsidRPr="00C45499" w:rsidRDefault="000E55EF" w:rsidP="009B351B">
            <w:pPr>
              <w:rPr>
                <w:rFonts w:eastAsia="Times New Roman"/>
                <w:i/>
                <w:lang w:eastAsia="en-AU"/>
              </w:rPr>
            </w:pPr>
            <w:r>
              <w:rPr>
                <w:rFonts w:eastAsia="Times New Roman"/>
                <w:lang w:eastAsia="en-AU"/>
              </w:rPr>
              <w:t>Business</w:t>
            </w:r>
            <w:r w:rsidR="00D3612E" w:rsidRPr="00C45499">
              <w:rPr>
                <w:rFonts w:eastAsia="Times New Roman"/>
                <w:lang w:eastAsia="en-AU"/>
              </w:rPr>
              <w:t xml:space="preserve"> benefits of</w:t>
            </w:r>
            <w:r>
              <w:rPr>
                <w:rFonts w:eastAsia="Times New Roman"/>
                <w:lang w:eastAsia="en-AU"/>
              </w:rPr>
              <w:t xml:space="preserve"> d</w:t>
            </w:r>
            <w:r w:rsidR="00D3612E" w:rsidRPr="00C45499">
              <w:rPr>
                <w:rFonts w:eastAsia="Times New Roman"/>
                <w:lang w:eastAsia="en-AU"/>
              </w:rPr>
              <w:t>iverse &amp; inclusive workplace</w:t>
            </w:r>
            <w:r>
              <w:rPr>
                <w:rFonts w:eastAsia="Times New Roman"/>
                <w:lang w:eastAsia="en-AU"/>
              </w:rPr>
              <w:t>s</w:t>
            </w:r>
          </w:p>
        </w:tc>
        <w:tc>
          <w:tcPr>
            <w:tcW w:w="1236" w:type="dxa"/>
          </w:tcPr>
          <w:p w14:paraId="335DC0C0" w14:textId="77777777" w:rsidR="00D3612E" w:rsidRPr="00C45499" w:rsidRDefault="003126C2" w:rsidP="009B351B">
            <w:pPr>
              <w:rPr>
                <w:rFonts w:eastAsia="Times New Roman"/>
                <w:i/>
                <w:lang w:eastAsia="en-AU"/>
              </w:rPr>
            </w:pPr>
            <w:r>
              <w:rPr>
                <w:rFonts w:eastAsia="Times New Roman"/>
                <w:lang w:eastAsia="en-AU"/>
              </w:rPr>
              <w:t>3</w:t>
            </w:r>
          </w:p>
        </w:tc>
        <w:tc>
          <w:tcPr>
            <w:tcW w:w="1094" w:type="dxa"/>
          </w:tcPr>
          <w:p w14:paraId="2EB84644" w14:textId="77777777" w:rsidR="00D3612E" w:rsidRPr="00C45499" w:rsidRDefault="003126C2" w:rsidP="009B351B">
            <w:pPr>
              <w:rPr>
                <w:rFonts w:eastAsia="Times New Roman"/>
                <w:i/>
                <w:lang w:eastAsia="en-AU"/>
              </w:rPr>
            </w:pPr>
            <w:r w:rsidRPr="00C45499">
              <w:rPr>
                <w:rFonts w:eastAsia="Times New Roman"/>
                <w:lang w:eastAsia="en-AU"/>
              </w:rPr>
              <w:t>—</w:t>
            </w:r>
          </w:p>
        </w:tc>
        <w:tc>
          <w:tcPr>
            <w:tcW w:w="1094" w:type="dxa"/>
          </w:tcPr>
          <w:p w14:paraId="6E6C613D" w14:textId="77777777" w:rsidR="00D3612E" w:rsidRPr="00C45499" w:rsidRDefault="003126C2" w:rsidP="009B351B">
            <w:pPr>
              <w:rPr>
                <w:rFonts w:eastAsia="Times New Roman"/>
                <w:i/>
                <w:lang w:eastAsia="en-AU"/>
              </w:rPr>
            </w:pPr>
            <w:r w:rsidRPr="00C45499">
              <w:rPr>
                <w:rFonts w:eastAsia="Times New Roman"/>
                <w:lang w:eastAsia="en-AU"/>
              </w:rPr>
              <w:t>—</w:t>
            </w:r>
          </w:p>
        </w:tc>
        <w:tc>
          <w:tcPr>
            <w:tcW w:w="952" w:type="dxa"/>
          </w:tcPr>
          <w:p w14:paraId="4EDB4663" w14:textId="77777777" w:rsidR="00D3612E" w:rsidRPr="00C45499" w:rsidRDefault="003126C2" w:rsidP="009B351B">
            <w:pPr>
              <w:rPr>
                <w:rFonts w:eastAsia="Times New Roman"/>
                <w:i/>
                <w:lang w:eastAsia="en-AU"/>
              </w:rPr>
            </w:pPr>
            <w:r w:rsidRPr="00C45499">
              <w:rPr>
                <w:rFonts w:eastAsia="Times New Roman"/>
                <w:lang w:eastAsia="en-AU"/>
              </w:rPr>
              <w:t>—</w:t>
            </w:r>
          </w:p>
        </w:tc>
        <w:tc>
          <w:tcPr>
            <w:tcW w:w="784" w:type="dxa"/>
          </w:tcPr>
          <w:p w14:paraId="4D282D17" w14:textId="77777777" w:rsidR="00D3612E" w:rsidRPr="00C45499" w:rsidRDefault="003126C2" w:rsidP="009B351B">
            <w:pPr>
              <w:rPr>
                <w:rFonts w:eastAsia="Times New Roman"/>
                <w:i/>
                <w:lang w:eastAsia="en-AU"/>
              </w:rPr>
            </w:pPr>
            <w:r>
              <w:rPr>
                <w:rFonts w:eastAsia="Times New Roman"/>
                <w:lang w:eastAsia="en-AU"/>
              </w:rPr>
              <w:t>3</w:t>
            </w:r>
          </w:p>
        </w:tc>
      </w:tr>
      <w:tr w:rsidR="003126C2" w:rsidRPr="00C86DCC" w14:paraId="629D5C82" w14:textId="77777777" w:rsidTr="002E550A">
        <w:tc>
          <w:tcPr>
            <w:tcW w:w="3791" w:type="dxa"/>
          </w:tcPr>
          <w:p w14:paraId="2B236B50" w14:textId="77777777" w:rsidR="003126C2" w:rsidRDefault="003126C2" w:rsidP="009B351B">
            <w:pPr>
              <w:rPr>
                <w:rFonts w:eastAsia="Times New Roman"/>
                <w:i/>
                <w:lang w:eastAsia="en-AU"/>
              </w:rPr>
            </w:pPr>
            <w:r>
              <w:rPr>
                <w:rFonts w:eastAsia="Times New Roman"/>
                <w:lang w:eastAsia="en-AU"/>
              </w:rPr>
              <w:t>Gender identity and discrimination</w:t>
            </w:r>
          </w:p>
        </w:tc>
        <w:tc>
          <w:tcPr>
            <w:tcW w:w="1236" w:type="dxa"/>
          </w:tcPr>
          <w:p w14:paraId="08D8A9FE" w14:textId="77777777" w:rsidR="003126C2" w:rsidRDefault="003126C2" w:rsidP="009B351B">
            <w:pPr>
              <w:rPr>
                <w:rFonts w:eastAsia="Times New Roman"/>
                <w:i/>
                <w:lang w:eastAsia="en-AU"/>
              </w:rPr>
            </w:pPr>
            <w:r>
              <w:rPr>
                <w:rFonts w:eastAsia="Times New Roman"/>
                <w:lang w:eastAsia="en-AU"/>
              </w:rPr>
              <w:t>5</w:t>
            </w:r>
          </w:p>
        </w:tc>
        <w:tc>
          <w:tcPr>
            <w:tcW w:w="1094" w:type="dxa"/>
          </w:tcPr>
          <w:p w14:paraId="7AFE2526" w14:textId="77777777" w:rsidR="003126C2" w:rsidRDefault="003126C2" w:rsidP="009B351B">
            <w:pPr>
              <w:rPr>
                <w:rFonts w:eastAsia="Times New Roman"/>
                <w:i/>
                <w:lang w:eastAsia="en-AU"/>
              </w:rPr>
            </w:pPr>
            <w:r w:rsidRPr="00C45499">
              <w:rPr>
                <w:rFonts w:eastAsia="Times New Roman"/>
                <w:lang w:eastAsia="en-AU"/>
              </w:rPr>
              <w:t>—</w:t>
            </w:r>
          </w:p>
        </w:tc>
        <w:tc>
          <w:tcPr>
            <w:tcW w:w="1094" w:type="dxa"/>
          </w:tcPr>
          <w:p w14:paraId="02E425A2" w14:textId="77777777" w:rsidR="003126C2" w:rsidRDefault="003126C2" w:rsidP="009B351B">
            <w:pPr>
              <w:rPr>
                <w:rFonts w:eastAsia="Times New Roman"/>
                <w:i/>
                <w:lang w:eastAsia="en-AU"/>
              </w:rPr>
            </w:pPr>
            <w:r w:rsidRPr="00C45499">
              <w:rPr>
                <w:rFonts w:eastAsia="Times New Roman"/>
                <w:lang w:eastAsia="en-AU"/>
              </w:rPr>
              <w:t>—</w:t>
            </w:r>
          </w:p>
        </w:tc>
        <w:tc>
          <w:tcPr>
            <w:tcW w:w="952" w:type="dxa"/>
          </w:tcPr>
          <w:p w14:paraId="05847107" w14:textId="77777777" w:rsidR="003126C2" w:rsidRDefault="003126C2" w:rsidP="009B351B">
            <w:pPr>
              <w:rPr>
                <w:rFonts w:eastAsia="Times New Roman"/>
                <w:i/>
                <w:lang w:eastAsia="en-AU"/>
              </w:rPr>
            </w:pPr>
            <w:r w:rsidRPr="00C45499">
              <w:rPr>
                <w:rFonts w:eastAsia="Times New Roman"/>
                <w:lang w:eastAsia="en-AU"/>
              </w:rPr>
              <w:t>—</w:t>
            </w:r>
          </w:p>
        </w:tc>
        <w:tc>
          <w:tcPr>
            <w:tcW w:w="784" w:type="dxa"/>
          </w:tcPr>
          <w:p w14:paraId="44F0BD5C" w14:textId="77777777" w:rsidR="003126C2" w:rsidRDefault="003126C2" w:rsidP="009B351B">
            <w:pPr>
              <w:rPr>
                <w:rFonts w:eastAsia="Times New Roman"/>
                <w:i/>
                <w:lang w:eastAsia="en-AU"/>
              </w:rPr>
            </w:pPr>
            <w:r>
              <w:rPr>
                <w:rFonts w:eastAsia="Times New Roman"/>
                <w:lang w:eastAsia="en-AU"/>
              </w:rPr>
              <w:t>5</w:t>
            </w:r>
          </w:p>
        </w:tc>
      </w:tr>
      <w:tr w:rsidR="000E55EF" w:rsidRPr="00C86DCC" w14:paraId="109FF28C" w14:textId="77777777" w:rsidTr="002E550A">
        <w:tc>
          <w:tcPr>
            <w:tcW w:w="3791" w:type="dxa"/>
          </w:tcPr>
          <w:p w14:paraId="49F2DFF0" w14:textId="77777777" w:rsidR="000E55EF" w:rsidRPr="00C45499" w:rsidRDefault="000E55EF" w:rsidP="009B351B">
            <w:pPr>
              <w:rPr>
                <w:rFonts w:eastAsia="Times New Roman"/>
                <w:i/>
                <w:lang w:eastAsia="en-AU"/>
              </w:rPr>
            </w:pPr>
            <w:r>
              <w:rPr>
                <w:rFonts w:eastAsia="Times New Roman"/>
                <w:lang w:eastAsia="en-AU"/>
              </w:rPr>
              <w:t>Age-friendly communities</w:t>
            </w:r>
          </w:p>
        </w:tc>
        <w:tc>
          <w:tcPr>
            <w:tcW w:w="1236" w:type="dxa"/>
          </w:tcPr>
          <w:p w14:paraId="0585C592" w14:textId="77777777" w:rsidR="000E55EF" w:rsidRPr="00C45499" w:rsidRDefault="000B3ADF" w:rsidP="009B351B">
            <w:pPr>
              <w:rPr>
                <w:rFonts w:eastAsia="Times New Roman"/>
                <w:i/>
                <w:lang w:eastAsia="en-AU"/>
              </w:rPr>
            </w:pPr>
            <w:r>
              <w:rPr>
                <w:rFonts w:eastAsia="Times New Roman"/>
                <w:lang w:eastAsia="en-AU"/>
              </w:rPr>
              <w:t>10</w:t>
            </w:r>
          </w:p>
        </w:tc>
        <w:tc>
          <w:tcPr>
            <w:tcW w:w="1094" w:type="dxa"/>
          </w:tcPr>
          <w:p w14:paraId="77F91B2C" w14:textId="77777777" w:rsidR="000E55EF" w:rsidRPr="00C45499" w:rsidRDefault="003126C2" w:rsidP="009B351B">
            <w:pPr>
              <w:rPr>
                <w:rFonts w:eastAsia="Times New Roman"/>
                <w:i/>
                <w:lang w:eastAsia="en-AU"/>
              </w:rPr>
            </w:pPr>
            <w:r>
              <w:rPr>
                <w:rFonts w:eastAsia="Times New Roman"/>
                <w:lang w:eastAsia="en-AU"/>
              </w:rPr>
              <w:t>1</w:t>
            </w:r>
          </w:p>
        </w:tc>
        <w:tc>
          <w:tcPr>
            <w:tcW w:w="1094" w:type="dxa"/>
          </w:tcPr>
          <w:p w14:paraId="2A945C79" w14:textId="77777777" w:rsidR="000E55EF" w:rsidRPr="00C45499" w:rsidRDefault="003126C2" w:rsidP="009B351B">
            <w:pPr>
              <w:rPr>
                <w:rFonts w:eastAsia="Times New Roman"/>
                <w:i/>
                <w:lang w:eastAsia="en-AU"/>
              </w:rPr>
            </w:pPr>
            <w:r>
              <w:rPr>
                <w:rFonts w:eastAsia="Times New Roman"/>
                <w:lang w:eastAsia="en-AU"/>
              </w:rPr>
              <w:t>3</w:t>
            </w:r>
          </w:p>
        </w:tc>
        <w:tc>
          <w:tcPr>
            <w:tcW w:w="952" w:type="dxa"/>
          </w:tcPr>
          <w:p w14:paraId="18AC609B" w14:textId="77777777" w:rsidR="000E55EF" w:rsidRPr="00C45499" w:rsidRDefault="003126C2" w:rsidP="009B351B">
            <w:pPr>
              <w:rPr>
                <w:rFonts w:eastAsia="Times New Roman"/>
                <w:i/>
                <w:lang w:eastAsia="en-AU"/>
              </w:rPr>
            </w:pPr>
            <w:r>
              <w:rPr>
                <w:rFonts w:eastAsia="Times New Roman"/>
                <w:lang w:eastAsia="en-AU"/>
              </w:rPr>
              <w:t>1</w:t>
            </w:r>
          </w:p>
        </w:tc>
        <w:tc>
          <w:tcPr>
            <w:tcW w:w="784" w:type="dxa"/>
          </w:tcPr>
          <w:p w14:paraId="2802DB33" w14:textId="77777777" w:rsidR="000E55EF" w:rsidRPr="00C45499" w:rsidRDefault="003126C2" w:rsidP="009B351B">
            <w:pPr>
              <w:rPr>
                <w:rFonts w:eastAsia="Times New Roman"/>
                <w:i/>
                <w:lang w:eastAsia="en-AU"/>
              </w:rPr>
            </w:pPr>
            <w:r>
              <w:rPr>
                <w:rFonts w:eastAsia="Times New Roman"/>
                <w:lang w:eastAsia="en-AU"/>
              </w:rPr>
              <w:t>15</w:t>
            </w:r>
          </w:p>
        </w:tc>
      </w:tr>
      <w:tr w:rsidR="003126C2" w:rsidRPr="00C86DCC" w14:paraId="604575A5" w14:textId="77777777" w:rsidTr="002E550A">
        <w:tc>
          <w:tcPr>
            <w:tcW w:w="3791" w:type="dxa"/>
          </w:tcPr>
          <w:p w14:paraId="63288F1E" w14:textId="77777777" w:rsidR="003126C2" w:rsidRPr="00C45499" w:rsidRDefault="003126C2" w:rsidP="009B351B">
            <w:pPr>
              <w:rPr>
                <w:rFonts w:eastAsia="Times New Roman"/>
                <w:i/>
                <w:lang w:eastAsia="en-AU"/>
              </w:rPr>
            </w:pPr>
            <w:r>
              <w:rPr>
                <w:rFonts w:eastAsia="Times New Roman"/>
                <w:lang w:eastAsia="en-AU"/>
              </w:rPr>
              <w:t>Ensuring Safe and Inclusive Public Transport</w:t>
            </w:r>
          </w:p>
        </w:tc>
        <w:tc>
          <w:tcPr>
            <w:tcW w:w="1236" w:type="dxa"/>
          </w:tcPr>
          <w:p w14:paraId="26075CD3" w14:textId="77777777" w:rsidR="003126C2" w:rsidRPr="00C45499" w:rsidRDefault="003126C2" w:rsidP="009B351B">
            <w:pPr>
              <w:rPr>
                <w:rFonts w:eastAsia="Times New Roman"/>
                <w:i/>
                <w:lang w:eastAsia="en-AU"/>
              </w:rPr>
            </w:pPr>
            <w:r>
              <w:rPr>
                <w:rFonts w:eastAsia="Times New Roman"/>
                <w:lang w:eastAsia="en-AU"/>
              </w:rPr>
              <w:t>1</w:t>
            </w:r>
          </w:p>
        </w:tc>
        <w:tc>
          <w:tcPr>
            <w:tcW w:w="1094" w:type="dxa"/>
          </w:tcPr>
          <w:p w14:paraId="0380C5DA" w14:textId="77777777" w:rsidR="003126C2" w:rsidRPr="00C45499" w:rsidRDefault="003126C2" w:rsidP="009B351B">
            <w:pPr>
              <w:rPr>
                <w:rFonts w:eastAsia="Times New Roman"/>
                <w:i/>
                <w:lang w:eastAsia="en-AU"/>
              </w:rPr>
            </w:pPr>
            <w:r w:rsidRPr="00C45499">
              <w:rPr>
                <w:rFonts w:eastAsia="Times New Roman"/>
                <w:lang w:eastAsia="en-AU"/>
              </w:rPr>
              <w:t>—</w:t>
            </w:r>
          </w:p>
        </w:tc>
        <w:tc>
          <w:tcPr>
            <w:tcW w:w="1094" w:type="dxa"/>
          </w:tcPr>
          <w:p w14:paraId="7E32DC56" w14:textId="77777777" w:rsidR="003126C2" w:rsidRPr="00C45499" w:rsidRDefault="003126C2" w:rsidP="009B351B">
            <w:pPr>
              <w:rPr>
                <w:rFonts w:eastAsia="Times New Roman"/>
                <w:i/>
                <w:lang w:eastAsia="en-AU"/>
              </w:rPr>
            </w:pPr>
            <w:r w:rsidRPr="00C45499">
              <w:rPr>
                <w:rFonts w:eastAsia="Times New Roman"/>
                <w:lang w:eastAsia="en-AU"/>
              </w:rPr>
              <w:t>—</w:t>
            </w:r>
          </w:p>
        </w:tc>
        <w:tc>
          <w:tcPr>
            <w:tcW w:w="952" w:type="dxa"/>
          </w:tcPr>
          <w:p w14:paraId="003BCC87" w14:textId="77777777" w:rsidR="003126C2" w:rsidRPr="00C45499" w:rsidRDefault="003126C2" w:rsidP="009B351B">
            <w:pPr>
              <w:rPr>
                <w:rFonts w:eastAsia="Times New Roman"/>
                <w:i/>
                <w:lang w:eastAsia="en-AU"/>
              </w:rPr>
            </w:pPr>
            <w:r w:rsidRPr="00C45499">
              <w:rPr>
                <w:rFonts w:eastAsia="Times New Roman"/>
                <w:lang w:eastAsia="en-AU"/>
              </w:rPr>
              <w:t>—</w:t>
            </w:r>
          </w:p>
        </w:tc>
        <w:tc>
          <w:tcPr>
            <w:tcW w:w="784" w:type="dxa"/>
          </w:tcPr>
          <w:p w14:paraId="1121FF22" w14:textId="77777777" w:rsidR="003126C2" w:rsidRPr="00C45499" w:rsidRDefault="003126C2" w:rsidP="009B351B">
            <w:pPr>
              <w:rPr>
                <w:rFonts w:eastAsia="Times New Roman"/>
                <w:i/>
                <w:lang w:eastAsia="en-AU"/>
              </w:rPr>
            </w:pPr>
            <w:r>
              <w:rPr>
                <w:rFonts w:eastAsia="Times New Roman"/>
                <w:lang w:eastAsia="en-AU"/>
              </w:rPr>
              <w:t>1</w:t>
            </w:r>
          </w:p>
        </w:tc>
      </w:tr>
      <w:tr w:rsidR="00D3612E" w:rsidRPr="00C86DCC" w14:paraId="3C4CA725" w14:textId="77777777" w:rsidTr="002E550A">
        <w:tc>
          <w:tcPr>
            <w:tcW w:w="3791" w:type="dxa"/>
          </w:tcPr>
          <w:p w14:paraId="63BF2F49" w14:textId="77777777" w:rsidR="00D3612E" w:rsidRPr="00C45499" w:rsidRDefault="00D3612E" w:rsidP="009B351B">
            <w:pPr>
              <w:rPr>
                <w:rFonts w:eastAsia="Times New Roman"/>
                <w:i/>
                <w:lang w:eastAsia="en-AU"/>
              </w:rPr>
            </w:pPr>
            <w:r w:rsidRPr="00C45499">
              <w:rPr>
                <w:rFonts w:eastAsia="Times New Roman"/>
                <w:lang w:eastAsia="en-AU"/>
              </w:rPr>
              <w:t>Tailored training</w:t>
            </w:r>
          </w:p>
        </w:tc>
        <w:tc>
          <w:tcPr>
            <w:tcW w:w="1236" w:type="dxa"/>
          </w:tcPr>
          <w:p w14:paraId="3885E899" w14:textId="77777777" w:rsidR="00D3612E" w:rsidRPr="00C45499" w:rsidRDefault="005F3972" w:rsidP="009B351B">
            <w:pPr>
              <w:rPr>
                <w:rFonts w:eastAsia="Times New Roman"/>
                <w:i/>
                <w:lang w:eastAsia="en-AU"/>
              </w:rPr>
            </w:pPr>
            <w:r>
              <w:rPr>
                <w:rFonts w:eastAsia="Times New Roman"/>
                <w:lang w:eastAsia="en-AU"/>
              </w:rPr>
              <w:t>1</w:t>
            </w:r>
          </w:p>
        </w:tc>
        <w:tc>
          <w:tcPr>
            <w:tcW w:w="1094" w:type="dxa"/>
          </w:tcPr>
          <w:p w14:paraId="043910B3" w14:textId="77777777" w:rsidR="00D3612E" w:rsidRPr="00C45499" w:rsidRDefault="00D50B67" w:rsidP="009B351B">
            <w:pPr>
              <w:rPr>
                <w:rFonts w:eastAsia="Times New Roman"/>
                <w:i/>
                <w:lang w:eastAsia="en-AU"/>
              </w:rPr>
            </w:pPr>
            <w:r w:rsidRPr="00C45499">
              <w:rPr>
                <w:rFonts w:eastAsia="Times New Roman"/>
                <w:lang w:eastAsia="en-AU"/>
              </w:rPr>
              <w:t>—</w:t>
            </w:r>
          </w:p>
        </w:tc>
        <w:tc>
          <w:tcPr>
            <w:tcW w:w="1094" w:type="dxa"/>
          </w:tcPr>
          <w:p w14:paraId="1C4251B6" w14:textId="77777777" w:rsidR="00D3612E" w:rsidRPr="00C45499" w:rsidRDefault="00D50B67" w:rsidP="009B351B">
            <w:pPr>
              <w:rPr>
                <w:rFonts w:eastAsia="Times New Roman"/>
                <w:i/>
                <w:lang w:eastAsia="en-AU"/>
              </w:rPr>
            </w:pPr>
            <w:r>
              <w:rPr>
                <w:rFonts w:eastAsia="Times New Roman"/>
                <w:lang w:eastAsia="en-AU"/>
              </w:rPr>
              <w:t>1</w:t>
            </w:r>
          </w:p>
        </w:tc>
        <w:tc>
          <w:tcPr>
            <w:tcW w:w="952" w:type="dxa"/>
          </w:tcPr>
          <w:p w14:paraId="37456CD0" w14:textId="77777777" w:rsidR="00D3612E" w:rsidRPr="00C45499" w:rsidRDefault="00D50B67" w:rsidP="009B351B">
            <w:pPr>
              <w:rPr>
                <w:rFonts w:eastAsia="Times New Roman"/>
                <w:i/>
                <w:lang w:eastAsia="en-AU"/>
              </w:rPr>
            </w:pPr>
            <w:r w:rsidRPr="00C45499">
              <w:rPr>
                <w:rFonts w:eastAsia="Times New Roman"/>
                <w:lang w:eastAsia="en-AU"/>
              </w:rPr>
              <w:t>—</w:t>
            </w:r>
          </w:p>
        </w:tc>
        <w:tc>
          <w:tcPr>
            <w:tcW w:w="784" w:type="dxa"/>
          </w:tcPr>
          <w:p w14:paraId="7D6C3C27" w14:textId="77777777" w:rsidR="00D3612E" w:rsidRPr="00C45499" w:rsidRDefault="00D50B67" w:rsidP="009B351B">
            <w:pPr>
              <w:rPr>
                <w:rFonts w:eastAsia="Times New Roman"/>
                <w:i/>
                <w:lang w:eastAsia="en-AU"/>
              </w:rPr>
            </w:pPr>
            <w:r>
              <w:rPr>
                <w:rFonts w:eastAsia="Times New Roman"/>
                <w:lang w:eastAsia="en-AU"/>
              </w:rPr>
              <w:t>2</w:t>
            </w:r>
          </w:p>
        </w:tc>
      </w:tr>
      <w:tr w:rsidR="00D3612E" w:rsidRPr="007F1A9A" w14:paraId="32B6F85B" w14:textId="77777777" w:rsidTr="002E550A">
        <w:tc>
          <w:tcPr>
            <w:tcW w:w="3791" w:type="dxa"/>
          </w:tcPr>
          <w:p w14:paraId="63B4FD66" w14:textId="77777777" w:rsidR="00D3612E" w:rsidRPr="00C45499" w:rsidRDefault="00D3612E" w:rsidP="009B351B">
            <w:pPr>
              <w:rPr>
                <w:rFonts w:eastAsia="Times New Roman"/>
                <w:b/>
                <w:i/>
                <w:lang w:eastAsia="en-AU"/>
              </w:rPr>
            </w:pPr>
            <w:r w:rsidRPr="00C45499">
              <w:rPr>
                <w:rFonts w:eastAsia="Times New Roman"/>
                <w:b/>
                <w:lang w:eastAsia="en-AU"/>
              </w:rPr>
              <w:t>Total</w:t>
            </w:r>
          </w:p>
        </w:tc>
        <w:tc>
          <w:tcPr>
            <w:tcW w:w="1236" w:type="dxa"/>
          </w:tcPr>
          <w:p w14:paraId="316A0C6B" w14:textId="77777777" w:rsidR="00D3612E" w:rsidRPr="00C45499" w:rsidRDefault="005F3972" w:rsidP="009B351B">
            <w:pPr>
              <w:rPr>
                <w:rFonts w:eastAsia="Times New Roman"/>
                <w:b/>
                <w:i/>
                <w:lang w:eastAsia="en-AU"/>
              </w:rPr>
            </w:pPr>
            <w:r>
              <w:rPr>
                <w:rFonts w:eastAsia="Times New Roman"/>
                <w:b/>
                <w:lang w:eastAsia="en-AU"/>
              </w:rPr>
              <w:t>150</w:t>
            </w:r>
          </w:p>
        </w:tc>
        <w:tc>
          <w:tcPr>
            <w:tcW w:w="1094" w:type="dxa"/>
          </w:tcPr>
          <w:p w14:paraId="4C6B40F5" w14:textId="77777777" w:rsidR="00D3612E" w:rsidRPr="00C45499" w:rsidRDefault="00D50B67" w:rsidP="009B351B">
            <w:pPr>
              <w:rPr>
                <w:rFonts w:eastAsia="Times New Roman"/>
                <w:b/>
                <w:i/>
                <w:lang w:eastAsia="en-AU"/>
              </w:rPr>
            </w:pPr>
            <w:r>
              <w:rPr>
                <w:rFonts w:eastAsia="Times New Roman"/>
                <w:b/>
                <w:lang w:eastAsia="en-AU"/>
              </w:rPr>
              <w:t>37</w:t>
            </w:r>
          </w:p>
        </w:tc>
        <w:tc>
          <w:tcPr>
            <w:tcW w:w="1094" w:type="dxa"/>
          </w:tcPr>
          <w:p w14:paraId="49A7D9E9" w14:textId="77777777" w:rsidR="00D3612E" w:rsidRPr="00C45499" w:rsidRDefault="00D50B67" w:rsidP="009B351B">
            <w:pPr>
              <w:rPr>
                <w:rFonts w:eastAsia="Times New Roman"/>
                <w:b/>
                <w:i/>
                <w:lang w:eastAsia="en-AU"/>
              </w:rPr>
            </w:pPr>
            <w:r>
              <w:rPr>
                <w:rFonts w:eastAsia="Times New Roman"/>
                <w:b/>
                <w:lang w:eastAsia="en-AU"/>
              </w:rPr>
              <w:t>56</w:t>
            </w:r>
          </w:p>
        </w:tc>
        <w:tc>
          <w:tcPr>
            <w:tcW w:w="952" w:type="dxa"/>
          </w:tcPr>
          <w:p w14:paraId="475F907E" w14:textId="77777777" w:rsidR="00D3612E" w:rsidRPr="00C45499" w:rsidRDefault="00D50B67" w:rsidP="009B351B">
            <w:pPr>
              <w:rPr>
                <w:rFonts w:eastAsia="Times New Roman"/>
                <w:b/>
                <w:i/>
                <w:lang w:eastAsia="en-AU"/>
              </w:rPr>
            </w:pPr>
            <w:r>
              <w:rPr>
                <w:rFonts w:eastAsia="Times New Roman"/>
                <w:b/>
                <w:lang w:eastAsia="en-AU"/>
              </w:rPr>
              <w:t>34</w:t>
            </w:r>
          </w:p>
        </w:tc>
        <w:tc>
          <w:tcPr>
            <w:tcW w:w="784" w:type="dxa"/>
          </w:tcPr>
          <w:p w14:paraId="38370B3D" w14:textId="77777777" w:rsidR="00D3612E" w:rsidRPr="00C45499" w:rsidRDefault="00D50B67" w:rsidP="009B351B">
            <w:pPr>
              <w:rPr>
                <w:rFonts w:eastAsia="Times New Roman"/>
                <w:b/>
                <w:i/>
                <w:lang w:eastAsia="en-AU"/>
              </w:rPr>
            </w:pPr>
            <w:r>
              <w:rPr>
                <w:rFonts w:eastAsia="Times New Roman"/>
                <w:b/>
                <w:lang w:eastAsia="en-AU"/>
              </w:rPr>
              <w:t>277</w:t>
            </w:r>
          </w:p>
        </w:tc>
      </w:tr>
    </w:tbl>
    <w:p w14:paraId="0149B4DA" w14:textId="77777777" w:rsidR="00E00A30" w:rsidRDefault="00E00A30" w:rsidP="009B351B">
      <w:pPr>
        <w:rPr>
          <w:rFonts w:eastAsia="Times New Roman"/>
          <w:bCs/>
          <w:lang w:eastAsia="en-AU"/>
        </w:rPr>
      </w:pPr>
    </w:p>
    <w:p w14:paraId="306282B1" w14:textId="5CBE081A" w:rsidR="00962DE1" w:rsidRPr="00D21577" w:rsidRDefault="00962DE1" w:rsidP="009B351B">
      <w:pPr>
        <w:rPr>
          <w:rFonts w:eastAsia="Times New Roman"/>
          <w:bCs/>
          <w:i/>
          <w:lang w:eastAsia="en-AU"/>
        </w:rPr>
      </w:pPr>
      <w:r w:rsidRPr="00D21577">
        <w:rPr>
          <w:rFonts w:eastAsia="Times New Roman"/>
          <w:bCs/>
          <w:lang w:eastAsia="en-AU"/>
        </w:rPr>
        <w:t>Demand for the basic</w:t>
      </w:r>
      <w:r w:rsidR="00D3612E" w:rsidRPr="00D21577">
        <w:rPr>
          <w:rFonts w:eastAsia="Times New Roman"/>
          <w:bCs/>
          <w:lang w:eastAsia="en-AU"/>
        </w:rPr>
        <w:t xml:space="preserve"> Introduction to the Anti-Discrimination Act training </w:t>
      </w:r>
      <w:r w:rsidRPr="00D21577">
        <w:rPr>
          <w:rFonts w:eastAsia="Times New Roman"/>
          <w:bCs/>
          <w:lang w:eastAsia="en-AU"/>
        </w:rPr>
        <w:t xml:space="preserve">session has remained consistent and it continues to be the most popular training offering. Interest in unconscious bias training </w:t>
      </w:r>
      <w:r w:rsidR="00D21577" w:rsidRPr="00D21577">
        <w:rPr>
          <w:rFonts w:eastAsia="Times New Roman"/>
          <w:bCs/>
          <w:lang w:eastAsia="en-AU"/>
        </w:rPr>
        <w:t>has remained steady, as has the Introduction to the Anti-Discrimination Act for Managers course.</w:t>
      </w:r>
      <w:r w:rsidR="00803E9C">
        <w:rPr>
          <w:rFonts w:eastAsia="Times New Roman"/>
          <w:bCs/>
          <w:lang w:eastAsia="en-AU"/>
        </w:rPr>
        <w:t xml:space="preserve"> </w:t>
      </w:r>
    </w:p>
    <w:p w14:paraId="4E3C8CA7" w14:textId="77777777" w:rsidR="00D21577" w:rsidRDefault="00962DE1" w:rsidP="009B351B">
      <w:pPr>
        <w:rPr>
          <w:rFonts w:eastAsia="Times New Roman"/>
          <w:bCs/>
          <w:i/>
          <w:lang w:eastAsia="en-AU"/>
        </w:rPr>
      </w:pPr>
      <w:r w:rsidRPr="00D21577">
        <w:rPr>
          <w:rFonts w:eastAsia="Times New Roman"/>
          <w:bCs/>
          <w:lang w:eastAsia="en-AU"/>
        </w:rPr>
        <w:t>As part of the ADCQ’s commitment to the whole-of-government Queensland – an age-friendly community</w:t>
      </w:r>
      <w:r w:rsidR="00D21577" w:rsidRPr="00D21577">
        <w:rPr>
          <w:rFonts w:eastAsia="Times New Roman"/>
          <w:bCs/>
          <w:lang w:eastAsia="en-AU"/>
        </w:rPr>
        <w:t xml:space="preserve"> strategy, 15</w:t>
      </w:r>
      <w:r w:rsidRPr="00D21577">
        <w:rPr>
          <w:rFonts w:eastAsia="Times New Roman"/>
          <w:bCs/>
          <w:lang w:eastAsia="en-AU"/>
        </w:rPr>
        <w:t xml:space="preserve"> free information sessions focussed on age discrimination were delivered.</w:t>
      </w:r>
    </w:p>
    <w:p w14:paraId="03ECC008" w14:textId="77777777" w:rsidR="00F603E7" w:rsidRPr="00D21577" w:rsidRDefault="00D57882" w:rsidP="009B351B">
      <w:pPr>
        <w:rPr>
          <w:rFonts w:eastAsia="Times New Roman"/>
          <w:bCs/>
          <w:i/>
          <w:lang w:eastAsia="en-AU"/>
        </w:rPr>
      </w:pPr>
      <w:r>
        <w:rPr>
          <w:rFonts w:eastAsia="Times New Roman"/>
          <w:bCs/>
          <w:lang w:eastAsia="en-AU"/>
        </w:rPr>
        <w:t xml:space="preserve">The Safe and Inclusive Public Transport project which was initiated in 2016 in partnership with Department of Transport and Main Roads and Queensland Police Service, was finalised this financial year. This training was delivered to frontline staff in the public transport industry and continues to be delivered by the </w:t>
      </w:r>
      <w:r>
        <w:rPr>
          <w:rFonts w:ascii="Arial" w:hAnsi="Arial" w:cs="Arial"/>
        </w:rPr>
        <w:t xml:space="preserve">Queensland Bus Industry Council to its members. </w:t>
      </w:r>
    </w:p>
    <w:p w14:paraId="2C8FB2D2" w14:textId="77777777" w:rsidR="00D3612E" w:rsidRPr="002502E9" w:rsidRDefault="00F603E7" w:rsidP="009B351B">
      <w:pPr>
        <w:rPr>
          <w:rFonts w:eastAsia="Times New Roman"/>
          <w:bCs/>
          <w:i/>
          <w:highlight w:val="yellow"/>
          <w:lang w:eastAsia="en-AU"/>
        </w:rPr>
      </w:pPr>
      <w:r w:rsidRPr="00066C45">
        <w:rPr>
          <w:rFonts w:eastAsia="Times New Roman"/>
          <w:bCs/>
          <w:lang w:eastAsia="en-AU"/>
        </w:rPr>
        <w:t>Interest in the</w:t>
      </w:r>
      <w:r w:rsidR="00D3612E" w:rsidRPr="00066C45">
        <w:rPr>
          <w:rFonts w:eastAsia="Times New Roman"/>
          <w:bCs/>
          <w:lang w:eastAsia="en-AU"/>
        </w:rPr>
        <w:t xml:space="preserve"> ADCQ’s online training module,</w:t>
      </w:r>
      <w:r w:rsidR="00245A5F" w:rsidRPr="00066C45">
        <w:rPr>
          <w:rFonts w:eastAsia="Times New Roman"/>
          <w:bCs/>
          <w:lang w:eastAsia="en-AU"/>
        </w:rPr>
        <w:t xml:space="preserve"> </w:t>
      </w:r>
      <w:r w:rsidR="00D3612E" w:rsidRPr="00066C45">
        <w:rPr>
          <w:rFonts w:eastAsia="Times New Roman"/>
          <w:bCs/>
          <w:lang w:eastAsia="en-AU"/>
        </w:rPr>
        <w:t>Discrimination Awareness in Queensland,</w:t>
      </w:r>
      <w:r w:rsidRPr="00066C45">
        <w:rPr>
          <w:rFonts w:eastAsia="Times New Roman"/>
          <w:bCs/>
          <w:lang w:eastAsia="en-AU"/>
        </w:rPr>
        <w:t xml:space="preserve"> </w:t>
      </w:r>
      <w:r w:rsidR="00066C45" w:rsidRPr="00066C45">
        <w:rPr>
          <w:rFonts w:eastAsia="Times New Roman"/>
          <w:bCs/>
          <w:lang w:eastAsia="en-AU"/>
        </w:rPr>
        <w:t xml:space="preserve">remained steady this year, with 184 new subscribers undertaking the training. </w:t>
      </w:r>
      <w:r w:rsidR="00066C45">
        <w:rPr>
          <w:rFonts w:eastAsia="Times New Roman"/>
          <w:bCs/>
          <w:lang w:eastAsia="en-AU"/>
        </w:rPr>
        <w:t xml:space="preserve">ADCQ invested in a new online training platform this financial year, to be launched in July 2019. It is anticipated that the relaunch of the existing online training and the addition of new modules will increase demand and client satisfaction. </w:t>
      </w:r>
    </w:p>
    <w:p w14:paraId="1FCBF9CF" w14:textId="77777777" w:rsidR="00CD055A" w:rsidRDefault="00D3612E" w:rsidP="009B351B">
      <w:pPr>
        <w:rPr>
          <w:rFonts w:ascii="Arial" w:hAnsi="Arial" w:cs="Arial"/>
          <w:b/>
          <w:bCs/>
          <w:color w:val="808080" w:themeColor="background1" w:themeShade="80"/>
          <w:sz w:val="18"/>
          <w:szCs w:val="18"/>
        </w:rPr>
      </w:pPr>
      <w:r w:rsidRPr="00D21577">
        <w:t>Training revenue for 201</w:t>
      </w:r>
      <w:r w:rsidR="00D21577" w:rsidRPr="00D21577">
        <w:t>8</w:t>
      </w:r>
      <w:r w:rsidRPr="00D21577">
        <w:rPr>
          <w:rFonts w:eastAsia="Times New Roman"/>
          <w:bCs/>
          <w:lang w:eastAsia="en-AU"/>
        </w:rPr>
        <w:t>–</w:t>
      </w:r>
      <w:r w:rsidR="00005DA9" w:rsidRPr="00D21577">
        <w:t>1</w:t>
      </w:r>
      <w:r w:rsidR="00D21577" w:rsidRPr="00D21577">
        <w:t>9</w:t>
      </w:r>
      <w:r w:rsidRPr="00D21577">
        <w:t xml:space="preserve"> exceeded the target of $180,900 to reach total revenue of $1</w:t>
      </w:r>
      <w:r w:rsidR="009A7E8E" w:rsidRPr="00D21577">
        <w:t>9</w:t>
      </w:r>
      <w:r w:rsidR="00D21577" w:rsidRPr="00D21577">
        <w:t>0</w:t>
      </w:r>
      <w:r w:rsidRPr="00D21577">
        <w:t>,</w:t>
      </w:r>
      <w:r w:rsidR="00D21577" w:rsidRPr="00D21577">
        <w:t>536</w:t>
      </w:r>
      <w:r w:rsidRPr="00D21577">
        <w:t>.</w:t>
      </w:r>
      <w:r w:rsidR="009A7E8E" w:rsidRPr="00D21577">
        <w:t xml:space="preserve"> This </w:t>
      </w:r>
      <w:r w:rsidR="00D21577" w:rsidRPr="00D21577">
        <w:t>revenue will be invested in</w:t>
      </w:r>
      <w:r w:rsidR="00D21577">
        <w:t xml:space="preserve"> the development of online training modules about the new </w:t>
      </w:r>
      <w:r w:rsidR="00D21577" w:rsidRPr="00C74F57">
        <w:rPr>
          <w:i/>
        </w:rPr>
        <w:t>Human Rights Act 2019</w:t>
      </w:r>
      <w:r w:rsidR="00D21577" w:rsidRPr="00D21577">
        <w:t xml:space="preserve">. </w:t>
      </w:r>
    </w:p>
    <w:p w14:paraId="4A07FDA5" w14:textId="77777777" w:rsidR="00C74F57" w:rsidRDefault="00C74F57">
      <w:pPr>
        <w:rPr>
          <w:rFonts w:ascii="Arial" w:hAnsi="Arial" w:cs="Arial"/>
          <w:b/>
          <w:i/>
          <w:color w:val="7F7F7F" w:themeColor="text1" w:themeTint="80"/>
          <w:sz w:val="18"/>
        </w:rPr>
      </w:pPr>
      <w:r>
        <w:rPr>
          <w:rFonts w:ascii="Arial" w:hAnsi="Arial" w:cs="Arial"/>
          <w:b/>
          <w:i/>
          <w:color w:val="7F7F7F" w:themeColor="text1" w:themeTint="80"/>
          <w:sz w:val="18"/>
        </w:rPr>
        <w:br w:type="page"/>
      </w:r>
    </w:p>
    <w:p w14:paraId="6F3B33AB" w14:textId="1CBAEC4D" w:rsidR="00D3612E" w:rsidRPr="009B351B" w:rsidRDefault="00D3612E" w:rsidP="00C74F57">
      <w:pPr>
        <w:pStyle w:val="Caption"/>
      </w:pPr>
      <w:r w:rsidRPr="009B351B">
        <w:lastRenderedPageBreak/>
        <w:t>Table 6: Details of training sessions</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1252"/>
        <w:gridCol w:w="1117"/>
        <w:gridCol w:w="1062"/>
        <w:gridCol w:w="1116"/>
        <w:gridCol w:w="1075"/>
        <w:gridCol w:w="1171"/>
      </w:tblGrid>
      <w:tr w:rsidR="00D3612E" w:rsidRPr="00C86DCC" w14:paraId="4E15DF55" w14:textId="77777777" w:rsidTr="00C74F57">
        <w:tc>
          <w:tcPr>
            <w:tcW w:w="1903" w:type="dxa"/>
          </w:tcPr>
          <w:p w14:paraId="4D3A0D2C" w14:textId="77777777" w:rsidR="00D3612E" w:rsidRPr="00E244FB" w:rsidRDefault="00D3612E" w:rsidP="009B351B">
            <w:pPr>
              <w:rPr>
                <w:rFonts w:eastAsia="Times New Roman"/>
                <w:i/>
                <w:color w:val="FF0000"/>
                <w:lang w:eastAsia="en-AU"/>
              </w:rPr>
            </w:pPr>
          </w:p>
        </w:tc>
        <w:tc>
          <w:tcPr>
            <w:tcW w:w="1488" w:type="dxa"/>
          </w:tcPr>
          <w:p w14:paraId="47183A1C" w14:textId="77777777" w:rsidR="00D3612E" w:rsidRPr="00E244FB" w:rsidRDefault="00D3612E" w:rsidP="009B351B">
            <w:pPr>
              <w:rPr>
                <w:rFonts w:eastAsia="Times New Roman"/>
                <w:b/>
                <w:bCs/>
                <w:i/>
                <w:lang w:eastAsia="en-AU"/>
              </w:rPr>
            </w:pPr>
            <w:r w:rsidRPr="00E244FB">
              <w:rPr>
                <w:rFonts w:eastAsia="Times New Roman"/>
                <w:b/>
                <w:bCs/>
                <w:lang w:eastAsia="en-AU"/>
              </w:rPr>
              <w:t>South-East</w:t>
            </w:r>
          </w:p>
        </w:tc>
        <w:tc>
          <w:tcPr>
            <w:tcW w:w="1317" w:type="dxa"/>
          </w:tcPr>
          <w:p w14:paraId="077A17F2" w14:textId="77777777" w:rsidR="00D3612E" w:rsidRPr="00E244FB" w:rsidRDefault="00D3612E" w:rsidP="009B351B">
            <w:pPr>
              <w:rPr>
                <w:rFonts w:eastAsia="Times New Roman"/>
                <w:b/>
                <w:bCs/>
                <w:i/>
                <w:lang w:eastAsia="en-AU"/>
              </w:rPr>
            </w:pPr>
            <w:r w:rsidRPr="00E244FB">
              <w:rPr>
                <w:rFonts w:eastAsia="Times New Roman"/>
                <w:b/>
                <w:bCs/>
                <w:lang w:eastAsia="en-AU"/>
              </w:rPr>
              <w:t>Central</w:t>
            </w:r>
          </w:p>
        </w:tc>
        <w:tc>
          <w:tcPr>
            <w:tcW w:w="1483" w:type="dxa"/>
          </w:tcPr>
          <w:p w14:paraId="71F5553C" w14:textId="77777777" w:rsidR="00D3612E" w:rsidRPr="00E244FB" w:rsidRDefault="00D3612E" w:rsidP="009B351B">
            <w:pPr>
              <w:rPr>
                <w:rFonts w:eastAsia="Times New Roman"/>
                <w:b/>
                <w:bCs/>
                <w:i/>
                <w:lang w:eastAsia="en-AU"/>
              </w:rPr>
            </w:pPr>
            <w:r w:rsidRPr="00E244FB">
              <w:rPr>
                <w:rFonts w:eastAsia="Times New Roman"/>
                <w:b/>
                <w:bCs/>
                <w:lang w:eastAsia="en-AU"/>
              </w:rPr>
              <w:t>North</w:t>
            </w:r>
          </w:p>
        </w:tc>
        <w:tc>
          <w:tcPr>
            <w:tcW w:w="1358" w:type="dxa"/>
          </w:tcPr>
          <w:p w14:paraId="6BD3D315" w14:textId="77777777" w:rsidR="00D3612E" w:rsidRPr="00E244FB" w:rsidRDefault="00D3612E" w:rsidP="009B351B">
            <w:pPr>
              <w:rPr>
                <w:rFonts w:eastAsia="Times New Roman"/>
                <w:b/>
                <w:bCs/>
                <w:i/>
                <w:lang w:eastAsia="en-AU"/>
              </w:rPr>
            </w:pPr>
            <w:r w:rsidRPr="00E244FB">
              <w:rPr>
                <w:rFonts w:eastAsia="Times New Roman"/>
                <w:b/>
                <w:bCs/>
                <w:lang w:eastAsia="en-AU"/>
              </w:rPr>
              <w:t>Far North</w:t>
            </w:r>
          </w:p>
        </w:tc>
        <w:tc>
          <w:tcPr>
            <w:tcW w:w="1421" w:type="dxa"/>
          </w:tcPr>
          <w:p w14:paraId="3855C93C" w14:textId="77777777" w:rsidR="00D3612E" w:rsidRPr="00E244FB" w:rsidRDefault="00D3612E" w:rsidP="009B351B">
            <w:pPr>
              <w:rPr>
                <w:rFonts w:eastAsia="Times New Roman"/>
                <w:b/>
                <w:bCs/>
                <w:i/>
                <w:lang w:eastAsia="en-AU"/>
              </w:rPr>
            </w:pPr>
            <w:r w:rsidRPr="00E244FB">
              <w:rPr>
                <w:rFonts w:eastAsia="Times New Roman"/>
                <w:b/>
                <w:bCs/>
                <w:lang w:eastAsia="en-AU"/>
              </w:rPr>
              <w:t>Total</w:t>
            </w:r>
          </w:p>
        </w:tc>
      </w:tr>
      <w:tr w:rsidR="00D3612E" w:rsidRPr="00C86DCC" w14:paraId="7B85E501" w14:textId="77777777" w:rsidTr="00C74F57">
        <w:tc>
          <w:tcPr>
            <w:tcW w:w="1903" w:type="dxa"/>
          </w:tcPr>
          <w:p w14:paraId="3825A63B" w14:textId="77777777" w:rsidR="00D3612E" w:rsidRPr="00E244FB" w:rsidRDefault="00D3612E" w:rsidP="009B351B">
            <w:pPr>
              <w:rPr>
                <w:rFonts w:eastAsia="Times New Roman"/>
                <w:i/>
                <w:lang w:eastAsia="en-AU"/>
              </w:rPr>
            </w:pPr>
            <w:r w:rsidRPr="00E244FB">
              <w:rPr>
                <w:rFonts w:eastAsia="Times New Roman"/>
                <w:lang w:eastAsia="en-AU"/>
              </w:rPr>
              <w:t>No. of people</w:t>
            </w:r>
          </w:p>
        </w:tc>
        <w:tc>
          <w:tcPr>
            <w:tcW w:w="1488" w:type="dxa"/>
          </w:tcPr>
          <w:p w14:paraId="176703EC" w14:textId="77777777" w:rsidR="00D3612E" w:rsidRPr="00E244FB" w:rsidRDefault="0092412C" w:rsidP="009B351B">
            <w:pPr>
              <w:rPr>
                <w:rFonts w:eastAsia="Times New Roman"/>
                <w:i/>
                <w:lang w:eastAsia="en-AU"/>
              </w:rPr>
            </w:pPr>
            <w:r>
              <w:rPr>
                <w:rFonts w:eastAsia="Times New Roman"/>
                <w:lang w:eastAsia="en-AU"/>
              </w:rPr>
              <w:t>2543</w:t>
            </w:r>
          </w:p>
        </w:tc>
        <w:tc>
          <w:tcPr>
            <w:tcW w:w="1317" w:type="dxa"/>
          </w:tcPr>
          <w:p w14:paraId="660E2A15" w14:textId="77777777" w:rsidR="00D3612E" w:rsidRPr="00E244FB" w:rsidRDefault="0092412C" w:rsidP="009B351B">
            <w:pPr>
              <w:rPr>
                <w:rFonts w:eastAsia="Times New Roman"/>
                <w:i/>
                <w:lang w:eastAsia="en-AU"/>
              </w:rPr>
            </w:pPr>
            <w:r>
              <w:rPr>
                <w:rFonts w:eastAsia="Times New Roman"/>
                <w:lang w:eastAsia="en-AU"/>
              </w:rPr>
              <w:t>688</w:t>
            </w:r>
          </w:p>
        </w:tc>
        <w:tc>
          <w:tcPr>
            <w:tcW w:w="1483" w:type="dxa"/>
          </w:tcPr>
          <w:p w14:paraId="48714E0E" w14:textId="77777777" w:rsidR="00D3612E" w:rsidRPr="00E244FB" w:rsidRDefault="0092412C" w:rsidP="009B351B">
            <w:pPr>
              <w:rPr>
                <w:rFonts w:eastAsia="Times New Roman"/>
                <w:i/>
                <w:lang w:eastAsia="en-AU"/>
              </w:rPr>
            </w:pPr>
            <w:r>
              <w:rPr>
                <w:rFonts w:eastAsia="Times New Roman"/>
                <w:lang w:eastAsia="en-AU"/>
              </w:rPr>
              <w:t>678</w:t>
            </w:r>
          </w:p>
        </w:tc>
        <w:tc>
          <w:tcPr>
            <w:tcW w:w="1358" w:type="dxa"/>
          </w:tcPr>
          <w:p w14:paraId="3DCC548A" w14:textId="77777777" w:rsidR="00D3612E" w:rsidRPr="00E244FB" w:rsidRDefault="0092412C" w:rsidP="009B351B">
            <w:pPr>
              <w:rPr>
                <w:rFonts w:eastAsia="Times New Roman"/>
                <w:i/>
                <w:lang w:eastAsia="en-AU"/>
              </w:rPr>
            </w:pPr>
            <w:r>
              <w:rPr>
                <w:rFonts w:eastAsia="Times New Roman"/>
                <w:lang w:eastAsia="en-AU"/>
              </w:rPr>
              <w:t>571</w:t>
            </w:r>
          </w:p>
        </w:tc>
        <w:tc>
          <w:tcPr>
            <w:tcW w:w="1421" w:type="dxa"/>
          </w:tcPr>
          <w:p w14:paraId="62D409B9" w14:textId="77777777" w:rsidR="00D3612E" w:rsidRPr="00E244FB" w:rsidRDefault="0092412C" w:rsidP="009B351B">
            <w:pPr>
              <w:rPr>
                <w:rFonts w:eastAsia="Times New Roman"/>
                <w:i/>
                <w:lang w:eastAsia="en-AU"/>
              </w:rPr>
            </w:pPr>
            <w:r>
              <w:rPr>
                <w:rFonts w:eastAsia="Times New Roman"/>
                <w:lang w:eastAsia="en-AU"/>
              </w:rPr>
              <w:t>4480</w:t>
            </w:r>
          </w:p>
        </w:tc>
      </w:tr>
      <w:tr w:rsidR="00D3612E" w:rsidRPr="00C86DCC" w14:paraId="3D94B8FE" w14:textId="77777777" w:rsidTr="00C74F57">
        <w:tc>
          <w:tcPr>
            <w:tcW w:w="1903" w:type="dxa"/>
          </w:tcPr>
          <w:p w14:paraId="5AAF5FA8" w14:textId="77777777" w:rsidR="00D3612E" w:rsidRPr="00E244FB" w:rsidRDefault="00D3612E" w:rsidP="009B351B">
            <w:pPr>
              <w:rPr>
                <w:rFonts w:eastAsia="Times New Roman"/>
                <w:i/>
                <w:lang w:eastAsia="en-AU"/>
              </w:rPr>
            </w:pPr>
            <w:r w:rsidRPr="00E244FB">
              <w:rPr>
                <w:rFonts w:eastAsia="Times New Roman"/>
                <w:lang w:eastAsia="en-AU"/>
              </w:rPr>
              <w:t>Hours of delivery</w:t>
            </w:r>
          </w:p>
        </w:tc>
        <w:tc>
          <w:tcPr>
            <w:tcW w:w="1488" w:type="dxa"/>
          </w:tcPr>
          <w:p w14:paraId="14F59975" w14:textId="77777777" w:rsidR="00D3612E" w:rsidRPr="00E244FB" w:rsidRDefault="0092412C" w:rsidP="009B351B">
            <w:pPr>
              <w:rPr>
                <w:rFonts w:eastAsia="Times New Roman"/>
                <w:i/>
                <w:lang w:eastAsia="en-AU"/>
              </w:rPr>
            </w:pPr>
            <w:r>
              <w:rPr>
                <w:rFonts w:eastAsia="Times New Roman"/>
                <w:lang w:eastAsia="en-AU"/>
              </w:rPr>
              <w:t>385</w:t>
            </w:r>
          </w:p>
        </w:tc>
        <w:tc>
          <w:tcPr>
            <w:tcW w:w="1317" w:type="dxa"/>
          </w:tcPr>
          <w:p w14:paraId="2D0CE6C9" w14:textId="77777777" w:rsidR="00D3612E" w:rsidRPr="00E244FB" w:rsidRDefault="0092412C" w:rsidP="009B351B">
            <w:pPr>
              <w:rPr>
                <w:rFonts w:eastAsia="Times New Roman"/>
                <w:i/>
                <w:lang w:eastAsia="en-AU"/>
              </w:rPr>
            </w:pPr>
            <w:r>
              <w:rPr>
                <w:rFonts w:eastAsia="Times New Roman"/>
                <w:lang w:eastAsia="en-AU"/>
              </w:rPr>
              <w:t>113</w:t>
            </w:r>
          </w:p>
        </w:tc>
        <w:tc>
          <w:tcPr>
            <w:tcW w:w="1483" w:type="dxa"/>
          </w:tcPr>
          <w:p w14:paraId="62FE7938" w14:textId="77777777" w:rsidR="00D3612E" w:rsidRPr="00E244FB" w:rsidRDefault="0092412C" w:rsidP="009B351B">
            <w:pPr>
              <w:rPr>
                <w:rFonts w:eastAsia="Times New Roman"/>
                <w:i/>
                <w:lang w:eastAsia="en-AU"/>
              </w:rPr>
            </w:pPr>
            <w:r>
              <w:rPr>
                <w:rFonts w:eastAsia="Times New Roman"/>
                <w:lang w:eastAsia="en-AU"/>
              </w:rPr>
              <w:t>149</w:t>
            </w:r>
          </w:p>
        </w:tc>
        <w:tc>
          <w:tcPr>
            <w:tcW w:w="1358" w:type="dxa"/>
          </w:tcPr>
          <w:p w14:paraId="577D4F21" w14:textId="77777777" w:rsidR="00D3612E" w:rsidRPr="00E244FB" w:rsidRDefault="0092412C" w:rsidP="009B351B">
            <w:pPr>
              <w:rPr>
                <w:rFonts w:eastAsia="Times New Roman"/>
                <w:i/>
                <w:lang w:eastAsia="en-AU"/>
              </w:rPr>
            </w:pPr>
            <w:r>
              <w:rPr>
                <w:rFonts w:eastAsia="Times New Roman"/>
                <w:lang w:eastAsia="en-AU"/>
              </w:rPr>
              <w:t>114</w:t>
            </w:r>
          </w:p>
        </w:tc>
        <w:tc>
          <w:tcPr>
            <w:tcW w:w="1421" w:type="dxa"/>
          </w:tcPr>
          <w:p w14:paraId="7D519381" w14:textId="77777777" w:rsidR="00D3612E" w:rsidRPr="00E244FB" w:rsidRDefault="0092412C" w:rsidP="009B351B">
            <w:pPr>
              <w:rPr>
                <w:rFonts w:eastAsia="Times New Roman"/>
                <w:i/>
                <w:lang w:eastAsia="en-AU"/>
              </w:rPr>
            </w:pPr>
            <w:r>
              <w:rPr>
                <w:rFonts w:eastAsia="Times New Roman"/>
                <w:lang w:eastAsia="en-AU"/>
              </w:rPr>
              <w:t>761</w:t>
            </w:r>
          </w:p>
        </w:tc>
      </w:tr>
      <w:tr w:rsidR="00D3612E" w:rsidRPr="00CE7202" w14:paraId="029FF878" w14:textId="77777777" w:rsidTr="00C74F57">
        <w:trPr>
          <w:trHeight w:val="268"/>
        </w:trPr>
        <w:tc>
          <w:tcPr>
            <w:tcW w:w="1903" w:type="dxa"/>
          </w:tcPr>
          <w:p w14:paraId="0D89CF4E" w14:textId="77777777" w:rsidR="00D3612E" w:rsidRPr="00E244FB" w:rsidRDefault="00D3612E" w:rsidP="009B351B">
            <w:pPr>
              <w:rPr>
                <w:rFonts w:eastAsia="Times New Roman"/>
                <w:i/>
                <w:lang w:eastAsia="en-AU"/>
              </w:rPr>
            </w:pPr>
            <w:r w:rsidRPr="00E244FB">
              <w:rPr>
                <w:rFonts w:eastAsia="Times New Roman"/>
                <w:lang w:eastAsia="en-AU"/>
              </w:rPr>
              <w:t>Actual revenue</w:t>
            </w:r>
          </w:p>
        </w:tc>
        <w:tc>
          <w:tcPr>
            <w:tcW w:w="1488" w:type="dxa"/>
          </w:tcPr>
          <w:p w14:paraId="7AE28D71" w14:textId="77777777" w:rsidR="00D3612E" w:rsidRPr="00E244FB" w:rsidRDefault="0092412C" w:rsidP="009B351B">
            <w:pPr>
              <w:rPr>
                <w:rFonts w:eastAsia="Times New Roman"/>
                <w:i/>
                <w:lang w:eastAsia="en-AU"/>
              </w:rPr>
            </w:pPr>
            <w:r>
              <w:rPr>
                <w:rFonts w:eastAsia="Times New Roman"/>
                <w:lang w:eastAsia="en-AU"/>
              </w:rPr>
              <w:t>$88,399</w:t>
            </w:r>
          </w:p>
        </w:tc>
        <w:tc>
          <w:tcPr>
            <w:tcW w:w="1317" w:type="dxa"/>
          </w:tcPr>
          <w:p w14:paraId="60592B66" w14:textId="77777777" w:rsidR="00D3612E" w:rsidRPr="00E244FB" w:rsidRDefault="0092412C" w:rsidP="009B351B">
            <w:pPr>
              <w:rPr>
                <w:rFonts w:eastAsia="Times New Roman"/>
                <w:i/>
                <w:lang w:eastAsia="en-AU"/>
              </w:rPr>
            </w:pPr>
            <w:r>
              <w:rPr>
                <w:rFonts w:eastAsia="Times New Roman"/>
                <w:lang w:eastAsia="en-AU"/>
              </w:rPr>
              <w:t>$27,811</w:t>
            </w:r>
          </w:p>
        </w:tc>
        <w:tc>
          <w:tcPr>
            <w:tcW w:w="1483" w:type="dxa"/>
          </w:tcPr>
          <w:p w14:paraId="57E2D1ED" w14:textId="77777777" w:rsidR="00D3612E" w:rsidRPr="00E244FB" w:rsidRDefault="0092412C" w:rsidP="009B351B">
            <w:pPr>
              <w:rPr>
                <w:rFonts w:eastAsia="Times New Roman"/>
                <w:i/>
                <w:lang w:eastAsia="en-AU"/>
              </w:rPr>
            </w:pPr>
            <w:r>
              <w:rPr>
                <w:rFonts w:eastAsia="Times New Roman"/>
                <w:lang w:eastAsia="en-AU"/>
              </w:rPr>
              <w:t>$35,933</w:t>
            </w:r>
          </w:p>
        </w:tc>
        <w:tc>
          <w:tcPr>
            <w:tcW w:w="1358" w:type="dxa"/>
          </w:tcPr>
          <w:p w14:paraId="339C6430" w14:textId="77777777" w:rsidR="00D3612E" w:rsidRPr="00E244FB" w:rsidRDefault="0092412C" w:rsidP="009B351B">
            <w:pPr>
              <w:rPr>
                <w:rFonts w:eastAsia="Times New Roman"/>
                <w:i/>
                <w:lang w:eastAsia="en-AU"/>
              </w:rPr>
            </w:pPr>
            <w:r>
              <w:rPr>
                <w:rFonts w:eastAsia="Times New Roman"/>
                <w:lang w:eastAsia="en-AU"/>
              </w:rPr>
              <w:t>$38,393</w:t>
            </w:r>
          </w:p>
        </w:tc>
        <w:tc>
          <w:tcPr>
            <w:tcW w:w="1421" w:type="dxa"/>
          </w:tcPr>
          <w:p w14:paraId="11BC5F48" w14:textId="77777777" w:rsidR="00D3612E" w:rsidRPr="00E244FB" w:rsidRDefault="0092412C" w:rsidP="009B351B">
            <w:pPr>
              <w:rPr>
                <w:rFonts w:eastAsia="Times New Roman"/>
                <w:i/>
                <w:lang w:eastAsia="en-AU"/>
              </w:rPr>
            </w:pPr>
            <w:r>
              <w:rPr>
                <w:rFonts w:eastAsia="Times New Roman"/>
                <w:lang w:eastAsia="en-AU"/>
              </w:rPr>
              <w:t>$190,536</w:t>
            </w:r>
          </w:p>
        </w:tc>
      </w:tr>
    </w:tbl>
    <w:p w14:paraId="4E0BC69F" w14:textId="77777777" w:rsidR="00D3612E" w:rsidRPr="001950FF" w:rsidRDefault="00D3612E" w:rsidP="00C74F57">
      <w:pPr>
        <w:pStyle w:val="Heading2"/>
        <w:rPr>
          <w:i/>
        </w:rPr>
      </w:pPr>
      <w:r w:rsidRPr="001950FF">
        <w:t>Evaluation</w:t>
      </w:r>
    </w:p>
    <w:p w14:paraId="34CF8FFD" w14:textId="77777777" w:rsidR="00D3612E" w:rsidRPr="00F72A7D" w:rsidRDefault="00D3612E" w:rsidP="009B351B">
      <w:pPr>
        <w:rPr>
          <w:i/>
        </w:rPr>
      </w:pPr>
      <w:r w:rsidRPr="00F72A7D">
        <w:t xml:space="preserve">As part of the ADCQ’s commitment to continuous improvement of services, training participants are asked to complete an evaluation form at the end of each training session. Evaluation is based on the following criteria: </w:t>
      </w:r>
    </w:p>
    <w:p w14:paraId="19D3BFAB"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content of the training session</w:t>
      </w:r>
      <w:r w:rsidR="00B66DAB" w:rsidRPr="009B351B">
        <w:rPr>
          <w:rFonts w:eastAsia="Times New Roman"/>
          <w:lang w:eastAsia="en-AU"/>
        </w:rPr>
        <w:t>;</w:t>
      </w:r>
    </w:p>
    <w:p w14:paraId="6B6CC608"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quality of information resources provided</w:t>
      </w:r>
      <w:r w:rsidR="00B66DAB" w:rsidRPr="009B351B">
        <w:rPr>
          <w:rFonts w:eastAsia="Times New Roman"/>
          <w:lang w:eastAsia="en-AU"/>
        </w:rPr>
        <w:t>;</w:t>
      </w:r>
    </w:p>
    <w:p w14:paraId="46F6029D"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overall presentation of the session</w:t>
      </w:r>
      <w:r w:rsidR="00B66DAB" w:rsidRPr="009B351B">
        <w:rPr>
          <w:rFonts w:eastAsia="Times New Roman"/>
          <w:lang w:eastAsia="en-AU"/>
        </w:rPr>
        <w:t>;</w:t>
      </w:r>
    </w:p>
    <w:p w14:paraId="66CF157A"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understanding of the course content before and after training</w:t>
      </w:r>
      <w:r w:rsidR="00B66DAB" w:rsidRPr="009B351B">
        <w:rPr>
          <w:rFonts w:eastAsia="Times New Roman"/>
          <w:lang w:eastAsia="en-AU"/>
        </w:rPr>
        <w:t>;</w:t>
      </w:r>
    </w:p>
    <w:p w14:paraId="3177DE5C"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effectiveness of the trainer in terms of content knowledge, engagement and service delivery</w:t>
      </w:r>
      <w:r w:rsidR="00B66DAB" w:rsidRPr="009B351B">
        <w:rPr>
          <w:rFonts w:eastAsia="Times New Roman"/>
          <w:lang w:eastAsia="en-AU"/>
        </w:rPr>
        <w:t>;</w:t>
      </w:r>
    </w:p>
    <w:p w14:paraId="5E9A3E9F" w14:textId="6096BA7C"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participant expectations and whether they were satisfied</w:t>
      </w:r>
      <w:r w:rsidR="00B66DAB" w:rsidRPr="009B351B">
        <w:rPr>
          <w:rFonts w:eastAsia="Times New Roman"/>
          <w:lang w:eastAsia="en-AU"/>
        </w:rPr>
        <w:t>;</w:t>
      </w:r>
      <w:r w:rsidR="009C604E" w:rsidRPr="009B351B">
        <w:rPr>
          <w:rFonts w:eastAsia="Times New Roman"/>
          <w:lang w:eastAsia="en-AU"/>
        </w:rPr>
        <w:t xml:space="preserve"> and</w:t>
      </w:r>
    </w:p>
    <w:p w14:paraId="5E613360" w14:textId="77777777" w:rsidR="00D3612E" w:rsidRPr="009B351B" w:rsidRDefault="00D3612E" w:rsidP="005329BF">
      <w:pPr>
        <w:pStyle w:val="ListParagraph"/>
        <w:numPr>
          <w:ilvl w:val="0"/>
          <w:numId w:val="24"/>
        </w:numPr>
        <w:rPr>
          <w:rFonts w:eastAsia="Times New Roman"/>
          <w:i/>
          <w:lang w:eastAsia="en-AU"/>
        </w:rPr>
      </w:pPr>
      <w:r w:rsidRPr="009B351B">
        <w:rPr>
          <w:rFonts w:eastAsia="Times New Roman"/>
          <w:lang w:eastAsia="en-AU"/>
        </w:rPr>
        <w:t>whether the training material can or will be applied in practice</w:t>
      </w:r>
      <w:r w:rsidR="009C604E" w:rsidRPr="009B351B">
        <w:rPr>
          <w:rFonts w:eastAsia="Times New Roman"/>
          <w:lang w:eastAsia="en-AU"/>
        </w:rPr>
        <w:t>.</w:t>
      </w:r>
    </w:p>
    <w:p w14:paraId="6A51851D" w14:textId="77777777" w:rsidR="00D3612E" w:rsidRPr="00C86DCC" w:rsidRDefault="00D3612E" w:rsidP="009B351B">
      <w:pPr>
        <w:rPr>
          <w:i/>
          <w:highlight w:val="yellow"/>
        </w:rPr>
      </w:pPr>
      <w:r w:rsidRPr="00F72A7D">
        <w:t xml:space="preserve">Overall participant ratings have remained very high with an average satisfaction rating </w:t>
      </w:r>
      <w:r w:rsidRPr="00005DA9">
        <w:t>of 9</w:t>
      </w:r>
      <w:r w:rsidR="009C604E">
        <w:t>7</w:t>
      </w:r>
      <w:r w:rsidRPr="00005DA9">
        <w:t>%.</w:t>
      </w:r>
    </w:p>
    <w:p w14:paraId="546C9D00" w14:textId="12881100" w:rsidR="00D3612E" w:rsidRPr="000E39D0" w:rsidRDefault="00D3612E" w:rsidP="009B351B">
      <w:pPr>
        <w:rPr>
          <w:i/>
        </w:rPr>
      </w:pPr>
      <w:r w:rsidRPr="00005DA9">
        <w:t>Here is a sample of responses from 201</w:t>
      </w:r>
      <w:r w:rsidR="002502E9">
        <w:t>8</w:t>
      </w:r>
      <w:r w:rsidRPr="00005DA9">
        <w:rPr>
          <w:rFonts w:eastAsia="Times New Roman"/>
          <w:bCs/>
          <w:lang w:eastAsia="en-AU"/>
        </w:rPr>
        <w:t>–</w:t>
      </w:r>
      <w:r w:rsidRPr="00005DA9">
        <w:t>1</w:t>
      </w:r>
      <w:r w:rsidR="002502E9">
        <w:t>9</w:t>
      </w:r>
      <w:r w:rsidRPr="00005DA9">
        <w:t xml:space="preserve"> training participants:</w:t>
      </w:r>
    </w:p>
    <w:tbl>
      <w:tblPr>
        <w:tblStyle w:val="TableGridLight"/>
        <w:tblW w:w="0" w:type="auto"/>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1E0" w:firstRow="1" w:lastRow="1" w:firstColumn="1" w:lastColumn="1" w:noHBand="0" w:noVBand="0"/>
      </w:tblPr>
      <w:tblGrid>
        <w:gridCol w:w="6793"/>
      </w:tblGrid>
      <w:tr w:rsidR="00D3612E" w:rsidRPr="007F1A9A" w14:paraId="72B709DA" w14:textId="77777777" w:rsidTr="00696C61">
        <w:trPr>
          <w:trHeight w:val="268"/>
        </w:trPr>
        <w:tc>
          <w:tcPr>
            <w:tcW w:w="9656" w:type="dxa"/>
          </w:tcPr>
          <w:p w14:paraId="65CFDF51" w14:textId="77777777" w:rsidR="00D3612E" w:rsidRPr="000E39D0" w:rsidRDefault="00D3612E" w:rsidP="009B351B">
            <w:pPr>
              <w:rPr>
                <w:rFonts w:eastAsia="Times New Roman"/>
                <w:b/>
                <w:i/>
                <w:lang w:eastAsia="en-AU"/>
              </w:rPr>
            </w:pPr>
            <w:r w:rsidRPr="000E39D0">
              <w:rPr>
                <w:rFonts w:eastAsia="Times New Roman"/>
                <w:b/>
                <w:lang w:eastAsia="en-AU"/>
              </w:rPr>
              <w:t>What did you like most about this training?</w:t>
            </w:r>
          </w:p>
        </w:tc>
      </w:tr>
      <w:tr w:rsidR="00D3612E" w:rsidRPr="007F1A9A" w14:paraId="2CA6E86C" w14:textId="77777777" w:rsidTr="00696C61">
        <w:tc>
          <w:tcPr>
            <w:tcW w:w="9656" w:type="dxa"/>
          </w:tcPr>
          <w:p w14:paraId="7301F1D2" w14:textId="7DC8730E" w:rsidR="00D3612E" w:rsidRPr="00B31CF0" w:rsidRDefault="009C604E" w:rsidP="009B351B">
            <w:pPr>
              <w:rPr>
                <w:rFonts w:ascii="Arial" w:hAnsi="Arial"/>
                <w:i/>
                <w:lang w:val="en-GB"/>
              </w:rPr>
            </w:pPr>
            <w:r w:rsidRPr="00B31CF0">
              <w:rPr>
                <w:rFonts w:ascii="Arial" w:hAnsi="Arial"/>
                <w:lang w:val="en-GB"/>
              </w:rPr>
              <w:t xml:space="preserve">The knowledgeable trainer; </w:t>
            </w:r>
            <w:r w:rsidR="00B66DAB">
              <w:rPr>
                <w:rFonts w:ascii="Arial" w:hAnsi="Arial"/>
                <w:lang w:val="en-GB"/>
              </w:rPr>
              <w:t>p</w:t>
            </w:r>
            <w:r w:rsidRPr="00B31CF0">
              <w:rPr>
                <w:rFonts w:ascii="Arial" w:hAnsi="Arial"/>
                <w:lang w:val="en-GB"/>
              </w:rPr>
              <w:t>ositive delivery of thought provoking material</w:t>
            </w:r>
            <w:r w:rsidR="00B66DAB">
              <w:rPr>
                <w:rFonts w:ascii="Arial" w:hAnsi="Arial"/>
                <w:lang w:val="en-GB"/>
              </w:rPr>
              <w:t>.</w:t>
            </w:r>
          </w:p>
        </w:tc>
      </w:tr>
      <w:tr w:rsidR="00D3612E" w:rsidRPr="007F1A9A" w14:paraId="20524519" w14:textId="77777777" w:rsidTr="00696C61">
        <w:tc>
          <w:tcPr>
            <w:tcW w:w="9656" w:type="dxa"/>
          </w:tcPr>
          <w:p w14:paraId="1A2F36B4" w14:textId="77777777" w:rsidR="00D3612E" w:rsidRPr="00B31CF0" w:rsidRDefault="009C604E" w:rsidP="009B351B">
            <w:pPr>
              <w:rPr>
                <w:rFonts w:ascii="Arial" w:hAnsi="Arial"/>
                <w:i/>
                <w:lang w:val="en-GB"/>
              </w:rPr>
            </w:pPr>
            <w:r w:rsidRPr="00B31CF0">
              <w:rPr>
                <w:rFonts w:ascii="Arial" w:hAnsi="Arial"/>
                <w:lang w:val="en-GB"/>
              </w:rPr>
              <w:t>The openness of the trainer, the workbook, the dialogue and the examples.</w:t>
            </w:r>
          </w:p>
        </w:tc>
      </w:tr>
      <w:tr w:rsidR="00D3612E" w:rsidRPr="007F1A9A" w14:paraId="7E2B6198" w14:textId="77777777" w:rsidTr="00696C61">
        <w:tc>
          <w:tcPr>
            <w:tcW w:w="9656" w:type="dxa"/>
          </w:tcPr>
          <w:p w14:paraId="0F31A248" w14:textId="27A5B717" w:rsidR="00D3612E" w:rsidRPr="00B31CF0" w:rsidRDefault="009C604E" w:rsidP="009B351B">
            <w:pPr>
              <w:rPr>
                <w:rFonts w:ascii="Arial" w:hAnsi="Arial"/>
                <w:i/>
                <w:lang w:val="en-GB"/>
              </w:rPr>
            </w:pPr>
            <w:r w:rsidRPr="00B31CF0">
              <w:rPr>
                <w:rFonts w:ascii="Arial" w:hAnsi="Arial"/>
                <w:lang w:val="en-GB"/>
              </w:rPr>
              <w:t xml:space="preserve">Practical and inspiring; </w:t>
            </w:r>
            <w:r w:rsidR="00B66DAB">
              <w:rPr>
                <w:rFonts w:ascii="Arial" w:hAnsi="Arial"/>
                <w:lang w:val="en-GB"/>
              </w:rPr>
              <w:t>r</w:t>
            </w:r>
            <w:r w:rsidRPr="00B31CF0">
              <w:rPr>
                <w:rFonts w:ascii="Arial" w:hAnsi="Arial"/>
                <w:lang w:val="en-GB"/>
              </w:rPr>
              <w:t>eal world examples &amp; participant involvement</w:t>
            </w:r>
            <w:r w:rsidR="00B66DAB">
              <w:rPr>
                <w:rFonts w:ascii="Arial" w:hAnsi="Arial"/>
                <w:lang w:val="en-GB"/>
              </w:rPr>
              <w:t>.</w:t>
            </w:r>
          </w:p>
        </w:tc>
      </w:tr>
      <w:tr w:rsidR="00D3612E" w:rsidRPr="007F1A9A" w14:paraId="3C01F89A" w14:textId="77777777" w:rsidTr="00696C61">
        <w:trPr>
          <w:trHeight w:val="268"/>
        </w:trPr>
        <w:tc>
          <w:tcPr>
            <w:tcW w:w="9656" w:type="dxa"/>
          </w:tcPr>
          <w:p w14:paraId="614C0252" w14:textId="77777777" w:rsidR="00D3612E" w:rsidRPr="00152E00" w:rsidRDefault="00B31CF0" w:rsidP="009B351B">
            <w:pPr>
              <w:rPr>
                <w:rFonts w:ascii="Arial" w:hAnsi="Arial"/>
                <w:i/>
                <w:lang w:val="en-GB"/>
              </w:rPr>
            </w:pPr>
            <w:r>
              <w:rPr>
                <w:rFonts w:ascii="Arial" w:hAnsi="Arial"/>
                <w:lang w:val="en-GB"/>
              </w:rPr>
              <w:t>Helped understand and put in perspective a lot of things.</w:t>
            </w:r>
          </w:p>
        </w:tc>
      </w:tr>
      <w:tr w:rsidR="00D3612E" w:rsidRPr="007F1A9A" w14:paraId="670F55EC" w14:textId="77777777" w:rsidTr="00696C61">
        <w:trPr>
          <w:trHeight w:val="268"/>
        </w:trPr>
        <w:tc>
          <w:tcPr>
            <w:tcW w:w="9656" w:type="dxa"/>
          </w:tcPr>
          <w:p w14:paraId="32AB0C9B" w14:textId="77777777" w:rsidR="00D3612E" w:rsidRPr="00152E00" w:rsidRDefault="00B31CF0" w:rsidP="009B351B">
            <w:pPr>
              <w:rPr>
                <w:rFonts w:ascii="Arial" w:hAnsi="Arial"/>
                <w:i/>
                <w:lang w:val="en-GB"/>
              </w:rPr>
            </w:pPr>
            <w:r>
              <w:rPr>
                <w:rFonts w:ascii="Arial" w:hAnsi="Arial"/>
                <w:lang w:val="en-GB"/>
              </w:rPr>
              <w:t xml:space="preserve">It was presented in a very digestible manner and was easy to engage with. </w:t>
            </w:r>
          </w:p>
        </w:tc>
      </w:tr>
      <w:tr w:rsidR="00B31CF0" w:rsidRPr="007F1A9A" w14:paraId="4CD4E2FA" w14:textId="77777777" w:rsidTr="00696C61">
        <w:trPr>
          <w:trHeight w:val="268"/>
        </w:trPr>
        <w:tc>
          <w:tcPr>
            <w:tcW w:w="9656" w:type="dxa"/>
          </w:tcPr>
          <w:p w14:paraId="526020BD" w14:textId="77777777" w:rsidR="00B31CF0" w:rsidRPr="00152E00" w:rsidRDefault="00B31CF0" w:rsidP="009B351B">
            <w:pPr>
              <w:rPr>
                <w:rFonts w:ascii="Arial" w:hAnsi="Arial"/>
                <w:i/>
                <w:lang w:val="en-GB"/>
              </w:rPr>
            </w:pPr>
            <w:r>
              <w:rPr>
                <w:rFonts w:ascii="Arial" w:hAnsi="Arial"/>
                <w:lang w:val="en-GB"/>
              </w:rPr>
              <w:t>Resource material was great, great presentation/engagement of the group, answered questions well.</w:t>
            </w:r>
          </w:p>
        </w:tc>
      </w:tr>
      <w:tr w:rsidR="00B31CF0" w:rsidRPr="007F1A9A" w14:paraId="11E7B493" w14:textId="77777777" w:rsidTr="00696C61">
        <w:trPr>
          <w:trHeight w:val="268"/>
        </w:trPr>
        <w:tc>
          <w:tcPr>
            <w:tcW w:w="9656" w:type="dxa"/>
          </w:tcPr>
          <w:p w14:paraId="1E147560" w14:textId="77777777" w:rsidR="00B31CF0" w:rsidRPr="00152E00" w:rsidRDefault="00B31CF0" w:rsidP="009B351B">
            <w:pPr>
              <w:rPr>
                <w:rFonts w:ascii="Arial" w:hAnsi="Arial"/>
                <w:i/>
                <w:lang w:val="en-GB"/>
              </w:rPr>
            </w:pPr>
            <w:r>
              <w:rPr>
                <w:rFonts w:ascii="Arial" w:hAnsi="Arial"/>
                <w:lang w:val="en-GB"/>
              </w:rPr>
              <w:t xml:space="preserve">It made me think and re-evaluate. I will be reflecting on all of this. </w:t>
            </w:r>
          </w:p>
        </w:tc>
      </w:tr>
      <w:tr w:rsidR="00EB38EA" w:rsidRPr="007F1A9A" w14:paraId="0CD325E6" w14:textId="77777777" w:rsidTr="00696C61">
        <w:trPr>
          <w:trHeight w:val="268"/>
        </w:trPr>
        <w:tc>
          <w:tcPr>
            <w:tcW w:w="9656" w:type="dxa"/>
          </w:tcPr>
          <w:p w14:paraId="010736EF" w14:textId="77777777" w:rsidR="00EB38EA" w:rsidRPr="00152E00" w:rsidRDefault="00B31CF0" w:rsidP="009B351B">
            <w:pPr>
              <w:rPr>
                <w:rFonts w:ascii="Arial" w:hAnsi="Arial"/>
                <w:i/>
                <w:lang w:val="en-GB"/>
              </w:rPr>
            </w:pPr>
            <w:r>
              <w:rPr>
                <w:rFonts w:ascii="Arial" w:hAnsi="Arial"/>
                <w:lang w:val="en-GB"/>
              </w:rPr>
              <w:t>Interactive – integration with our policies.</w:t>
            </w:r>
          </w:p>
        </w:tc>
      </w:tr>
      <w:tr w:rsidR="00EB38EA" w:rsidRPr="007F1A9A" w14:paraId="0D943A96" w14:textId="77777777" w:rsidTr="00696C61">
        <w:trPr>
          <w:trHeight w:val="268"/>
        </w:trPr>
        <w:tc>
          <w:tcPr>
            <w:tcW w:w="9656" w:type="dxa"/>
          </w:tcPr>
          <w:p w14:paraId="1B61AF71" w14:textId="77777777" w:rsidR="00EB38EA" w:rsidRPr="00152E00" w:rsidRDefault="00B31CF0" w:rsidP="009B351B">
            <w:pPr>
              <w:rPr>
                <w:rFonts w:ascii="Arial" w:hAnsi="Arial"/>
                <w:i/>
                <w:lang w:val="en-GB"/>
              </w:rPr>
            </w:pPr>
            <w:r>
              <w:rPr>
                <w:rFonts w:ascii="Arial" w:hAnsi="Arial"/>
                <w:lang w:val="en-GB"/>
              </w:rPr>
              <w:t>The enthusiasm of the presenter and responsiveness to each individual member of the audience.</w:t>
            </w:r>
          </w:p>
        </w:tc>
      </w:tr>
      <w:tr w:rsidR="00EB38EA" w:rsidRPr="007F1A9A" w14:paraId="11012A7E" w14:textId="77777777" w:rsidTr="00696C61">
        <w:trPr>
          <w:trHeight w:val="268"/>
        </w:trPr>
        <w:tc>
          <w:tcPr>
            <w:tcW w:w="9656" w:type="dxa"/>
          </w:tcPr>
          <w:p w14:paraId="0A9854FD" w14:textId="77777777" w:rsidR="00EB38EA" w:rsidRPr="00152E00" w:rsidRDefault="00B511CA" w:rsidP="009B351B">
            <w:pPr>
              <w:rPr>
                <w:rFonts w:ascii="Arial" w:hAnsi="Arial"/>
                <w:i/>
                <w:lang w:val="en-GB"/>
              </w:rPr>
            </w:pPr>
            <w:r>
              <w:rPr>
                <w:rFonts w:ascii="Arial" w:hAnsi="Arial"/>
                <w:lang w:val="en-GB"/>
              </w:rPr>
              <w:t>Engaging – not boring.</w:t>
            </w:r>
          </w:p>
        </w:tc>
      </w:tr>
      <w:tr w:rsidR="00EB38EA" w:rsidRPr="007F1A9A" w14:paraId="33A61C52" w14:textId="77777777" w:rsidTr="00696C61">
        <w:trPr>
          <w:trHeight w:val="268"/>
        </w:trPr>
        <w:tc>
          <w:tcPr>
            <w:tcW w:w="9656" w:type="dxa"/>
          </w:tcPr>
          <w:p w14:paraId="74C7E4EC" w14:textId="77777777" w:rsidR="00EB38EA" w:rsidRPr="00152E00" w:rsidRDefault="00B511CA" w:rsidP="009B351B">
            <w:pPr>
              <w:rPr>
                <w:rFonts w:ascii="Arial" w:hAnsi="Arial"/>
                <w:i/>
                <w:lang w:val="en-GB"/>
              </w:rPr>
            </w:pPr>
            <w:r>
              <w:rPr>
                <w:rFonts w:ascii="Arial" w:hAnsi="Arial"/>
                <w:lang w:val="en-GB"/>
              </w:rPr>
              <w:t>Interactive, interesting and applicable content.</w:t>
            </w:r>
          </w:p>
        </w:tc>
      </w:tr>
      <w:tr w:rsidR="00D3612E" w:rsidRPr="007F1A9A" w14:paraId="41E9ECA9" w14:textId="77777777" w:rsidTr="00696C61">
        <w:trPr>
          <w:trHeight w:val="268"/>
        </w:trPr>
        <w:tc>
          <w:tcPr>
            <w:tcW w:w="9656" w:type="dxa"/>
          </w:tcPr>
          <w:p w14:paraId="06994B49" w14:textId="77777777" w:rsidR="00D3612E" w:rsidRPr="00152E00" w:rsidRDefault="00B511CA" w:rsidP="009B351B">
            <w:pPr>
              <w:rPr>
                <w:rFonts w:ascii="Arial" w:hAnsi="Arial"/>
                <w:i/>
                <w:lang w:val="en-GB"/>
              </w:rPr>
            </w:pPr>
            <w:r>
              <w:rPr>
                <w:rFonts w:ascii="Arial" w:hAnsi="Arial"/>
                <w:lang w:val="en-GB"/>
              </w:rPr>
              <w:t xml:space="preserve">Clear and good examples of what’s appropriate and what’s not. </w:t>
            </w:r>
          </w:p>
        </w:tc>
      </w:tr>
    </w:tbl>
    <w:p w14:paraId="4628F1A0" w14:textId="71B48801" w:rsidR="0035643F" w:rsidRPr="00663979" w:rsidRDefault="002502E9" w:rsidP="00A75186">
      <w:pPr>
        <w:pStyle w:val="Heading1"/>
      </w:pPr>
      <w:bookmarkStart w:id="22" w:name="_Toc366487303"/>
      <w:bookmarkStart w:id="23" w:name="_Toc397345681"/>
      <w:bookmarkStart w:id="24" w:name="_Toc16855332"/>
      <w:r>
        <w:lastRenderedPageBreak/>
        <w:t>C</w:t>
      </w:r>
      <w:r w:rsidR="0035643F" w:rsidRPr="00663979">
        <w:t>omplaint management</w:t>
      </w:r>
      <w:bookmarkEnd w:id="22"/>
      <w:bookmarkEnd w:id="23"/>
      <w:bookmarkEnd w:id="24"/>
    </w:p>
    <w:p w14:paraId="2BCA65FC" w14:textId="4D3D8DBE" w:rsidR="0092412C" w:rsidRPr="002D025F" w:rsidRDefault="0092412C" w:rsidP="009B351B">
      <w:pPr>
        <w:rPr>
          <w:i/>
          <w:lang w:eastAsia="en-AU"/>
        </w:rPr>
      </w:pPr>
      <w:r>
        <w:rPr>
          <w:lang w:eastAsia="en-AU"/>
        </w:rPr>
        <w:t>Complaint numbers have continued to increase this financial year, continuing the trend of recent years.</w:t>
      </w:r>
      <w:r w:rsidR="00803E9C">
        <w:rPr>
          <w:lang w:eastAsia="en-AU"/>
        </w:rPr>
        <w:t xml:space="preserve"> </w:t>
      </w:r>
      <w:r>
        <w:rPr>
          <w:lang w:eastAsia="en-AU"/>
        </w:rPr>
        <w:t>The Commission has been busy in its complaint management role and it has been a challenge to meet the increasing complaint management demands with existing resources.</w:t>
      </w:r>
      <w:r w:rsidR="00803E9C">
        <w:rPr>
          <w:lang w:eastAsia="en-AU"/>
        </w:rPr>
        <w:t xml:space="preserve"> </w:t>
      </w:r>
      <w:r w:rsidRPr="002D025F">
        <w:rPr>
          <w:lang w:eastAsia="en-AU"/>
        </w:rPr>
        <w:t xml:space="preserve">As in previous years, the Commission’s complaint management focus has been resolving complaints under the </w:t>
      </w:r>
      <w:r w:rsidRPr="0067689A">
        <w:rPr>
          <w:i/>
          <w:lang w:eastAsia="en-AU"/>
        </w:rPr>
        <w:t>Anti-Discrimination Act 1991</w:t>
      </w:r>
      <w:r w:rsidRPr="002D025F">
        <w:rPr>
          <w:lang w:eastAsia="en-AU"/>
        </w:rPr>
        <w:t>.</w:t>
      </w:r>
    </w:p>
    <w:p w14:paraId="0EB74CBE" w14:textId="0A2911D1" w:rsidR="0092412C" w:rsidRPr="002D025F" w:rsidRDefault="0092412C" w:rsidP="009B351B">
      <w:pPr>
        <w:rPr>
          <w:i/>
          <w:lang w:eastAsia="en-AU"/>
        </w:rPr>
      </w:pPr>
      <w:r w:rsidRPr="002D025F">
        <w:rPr>
          <w:lang w:eastAsia="en-AU"/>
        </w:rPr>
        <w:t>The Commission deals with complaints about discrimination, sexual harassment, victimisation, vilification and requests for unnecessary information. The Commission also has power to deal with complaints of reprisal against whistle</w:t>
      </w:r>
      <w:r w:rsidR="0074046F">
        <w:rPr>
          <w:lang w:eastAsia="en-AU"/>
        </w:rPr>
        <w:t xml:space="preserve"> </w:t>
      </w:r>
      <w:r w:rsidRPr="002D025F">
        <w:rPr>
          <w:lang w:eastAsia="en-AU"/>
        </w:rPr>
        <w:t>blowers who elect to resolve their complaints through the Commission’s process, rather than pursue court proceedings</w:t>
      </w:r>
      <w:r>
        <w:rPr>
          <w:lang w:eastAsia="en-AU"/>
        </w:rPr>
        <w:t>, a</w:t>
      </w:r>
      <w:r w:rsidR="00E61E7D">
        <w:rPr>
          <w:lang w:eastAsia="en-AU"/>
        </w:rPr>
        <w:t>s well as</w:t>
      </w:r>
      <w:r>
        <w:rPr>
          <w:lang w:eastAsia="en-AU"/>
        </w:rPr>
        <w:t xml:space="preserve"> discrimination against residents of regional communities.</w:t>
      </w:r>
    </w:p>
    <w:p w14:paraId="2907C07C" w14:textId="77777777" w:rsidR="0092412C" w:rsidRPr="002D025F" w:rsidRDefault="0092412C" w:rsidP="009B351B">
      <w:pPr>
        <w:rPr>
          <w:i/>
          <w:lang w:eastAsia="en-AU"/>
        </w:rPr>
      </w:pPr>
      <w:r w:rsidRPr="002D025F">
        <w:rPr>
          <w:lang w:eastAsia="en-AU"/>
        </w:rPr>
        <w:t xml:space="preserve">The Commission has met or exceeded </w:t>
      </w:r>
      <w:r>
        <w:rPr>
          <w:lang w:eastAsia="en-AU"/>
        </w:rPr>
        <w:t xml:space="preserve">some of </w:t>
      </w:r>
      <w:r w:rsidRPr="002D025F">
        <w:rPr>
          <w:lang w:eastAsia="en-AU"/>
        </w:rPr>
        <w:t>its complaint management targets in terms of timeliness of the overall process.</w:t>
      </w:r>
      <w:r w:rsidR="00803E9C">
        <w:rPr>
          <w:lang w:eastAsia="en-AU"/>
        </w:rPr>
        <w:t xml:space="preserve"> </w:t>
      </w:r>
      <w:r>
        <w:rPr>
          <w:lang w:eastAsia="en-AU"/>
        </w:rPr>
        <w:t>The</w:t>
      </w:r>
      <w:r w:rsidRPr="002D025F">
        <w:rPr>
          <w:lang w:eastAsia="en-AU"/>
        </w:rPr>
        <w:t xml:space="preserve"> satisfaction rates </w:t>
      </w:r>
      <w:r>
        <w:rPr>
          <w:lang w:eastAsia="en-AU"/>
        </w:rPr>
        <w:t xml:space="preserve">was 84% </w:t>
      </w:r>
      <w:r w:rsidRPr="002D025F">
        <w:rPr>
          <w:lang w:eastAsia="en-AU"/>
        </w:rPr>
        <w:t>of all parties evaluating the service</w:t>
      </w:r>
      <w:r>
        <w:rPr>
          <w:lang w:eastAsia="en-AU"/>
        </w:rPr>
        <w:t>.</w:t>
      </w:r>
      <w:r w:rsidRPr="002D025F">
        <w:rPr>
          <w:lang w:eastAsia="en-AU"/>
        </w:rPr>
        <w:t xml:space="preserve"> </w:t>
      </w:r>
    </w:p>
    <w:p w14:paraId="29701603" w14:textId="0DD41A4B" w:rsidR="0092412C" w:rsidRPr="002D025F" w:rsidRDefault="0092412C" w:rsidP="009B351B">
      <w:pPr>
        <w:rPr>
          <w:i/>
          <w:lang w:eastAsia="en-AU"/>
        </w:rPr>
      </w:pPr>
      <w:r w:rsidRPr="002D025F">
        <w:rPr>
          <w:lang w:eastAsia="en-AU"/>
        </w:rPr>
        <w:t>Complaints continue to be managed in all offices across Queensland.</w:t>
      </w:r>
      <w:r w:rsidR="00803E9C">
        <w:rPr>
          <w:lang w:eastAsia="en-AU"/>
        </w:rPr>
        <w:t xml:space="preserve"> </w:t>
      </w:r>
      <w:r w:rsidRPr="002D025F">
        <w:rPr>
          <w:lang w:eastAsia="en-AU"/>
        </w:rPr>
        <w:t>This means that efficient local service delivery can be provided to all parties irrespective of their location, resources and vulnerabilities.</w:t>
      </w:r>
      <w:r w:rsidR="00803E9C">
        <w:rPr>
          <w:lang w:eastAsia="en-AU"/>
        </w:rPr>
        <w:t xml:space="preserve"> </w:t>
      </w:r>
      <w:r w:rsidRPr="002D025F">
        <w:rPr>
          <w:lang w:eastAsia="en-AU"/>
        </w:rPr>
        <w:t>It also means that complaints across Queensland are managed from the various different offices depending on available resources</w:t>
      </w:r>
      <w:r w:rsidR="00E61E7D">
        <w:rPr>
          <w:lang w:eastAsia="en-AU"/>
        </w:rPr>
        <w:t xml:space="preserve">. </w:t>
      </w:r>
      <w:r w:rsidRPr="002D025F">
        <w:rPr>
          <w:lang w:eastAsia="en-AU"/>
        </w:rPr>
        <w:t xml:space="preserve">Telephone conferences </w:t>
      </w:r>
      <w:r w:rsidR="00E61E7D">
        <w:rPr>
          <w:lang w:eastAsia="en-AU"/>
        </w:rPr>
        <w:t xml:space="preserve">are commonly held as a result, and </w:t>
      </w:r>
      <w:r w:rsidRPr="002D025F">
        <w:rPr>
          <w:lang w:eastAsia="en-AU"/>
        </w:rPr>
        <w:t>have continued to be an effective means of resolving complaints.</w:t>
      </w:r>
    </w:p>
    <w:p w14:paraId="4C093713" w14:textId="77777777" w:rsidR="0092412C" w:rsidRPr="002D025F" w:rsidRDefault="0092412C" w:rsidP="009B351B">
      <w:pPr>
        <w:pStyle w:val="Heading2"/>
      </w:pPr>
      <w:r w:rsidRPr="002D025F">
        <w:t>State-wide complaint trends</w:t>
      </w:r>
    </w:p>
    <w:p w14:paraId="1892A068" w14:textId="2F93370C" w:rsidR="0092412C" w:rsidRPr="002D025F" w:rsidRDefault="0092412C" w:rsidP="009B351B">
      <w:pPr>
        <w:rPr>
          <w:i/>
          <w:lang w:eastAsia="en-AU"/>
        </w:rPr>
      </w:pPr>
      <w:r w:rsidRPr="002D025F">
        <w:rPr>
          <w:lang w:eastAsia="en-AU"/>
        </w:rPr>
        <w:t>The majority of complaints continue to originate from the South-East Queensland region as shown in Table 7.</w:t>
      </w:r>
      <w:r w:rsidR="00803E9C">
        <w:rPr>
          <w:lang w:eastAsia="en-AU"/>
        </w:rPr>
        <w:t xml:space="preserve"> </w:t>
      </w:r>
      <w:r w:rsidRPr="002D025F">
        <w:rPr>
          <w:lang w:eastAsia="en-AU"/>
        </w:rPr>
        <w:t xml:space="preserve">The complaints received in South-East Queensland include all complaints lodged </w:t>
      </w:r>
      <w:r w:rsidR="00E61E7D">
        <w:rPr>
          <w:lang w:eastAsia="en-AU"/>
        </w:rPr>
        <w:t>online</w:t>
      </w:r>
      <w:r w:rsidRPr="002D025F">
        <w:rPr>
          <w:lang w:eastAsia="en-AU"/>
        </w:rPr>
        <w:t>, which could originate from any region.</w:t>
      </w:r>
      <w:r w:rsidR="00803E9C">
        <w:rPr>
          <w:lang w:eastAsia="en-AU"/>
        </w:rPr>
        <w:t xml:space="preserve"> </w:t>
      </w:r>
      <w:r w:rsidRPr="002D025F">
        <w:rPr>
          <w:lang w:eastAsia="en-AU"/>
        </w:rPr>
        <w:t>They are then allocated throughout the complaint handlers in the Brisbane and regional offices, with priority given to regional offices to manage files where all parties reside in their respective regional areas.</w:t>
      </w:r>
      <w:r w:rsidR="00803E9C">
        <w:rPr>
          <w:lang w:eastAsia="en-AU"/>
        </w:rPr>
        <w:t xml:space="preserve"> </w:t>
      </w:r>
    </w:p>
    <w:p w14:paraId="4C207AB7" w14:textId="73226B49" w:rsidR="0092412C" w:rsidRDefault="0092412C" w:rsidP="009B351B">
      <w:pPr>
        <w:rPr>
          <w:i/>
          <w:lang w:eastAsia="en-AU"/>
        </w:rPr>
      </w:pPr>
      <w:r w:rsidRPr="002D025F">
        <w:rPr>
          <w:lang w:eastAsia="en-AU"/>
        </w:rPr>
        <w:t xml:space="preserve">This year </w:t>
      </w:r>
      <w:r>
        <w:rPr>
          <w:lang w:eastAsia="en-AU"/>
        </w:rPr>
        <w:t>961</w:t>
      </w:r>
      <w:r w:rsidRPr="002D025F">
        <w:rPr>
          <w:lang w:eastAsia="en-AU"/>
        </w:rPr>
        <w:t xml:space="preserve"> complaints were received across the state, </w:t>
      </w:r>
      <w:r w:rsidRPr="00F61F08">
        <w:rPr>
          <w:lang w:eastAsia="en-AU"/>
        </w:rPr>
        <w:t>representing a</w:t>
      </w:r>
      <w:r w:rsidR="00F61F08">
        <w:rPr>
          <w:lang w:eastAsia="en-AU"/>
        </w:rPr>
        <w:t>n</w:t>
      </w:r>
      <w:r w:rsidRPr="00F61F08">
        <w:rPr>
          <w:lang w:eastAsia="en-AU"/>
        </w:rPr>
        <w:t xml:space="preserve"> </w:t>
      </w:r>
      <w:r w:rsidR="00F61F08" w:rsidRPr="00F61F08">
        <w:rPr>
          <w:lang w:eastAsia="en-AU"/>
        </w:rPr>
        <w:t>18.6%</w:t>
      </w:r>
      <w:r w:rsidRPr="00F61F08">
        <w:rPr>
          <w:lang w:eastAsia="en-AU"/>
        </w:rPr>
        <w:t xml:space="preserve"> increase from</w:t>
      </w:r>
      <w:r w:rsidRPr="002D025F">
        <w:rPr>
          <w:lang w:eastAsia="en-AU"/>
        </w:rPr>
        <w:t xml:space="preserve"> the </w:t>
      </w:r>
      <w:r>
        <w:rPr>
          <w:lang w:eastAsia="en-AU"/>
        </w:rPr>
        <w:t>810</w:t>
      </w:r>
      <w:r w:rsidRPr="002D025F">
        <w:rPr>
          <w:lang w:eastAsia="en-AU"/>
        </w:rPr>
        <w:t xml:space="preserve"> complaints received last year. This </w:t>
      </w:r>
      <w:r>
        <w:rPr>
          <w:lang w:eastAsia="en-AU"/>
        </w:rPr>
        <w:t>further increase means there has been a 51% increase in complaints in the last 3 years (636 complaints were received in 2015-2016) and this has had a significant impact on the Commission’s complaint handling demands with more staff focussing on complaint management activities.</w:t>
      </w:r>
    </w:p>
    <w:p w14:paraId="15109C85" w14:textId="3192CC8F" w:rsidR="0092412C" w:rsidRPr="002D025F" w:rsidRDefault="0092412C" w:rsidP="009B351B">
      <w:pPr>
        <w:rPr>
          <w:i/>
          <w:lang w:eastAsia="en-AU"/>
        </w:rPr>
      </w:pPr>
      <w:r w:rsidRPr="002D025F">
        <w:rPr>
          <w:lang w:eastAsia="en-AU"/>
        </w:rPr>
        <w:t xml:space="preserve">Of the total complaints </w:t>
      </w:r>
      <w:r>
        <w:rPr>
          <w:lang w:eastAsia="en-AU"/>
        </w:rPr>
        <w:t>received</w:t>
      </w:r>
      <w:r w:rsidRPr="002D025F">
        <w:rPr>
          <w:lang w:eastAsia="en-AU"/>
        </w:rPr>
        <w:t xml:space="preserve"> this year, </w:t>
      </w:r>
      <w:r>
        <w:rPr>
          <w:lang w:eastAsia="en-AU"/>
        </w:rPr>
        <w:t>55</w:t>
      </w:r>
      <w:r w:rsidR="00A3486E">
        <w:rPr>
          <w:lang w:eastAsia="en-AU"/>
        </w:rPr>
        <w:t>8</w:t>
      </w:r>
      <w:r w:rsidRPr="002D025F">
        <w:rPr>
          <w:lang w:eastAsia="en-AU"/>
        </w:rPr>
        <w:t xml:space="preserve"> were accepted as coming within the Commission’s jurisdiction, representing about 5</w:t>
      </w:r>
      <w:r>
        <w:rPr>
          <w:lang w:eastAsia="en-AU"/>
        </w:rPr>
        <w:t>8</w:t>
      </w:r>
      <w:r w:rsidRPr="002D025F">
        <w:rPr>
          <w:lang w:eastAsia="en-AU"/>
        </w:rPr>
        <w:t>% of complaints received.</w:t>
      </w:r>
      <w:r w:rsidR="00803E9C">
        <w:rPr>
          <w:lang w:eastAsia="en-AU"/>
        </w:rPr>
        <w:t xml:space="preserve"> </w:t>
      </w:r>
      <w:r>
        <w:rPr>
          <w:lang w:eastAsia="en-AU"/>
        </w:rPr>
        <w:t>T</w:t>
      </w:r>
      <w:r w:rsidRPr="002D025F">
        <w:rPr>
          <w:lang w:eastAsia="en-AU"/>
        </w:rPr>
        <w:t xml:space="preserve">he Commission </w:t>
      </w:r>
      <w:r>
        <w:rPr>
          <w:lang w:eastAsia="en-AU"/>
        </w:rPr>
        <w:t xml:space="preserve">continues to </w:t>
      </w:r>
      <w:r w:rsidRPr="002D025F">
        <w:rPr>
          <w:lang w:eastAsia="en-AU"/>
        </w:rPr>
        <w:t>undertake a thorough assessment process at the initial lodgement stage</w:t>
      </w:r>
      <w:r w:rsidR="00E61E7D">
        <w:rPr>
          <w:lang w:eastAsia="en-AU"/>
        </w:rPr>
        <w:t>,</w:t>
      </w:r>
      <w:r>
        <w:rPr>
          <w:lang w:eastAsia="en-AU"/>
        </w:rPr>
        <w:t xml:space="preserve"> however there has been an increase in the number of complaints accepted after the Commission received strong direction from the Queensland Court of Appeal regarding accepting complaints in the decision of </w:t>
      </w:r>
      <w:r w:rsidRPr="00664D17">
        <w:rPr>
          <w:i/>
          <w:lang w:eastAsia="en-AU"/>
        </w:rPr>
        <w:t xml:space="preserve">Toodayan v Anti-Discrimination Commission </w:t>
      </w:r>
      <w:r w:rsidRPr="00664D17">
        <w:rPr>
          <w:i/>
          <w:lang w:eastAsia="en-AU"/>
        </w:rPr>
        <w:lastRenderedPageBreak/>
        <w:t>Queensland</w:t>
      </w:r>
      <w:r w:rsidR="00803E9C" w:rsidRPr="00664D17">
        <w:rPr>
          <w:i/>
          <w:lang w:eastAsia="en-AU"/>
        </w:rPr>
        <w:t xml:space="preserve"> </w:t>
      </w:r>
      <w:r w:rsidRPr="00664D17">
        <w:rPr>
          <w:i/>
          <w:lang w:eastAsia="en-AU"/>
        </w:rPr>
        <w:t>[2018] QCA 349</w:t>
      </w:r>
      <w:r w:rsidRPr="002D025F">
        <w:rPr>
          <w:lang w:eastAsia="en-AU"/>
        </w:rPr>
        <w:t>.</w:t>
      </w:r>
      <w:r w:rsidR="00803E9C">
        <w:rPr>
          <w:lang w:eastAsia="en-AU"/>
        </w:rPr>
        <w:t xml:space="preserve"> </w:t>
      </w:r>
      <w:r w:rsidRPr="002D025F">
        <w:rPr>
          <w:lang w:eastAsia="en-AU"/>
        </w:rPr>
        <w:t>The remaining complaints assessed during the financial year fell outside the Commission’s jurisdiction. Where a complaint does not come within the Commission’s jurisdiction, the complainant is provided with written reasons and is</w:t>
      </w:r>
      <w:r w:rsidR="00803E9C">
        <w:rPr>
          <w:lang w:eastAsia="en-AU"/>
        </w:rPr>
        <w:t xml:space="preserve"> </w:t>
      </w:r>
      <w:r w:rsidRPr="002D025F">
        <w:rPr>
          <w:lang w:eastAsia="en-AU"/>
        </w:rPr>
        <w:t>referred to another agency that can assist them</w:t>
      </w:r>
      <w:r>
        <w:rPr>
          <w:lang w:eastAsia="en-AU"/>
        </w:rPr>
        <w:t>, if there is one</w:t>
      </w:r>
      <w:r w:rsidRPr="002D025F">
        <w:rPr>
          <w:lang w:eastAsia="en-AU"/>
        </w:rPr>
        <w:t>.</w:t>
      </w:r>
    </w:p>
    <w:p w14:paraId="39514C38" w14:textId="77777777" w:rsidR="0092412C" w:rsidRPr="002D025F" w:rsidRDefault="0092412C" w:rsidP="009B351B">
      <w:pPr>
        <w:rPr>
          <w:i/>
          <w:lang w:eastAsia="en-AU"/>
        </w:rPr>
      </w:pPr>
      <w:r w:rsidRPr="002D025F">
        <w:rPr>
          <w:lang w:eastAsia="en-AU"/>
        </w:rPr>
        <w:t xml:space="preserve">The number of complaints finalised this year was </w:t>
      </w:r>
      <w:r>
        <w:rPr>
          <w:lang w:eastAsia="en-AU"/>
        </w:rPr>
        <w:t>849</w:t>
      </w:r>
      <w:r w:rsidRPr="002D025F">
        <w:rPr>
          <w:lang w:eastAsia="en-AU"/>
        </w:rPr>
        <w:t>. This, again, is a</w:t>
      </w:r>
      <w:r>
        <w:rPr>
          <w:lang w:eastAsia="en-AU"/>
        </w:rPr>
        <w:t xml:space="preserve">n </w:t>
      </w:r>
      <w:r w:rsidRPr="002D025F">
        <w:rPr>
          <w:lang w:eastAsia="en-AU"/>
        </w:rPr>
        <w:t xml:space="preserve">increase from the </w:t>
      </w:r>
      <w:r>
        <w:rPr>
          <w:lang w:eastAsia="en-AU"/>
        </w:rPr>
        <w:t xml:space="preserve">818 </w:t>
      </w:r>
      <w:r w:rsidRPr="002D025F">
        <w:rPr>
          <w:lang w:eastAsia="en-AU"/>
        </w:rPr>
        <w:t>finalised last year</w:t>
      </w:r>
      <w:r>
        <w:rPr>
          <w:lang w:eastAsia="en-AU"/>
        </w:rPr>
        <w:t>, and 700 in 2016-17</w:t>
      </w:r>
      <w:r w:rsidRPr="002D025F">
        <w:rPr>
          <w:lang w:eastAsia="en-AU"/>
        </w:rPr>
        <w:t>.</w:t>
      </w:r>
      <w:r w:rsidR="00803E9C">
        <w:rPr>
          <w:lang w:eastAsia="en-AU"/>
        </w:rPr>
        <w:t xml:space="preserve"> </w:t>
      </w:r>
      <w:r>
        <w:rPr>
          <w:lang w:eastAsia="en-AU"/>
        </w:rPr>
        <w:t>Although the Commission finalised substantially less files than were received, the Commission avoided any backlog and the files not finalised are in the process of complaint management and are likely to be finalised early in the following financial year.</w:t>
      </w:r>
      <w:r w:rsidR="00803E9C">
        <w:rPr>
          <w:lang w:eastAsia="en-AU"/>
        </w:rPr>
        <w:t xml:space="preserve"> </w:t>
      </w:r>
      <w:r>
        <w:rPr>
          <w:lang w:eastAsia="en-AU"/>
        </w:rPr>
        <w:t>T</w:t>
      </w:r>
      <w:r w:rsidRPr="002D025F">
        <w:rPr>
          <w:lang w:eastAsia="en-AU"/>
        </w:rPr>
        <w:t xml:space="preserve">he complaint management team across Queensland </w:t>
      </w:r>
      <w:r>
        <w:rPr>
          <w:lang w:eastAsia="en-AU"/>
        </w:rPr>
        <w:t xml:space="preserve">continue </w:t>
      </w:r>
      <w:r w:rsidRPr="002D025F">
        <w:rPr>
          <w:lang w:eastAsia="en-AU"/>
        </w:rPr>
        <w:t xml:space="preserve">to work together to meet increased </w:t>
      </w:r>
      <w:r>
        <w:rPr>
          <w:lang w:eastAsia="en-AU"/>
        </w:rPr>
        <w:t xml:space="preserve">client </w:t>
      </w:r>
      <w:r w:rsidRPr="002D025F">
        <w:rPr>
          <w:lang w:eastAsia="en-AU"/>
        </w:rPr>
        <w:t>demands</w:t>
      </w:r>
      <w:r>
        <w:rPr>
          <w:lang w:eastAsia="en-AU"/>
        </w:rPr>
        <w:t>, whilst continuing to provide high quality service in a high pressure environment of increasing complaint numbers with limited resources</w:t>
      </w:r>
      <w:r w:rsidRPr="002D025F">
        <w:rPr>
          <w:lang w:eastAsia="en-AU"/>
        </w:rPr>
        <w:t xml:space="preserve">. </w:t>
      </w:r>
    </w:p>
    <w:p w14:paraId="7EE5D921" w14:textId="77777777" w:rsidR="00397C8B" w:rsidRPr="002D025F" w:rsidRDefault="00397C8B" w:rsidP="009B351B">
      <w:pPr>
        <w:pStyle w:val="Caption"/>
      </w:pPr>
      <w:r w:rsidRPr="002D025F">
        <w:t>Table 7: Complaints received, accepted and finalised</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1889"/>
        <w:gridCol w:w="1044"/>
        <w:gridCol w:w="963"/>
        <w:gridCol w:w="802"/>
        <w:gridCol w:w="1152"/>
        <w:gridCol w:w="943"/>
      </w:tblGrid>
      <w:tr w:rsidR="00397C8B" w:rsidRPr="002D025F" w14:paraId="34C41F57" w14:textId="77777777" w:rsidTr="00664D17">
        <w:tc>
          <w:tcPr>
            <w:tcW w:w="3465" w:type="dxa"/>
          </w:tcPr>
          <w:p w14:paraId="52C7D08E" w14:textId="77777777" w:rsidR="00397C8B" w:rsidRPr="002D025F" w:rsidRDefault="00397C8B" w:rsidP="009B351B">
            <w:pPr>
              <w:rPr>
                <w:b/>
                <w:i/>
                <w:szCs w:val="22"/>
              </w:rPr>
            </w:pPr>
          </w:p>
        </w:tc>
        <w:tc>
          <w:tcPr>
            <w:tcW w:w="1500" w:type="dxa"/>
          </w:tcPr>
          <w:p w14:paraId="5698C44E" w14:textId="77777777" w:rsidR="00397C8B" w:rsidRPr="002D025F" w:rsidRDefault="00397C8B" w:rsidP="009B351B">
            <w:pPr>
              <w:rPr>
                <w:b/>
                <w:i/>
                <w:szCs w:val="22"/>
              </w:rPr>
            </w:pPr>
            <w:r w:rsidRPr="002D025F">
              <w:rPr>
                <w:b/>
                <w:szCs w:val="22"/>
              </w:rPr>
              <w:t>South-East</w:t>
            </w:r>
          </w:p>
        </w:tc>
        <w:tc>
          <w:tcPr>
            <w:tcW w:w="1097" w:type="dxa"/>
          </w:tcPr>
          <w:p w14:paraId="3DAFD3AE" w14:textId="77777777" w:rsidR="00397C8B" w:rsidRPr="002D025F" w:rsidRDefault="00397C8B" w:rsidP="009B351B">
            <w:pPr>
              <w:rPr>
                <w:b/>
                <w:i/>
                <w:szCs w:val="22"/>
              </w:rPr>
            </w:pPr>
            <w:r w:rsidRPr="002D025F">
              <w:rPr>
                <w:b/>
                <w:szCs w:val="22"/>
              </w:rPr>
              <w:t>Central</w:t>
            </w:r>
          </w:p>
        </w:tc>
        <w:tc>
          <w:tcPr>
            <w:tcW w:w="925" w:type="dxa"/>
          </w:tcPr>
          <w:p w14:paraId="1D5890E8" w14:textId="77777777" w:rsidR="00397C8B" w:rsidRPr="002D025F" w:rsidRDefault="00397C8B" w:rsidP="009B351B">
            <w:pPr>
              <w:rPr>
                <w:b/>
                <w:i/>
                <w:szCs w:val="22"/>
              </w:rPr>
            </w:pPr>
            <w:r w:rsidRPr="002D025F">
              <w:rPr>
                <w:b/>
                <w:szCs w:val="22"/>
              </w:rPr>
              <w:t>North</w:t>
            </w:r>
          </w:p>
        </w:tc>
        <w:tc>
          <w:tcPr>
            <w:tcW w:w="1236" w:type="dxa"/>
          </w:tcPr>
          <w:p w14:paraId="69BBCDD3" w14:textId="77777777" w:rsidR="00397C8B" w:rsidRPr="002D025F" w:rsidRDefault="00397C8B" w:rsidP="009B351B">
            <w:pPr>
              <w:rPr>
                <w:b/>
                <w:i/>
                <w:szCs w:val="22"/>
              </w:rPr>
            </w:pPr>
            <w:r w:rsidRPr="002D025F">
              <w:rPr>
                <w:b/>
                <w:szCs w:val="22"/>
              </w:rPr>
              <w:t>Far North</w:t>
            </w:r>
          </w:p>
        </w:tc>
        <w:tc>
          <w:tcPr>
            <w:tcW w:w="1346" w:type="dxa"/>
          </w:tcPr>
          <w:p w14:paraId="64D404AC" w14:textId="77777777" w:rsidR="00397C8B" w:rsidRPr="002D025F" w:rsidRDefault="00397C8B" w:rsidP="009B351B">
            <w:pPr>
              <w:rPr>
                <w:b/>
                <w:i/>
                <w:szCs w:val="22"/>
              </w:rPr>
            </w:pPr>
            <w:r w:rsidRPr="002D025F">
              <w:rPr>
                <w:b/>
                <w:szCs w:val="22"/>
              </w:rPr>
              <w:t>State-wide</w:t>
            </w:r>
          </w:p>
        </w:tc>
      </w:tr>
      <w:tr w:rsidR="00397C8B" w:rsidRPr="002D025F" w14:paraId="3ECBC0E9" w14:textId="77777777" w:rsidTr="00664D17">
        <w:tc>
          <w:tcPr>
            <w:tcW w:w="3465" w:type="dxa"/>
          </w:tcPr>
          <w:p w14:paraId="62F312D0" w14:textId="77777777" w:rsidR="00397C8B" w:rsidRPr="002D025F" w:rsidRDefault="00397C8B" w:rsidP="009B351B">
            <w:pPr>
              <w:rPr>
                <w:i/>
                <w:szCs w:val="22"/>
                <w:lang w:eastAsia="en-AU"/>
              </w:rPr>
            </w:pPr>
            <w:r w:rsidRPr="002D025F">
              <w:rPr>
                <w:szCs w:val="22"/>
                <w:lang w:eastAsia="en-AU"/>
              </w:rPr>
              <w:t>Complaints received</w:t>
            </w:r>
          </w:p>
        </w:tc>
        <w:tc>
          <w:tcPr>
            <w:tcW w:w="1500" w:type="dxa"/>
          </w:tcPr>
          <w:p w14:paraId="222596F9" w14:textId="77777777" w:rsidR="00397C8B" w:rsidRPr="002D025F" w:rsidRDefault="0092412C" w:rsidP="009B351B">
            <w:pPr>
              <w:rPr>
                <w:i/>
                <w:szCs w:val="22"/>
                <w:lang w:eastAsia="en-AU"/>
              </w:rPr>
            </w:pPr>
            <w:r>
              <w:rPr>
                <w:szCs w:val="22"/>
                <w:lang w:eastAsia="en-AU"/>
              </w:rPr>
              <w:t>899</w:t>
            </w:r>
          </w:p>
        </w:tc>
        <w:tc>
          <w:tcPr>
            <w:tcW w:w="1097" w:type="dxa"/>
          </w:tcPr>
          <w:p w14:paraId="171D8708" w14:textId="77777777" w:rsidR="00397C8B" w:rsidRPr="002D025F" w:rsidRDefault="0092412C" w:rsidP="009B351B">
            <w:pPr>
              <w:rPr>
                <w:i/>
                <w:szCs w:val="22"/>
                <w:lang w:eastAsia="en-AU"/>
              </w:rPr>
            </w:pPr>
            <w:r>
              <w:rPr>
                <w:szCs w:val="22"/>
                <w:lang w:eastAsia="en-AU"/>
              </w:rPr>
              <w:t>17</w:t>
            </w:r>
          </w:p>
        </w:tc>
        <w:tc>
          <w:tcPr>
            <w:tcW w:w="925" w:type="dxa"/>
          </w:tcPr>
          <w:p w14:paraId="62D1F6B3" w14:textId="77777777" w:rsidR="00397C8B" w:rsidRPr="002D025F" w:rsidRDefault="0092412C" w:rsidP="009B351B">
            <w:pPr>
              <w:rPr>
                <w:i/>
                <w:szCs w:val="22"/>
                <w:lang w:eastAsia="en-AU"/>
              </w:rPr>
            </w:pPr>
            <w:r>
              <w:rPr>
                <w:szCs w:val="22"/>
                <w:lang w:eastAsia="en-AU"/>
              </w:rPr>
              <w:t>19</w:t>
            </w:r>
          </w:p>
        </w:tc>
        <w:tc>
          <w:tcPr>
            <w:tcW w:w="1236" w:type="dxa"/>
          </w:tcPr>
          <w:p w14:paraId="2BF22518" w14:textId="77777777" w:rsidR="00397C8B" w:rsidRPr="002D025F" w:rsidRDefault="0092412C" w:rsidP="009B351B">
            <w:pPr>
              <w:rPr>
                <w:i/>
                <w:szCs w:val="22"/>
                <w:lang w:eastAsia="en-AU"/>
              </w:rPr>
            </w:pPr>
            <w:r>
              <w:rPr>
                <w:szCs w:val="22"/>
                <w:lang w:eastAsia="en-AU"/>
              </w:rPr>
              <w:t>26</w:t>
            </w:r>
          </w:p>
        </w:tc>
        <w:tc>
          <w:tcPr>
            <w:tcW w:w="1346" w:type="dxa"/>
          </w:tcPr>
          <w:p w14:paraId="0385CB0F" w14:textId="77777777" w:rsidR="00397C8B" w:rsidRPr="002D025F" w:rsidRDefault="0092412C" w:rsidP="009B351B">
            <w:pPr>
              <w:rPr>
                <w:b/>
                <w:i/>
                <w:szCs w:val="22"/>
                <w:lang w:eastAsia="en-AU"/>
              </w:rPr>
            </w:pPr>
            <w:r>
              <w:rPr>
                <w:b/>
                <w:szCs w:val="22"/>
                <w:lang w:eastAsia="en-AU"/>
              </w:rPr>
              <w:t>961</w:t>
            </w:r>
          </w:p>
        </w:tc>
      </w:tr>
      <w:tr w:rsidR="00397C8B" w:rsidRPr="002D025F" w14:paraId="6C52C135" w14:textId="77777777" w:rsidTr="00664D17">
        <w:tc>
          <w:tcPr>
            <w:tcW w:w="3465" w:type="dxa"/>
          </w:tcPr>
          <w:p w14:paraId="29B488E8" w14:textId="77777777" w:rsidR="00397C8B" w:rsidRPr="002D025F" w:rsidRDefault="00397C8B" w:rsidP="009B351B">
            <w:pPr>
              <w:rPr>
                <w:i/>
                <w:szCs w:val="22"/>
                <w:lang w:eastAsia="en-AU"/>
              </w:rPr>
            </w:pPr>
            <w:r w:rsidRPr="002D025F">
              <w:rPr>
                <w:szCs w:val="22"/>
                <w:lang w:eastAsia="en-AU"/>
              </w:rPr>
              <w:t>Complaints accepted</w:t>
            </w:r>
          </w:p>
        </w:tc>
        <w:tc>
          <w:tcPr>
            <w:tcW w:w="1500" w:type="dxa"/>
          </w:tcPr>
          <w:p w14:paraId="0DF4F318" w14:textId="77777777" w:rsidR="00397C8B" w:rsidRPr="002D025F" w:rsidRDefault="0092412C" w:rsidP="009B351B">
            <w:pPr>
              <w:rPr>
                <w:i/>
                <w:szCs w:val="22"/>
                <w:lang w:eastAsia="en-AU"/>
              </w:rPr>
            </w:pPr>
            <w:r>
              <w:rPr>
                <w:szCs w:val="22"/>
                <w:lang w:eastAsia="en-AU"/>
              </w:rPr>
              <w:t>285</w:t>
            </w:r>
          </w:p>
        </w:tc>
        <w:tc>
          <w:tcPr>
            <w:tcW w:w="1097" w:type="dxa"/>
          </w:tcPr>
          <w:p w14:paraId="091E85C9" w14:textId="77777777" w:rsidR="00397C8B" w:rsidRPr="002D025F" w:rsidRDefault="0092412C" w:rsidP="009B351B">
            <w:pPr>
              <w:rPr>
                <w:i/>
                <w:szCs w:val="22"/>
                <w:lang w:eastAsia="en-AU"/>
              </w:rPr>
            </w:pPr>
            <w:r>
              <w:rPr>
                <w:szCs w:val="22"/>
                <w:lang w:eastAsia="en-AU"/>
              </w:rPr>
              <w:t>78</w:t>
            </w:r>
          </w:p>
        </w:tc>
        <w:tc>
          <w:tcPr>
            <w:tcW w:w="925" w:type="dxa"/>
          </w:tcPr>
          <w:p w14:paraId="72FF2DFC" w14:textId="77777777" w:rsidR="00397C8B" w:rsidRPr="002D025F" w:rsidRDefault="0092412C" w:rsidP="009B351B">
            <w:pPr>
              <w:rPr>
                <w:i/>
                <w:szCs w:val="22"/>
                <w:lang w:eastAsia="en-AU"/>
              </w:rPr>
            </w:pPr>
            <w:r>
              <w:rPr>
                <w:szCs w:val="22"/>
                <w:lang w:eastAsia="en-AU"/>
              </w:rPr>
              <w:t>74</w:t>
            </w:r>
          </w:p>
        </w:tc>
        <w:tc>
          <w:tcPr>
            <w:tcW w:w="1236" w:type="dxa"/>
          </w:tcPr>
          <w:p w14:paraId="4293FEB4" w14:textId="77777777" w:rsidR="00397C8B" w:rsidRPr="002D025F" w:rsidRDefault="0092412C" w:rsidP="009B351B">
            <w:pPr>
              <w:rPr>
                <w:i/>
                <w:szCs w:val="22"/>
                <w:lang w:eastAsia="en-AU"/>
              </w:rPr>
            </w:pPr>
            <w:r>
              <w:rPr>
                <w:szCs w:val="22"/>
                <w:lang w:eastAsia="en-AU"/>
              </w:rPr>
              <w:t>121</w:t>
            </w:r>
          </w:p>
        </w:tc>
        <w:tc>
          <w:tcPr>
            <w:tcW w:w="1346" w:type="dxa"/>
          </w:tcPr>
          <w:p w14:paraId="429F176E" w14:textId="3610B111" w:rsidR="00397C8B" w:rsidRPr="002D025F" w:rsidRDefault="0092412C" w:rsidP="009B351B">
            <w:pPr>
              <w:rPr>
                <w:b/>
                <w:i/>
                <w:szCs w:val="22"/>
                <w:lang w:eastAsia="en-AU"/>
              </w:rPr>
            </w:pPr>
            <w:r>
              <w:rPr>
                <w:b/>
                <w:szCs w:val="22"/>
                <w:lang w:eastAsia="en-AU"/>
              </w:rPr>
              <w:t>55</w:t>
            </w:r>
            <w:r w:rsidR="00A3486E">
              <w:rPr>
                <w:b/>
                <w:szCs w:val="22"/>
                <w:lang w:eastAsia="en-AU"/>
              </w:rPr>
              <w:t>8</w:t>
            </w:r>
          </w:p>
        </w:tc>
      </w:tr>
      <w:tr w:rsidR="00397C8B" w:rsidRPr="002D025F" w14:paraId="7B972249" w14:textId="77777777" w:rsidTr="00664D17">
        <w:trPr>
          <w:trHeight w:val="57"/>
        </w:trPr>
        <w:tc>
          <w:tcPr>
            <w:tcW w:w="3465" w:type="dxa"/>
          </w:tcPr>
          <w:p w14:paraId="3DCAFDD3" w14:textId="77777777" w:rsidR="00397C8B" w:rsidRPr="002D025F" w:rsidRDefault="00397C8B" w:rsidP="009B351B">
            <w:pPr>
              <w:rPr>
                <w:i/>
                <w:sz w:val="12"/>
                <w:szCs w:val="12"/>
                <w:lang w:eastAsia="en-AU"/>
              </w:rPr>
            </w:pPr>
          </w:p>
        </w:tc>
        <w:tc>
          <w:tcPr>
            <w:tcW w:w="1500" w:type="dxa"/>
          </w:tcPr>
          <w:p w14:paraId="2F784CF6" w14:textId="77777777" w:rsidR="00397C8B" w:rsidRPr="002D025F" w:rsidRDefault="00397C8B" w:rsidP="009B351B">
            <w:pPr>
              <w:rPr>
                <w:i/>
                <w:sz w:val="8"/>
                <w:szCs w:val="8"/>
                <w:lang w:eastAsia="en-AU"/>
              </w:rPr>
            </w:pPr>
          </w:p>
        </w:tc>
        <w:tc>
          <w:tcPr>
            <w:tcW w:w="1097" w:type="dxa"/>
          </w:tcPr>
          <w:p w14:paraId="352D53E2" w14:textId="77777777" w:rsidR="00397C8B" w:rsidRPr="002D025F" w:rsidRDefault="00397C8B" w:rsidP="009B351B">
            <w:pPr>
              <w:rPr>
                <w:i/>
                <w:sz w:val="12"/>
                <w:szCs w:val="12"/>
                <w:lang w:eastAsia="en-AU"/>
              </w:rPr>
            </w:pPr>
          </w:p>
        </w:tc>
        <w:tc>
          <w:tcPr>
            <w:tcW w:w="925" w:type="dxa"/>
          </w:tcPr>
          <w:p w14:paraId="26F7C8C3" w14:textId="77777777" w:rsidR="00397C8B" w:rsidRPr="002D025F" w:rsidRDefault="00397C8B" w:rsidP="009B351B">
            <w:pPr>
              <w:rPr>
                <w:i/>
                <w:sz w:val="12"/>
                <w:szCs w:val="12"/>
                <w:lang w:eastAsia="en-AU"/>
              </w:rPr>
            </w:pPr>
          </w:p>
        </w:tc>
        <w:tc>
          <w:tcPr>
            <w:tcW w:w="1236" w:type="dxa"/>
          </w:tcPr>
          <w:p w14:paraId="0ADDBB82" w14:textId="77777777" w:rsidR="00397C8B" w:rsidRPr="002D025F" w:rsidRDefault="00397C8B" w:rsidP="009B351B">
            <w:pPr>
              <w:rPr>
                <w:i/>
                <w:sz w:val="12"/>
                <w:szCs w:val="12"/>
                <w:lang w:eastAsia="en-AU"/>
              </w:rPr>
            </w:pPr>
          </w:p>
        </w:tc>
        <w:tc>
          <w:tcPr>
            <w:tcW w:w="1346" w:type="dxa"/>
          </w:tcPr>
          <w:p w14:paraId="776F1575" w14:textId="77777777" w:rsidR="00397C8B" w:rsidRPr="002D025F" w:rsidRDefault="00397C8B" w:rsidP="009B351B">
            <w:pPr>
              <w:rPr>
                <w:b/>
                <w:i/>
                <w:sz w:val="12"/>
                <w:szCs w:val="12"/>
                <w:lang w:eastAsia="en-AU"/>
              </w:rPr>
            </w:pPr>
          </w:p>
        </w:tc>
      </w:tr>
      <w:tr w:rsidR="00397C8B" w:rsidRPr="002D025F" w14:paraId="343F693C" w14:textId="77777777" w:rsidTr="00664D17">
        <w:trPr>
          <w:trHeight w:val="268"/>
        </w:trPr>
        <w:tc>
          <w:tcPr>
            <w:tcW w:w="3465" w:type="dxa"/>
          </w:tcPr>
          <w:p w14:paraId="700B433A" w14:textId="77777777" w:rsidR="00397C8B" w:rsidRPr="002D025F" w:rsidRDefault="00397C8B" w:rsidP="009B351B">
            <w:pPr>
              <w:rPr>
                <w:i/>
                <w:szCs w:val="22"/>
                <w:lang w:eastAsia="en-AU"/>
              </w:rPr>
            </w:pPr>
            <w:r w:rsidRPr="002D025F">
              <w:rPr>
                <w:szCs w:val="22"/>
                <w:lang w:eastAsia="en-AU"/>
              </w:rPr>
              <w:t>Complaints finalised — accepted</w:t>
            </w:r>
          </w:p>
        </w:tc>
        <w:tc>
          <w:tcPr>
            <w:tcW w:w="1500" w:type="dxa"/>
          </w:tcPr>
          <w:p w14:paraId="7B1EF9E2" w14:textId="77777777" w:rsidR="00397C8B" w:rsidRPr="002D025F" w:rsidRDefault="0092412C" w:rsidP="009B351B">
            <w:pPr>
              <w:rPr>
                <w:i/>
                <w:szCs w:val="22"/>
                <w:lang w:eastAsia="en-AU"/>
              </w:rPr>
            </w:pPr>
            <w:r>
              <w:rPr>
                <w:szCs w:val="22"/>
                <w:lang w:eastAsia="en-AU"/>
              </w:rPr>
              <w:t>244</w:t>
            </w:r>
          </w:p>
        </w:tc>
        <w:tc>
          <w:tcPr>
            <w:tcW w:w="1097" w:type="dxa"/>
          </w:tcPr>
          <w:p w14:paraId="6E655001" w14:textId="77777777" w:rsidR="00397C8B" w:rsidRPr="002D025F" w:rsidRDefault="0092412C" w:rsidP="009B351B">
            <w:pPr>
              <w:rPr>
                <w:i/>
                <w:szCs w:val="22"/>
                <w:lang w:eastAsia="en-AU"/>
              </w:rPr>
            </w:pPr>
            <w:r>
              <w:rPr>
                <w:szCs w:val="22"/>
                <w:lang w:eastAsia="en-AU"/>
              </w:rPr>
              <w:t>71</w:t>
            </w:r>
          </w:p>
        </w:tc>
        <w:tc>
          <w:tcPr>
            <w:tcW w:w="925" w:type="dxa"/>
          </w:tcPr>
          <w:p w14:paraId="3FBB2EC6" w14:textId="77777777" w:rsidR="00397C8B" w:rsidRPr="002D025F" w:rsidRDefault="0092412C" w:rsidP="009B351B">
            <w:pPr>
              <w:rPr>
                <w:i/>
                <w:szCs w:val="22"/>
                <w:lang w:eastAsia="en-AU"/>
              </w:rPr>
            </w:pPr>
            <w:r>
              <w:rPr>
                <w:szCs w:val="22"/>
                <w:lang w:eastAsia="en-AU"/>
              </w:rPr>
              <w:t>73</w:t>
            </w:r>
          </w:p>
        </w:tc>
        <w:tc>
          <w:tcPr>
            <w:tcW w:w="1236" w:type="dxa"/>
          </w:tcPr>
          <w:p w14:paraId="0AFE37E0" w14:textId="77777777" w:rsidR="00397C8B" w:rsidRPr="002D025F" w:rsidRDefault="0092412C" w:rsidP="009B351B">
            <w:pPr>
              <w:rPr>
                <w:i/>
                <w:szCs w:val="22"/>
                <w:lang w:eastAsia="en-AU"/>
              </w:rPr>
            </w:pPr>
            <w:r>
              <w:rPr>
                <w:szCs w:val="22"/>
                <w:lang w:eastAsia="en-AU"/>
              </w:rPr>
              <w:t>107</w:t>
            </w:r>
          </w:p>
        </w:tc>
        <w:tc>
          <w:tcPr>
            <w:tcW w:w="1346" w:type="dxa"/>
          </w:tcPr>
          <w:p w14:paraId="55B24CF6" w14:textId="77777777" w:rsidR="00397C8B" w:rsidRPr="002D025F" w:rsidRDefault="0092412C" w:rsidP="009B351B">
            <w:pPr>
              <w:rPr>
                <w:b/>
                <w:i/>
                <w:szCs w:val="22"/>
                <w:lang w:eastAsia="en-AU"/>
              </w:rPr>
            </w:pPr>
            <w:r>
              <w:rPr>
                <w:b/>
                <w:szCs w:val="22"/>
                <w:lang w:eastAsia="en-AU"/>
              </w:rPr>
              <w:t>495</w:t>
            </w:r>
          </w:p>
        </w:tc>
      </w:tr>
      <w:tr w:rsidR="00397C8B" w:rsidRPr="002D025F" w14:paraId="7FF0CA83" w14:textId="77777777" w:rsidTr="00664D17">
        <w:trPr>
          <w:trHeight w:val="268"/>
        </w:trPr>
        <w:tc>
          <w:tcPr>
            <w:tcW w:w="3465" w:type="dxa"/>
          </w:tcPr>
          <w:p w14:paraId="7FB503E6" w14:textId="77777777" w:rsidR="00397C8B" w:rsidRPr="002D025F" w:rsidRDefault="00397C8B" w:rsidP="009B351B">
            <w:pPr>
              <w:rPr>
                <w:i/>
                <w:szCs w:val="22"/>
                <w:lang w:eastAsia="en-AU"/>
              </w:rPr>
            </w:pPr>
            <w:r w:rsidRPr="002D025F">
              <w:rPr>
                <w:szCs w:val="22"/>
                <w:lang w:eastAsia="en-AU"/>
              </w:rPr>
              <w:t>Complaints finalised — not accepted</w:t>
            </w:r>
          </w:p>
        </w:tc>
        <w:tc>
          <w:tcPr>
            <w:tcW w:w="1500" w:type="dxa"/>
          </w:tcPr>
          <w:p w14:paraId="5E639E57" w14:textId="77777777" w:rsidR="00397C8B" w:rsidRPr="002D025F" w:rsidRDefault="0092412C" w:rsidP="009B351B">
            <w:pPr>
              <w:rPr>
                <w:i/>
                <w:szCs w:val="22"/>
                <w:lang w:eastAsia="en-AU"/>
              </w:rPr>
            </w:pPr>
            <w:r>
              <w:rPr>
                <w:szCs w:val="22"/>
                <w:lang w:eastAsia="en-AU"/>
              </w:rPr>
              <w:t>176</w:t>
            </w:r>
          </w:p>
        </w:tc>
        <w:tc>
          <w:tcPr>
            <w:tcW w:w="1097" w:type="dxa"/>
          </w:tcPr>
          <w:p w14:paraId="2EBE5F53" w14:textId="77777777" w:rsidR="00397C8B" w:rsidRPr="002D025F" w:rsidRDefault="0092412C" w:rsidP="009B351B">
            <w:pPr>
              <w:rPr>
                <w:i/>
                <w:szCs w:val="22"/>
                <w:lang w:eastAsia="en-AU"/>
              </w:rPr>
            </w:pPr>
            <w:r>
              <w:rPr>
                <w:szCs w:val="22"/>
                <w:lang w:eastAsia="en-AU"/>
              </w:rPr>
              <w:t>55</w:t>
            </w:r>
          </w:p>
        </w:tc>
        <w:tc>
          <w:tcPr>
            <w:tcW w:w="925" w:type="dxa"/>
          </w:tcPr>
          <w:p w14:paraId="585BC652" w14:textId="77777777" w:rsidR="00397C8B" w:rsidRPr="002D025F" w:rsidRDefault="0092412C" w:rsidP="009B351B">
            <w:pPr>
              <w:rPr>
                <w:i/>
                <w:szCs w:val="22"/>
                <w:lang w:eastAsia="en-AU"/>
              </w:rPr>
            </w:pPr>
            <w:r>
              <w:rPr>
                <w:szCs w:val="22"/>
                <w:lang w:eastAsia="en-AU"/>
              </w:rPr>
              <w:t>42</w:t>
            </w:r>
          </w:p>
        </w:tc>
        <w:tc>
          <w:tcPr>
            <w:tcW w:w="1236" w:type="dxa"/>
          </w:tcPr>
          <w:p w14:paraId="53D42974" w14:textId="77777777" w:rsidR="00397C8B" w:rsidRPr="002D025F" w:rsidRDefault="0092412C" w:rsidP="009B351B">
            <w:pPr>
              <w:rPr>
                <w:i/>
                <w:szCs w:val="22"/>
                <w:lang w:eastAsia="en-AU"/>
              </w:rPr>
            </w:pPr>
            <w:r>
              <w:rPr>
                <w:szCs w:val="22"/>
                <w:lang w:eastAsia="en-AU"/>
              </w:rPr>
              <w:t>81</w:t>
            </w:r>
          </w:p>
        </w:tc>
        <w:tc>
          <w:tcPr>
            <w:tcW w:w="1346" w:type="dxa"/>
          </w:tcPr>
          <w:p w14:paraId="0D47360A" w14:textId="77777777" w:rsidR="00397C8B" w:rsidRPr="002D025F" w:rsidRDefault="0092412C" w:rsidP="009B351B">
            <w:pPr>
              <w:rPr>
                <w:b/>
                <w:i/>
                <w:szCs w:val="22"/>
                <w:lang w:eastAsia="en-AU"/>
              </w:rPr>
            </w:pPr>
            <w:r>
              <w:rPr>
                <w:b/>
                <w:szCs w:val="22"/>
                <w:lang w:eastAsia="en-AU"/>
              </w:rPr>
              <w:t>354</w:t>
            </w:r>
          </w:p>
        </w:tc>
      </w:tr>
      <w:tr w:rsidR="00397C8B" w:rsidRPr="002D025F" w14:paraId="7859D97E" w14:textId="77777777" w:rsidTr="00664D17">
        <w:trPr>
          <w:trHeight w:val="268"/>
        </w:trPr>
        <w:tc>
          <w:tcPr>
            <w:tcW w:w="3465" w:type="dxa"/>
          </w:tcPr>
          <w:p w14:paraId="5395FC39" w14:textId="77777777" w:rsidR="00397C8B" w:rsidRPr="002D025F" w:rsidRDefault="00397C8B" w:rsidP="009B351B">
            <w:pPr>
              <w:rPr>
                <w:i/>
                <w:szCs w:val="22"/>
                <w:lang w:eastAsia="en-AU"/>
              </w:rPr>
            </w:pPr>
            <w:r w:rsidRPr="002D025F">
              <w:rPr>
                <w:szCs w:val="22"/>
                <w:lang w:eastAsia="en-AU"/>
              </w:rPr>
              <w:t>Total complaints finalised</w:t>
            </w:r>
          </w:p>
        </w:tc>
        <w:tc>
          <w:tcPr>
            <w:tcW w:w="1500" w:type="dxa"/>
          </w:tcPr>
          <w:p w14:paraId="3BFA01A1" w14:textId="77777777" w:rsidR="00397C8B" w:rsidRPr="002D025F" w:rsidRDefault="0092412C" w:rsidP="009B351B">
            <w:pPr>
              <w:rPr>
                <w:b/>
                <w:i/>
                <w:szCs w:val="22"/>
                <w:lang w:eastAsia="en-AU"/>
              </w:rPr>
            </w:pPr>
            <w:r>
              <w:rPr>
                <w:b/>
                <w:szCs w:val="22"/>
                <w:lang w:eastAsia="en-AU"/>
              </w:rPr>
              <w:t>420</w:t>
            </w:r>
          </w:p>
        </w:tc>
        <w:tc>
          <w:tcPr>
            <w:tcW w:w="1097" w:type="dxa"/>
          </w:tcPr>
          <w:p w14:paraId="011D5F0D" w14:textId="77777777" w:rsidR="00397C8B" w:rsidRPr="002D025F" w:rsidRDefault="0092412C" w:rsidP="009B351B">
            <w:pPr>
              <w:rPr>
                <w:b/>
                <w:i/>
                <w:szCs w:val="22"/>
                <w:lang w:eastAsia="en-AU"/>
              </w:rPr>
            </w:pPr>
            <w:r>
              <w:rPr>
                <w:b/>
                <w:szCs w:val="22"/>
                <w:lang w:eastAsia="en-AU"/>
              </w:rPr>
              <w:t>126</w:t>
            </w:r>
          </w:p>
        </w:tc>
        <w:tc>
          <w:tcPr>
            <w:tcW w:w="925" w:type="dxa"/>
          </w:tcPr>
          <w:p w14:paraId="5ED415DE" w14:textId="77777777" w:rsidR="00397C8B" w:rsidRPr="002D025F" w:rsidRDefault="0092412C" w:rsidP="009B351B">
            <w:pPr>
              <w:rPr>
                <w:b/>
                <w:i/>
                <w:szCs w:val="22"/>
                <w:lang w:eastAsia="en-AU"/>
              </w:rPr>
            </w:pPr>
            <w:r>
              <w:rPr>
                <w:b/>
                <w:szCs w:val="22"/>
                <w:lang w:eastAsia="en-AU"/>
              </w:rPr>
              <w:t>115</w:t>
            </w:r>
          </w:p>
        </w:tc>
        <w:tc>
          <w:tcPr>
            <w:tcW w:w="1236" w:type="dxa"/>
          </w:tcPr>
          <w:p w14:paraId="0957BC92" w14:textId="77777777" w:rsidR="00397C8B" w:rsidRPr="002D025F" w:rsidRDefault="0092412C" w:rsidP="009B351B">
            <w:pPr>
              <w:rPr>
                <w:b/>
                <w:i/>
                <w:szCs w:val="22"/>
                <w:lang w:eastAsia="en-AU"/>
              </w:rPr>
            </w:pPr>
            <w:r>
              <w:rPr>
                <w:b/>
                <w:szCs w:val="22"/>
                <w:lang w:eastAsia="en-AU"/>
              </w:rPr>
              <w:t>188</w:t>
            </w:r>
          </w:p>
        </w:tc>
        <w:tc>
          <w:tcPr>
            <w:tcW w:w="1346" w:type="dxa"/>
          </w:tcPr>
          <w:p w14:paraId="05E9E098" w14:textId="77777777" w:rsidR="00397C8B" w:rsidRPr="002D025F" w:rsidRDefault="0092412C" w:rsidP="009B351B">
            <w:pPr>
              <w:rPr>
                <w:b/>
                <w:i/>
                <w:szCs w:val="22"/>
                <w:lang w:eastAsia="en-AU"/>
              </w:rPr>
            </w:pPr>
            <w:r>
              <w:rPr>
                <w:b/>
                <w:szCs w:val="22"/>
                <w:lang w:eastAsia="en-AU"/>
              </w:rPr>
              <w:t>849</w:t>
            </w:r>
          </w:p>
        </w:tc>
      </w:tr>
    </w:tbl>
    <w:p w14:paraId="1729D79A" w14:textId="77777777" w:rsidR="00664D17" w:rsidRPr="00664D17" w:rsidRDefault="00664D17" w:rsidP="009B351B">
      <w:pPr>
        <w:pStyle w:val="Caption"/>
        <w:rPr>
          <w:sz w:val="2"/>
          <w:szCs w:val="16"/>
          <w:lang w:eastAsia="en-AU"/>
        </w:rPr>
      </w:pPr>
    </w:p>
    <w:p w14:paraId="29F9B268" w14:textId="599A7FE8" w:rsidR="00397C8B" w:rsidRPr="00664D17" w:rsidRDefault="00397C8B" w:rsidP="009B351B">
      <w:pPr>
        <w:pStyle w:val="Caption"/>
        <w:rPr>
          <w:b w:val="0"/>
          <w:lang w:eastAsia="en-AU"/>
        </w:rPr>
      </w:pPr>
      <w:r w:rsidRPr="00664D17">
        <w:rPr>
          <w:b w:val="0"/>
          <w:lang w:eastAsia="en-AU"/>
        </w:rPr>
        <w:t>Note: Complaints may be dealt with in a location other than where they were received</w:t>
      </w:r>
      <w:r w:rsidR="009B351B" w:rsidRPr="00664D17">
        <w:rPr>
          <w:b w:val="0"/>
          <w:lang w:eastAsia="en-AU"/>
        </w:rPr>
        <w:t>.</w:t>
      </w:r>
    </w:p>
    <w:p w14:paraId="6B3E0E87" w14:textId="13709DD1" w:rsidR="0092412C" w:rsidRPr="002D025F" w:rsidRDefault="0092412C" w:rsidP="009B351B">
      <w:pPr>
        <w:rPr>
          <w:i/>
          <w:lang w:eastAsia="en-AU"/>
        </w:rPr>
      </w:pPr>
      <w:r w:rsidRPr="002D025F">
        <w:rPr>
          <w:lang w:eastAsia="en-AU"/>
        </w:rPr>
        <w:t>As shown in Table 8, allegations of discrimination are included in 6</w:t>
      </w:r>
      <w:r>
        <w:rPr>
          <w:lang w:eastAsia="en-AU"/>
        </w:rPr>
        <w:t>9.4</w:t>
      </w:r>
      <w:r w:rsidRPr="002D025F">
        <w:rPr>
          <w:lang w:eastAsia="en-AU"/>
        </w:rPr>
        <w:t>% of accepted complaints which is a slight rise from last year (6</w:t>
      </w:r>
      <w:r>
        <w:rPr>
          <w:lang w:eastAsia="en-AU"/>
        </w:rPr>
        <w:t>8.6</w:t>
      </w:r>
      <w:r w:rsidRPr="002D025F">
        <w:rPr>
          <w:lang w:eastAsia="en-AU"/>
        </w:rPr>
        <w:t xml:space="preserve">%). Discrimination complaints involve allegations of less favourable treatment based on an attribute which arise in an area of public life covered by the law, such as at work, in accommodation, in education and in obtaining goods and services, including government services. </w:t>
      </w:r>
    </w:p>
    <w:p w14:paraId="46C04D93" w14:textId="77777777" w:rsidR="0092412C" w:rsidRPr="002D025F" w:rsidRDefault="0092412C" w:rsidP="009B351B">
      <w:pPr>
        <w:rPr>
          <w:i/>
          <w:lang w:eastAsia="en-AU"/>
        </w:rPr>
      </w:pPr>
      <w:r w:rsidRPr="002D025F">
        <w:rPr>
          <w:lang w:eastAsia="en-AU"/>
        </w:rPr>
        <w:t xml:space="preserve">The breakdown of the attributes on which allegations of discrimination are made in Table 8 clearly shows that discrimination on the basis of impairment remains the dominant ground, comprising </w:t>
      </w:r>
      <w:r>
        <w:rPr>
          <w:lang w:eastAsia="en-AU"/>
        </w:rPr>
        <w:t>30.3</w:t>
      </w:r>
      <w:r w:rsidRPr="002D025F">
        <w:rPr>
          <w:lang w:eastAsia="en-AU"/>
        </w:rPr>
        <w:t>% of all complaints (</w:t>
      </w:r>
      <w:r>
        <w:rPr>
          <w:lang w:eastAsia="en-AU"/>
        </w:rPr>
        <w:t>29.5</w:t>
      </w:r>
      <w:r w:rsidRPr="002D025F">
        <w:rPr>
          <w:lang w:eastAsia="en-AU"/>
        </w:rPr>
        <w:t xml:space="preserve">% last year). This </w:t>
      </w:r>
      <w:r>
        <w:rPr>
          <w:lang w:eastAsia="en-AU"/>
        </w:rPr>
        <w:t>represents 268 complaints which is a significant increase from 202</w:t>
      </w:r>
      <w:r w:rsidRPr="002D025F">
        <w:rPr>
          <w:lang w:eastAsia="en-AU"/>
        </w:rPr>
        <w:t xml:space="preserve"> </w:t>
      </w:r>
      <w:r>
        <w:rPr>
          <w:lang w:eastAsia="en-AU"/>
        </w:rPr>
        <w:t>last</w:t>
      </w:r>
      <w:r w:rsidRPr="002D025F">
        <w:rPr>
          <w:lang w:eastAsia="en-AU"/>
        </w:rPr>
        <w:t xml:space="preserve"> year.</w:t>
      </w:r>
      <w:r w:rsidR="00803E9C">
        <w:rPr>
          <w:lang w:eastAsia="en-AU"/>
        </w:rPr>
        <w:t xml:space="preserve"> </w:t>
      </w:r>
    </w:p>
    <w:p w14:paraId="5A6CD60B" w14:textId="77777777" w:rsidR="0092412C" w:rsidRPr="002D025F" w:rsidRDefault="0092412C" w:rsidP="009B351B">
      <w:pPr>
        <w:rPr>
          <w:i/>
          <w:lang w:eastAsia="en-AU"/>
        </w:rPr>
      </w:pPr>
      <w:r>
        <w:rPr>
          <w:lang w:eastAsia="en-AU"/>
        </w:rPr>
        <w:t xml:space="preserve">We received 70 </w:t>
      </w:r>
      <w:r w:rsidRPr="002D025F">
        <w:rPr>
          <w:lang w:eastAsia="en-AU"/>
        </w:rPr>
        <w:t xml:space="preserve">race discrimination complaints this year, </w:t>
      </w:r>
      <w:r>
        <w:rPr>
          <w:lang w:eastAsia="en-AU"/>
        </w:rPr>
        <w:t xml:space="preserve">comprising 7.9% </w:t>
      </w:r>
      <w:r w:rsidRPr="002D025F">
        <w:rPr>
          <w:lang w:eastAsia="en-AU"/>
        </w:rPr>
        <w:t xml:space="preserve">of discrimination complaints, </w:t>
      </w:r>
      <w:r>
        <w:rPr>
          <w:lang w:eastAsia="en-AU"/>
        </w:rPr>
        <w:t>fairly consistent with last year’s 7.4%.</w:t>
      </w:r>
      <w:r w:rsidRPr="002D025F">
        <w:rPr>
          <w:lang w:eastAsia="en-AU"/>
        </w:rPr>
        <w:t xml:space="preserve"> The proportion of sex discrimination allegations ha</w:t>
      </w:r>
      <w:r>
        <w:rPr>
          <w:lang w:eastAsia="en-AU"/>
        </w:rPr>
        <w:t>s</w:t>
      </w:r>
      <w:r w:rsidRPr="002D025F">
        <w:rPr>
          <w:lang w:eastAsia="en-AU"/>
        </w:rPr>
        <w:t xml:space="preserve"> </w:t>
      </w:r>
      <w:r>
        <w:rPr>
          <w:lang w:eastAsia="en-AU"/>
        </w:rPr>
        <w:t>remained consistent at 9.3% (9.2% last year)</w:t>
      </w:r>
      <w:r w:rsidRPr="002D025F">
        <w:rPr>
          <w:lang w:eastAsia="en-AU"/>
        </w:rPr>
        <w:t>.</w:t>
      </w:r>
    </w:p>
    <w:p w14:paraId="1C5C5571" w14:textId="77777777" w:rsidR="0092412C" w:rsidRPr="002D025F" w:rsidRDefault="0092412C" w:rsidP="009B351B">
      <w:pPr>
        <w:rPr>
          <w:i/>
          <w:lang w:eastAsia="en-AU"/>
        </w:rPr>
      </w:pPr>
      <w:r w:rsidRPr="002D025F">
        <w:rPr>
          <w:lang w:eastAsia="en-AU"/>
        </w:rPr>
        <w:lastRenderedPageBreak/>
        <w:t xml:space="preserve">Family responsibilities complaints </w:t>
      </w:r>
      <w:r>
        <w:rPr>
          <w:lang w:eastAsia="en-AU"/>
        </w:rPr>
        <w:t>decreased to 6.3% (6.9% last year)</w:t>
      </w:r>
      <w:r w:rsidRPr="002D025F">
        <w:rPr>
          <w:lang w:eastAsia="en-AU"/>
        </w:rPr>
        <w:t>.</w:t>
      </w:r>
      <w:r w:rsidR="00803E9C">
        <w:rPr>
          <w:lang w:eastAsia="en-AU"/>
        </w:rPr>
        <w:t xml:space="preserve"> </w:t>
      </w:r>
      <w:r w:rsidRPr="002D025F">
        <w:rPr>
          <w:lang w:eastAsia="en-AU"/>
        </w:rPr>
        <w:t xml:space="preserve">Age discrimination complaints </w:t>
      </w:r>
      <w:r w:rsidR="0011148F">
        <w:rPr>
          <w:lang w:eastAsia="en-AU"/>
        </w:rPr>
        <w:t xml:space="preserve">rose </w:t>
      </w:r>
      <w:r>
        <w:rPr>
          <w:lang w:eastAsia="en-AU"/>
        </w:rPr>
        <w:t>slightly from 3.9% to 5.3%.</w:t>
      </w:r>
      <w:r w:rsidR="00803E9C">
        <w:rPr>
          <w:lang w:eastAsia="en-AU"/>
        </w:rPr>
        <w:t xml:space="preserve"> </w:t>
      </w:r>
      <w:r w:rsidRPr="002D025F">
        <w:rPr>
          <w:lang w:eastAsia="en-AU"/>
        </w:rPr>
        <w:t xml:space="preserve">Religious discrimination complaints </w:t>
      </w:r>
      <w:r>
        <w:rPr>
          <w:lang w:eastAsia="en-AU"/>
        </w:rPr>
        <w:t>comprised only 1.7% of complaints, consistent with low numbers in previous years.</w:t>
      </w:r>
      <w:r w:rsidR="00803E9C">
        <w:rPr>
          <w:lang w:eastAsia="en-AU"/>
        </w:rPr>
        <w:t xml:space="preserve"> </w:t>
      </w:r>
      <w:r>
        <w:rPr>
          <w:lang w:eastAsia="en-AU"/>
        </w:rPr>
        <w:t xml:space="preserve"> Gender identity complaints increased from 1.2% last year to 1.7% this year.</w:t>
      </w:r>
    </w:p>
    <w:p w14:paraId="1D4683AE" w14:textId="392F27E7" w:rsidR="0092412C" w:rsidRPr="002D025F" w:rsidRDefault="0092412C" w:rsidP="009B351B">
      <w:pPr>
        <w:rPr>
          <w:i/>
          <w:lang w:eastAsia="en-AU"/>
        </w:rPr>
      </w:pPr>
      <w:r w:rsidRPr="002D025F">
        <w:rPr>
          <w:lang w:eastAsia="en-AU"/>
        </w:rPr>
        <w:t xml:space="preserve">Table 8 shows that sexual harassment allegations of unwelcome sexual behaviour to or about a complainant are included in </w:t>
      </w:r>
      <w:r>
        <w:rPr>
          <w:lang w:eastAsia="en-AU"/>
        </w:rPr>
        <w:t xml:space="preserve">10.4% </w:t>
      </w:r>
      <w:r w:rsidRPr="002D025F">
        <w:rPr>
          <w:lang w:eastAsia="en-AU"/>
        </w:rPr>
        <w:t>of accepted complaints</w:t>
      </w:r>
      <w:r w:rsidR="00A3486E">
        <w:rPr>
          <w:lang w:eastAsia="en-AU"/>
        </w:rPr>
        <w:t>. This is</w:t>
      </w:r>
      <w:r>
        <w:rPr>
          <w:lang w:eastAsia="en-AU"/>
        </w:rPr>
        <w:t xml:space="preserve"> a slight decrease from last year (11.4%) in terms of percentages</w:t>
      </w:r>
      <w:r w:rsidR="00A3486E">
        <w:rPr>
          <w:lang w:eastAsia="en-AU"/>
        </w:rPr>
        <w:t>,</w:t>
      </w:r>
      <w:r>
        <w:rPr>
          <w:lang w:eastAsia="en-AU"/>
        </w:rPr>
        <w:t xml:space="preserve"> but represents an increase in number of complaints from 78 last year to 92 this year.</w:t>
      </w:r>
      <w:r w:rsidR="00803E9C">
        <w:rPr>
          <w:lang w:eastAsia="en-AU"/>
        </w:rPr>
        <w:t xml:space="preserve"> </w:t>
      </w:r>
      <w:r w:rsidRPr="002D025F">
        <w:rPr>
          <w:lang w:eastAsia="en-AU"/>
        </w:rPr>
        <w:t>The vast majority (7</w:t>
      </w:r>
      <w:r>
        <w:rPr>
          <w:lang w:eastAsia="en-AU"/>
        </w:rPr>
        <w:t>7.1</w:t>
      </w:r>
      <w:r w:rsidRPr="002D025F">
        <w:rPr>
          <w:lang w:eastAsia="en-AU"/>
        </w:rPr>
        <w:t>%) of complaints of sexual harassment arise in the workplace, as can be seen from Table 9.</w:t>
      </w:r>
    </w:p>
    <w:p w14:paraId="35366375" w14:textId="77777777" w:rsidR="0092412C" w:rsidRPr="002D025F" w:rsidRDefault="0092412C" w:rsidP="009B351B">
      <w:pPr>
        <w:rPr>
          <w:i/>
          <w:lang w:eastAsia="en-AU"/>
        </w:rPr>
      </w:pPr>
      <w:r w:rsidRPr="002D025F">
        <w:rPr>
          <w:lang w:eastAsia="en-AU"/>
        </w:rPr>
        <w:t>Sexual harassment may involve allegations of unwelcome sexual behaviour such as comments about a person’s body and/or sex life, telling lewd jokes to or about a person, requests for sex, sending sexualised emails and texts, showing pornographic pictures and/or videos, sexual assault and even rape.</w:t>
      </w:r>
      <w:r w:rsidR="00803E9C">
        <w:rPr>
          <w:lang w:eastAsia="en-AU"/>
        </w:rPr>
        <w:t xml:space="preserve"> </w:t>
      </w:r>
      <w:r w:rsidRPr="002D025F">
        <w:rPr>
          <w:lang w:eastAsia="en-AU"/>
        </w:rPr>
        <w:t>Complaints of sexual harassment have historically comprised a significant proportion of complaints to the Commission and it seems to be a continuing issue in workplaces as well as other areas of life.</w:t>
      </w:r>
      <w:r w:rsidR="00803E9C">
        <w:rPr>
          <w:lang w:eastAsia="en-AU"/>
        </w:rPr>
        <w:t xml:space="preserve"> </w:t>
      </w:r>
    </w:p>
    <w:p w14:paraId="029250A8" w14:textId="77777777" w:rsidR="0092412C" w:rsidRPr="002D025F" w:rsidRDefault="0092412C" w:rsidP="009B351B">
      <w:pPr>
        <w:rPr>
          <w:i/>
          <w:lang w:eastAsia="en-AU"/>
        </w:rPr>
      </w:pPr>
      <w:r w:rsidRPr="002D025F">
        <w:rPr>
          <w:lang w:eastAsia="en-AU"/>
        </w:rPr>
        <w:t xml:space="preserve">Victimisation complaints arise where a complainant or witness feels they have been poorly treated for being involved in a complaint. Victimisation complaints </w:t>
      </w:r>
      <w:r>
        <w:rPr>
          <w:lang w:eastAsia="en-AU"/>
        </w:rPr>
        <w:t>have increased from 9.2% of accepted complaints last year to 10.7% of accepted complaints this year.</w:t>
      </w:r>
      <w:r w:rsidR="00803E9C">
        <w:rPr>
          <w:lang w:eastAsia="en-AU"/>
        </w:rPr>
        <w:t xml:space="preserve"> </w:t>
      </w:r>
      <w:r w:rsidRPr="002D025F">
        <w:rPr>
          <w:lang w:eastAsia="en-AU"/>
        </w:rPr>
        <w:t xml:space="preserve">As shown in Table 9, </w:t>
      </w:r>
      <w:r>
        <w:rPr>
          <w:lang w:eastAsia="en-AU"/>
        </w:rPr>
        <w:t>57.1</w:t>
      </w:r>
      <w:r w:rsidRPr="002D025F">
        <w:rPr>
          <w:lang w:eastAsia="en-AU"/>
        </w:rPr>
        <w:t>% of victimisation complaints arose in the workplace. Because of the continuing relationship between the employer and their employees, there is more opportunity for victimisation complaints to arise after a person makes an initial complaint at work, compared to other areas. Fear of victimisation is also a reason why complainants are sometimes reluctant to lodge complaints until after they leave the workplace, or at all.</w:t>
      </w:r>
    </w:p>
    <w:p w14:paraId="422CE5A5" w14:textId="0DFC542C" w:rsidR="0092412C" w:rsidRPr="002D025F" w:rsidRDefault="0092412C" w:rsidP="009B351B">
      <w:pPr>
        <w:rPr>
          <w:i/>
          <w:sz w:val="24"/>
          <w:highlight w:val="yellow"/>
          <w:lang w:eastAsia="en-AU"/>
        </w:rPr>
      </w:pPr>
      <w:r w:rsidRPr="002D025F">
        <w:rPr>
          <w:lang w:eastAsia="en-AU"/>
        </w:rPr>
        <w:t xml:space="preserve">To make a complaint of vilification, a complainant must provide information to allege that others have been publicly encouraged to hate, severely ridicule or have severe contempt for them because of their race, religion, sexuality or gender identity. Public vilification complaints remain low with only </w:t>
      </w:r>
      <w:r>
        <w:rPr>
          <w:lang w:eastAsia="en-AU"/>
        </w:rPr>
        <w:t>1.8</w:t>
      </w:r>
      <w:r w:rsidRPr="002D025F">
        <w:rPr>
          <w:lang w:eastAsia="en-AU"/>
        </w:rPr>
        <w:t xml:space="preserve">% of accepted complaints accepted on the basis of allegations of race, religious, sexuality or gender identity vilification. The Commission </w:t>
      </w:r>
      <w:r w:rsidR="002E550A">
        <w:rPr>
          <w:lang w:eastAsia="en-AU"/>
        </w:rPr>
        <w:t xml:space="preserve">accepted four </w:t>
      </w:r>
      <w:r>
        <w:rPr>
          <w:lang w:eastAsia="en-AU"/>
        </w:rPr>
        <w:t>complaints of whistle</w:t>
      </w:r>
      <w:r w:rsidR="0074046F">
        <w:rPr>
          <w:lang w:eastAsia="en-AU"/>
        </w:rPr>
        <w:t xml:space="preserve"> </w:t>
      </w:r>
      <w:r>
        <w:rPr>
          <w:lang w:eastAsia="en-AU"/>
        </w:rPr>
        <w:t>blower reprisal, representing 0.3% of overall accepted complaints.</w:t>
      </w:r>
      <w:r w:rsidR="00F6574E">
        <w:rPr>
          <w:lang w:eastAsia="en-AU"/>
        </w:rPr>
        <w:t xml:space="preserve"> </w:t>
      </w:r>
      <w:r>
        <w:rPr>
          <w:lang w:eastAsia="en-AU"/>
        </w:rPr>
        <w:t xml:space="preserve">Despite commencement of a new type of discrimination in 2017-18, on the basis of residence of a regional community near a large resource project, the Commission did not accept any complaints on this ground again this year. </w:t>
      </w:r>
    </w:p>
    <w:p w14:paraId="088D325B" w14:textId="77777777" w:rsidR="0059575B" w:rsidRDefault="0059575B">
      <w:pPr>
        <w:rPr>
          <w:b/>
          <w:bCs/>
          <w:i/>
          <w:color w:val="3B4E98"/>
          <w:sz w:val="18"/>
          <w:szCs w:val="18"/>
        </w:rPr>
      </w:pPr>
      <w:r>
        <w:br w:type="page"/>
      </w:r>
    </w:p>
    <w:p w14:paraId="4F72AFA7" w14:textId="5257ACCE" w:rsidR="00397C8B" w:rsidRPr="002D025F" w:rsidRDefault="003D06E1" w:rsidP="009B351B">
      <w:pPr>
        <w:pStyle w:val="Caption"/>
      </w:pPr>
      <w:r>
        <w:lastRenderedPageBreak/>
        <w:t>T</w:t>
      </w:r>
      <w:r w:rsidR="00397C8B" w:rsidRPr="002D025F">
        <w:t xml:space="preserve">able 8: State-wide accepted </w:t>
      </w:r>
      <w:r w:rsidR="00397C8B" w:rsidRPr="009B351B">
        <w:t>complaints</w:t>
      </w:r>
      <w:r w:rsidR="00397C8B" w:rsidRPr="002D025F">
        <w:t xml:space="preserve"> by ground</w:t>
      </w:r>
    </w:p>
    <w:tbl>
      <w:tblPr>
        <w:tblStyle w:val="TableGridLight"/>
        <w:tblW w:w="6799" w:type="dxa"/>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ayout w:type="fixed"/>
        <w:tblLook w:val="01E0" w:firstRow="1" w:lastRow="1" w:firstColumn="1" w:lastColumn="1" w:noHBand="0" w:noVBand="0"/>
      </w:tblPr>
      <w:tblGrid>
        <w:gridCol w:w="3539"/>
        <w:gridCol w:w="1701"/>
        <w:gridCol w:w="1559"/>
      </w:tblGrid>
      <w:tr w:rsidR="00397C8B" w:rsidRPr="00664D17" w14:paraId="0E901DEB" w14:textId="77777777" w:rsidTr="00664D17">
        <w:trPr>
          <w:trHeight w:val="280"/>
        </w:trPr>
        <w:tc>
          <w:tcPr>
            <w:tcW w:w="3539" w:type="dxa"/>
          </w:tcPr>
          <w:p w14:paraId="7DC979CC" w14:textId="77777777" w:rsidR="00397C8B" w:rsidRPr="00664D17" w:rsidRDefault="00397C8B" w:rsidP="00664D17">
            <w:pPr>
              <w:rPr>
                <w:b/>
                <w:i/>
              </w:rPr>
            </w:pPr>
            <w:r w:rsidRPr="00664D17">
              <w:rPr>
                <w:b/>
              </w:rPr>
              <w:t>Ground</w:t>
            </w:r>
          </w:p>
        </w:tc>
        <w:tc>
          <w:tcPr>
            <w:tcW w:w="1701" w:type="dxa"/>
          </w:tcPr>
          <w:p w14:paraId="35528909" w14:textId="77777777" w:rsidR="00397C8B" w:rsidRPr="00664D17" w:rsidRDefault="00397C8B" w:rsidP="00664D17">
            <w:pPr>
              <w:rPr>
                <w:b/>
                <w:i/>
              </w:rPr>
            </w:pPr>
            <w:r w:rsidRPr="00664D17">
              <w:rPr>
                <w:b/>
              </w:rPr>
              <w:t>Number</w:t>
            </w:r>
          </w:p>
        </w:tc>
        <w:tc>
          <w:tcPr>
            <w:tcW w:w="1559" w:type="dxa"/>
          </w:tcPr>
          <w:p w14:paraId="3A5FF6E9" w14:textId="77777777" w:rsidR="00397C8B" w:rsidRPr="00664D17" w:rsidRDefault="00397C8B" w:rsidP="00664D17">
            <w:pPr>
              <w:rPr>
                <w:b/>
                <w:i/>
              </w:rPr>
            </w:pPr>
            <w:r w:rsidRPr="00664D17">
              <w:rPr>
                <w:b/>
              </w:rPr>
              <w:t>%</w:t>
            </w:r>
          </w:p>
        </w:tc>
      </w:tr>
      <w:tr w:rsidR="00397C8B" w:rsidRPr="002D025F" w14:paraId="0E31F0E8" w14:textId="77777777" w:rsidTr="00664D17">
        <w:tc>
          <w:tcPr>
            <w:tcW w:w="6799" w:type="dxa"/>
            <w:gridSpan w:val="3"/>
          </w:tcPr>
          <w:p w14:paraId="49D8689B" w14:textId="77777777" w:rsidR="00397C8B" w:rsidRPr="008A30A6" w:rsidRDefault="00397C8B" w:rsidP="00664D17">
            <w:pPr>
              <w:rPr>
                <w:i/>
              </w:rPr>
            </w:pPr>
            <w:r w:rsidRPr="008A30A6">
              <w:t>Discrimination</w:t>
            </w:r>
          </w:p>
        </w:tc>
      </w:tr>
      <w:tr w:rsidR="00397C8B" w:rsidRPr="002D025F" w14:paraId="1A655CF0" w14:textId="77777777" w:rsidTr="00664D17">
        <w:tc>
          <w:tcPr>
            <w:tcW w:w="3539" w:type="dxa"/>
          </w:tcPr>
          <w:p w14:paraId="2CF3ABA8" w14:textId="77777777" w:rsidR="00397C8B" w:rsidRPr="008A30A6" w:rsidRDefault="00397C8B" w:rsidP="00664D17">
            <w:pPr>
              <w:rPr>
                <w:i/>
              </w:rPr>
            </w:pPr>
            <w:r w:rsidRPr="008A30A6">
              <w:t>Age</w:t>
            </w:r>
          </w:p>
        </w:tc>
        <w:tc>
          <w:tcPr>
            <w:tcW w:w="1701" w:type="dxa"/>
          </w:tcPr>
          <w:p w14:paraId="1B0D086D" w14:textId="77777777" w:rsidR="00397C8B" w:rsidRPr="0021204D" w:rsidRDefault="0092412C" w:rsidP="00664D17">
            <w:pPr>
              <w:rPr>
                <w:i/>
              </w:rPr>
            </w:pPr>
            <w:r w:rsidRPr="0021204D">
              <w:t>47</w:t>
            </w:r>
          </w:p>
        </w:tc>
        <w:tc>
          <w:tcPr>
            <w:tcW w:w="1559" w:type="dxa"/>
          </w:tcPr>
          <w:p w14:paraId="5E090082" w14:textId="77777777" w:rsidR="00397C8B" w:rsidRPr="008A30A6" w:rsidRDefault="0092412C" w:rsidP="00664D17">
            <w:pPr>
              <w:rPr>
                <w:i/>
              </w:rPr>
            </w:pPr>
            <w:r w:rsidRPr="008A30A6">
              <w:t>5.3%</w:t>
            </w:r>
          </w:p>
        </w:tc>
      </w:tr>
      <w:tr w:rsidR="00397C8B" w:rsidRPr="002D025F" w14:paraId="6CE0EE52" w14:textId="77777777" w:rsidTr="00664D17">
        <w:tc>
          <w:tcPr>
            <w:tcW w:w="3539" w:type="dxa"/>
          </w:tcPr>
          <w:p w14:paraId="3DAB1145" w14:textId="77777777" w:rsidR="00397C8B" w:rsidRPr="008A30A6" w:rsidRDefault="00397C8B" w:rsidP="00664D17">
            <w:pPr>
              <w:rPr>
                <w:i/>
              </w:rPr>
            </w:pPr>
            <w:r w:rsidRPr="008A30A6">
              <w:t>Breastfeeding</w:t>
            </w:r>
          </w:p>
        </w:tc>
        <w:tc>
          <w:tcPr>
            <w:tcW w:w="1701" w:type="dxa"/>
          </w:tcPr>
          <w:p w14:paraId="66C252BD" w14:textId="77777777" w:rsidR="00397C8B" w:rsidRPr="0021204D" w:rsidRDefault="0092412C" w:rsidP="00664D17">
            <w:pPr>
              <w:rPr>
                <w:i/>
              </w:rPr>
            </w:pPr>
            <w:r w:rsidRPr="0021204D">
              <w:t>2</w:t>
            </w:r>
          </w:p>
        </w:tc>
        <w:tc>
          <w:tcPr>
            <w:tcW w:w="1559" w:type="dxa"/>
          </w:tcPr>
          <w:p w14:paraId="47ED1239" w14:textId="77777777" w:rsidR="00397C8B" w:rsidRPr="008A30A6" w:rsidRDefault="0092412C" w:rsidP="00664D17">
            <w:pPr>
              <w:rPr>
                <w:i/>
              </w:rPr>
            </w:pPr>
            <w:r w:rsidRPr="008A30A6">
              <w:t>0.2%</w:t>
            </w:r>
          </w:p>
        </w:tc>
      </w:tr>
      <w:tr w:rsidR="00397C8B" w:rsidRPr="002D025F" w14:paraId="15D546C8" w14:textId="77777777" w:rsidTr="00664D17">
        <w:tc>
          <w:tcPr>
            <w:tcW w:w="3539" w:type="dxa"/>
          </w:tcPr>
          <w:p w14:paraId="0C23A2EC" w14:textId="77777777" w:rsidR="00397C8B" w:rsidRPr="008A30A6" w:rsidRDefault="00397C8B" w:rsidP="00664D17">
            <w:pPr>
              <w:rPr>
                <w:i/>
              </w:rPr>
            </w:pPr>
            <w:r w:rsidRPr="008A30A6">
              <w:t>Family Responsibility</w:t>
            </w:r>
          </w:p>
        </w:tc>
        <w:tc>
          <w:tcPr>
            <w:tcW w:w="1701" w:type="dxa"/>
          </w:tcPr>
          <w:p w14:paraId="4E2DF733" w14:textId="77777777" w:rsidR="00397C8B" w:rsidRPr="0021204D" w:rsidRDefault="0092412C" w:rsidP="00664D17">
            <w:pPr>
              <w:rPr>
                <w:i/>
              </w:rPr>
            </w:pPr>
            <w:r w:rsidRPr="0021204D">
              <w:t>47</w:t>
            </w:r>
          </w:p>
        </w:tc>
        <w:tc>
          <w:tcPr>
            <w:tcW w:w="1559" w:type="dxa"/>
          </w:tcPr>
          <w:p w14:paraId="54713399" w14:textId="77777777" w:rsidR="00397C8B" w:rsidRPr="008A30A6" w:rsidRDefault="0092412C" w:rsidP="00664D17">
            <w:pPr>
              <w:rPr>
                <w:i/>
              </w:rPr>
            </w:pPr>
            <w:r w:rsidRPr="008A30A6">
              <w:t>5.3%</w:t>
            </w:r>
          </w:p>
        </w:tc>
      </w:tr>
      <w:tr w:rsidR="00397C8B" w:rsidRPr="002D025F" w14:paraId="4570F93B" w14:textId="77777777" w:rsidTr="00664D17">
        <w:tc>
          <w:tcPr>
            <w:tcW w:w="3539" w:type="dxa"/>
          </w:tcPr>
          <w:p w14:paraId="32092419" w14:textId="77777777" w:rsidR="00397C8B" w:rsidRPr="008A30A6" w:rsidRDefault="00397C8B" w:rsidP="00664D17">
            <w:pPr>
              <w:rPr>
                <w:i/>
              </w:rPr>
            </w:pPr>
            <w:r w:rsidRPr="008A30A6">
              <w:t>Gender Identity</w:t>
            </w:r>
          </w:p>
        </w:tc>
        <w:tc>
          <w:tcPr>
            <w:tcW w:w="1701" w:type="dxa"/>
          </w:tcPr>
          <w:p w14:paraId="23BAAAD3" w14:textId="77777777" w:rsidR="00397C8B" w:rsidRPr="0021204D" w:rsidRDefault="0092412C" w:rsidP="00664D17">
            <w:pPr>
              <w:rPr>
                <w:i/>
              </w:rPr>
            </w:pPr>
            <w:r w:rsidRPr="0021204D">
              <w:t>10</w:t>
            </w:r>
          </w:p>
        </w:tc>
        <w:tc>
          <w:tcPr>
            <w:tcW w:w="1559" w:type="dxa"/>
          </w:tcPr>
          <w:p w14:paraId="4B382F07" w14:textId="77777777" w:rsidR="00397C8B" w:rsidRPr="008A30A6" w:rsidRDefault="0092412C" w:rsidP="00664D17">
            <w:pPr>
              <w:rPr>
                <w:i/>
              </w:rPr>
            </w:pPr>
            <w:r w:rsidRPr="008A30A6">
              <w:t>1.1%</w:t>
            </w:r>
          </w:p>
        </w:tc>
      </w:tr>
      <w:tr w:rsidR="00397C8B" w:rsidRPr="002D025F" w14:paraId="45E4A6F8" w14:textId="77777777" w:rsidTr="00664D17">
        <w:tc>
          <w:tcPr>
            <w:tcW w:w="3539" w:type="dxa"/>
          </w:tcPr>
          <w:p w14:paraId="1A163689" w14:textId="77777777" w:rsidR="00397C8B" w:rsidRPr="008A30A6" w:rsidRDefault="00397C8B" w:rsidP="00664D17">
            <w:pPr>
              <w:rPr>
                <w:i/>
              </w:rPr>
            </w:pPr>
            <w:r w:rsidRPr="008A30A6">
              <w:t>Impairment</w:t>
            </w:r>
          </w:p>
        </w:tc>
        <w:tc>
          <w:tcPr>
            <w:tcW w:w="1701" w:type="dxa"/>
          </w:tcPr>
          <w:p w14:paraId="6136E109" w14:textId="77777777" w:rsidR="00397C8B" w:rsidRPr="0021204D" w:rsidRDefault="0092412C" w:rsidP="00664D17">
            <w:pPr>
              <w:rPr>
                <w:i/>
              </w:rPr>
            </w:pPr>
            <w:r w:rsidRPr="0021204D">
              <w:t>268</w:t>
            </w:r>
          </w:p>
        </w:tc>
        <w:tc>
          <w:tcPr>
            <w:tcW w:w="1559" w:type="dxa"/>
          </w:tcPr>
          <w:p w14:paraId="11640A1D" w14:textId="77777777" w:rsidR="00397C8B" w:rsidRPr="008A30A6" w:rsidRDefault="0092412C" w:rsidP="00664D17">
            <w:pPr>
              <w:rPr>
                <w:i/>
              </w:rPr>
            </w:pPr>
            <w:r w:rsidRPr="008A30A6">
              <w:t>30.3%</w:t>
            </w:r>
          </w:p>
        </w:tc>
      </w:tr>
      <w:tr w:rsidR="00397C8B" w:rsidRPr="002D025F" w14:paraId="4CDD5F68" w14:textId="77777777" w:rsidTr="00664D17">
        <w:tc>
          <w:tcPr>
            <w:tcW w:w="3539" w:type="dxa"/>
          </w:tcPr>
          <w:p w14:paraId="6FE646EA" w14:textId="77777777" w:rsidR="00397C8B" w:rsidRPr="008A30A6" w:rsidRDefault="00397C8B" w:rsidP="00664D17">
            <w:pPr>
              <w:rPr>
                <w:i/>
              </w:rPr>
            </w:pPr>
            <w:r w:rsidRPr="008A30A6">
              <w:t>Lawful Sexual Activity</w:t>
            </w:r>
          </w:p>
        </w:tc>
        <w:tc>
          <w:tcPr>
            <w:tcW w:w="1701" w:type="dxa"/>
          </w:tcPr>
          <w:p w14:paraId="703B8281" w14:textId="77777777" w:rsidR="00397C8B" w:rsidRPr="0021204D" w:rsidRDefault="0092412C" w:rsidP="00664D17">
            <w:pPr>
              <w:rPr>
                <w:i/>
              </w:rPr>
            </w:pPr>
            <w:r w:rsidRPr="0021204D">
              <w:t>3</w:t>
            </w:r>
          </w:p>
        </w:tc>
        <w:tc>
          <w:tcPr>
            <w:tcW w:w="1559" w:type="dxa"/>
          </w:tcPr>
          <w:p w14:paraId="360A86AD" w14:textId="77777777" w:rsidR="00397C8B" w:rsidRPr="008A30A6" w:rsidRDefault="0092412C" w:rsidP="00664D17">
            <w:pPr>
              <w:rPr>
                <w:i/>
              </w:rPr>
            </w:pPr>
            <w:r w:rsidRPr="008A30A6">
              <w:t>0.3%</w:t>
            </w:r>
          </w:p>
        </w:tc>
      </w:tr>
      <w:tr w:rsidR="00397C8B" w:rsidRPr="002D025F" w14:paraId="0EA47598" w14:textId="77777777" w:rsidTr="00664D17">
        <w:tc>
          <w:tcPr>
            <w:tcW w:w="3539" w:type="dxa"/>
          </w:tcPr>
          <w:p w14:paraId="63A1FA56" w14:textId="77777777" w:rsidR="00397C8B" w:rsidRPr="008A30A6" w:rsidRDefault="00397C8B" w:rsidP="00664D17">
            <w:pPr>
              <w:rPr>
                <w:i/>
              </w:rPr>
            </w:pPr>
            <w:r w:rsidRPr="008A30A6">
              <w:t>Parental Status</w:t>
            </w:r>
          </w:p>
        </w:tc>
        <w:tc>
          <w:tcPr>
            <w:tcW w:w="1701" w:type="dxa"/>
          </w:tcPr>
          <w:p w14:paraId="580DA21D" w14:textId="77777777" w:rsidR="00397C8B" w:rsidRPr="0021204D" w:rsidRDefault="0092412C" w:rsidP="00664D17">
            <w:pPr>
              <w:rPr>
                <w:i/>
              </w:rPr>
            </w:pPr>
            <w:r w:rsidRPr="0021204D">
              <w:t>13</w:t>
            </w:r>
          </w:p>
        </w:tc>
        <w:tc>
          <w:tcPr>
            <w:tcW w:w="1559" w:type="dxa"/>
          </w:tcPr>
          <w:p w14:paraId="1E110974" w14:textId="77777777" w:rsidR="00397C8B" w:rsidRPr="008A30A6" w:rsidRDefault="0092412C" w:rsidP="00664D17">
            <w:pPr>
              <w:rPr>
                <w:i/>
              </w:rPr>
            </w:pPr>
            <w:r w:rsidRPr="008A30A6">
              <w:t>1.5%</w:t>
            </w:r>
          </w:p>
        </w:tc>
      </w:tr>
      <w:tr w:rsidR="00397C8B" w:rsidRPr="002D025F" w14:paraId="79E6B886" w14:textId="77777777" w:rsidTr="00664D17">
        <w:tc>
          <w:tcPr>
            <w:tcW w:w="3539" w:type="dxa"/>
          </w:tcPr>
          <w:p w14:paraId="56400283" w14:textId="77777777" w:rsidR="00397C8B" w:rsidRPr="008A30A6" w:rsidRDefault="00397C8B" w:rsidP="00664D17">
            <w:pPr>
              <w:rPr>
                <w:i/>
              </w:rPr>
            </w:pPr>
            <w:r w:rsidRPr="008A30A6">
              <w:t>Political Belief/Activity</w:t>
            </w:r>
          </w:p>
        </w:tc>
        <w:tc>
          <w:tcPr>
            <w:tcW w:w="1701" w:type="dxa"/>
          </w:tcPr>
          <w:p w14:paraId="70AD4191" w14:textId="77777777" w:rsidR="00397C8B" w:rsidRPr="0021204D" w:rsidRDefault="0092412C" w:rsidP="00664D17">
            <w:pPr>
              <w:rPr>
                <w:i/>
              </w:rPr>
            </w:pPr>
            <w:r w:rsidRPr="0021204D">
              <w:t>9</w:t>
            </w:r>
          </w:p>
        </w:tc>
        <w:tc>
          <w:tcPr>
            <w:tcW w:w="1559" w:type="dxa"/>
          </w:tcPr>
          <w:p w14:paraId="41B939AF" w14:textId="77777777" w:rsidR="00397C8B" w:rsidRPr="008A30A6" w:rsidRDefault="0092412C" w:rsidP="00664D17">
            <w:pPr>
              <w:rPr>
                <w:i/>
              </w:rPr>
            </w:pPr>
            <w:r w:rsidRPr="008A30A6">
              <w:t>1.0%</w:t>
            </w:r>
          </w:p>
        </w:tc>
      </w:tr>
      <w:tr w:rsidR="00397C8B" w:rsidRPr="002D025F" w14:paraId="11FB0CCB" w14:textId="77777777" w:rsidTr="00664D17">
        <w:tc>
          <w:tcPr>
            <w:tcW w:w="3539" w:type="dxa"/>
          </w:tcPr>
          <w:p w14:paraId="2341F799" w14:textId="77777777" w:rsidR="00397C8B" w:rsidRPr="008A30A6" w:rsidRDefault="00397C8B" w:rsidP="00664D17">
            <w:pPr>
              <w:rPr>
                <w:i/>
              </w:rPr>
            </w:pPr>
            <w:r w:rsidRPr="008A30A6">
              <w:t>Pregnancy</w:t>
            </w:r>
          </w:p>
        </w:tc>
        <w:tc>
          <w:tcPr>
            <w:tcW w:w="1701" w:type="dxa"/>
          </w:tcPr>
          <w:p w14:paraId="34C4796E" w14:textId="77777777" w:rsidR="00397C8B" w:rsidRPr="0021204D" w:rsidRDefault="0092412C" w:rsidP="00664D17">
            <w:pPr>
              <w:rPr>
                <w:i/>
              </w:rPr>
            </w:pPr>
            <w:r w:rsidRPr="0021204D">
              <w:t>25</w:t>
            </w:r>
          </w:p>
        </w:tc>
        <w:tc>
          <w:tcPr>
            <w:tcW w:w="1559" w:type="dxa"/>
          </w:tcPr>
          <w:p w14:paraId="70734A6C" w14:textId="77777777" w:rsidR="00397C8B" w:rsidRPr="008A30A6" w:rsidRDefault="0092412C" w:rsidP="00664D17">
            <w:pPr>
              <w:rPr>
                <w:i/>
              </w:rPr>
            </w:pPr>
            <w:r w:rsidRPr="008A30A6">
              <w:t>2.8%</w:t>
            </w:r>
          </w:p>
        </w:tc>
      </w:tr>
      <w:tr w:rsidR="00397C8B" w:rsidRPr="002D025F" w14:paraId="20A9C276" w14:textId="77777777" w:rsidTr="00664D17">
        <w:tc>
          <w:tcPr>
            <w:tcW w:w="3539" w:type="dxa"/>
          </w:tcPr>
          <w:p w14:paraId="67268F73" w14:textId="77777777" w:rsidR="00397C8B" w:rsidRPr="008A30A6" w:rsidRDefault="00397C8B" w:rsidP="00664D17">
            <w:pPr>
              <w:rPr>
                <w:i/>
              </w:rPr>
            </w:pPr>
            <w:r w:rsidRPr="008A30A6">
              <w:t>Race</w:t>
            </w:r>
          </w:p>
        </w:tc>
        <w:tc>
          <w:tcPr>
            <w:tcW w:w="1701" w:type="dxa"/>
          </w:tcPr>
          <w:p w14:paraId="4D5A2876" w14:textId="77777777" w:rsidR="00397C8B" w:rsidRPr="0021204D" w:rsidRDefault="0092412C" w:rsidP="00664D17">
            <w:pPr>
              <w:rPr>
                <w:i/>
              </w:rPr>
            </w:pPr>
            <w:r w:rsidRPr="0021204D">
              <w:t>70</w:t>
            </w:r>
          </w:p>
        </w:tc>
        <w:tc>
          <w:tcPr>
            <w:tcW w:w="1559" w:type="dxa"/>
          </w:tcPr>
          <w:p w14:paraId="16CF101C" w14:textId="77777777" w:rsidR="00397C8B" w:rsidRPr="008A30A6" w:rsidRDefault="0092412C" w:rsidP="00664D17">
            <w:pPr>
              <w:rPr>
                <w:i/>
              </w:rPr>
            </w:pPr>
            <w:r w:rsidRPr="008A30A6">
              <w:t>7.9%</w:t>
            </w:r>
          </w:p>
        </w:tc>
      </w:tr>
      <w:tr w:rsidR="00397C8B" w:rsidRPr="002D025F" w14:paraId="18274153" w14:textId="77777777" w:rsidTr="00664D17">
        <w:tc>
          <w:tcPr>
            <w:tcW w:w="3539" w:type="dxa"/>
          </w:tcPr>
          <w:p w14:paraId="2B95FCDD" w14:textId="77777777" w:rsidR="00397C8B" w:rsidRPr="008A30A6" w:rsidRDefault="00397C8B" w:rsidP="00664D17">
            <w:pPr>
              <w:rPr>
                <w:i/>
              </w:rPr>
            </w:pPr>
            <w:r w:rsidRPr="008A30A6">
              <w:t>Relationship Status</w:t>
            </w:r>
          </w:p>
        </w:tc>
        <w:tc>
          <w:tcPr>
            <w:tcW w:w="1701" w:type="dxa"/>
          </w:tcPr>
          <w:p w14:paraId="34127584" w14:textId="77777777" w:rsidR="00397C8B" w:rsidRPr="0021204D" w:rsidRDefault="0092412C" w:rsidP="00664D17">
            <w:pPr>
              <w:rPr>
                <w:i/>
              </w:rPr>
            </w:pPr>
            <w:r w:rsidRPr="0021204D">
              <w:t>6</w:t>
            </w:r>
          </w:p>
        </w:tc>
        <w:tc>
          <w:tcPr>
            <w:tcW w:w="1559" w:type="dxa"/>
          </w:tcPr>
          <w:p w14:paraId="43330A84" w14:textId="77777777" w:rsidR="00397C8B" w:rsidRPr="008A30A6" w:rsidRDefault="0092412C" w:rsidP="00664D17">
            <w:pPr>
              <w:rPr>
                <w:i/>
              </w:rPr>
            </w:pPr>
            <w:r w:rsidRPr="008A30A6">
              <w:t>0.7%</w:t>
            </w:r>
          </w:p>
        </w:tc>
      </w:tr>
      <w:tr w:rsidR="00397C8B" w:rsidRPr="002D025F" w14:paraId="30CD9141" w14:textId="77777777" w:rsidTr="00664D17">
        <w:tc>
          <w:tcPr>
            <w:tcW w:w="3539" w:type="dxa"/>
          </w:tcPr>
          <w:p w14:paraId="3501B8B0" w14:textId="77777777" w:rsidR="00397C8B" w:rsidRPr="008A30A6" w:rsidRDefault="00397C8B" w:rsidP="00664D17">
            <w:pPr>
              <w:rPr>
                <w:i/>
              </w:rPr>
            </w:pPr>
            <w:r w:rsidRPr="008A30A6">
              <w:t>Religion</w:t>
            </w:r>
          </w:p>
        </w:tc>
        <w:tc>
          <w:tcPr>
            <w:tcW w:w="1701" w:type="dxa"/>
          </w:tcPr>
          <w:p w14:paraId="1E16FFDF" w14:textId="77777777" w:rsidR="00397C8B" w:rsidRPr="0021204D" w:rsidRDefault="0092412C" w:rsidP="00664D17">
            <w:pPr>
              <w:rPr>
                <w:i/>
              </w:rPr>
            </w:pPr>
            <w:r w:rsidRPr="0021204D">
              <w:t>15</w:t>
            </w:r>
          </w:p>
        </w:tc>
        <w:tc>
          <w:tcPr>
            <w:tcW w:w="1559" w:type="dxa"/>
          </w:tcPr>
          <w:p w14:paraId="7362CFDF" w14:textId="77777777" w:rsidR="00397C8B" w:rsidRPr="008A30A6" w:rsidRDefault="0092412C" w:rsidP="00664D17">
            <w:pPr>
              <w:rPr>
                <w:i/>
              </w:rPr>
            </w:pPr>
            <w:r w:rsidRPr="008A30A6">
              <w:t>1.7%</w:t>
            </w:r>
          </w:p>
        </w:tc>
      </w:tr>
      <w:tr w:rsidR="00397C8B" w:rsidRPr="002D025F" w14:paraId="4921B02B" w14:textId="77777777" w:rsidTr="00664D17">
        <w:tc>
          <w:tcPr>
            <w:tcW w:w="3539" w:type="dxa"/>
          </w:tcPr>
          <w:p w14:paraId="594A2C2D" w14:textId="77777777" w:rsidR="00397C8B" w:rsidRPr="008A30A6" w:rsidRDefault="00397C8B" w:rsidP="00664D17">
            <w:pPr>
              <w:rPr>
                <w:i/>
              </w:rPr>
            </w:pPr>
            <w:r w:rsidRPr="008A30A6">
              <w:t>Sex</w:t>
            </w:r>
          </w:p>
        </w:tc>
        <w:tc>
          <w:tcPr>
            <w:tcW w:w="1701" w:type="dxa"/>
          </w:tcPr>
          <w:p w14:paraId="0D8D91B8" w14:textId="77777777" w:rsidR="00397C8B" w:rsidRPr="0021204D" w:rsidRDefault="0092412C" w:rsidP="00664D17">
            <w:pPr>
              <w:rPr>
                <w:i/>
              </w:rPr>
            </w:pPr>
            <w:r w:rsidRPr="0021204D">
              <w:t>82</w:t>
            </w:r>
          </w:p>
        </w:tc>
        <w:tc>
          <w:tcPr>
            <w:tcW w:w="1559" w:type="dxa"/>
          </w:tcPr>
          <w:p w14:paraId="0B1BEB61" w14:textId="77777777" w:rsidR="00397C8B" w:rsidRPr="008A30A6" w:rsidRDefault="0092412C" w:rsidP="00664D17">
            <w:pPr>
              <w:rPr>
                <w:i/>
              </w:rPr>
            </w:pPr>
            <w:r w:rsidRPr="008A30A6">
              <w:t>9.3%</w:t>
            </w:r>
          </w:p>
        </w:tc>
      </w:tr>
      <w:tr w:rsidR="00397C8B" w:rsidRPr="002D025F" w14:paraId="6650BBE9" w14:textId="77777777" w:rsidTr="00664D17">
        <w:tc>
          <w:tcPr>
            <w:tcW w:w="3539" w:type="dxa"/>
          </w:tcPr>
          <w:p w14:paraId="2C7049D9" w14:textId="77777777" w:rsidR="00397C8B" w:rsidRPr="008A30A6" w:rsidRDefault="00397C8B" w:rsidP="00664D17">
            <w:pPr>
              <w:rPr>
                <w:i/>
              </w:rPr>
            </w:pPr>
            <w:r w:rsidRPr="008A30A6">
              <w:t>Sexuality</w:t>
            </w:r>
          </w:p>
        </w:tc>
        <w:tc>
          <w:tcPr>
            <w:tcW w:w="1701" w:type="dxa"/>
          </w:tcPr>
          <w:p w14:paraId="6ACDD6B5" w14:textId="77777777" w:rsidR="00397C8B" w:rsidRPr="0021204D" w:rsidRDefault="0092412C" w:rsidP="00664D17">
            <w:pPr>
              <w:rPr>
                <w:i/>
              </w:rPr>
            </w:pPr>
            <w:r w:rsidRPr="0021204D">
              <w:t>14</w:t>
            </w:r>
          </w:p>
        </w:tc>
        <w:tc>
          <w:tcPr>
            <w:tcW w:w="1559" w:type="dxa"/>
          </w:tcPr>
          <w:p w14:paraId="75B2C587" w14:textId="77777777" w:rsidR="00397C8B" w:rsidRPr="008A30A6" w:rsidRDefault="0092412C" w:rsidP="00664D17">
            <w:pPr>
              <w:rPr>
                <w:i/>
              </w:rPr>
            </w:pPr>
            <w:r w:rsidRPr="008A30A6">
              <w:t>1.6%</w:t>
            </w:r>
          </w:p>
        </w:tc>
      </w:tr>
      <w:tr w:rsidR="00397C8B" w:rsidRPr="002D025F" w14:paraId="182D50E5" w14:textId="77777777" w:rsidTr="00664D17">
        <w:tc>
          <w:tcPr>
            <w:tcW w:w="3539" w:type="dxa"/>
          </w:tcPr>
          <w:p w14:paraId="4245BAD4" w14:textId="77777777" w:rsidR="00397C8B" w:rsidRPr="008A30A6" w:rsidRDefault="00397C8B" w:rsidP="00664D17">
            <w:pPr>
              <w:rPr>
                <w:i/>
              </w:rPr>
            </w:pPr>
            <w:r w:rsidRPr="008A30A6">
              <w:t>Trade Union Activity</w:t>
            </w:r>
          </w:p>
        </w:tc>
        <w:tc>
          <w:tcPr>
            <w:tcW w:w="1701" w:type="dxa"/>
          </w:tcPr>
          <w:p w14:paraId="081D210C" w14:textId="77777777" w:rsidR="00397C8B" w:rsidRPr="0021204D" w:rsidRDefault="0092412C" w:rsidP="00664D17">
            <w:pPr>
              <w:rPr>
                <w:i/>
              </w:rPr>
            </w:pPr>
            <w:r w:rsidRPr="0021204D">
              <w:t>3</w:t>
            </w:r>
          </w:p>
        </w:tc>
        <w:tc>
          <w:tcPr>
            <w:tcW w:w="1559" w:type="dxa"/>
          </w:tcPr>
          <w:p w14:paraId="60898E84" w14:textId="77777777" w:rsidR="00397C8B" w:rsidRPr="008A30A6" w:rsidRDefault="0092412C" w:rsidP="00664D17">
            <w:pPr>
              <w:rPr>
                <w:i/>
              </w:rPr>
            </w:pPr>
            <w:r w:rsidRPr="008A30A6">
              <w:t>0.3%</w:t>
            </w:r>
          </w:p>
        </w:tc>
      </w:tr>
      <w:tr w:rsidR="00397C8B" w:rsidRPr="00664D17" w14:paraId="220B5D0B" w14:textId="77777777" w:rsidTr="00664D17">
        <w:tc>
          <w:tcPr>
            <w:tcW w:w="3539" w:type="dxa"/>
          </w:tcPr>
          <w:p w14:paraId="1D852D19" w14:textId="77777777" w:rsidR="00397C8B" w:rsidRPr="00664D17" w:rsidRDefault="00397C8B" w:rsidP="00664D17">
            <w:pPr>
              <w:rPr>
                <w:b/>
                <w:i/>
              </w:rPr>
            </w:pPr>
            <w:r w:rsidRPr="00664D17">
              <w:rPr>
                <w:b/>
              </w:rPr>
              <w:t>Sub-total Discrimination</w:t>
            </w:r>
          </w:p>
        </w:tc>
        <w:tc>
          <w:tcPr>
            <w:tcW w:w="1701" w:type="dxa"/>
          </w:tcPr>
          <w:p w14:paraId="191FCBA3" w14:textId="77777777" w:rsidR="00397C8B" w:rsidRPr="00664D17" w:rsidRDefault="0092412C" w:rsidP="00664D17">
            <w:pPr>
              <w:rPr>
                <w:b/>
                <w:i/>
              </w:rPr>
            </w:pPr>
            <w:r w:rsidRPr="00664D17">
              <w:rPr>
                <w:b/>
              </w:rPr>
              <w:t>614</w:t>
            </w:r>
          </w:p>
        </w:tc>
        <w:tc>
          <w:tcPr>
            <w:tcW w:w="1559" w:type="dxa"/>
          </w:tcPr>
          <w:p w14:paraId="73D3DE7D" w14:textId="77777777" w:rsidR="00397C8B" w:rsidRPr="00664D17" w:rsidRDefault="0092412C" w:rsidP="00664D17">
            <w:pPr>
              <w:rPr>
                <w:b/>
                <w:i/>
              </w:rPr>
            </w:pPr>
            <w:r w:rsidRPr="00664D17">
              <w:rPr>
                <w:b/>
              </w:rPr>
              <w:t>69.4%</w:t>
            </w:r>
          </w:p>
        </w:tc>
      </w:tr>
      <w:tr w:rsidR="00397C8B" w:rsidRPr="002D025F" w14:paraId="2C4A79C6" w14:textId="77777777" w:rsidTr="00664D17">
        <w:tc>
          <w:tcPr>
            <w:tcW w:w="3539" w:type="dxa"/>
          </w:tcPr>
          <w:p w14:paraId="28FD3DBF" w14:textId="77777777" w:rsidR="00397C8B" w:rsidRPr="008A30A6" w:rsidRDefault="00397C8B" w:rsidP="00664D17">
            <w:pPr>
              <w:rPr>
                <w:i/>
              </w:rPr>
            </w:pPr>
            <w:r w:rsidRPr="008A30A6">
              <w:t>Discriminatory Advertising</w:t>
            </w:r>
          </w:p>
        </w:tc>
        <w:tc>
          <w:tcPr>
            <w:tcW w:w="1701" w:type="dxa"/>
          </w:tcPr>
          <w:p w14:paraId="16369E8F" w14:textId="77777777" w:rsidR="00397C8B" w:rsidRPr="0021204D" w:rsidRDefault="0092412C" w:rsidP="00664D17">
            <w:pPr>
              <w:rPr>
                <w:i/>
              </w:rPr>
            </w:pPr>
            <w:r w:rsidRPr="0021204D">
              <w:t>0</w:t>
            </w:r>
          </w:p>
        </w:tc>
        <w:tc>
          <w:tcPr>
            <w:tcW w:w="1559" w:type="dxa"/>
          </w:tcPr>
          <w:p w14:paraId="486D8314" w14:textId="77777777" w:rsidR="00397C8B" w:rsidRPr="008A30A6" w:rsidRDefault="0092412C" w:rsidP="00664D17">
            <w:pPr>
              <w:rPr>
                <w:i/>
              </w:rPr>
            </w:pPr>
            <w:r w:rsidRPr="008A30A6">
              <w:t>0.0%</w:t>
            </w:r>
          </w:p>
        </w:tc>
      </w:tr>
      <w:tr w:rsidR="00397C8B" w:rsidRPr="002D025F" w14:paraId="2C213858" w14:textId="77777777" w:rsidTr="00664D17">
        <w:tc>
          <w:tcPr>
            <w:tcW w:w="3539" w:type="dxa"/>
          </w:tcPr>
          <w:p w14:paraId="402E5CCC" w14:textId="77777777" w:rsidR="00397C8B" w:rsidRPr="008A30A6" w:rsidRDefault="00397C8B" w:rsidP="00664D17">
            <w:pPr>
              <w:rPr>
                <w:i/>
              </w:rPr>
            </w:pPr>
            <w:r w:rsidRPr="008A30A6">
              <w:t>Request/Encourage a Breach</w:t>
            </w:r>
          </w:p>
        </w:tc>
        <w:tc>
          <w:tcPr>
            <w:tcW w:w="1701" w:type="dxa"/>
          </w:tcPr>
          <w:p w14:paraId="4DAADCF8" w14:textId="77777777" w:rsidR="00397C8B" w:rsidRPr="0021204D" w:rsidRDefault="0092412C" w:rsidP="00664D17">
            <w:pPr>
              <w:rPr>
                <w:i/>
              </w:rPr>
            </w:pPr>
            <w:r w:rsidRPr="0021204D">
              <w:t>12</w:t>
            </w:r>
          </w:p>
        </w:tc>
        <w:tc>
          <w:tcPr>
            <w:tcW w:w="1559" w:type="dxa"/>
          </w:tcPr>
          <w:p w14:paraId="2EEBEE49" w14:textId="77777777" w:rsidR="00397C8B" w:rsidRPr="008A30A6" w:rsidRDefault="0092412C" w:rsidP="00664D17">
            <w:pPr>
              <w:rPr>
                <w:i/>
              </w:rPr>
            </w:pPr>
            <w:r w:rsidRPr="008A30A6">
              <w:t>1.4%</w:t>
            </w:r>
          </w:p>
        </w:tc>
      </w:tr>
      <w:tr w:rsidR="00397C8B" w:rsidRPr="002D025F" w14:paraId="1CA4D954" w14:textId="77777777" w:rsidTr="00664D17">
        <w:tc>
          <w:tcPr>
            <w:tcW w:w="3539" w:type="dxa"/>
          </w:tcPr>
          <w:p w14:paraId="117B48EF" w14:textId="77777777" w:rsidR="00397C8B" w:rsidRPr="008A30A6" w:rsidRDefault="00397C8B" w:rsidP="00664D17">
            <w:pPr>
              <w:rPr>
                <w:i/>
              </w:rPr>
            </w:pPr>
            <w:r w:rsidRPr="008A30A6">
              <w:t>Sexual Harassment</w:t>
            </w:r>
          </w:p>
        </w:tc>
        <w:tc>
          <w:tcPr>
            <w:tcW w:w="1701" w:type="dxa"/>
          </w:tcPr>
          <w:p w14:paraId="41A9BECF" w14:textId="77777777" w:rsidR="00397C8B" w:rsidRPr="0021204D" w:rsidRDefault="0092412C" w:rsidP="00664D17">
            <w:pPr>
              <w:rPr>
                <w:i/>
              </w:rPr>
            </w:pPr>
            <w:r w:rsidRPr="0021204D">
              <w:t>92</w:t>
            </w:r>
          </w:p>
        </w:tc>
        <w:tc>
          <w:tcPr>
            <w:tcW w:w="1559" w:type="dxa"/>
          </w:tcPr>
          <w:p w14:paraId="2809D7B4" w14:textId="77777777" w:rsidR="00397C8B" w:rsidRPr="008A30A6" w:rsidRDefault="0092412C" w:rsidP="00664D17">
            <w:pPr>
              <w:rPr>
                <w:i/>
              </w:rPr>
            </w:pPr>
            <w:r w:rsidRPr="008A30A6">
              <w:t>10.4%</w:t>
            </w:r>
          </w:p>
        </w:tc>
      </w:tr>
      <w:tr w:rsidR="00397C8B" w:rsidRPr="002D025F" w14:paraId="126F91A9" w14:textId="77777777" w:rsidTr="00664D17">
        <w:tc>
          <w:tcPr>
            <w:tcW w:w="3539" w:type="dxa"/>
          </w:tcPr>
          <w:p w14:paraId="7B32232F" w14:textId="77777777" w:rsidR="00397C8B" w:rsidRPr="008A30A6" w:rsidRDefault="00397C8B" w:rsidP="00664D17">
            <w:pPr>
              <w:rPr>
                <w:i/>
              </w:rPr>
            </w:pPr>
            <w:r w:rsidRPr="008A30A6">
              <w:t>Unnecessary Questions</w:t>
            </w:r>
          </w:p>
        </w:tc>
        <w:tc>
          <w:tcPr>
            <w:tcW w:w="1701" w:type="dxa"/>
          </w:tcPr>
          <w:p w14:paraId="4D7CC0B4" w14:textId="77777777" w:rsidR="00397C8B" w:rsidRPr="0021204D" w:rsidRDefault="0092412C" w:rsidP="00664D17">
            <w:pPr>
              <w:rPr>
                <w:i/>
              </w:rPr>
            </w:pPr>
            <w:r w:rsidRPr="0021204D">
              <w:t>53</w:t>
            </w:r>
          </w:p>
        </w:tc>
        <w:tc>
          <w:tcPr>
            <w:tcW w:w="1559" w:type="dxa"/>
          </w:tcPr>
          <w:p w14:paraId="45F99255" w14:textId="77777777" w:rsidR="00397C8B" w:rsidRPr="008A30A6" w:rsidRDefault="0092412C" w:rsidP="00664D17">
            <w:pPr>
              <w:rPr>
                <w:i/>
              </w:rPr>
            </w:pPr>
            <w:r w:rsidRPr="008A30A6">
              <w:t>6.0%</w:t>
            </w:r>
          </w:p>
        </w:tc>
      </w:tr>
      <w:tr w:rsidR="00397C8B" w:rsidRPr="002D025F" w14:paraId="15D773C0" w14:textId="77777777" w:rsidTr="00664D17">
        <w:tc>
          <w:tcPr>
            <w:tcW w:w="3539" w:type="dxa"/>
          </w:tcPr>
          <w:p w14:paraId="5D33BE82" w14:textId="77777777" w:rsidR="00397C8B" w:rsidRPr="008A30A6" w:rsidRDefault="00397C8B" w:rsidP="00664D17">
            <w:pPr>
              <w:rPr>
                <w:i/>
              </w:rPr>
            </w:pPr>
            <w:r w:rsidRPr="008A30A6">
              <w:t>Victimisation</w:t>
            </w:r>
          </w:p>
        </w:tc>
        <w:tc>
          <w:tcPr>
            <w:tcW w:w="1701" w:type="dxa"/>
          </w:tcPr>
          <w:p w14:paraId="25207152" w14:textId="77777777" w:rsidR="00397C8B" w:rsidRPr="0021204D" w:rsidRDefault="0092412C" w:rsidP="00664D17">
            <w:pPr>
              <w:rPr>
                <w:i/>
              </w:rPr>
            </w:pPr>
            <w:r w:rsidRPr="0021204D">
              <w:t>95</w:t>
            </w:r>
          </w:p>
        </w:tc>
        <w:tc>
          <w:tcPr>
            <w:tcW w:w="1559" w:type="dxa"/>
          </w:tcPr>
          <w:p w14:paraId="68A82670" w14:textId="77777777" w:rsidR="00397C8B" w:rsidRPr="008A30A6" w:rsidRDefault="0092412C" w:rsidP="00664D17">
            <w:pPr>
              <w:rPr>
                <w:i/>
              </w:rPr>
            </w:pPr>
            <w:r w:rsidRPr="008A30A6">
              <w:t>10.7%</w:t>
            </w:r>
          </w:p>
        </w:tc>
      </w:tr>
      <w:tr w:rsidR="00397C8B" w:rsidRPr="00664D17" w14:paraId="3CE1AAC8" w14:textId="77777777" w:rsidTr="00664D17">
        <w:tc>
          <w:tcPr>
            <w:tcW w:w="3539" w:type="dxa"/>
          </w:tcPr>
          <w:p w14:paraId="05805728" w14:textId="77777777" w:rsidR="00397C8B" w:rsidRPr="00664D17" w:rsidRDefault="00397C8B" w:rsidP="00664D17">
            <w:pPr>
              <w:rPr>
                <w:b/>
                <w:i/>
                <w:highlight w:val="yellow"/>
              </w:rPr>
            </w:pPr>
            <w:r w:rsidRPr="00664D17">
              <w:rPr>
                <w:b/>
              </w:rPr>
              <w:t>Sub-total</w:t>
            </w:r>
          </w:p>
        </w:tc>
        <w:tc>
          <w:tcPr>
            <w:tcW w:w="1701" w:type="dxa"/>
          </w:tcPr>
          <w:p w14:paraId="279C5B2C" w14:textId="77777777" w:rsidR="00397C8B" w:rsidRPr="00664D17" w:rsidRDefault="0092412C" w:rsidP="00664D17">
            <w:pPr>
              <w:rPr>
                <w:b/>
                <w:i/>
              </w:rPr>
            </w:pPr>
            <w:r w:rsidRPr="00664D17">
              <w:rPr>
                <w:b/>
              </w:rPr>
              <w:t>252</w:t>
            </w:r>
          </w:p>
        </w:tc>
        <w:tc>
          <w:tcPr>
            <w:tcW w:w="1559" w:type="dxa"/>
          </w:tcPr>
          <w:p w14:paraId="34625EF5" w14:textId="77777777" w:rsidR="00397C8B" w:rsidRPr="00664D17" w:rsidRDefault="0092412C" w:rsidP="00664D17">
            <w:pPr>
              <w:rPr>
                <w:b/>
                <w:i/>
              </w:rPr>
            </w:pPr>
            <w:r w:rsidRPr="00664D17">
              <w:rPr>
                <w:b/>
              </w:rPr>
              <w:t>28.5%</w:t>
            </w:r>
          </w:p>
        </w:tc>
      </w:tr>
      <w:tr w:rsidR="00397C8B" w:rsidRPr="002D025F" w14:paraId="0FE9FC13" w14:textId="77777777" w:rsidTr="00664D17">
        <w:tc>
          <w:tcPr>
            <w:tcW w:w="6799" w:type="dxa"/>
            <w:gridSpan w:val="3"/>
          </w:tcPr>
          <w:p w14:paraId="386182F6" w14:textId="77777777" w:rsidR="00397C8B" w:rsidRPr="008A30A6" w:rsidRDefault="00397C8B" w:rsidP="00664D17">
            <w:pPr>
              <w:rPr>
                <w:i/>
              </w:rPr>
            </w:pPr>
            <w:r w:rsidRPr="008A30A6">
              <w:t>Vilification</w:t>
            </w:r>
          </w:p>
        </w:tc>
      </w:tr>
      <w:tr w:rsidR="00397C8B" w:rsidRPr="002D025F" w14:paraId="38988A79" w14:textId="77777777" w:rsidTr="00664D17">
        <w:tc>
          <w:tcPr>
            <w:tcW w:w="3539" w:type="dxa"/>
          </w:tcPr>
          <w:p w14:paraId="1E781D2D" w14:textId="77777777" w:rsidR="00397C8B" w:rsidRPr="008A30A6" w:rsidRDefault="00397C8B" w:rsidP="00664D17">
            <w:pPr>
              <w:rPr>
                <w:i/>
              </w:rPr>
            </w:pPr>
            <w:r w:rsidRPr="008A30A6">
              <w:t>Gender identity</w:t>
            </w:r>
          </w:p>
        </w:tc>
        <w:tc>
          <w:tcPr>
            <w:tcW w:w="1701" w:type="dxa"/>
          </w:tcPr>
          <w:p w14:paraId="01040AA3" w14:textId="77777777" w:rsidR="00397C8B" w:rsidRPr="0021204D" w:rsidRDefault="0092412C" w:rsidP="00664D17">
            <w:pPr>
              <w:rPr>
                <w:i/>
              </w:rPr>
            </w:pPr>
            <w:r w:rsidRPr="0021204D">
              <w:t>3</w:t>
            </w:r>
          </w:p>
        </w:tc>
        <w:tc>
          <w:tcPr>
            <w:tcW w:w="1559" w:type="dxa"/>
          </w:tcPr>
          <w:p w14:paraId="1318C70A" w14:textId="77777777" w:rsidR="00397C8B" w:rsidRPr="008A30A6" w:rsidRDefault="0092412C" w:rsidP="00664D17">
            <w:pPr>
              <w:rPr>
                <w:i/>
              </w:rPr>
            </w:pPr>
            <w:r w:rsidRPr="008A30A6">
              <w:t>0.3%</w:t>
            </w:r>
          </w:p>
        </w:tc>
      </w:tr>
      <w:tr w:rsidR="00397C8B" w:rsidRPr="002D025F" w14:paraId="5820A383" w14:textId="77777777" w:rsidTr="00664D17">
        <w:tc>
          <w:tcPr>
            <w:tcW w:w="3539" w:type="dxa"/>
          </w:tcPr>
          <w:p w14:paraId="4F052001" w14:textId="77777777" w:rsidR="00397C8B" w:rsidRPr="008A30A6" w:rsidRDefault="00397C8B" w:rsidP="00664D17">
            <w:pPr>
              <w:rPr>
                <w:i/>
              </w:rPr>
            </w:pPr>
            <w:r w:rsidRPr="008A30A6">
              <w:t>Race</w:t>
            </w:r>
          </w:p>
        </w:tc>
        <w:tc>
          <w:tcPr>
            <w:tcW w:w="1701" w:type="dxa"/>
          </w:tcPr>
          <w:p w14:paraId="12A9B902" w14:textId="77777777" w:rsidR="00397C8B" w:rsidRPr="0021204D" w:rsidRDefault="0092412C" w:rsidP="00664D17">
            <w:pPr>
              <w:rPr>
                <w:i/>
              </w:rPr>
            </w:pPr>
            <w:r w:rsidRPr="0021204D">
              <w:t>6</w:t>
            </w:r>
          </w:p>
        </w:tc>
        <w:tc>
          <w:tcPr>
            <w:tcW w:w="1559" w:type="dxa"/>
          </w:tcPr>
          <w:p w14:paraId="142B31C2" w14:textId="77777777" w:rsidR="00397C8B" w:rsidRPr="008A30A6" w:rsidRDefault="00153F8A" w:rsidP="00664D17">
            <w:pPr>
              <w:rPr>
                <w:i/>
              </w:rPr>
            </w:pPr>
            <w:r w:rsidRPr="008A30A6">
              <w:t>0.7%</w:t>
            </w:r>
          </w:p>
        </w:tc>
      </w:tr>
      <w:tr w:rsidR="00397C8B" w:rsidRPr="002D025F" w14:paraId="1F6C2031" w14:textId="77777777" w:rsidTr="00664D17">
        <w:tc>
          <w:tcPr>
            <w:tcW w:w="3539" w:type="dxa"/>
          </w:tcPr>
          <w:p w14:paraId="772DAFBA" w14:textId="77777777" w:rsidR="00397C8B" w:rsidRPr="008A30A6" w:rsidRDefault="00397C8B" w:rsidP="00664D17">
            <w:pPr>
              <w:rPr>
                <w:i/>
              </w:rPr>
            </w:pPr>
            <w:r w:rsidRPr="008A30A6">
              <w:t>Religion</w:t>
            </w:r>
          </w:p>
        </w:tc>
        <w:tc>
          <w:tcPr>
            <w:tcW w:w="1701" w:type="dxa"/>
          </w:tcPr>
          <w:p w14:paraId="2EBB7C4A" w14:textId="77777777" w:rsidR="00397C8B" w:rsidRPr="0021204D" w:rsidRDefault="0092412C" w:rsidP="00664D17">
            <w:pPr>
              <w:rPr>
                <w:i/>
              </w:rPr>
            </w:pPr>
            <w:r w:rsidRPr="0021204D">
              <w:t>3</w:t>
            </w:r>
          </w:p>
        </w:tc>
        <w:tc>
          <w:tcPr>
            <w:tcW w:w="1559" w:type="dxa"/>
          </w:tcPr>
          <w:p w14:paraId="699BF753" w14:textId="77777777" w:rsidR="00397C8B" w:rsidRPr="008A30A6" w:rsidRDefault="00153F8A" w:rsidP="00664D17">
            <w:pPr>
              <w:rPr>
                <w:i/>
              </w:rPr>
            </w:pPr>
            <w:r w:rsidRPr="008A30A6">
              <w:t>0.3%</w:t>
            </w:r>
          </w:p>
        </w:tc>
      </w:tr>
      <w:tr w:rsidR="00397C8B" w:rsidRPr="002D025F" w14:paraId="1257F703" w14:textId="77777777" w:rsidTr="00664D17">
        <w:tc>
          <w:tcPr>
            <w:tcW w:w="3539" w:type="dxa"/>
          </w:tcPr>
          <w:p w14:paraId="121BC701" w14:textId="77777777" w:rsidR="00397C8B" w:rsidRPr="008A30A6" w:rsidRDefault="00397C8B" w:rsidP="00664D17">
            <w:pPr>
              <w:rPr>
                <w:i/>
              </w:rPr>
            </w:pPr>
            <w:r w:rsidRPr="008A30A6">
              <w:t>Sexuality</w:t>
            </w:r>
          </w:p>
        </w:tc>
        <w:tc>
          <w:tcPr>
            <w:tcW w:w="1701" w:type="dxa"/>
          </w:tcPr>
          <w:p w14:paraId="4EAE249D" w14:textId="77777777" w:rsidR="00397C8B" w:rsidRPr="0021204D" w:rsidRDefault="0092412C" w:rsidP="00664D17">
            <w:pPr>
              <w:rPr>
                <w:i/>
              </w:rPr>
            </w:pPr>
            <w:r w:rsidRPr="0021204D">
              <w:t>4</w:t>
            </w:r>
          </w:p>
        </w:tc>
        <w:tc>
          <w:tcPr>
            <w:tcW w:w="1559" w:type="dxa"/>
          </w:tcPr>
          <w:p w14:paraId="09BF7E2B" w14:textId="77777777" w:rsidR="00397C8B" w:rsidRPr="008A30A6" w:rsidRDefault="00153F8A" w:rsidP="00664D17">
            <w:pPr>
              <w:rPr>
                <w:i/>
              </w:rPr>
            </w:pPr>
            <w:r w:rsidRPr="008A30A6">
              <w:t>0.5%</w:t>
            </w:r>
          </w:p>
        </w:tc>
      </w:tr>
      <w:tr w:rsidR="00397C8B" w:rsidRPr="00664D17" w14:paraId="5F3810C7" w14:textId="77777777" w:rsidTr="00664D17">
        <w:tc>
          <w:tcPr>
            <w:tcW w:w="3539" w:type="dxa"/>
          </w:tcPr>
          <w:p w14:paraId="53ABFB31" w14:textId="77777777" w:rsidR="00397C8B" w:rsidRPr="00664D17" w:rsidRDefault="00397C8B" w:rsidP="00664D17">
            <w:pPr>
              <w:rPr>
                <w:b/>
                <w:i/>
              </w:rPr>
            </w:pPr>
            <w:r w:rsidRPr="00664D17">
              <w:rPr>
                <w:b/>
              </w:rPr>
              <w:t>Sub-total Vilification</w:t>
            </w:r>
          </w:p>
        </w:tc>
        <w:tc>
          <w:tcPr>
            <w:tcW w:w="1701" w:type="dxa"/>
          </w:tcPr>
          <w:p w14:paraId="07D05D1F" w14:textId="77777777" w:rsidR="00397C8B" w:rsidRPr="00664D17" w:rsidRDefault="0092412C" w:rsidP="00664D17">
            <w:pPr>
              <w:rPr>
                <w:b/>
                <w:i/>
              </w:rPr>
            </w:pPr>
            <w:r w:rsidRPr="00664D17">
              <w:rPr>
                <w:b/>
              </w:rPr>
              <w:t>16</w:t>
            </w:r>
          </w:p>
        </w:tc>
        <w:tc>
          <w:tcPr>
            <w:tcW w:w="1559" w:type="dxa"/>
          </w:tcPr>
          <w:p w14:paraId="5F912B54" w14:textId="77777777" w:rsidR="00397C8B" w:rsidRPr="00664D17" w:rsidRDefault="00153F8A" w:rsidP="00664D17">
            <w:pPr>
              <w:rPr>
                <w:b/>
                <w:i/>
              </w:rPr>
            </w:pPr>
            <w:r w:rsidRPr="00664D17">
              <w:rPr>
                <w:b/>
              </w:rPr>
              <w:t>1.8%</w:t>
            </w:r>
          </w:p>
        </w:tc>
      </w:tr>
      <w:tr w:rsidR="00397C8B" w:rsidRPr="002D025F" w14:paraId="0A167101" w14:textId="77777777" w:rsidTr="00664D17">
        <w:tc>
          <w:tcPr>
            <w:tcW w:w="3539" w:type="dxa"/>
          </w:tcPr>
          <w:p w14:paraId="04E88547" w14:textId="77777777" w:rsidR="00397C8B" w:rsidRPr="008A30A6" w:rsidRDefault="00981698" w:rsidP="00664D17">
            <w:pPr>
              <w:rPr>
                <w:i/>
              </w:rPr>
            </w:pPr>
            <w:r w:rsidRPr="008A30A6">
              <w:t>Whistle-blower</w:t>
            </w:r>
            <w:r w:rsidR="00397C8B" w:rsidRPr="008A30A6">
              <w:t xml:space="preserve"> reprisal</w:t>
            </w:r>
          </w:p>
        </w:tc>
        <w:tc>
          <w:tcPr>
            <w:tcW w:w="1701" w:type="dxa"/>
          </w:tcPr>
          <w:p w14:paraId="674DA63E" w14:textId="77777777" w:rsidR="00397C8B" w:rsidRPr="0021204D" w:rsidRDefault="0092412C" w:rsidP="00664D17">
            <w:pPr>
              <w:rPr>
                <w:i/>
              </w:rPr>
            </w:pPr>
            <w:r w:rsidRPr="0021204D">
              <w:t>3</w:t>
            </w:r>
          </w:p>
        </w:tc>
        <w:tc>
          <w:tcPr>
            <w:tcW w:w="1559" w:type="dxa"/>
          </w:tcPr>
          <w:p w14:paraId="28EF943B" w14:textId="77777777" w:rsidR="00397C8B" w:rsidRPr="008A30A6" w:rsidRDefault="00153F8A" w:rsidP="00664D17">
            <w:pPr>
              <w:rPr>
                <w:i/>
              </w:rPr>
            </w:pPr>
            <w:r w:rsidRPr="008A30A6">
              <w:t>0.3%</w:t>
            </w:r>
          </w:p>
        </w:tc>
      </w:tr>
      <w:tr w:rsidR="0092412C" w:rsidRPr="002D025F" w14:paraId="47C942D0" w14:textId="77777777" w:rsidTr="00664D17">
        <w:tc>
          <w:tcPr>
            <w:tcW w:w="3539" w:type="dxa"/>
          </w:tcPr>
          <w:p w14:paraId="19F9F77A" w14:textId="77777777" w:rsidR="0092412C" w:rsidRPr="008A30A6" w:rsidRDefault="0092412C" w:rsidP="00664D17">
            <w:pPr>
              <w:rPr>
                <w:i/>
              </w:rPr>
            </w:pPr>
            <w:r w:rsidRPr="008A30A6">
              <w:t xml:space="preserve">Resident of regional community </w:t>
            </w:r>
          </w:p>
        </w:tc>
        <w:tc>
          <w:tcPr>
            <w:tcW w:w="1701" w:type="dxa"/>
          </w:tcPr>
          <w:p w14:paraId="2597BB12" w14:textId="77777777" w:rsidR="0092412C" w:rsidRPr="0021204D" w:rsidRDefault="0092412C" w:rsidP="00664D17">
            <w:pPr>
              <w:rPr>
                <w:i/>
              </w:rPr>
            </w:pPr>
            <w:r w:rsidRPr="0021204D">
              <w:t>0</w:t>
            </w:r>
          </w:p>
        </w:tc>
        <w:tc>
          <w:tcPr>
            <w:tcW w:w="1559" w:type="dxa"/>
          </w:tcPr>
          <w:p w14:paraId="48F05A69" w14:textId="77777777" w:rsidR="0092412C" w:rsidRPr="008A30A6" w:rsidRDefault="00153F8A" w:rsidP="00664D17">
            <w:pPr>
              <w:rPr>
                <w:i/>
              </w:rPr>
            </w:pPr>
            <w:r w:rsidRPr="008A30A6">
              <w:t>0.0%</w:t>
            </w:r>
          </w:p>
        </w:tc>
      </w:tr>
      <w:tr w:rsidR="00397C8B" w:rsidRPr="00664D17" w14:paraId="0BC46AFA" w14:textId="77777777" w:rsidTr="00664D17">
        <w:trPr>
          <w:trHeight w:val="45"/>
        </w:trPr>
        <w:tc>
          <w:tcPr>
            <w:tcW w:w="3539" w:type="dxa"/>
          </w:tcPr>
          <w:p w14:paraId="0F150925" w14:textId="77777777" w:rsidR="00397C8B" w:rsidRPr="00664D17" w:rsidRDefault="00397C8B" w:rsidP="00664D17">
            <w:pPr>
              <w:rPr>
                <w:b/>
                <w:i/>
              </w:rPr>
            </w:pPr>
            <w:r w:rsidRPr="00664D17">
              <w:rPr>
                <w:b/>
              </w:rPr>
              <w:t>Total</w:t>
            </w:r>
          </w:p>
        </w:tc>
        <w:tc>
          <w:tcPr>
            <w:tcW w:w="1701" w:type="dxa"/>
          </w:tcPr>
          <w:p w14:paraId="350C9347" w14:textId="77777777" w:rsidR="00397C8B" w:rsidRPr="00664D17" w:rsidRDefault="0092412C" w:rsidP="00664D17">
            <w:pPr>
              <w:rPr>
                <w:b/>
                <w:i/>
              </w:rPr>
            </w:pPr>
            <w:r w:rsidRPr="00664D17">
              <w:rPr>
                <w:b/>
              </w:rPr>
              <w:t>885</w:t>
            </w:r>
          </w:p>
        </w:tc>
        <w:tc>
          <w:tcPr>
            <w:tcW w:w="1559" w:type="dxa"/>
          </w:tcPr>
          <w:p w14:paraId="3E7AE588" w14:textId="77777777" w:rsidR="00397C8B" w:rsidRPr="00664D17" w:rsidRDefault="00153F8A" w:rsidP="00664D17">
            <w:pPr>
              <w:rPr>
                <w:b/>
                <w:i/>
              </w:rPr>
            </w:pPr>
            <w:r w:rsidRPr="00664D17">
              <w:rPr>
                <w:b/>
              </w:rPr>
              <w:t>100%</w:t>
            </w:r>
          </w:p>
        </w:tc>
      </w:tr>
    </w:tbl>
    <w:p w14:paraId="24CD62B5" w14:textId="77777777" w:rsidR="00664D17" w:rsidRPr="00664D17" w:rsidRDefault="00664D17" w:rsidP="009B351B">
      <w:pPr>
        <w:pStyle w:val="Caption"/>
        <w:rPr>
          <w:b w:val="0"/>
          <w:sz w:val="2"/>
          <w:szCs w:val="2"/>
          <w:lang w:eastAsia="en-AU"/>
        </w:rPr>
      </w:pPr>
    </w:p>
    <w:p w14:paraId="0948A0C3" w14:textId="01B556BE" w:rsidR="00397C8B" w:rsidRPr="00664D17" w:rsidRDefault="00397C8B" w:rsidP="009B351B">
      <w:pPr>
        <w:pStyle w:val="Caption"/>
        <w:rPr>
          <w:b w:val="0"/>
          <w:lang w:eastAsia="en-AU"/>
        </w:rPr>
      </w:pPr>
      <w:r w:rsidRPr="00664D17">
        <w:rPr>
          <w:b w:val="0"/>
          <w:lang w:eastAsia="en-AU"/>
        </w:rPr>
        <w:t>Note: Complaints may be accepted under more than one ground</w:t>
      </w:r>
      <w:r w:rsidR="008445E6" w:rsidRPr="00664D17">
        <w:rPr>
          <w:b w:val="0"/>
          <w:lang w:eastAsia="en-AU"/>
        </w:rPr>
        <w:t xml:space="preserve">. Percentages have been rounded to one decimal point. </w:t>
      </w:r>
    </w:p>
    <w:p w14:paraId="424C0533" w14:textId="77777777" w:rsidR="003D06E1" w:rsidRPr="002D025F" w:rsidRDefault="003D06E1" w:rsidP="009B351B">
      <w:pPr>
        <w:rPr>
          <w:i/>
          <w:lang w:eastAsia="en-AU"/>
        </w:rPr>
      </w:pPr>
      <w:r w:rsidRPr="002D025F">
        <w:rPr>
          <w:lang w:eastAsia="en-AU"/>
        </w:rPr>
        <w:t xml:space="preserve">The number and proportion of work-related complaints shows workplace fairness is the most significant area of people’s lives. Table 9 shows that </w:t>
      </w:r>
      <w:r>
        <w:rPr>
          <w:lang w:eastAsia="en-AU"/>
        </w:rPr>
        <w:t>60.2</w:t>
      </w:r>
      <w:r w:rsidRPr="002D025F">
        <w:rPr>
          <w:lang w:eastAsia="en-AU"/>
        </w:rPr>
        <w:t>% of complaints arose in the workplace or when seeking work. This is consistent with previous years.</w:t>
      </w:r>
      <w:r w:rsidRPr="002D025F">
        <w:rPr>
          <w:color w:val="FF0000"/>
          <w:lang w:eastAsia="en-AU"/>
        </w:rPr>
        <w:t xml:space="preserve"> </w:t>
      </w:r>
    </w:p>
    <w:p w14:paraId="79703D61" w14:textId="77777777" w:rsidR="003D06E1" w:rsidRDefault="00254F04" w:rsidP="009B351B">
      <w:pPr>
        <w:rPr>
          <w:b/>
          <w:bCs/>
          <w:color w:val="808080" w:themeColor="background1" w:themeShade="80"/>
          <w:sz w:val="18"/>
          <w:szCs w:val="18"/>
        </w:rPr>
      </w:pPr>
      <w:r>
        <w:rPr>
          <w:lang w:eastAsia="en-AU"/>
        </w:rPr>
        <w:t xml:space="preserve">Complaints arising in the </w:t>
      </w:r>
      <w:r w:rsidR="003D06E1" w:rsidRPr="002D025F">
        <w:rPr>
          <w:lang w:eastAsia="en-AU"/>
        </w:rPr>
        <w:t>area of the provision of goods and services, which includes access to public places and buildings</w:t>
      </w:r>
      <w:r>
        <w:rPr>
          <w:lang w:eastAsia="en-AU"/>
        </w:rPr>
        <w:t>, made up 16.7% of total complaints</w:t>
      </w:r>
      <w:r w:rsidR="003D06E1" w:rsidRPr="002D025F">
        <w:rPr>
          <w:lang w:eastAsia="en-AU"/>
        </w:rPr>
        <w:t>.</w:t>
      </w:r>
      <w:r w:rsidR="003D06E1">
        <w:rPr>
          <w:lang w:eastAsia="en-AU"/>
        </w:rPr>
        <w:t xml:space="preserve"> </w:t>
      </w:r>
      <w:r w:rsidR="003D06E1" w:rsidRPr="002D025F">
        <w:rPr>
          <w:lang w:eastAsia="en-AU"/>
        </w:rPr>
        <w:t xml:space="preserve">The number of complaints in the area of accommodation has </w:t>
      </w:r>
      <w:r w:rsidR="003D06E1">
        <w:rPr>
          <w:lang w:eastAsia="en-AU"/>
        </w:rPr>
        <w:t>increased this year to 47 (38 last year) representing 5.9% of complaints.</w:t>
      </w:r>
      <w:r w:rsidR="00803E9C">
        <w:rPr>
          <w:lang w:eastAsia="en-AU"/>
        </w:rPr>
        <w:t xml:space="preserve"> </w:t>
      </w:r>
      <w:r w:rsidR="003D06E1" w:rsidRPr="002D025F">
        <w:rPr>
          <w:lang w:eastAsia="en-AU"/>
        </w:rPr>
        <w:t>These complaints generally represent concerns about the fairness of accommodation arrangements such as rental properties and can also include claims by resident-owners of units that body corporates have discriminated against them in their decision making.</w:t>
      </w:r>
      <w:r w:rsidR="00803E9C">
        <w:rPr>
          <w:lang w:eastAsia="en-AU"/>
        </w:rPr>
        <w:t xml:space="preserve"> </w:t>
      </w:r>
    </w:p>
    <w:p w14:paraId="61EFB9DB" w14:textId="77777777" w:rsidR="003D06E1" w:rsidRDefault="003D06E1" w:rsidP="009B351B">
      <w:pPr>
        <w:rPr>
          <w:color w:val="808080" w:themeColor="background1" w:themeShade="80"/>
        </w:rPr>
        <w:sectPr w:rsidR="003D06E1" w:rsidSect="00BF0597">
          <w:headerReference w:type="even" r:id="rId15"/>
          <w:headerReference w:type="default" r:id="rId16"/>
          <w:footerReference w:type="even" r:id="rId17"/>
          <w:footerReference w:type="default" r:id="rId18"/>
          <w:headerReference w:type="first" r:id="rId19"/>
          <w:footerReference w:type="first" r:id="rId20"/>
          <w:pgSz w:w="11906" w:h="16838" w:code="9"/>
          <w:pgMar w:top="1418" w:right="3402" w:bottom="1418" w:left="1701" w:header="709" w:footer="709" w:gutter="0"/>
          <w:pgNumType w:start="0"/>
          <w:cols w:space="720"/>
          <w:titlePg/>
          <w:docGrid w:linePitch="360"/>
        </w:sectPr>
      </w:pPr>
    </w:p>
    <w:p w14:paraId="44B9FE12" w14:textId="77777777" w:rsidR="00397C8B" w:rsidRPr="00664D17" w:rsidRDefault="00397C8B" w:rsidP="00664D17">
      <w:pPr>
        <w:pStyle w:val="Caption"/>
      </w:pPr>
      <w:r w:rsidRPr="00664D17">
        <w:lastRenderedPageBreak/>
        <w:t>Table 9: State-wide accepted complaints by area</w:t>
      </w:r>
    </w:p>
    <w:tbl>
      <w:tblPr>
        <w:tblStyle w:val="TableGridLight"/>
        <w:tblW w:w="14737" w:type="dxa"/>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ayout w:type="fixed"/>
        <w:tblLook w:val="01E0" w:firstRow="1" w:lastRow="1" w:firstColumn="1" w:lastColumn="1" w:noHBand="0" w:noVBand="0"/>
      </w:tblPr>
      <w:tblGrid>
        <w:gridCol w:w="1838"/>
        <w:gridCol w:w="1554"/>
        <w:gridCol w:w="1565"/>
        <w:gridCol w:w="1275"/>
        <w:gridCol w:w="1418"/>
        <w:gridCol w:w="1417"/>
        <w:gridCol w:w="1418"/>
        <w:gridCol w:w="1276"/>
        <w:gridCol w:w="1275"/>
        <w:gridCol w:w="851"/>
        <w:gridCol w:w="850"/>
      </w:tblGrid>
      <w:tr w:rsidR="00367D8E" w:rsidRPr="002D025F" w14:paraId="07735F93" w14:textId="77777777" w:rsidTr="009A150D">
        <w:trPr>
          <w:trHeight w:val="420"/>
        </w:trPr>
        <w:tc>
          <w:tcPr>
            <w:tcW w:w="1838" w:type="dxa"/>
            <w:vMerge w:val="restart"/>
          </w:tcPr>
          <w:p w14:paraId="0576D7AB" w14:textId="77777777" w:rsidR="00367D8E" w:rsidRPr="002D025F" w:rsidRDefault="00367D8E" w:rsidP="00A75186">
            <w:pPr>
              <w:spacing w:before="40" w:after="40"/>
              <w:jc w:val="center"/>
              <w:rPr>
                <w:rFonts w:ascii="Arial" w:hAnsi="Arial" w:cs="Arial"/>
                <w:i/>
                <w:color w:val="FF0000"/>
                <w:lang w:eastAsia="en-AU"/>
              </w:rPr>
            </w:pPr>
          </w:p>
        </w:tc>
        <w:tc>
          <w:tcPr>
            <w:tcW w:w="1554" w:type="dxa"/>
            <w:vMerge w:val="restart"/>
          </w:tcPr>
          <w:p w14:paraId="3B3C5DE3"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Discrimination</w:t>
            </w:r>
          </w:p>
        </w:tc>
        <w:tc>
          <w:tcPr>
            <w:tcW w:w="1565" w:type="dxa"/>
            <w:vMerge w:val="restart"/>
          </w:tcPr>
          <w:p w14:paraId="15EAB219"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Discriminatory advertising</w:t>
            </w:r>
          </w:p>
        </w:tc>
        <w:tc>
          <w:tcPr>
            <w:tcW w:w="1275" w:type="dxa"/>
            <w:vMerge w:val="restart"/>
          </w:tcPr>
          <w:p w14:paraId="67BF1A62"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Request or encourage a breach</w:t>
            </w:r>
          </w:p>
        </w:tc>
        <w:tc>
          <w:tcPr>
            <w:tcW w:w="1418" w:type="dxa"/>
            <w:vMerge w:val="restart"/>
          </w:tcPr>
          <w:p w14:paraId="29640F60"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Sexual harassment</w:t>
            </w:r>
          </w:p>
        </w:tc>
        <w:tc>
          <w:tcPr>
            <w:tcW w:w="1417" w:type="dxa"/>
            <w:vMerge w:val="restart"/>
          </w:tcPr>
          <w:p w14:paraId="7EAE8D52"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Unnecessary questions</w:t>
            </w:r>
          </w:p>
        </w:tc>
        <w:tc>
          <w:tcPr>
            <w:tcW w:w="1418" w:type="dxa"/>
            <w:vMerge w:val="restart"/>
          </w:tcPr>
          <w:p w14:paraId="09706C84" w14:textId="114CF09C" w:rsidR="00367D8E" w:rsidRPr="00033D76" w:rsidRDefault="00664D17" w:rsidP="00A75186">
            <w:pPr>
              <w:keepNext/>
              <w:keepLines/>
              <w:tabs>
                <w:tab w:val="left" w:pos="2340"/>
              </w:tabs>
              <w:spacing w:before="40" w:after="40"/>
              <w:jc w:val="center"/>
              <w:rPr>
                <w:rFonts w:ascii="Arial" w:hAnsi="Arial" w:cs="Arial"/>
                <w:b/>
                <w:bCs/>
                <w:i/>
                <w:sz w:val="19"/>
                <w:szCs w:val="19"/>
                <w:lang w:eastAsia="en-AU"/>
              </w:rPr>
            </w:pPr>
            <w:r>
              <w:rPr>
                <w:rFonts w:ascii="Arial" w:hAnsi="Arial" w:cs="Arial"/>
                <w:b/>
                <w:bCs/>
                <w:sz w:val="19"/>
                <w:szCs w:val="19"/>
                <w:lang w:eastAsia="en-AU"/>
              </w:rPr>
              <w:t>Victimis</w:t>
            </w:r>
            <w:r w:rsidR="00367D8E" w:rsidRPr="00033D76">
              <w:rPr>
                <w:rFonts w:ascii="Arial" w:hAnsi="Arial" w:cs="Arial"/>
                <w:b/>
                <w:bCs/>
                <w:sz w:val="19"/>
                <w:szCs w:val="19"/>
                <w:lang w:eastAsia="en-AU"/>
              </w:rPr>
              <w:t>ation</w:t>
            </w:r>
          </w:p>
        </w:tc>
        <w:tc>
          <w:tcPr>
            <w:tcW w:w="1276" w:type="dxa"/>
            <w:vMerge w:val="restart"/>
          </w:tcPr>
          <w:p w14:paraId="38FFC2D2"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Vilification</w:t>
            </w:r>
          </w:p>
        </w:tc>
        <w:tc>
          <w:tcPr>
            <w:tcW w:w="1275" w:type="dxa"/>
            <w:vMerge w:val="restart"/>
          </w:tcPr>
          <w:p w14:paraId="46E1B4FA" w14:textId="77777777" w:rsidR="00367D8E" w:rsidRPr="00033D76" w:rsidRDefault="00367D8E" w:rsidP="00A75186">
            <w:pPr>
              <w:keepNext/>
              <w:keepLines/>
              <w:tabs>
                <w:tab w:val="left" w:pos="2340"/>
              </w:tabs>
              <w:spacing w:before="40" w:after="40"/>
              <w:jc w:val="center"/>
              <w:rPr>
                <w:rFonts w:ascii="Arial" w:hAnsi="Arial" w:cs="Arial"/>
                <w:b/>
                <w:bCs/>
                <w:i/>
                <w:sz w:val="19"/>
                <w:szCs w:val="19"/>
                <w:lang w:eastAsia="en-AU"/>
              </w:rPr>
            </w:pPr>
            <w:r w:rsidRPr="00033D76">
              <w:rPr>
                <w:rFonts w:ascii="Arial" w:hAnsi="Arial" w:cs="Arial"/>
                <w:b/>
                <w:bCs/>
                <w:sz w:val="19"/>
                <w:szCs w:val="19"/>
                <w:lang w:eastAsia="en-AU"/>
              </w:rPr>
              <w:t>Whistle-blower reprisal</w:t>
            </w:r>
          </w:p>
        </w:tc>
        <w:tc>
          <w:tcPr>
            <w:tcW w:w="1701" w:type="dxa"/>
            <w:gridSpan w:val="2"/>
          </w:tcPr>
          <w:p w14:paraId="5BE8A79F"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r w:rsidRPr="002D025F">
              <w:rPr>
                <w:rFonts w:ascii="Arial" w:hAnsi="Arial" w:cs="Arial"/>
                <w:b/>
                <w:bCs/>
                <w:lang w:eastAsia="en-AU"/>
              </w:rPr>
              <w:t>Total</w:t>
            </w:r>
          </w:p>
        </w:tc>
      </w:tr>
      <w:tr w:rsidR="00367D8E" w:rsidRPr="002D025F" w14:paraId="1DF3E8DE" w14:textId="77777777" w:rsidTr="009A150D">
        <w:trPr>
          <w:trHeight w:val="291"/>
        </w:trPr>
        <w:tc>
          <w:tcPr>
            <w:tcW w:w="1838" w:type="dxa"/>
            <w:vMerge/>
          </w:tcPr>
          <w:p w14:paraId="70263196" w14:textId="77777777" w:rsidR="00367D8E" w:rsidRPr="002D025F" w:rsidRDefault="00367D8E" w:rsidP="00A75186">
            <w:pPr>
              <w:spacing w:before="40" w:after="40"/>
              <w:jc w:val="center"/>
              <w:rPr>
                <w:rFonts w:ascii="Arial" w:hAnsi="Arial" w:cs="Arial"/>
                <w:i/>
                <w:color w:val="FF0000"/>
                <w:lang w:eastAsia="en-AU"/>
              </w:rPr>
            </w:pPr>
          </w:p>
        </w:tc>
        <w:tc>
          <w:tcPr>
            <w:tcW w:w="1554" w:type="dxa"/>
            <w:vMerge/>
          </w:tcPr>
          <w:p w14:paraId="044947A0"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p>
        </w:tc>
        <w:tc>
          <w:tcPr>
            <w:tcW w:w="1565" w:type="dxa"/>
            <w:vMerge/>
          </w:tcPr>
          <w:p w14:paraId="0A4D699E" w14:textId="77777777" w:rsidR="00367D8E" w:rsidRPr="002D025F" w:rsidRDefault="00367D8E" w:rsidP="00A75186">
            <w:pPr>
              <w:keepNext/>
              <w:keepLines/>
              <w:tabs>
                <w:tab w:val="left" w:pos="2340"/>
              </w:tabs>
              <w:spacing w:before="40" w:after="40"/>
              <w:jc w:val="center"/>
              <w:rPr>
                <w:rFonts w:ascii="Arial" w:hAnsi="Arial" w:cs="Arial"/>
                <w:b/>
                <w:bCs/>
                <w:i/>
                <w:highlight w:val="yellow"/>
                <w:lang w:eastAsia="en-AU"/>
              </w:rPr>
            </w:pPr>
          </w:p>
        </w:tc>
        <w:tc>
          <w:tcPr>
            <w:tcW w:w="1275" w:type="dxa"/>
            <w:vMerge/>
          </w:tcPr>
          <w:p w14:paraId="56D9977B" w14:textId="77777777" w:rsidR="00367D8E" w:rsidRPr="002D025F" w:rsidRDefault="00367D8E" w:rsidP="00A75186">
            <w:pPr>
              <w:keepNext/>
              <w:keepLines/>
              <w:tabs>
                <w:tab w:val="left" w:pos="2340"/>
              </w:tabs>
              <w:spacing w:before="40" w:after="40"/>
              <w:jc w:val="center"/>
              <w:rPr>
                <w:rFonts w:ascii="Arial" w:hAnsi="Arial" w:cs="Arial"/>
                <w:b/>
                <w:bCs/>
                <w:i/>
                <w:highlight w:val="yellow"/>
                <w:lang w:eastAsia="en-AU"/>
              </w:rPr>
            </w:pPr>
          </w:p>
        </w:tc>
        <w:tc>
          <w:tcPr>
            <w:tcW w:w="1418" w:type="dxa"/>
            <w:vMerge/>
          </w:tcPr>
          <w:p w14:paraId="749535A7" w14:textId="77777777" w:rsidR="00367D8E" w:rsidRPr="002D025F" w:rsidRDefault="00367D8E" w:rsidP="00A75186">
            <w:pPr>
              <w:keepNext/>
              <w:keepLines/>
              <w:tabs>
                <w:tab w:val="left" w:pos="2340"/>
              </w:tabs>
              <w:spacing w:before="40" w:after="40"/>
              <w:jc w:val="center"/>
              <w:rPr>
                <w:rFonts w:ascii="Arial" w:hAnsi="Arial" w:cs="Arial"/>
                <w:b/>
                <w:bCs/>
                <w:i/>
                <w:highlight w:val="yellow"/>
                <w:lang w:eastAsia="en-AU"/>
              </w:rPr>
            </w:pPr>
          </w:p>
        </w:tc>
        <w:tc>
          <w:tcPr>
            <w:tcW w:w="1417" w:type="dxa"/>
            <w:vMerge/>
          </w:tcPr>
          <w:p w14:paraId="1B383E0F" w14:textId="77777777" w:rsidR="00367D8E" w:rsidRPr="002D025F" w:rsidRDefault="00367D8E" w:rsidP="00A75186">
            <w:pPr>
              <w:keepNext/>
              <w:keepLines/>
              <w:tabs>
                <w:tab w:val="left" w:pos="2340"/>
              </w:tabs>
              <w:spacing w:before="40" w:after="40"/>
              <w:jc w:val="center"/>
              <w:rPr>
                <w:rFonts w:ascii="Arial" w:hAnsi="Arial" w:cs="Arial"/>
                <w:b/>
                <w:bCs/>
                <w:i/>
                <w:highlight w:val="yellow"/>
                <w:lang w:eastAsia="en-AU"/>
              </w:rPr>
            </w:pPr>
          </w:p>
        </w:tc>
        <w:tc>
          <w:tcPr>
            <w:tcW w:w="1418" w:type="dxa"/>
            <w:vMerge/>
          </w:tcPr>
          <w:p w14:paraId="57B178A0"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p>
        </w:tc>
        <w:tc>
          <w:tcPr>
            <w:tcW w:w="1276" w:type="dxa"/>
            <w:vMerge/>
          </w:tcPr>
          <w:p w14:paraId="4E6D6E49"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p>
        </w:tc>
        <w:tc>
          <w:tcPr>
            <w:tcW w:w="1275" w:type="dxa"/>
            <w:vMerge/>
          </w:tcPr>
          <w:p w14:paraId="572CD064"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p>
        </w:tc>
        <w:tc>
          <w:tcPr>
            <w:tcW w:w="851" w:type="dxa"/>
          </w:tcPr>
          <w:p w14:paraId="6D437F6A"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r w:rsidRPr="002D025F">
              <w:rPr>
                <w:rFonts w:ascii="Arial" w:hAnsi="Arial" w:cs="Arial"/>
                <w:b/>
                <w:bCs/>
                <w:lang w:eastAsia="en-AU"/>
              </w:rPr>
              <w:t>#</w:t>
            </w:r>
          </w:p>
        </w:tc>
        <w:tc>
          <w:tcPr>
            <w:tcW w:w="850" w:type="dxa"/>
          </w:tcPr>
          <w:p w14:paraId="517C05B6" w14:textId="77777777" w:rsidR="00367D8E" w:rsidRPr="002D025F" w:rsidRDefault="00367D8E" w:rsidP="00A75186">
            <w:pPr>
              <w:keepNext/>
              <w:keepLines/>
              <w:tabs>
                <w:tab w:val="left" w:pos="2340"/>
              </w:tabs>
              <w:spacing w:before="40" w:after="40"/>
              <w:jc w:val="center"/>
              <w:rPr>
                <w:rFonts w:ascii="Arial" w:hAnsi="Arial" w:cs="Arial"/>
                <w:b/>
                <w:bCs/>
                <w:i/>
                <w:lang w:eastAsia="en-AU"/>
              </w:rPr>
            </w:pPr>
            <w:r w:rsidRPr="002D025F">
              <w:rPr>
                <w:rFonts w:ascii="Arial" w:hAnsi="Arial" w:cs="Arial"/>
                <w:b/>
                <w:bCs/>
                <w:lang w:eastAsia="en-AU"/>
              </w:rPr>
              <w:t>%</w:t>
            </w:r>
          </w:p>
        </w:tc>
      </w:tr>
      <w:tr w:rsidR="00367D8E" w:rsidRPr="002D025F" w14:paraId="24375B0A" w14:textId="77777777" w:rsidTr="009A150D">
        <w:tc>
          <w:tcPr>
            <w:tcW w:w="1838" w:type="dxa"/>
          </w:tcPr>
          <w:p w14:paraId="313946A5"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Accommodation</w:t>
            </w:r>
          </w:p>
        </w:tc>
        <w:tc>
          <w:tcPr>
            <w:tcW w:w="1554" w:type="dxa"/>
          </w:tcPr>
          <w:p w14:paraId="7D57F20B"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33</w:t>
            </w:r>
          </w:p>
        </w:tc>
        <w:tc>
          <w:tcPr>
            <w:tcW w:w="1565" w:type="dxa"/>
          </w:tcPr>
          <w:p w14:paraId="31ED827D"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7FB3BDDD"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2D87B9E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7" w:type="dxa"/>
          </w:tcPr>
          <w:p w14:paraId="4AF48FA4"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1418" w:type="dxa"/>
          </w:tcPr>
          <w:p w14:paraId="2337588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8</w:t>
            </w:r>
          </w:p>
        </w:tc>
        <w:tc>
          <w:tcPr>
            <w:tcW w:w="1276" w:type="dxa"/>
          </w:tcPr>
          <w:p w14:paraId="1D4CE820"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2</w:t>
            </w:r>
          </w:p>
        </w:tc>
        <w:tc>
          <w:tcPr>
            <w:tcW w:w="1275" w:type="dxa"/>
          </w:tcPr>
          <w:p w14:paraId="2A71D15E" w14:textId="77777777" w:rsidR="00367D8E" w:rsidRPr="002D025F" w:rsidRDefault="00367D8E" w:rsidP="00033D76">
            <w:pPr>
              <w:tabs>
                <w:tab w:val="center" w:pos="528"/>
                <w:tab w:val="right" w:pos="1057"/>
              </w:tabs>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B79D06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47</w:t>
            </w:r>
          </w:p>
        </w:tc>
        <w:tc>
          <w:tcPr>
            <w:tcW w:w="850" w:type="dxa"/>
          </w:tcPr>
          <w:p w14:paraId="3B3CBD4F" w14:textId="77777777" w:rsidR="00367D8E" w:rsidRPr="002D025F" w:rsidRDefault="00367D8E" w:rsidP="00664D17">
            <w:pPr>
              <w:spacing w:before="40" w:after="40"/>
              <w:jc w:val="right"/>
              <w:rPr>
                <w:rFonts w:ascii="Arial" w:hAnsi="Arial" w:cs="Arial"/>
                <w:i/>
                <w:lang w:eastAsia="en-AU"/>
              </w:rPr>
            </w:pPr>
            <w:r>
              <w:rPr>
                <w:rFonts w:ascii="Arial" w:hAnsi="Arial" w:cs="Arial"/>
                <w:lang w:eastAsia="en-AU"/>
              </w:rPr>
              <w:t>5.9%</w:t>
            </w:r>
          </w:p>
        </w:tc>
      </w:tr>
      <w:tr w:rsidR="00367D8E" w:rsidRPr="002D025F" w14:paraId="6ED5F720" w14:textId="77777777" w:rsidTr="009A150D">
        <w:tc>
          <w:tcPr>
            <w:tcW w:w="1838" w:type="dxa"/>
          </w:tcPr>
          <w:p w14:paraId="7AAC5237"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State laws and programs</w:t>
            </w:r>
          </w:p>
        </w:tc>
        <w:tc>
          <w:tcPr>
            <w:tcW w:w="1554" w:type="dxa"/>
          </w:tcPr>
          <w:p w14:paraId="3FDB020A"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35</w:t>
            </w:r>
          </w:p>
        </w:tc>
        <w:tc>
          <w:tcPr>
            <w:tcW w:w="1565" w:type="dxa"/>
          </w:tcPr>
          <w:p w14:paraId="4FEA0F6D"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615EA19C"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066AD5C9"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2</w:t>
            </w:r>
          </w:p>
        </w:tc>
        <w:tc>
          <w:tcPr>
            <w:tcW w:w="1417" w:type="dxa"/>
          </w:tcPr>
          <w:p w14:paraId="4B983A03"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8" w:type="dxa"/>
          </w:tcPr>
          <w:p w14:paraId="29F6758F"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1276" w:type="dxa"/>
          </w:tcPr>
          <w:p w14:paraId="6F08BB13"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3CFDB6B9"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C57A38E"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41</w:t>
            </w:r>
          </w:p>
        </w:tc>
        <w:tc>
          <w:tcPr>
            <w:tcW w:w="850" w:type="dxa"/>
          </w:tcPr>
          <w:p w14:paraId="792A824F" w14:textId="77777777" w:rsidR="00367D8E" w:rsidRPr="002D025F" w:rsidRDefault="00367D8E" w:rsidP="00664D17">
            <w:pPr>
              <w:spacing w:before="40" w:after="40"/>
              <w:jc w:val="right"/>
              <w:rPr>
                <w:rFonts w:ascii="Arial" w:hAnsi="Arial" w:cs="Arial"/>
                <w:i/>
                <w:lang w:eastAsia="en-AU"/>
              </w:rPr>
            </w:pPr>
            <w:r>
              <w:rPr>
                <w:rFonts w:ascii="Arial" w:hAnsi="Arial" w:cs="Arial"/>
                <w:lang w:eastAsia="en-AU"/>
              </w:rPr>
              <w:t>5.2%</w:t>
            </w:r>
          </w:p>
        </w:tc>
      </w:tr>
      <w:tr w:rsidR="00367D8E" w:rsidRPr="002D025F" w14:paraId="39D55D00" w14:textId="77777777" w:rsidTr="009A150D">
        <w:trPr>
          <w:trHeight w:val="268"/>
        </w:trPr>
        <w:tc>
          <w:tcPr>
            <w:tcW w:w="1838" w:type="dxa"/>
          </w:tcPr>
          <w:p w14:paraId="21766C28"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Goods and services</w:t>
            </w:r>
          </w:p>
        </w:tc>
        <w:tc>
          <w:tcPr>
            <w:tcW w:w="1554" w:type="dxa"/>
          </w:tcPr>
          <w:p w14:paraId="571FF2C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106</w:t>
            </w:r>
          </w:p>
        </w:tc>
        <w:tc>
          <w:tcPr>
            <w:tcW w:w="1565" w:type="dxa"/>
          </w:tcPr>
          <w:p w14:paraId="7FB28C1E"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7FB65F71"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8" w:type="dxa"/>
          </w:tcPr>
          <w:p w14:paraId="12787EB2"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5</w:t>
            </w:r>
          </w:p>
        </w:tc>
        <w:tc>
          <w:tcPr>
            <w:tcW w:w="1417" w:type="dxa"/>
          </w:tcPr>
          <w:p w14:paraId="33A123E5"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1418" w:type="dxa"/>
          </w:tcPr>
          <w:p w14:paraId="47EAC8A1"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12</w:t>
            </w:r>
          </w:p>
        </w:tc>
        <w:tc>
          <w:tcPr>
            <w:tcW w:w="1276" w:type="dxa"/>
          </w:tcPr>
          <w:p w14:paraId="151FAA6C"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5</w:t>
            </w:r>
          </w:p>
        </w:tc>
        <w:tc>
          <w:tcPr>
            <w:tcW w:w="1275" w:type="dxa"/>
          </w:tcPr>
          <w:p w14:paraId="7AD9B438"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0CE3B10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132</w:t>
            </w:r>
          </w:p>
        </w:tc>
        <w:tc>
          <w:tcPr>
            <w:tcW w:w="850" w:type="dxa"/>
          </w:tcPr>
          <w:p w14:paraId="160ADD38" w14:textId="77777777" w:rsidR="00367D8E" w:rsidRPr="002D025F" w:rsidRDefault="00367D8E" w:rsidP="00664D17">
            <w:pPr>
              <w:spacing w:before="40" w:after="40"/>
              <w:jc w:val="right"/>
              <w:rPr>
                <w:rFonts w:ascii="Arial" w:hAnsi="Arial" w:cs="Arial"/>
                <w:i/>
                <w:lang w:eastAsia="en-AU"/>
              </w:rPr>
            </w:pPr>
            <w:r>
              <w:rPr>
                <w:rFonts w:ascii="Arial" w:hAnsi="Arial" w:cs="Arial"/>
                <w:lang w:eastAsia="en-AU"/>
              </w:rPr>
              <w:t>16.6%</w:t>
            </w:r>
          </w:p>
        </w:tc>
      </w:tr>
      <w:tr w:rsidR="00367D8E" w:rsidRPr="002D025F" w14:paraId="133B6BA1" w14:textId="77777777" w:rsidTr="009A150D">
        <w:tc>
          <w:tcPr>
            <w:tcW w:w="1838" w:type="dxa"/>
          </w:tcPr>
          <w:p w14:paraId="495D908E"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Club membership and affairs</w:t>
            </w:r>
          </w:p>
        </w:tc>
        <w:tc>
          <w:tcPr>
            <w:tcW w:w="1554" w:type="dxa"/>
          </w:tcPr>
          <w:p w14:paraId="257F835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0</w:t>
            </w:r>
          </w:p>
        </w:tc>
        <w:tc>
          <w:tcPr>
            <w:tcW w:w="1565" w:type="dxa"/>
          </w:tcPr>
          <w:p w14:paraId="27DE355D"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12B1F054"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4F5D7B31"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7" w:type="dxa"/>
          </w:tcPr>
          <w:p w14:paraId="504BD4E0"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0832798F"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276" w:type="dxa"/>
          </w:tcPr>
          <w:p w14:paraId="136E10CF"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00878EF9"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B849BA7"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2</w:t>
            </w:r>
          </w:p>
        </w:tc>
        <w:tc>
          <w:tcPr>
            <w:tcW w:w="850" w:type="dxa"/>
          </w:tcPr>
          <w:p w14:paraId="59545486"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0.3%</w:t>
            </w:r>
          </w:p>
        </w:tc>
      </w:tr>
      <w:tr w:rsidR="00367D8E" w:rsidRPr="002D025F" w14:paraId="18B8B96D" w14:textId="77777777" w:rsidTr="009A150D">
        <w:tc>
          <w:tcPr>
            <w:tcW w:w="1838" w:type="dxa"/>
          </w:tcPr>
          <w:p w14:paraId="699CB5E2"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Superannuation and insurance</w:t>
            </w:r>
          </w:p>
        </w:tc>
        <w:tc>
          <w:tcPr>
            <w:tcW w:w="1554" w:type="dxa"/>
          </w:tcPr>
          <w:p w14:paraId="3BFA9A5C"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5</w:t>
            </w:r>
          </w:p>
        </w:tc>
        <w:tc>
          <w:tcPr>
            <w:tcW w:w="1565" w:type="dxa"/>
          </w:tcPr>
          <w:p w14:paraId="18008D8C"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6842EA55"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6A249ABD"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7" w:type="dxa"/>
          </w:tcPr>
          <w:p w14:paraId="19513907"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8" w:type="dxa"/>
          </w:tcPr>
          <w:p w14:paraId="5C057864"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6" w:type="dxa"/>
          </w:tcPr>
          <w:p w14:paraId="58E86CAB"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679DBBE1"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293D85D3"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6</w:t>
            </w:r>
          </w:p>
        </w:tc>
        <w:tc>
          <w:tcPr>
            <w:tcW w:w="850" w:type="dxa"/>
          </w:tcPr>
          <w:p w14:paraId="3843B663"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0.8%</w:t>
            </w:r>
          </w:p>
        </w:tc>
      </w:tr>
      <w:tr w:rsidR="00367D8E" w:rsidRPr="002D025F" w14:paraId="7C2D0DA2" w14:textId="77777777" w:rsidTr="009A150D">
        <w:tc>
          <w:tcPr>
            <w:tcW w:w="1838" w:type="dxa"/>
          </w:tcPr>
          <w:p w14:paraId="01AE4CB0"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Disposition of land</w:t>
            </w:r>
          </w:p>
        </w:tc>
        <w:tc>
          <w:tcPr>
            <w:tcW w:w="1554" w:type="dxa"/>
          </w:tcPr>
          <w:p w14:paraId="16C0B75C"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565" w:type="dxa"/>
          </w:tcPr>
          <w:p w14:paraId="7A46F978"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0FDD7884"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3E65269C"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7" w:type="dxa"/>
          </w:tcPr>
          <w:p w14:paraId="49871386"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5E04E840"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6" w:type="dxa"/>
          </w:tcPr>
          <w:p w14:paraId="7D4EC0A7"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5141CBF7"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43AA1F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850" w:type="dxa"/>
          </w:tcPr>
          <w:p w14:paraId="38645566"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0.1%</w:t>
            </w:r>
          </w:p>
        </w:tc>
      </w:tr>
      <w:tr w:rsidR="00367D8E" w:rsidRPr="002D025F" w14:paraId="7EF6C979" w14:textId="77777777" w:rsidTr="009A150D">
        <w:trPr>
          <w:trHeight w:val="268"/>
        </w:trPr>
        <w:tc>
          <w:tcPr>
            <w:tcW w:w="1838" w:type="dxa"/>
          </w:tcPr>
          <w:p w14:paraId="6770E90C"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Work</w:t>
            </w:r>
          </w:p>
        </w:tc>
        <w:tc>
          <w:tcPr>
            <w:tcW w:w="1554" w:type="dxa"/>
          </w:tcPr>
          <w:p w14:paraId="71A97275"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312</w:t>
            </w:r>
          </w:p>
        </w:tc>
        <w:tc>
          <w:tcPr>
            <w:tcW w:w="1565" w:type="dxa"/>
          </w:tcPr>
          <w:p w14:paraId="0C98F170"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6272FDC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1418" w:type="dxa"/>
          </w:tcPr>
          <w:p w14:paraId="707E759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74</w:t>
            </w:r>
          </w:p>
        </w:tc>
        <w:tc>
          <w:tcPr>
            <w:tcW w:w="1417" w:type="dxa"/>
          </w:tcPr>
          <w:p w14:paraId="3E71E178"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30</w:t>
            </w:r>
          </w:p>
        </w:tc>
        <w:tc>
          <w:tcPr>
            <w:tcW w:w="1418" w:type="dxa"/>
          </w:tcPr>
          <w:p w14:paraId="31E39AA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56</w:t>
            </w:r>
          </w:p>
        </w:tc>
        <w:tc>
          <w:tcPr>
            <w:tcW w:w="1276" w:type="dxa"/>
          </w:tcPr>
          <w:p w14:paraId="03B1AFC6"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275" w:type="dxa"/>
          </w:tcPr>
          <w:p w14:paraId="52B0F900"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A4D4612"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476</w:t>
            </w:r>
          </w:p>
        </w:tc>
        <w:tc>
          <w:tcPr>
            <w:tcW w:w="850" w:type="dxa"/>
          </w:tcPr>
          <w:p w14:paraId="31860EE9"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60.2%</w:t>
            </w:r>
          </w:p>
        </w:tc>
      </w:tr>
      <w:tr w:rsidR="00367D8E" w:rsidRPr="002D025F" w14:paraId="20485C7E" w14:textId="77777777" w:rsidTr="009A150D">
        <w:tc>
          <w:tcPr>
            <w:tcW w:w="1838" w:type="dxa"/>
          </w:tcPr>
          <w:p w14:paraId="5C9C1613"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Education</w:t>
            </w:r>
          </w:p>
        </w:tc>
        <w:tc>
          <w:tcPr>
            <w:tcW w:w="1554" w:type="dxa"/>
          </w:tcPr>
          <w:p w14:paraId="6B07BF20"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32</w:t>
            </w:r>
          </w:p>
        </w:tc>
        <w:tc>
          <w:tcPr>
            <w:tcW w:w="1565" w:type="dxa"/>
          </w:tcPr>
          <w:p w14:paraId="233C21DE"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54EC0336"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418" w:type="dxa"/>
          </w:tcPr>
          <w:p w14:paraId="7D4405FB"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2</w:t>
            </w:r>
          </w:p>
        </w:tc>
        <w:tc>
          <w:tcPr>
            <w:tcW w:w="1417" w:type="dxa"/>
          </w:tcPr>
          <w:p w14:paraId="35A66672"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418" w:type="dxa"/>
          </w:tcPr>
          <w:p w14:paraId="4BB4EB6B"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w:t>
            </w:r>
          </w:p>
        </w:tc>
        <w:tc>
          <w:tcPr>
            <w:tcW w:w="1276" w:type="dxa"/>
          </w:tcPr>
          <w:p w14:paraId="76B85710"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w:t>
            </w:r>
          </w:p>
        </w:tc>
        <w:tc>
          <w:tcPr>
            <w:tcW w:w="1275" w:type="dxa"/>
          </w:tcPr>
          <w:p w14:paraId="18F0EFEF"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851" w:type="dxa"/>
          </w:tcPr>
          <w:p w14:paraId="6E3165AF"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40</w:t>
            </w:r>
          </w:p>
        </w:tc>
        <w:tc>
          <w:tcPr>
            <w:tcW w:w="850" w:type="dxa"/>
          </w:tcPr>
          <w:p w14:paraId="7816DDD0"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5.1%</w:t>
            </w:r>
          </w:p>
        </w:tc>
      </w:tr>
      <w:tr w:rsidR="00367D8E" w:rsidRPr="002D025F" w14:paraId="478E1D43" w14:textId="77777777" w:rsidTr="009A150D">
        <w:tc>
          <w:tcPr>
            <w:tcW w:w="1838" w:type="dxa"/>
          </w:tcPr>
          <w:p w14:paraId="1310FEDB" w14:textId="77777777" w:rsidR="00367D8E" w:rsidRPr="00367D8E" w:rsidRDefault="00367D8E" w:rsidP="00A75186">
            <w:pPr>
              <w:spacing w:before="40" w:after="40"/>
              <w:rPr>
                <w:rFonts w:ascii="Arial" w:hAnsi="Arial" w:cs="Arial"/>
                <w:i/>
                <w:sz w:val="19"/>
                <w:szCs w:val="19"/>
                <w:lang w:eastAsia="en-AU"/>
              </w:rPr>
            </w:pPr>
            <w:r w:rsidRPr="00367D8E">
              <w:rPr>
                <w:rFonts w:ascii="Arial" w:hAnsi="Arial" w:cs="Arial"/>
                <w:sz w:val="19"/>
                <w:szCs w:val="19"/>
                <w:lang w:eastAsia="en-AU"/>
              </w:rPr>
              <w:t>Not recorded*</w:t>
            </w:r>
          </w:p>
        </w:tc>
        <w:tc>
          <w:tcPr>
            <w:tcW w:w="1554" w:type="dxa"/>
          </w:tcPr>
          <w:p w14:paraId="0E0DCA10" w14:textId="77777777" w:rsidR="00367D8E" w:rsidRPr="002D025F" w:rsidRDefault="00033D76"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565" w:type="dxa"/>
          </w:tcPr>
          <w:p w14:paraId="420D8B9F" w14:textId="77777777" w:rsidR="00367D8E" w:rsidRPr="002D025F" w:rsidRDefault="00367D8E" w:rsidP="00A75186">
            <w:pPr>
              <w:spacing w:before="40" w:after="40"/>
              <w:jc w:val="right"/>
              <w:rPr>
                <w:rFonts w:ascii="Arial" w:hAnsi="Arial" w:cs="Arial"/>
                <w:i/>
                <w:lang w:eastAsia="en-AU"/>
              </w:rPr>
            </w:pPr>
            <w:r w:rsidRPr="00C45499">
              <w:rPr>
                <w:rFonts w:eastAsia="Times New Roman" w:cstheme="minorHAnsi"/>
                <w:sz w:val="22"/>
                <w:szCs w:val="22"/>
                <w:lang w:eastAsia="en-AU"/>
              </w:rPr>
              <w:t>—</w:t>
            </w:r>
          </w:p>
        </w:tc>
        <w:tc>
          <w:tcPr>
            <w:tcW w:w="1275" w:type="dxa"/>
          </w:tcPr>
          <w:p w14:paraId="1CB23B5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9</w:t>
            </w:r>
          </w:p>
        </w:tc>
        <w:tc>
          <w:tcPr>
            <w:tcW w:w="1418" w:type="dxa"/>
          </w:tcPr>
          <w:p w14:paraId="7C9C2823"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11</w:t>
            </w:r>
          </w:p>
        </w:tc>
        <w:tc>
          <w:tcPr>
            <w:tcW w:w="1417" w:type="dxa"/>
          </w:tcPr>
          <w:p w14:paraId="0DBCC040"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1418" w:type="dxa"/>
          </w:tcPr>
          <w:p w14:paraId="1D2822B5"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14</w:t>
            </w:r>
          </w:p>
        </w:tc>
        <w:tc>
          <w:tcPr>
            <w:tcW w:w="1276" w:type="dxa"/>
          </w:tcPr>
          <w:p w14:paraId="27C829DC"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6</w:t>
            </w:r>
          </w:p>
        </w:tc>
        <w:tc>
          <w:tcPr>
            <w:tcW w:w="1275" w:type="dxa"/>
          </w:tcPr>
          <w:p w14:paraId="44FAA7ED"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3</w:t>
            </w:r>
          </w:p>
        </w:tc>
        <w:tc>
          <w:tcPr>
            <w:tcW w:w="851" w:type="dxa"/>
          </w:tcPr>
          <w:p w14:paraId="5F09021E" w14:textId="77777777" w:rsidR="00367D8E" w:rsidRPr="002D025F" w:rsidRDefault="00367D8E" w:rsidP="00A75186">
            <w:pPr>
              <w:spacing w:before="40" w:after="40"/>
              <w:jc w:val="right"/>
              <w:rPr>
                <w:rFonts w:ascii="Arial" w:hAnsi="Arial" w:cs="Arial"/>
                <w:i/>
                <w:lang w:eastAsia="en-AU"/>
              </w:rPr>
            </w:pPr>
            <w:r>
              <w:rPr>
                <w:rFonts w:ascii="Arial" w:hAnsi="Arial" w:cs="Arial"/>
                <w:lang w:eastAsia="en-AU"/>
              </w:rPr>
              <w:t>46</w:t>
            </w:r>
          </w:p>
        </w:tc>
        <w:tc>
          <w:tcPr>
            <w:tcW w:w="850" w:type="dxa"/>
          </w:tcPr>
          <w:p w14:paraId="77A31CA0" w14:textId="77777777" w:rsidR="00367D8E" w:rsidRPr="002D025F" w:rsidRDefault="00033D76" w:rsidP="00664D17">
            <w:pPr>
              <w:spacing w:before="40" w:after="40"/>
              <w:jc w:val="right"/>
              <w:rPr>
                <w:rFonts w:ascii="Arial" w:hAnsi="Arial" w:cs="Arial"/>
                <w:i/>
                <w:lang w:eastAsia="en-AU"/>
              </w:rPr>
            </w:pPr>
            <w:r>
              <w:rPr>
                <w:rFonts w:ascii="Arial" w:hAnsi="Arial" w:cs="Arial"/>
                <w:lang w:eastAsia="en-AU"/>
              </w:rPr>
              <w:t>5.8%</w:t>
            </w:r>
          </w:p>
        </w:tc>
      </w:tr>
      <w:tr w:rsidR="00367D8E" w:rsidRPr="002D025F" w14:paraId="308566B2" w14:textId="77777777" w:rsidTr="009A150D">
        <w:trPr>
          <w:trHeight w:val="268"/>
        </w:trPr>
        <w:tc>
          <w:tcPr>
            <w:tcW w:w="1838" w:type="dxa"/>
          </w:tcPr>
          <w:p w14:paraId="320565FD" w14:textId="77777777" w:rsidR="00367D8E" w:rsidRPr="002D025F" w:rsidRDefault="00367D8E" w:rsidP="00A75186">
            <w:pPr>
              <w:spacing w:before="40" w:after="40"/>
              <w:rPr>
                <w:rFonts w:ascii="Arial" w:hAnsi="Arial" w:cs="Arial"/>
                <w:b/>
                <w:i/>
                <w:lang w:eastAsia="en-AU"/>
              </w:rPr>
            </w:pPr>
            <w:r w:rsidRPr="002D025F">
              <w:rPr>
                <w:rFonts w:ascii="Arial" w:hAnsi="Arial" w:cs="Arial"/>
                <w:b/>
                <w:lang w:eastAsia="en-AU"/>
              </w:rPr>
              <w:t>Total</w:t>
            </w:r>
          </w:p>
        </w:tc>
        <w:tc>
          <w:tcPr>
            <w:tcW w:w="1554" w:type="dxa"/>
          </w:tcPr>
          <w:p w14:paraId="14265BCD"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524</w:t>
            </w:r>
          </w:p>
        </w:tc>
        <w:tc>
          <w:tcPr>
            <w:tcW w:w="1565" w:type="dxa"/>
          </w:tcPr>
          <w:p w14:paraId="1E9C867D" w14:textId="77777777" w:rsidR="00367D8E" w:rsidRPr="00E046CF" w:rsidRDefault="00367D8E" w:rsidP="00A75186">
            <w:pPr>
              <w:spacing w:before="40" w:after="40"/>
              <w:jc w:val="right"/>
              <w:rPr>
                <w:rFonts w:ascii="Arial" w:hAnsi="Arial" w:cs="Arial"/>
                <w:b/>
                <w:i/>
                <w:lang w:eastAsia="en-AU"/>
              </w:rPr>
            </w:pPr>
            <w:r w:rsidRPr="00C45499">
              <w:rPr>
                <w:rFonts w:eastAsia="Times New Roman" w:cstheme="minorHAnsi"/>
                <w:sz w:val="22"/>
                <w:szCs w:val="22"/>
                <w:lang w:eastAsia="en-AU"/>
              </w:rPr>
              <w:t>—</w:t>
            </w:r>
          </w:p>
        </w:tc>
        <w:tc>
          <w:tcPr>
            <w:tcW w:w="1275" w:type="dxa"/>
          </w:tcPr>
          <w:p w14:paraId="75E03A08"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13</w:t>
            </w:r>
          </w:p>
        </w:tc>
        <w:tc>
          <w:tcPr>
            <w:tcW w:w="1418" w:type="dxa"/>
          </w:tcPr>
          <w:p w14:paraId="361F2FD4"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96</w:t>
            </w:r>
          </w:p>
        </w:tc>
        <w:tc>
          <w:tcPr>
            <w:tcW w:w="1417" w:type="dxa"/>
          </w:tcPr>
          <w:p w14:paraId="657AB9A5"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42</w:t>
            </w:r>
          </w:p>
        </w:tc>
        <w:tc>
          <w:tcPr>
            <w:tcW w:w="1418" w:type="dxa"/>
          </w:tcPr>
          <w:p w14:paraId="3030E2C8"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98</w:t>
            </w:r>
          </w:p>
        </w:tc>
        <w:tc>
          <w:tcPr>
            <w:tcW w:w="1276" w:type="dxa"/>
          </w:tcPr>
          <w:p w14:paraId="5E78E573"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15</w:t>
            </w:r>
          </w:p>
        </w:tc>
        <w:tc>
          <w:tcPr>
            <w:tcW w:w="1275" w:type="dxa"/>
          </w:tcPr>
          <w:p w14:paraId="5F0761F7"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3</w:t>
            </w:r>
          </w:p>
        </w:tc>
        <w:tc>
          <w:tcPr>
            <w:tcW w:w="851" w:type="dxa"/>
          </w:tcPr>
          <w:p w14:paraId="39461DDE" w14:textId="77777777" w:rsidR="00367D8E" w:rsidRPr="00E046CF" w:rsidRDefault="00367D8E" w:rsidP="00A75186">
            <w:pPr>
              <w:spacing w:before="40" w:after="40"/>
              <w:jc w:val="right"/>
              <w:rPr>
                <w:rFonts w:ascii="Arial" w:hAnsi="Arial" w:cs="Arial"/>
                <w:b/>
                <w:i/>
                <w:lang w:eastAsia="en-AU"/>
              </w:rPr>
            </w:pPr>
            <w:r>
              <w:rPr>
                <w:rFonts w:ascii="Arial" w:hAnsi="Arial" w:cs="Arial"/>
                <w:b/>
                <w:lang w:eastAsia="en-AU"/>
              </w:rPr>
              <w:t>791</w:t>
            </w:r>
          </w:p>
        </w:tc>
        <w:tc>
          <w:tcPr>
            <w:tcW w:w="850" w:type="dxa"/>
          </w:tcPr>
          <w:p w14:paraId="51F49F05" w14:textId="77777777" w:rsidR="00367D8E" w:rsidRPr="00E046CF" w:rsidRDefault="00033D76" w:rsidP="00664D17">
            <w:pPr>
              <w:spacing w:before="40" w:after="40"/>
              <w:jc w:val="right"/>
              <w:rPr>
                <w:rFonts w:ascii="Arial" w:hAnsi="Arial" w:cs="Arial"/>
                <w:b/>
                <w:i/>
                <w:lang w:eastAsia="en-AU"/>
              </w:rPr>
            </w:pPr>
            <w:r>
              <w:rPr>
                <w:rFonts w:ascii="Arial" w:hAnsi="Arial" w:cs="Arial"/>
                <w:b/>
                <w:lang w:eastAsia="en-AU"/>
              </w:rPr>
              <w:t>100%</w:t>
            </w:r>
          </w:p>
        </w:tc>
      </w:tr>
    </w:tbl>
    <w:p w14:paraId="5756D6DB" w14:textId="77777777" w:rsidR="00664D17" w:rsidRPr="00664D17" w:rsidRDefault="00664D17" w:rsidP="009B351B">
      <w:pPr>
        <w:rPr>
          <w:rFonts w:ascii="Arial" w:eastAsia="Times New Roman" w:hAnsi="Arial" w:cs="Arial"/>
          <w:i/>
          <w:color w:val="3B4E98"/>
          <w:sz w:val="2"/>
          <w:szCs w:val="2"/>
          <w:lang w:eastAsia="en-AU"/>
        </w:rPr>
      </w:pPr>
    </w:p>
    <w:p w14:paraId="07218076" w14:textId="61D22EB6" w:rsidR="009B351B" w:rsidRPr="00664D17" w:rsidRDefault="00664D17" w:rsidP="009B351B">
      <w:pPr>
        <w:rPr>
          <w:sz w:val="18"/>
          <w:lang w:eastAsia="en-AU"/>
        </w:rPr>
      </w:pPr>
      <w:r w:rsidRPr="00664D17">
        <w:rPr>
          <w:rFonts w:ascii="Arial" w:eastAsia="Times New Roman" w:hAnsi="Arial" w:cs="Arial"/>
          <w:i/>
          <w:color w:val="3B4E98"/>
          <w:sz w:val="18"/>
          <w:lang w:eastAsia="en-AU"/>
        </w:rPr>
        <w:t>Note: Only discrimination breaches require an area</w:t>
      </w:r>
    </w:p>
    <w:p w14:paraId="08C19961" w14:textId="4440DB15" w:rsidR="003D06E1" w:rsidRPr="002D025F" w:rsidRDefault="003D06E1" w:rsidP="009B351B">
      <w:pPr>
        <w:rPr>
          <w:i/>
          <w:lang w:eastAsia="en-AU"/>
        </w:rPr>
      </w:pPr>
      <w:r w:rsidRPr="002D025F">
        <w:rPr>
          <w:lang w:eastAsia="en-AU"/>
        </w:rPr>
        <w:t xml:space="preserve">Impairment discrimination continues to dominate complaints in the workplace. Table 10 shows that </w:t>
      </w:r>
      <w:r>
        <w:rPr>
          <w:lang w:eastAsia="en-AU"/>
        </w:rPr>
        <w:t>53</w:t>
      </w:r>
      <w:r w:rsidRPr="002D025F">
        <w:rPr>
          <w:lang w:eastAsia="en-AU"/>
        </w:rPr>
        <w:t xml:space="preserve">% of impairment discrimination complaints arise at work. Impairment discrimination complaints arising at work include allegations of the refusal of employment because of an applicant’s impairment, failure of employers to make reasonable adjustments to accommodate a person’s impairment, impairment-based bullying, and forced retirement because of impairment or the impact of impairment. </w:t>
      </w:r>
    </w:p>
    <w:p w14:paraId="0625C222" w14:textId="77777777" w:rsidR="003D06E1" w:rsidRPr="002D025F" w:rsidRDefault="003D06E1" w:rsidP="009B351B">
      <w:pPr>
        <w:rPr>
          <w:i/>
          <w:lang w:eastAsia="en-AU"/>
        </w:rPr>
      </w:pPr>
    </w:p>
    <w:p w14:paraId="7195460D" w14:textId="77777777" w:rsidR="003D06E1" w:rsidRDefault="003D06E1" w:rsidP="009B351B">
      <w:pPr>
        <w:rPr>
          <w:bCs/>
          <w:color w:val="808080" w:themeColor="background1" w:themeShade="80"/>
          <w:sz w:val="18"/>
          <w:szCs w:val="18"/>
        </w:rPr>
      </w:pPr>
      <w:r>
        <w:rPr>
          <w:color w:val="808080" w:themeColor="background1" w:themeShade="80"/>
        </w:rPr>
        <w:br w:type="page"/>
      </w:r>
    </w:p>
    <w:p w14:paraId="06AD474E" w14:textId="1BB16B56" w:rsidR="003D06E1" w:rsidRPr="002D025F" w:rsidRDefault="003D06E1" w:rsidP="009B351B">
      <w:pPr>
        <w:rPr>
          <w:rFonts w:eastAsia="Calibri"/>
          <w:i/>
        </w:rPr>
      </w:pPr>
      <w:r w:rsidRPr="002D025F">
        <w:rPr>
          <w:rFonts w:eastAsia="Calibri"/>
        </w:rPr>
        <w:lastRenderedPageBreak/>
        <w:t>While Table 10 clearly shows the prevalence of discrimination complaints across most grounds in the workplace, a significant number of complaints of impairment discrimination arose in connection with the provision of goods and services (</w:t>
      </w:r>
      <w:r>
        <w:rPr>
          <w:rFonts w:eastAsia="Calibri"/>
        </w:rPr>
        <w:t>21</w:t>
      </w:r>
      <w:r w:rsidRPr="002D025F">
        <w:rPr>
          <w:rFonts w:eastAsia="Calibri"/>
        </w:rPr>
        <w:t>%) which includes access to public places and buildings. Impairment (4</w:t>
      </w:r>
      <w:r>
        <w:rPr>
          <w:rFonts w:eastAsia="Calibri"/>
        </w:rPr>
        <w:t>4.7</w:t>
      </w:r>
      <w:r w:rsidRPr="002D025F">
        <w:rPr>
          <w:rFonts w:eastAsia="Calibri"/>
        </w:rPr>
        <w:t>%)</w:t>
      </w:r>
      <w:r>
        <w:rPr>
          <w:rFonts w:eastAsia="Calibri"/>
        </w:rPr>
        <w:t>, sex</w:t>
      </w:r>
      <w:r w:rsidRPr="002D025F">
        <w:rPr>
          <w:rFonts w:eastAsia="Calibri"/>
        </w:rPr>
        <w:t xml:space="preserve"> (1</w:t>
      </w:r>
      <w:r>
        <w:rPr>
          <w:rFonts w:eastAsia="Calibri"/>
        </w:rPr>
        <w:t>3.1</w:t>
      </w:r>
      <w:r w:rsidRPr="002D025F">
        <w:rPr>
          <w:rFonts w:eastAsia="Calibri"/>
        </w:rPr>
        <w:t xml:space="preserve">%) </w:t>
      </w:r>
      <w:r>
        <w:rPr>
          <w:rFonts w:eastAsia="Calibri"/>
        </w:rPr>
        <w:t xml:space="preserve">and race (11.2%) </w:t>
      </w:r>
      <w:r w:rsidRPr="002D025F">
        <w:rPr>
          <w:rFonts w:eastAsia="Calibri"/>
        </w:rPr>
        <w:t>are the most common bases for discrimination complaints across the total of all areas of complaint</w:t>
      </w:r>
      <w:r>
        <w:rPr>
          <w:rFonts w:eastAsia="Calibri"/>
        </w:rPr>
        <w:t xml:space="preserve"> consistent with last year.</w:t>
      </w:r>
      <w:r w:rsidR="00803E9C">
        <w:rPr>
          <w:rFonts w:eastAsia="Calibri"/>
        </w:rPr>
        <w:t xml:space="preserve"> </w:t>
      </w:r>
      <w:r>
        <w:rPr>
          <w:rFonts w:eastAsia="Calibri"/>
        </w:rPr>
        <w:t>26 pregnancy discrimination complaints were accepted, an increase from last year when we received only 18 complaints.</w:t>
      </w:r>
      <w:r w:rsidR="00803E9C">
        <w:rPr>
          <w:rFonts w:eastAsia="Calibri"/>
        </w:rPr>
        <w:t xml:space="preserve"> </w:t>
      </w:r>
      <w:r>
        <w:rPr>
          <w:rFonts w:eastAsia="Calibri"/>
        </w:rPr>
        <w:t xml:space="preserve">There was also an increase in the number of complaints in the area of Superannuation and Insurance from </w:t>
      </w:r>
      <w:r w:rsidR="002E550A">
        <w:rPr>
          <w:rFonts w:eastAsia="Calibri"/>
        </w:rPr>
        <w:t>two</w:t>
      </w:r>
      <w:r>
        <w:rPr>
          <w:rFonts w:eastAsia="Calibri"/>
        </w:rPr>
        <w:t xml:space="preserve"> last year to </w:t>
      </w:r>
      <w:r w:rsidR="002E550A">
        <w:rPr>
          <w:rFonts w:eastAsia="Calibri"/>
        </w:rPr>
        <w:t>six</w:t>
      </w:r>
      <w:r>
        <w:rPr>
          <w:rFonts w:eastAsia="Calibri"/>
        </w:rPr>
        <w:t xml:space="preserve"> this year.</w:t>
      </w:r>
      <w:r w:rsidR="00803E9C">
        <w:rPr>
          <w:rFonts w:eastAsia="Calibri"/>
        </w:rPr>
        <w:t xml:space="preserve"> </w:t>
      </w:r>
    </w:p>
    <w:p w14:paraId="40952213" w14:textId="77777777" w:rsidR="00397C8B" w:rsidRPr="009A150D" w:rsidRDefault="00397C8B" w:rsidP="009A150D">
      <w:pPr>
        <w:pStyle w:val="Caption"/>
      </w:pPr>
      <w:r w:rsidRPr="009A150D">
        <w:t>Table 10: State-wide accepted discrimination complaints by ground, by area</w:t>
      </w:r>
    </w:p>
    <w:tbl>
      <w:tblPr>
        <w:tblStyle w:val="TableGridLight"/>
        <w:tblpPr w:leftFromText="181" w:rightFromText="181" w:vertAnchor="text" w:horzAnchor="margin" w:tblpXSpec="center" w:tblpY="1"/>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2361"/>
        <w:gridCol w:w="1783"/>
        <w:gridCol w:w="1340"/>
        <w:gridCol w:w="1179"/>
        <w:gridCol w:w="1555"/>
        <w:gridCol w:w="1287"/>
        <w:gridCol w:w="1163"/>
        <w:gridCol w:w="889"/>
        <w:gridCol w:w="1402"/>
        <w:gridCol w:w="766"/>
        <w:gridCol w:w="849"/>
      </w:tblGrid>
      <w:tr w:rsidR="00397C8B" w:rsidRPr="00200EC1" w14:paraId="6C33E165" w14:textId="77777777" w:rsidTr="009A150D">
        <w:trPr>
          <w:trHeight w:val="420"/>
        </w:trPr>
        <w:tc>
          <w:tcPr>
            <w:tcW w:w="2361" w:type="dxa"/>
            <w:vMerge w:val="restart"/>
          </w:tcPr>
          <w:p w14:paraId="34490939" w14:textId="77777777" w:rsidR="00397C8B" w:rsidRPr="00200EC1" w:rsidRDefault="00397C8B" w:rsidP="00A75186">
            <w:pPr>
              <w:widowControl w:val="0"/>
              <w:spacing w:before="40" w:after="40"/>
              <w:jc w:val="center"/>
              <w:rPr>
                <w:rFonts w:ascii="Arial" w:hAnsi="Arial" w:cs="Arial"/>
                <w:i/>
                <w:color w:val="FF0000"/>
                <w:highlight w:val="yellow"/>
                <w:lang w:eastAsia="en-AU"/>
              </w:rPr>
            </w:pPr>
          </w:p>
        </w:tc>
        <w:tc>
          <w:tcPr>
            <w:tcW w:w="1268" w:type="dxa"/>
            <w:vMerge w:val="restart"/>
          </w:tcPr>
          <w:p w14:paraId="70F38CC5" w14:textId="48E0931B"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Accomm</w:t>
            </w:r>
            <w:r w:rsidR="009A150D">
              <w:rPr>
                <w:rFonts w:ascii="Arial" w:hAnsi="Arial" w:cs="Arial"/>
                <w:b/>
                <w:bCs/>
                <w:lang w:eastAsia="en-AU"/>
              </w:rPr>
              <w:t>odation</w:t>
            </w:r>
          </w:p>
        </w:tc>
        <w:tc>
          <w:tcPr>
            <w:tcW w:w="1340" w:type="dxa"/>
            <w:vMerge w:val="restart"/>
          </w:tcPr>
          <w:p w14:paraId="4A6C6331"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State laws &amp; programs</w:t>
            </w:r>
          </w:p>
        </w:tc>
        <w:tc>
          <w:tcPr>
            <w:tcW w:w="1179" w:type="dxa"/>
            <w:vMerge w:val="restart"/>
          </w:tcPr>
          <w:p w14:paraId="3B2631EE"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Goods &amp; services</w:t>
            </w:r>
          </w:p>
        </w:tc>
        <w:tc>
          <w:tcPr>
            <w:tcW w:w="1555" w:type="dxa"/>
            <w:vMerge w:val="restart"/>
          </w:tcPr>
          <w:p w14:paraId="43565D37"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Club membership</w:t>
            </w:r>
          </w:p>
        </w:tc>
        <w:tc>
          <w:tcPr>
            <w:tcW w:w="1287" w:type="dxa"/>
            <w:vMerge w:val="restart"/>
          </w:tcPr>
          <w:p w14:paraId="6342D414"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Super &amp; insurance</w:t>
            </w:r>
          </w:p>
        </w:tc>
        <w:tc>
          <w:tcPr>
            <w:tcW w:w="1163" w:type="dxa"/>
            <w:vMerge w:val="restart"/>
          </w:tcPr>
          <w:p w14:paraId="15CEFFF3"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Disposal of land</w:t>
            </w:r>
          </w:p>
        </w:tc>
        <w:tc>
          <w:tcPr>
            <w:tcW w:w="889" w:type="dxa"/>
            <w:vMerge w:val="restart"/>
          </w:tcPr>
          <w:p w14:paraId="413DCA58"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Work</w:t>
            </w:r>
          </w:p>
        </w:tc>
        <w:tc>
          <w:tcPr>
            <w:tcW w:w="1402" w:type="dxa"/>
            <w:vMerge w:val="restart"/>
          </w:tcPr>
          <w:p w14:paraId="7A886D3A"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Education</w:t>
            </w:r>
          </w:p>
        </w:tc>
        <w:tc>
          <w:tcPr>
            <w:tcW w:w="1615" w:type="dxa"/>
            <w:gridSpan w:val="2"/>
          </w:tcPr>
          <w:p w14:paraId="5ED3536A"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Total</w:t>
            </w:r>
          </w:p>
        </w:tc>
      </w:tr>
      <w:tr w:rsidR="00397C8B" w:rsidRPr="00200EC1" w14:paraId="3F4848A8" w14:textId="77777777" w:rsidTr="009A150D">
        <w:trPr>
          <w:trHeight w:val="292"/>
        </w:trPr>
        <w:tc>
          <w:tcPr>
            <w:tcW w:w="2361" w:type="dxa"/>
            <w:vMerge/>
          </w:tcPr>
          <w:p w14:paraId="1D5AE25E" w14:textId="77777777" w:rsidR="00397C8B" w:rsidRPr="00200EC1" w:rsidRDefault="00397C8B" w:rsidP="00A75186">
            <w:pPr>
              <w:widowControl w:val="0"/>
              <w:spacing w:before="40" w:after="40"/>
              <w:jc w:val="center"/>
              <w:rPr>
                <w:rFonts w:ascii="Arial" w:hAnsi="Arial" w:cs="Arial"/>
                <w:i/>
                <w:color w:val="FF0000"/>
                <w:highlight w:val="yellow"/>
                <w:lang w:eastAsia="en-AU"/>
              </w:rPr>
            </w:pPr>
          </w:p>
        </w:tc>
        <w:tc>
          <w:tcPr>
            <w:tcW w:w="1268" w:type="dxa"/>
            <w:vMerge/>
          </w:tcPr>
          <w:p w14:paraId="42AB0198"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340" w:type="dxa"/>
            <w:vMerge/>
          </w:tcPr>
          <w:p w14:paraId="35690F11"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179" w:type="dxa"/>
            <w:vMerge/>
          </w:tcPr>
          <w:p w14:paraId="1A73D9C4"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555" w:type="dxa"/>
            <w:vMerge/>
          </w:tcPr>
          <w:p w14:paraId="6975FED4"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287" w:type="dxa"/>
            <w:vMerge/>
          </w:tcPr>
          <w:p w14:paraId="6EBE07EB"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163" w:type="dxa"/>
            <w:vMerge/>
          </w:tcPr>
          <w:p w14:paraId="0B42BAB6"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889" w:type="dxa"/>
            <w:vMerge/>
          </w:tcPr>
          <w:p w14:paraId="1A0180CE"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1402" w:type="dxa"/>
            <w:vMerge/>
          </w:tcPr>
          <w:p w14:paraId="46B72A83" w14:textId="77777777" w:rsidR="00397C8B" w:rsidRPr="00200EC1" w:rsidRDefault="00397C8B" w:rsidP="00A75186">
            <w:pPr>
              <w:widowControl w:val="0"/>
              <w:tabs>
                <w:tab w:val="left" w:pos="2340"/>
              </w:tabs>
              <w:spacing w:before="40" w:after="40"/>
              <w:jc w:val="center"/>
              <w:rPr>
                <w:rFonts w:ascii="Arial" w:hAnsi="Arial" w:cs="Arial"/>
                <w:b/>
                <w:bCs/>
                <w:i/>
                <w:lang w:eastAsia="en-AU"/>
              </w:rPr>
            </w:pPr>
          </w:p>
        </w:tc>
        <w:tc>
          <w:tcPr>
            <w:tcW w:w="766" w:type="dxa"/>
          </w:tcPr>
          <w:p w14:paraId="7BE6CEF5" w14:textId="77777777" w:rsidR="00397C8B" w:rsidRPr="00200EC1" w:rsidRDefault="00397C8B" w:rsidP="00A75186">
            <w:pPr>
              <w:widowControl w:val="0"/>
              <w:tabs>
                <w:tab w:val="left" w:pos="2340"/>
              </w:tabs>
              <w:spacing w:before="40" w:after="40"/>
              <w:jc w:val="center"/>
              <w:rPr>
                <w:rFonts w:ascii="Arial" w:hAnsi="Arial" w:cs="Arial"/>
                <w:b/>
                <w:bCs/>
                <w:i/>
                <w:lang w:eastAsia="en-AU"/>
              </w:rPr>
            </w:pPr>
            <w:r w:rsidRPr="00200EC1">
              <w:rPr>
                <w:rFonts w:ascii="Arial" w:hAnsi="Arial" w:cs="Arial"/>
                <w:b/>
                <w:bCs/>
                <w:lang w:eastAsia="en-AU"/>
              </w:rPr>
              <w:t>#</w:t>
            </w:r>
          </w:p>
        </w:tc>
        <w:tc>
          <w:tcPr>
            <w:tcW w:w="809" w:type="dxa"/>
          </w:tcPr>
          <w:p w14:paraId="609E985E" w14:textId="77777777" w:rsidR="00397C8B" w:rsidRPr="00200EC1" w:rsidRDefault="00397C8B" w:rsidP="00A75186">
            <w:pPr>
              <w:widowControl w:val="0"/>
              <w:tabs>
                <w:tab w:val="left" w:pos="2340"/>
              </w:tabs>
              <w:spacing w:before="40" w:after="40"/>
              <w:jc w:val="center"/>
              <w:rPr>
                <w:rFonts w:ascii="Arial" w:hAnsi="Arial" w:cs="Arial"/>
                <w:b/>
                <w:bCs/>
                <w:i/>
                <w:highlight w:val="yellow"/>
                <w:lang w:eastAsia="en-AU"/>
              </w:rPr>
            </w:pPr>
            <w:r w:rsidRPr="00200EC1">
              <w:rPr>
                <w:rFonts w:ascii="Arial" w:hAnsi="Arial" w:cs="Arial"/>
                <w:b/>
                <w:bCs/>
                <w:lang w:eastAsia="en-AU"/>
              </w:rPr>
              <w:t>%</w:t>
            </w:r>
          </w:p>
        </w:tc>
      </w:tr>
      <w:tr w:rsidR="00397C8B" w:rsidRPr="00200EC1" w14:paraId="77CA1AB9" w14:textId="77777777" w:rsidTr="009A150D">
        <w:tc>
          <w:tcPr>
            <w:tcW w:w="2361" w:type="dxa"/>
          </w:tcPr>
          <w:p w14:paraId="53182E32"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Age</w:t>
            </w:r>
          </w:p>
        </w:tc>
        <w:tc>
          <w:tcPr>
            <w:tcW w:w="1268" w:type="dxa"/>
          </w:tcPr>
          <w:p w14:paraId="61B113D9"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340" w:type="dxa"/>
          </w:tcPr>
          <w:p w14:paraId="615343F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179" w:type="dxa"/>
          </w:tcPr>
          <w:p w14:paraId="52628C21"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8</w:t>
            </w:r>
          </w:p>
        </w:tc>
        <w:tc>
          <w:tcPr>
            <w:tcW w:w="1555" w:type="dxa"/>
          </w:tcPr>
          <w:p w14:paraId="29A6B970"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7C24C34B"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29650AA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889" w:type="dxa"/>
          </w:tcPr>
          <w:p w14:paraId="2455C26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29</w:t>
            </w:r>
          </w:p>
        </w:tc>
        <w:tc>
          <w:tcPr>
            <w:tcW w:w="1402" w:type="dxa"/>
          </w:tcPr>
          <w:p w14:paraId="090F527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766" w:type="dxa"/>
          </w:tcPr>
          <w:p w14:paraId="2BDC6F49"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48</w:t>
            </w:r>
          </w:p>
        </w:tc>
        <w:tc>
          <w:tcPr>
            <w:tcW w:w="809" w:type="dxa"/>
          </w:tcPr>
          <w:p w14:paraId="42A6103F"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7.5%</w:t>
            </w:r>
          </w:p>
        </w:tc>
      </w:tr>
      <w:tr w:rsidR="00397C8B" w:rsidRPr="00200EC1" w14:paraId="244526F5" w14:textId="77777777" w:rsidTr="009A150D">
        <w:tc>
          <w:tcPr>
            <w:tcW w:w="2361" w:type="dxa"/>
          </w:tcPr>
          <w:p w14:paraId="1F70233F"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Breastfeeding</w:t>
            </w:r>
          </w:p>
        </w:tc>
        <w:tc>
          <w:tcPr>
            <w:tcW w:w="1268" w:type="dxa"/>
          </w:tcPr>
          <w:p w14:paraId="2C04DB10"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5154D0F9"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3DE1CA55"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555" w:type="dxa"/>
          </w:tcPr>
          <w:p w14:paraId="1A1BEB9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3C2A732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43904A7A"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118603B7"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402" w:type="dxa"/>
          </w:tcPr>
          <w:p w14:paraId="5D492B5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5B109AB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809" w:type="dxa"/>
          </w:tcPr>
          <w:p w14:paraId="270C773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0.3%</w:t>
            </w:r>
          </w:p>
        </w:tc>
      </w:tr>
      <w:tr w:rsidR="00397C8B" w:rsidRPr="00200EC1" w14:paraId="57A5DA1F" w14:textId="77777777" w:rsidTr="009A150D">
        <w:trPr>
          <w:trHeight w:val="268"/>
        </w:trPr>
        <w:tc>
          <w:tcPr>
            <w:tcW w:w="2361" w:type="dxa"/>
          </w:tcPr>
          <w:p w14:paraId="0BF45987"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Family responsibility</w:t>
            </w:r>
          </w:p>
        </w:tc>
        <w:tc>
          <w:tcPr>
            <w:tcW w:w="1268" w:type="dxa"/>
          </w:tcPr>
          <w:p w14:paraId="381B3F5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08591E3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5DE9976C"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555" w:type="dxa"/>
          </w:tcPr>
          <w:p w14:paraId="6562E9D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1EB1D49E"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27368060"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70E7A79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42</w:t>
            </w:r>
          </w:p>
        </w:tc>
        <w:tc>
          <w:tcPr>
            <w:tcW w:w="1402" w:type="dxa"/>
          </w:tcPr>
          <w:p w14:paraId="0214EEA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766" w:type="dxa"/>
          </w:tcPr>
          <w:p w14:paraId="78132E63"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47</w:t>
            </w:r>
          </w:p>
        </w:tc>
        <w:tc>
          <w:tcPr>
            <w:tcW w:w="809" w:type="dxa"/>
          </w:tcPr>
          <w:p w14:paraId="12E78A0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7.3%</w:t>
            </w:r>
          </w:p>
        </w:tc>
      </w:tr>
      <w:tr w:rsidR="00397C8B" w:rsidRPr="00200EC1" w14:paraId="3419B6A3" w14:textId="77777777" w:rsidTr="009A150D">
        <w:tc>
          <w:tcPr>
            <w:tcW w:w="2361" w:type="dxa"/>
          </w:tcPr>
          <w:p w14:paraId="10ADB2FA"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Gender identity</w:t>
            </w:r>
          </w:p>
        </w:tc>
        <w:tc>
          <w:tcPr>
            <w:tcW w:w="1268" w:type="dxa"/>
          </w:tcPr>
          <w:p w14:paraId="72B7E0E2"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133B238F"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1179" w:type="dxa"/>
          </w:tcPr>
          <w:p w14:paraId="5ECFD653"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555" w:type="dxa"/>
          </w:tcPr>
          <w:p w14:paraId="665E22E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446D5E84"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32CFD80D"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6AA04C5A"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402" w:type="dxa"/>
          </w:tcPr>
          <w:p w14:paraId="229E0C89"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766" w:type="dxa"/>
          </w:tcPr>
          <w:p w14:paraId="2453B691"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10</w:t>
            </w:r>
          </w:p>
        </w:tc>
        <w:tc>
          <w:tcPr>
            <w:tcW w:w="809" w:type="dxa"/>
          </w:tcPr>
          <w:p w14:paraId="3A8FA780" w14:textId="589F81AA"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r w:rsidR="00A52EC7" w:rsidRPr="00200EC1">
              <w:rPr>
                <w:rFonts w:ascii="Arial" w:hAnsi="Arial" w:cs="Arial"/>
                <w:lang w:eastAsia="en-AU"/>
              </w:rPr>
              <w:t>6</w:t>
            </w:r>
            <w:r w:rsidRPr="00200EC1">
              <w:rPr>
                <w:rFonts w:ascii="Arial" w:hAnsi="Arial" w:cs="Arial"/>
                <w:lang w:eastAsia="en-AU"/>
              </w:rPr>
              <w:t>%</w:t>
            </w:r>
          </w:p>
        </w:tc>
      </w:tr>
      <w:tr w:rsidR="00397C8B" w:rsidRPr="00200EC1" w14:paraId="26B4474E" w14:textId="77777777" w:rsidTr="009A150D">
        <w:tc>
          <w:tcPr>
            <w:tcW w:w="2361" w:type="dxa"/>
          </w:tcPr>
          <w:p w14:paraId="59805C96"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Impairment</w:t>
            </w:r>
          </w:p>
        </w:tc>
        <w:tc>
          <w:tcPr>
            <w:tcW w:w="1268" w:type="dxa"/>
          </w:tcPr>
          <w:p w14:paraId="2C6CCA6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26</w:t>
            </w:r>
          </w:p>
        </w:tc>
        <w:tc>
          <w:tcPr>
            <w:tcW w:w="1340" w:type="dxa"/>
          </w:tcPr>
          <w:p w14:paraId="649C7D3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22</w:t>
            </w:r>
          </w:p>
        </w:tc>
        <w:tc>
          <w:tcPr>
            <w:tcW w:w="1179" w:type="dxa"/>
          </w:tcPr>
          <w:p w14:paraId="627CBDF6"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60</w:t>
            </w:r>
          </w:p>
        </w:tc>
        <w:tc>
          <w:tcPr>
            <w:tcW w:w="1555" w:type="dxa"/>
          </w:tcPr>
          <w:p w14:paraId="6690606E"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4BD0428A"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163" w:type="dxa"/>
          </w:tcPr>
          <w:p w14:paraId="0F95752A"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889" w:type="dxa"/>
          </w:tcPr>
          <w:p w14:paraId="73BC753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153</w:t>
            </w:r>
          </w:p>
        </w:tc>
        <w:tc>
          <w:tcPr>
            <w:tcW w:w="1402" w:type="dxa"/>
          </w:tcPr>
          <w:p w14:paraId="1FEAB314"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24</w:t>
            </w:r>
          </w:p>
        </w:tc>
        <w:tc>
          <w:tcPr>
            <w:tcW w:w="766" w:type="dxa"/>
          </w:tcPr>
          <w:p w14:paraId="09E4BAF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287</w:t>
            </w:r>
          </w:p>
        </w:tc>
        <w:tc>
          <w:tcPr>
            <w:tcW w:w="809" w:type="dxa"/>
          </w:tcPr>
          <w:p w14:paraId="26E47DA1" w14:textId="55AEB19A" w:rsidR="00397C8B" w:rsidRPr="00200EC1" w:rsidRDefault="0081460E" w:rsidP="00A52EC7">
            <w:pPr>
              <w:widowControl w:val="0"/>
              <w:spacing w:before="40" w:after="40"/>
              <w:jc w:val="right"/>
              <w:rPr>
                <w:rFonts w:ascii="Arial" w:hAnsi="Arial" w:cs="Arial"/>
                <w:i/>
                <w:lang w:eastAsia="en-AU"/>
              </w:rPr>
            </w:pPr>
            <w:r w:rsidRPr="00200EC1">
              <w:rPr>
                <w:rFonts w:ascii="Arial" w:hAnsi="Arial" w:cs="Arial"/>
                <w:lang w:eastAsia="en-AU"/>
              </w:rPr>
              <w:t>44.</w:t>
            </w:r>
            <w:r w:rsidR="00A52EC7" w:rsidRPr="00200EC1">
              <w:rPr>
                <w:rFonts w:ascii="Arial" w:hAnsi="Arial" w:cs="Arial"/>
                <w:lang w:eastAsia="en-AU"/>
              </w:rPr>
              <w:t>9</w:t>
            </w:r>
            <w:r w:rsidRPr="00200EC1">
              <w:rPr>
                <w:rFonts w:ascii="Arial" w:hAnsi="Arial" w:cs="Arial"/>
                <w:lang w:eastAsia="en-AU"/>
              </w:rPr>
              <w:t>%</w:t>
            </w:r>
          </w:p>
        </w:tc>
      </w:tr>
      <w:tr w:rsidR="00397C8B" w:rsidRPr="00200EC1" w14:paraId="5645531A" w14:textId="77777777" w:rsidTr="009A150D">
        <w:trPr>
          <w:trHeight w:val="268"/>
        </w:trPr>
        <w:tc>
          <w:tcPr>
            <w:tcW w:w="2361" w:type="dxa"/>
          </w:tcPr>
          <w:p w14:paraId="6D204F8E"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Lawful sexual activity</w:t>
            </w:r>
          </w:p>
        </w:tc>
        <w:tc>
          <w:tcPr>
            <w:tcW w:w="1268" w:type="dxa"/>
          </w:tcPr>
          <w:p w14:paraId="0B98DAB9"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020BA07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13186E2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555" w:type="dxa"/>
          </w:tcPr>
          <w:p w14:paraId="2B4644A8"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41C4A8E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308FEDB9"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1C9FA33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402" w:type="dxa"/>
          </w:tcPr>
          <w:p w14:paraId="3344E94B"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75B6AF3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809" w:type="dxa"/>
          </w:tcPr>
          <w:p w14:paraId="7C6BFFE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0.5%</w:t>
            </w:r>
          </w:p>
        </w:tc>
      </w:tr>
      <w:tr w:rsidR="00397C8B" w:rsidRPr="00200EC1" w14:paraId="44A93916" w14:textId="77777777" w:rsidTr="009A150D">
        <w:tc>
          <w:tcPr>
            <w:tcW w:w="2361" w:type="dxa"/>
          </w:tcPr>
          <w:p w14:paraId="3C91F4F9"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Parental status</w:t>
            </w:r>
          </w:p>
        </w:tc>
        <w:tc>
          <w:tcPr>
            <w:tcW w:w="1268" w:type="dxa"/>
          </w:tcPr>
          <w:p w14:paraId="466FB6D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340" w:type="dxa"/>
          </w:tcPr>
          <w:p w14:paraId="46C653C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41882AC5"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555" w:type="dxa"/>
          </w:tcPr>
          <w:p w14:paraId="1FDD939F"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1274FC41"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2CFDF3A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2578FD53"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12</w:t>
            </w:r>
          </w:p>
        </w:tc>
        <w:tc>
          <w:tcPr>
            <w:tcW w:w="1402" w:type="dxa"/>
          </w:tcPr>
          <w:p w14:paraId="2D9B20B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3342AB8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14</w:t>
            </w:r>
          </w:p>
        </w:tc>
        <w:tc>
          <w:tcPr>
            <w:tcW w:w="809" w:type="dxa"/>
          </w:tcPr>
          <w:p w14:paraId="1FBA2EFC"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2.2%</w:t>
            </w:r>
          </w:p>
        </w:tc>
      </w:tr>
      <w:tr w:rsidR="00397C8B" w:rsidRPr="00200EC1" w14:paraId="09F90837" w14:textId="77777777" w:rsidTr="009A150D">
        <w:tc>
          <w:tcPr>
            <w:tcW w:w="2361" w:type="dxa"/>
          </w:tcPr>
          <w:p w14:paraId="2AFFDC08"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Political belief/activity</w:t>
            </w:r>
          </w:p>
        </w:tc>
        <w:tc>
          <w:tcPr>
            <w:tcW w:w="1268" w:type="dxa"/>
          </w:tcPr>
          <w:p w14:paraId="34A8ECF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4F983D5D"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179" w:type="dxa"/>
          </w:tcPr>
          <w:p w14:paraId="1E76ED0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555" w:type="dxa"/>
          </w:tcPr>
          <w:p w14:paraId="536F1F7F"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691826B2"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5E917984"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0DEFAAA7"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402" w:type="dxa"/>
          </w:tcPr>
          <w:p w14:paraId="3E72792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489E6E49"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9</w:t>
            </w:r>
          </w:p>
        </w:tc>
        <w:tc>
          <w:tcPr>
            <w:tcW w:w="809" w:type="dxa"/>
          </w:tcPr>
          <w:p w14:paraId="00F9CB4D"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1.4%</w:t>
            </w:r>
          </w:p>
        </w:tc>
      </w:tr>
      <w:tr w:rsidR="00397C8B" w:rsidRPr="00200EC1" w14:paraId="5C297F18" w14:textId="77777777" w:rsidTr="009A150D">
        <w:trPr>
          <w:trHeight w:val="268"/>
        </w:trPr>
        <w:tc>
          <w:tcPr>
            <w:tcW w:w="2361" w:type="dxa"/>
          </w:tcPr>
          <w:p w14:paraId="31BCE526"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Pregnancy</w:t>
            </w:r>
          </w:p>
        </w:tc>
        <w:tc>
          <w:tcPr>
            <w:tcW w:w="1268" w:type="dxa"/>
          </w:tcPr>
          <w:p w14:paraId="36AFA681"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340" w:type="dxa"/>
          </w:tcPr>
          <w:p w14:paraId="0B936DD5"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31E940C6"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555" w:type="dxa"/>
          </w:tcPr>
          <w:p w14:paraId="5C66AED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6A4E4FCF"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5958B301"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3AD82267"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24</w:t>
            </w:r>
          </w:p>
        </w:tc>
        <w:tc>
          <w:tcPr>
            <w:tcW w:w="1402" w:type="dxa"/>
          </w:tcPr>
          <w:p w14:paraId="10AC989F"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4867BF03"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26</w:t>
            </w:r>
          </w:p>
        </w:tc>
        <w:tc>
          <w:tcPr>
            <w:tcW w:w="809" w:type="dxa"/>
          </w:tcPr>
          <w:p w14:paraId="4F17B93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r w:rsidR="00A52EC7" w:rsidRPr="00200EC1">
              <w:rPr>
                <w:rFonts w:ascii="Arial" w:hAnsi="Arial" w:cs="Arial"/>
                <w:lang w:eastAsia="en-AU"/>
              </w:rPr>
              <w:t>.1</w:t>
            </w:r>
            <w:r w:rsidRPr="00200EC1">
              <w:rPr>
                <w:rFonts w:ascii="Arial" w:hAnsi="Arial" w:cs="Arial"/>
                <w:lang w:eastAsia="en-AU"/>
              </w:rPr>
              <w:t>%</w:t>
            </w:r>
          </w:p>
        </w:tc>
      </w:tr>
      <w:tr w:rsidR="00397C8B" w:rsidRPr="00200EC1" w14:paraId="20E8E0EF" w14:textId="77777777" w:rsidTr="009A150D">
        <w:tc>
          <w:tcPr>
            <w:tcW w:w="2361" w:type="dxa"/>
          </w:tcPr>
          <w:p w14:paraId="3EFDAF2F"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Race</w:t>
            </w:r>
          </w:p>
        </w:tc>
        <w:tc>
          <w:tcPr>
            <w:tcW w:w="1268" w:type="dxa"/>
          </w:tcPr>
          <w:p w14:paraId="2536746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6</w:t>
            </w:r>
          </w:p>
        </w:tc>
        <w:tc>
          <w:tcPr>
            <w:tcW w:w="1340" w:type="dxa"/>
          </w:tcPr>
          <w:p w14:paraId="351C03C2"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6</w:t>
            </w:r>
          </w:p>
        </w:tc>
        <w:tc>
          <w:tcPr>
            <w:tcW w:w="1179" w:type="dxa"/>
          </w:tcPr>
          <w:p w14:paraId="0EC904B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23</w:t>
            </w:r>
          </w:p>
        </w:tc>
        <w:tc>
          <w:tcPr>
            <w:tcW w:w="1555" w:type="dxa"/>
          </w:tcPr>
          <w:p w14:paraId="50C7A9A4"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16C3D06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711E8808"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3B5596D7"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32</w:t>
            </w:r>
          </w:p>
        </w:tc>
        <w:tc>
          <w:tcPr>
            <w:tcW w:w="1402" w:type="dxa"/>
          </w:tcPr>
          <w:p w14:paraId="5D887A5D"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5</w:t>
            </w:r>
          </w:p>
        </w:tc>
        <w:tc>
          <w:tcPr>
            <w:tcW w:w="766" w:type="dxa"/>
          </w:tcPr>
          <w:p w14:paraId="57CB2DD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72</w:t>
            </w:r>
          </w:p>
        </w:tc>
        <w:tc>
          <w:tcPr>
            <w:tcW w:w="809" w:type="dxa"/>
          </w:tcPr>
          <w:p w14:paraId="28AA1B5F" w14:textId="28D0EC50"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11.</w:t>
            </w:r>
            <w:r w:rsidR="00A52EC7" w:rsidRPr="00200EC1">
              <w:rPr>
                <w:rFonts w:ascii="Arial" w:hAnsi="Arial" w:cs="Arial"/>
                <w:lang w:eastAsia="en-AU"/>
              </w:rPr>
              <w:t>3</w:t>
            </w:r>
            <w:r w:rsidRPr="00200EC1">
              <w:rPr>
                <w:rFonts w:ascii="Arial" w:hAnsi="Arial" w:cs="Arial"/>
                <w:lang w:eastAsia="en-AU"/>
              </w:rPr>
              <w:t>%</w:t>
            </w:r>
          </w:p>
        </w:tc>
      </w:tr>
      <w:tr w:rsidR="00397C8B" w:rsidRPr="00200EC1" w14:paraId="21C32C0A" w14:textId="77777777" w:rsidTr="009A150D">
        <w:tc>
          <w:tcPr>
            <w:tcW w:w="2361" w:type="dxa"/>
          </w:tcPr>
          <w:p w14:paraId="2109E700"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Relationship status</w:t>
            </w:r>
          </w:p>
        </w:tc>
        <w:tc>
          <w:tcPr>
            <w:tcW w:w="1268" w:type="dxa"/>
          </w:tcPr>
          <w:p w14:paraId="13EFAAFE"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6C7F8A64"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179" w:type="dxa"/>
          </w:tcPr>
          <w:p w14:paraId="73ED206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555" w:type="dxa"/>
          </w:tcPr>
          <w:p w14:paraId="6B00F5D8"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1EE44500"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3637C946"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153145B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402" w:type="dxa"/>
          </w:tcPr>
          <w:p w14:paraId="1E4C5BAB"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72656EF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6</w:t>
            </w:r>
          </w:p>
        </w:tc>
        <w:tc>
          <w:tcPr>
            <w:tcW w:w="809" w:type="dxa"/>
          </w:tcPr>
          <w:p w14:paraId="385EA3EA"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0.9%</w:t>
            </w:r>
          </w:p>
        </w:tc>
      </w:tr>
      <w:tr w:rsidR="00397C8B" w:rsidRPr="00200EC1" w14:paraId="5B3BB403" w14:textId="77777777" w:rsidTr="009A150D">
        <w:trPr>
          <w:trHeight w:val="268"/>
        </w:trPr>
        <w:tc>
          <w:tcPr>
            <w:tcW w:w="2361" w:type="dxa"/>
          </w:tcPr>
          <w:p w14:paraId="577D41EA"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Religion</w:t>
            </w:r>
          </w:p>
        </w:tc>
        <w:tc>
          <w:tcPr>
            <w:tcW w:w="1268" w:type="dxa"/>
          </w:tcPr>
          <w:p w14:paraId="7B569661"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43D4086A"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1179" w:type="dxa"/>
          </w:tcPr>
          <w:p w14:paraId="3853AA0B"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1555" w:type="dxa"/>
          </w:tcPr>
          <w:p w14:paraId="7CAF322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6824BB71"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6437C8D2"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4B201A46"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9</w:t>
            </w:r>
          </w:p>
        </w:tc>
        <w:tc>
          <w:tcPr>
            <w:tcW w:w="1402" w:type="dxa"/>
          </w:tcPr>
          <w:p w14:paraId="299CBE2E"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7D38C0E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14</w:t>
            </w:r>
          </w:p>
        </w:tc>
        <w:tc>
          <w:tcPr>
            <w:tcW w:w="809" w:type="dxa"/>
          </w:tcPr>
          <w:p w14:paraId="054C4D3C"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2.2%</w:t>
            </w:r>
          </w:p>
        </w:tc>
      </w:tr>
      <w:tr w:rsidR="00397C8B" w:rsidRPr="00200EC1" w14:paraId="5B5CD9D8" w14:textId="77777777" w:rsidTr="009A150D">
        <w:tc>
          <w:tcPr>
            <w:tcW w:w="2361" w:type="dxa"/>
          </w:tcPr>
          <w:p w14:paraId="1C75C04B"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Sex</w:t>
            </w:r>
          </w:p>
        </w:tc>
        <w:tc>
          <w:tcPr>
            <w:tcW w:w="1268" w:type="dxa"/>
          </w:tcPr>
          <w:p w14:paraId="6C5EB19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340" w:type="dxa"/>
          </w:tcPr>
          <w:p w14:paraId="07D0F955"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179" w:type="dxa"/>
          </w:tcPr>
          <w:p w14:paraId="76F9D9F6"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5</w:t>
            </w:r>
          </w:p>
        </w:tc>
        <w:tc>
          <w:tcPr>
            <w:tcW w:w="1555" w:type="dxa"/>
          </w:tcPr>
          <w:p w14:paraId="6A2BB96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2A73F118"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3CF4EF4D"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1B8D1EB0"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75</w:t>
            </w:r>
          </w:p>
        </w:tc>
        <w:tc>
          <w:tcPr>
            <w:tcW w:w="1402" w:type="dxa"/>
          </w:tcPr>
          <w:p w14:paraId="0FDF04E1"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w:t>
            </w:r>
          </w:p>
        </w:tc>
        <w:tc>
          <w:tcPr>
            <w:tcW w:w="766" w:type="dxa"/>
          </w:tcPr>
          <w:p w14:paraId="79CAF564"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84</w:t>
            </w:r>
          </w:p>
        </w:tc>
        <w:tc>
          <w:tcPr>
            <w:tcW w:w="809" w:type="dxa"/>
          </w:tcPr>
          <w:p w14:paraId="7A34EC5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13.1%</w:t>
            </w:r>
          </w:p>
        </w:tc>
      </w:tr>
      <w:tr w:rsidR="00397C8B" w:rsidRPr="00200EC1" w14:paraId="48230D27" w14:textId="77777777" w:rsidTr="009A150D">
        <w:tc>
          <w:tcPr>
            <w:tcW w:w="2361" w:type="dxa"/>
          </w:tcPr>
          <w:p w14:paraId="141E0B83"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Sexuality</w:t>
            </w:r>
          </w:p>
        </w:tc>
        <w:tc>
          <w:tcPr>
            <w:tcW w:w="1268" w:type="dxa"/>
          </w:tcPr>
          <w:p w14:paraId="5FAC6479"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73976586"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w:t>
            </w:r>
          </w:p>
        </w:tc>
        <w:tc>
          <w:tcPr>
            <w:tcW w:w="1179" w:type="dxa"/>
          </w:tcPr>
          <w:p w14:paraId="121EB14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4</w:t>
            </w:r>
          </w:p>
        </w:tc>
        <w:tc>
          <w:tcPr>
            <w:tcW w:w="1555" w:type="dxa"/>
          </w:tcPr>
          <w:p w14:paraId="3E83C45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6010056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61AB8140"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0B8A6FBC"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9</w:t>
            </w:r>
          </w:p>
        </w:tc>
        <w:tc>
          <w:tcPr>
            <w:tcW w:w="1402" w:type="dxa"/>
          </w:tcPr>
          <w:p w14:paraId="58ED3FF5"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20BB90D8"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14</w:t>
            </w:r>
          </w:p>
        </w:tc>
        <w:tc>
          <w:tcPr>
            <w:tcW w:w="809" w:type="dxa"/>
          </w:tcPr>
          <w:p w14:paraId="56B06517"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2.2%</w:t>
            </w:r>
          </w:p>
        </w:tc>
      </w:tr>
      <w:tr w:rsidR="00397C8B" w:rsidRPr="00200EC1" w14:paraId="0DE6B7DB" w14:textId="77777777" w:rsidTr="009A150D">
        <w:trPr>
          <w:trHeight w:val="268"/>
        </w:trPr>
        <w:tc>
          <w:tcPr>
            <w:tcW w:w="2361" w:type="dxa"/>
          </w:tcPr>
          <w:p w14:paraId="03BC7D4B" w14:textId="77777777" w:rsidR="00397C8B" w:rsidRPr="00200EC1" w:rsidRDefault="00397C8B" w:rsidP="00A75186">
            <w:pPr>
              <w:widowControl w:val="0"/>
              <w:spacing w:before="40" w:after="40"/>
              <w:rPr>
                <w:rFonts w:ascii="Arial" w:hAnsi="Arial" w:cs="Arial"/>
                <w:i/>
                <w:lang w:eastAsia="en-AU"/>
              </w:rPr>
            </w:pPr>
            <w:r w:rsidRPr="00200EC1">
              <w:rPr>
                <w:rFonts w:ascii="Arial" w:hAnsi="Arial" w:cs="Arial"/>
                <w:lang w:eastAsia="en-AU"/>
              </w:rPr>
              <w:t>Trade union activity</w:t>
            </w:r>
          </w:p>
        </w:tc>
        <w:tc>
          <w:tcPr>
            <w:tcW w:w="1268" w:type="dxa"/>
          </w:tcPr>
          <w:p w14:paraId="711F5DD7"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340" w:type="dxa"/>
          </w:tcPr>
          <w:p w14:paraId="5B5FF8C4"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79" w:type="dxa"/>
          </w:tcPr>
          <w:p w14:paraId="0BD75431"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555" w:type="dxa"/>
          </w:tcPr>
          <w:p w14:paraId="5EC59F3C"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287" w:type="dxa"/>
          </w:tcPr>
          <w:p w14:paraId="5E7AACEB"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1163" w:type="dxa"/>
          </w:tcPr>
          <w:p w14:paraId="23489155"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889" w:type="dxa"/>
          </w:tcPr>
          <w:p w14:paraId="31FC3B2D"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1402" w:type="dxa"/>
          </w:tcPr>
          <w:p w14:paraId="34770A43" w14:textId="77777777" w:rsidR="00397C8B" w:rsidRPr="00200EC1" w:rsidRDefault="0081460E" w:rsidP="00A75186">
            <w:pPr>
              <w:widowControl w:val="0"/>
              <w:spacing w:before="40" w:after="40"/>
              <w:jc w:val="right"/>
              <w:rPr>
                <w:rFonts w:ascii="Arial" w:hAnsi="Arial" w:cs="Arial"/>
                <w:i/>
                <w:lang w:eastAsia="en-AU"/>
              </w:rPr>
            </w:pPr>
            <w:r w:rsidRPr="00200EC1">
              <w:rPr>
                <w:rFonts w:eastAsia="Times New Roman" w:cstheme="minorHAnsi"/>
                <w:lang w:eastAsia="en-AU"/>
              </w:rPr>
              <w:t>—</w:t>
            </w:r>
          </w:p>
        </w:tc>
        <w:tc>
          <w:tcPr>
            <w:tcW w:w="766" w:type="dxa"/>
          </w:tcPr>
          <w:p w14:paraId="55D168CE"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3</w:t>
            </w:r>
          </w:p>
        </w:tc>
        <w:tc>
          <w:tcPr>
            <w:tcW w:w="809" w:type="dxa"/>
          </w:tcPr>
          <w:p w14:paraId="5DAE9714" w14:textId="77777777" w:rsidR="00397C8B" w:rsidRPr="00200EC1" w:rsidRDefault="0081460E" w:rsidP="00A75186">
            <w:pPr>
              <w:widowControl w:val="0"/>
              <w:spacing w:before="40" w:after="40"/>
              <w:jc w:val="right"/>
              <w:rPr>
                <w:rFonts w:ascii="Arial" w:hAnsi="Arial" w:cs="Arial"/>
                <w:i/>
                <w:lang w:eastAsia="en-AU"/>
              </w:rPr>
            </w:pPr>
            <w:r w:rsidRPr="00200EC1">
              <w:rPr>
                <w:rFonts w:ascii="Arial" w:hAnsi="Arial" w:cs="Arial"/>
                <w:lang w:eastAsia="en-AU"/>
              </w:rPr>
              <w:t>0.5%</w:t>
            </w:r>
          </w:p>
        </w:tc>
      </w:tr>
      <w:tr w:rsidR="00397C8B" w:rsidRPr="00200EC1" w14:paraId="2E87E78C" w14:textId="77777777" w:rsidTr="009A150D">
        <w:tc>
          <w:tcPr>
            <w:tcW w:w="2361" w:type="dxa"/>
          </w:tcPr>
          <w:p w14:paraId="6727FB03" w14:textId="77777777" w:rsidR="00397C8B" w:rsidRPr="00200EC1" w:rsidRDefault="00397C8B" w:rsidP="00A75186">
            <w:pPr>
              <w:widowControl w:val="0"/>
              <w:spacing w:before="40" w:after="40"/>
              <w:rPr>
                <w:rFonts w:ascii="Arial" w:hAnsi="Arial" w:cs="Arial"/>
                <w:b/>
                <w:i/>
                <w:lang w:eastAsia="en-AU"/>
              </w:rPr>
            </w:pPr>
            <w:r w:rsidRPr="00200EC1">
              <w:rPr>
                <w:rFonts w:ascii="Arial" w:hAnsi="Arial" w:cs="Arial"/>
                <w:b/>
                <w:lang w:eastAsia="en-AU"/>
              </w:rPr>
              <w:t>Total</w:t>
            </w:r>
          </w:p>
        </w:tc>
        <w:tc>
          <w:tcPr>
            <w:tcW w:w="1268" w:type="dxa"/>
          </w:tcPr>
          <w:p w14:paraId="03D5939C"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40</w:t>
            </w:r>
          </w:p>
        </w:tc>
        <w:tc>
          <w:tcPr>
            <w:tcW w:w="1340" w:type="dxa"/>
          </w:tcPr>
          <w:p w14:paraId="338C8244"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41</w:t>
            </w:r>
          </w:p>
        </w:tc>
        <w:tc>
          <w:tcPr>
            <w:tcW w:w="1179" w:type="dxa"/>
          </w:tcPr>
          <w:p w14:paraId="306E4631"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116</w:t>
            </w:r>
          </w:p>
        </w:tc>
        <w:tc>
          <w:tcPr>
            <w:tcW w:w="1555" w:type="dxa"/>
          </w:tcPr>
          <w:p w14:paraId="11879753" w14:textId="77777777" w:rsidR="00397C8B" w:rsidRPr="00200EC1" w:rsidRDefault="0081460E" w:rsidP="00A75186">
            <w:pPr>
              <w:widowControl w:val="0"/>
              <w:spacing w:before="40" w:after="40"/>
              <w:jc w:val="right"/>
              <w:rPr>
                <w:rFonts w:ascii="Arial" w:hAnsi="Arial" w:cs="Arial"/>
                <w:b/>
                <w:i/>
                <w:lang w:eastAsia="en-AU"/>
              </w:rPr>
            </w:pPr>
            <w:r w:rsidRPr="00200EC1">
              <w:rPr>
                <w:rFonts w:eastAsia="Times New Roman" w:cstheme="minorHAnsi"/>
                <w:lang w:eastAsia="en-AU"/>
              </w:rPr>
              <w:t>—</w:t>
            </w:r>
          </w:p>
        </w:tc>
        <w:tc>
          <w:tcPr>
            <w:tcW w:w="1287" w:type="dxa"/>
          </w:tcPr>
          <w:p w14:paraId="19C5169C"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1</w:t>
            </w:r>
          </w:p>
        </w:tc>
        <w:tc>
          <w:tcPr>
            <w:tcW w:w="1163" w:type="dxa"/>
          </w:tcPr>
          <w:p w14:paraId="39010EC7"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4</w:t>
            </w:r>
          </w:p>
        </w:tc>
        <w:tc>
          <w:tcPr>
            <w:tcW w:w="889" w:type="dxa"/>
          </w:tcPr>
          <w:p w14:paraId="78A0B34B"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402</w:t>
            </w:r>
          </w:p>
        </w:tc>
        <w:tc>
          <w:tcPr>
            <w:tcW w:w="1402" w:type="dxa"/>
          </w:tcPr>
          <w:p w14:paraId="480B3DA1"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35</w:t>
            </w:r>
          </w:p>
        </w:tc>
        <w:tc>
          <w:tcPr>
            <w:tcW w:w="766" w:type="dxa"/>
          </w:tcPr>
          <w:p w14:paraId="72482D37"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639</w:t>
            </w:r>
          </w:p>
        </w:tc>
        <w:tc>
          <w:tcPr>
            <w:tcW w:w="809" w:type="dxa"/>
          </w:tcPr>
          <w:p w14:paraId="55FB8E1E" w14:textId="77777777" w:rsidR="00397C8B" w:rsidRPr="00200EC1" w:rsidRDefault="0081460E" w:rsidP="00A75186">
            <w:pPr>
              <w:widowControl w:val="0"/>
              <w:spacing w:before="40" w:after="40"/>
              <w:jc w:val="right"/>
              <w:rPr>
                <w:rFonts w:ascii="Arial" w:hAnsi="Arial" w:cs="Arial"/>
                <w:b/>
                <w:i/>
                <w:lang w:eastAsia="en-AU"/>
              </w:rPr>
            </w:pPr>
            <w:r w:rsidRPr="00200EC1">
              <w:rPr>
                <w:rFonts w:ascii="Arial" w:hAnsi="Arial" w:cs="Arial"/>
                <w:b/>
                <w:lang w:eastAsia="en-AU"/>
              </w:rPr>
              <w:t>100%</w:t>
            </w:r>
          </w:p>
        </w:tc>
      </w:tr>
    </w:tbl>
    <w:p w14:paraId="2ECAA6C0" w14:textId="77777777" w:rsidR="00397C8B" w:rsidRPr="002D025F" w:rsidRDefault="00397C8B" w:rsidP="00A75186">
      <w:pPr>
        <w:spacing w:after="240" w:line="240" w:lineRule="auto"/>
        <w:rPr>
          <w:rFonts w:ascii="Arial" w:hAnsi="Arial" w:cs="Arial"/>
          <w:b/>
          <w:i/>
          <w:sz w:val="24"/>
          <w:szCs w:val="22"/>
        </w:rPr>
      </w:pPr>
    </w:p>
    <w:p w14:paraId="765B49C6" w14:textId="77777777" w:rsidR="008A30A6" w:rsidRDefault="008A30A6" w:rsidP="00321242">
      <w:pPr>
        <w:pStyle w:val="Heading2"/>
      </w:pPr>
    </w:p>
    <w:p w14:paraId="0B577862" w14:textId="77777777" w:rsidR="009A150D" w:rsidRDefault="009A150D">
      <w:pPr>
        <w:rPr>
          <w:rFonts w:ascii="Century Gothic" w:hAnsi="Century Gothic" w:cstheme="minorHAnsi"/>
          <w:color w:val="3B4E98"/>
          <w:sz w:val="32"/>
          <w:szCs w:val="22"/>
        </w:rPr>
      </w:pPr>
      <w:r>
        <w:br w:type="page"/>
      </w:r>
    </w:p>
    <w:p w14:paraId="2F6BD2C4" w14:textId="7A5E3656" w:rsidR="00397C8B" w:rsidRPr="002D025F" w:rsidRDefault="00397C8B" w:rsidP="00321242">
      <w:pPr>
        <w:pStyle w:val="Heading2"/>
        <w:rPr>
          <w:sz w:val="22"/>
          <w:lang w:eastAsia="en-AU"/>
        </w:rPr>
      </w:pPr>
      <w:r w:rsidRPr="002D025F">
        <w:lastRenderedPageBreak/>
        <w:t>Settlement of complaints</w:t>
      </w:r>
      <w:r w:rsidRPr="002D025F">
        <w:rPr>
          <w:sz w:val="22"/>
          <w:lang w:eastAsia="en-AU"/>
        </w:rPr>
        <w:t xml:space="preserve"> </w:t>
      </w:r>
    </w:p>
    <w:p w14:paraId="568179D3" w14:textId="77777777" w:rsidR="003D06E1" w:rsidRPr="002D025F" w:rsidRDefault="003D06E1" w:rsidP="00200EC1">
      <w:pPr>
        <w:rPr>
          <w:i/>
          <w:lang w:eastAsia="en-AU"/>
        </w:rPr>
      </w:pPr>
      <w:r w:rsidRPr="002D025F">
        <w:rPr>
          <w:lang w:eastAsia="en-AU"/>
        </w:rPr>
        <w:t xml:space="preserve">Conciliators at the Commission assist parties to resolve complaints under the </w:t>
      </w:r>
      <w:r w:rsidRPr="0067689A">
        <w:rPr>
          <w:i/>
          <w:lang w:eastAsia="en-AU"/>
        </w:rPr>
        <w:t>Anti-Discrimination Act 1991</w:t>
      </w:r>
      <w:r w:rsidRPr="002D025F">
        <w:rPr>
          <w:lang w:eastAsia="en-AU"/>
        </w:rPr>
        <w:t xml:space="preserve">. The conciliation conference allows the parties to explore each other’s perspective on the issues, identifying what they may have in common, and discuss options for settling the complaint. </w:t>
      </w:r>
    </w:p>
    <w:p w14:paraId="402B7E93" w14:textId="69DF3D9C" w:rsidR="003D06E1" w:rsidRDefault="003D06E1" w:rsidP="00200EC1">
      <w:pPr>
        <w:rPr>
          <w:i/>
          <w:lang w:eastAsia="en-AU"/>
        </w:rPr>
      </w:pPr>
      <w:r w:rsidRPr="002D025F">
        <w:rPr>
          <w:lang w:eastAsia="en-AU"/>
        </w:rPr>
        <w:t>This year saw the settlement rate of 53.</w:t>
      </w:r>
      <w:r>
        <w:rPr>
          <w:lang w:eastAsia="en-AU"/>
        </w:rPr>
        <w:t>8</w:t>
      </w:r>
      <w:r w:rsidRPr="002D025F">
        <w:rPr>
          <w:lang w:eastAsia="en-AU"/>
        </w:rPr>
        <w:t>%</w:t>
      </w:r>
      <w:r>
        <w:rPr>
          <w:lang w:eastAsia="en-AU"/>
        </w:rPr>
        <w:t>,</w:t>
      </w:r>
      <w:r w:rsidRPr="002D025F">
        <w:rPr>
          <w:lang w:eastAsia="en-AU"/>
        </w:rPr>
        <w:t xml:space="preserve"> </w:t>
      </w:r>
      <w:r>
        <w:rPr>
          <w:lang w:eastAsia="en-AU"/>
        </w:rPr>
        <w:t>the same percentage as last year.</w:t>
      </w:r>
      <w:r w:rsidR="00803E9C">
        <w:rPr>
          <w:lang w:eastAsia="en-AU"/>
        </w:rPr>
        <w:t xml:space="preserve"> </w:t>
      </w:r>
      <w:r>
        <w:rPr>
          <w:lang w:eastAsia="en-AU"/>
        </w:rPr>
        <w:t>This is slightly below the Commission’s target of 55%</w:t>
      </w:r>
      <w:r w:rsidR="00A52EC7">
        <w:rPr>
          <w:lang w:eastAsia="en-AU"/>
        </w:rPr>
        <w:t>;</w:t>
      </w:r>
      <w:r>
        <w:rPr>
          <w:lang w:eastAsia="en-AU"/>
        </w:rPr>
        <w:t xml:space="preserve"> however</w:t>
      </w:r>
      <w:r w:rsidR="00A52EC7">
        <w:rPr>
          <w:lang w:eastAsia="en-AU"/>
        </w:rPr>
        <w:t>,</w:t>
      </w:r>
      <w:r>
        <w:rPr>
          <w:lang w:eastAsia="en-AU"/>
        </w:rPr>
        <w:t xml:space="preserve"> this settlement rate demonstrates that </w:t>
      </w:r>
      <w:r w:rsidR="00A52EC7">
        <w:rPr>
          <w:lang w:eastAsia="en-AU"/>
        </w:rPr>
        <w:t>our</w:t>
      </w:r>
      <w:r>
        <w:rPr>
          <w:lang w:eastAsia="en-AU"/>
        </w:rPr>
        <w:t xml:space="preserve"> conciliators continue their commitment to helping parties reach settlement, in a busy client-focused environment.</w:t>
      </w:r>
      <w:r w:rsidR="00803E9C">
        <w:rPr>
          <w:lang w:eastAsia="en-AU"/>
        </w:rPr>
        <w:t xml:space="preserve"> </w:t>
      </w:r>
    </w:p>
    <w:p w14:paraId="5FA3AEF5" w14:textId="77777777" w:rsidR="003D06E1" w:rsidRDefault="003D06E1" w:rsidP="00200EC1">
      <w:pPr>
        <w:rPr>
          <w:i/>
          <w:lang w:eastAsia="en-AU"/>
        </w:rPr>
      </w:pPr>
      <w:r>
        <w:rPr>
          <w:lang w:eastAsia="en-AU"/>
        </w:rPr>
        <w:t>Referrals to QIRC continued this year for all work-related matters.</w:t>
      </w:r>
      <w:r w:rsidR="00803E9C">
        <w:rPr>
          <w:lang w:eastAsia="en-AU"/>
        </w:rPr>
        <w:t xml:space="preserve"> </w:t>
      </w:r>
      <w:r>
        <w:rPr>
          <w:lang w:eastAsia="en-AU"/>
        </w:rPr>
        <w:t>105 complaints were referred to QIRC (an increase from 98 last year).</w:t>
      </w:r>
      <w:r w:rsidR="00803E9C">
        <w:rPr>
          <w:lang w:eastAsia="en-AU"/>
        </w:rPr>
        <w:t xml:space="preserve"> </w:t>
      </w:r>
      <w:r>
        <w:rPr>
          <w:lang w:eastAsia="en-AU"/>
        </w:rPr>
        <w:t>52 non-work related complaints were referred to QCAT, a significant increase from the previous year’s 39 referrals.</w:t>
      </w:r>
      <w:r w:rsidR="00803E9C">
        <w:rPr>
          <w:lang w:eastAsia="en-AU"/>
        </w:rPr>
        <w:t xml:space="preserve"> </w:t>
      </w:r>
    </w:p>
    <w:p w14:paraId="257BD9E0" w14:textId="1A95A3F1" w:rsidR="00397C8B" w:rsidRPr="002D025F" w:rsidRDefault="003D06E1" w:rsidP="00200EC1">
      <w:pPr>
        <w:rPr>
          <w:i/>
          <w:lang w:eastAsia="en-AU"/>
        </w:rPr>
      </w:pPr>
      <w:r>
        <w:rPr>
          <w:lang w:eastAsia="en-AU"/>
        </w:rPr>
        <w:t>Overall, there were 157 complaints referred to QIRC or QCAT, an increase from 137 the previous year.</w:t>
      </w:r>
      <w:r w:rsidR="00803E9C">
        <w:rPr>
          <w:lang w:eastAsia="en-AU"/>
        </w:rPr>
        <w:t xml:space="preserve"> </w:t>
      </w:r>
      <w:r>
        <w:rPr>
          <w:lang w:eastAsia="en-AU"/>
        </w:rPr>
        <w:t>This reflects the increase in overall complaint numbers and also a slight increase in the referral rate to 31.8%, from last year’s referral rate of 30.5%.</w:t>
      </w:r>
      <w:r w:rsidR="00803E9C">
        <w:rPr>
          <w:lang w:eastAsia="en-AU"/>
        </w:rPr>
        <w:t xml:space="preserve"> </w:t>
      </w:r>
      <w:r>
        <w:rPr>
          <w:lang w:eastAsia="en-AU"/>
        </w:rPr>
        <w:t xml:space="preserve">25 (5.1%) complainants withdrew their complaints and 34 (6.9%) accepted complaints were unconciliated but not referred. This meant that overall 68.2% of accepted complaints </w:t>
      </w:r>
      <w:r w:rsidR="00A52EC7">
        <w:rPr>
          <w:lang w:eastAsia="en-AU"/>
        </w:rPr>
        <w:t xml:space="preserve">were finalised </w:t>
      </w:r>
      <w:r>
        <w:rPr>
          <w:lang w:eastAsia="en-AU"/>
        </w:rPr>
        <w:t>within the Commission, below the target of 75%.</w:t>
      </w:r>
      <w:r w:rsidR="00803E9C">
        <w:rPr>
          <w:lang w:eastAsia="en-AU"/>
        </w:rPr>
        <w:t xml:space="preserve"> </w:t>
      </w:r>
      <w:r w:rsidR="00A52EC7">
        <w:rPr>
          <w:lang w:eastAsia="en-AU"/>
        </w:rPr>
        <w:t>We</w:t>
      </w:r>
      <w:r>
        <w:rPr>
          <w:lang w:eastAsia="en-AU"/>
        </w:rPr>
        <w:t xml:space="preserve"> continue to focus on resolving complaints between parties and to finalis</w:t>
      </w:r>
      <w:r w:rsidR="004936B8">
        <w:rPr>
          <w:lang w:eastAsia="en-AU"/>
        </w:rPr>
        <w:t>ing</w:t>
      </w:r>
      <w:r>
        <w:rPr>
          <w:lang w:eastAsia="en-AU"/>
        </w:rPr>
        <w:t xml:space="preserve"> matters within the Commission</w:t>
      </w:r>
      <w:r w:rsidR="00A52EC7">
        <w:rPr>
          <w:lang w:eastAsia="en-AU"/>
        </w:rPr>
        <w:t>;</w:t>
      </w:r>
      <w:r>
        <w:rPr>
          <w:lang w:eastAsia="en-AU"/>
        </w:rPr>
        <w:t xml:space="preserve"> however</w:t>
      </w:r>
      <w:r w:rsidR="00A52EC7">
        <w:rPr>
          <w:lang w:eastAsia="en-AU"/>
        </w:rPr>
        <w:t>,</w:t>
      </w:r>
      <w:r>
        <w:rPr>
          <w:lang w:eastAsia="en-AU"/>
        </w:rPr>
        <w:t xml:space="preserve"> there has been a </w:t>
      </w:r>
      <w:r w:rsidR="00A52EC7">
        <w:rPr>
          <w:lang w:eastAsia="en-AU"/>
        </w:rPr>
        <w:t xml:space="preserve">growing </w:t>
      </w:r>
      <w:r>
        <w:rPr>
          <w:lang w:eastAsia="en-AU"/>
        </w:rPr>
        <w:t>tendency for complainants to seek referral of unconciliated complaints</w:t>
      </w:r>
      <w:r w:rsidR="00803E9C">
        <w:rPr>
          <w:lang w:eastAsia="en-AU"/>
        </w:rPr>
        <w:t xml:space="preserve"> </w:t>
      </w:r>
      <w:r>
        <w:rPr>
          <w:lang w:eastAsia="en-AU"/>
        </w:rPr>
        <w:t>than they have historically which is predominantly outside the Commission’</w:t>
      </w:r>
      <w:r w:rsidR="004936B8">
        <w:rPr>
          <w:lang w:eastAsia="en-AU"/>
        </w:rPr>
        <w:t>s</w:t>
      </w:r>
      <w:r>
        <w:rPr>
          <w:lang w:eastAsia="en-AU"/>
        </w:rPr>
        <w:t xml:space="preserve"> control</w:t>
      </w:r>
      <w:r w:rsidR="00A52EC7">
        <w:rPr>
          <w:lang w:eastAsia="en-AU"/>
        </w:rPr>
        <w:t>.</w:t>
      </w:r>
    </w:p>
    <w:p w14:paraId="1B623D4B" w14:textId="7044D9D6" w:rsidR="00397C8B" w:rsidRPr="002D025F" w:rsidRDefault="00397C8B" w:rsidP="00200EC1">
      <w:pPr>
        <w:pStyle w:val="Caption"/>
      </w:pPr>
      <w:r w:rsidRPr="002D025F">
        <w:t xml:space="preserve">Table </w:t>
      </w:r>
      <w:r w:rsidR="00200EC1">
        <w:t>1</w:t>
      </w:r>
      <w:r w:rsidRPr="002D025F">
        <w:t>1: State-wide outcomes for accepted complaints by region</w:t>
      </w:r>
    </w:p>
    <w:tbl>
      <w:tblPr>
        <w:tblStyle w:val="TableGridLight"/>
        <w:tblpPr w:leftFromText="181" w:rightFromText="181" w:vertAnchor="text" w:horzAnchor="margin" w:tblpY="1"/>
        <w:tblW w:w="12242" w:type="dxa"/>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3279"/>
        <w:gridCol w:w="1540"/>
        <w:gridCol w:w="1126"/>
        <w:gridCol w:w="950"/>
        <w:gridCol w:w="1365"/>
        <w:gridCol w:w="1478"/>
        <w:gridCol w:w="2504"/>
      </w:tblGrid>
      <w:tr w:rsidR="00397C8B" w:rsidRPr="002D025F" w14:paraId="53014CA4" w14:textId="77777777" w:rsidTr="009A150D">
        <w:trPr>
          <w:trHeight w:val="420"/>
        </w:trPr>
        <w:tc>
          <w:tcPr>
            <w:tcW w:w="3193" w:type="dxa"/>
            <w:vMerge w:val="restart"/>
          </w:tcPr>
          <w:p w14:paraId="22D634B3" w14:textId="77777777" w:rsidR="00397C8B" w:rsidRPr="002D025F" w:rsidRDefault="00397C8B" w:rsidP="00200EC1">
            <w:pPr>
              <w:rPr>
                <w:color w:val="FF0000"/>
                <w:szCs w:val="22"/>
                <w:lang w:eastAsia="en-AU"/>
              </w:rPr>
            </w:pPr>
            <w:bookmarkStart w:id="25" w:name="_Toc334451190"/>
          </w:p>
        </w:tc>
        <w:tc>
          <w:tcPr>
            <w:tcW w:w="1500" w:type="dxa"/>
            <w:vMerge w:val="restart"/>
          </w:tcPr>
          <w:p w14:paraId="0EB07153" w14:textId="77777777" w:rsidR="00397C8B" w:rsidRPr="002D025F" w:rsidRDefault="00397C8B" w:rsidP="00200EC1">
            <w:pPr>
              <w:rPr>
                <w:b/>
                <w:bCs/>
                <w:i/>
                <w:szCs w:val="22"/>
                <w:lang w:eastAsia="en-AU"/>
              </w:rPr>
            </w:pPr>
            <w:r w:rsidRPr="002D025F">
              <w:rPr>
                <w:b/>
                <w:bCs/>
                <w:szCs w:val="22"/>
                <w:lang w:eastAsia="en-AU"/>
              </w:rPr>
              <w:t>South-East</w:t>
            </w:r>
          </w:p>
        </w:tc>
        <w:tc>
          <w:tcPr>
            <w:tcW w:w="1097" w:type="dxa"/>
            <w:vMerge w:val="restart"/>
          </w:tcPr>
          <w:p w14:paraId="21F83CC5" w14:textId="77777777" w:rsidR="00397C8B" w:rsidRPr="002D025F" w:rsidRDefault="00397C8B" w:rsidP="00200EC1">
            <w:pPr>
              <w:rPr>
                <w:b/>
                <w:bCs/>
                <w:i/>
                <w:szCs w:val="22"/>
                <w:lang w:eastAsia="en-AU"/>
              </w:rPr>
            </w:pPr>
            <w:r w:rsidRPr="002D025F">
              <w:rPr>
                <w:b/>
                <w:bCs/>
                <w:szCs w:val="22"/>
                <w:lang w:eastAsia="en-AU"/>
              </w:rPr>
              <w:t>Central</w:t>
            </w:r>
          </w:p>
        </w:tc>
        <w:tc>
          <w:tcPr>
            <w:tcW w:w="925" w:type="dxa"/>
            <w:vMerge w:val="restart"/>
          </w:tcPr>
          <w:p w14:paraId="4B400D35" w14:textId="77777777" w:rsidR="00397C8B" w:rsidRPr="002D025F" w:rsidRDefault="00397C8B" w:rsidP="00200EC1">
            <w:pPr>
              <w:rPr>
                <w:b/>
                <w:bCs/>
                <w:i/>
                <w:szCs w:val="22"/>
                <w:lang w:eastAsia="en-AU"/>
              </w:rPr>
            </w:pPr>
            <w:r w:rsidRPr="002D025F">
              <w:rPr>
                <w:b/>
                <w:bCs/>
                <w:szCs w:val="22"/>
                <w:lang w:eastAsia="en-AU"/>
              </w:rPr>
              <w:t>North</w:t>
            </w:r>
          </w:p>
        </w:tc>
        <w:tc>
          <w:tcPr>
            <w:tcW w:w="1329" w:type="dxa"/>
            <w:vMerge w:val="restart"/>
          </w:tcPr>
          <w:p w14:paraId="73479A92" w14:textId="77777777" w:rsidR="00397C8B" w:rsidRPr="002D025F" w:rsidRDefault="00397C8B" w:rsidP="00200EC1">
            <w:pPr>
              <w:rPr>
                <w:b/>
                <w:bCs/>
                <w:i/>
                <w:szCs w:val="22"/>
                <w:lang w:eastAsia="en-AU"/>
              </w:rPr>
            </w:pPr>
            <w:r w:rsidRPr="002D025F">
              <w:rPr>
                <w:b/>
                <w:bCs/>
                <w:szCs w:val="22"/>
                <w:lang w:eastAsia="en-AU"/>
              </w:rPr>
              <w:t>Far North</w:t>
            </w:r>
          </w:p>
        </w:tc>
        <w:tc>
          <w:tcPr>
            <w:tcW w:w="1439" w:type="dxa"/>
            <w:vMerge w:val="restart"/>
          </w:tcPr>
          <w:p w14:paraId="1D01B798" w14:textId="77777777" w:rsidR="00397C8B" w:rsidRPr="002D025F" w:rsidRDefault="00397C8B" w:rsidP="00200EC1">
            <w:pPr>
              <w:rPr>
                <w:b/>
                <w:bCs/>
                <w:i/>
                <w:szCs w:val="22"/>
                <w:lang w:eastAsia="en-AU"/>
              </w:rPr>
            </w:pPr>
            <w:r w:rsidRPr="002D025F">
              <w:rPr>
                <w:b/>
                <w:bCs/>
                <w:szCs w:val="22"/>
                <w:lang w:eastAsia="en-AU"/>
              </w:rPr>
              <w:t>State-wide</w:t>
            </w:r>
          </w:p>
        </w:tc>
        <w:tc>
          <w:tcPr>
            <w:tcW w:w="2439" w:type="dxa"/>
            <w:vMerge w:val="restart"/>
          </w:tcPr>
          <w:p w14:paraId="65ED1310" w14:textId="77777777" w:rsidR="00397C8B" w:rsidRPr="002D025F" w:rsidRDefault="00397C8B" w:rsidP="00200EC1">
            <w:pPr>
              <w:rPr>
                <w:b/>
                <w:bCs/>
                <w:i/>
                <w:szCs w:val="22"/>
                <w:lang w:eastAsia="en-AU"/>
              </w:rPr>
            </w:pPr>
            <w:r w:rsidRPr="002D025F">
              <w:rPr>
                <w:b/>
                <w:bCs/>
                <w:szCs w:val="22"/>
                <w:lang w:eastAsia="en-AU"/>
              </w:rPr>
              <w:t>% Outcome for accepted complaints state-wide</w:t>
            </w:r>
          </w:p>
        </w:tc>
      </w:tr>
      <w:tr w:rsidR="00397C8B" w:rsidRPr="002D025F" w14:paraId="036B16F4" w14:textId="77777777" w:rsidTr="009A150D">
        <w:trPr>
          <w:trHeight w:val="349"/>
        </w:trPr>
        <w:tc>
          <w:tcPr>
            <w:tcW w:w="3193" w:type="dxa"/>
            <w:vMerge/>
          </w:tcPr>
          <w:p w14:paraId="73E604C5" w14:textId="77777777" w:rsidR="00397C8B" w:rsidRPr="002D025F" w:rsidRDefault="00397C8B" w:rsidP="00200EC1">
            <w:pPr>
              <w:rPr>
                <w:color w:val="FF0000"/>
                <w:szCs w:val="22"/>
                <w:lang w:eastAsia="en-AU"/>
              </w:rPr>
            </w:pPr>
          </w:p>
        </w:tc>
        <w:tc>
          <w:tcPr>
            <w:tcW w:w="1500" w:type="dxa"/>
            <w:vMerge/>
          </w:tcPr>
          <w:p w14:paraId="5A51E78F" w14:textId="77777777" w:rsidR="00397C8B" w:rsidRPr="002D025F" w:rsidRDefault="00397C8B" w:rsidP="00200EC1">
            <w:pPr>
              <w:rPr>
                <w:b/>
                <w:bCs/>
                <w:i/>
                <w:szCs w:val="22"/>
                <w:lang w:eastAsia="en-AU"/>
              </w:rPr>
            </w:pPr>
          </w:p>
        </w:tc>
        <w:tc>
          <w:tcPr>
            <w:tcW w:w="1097" w:type="dxa"/>
            <w:vMerge/>
          </w:tcPr>
          <w:p w14:paraId="132D4BAB" w14:textId="77777777" w:rsidR="00397C8B" w:rsidRPr="002D025F" w:rsidRDefault="00397C8B" w:rsidP="00200EC1">
            <w:pPr>
              <w:rPr>
                <w:b/>
                <w:bCs/>
                <w:i/>
                <w:szCs w:val="22"/>
                <w:lang w:eastAsia="en-AU"/>
              </w:rPr>
            </w:pPr>
          </w:p>
        </w:tc>
        <w:tc>
          <w:tcPr>
            <w:tcW w:w="925" w:type="dxa"/>
            <w:vMerge/>
          </w:tcPr>
          <w:p w14:paraId="4BBC961E" w14:textId="77777777" w:rsidR="00397C8B" w:rsidRPr="002D025F" w:rsidRDefault="00397C8B" w:rsidP="00200EC1">
            <w:pPr>
              <w:rPr>
                <w:b/>
                <w:bCs/>
                <w:i/>
                <w:szCs w:val="22"/>
                <w:lang w:eastAsia="en-AU"/>
              </w:rPr>
            </w:pPr>
          </w:p>
        </w:tc>
        <w:tc>
          <w:tcPr>
            <w:tcW w:w="1329" w:type="dxa"/>
            <w:vMerge/>
          </w:tcPr>
          <w:p w14:paraId="1CD7E32E" w14:textId="77777777" w:rsidR="00397C8B" w:rsidRPr="002D025F" w:rsidRDefault="00397C8B" w:rsidP="00200EC1">
            <w:pPr>
              <w:rPr>
                <w:b/>
                <w:bCs/>
                <w:i/>
                <w:szCs w:val="22"/>
                <w:lang w:eastAsia="en-AU"/>
              </w:rPr>
            </w:pPr>
          </w:p>
        </w:tc>
        <w:tc>
          <w:tcPr>
            <w:tcW w:w="1439" w:type="dxa"/>
            <w:vMerge/>
          </w:tcPr>
          <w:p w14:paraId="21330CDE" w14:textId="77777777" w:rsidR="00397C8B" w:rsidRPr="002D025F" w:rsidRDefault="00397C8B" w:rsidP="00200EC1">
            <w:pPr>
              <w:rPr>
                <w:b/>
                <w:bCs/>
                <w:i/>
                <w:szCs w:val="22"/>
                <w:lang w:eastAsia="en-AU"/>
              </w:rPr>
            </w:pPr>
          </w:p>
        </w:tc>
        <w:tc>
          <w:tcPr>
            <w:tcW w:w="2439" w:type="dxa"/>
            <w:vMerge/>
          </w:tcPr>
          <w:p w14:paraId="3E815A1E" w14:textId="77777777" w:rsidR="00397C8B" w:rsidRPr="002D025F" w:rsidRDefault="00397C8B" w:rsidP="00200EC1">
            <w:pPr>
              <w:rPr>
                <w:b/>
                <w:bCs/>
                <w:i/>
                <w:szCs w:val="22"/>
                <w:lang w:eastAsia="en-AU"/>
              </w:rPr>
            </w:pPr>
          </w:p>
        </w:tc>
      </w:tr>
      <w:tr w:rsidR="00397C8B" w:rsidRPr="002D025F" w14:paraId="0DE825B5" w14:textId="77777777" w:rsidTr="009A150D">
        <w:tc>
          <w:tcPr>
            <w:tcW w:w="3193" w:type="dxa"/>
          </w:tcPr>
          <w:p w14:paraId="3E5C5141" w14:textId="77777777" w:rsidR="00397C8B" w:rsidRPr="002D025F" w:rsidRDefault="00397C8B" w:rsidP="00200EC1">
            <w:pPr>
              <w:rPr>
                <w:i/>
                <w:szCs w:val="22"/>
                <w:lang w:eastAsia="en-AU"/>
              </w:rPr>
            </w:pPr>
            <w:r w:rsidRPr="002D025F">
              <w:rPr>
                <w:szCs w:val="22"/>
                <w:lang w:eastAsia="en-AU"/>
              </w:rPr>
              <w:t>Conciliated</w:t>
            </w:r>
          </w:p>
        </w:tc>
        <w:tc>
          <w:tcPr>
            <w:tcW w:w="1500" w:type="dxa"/>
          </w:tcPr>
          <w:p w14:paraId="76A5F072" w14:textId="77777777" w:rsidR="00397C8B" w:rsidRPr="002D025F" w:rsidRDefault="003D06E1" w:rsidP="00200EC1">
            <w:pPr>
              <w:rPr>
                <w:i/>
                <w:szCs w:val="22"/>
                <w:lang w:eastAsia="en-AU"/>
              </w:rPr>
            </w:pPr>
            <w:r>
              <w:rPr>
                <w:szCs w:val="22"/>
                <w:lang w:eastAsia="en-AU"/>
              </w:rPr>
              <w:t>132</w:t>
            </w:r>
          </w:p>
        </w:tc>
        <w:tc>
          <w:tcPr>
            <w:tcW w:w="1097" w:type="dxa"/>
          </w:tcPr>
          <w:p w14:paraId="57062A57" w14:textId="77777777" w:rsidR="00397C8B" w:rsidRPr="002D025F" w:rsidRDefault="003D06E1" w:rsidP="00200EC1">
            <w:pPr>
              <w:rPr>
                <w:i/>
                <w:szCs w:val="22"/>
                <w:lang w:eastAsia="en-AU"/>
              </w:rPr>
            </w:pPr>
            <w:r>
              <w:rPr>
                <w:szCs w:val="22"/>
                <w:lang w:eastAsia="en-AU"/>
              </w:rPr>
              <w:t>41</w:t>
            </w:r>
          </w:p>
        </w:tc>
        <w:tc>
          <w:tcPr>
            <w:tcW w:w="925" w:type="dxa"/>
          </w:tcPr>
          <w:p w14:paraId="22933F39" w14:textId="77777777" w:rsidR="00397C8B" w:rsidRPr="002D025F" w:rsidRDefault="003D06E1" w:rsidP="00200EC1">
            <w:pPr>
              <w:rPr>
                <w:i/>
                <w:szCs w:val="22"/>
                <w:lang w:eastAsia="en-AU"/>
              </w:rPr>
            </w:pPr>
            <w:r>
              <w:rPr>
                <w:szCs w:val="22"/>
                <w:lang w:eastAsia="en-AU"/>
              </w:rPr>
              <w:t>37</w:t>
            </w:r>
          </w:p>
        </w:tc>
        <w:tc>
          <w:tcPr>
            <w:tcW w:w="1329" w:type="dxa"/>
          </w:tcPr>
          <w:p w14:paraId="05ED2B9A" w14:textId="77777777" w:rsidR="00397C8B" w:rsidRPr="002D025F" w:rsidRDefault="003D06E1" w:rsidP="00200EC1">
            <w:pPr>
              <w:rPr>
                <w:i/>
                <w:szCs w:val="22"/>
                <w:lang w:eastAsia="en-AU"/>
              </w:rPr>
            </w:pPr>
            <w:r>
              <w:rPr>
                <w:szCs w:val="22"/>
                <w:lang w:eastAsia="en-AU"/>
              </w:rPr>
              <w:t>56</w:t>
            </w:r>
          </w:p>
        </w:tc>
        <w:tc>
          <w:tcPr>
            <w:tcW w:w="1439" w:type="dxa"/>
          </w:tcPr>
          <w:p w14:paraId="76AE67C4" w14:textId="77777777" w:rsidR="00397C8B" w:rsidRPr="002D025F" w:rsidRDefault="003D06E1" w:rsidP="00200EC1">
            <w:pPr>
              <w:rPr>
                <w:i/>
                <w:szCs w:val="22"/>
                <w:lang w:eastAsia="en-AU"/>
              </w:rPr>
            </w:pPr>
            <w:r>
              <w:rPr>
                <w:szCs w:val="22"/>
                <w:lang w:eastAsia="en-AU"/>
              </w:rPr>
              <w:t>266</w:t>
            </w:r>
          </w:p>
        </w:tc>
        <w:tc>
          <w:tcPr>
            <w:tcW w:w="2439" w:type="dxa"/>
          </w:tcPr>
          <w:p w14:paraId="1BCFCC95" w14:textId="77777777" w:rsidR="00397C8B" w:rsidRPr="002D025F" w:rsidRDefault="003D06E1" w:rsidP="00200EC1">
            <w:pPr>
              <w:rPr>
                <w:i/>
                <w:szCs w:val="22"/>
                <w:lang w:eastAsia="en-AU"/>
              </w:rPr>
            </w:pPr>
            <w:r>
              <w:rPr>
                <w:szCs w:val="22"/>
                <w:lang w:eastAsia="en-AU"/>
              </w:rPr>
              <w:t>53.8%</w:t>
            </w:r>
          </w:p>
        </w:tc>
      </w:tr>
      <w:tr w:rsidR="00397C8B" w:rsidRPr="002D025F" w14:paraId="5E6C6372" w14:textId="77777777" w:rsidTr="009A150D">
        <w:tc>
          <w:tcPr>
            <w:tcW w:w="3193" w:type="dxa"/>
          </w:tcPr>
          <w:p w14:paraId="1DFB3F5D" w14:textId="77777777" w:rsidR="00397C8B" w:rsidRPr="002D025F" w:rsidRDefault="00397C8B" w:rsidP="00200EC1">
            <w:pPr>
              <w:rPr>
                <w:i/>
                <w:szCs w:val="22"/>
                <w:lang w:eastAsia="en-AU"/>
              </w:rPr>
            </w:pPr>
            <w:r w:rsidRPr="002D025F">
              <w:rPr>
                <w:szCs w:val="22"/>
                <w:lang w:eastAsia="en-AU"/>
              </w:rPr>
              <w:t>Lost contact (s169)</w:t>
            </w:r>
          </w:p>
        </w:tc>
        <w:tc>
          <w:tcPr>
            <w:tcW w:w="1500" w:type="dxa"/>
          </w:tcPr>
          <w:p w14:paraId="4ABA8583" w14:textId="77777777" w:rsidR="00397C8B" w:rsidRPr="002D025F" w:rsidRDefault="003D06E1" w:rsidP="00200EC1">
            <w:pPr>
              <w:rPr>
                <w:i/>
                <w:szCs w:val="22"/>
                <w:lang w:eastAsia="en-AU"/>
              </w:rPr>
            </w:pPr>
            <w:r>
              <w:rPr>
                <w:szCs w:val="22"/>
                <w:lang w:eastAsia="en-AU"/>
              </w:rPr>
              <w:t>4</w:t>
            </w:r>
          </w:p>
        </w:tc>
        <w:tc>
          <w:tcPr>
            <w:tcW w:w="1097" w:type="dxa"/>
          </w:tcPr>
          <w:p w14:paraId="70A0CB4D" w14:textId="77777777" w:rsidR="00397C8B" w:rsidRPr="002D025F" w:rsidRDefault="003D06E1" w:rsidP="00200EC1">
            <w:pPr>
              <w:rPr>
                <w:i/>
                <w:szCs w:val="22"/>
                <w:lang w:eastAsia="en-AU"/>
              </w:rPr>
            </w:pPr>
            <w:r>
              <w:rPr>
                <w:szCs w:val="22"/>
                <w:lang w:eastAsia="en-AU"/>
              </w:rPr>
              <w:t>2</w:t>
            </w:r>
          </w:p>
        </w:tc>
        <w:tc>
          <w:tcPr>
            <w:tcW w:w="925" w:type="dxa"/>
          </w:tcPr>
          <w:p w14:paraId="63A44B92" w14:textId="77777777" w:rsidR="00397C8B" w:rsidRPr="002D025F" w:rsidRDefault="003D06E1" w:rsidP="00200EC1">
            <w:pPr>
              <w:rPr>
                <w:i/>
                <w:szCs w:val="22"/>
                <w:lang w:eastAsia="en-AU"/>
              </w:rPr>
            </w:pPr>
            <w:r>
              <w:rPr>
                <w:szCs w:val="22"/>
                <w:lang w:eastAsia="en-AU"/>
              </w:rPr>
              <w:t>1</w:t>
            </w:r>
          </w:p>
        </w:tc>
        <w:tc>
          <w:tcPr>
            <w:tcW w:w="1329" w:type="dxa"/>
          </w:tcPr>
          <w:p w14:paraId="30F410F5" w14:textId="77777777" w:rsidR="00397C8B" w:rsidRPr="002D025F" w:rsidRDefault="003D06E1" w:rsidP="00200EC1">
            <w:pPr>
              <w:rPr>
                <w:i/>
                <w:szCs w:val="22"/>
                <w:lang w:eastAsia="en-AU"/>
              </w:rPr>
            </w:pPr>
            <w:r>
              <w:rPr>
                <w:szCs w:val="22"/>
                <w:lang w:eastAsia="en-AU"/>
              </w:rPr>
              <w:t>3</w:t>
            </w:r>
          </w:p>
        </w:tc>
        <w:tc>
          <w:tcPr>
            <w:tcW w:w="1439" w:type="dxa"/>
          </w:tcPr>
          <w:p w14:paraId="1E3B5695" w14:textId="77777777" w:rsidR="00397C8B" w:rsidRPr="002D025F" w:rsidRDefault="003D06E1" w:rsidP="00200EC1">
            <w:pPr>
              <w:rPr>
                <w:i/>
                <w:szCs w:val="22"/>
                <w:lang w:eastAsia="en-AU"/>
              </w:rPr>
            </w:pPr>
            <w:r>
              <w:rPr>
                <w:szCs w:val="22"/>
                <w:lang w:eastAsia="en-AU"/>
              </w:rPr>
              <w:t>10</w:t>
            </w:r>
          </w:p>
        </w:tc>
        <w:tc>
          <w:tcPr>
            <w:tcW w:w="2439" w:type="dxa"/>
          </w:tcPr>
          <w:p w14:paraId="657541DB" w14:textId="77777777" w:rsidR="00397C8B" w:rsidRPr="002D025F" w:rsidRDefault="003D06E1" w:rsidP="00200EC1">
            <w:pPr>
              <w:rPr>
                <w:i/>
                <w:szCs w:val="22"/>
                <w:lang w:eastAsia="en-AU"/>
              </w:rPr>
            </w:pPr>
            <w:r>
              <w:rPr>
                <w:szCs w:val="22"/>
                <w:lang w:eastAsia="en-AU"/>
              </w:rPr>
              <w:t>2%</w:t>
            </w:r>
          </w:p>
        </w:tc>
      </w:tr>
      <w:tr w:rsidR="00397C8B" w:rsidRPr="002D025F" w14:paraId="01AA9A8E" w14:textId="77777777" w:rsidTr="009A150D">
        <w:trPr>
          <w:trHeight w:val="268"/>
        </w:trPr>
        <w:tc>
          <w:tcPr>
            <w:tcW w:w="3193" w:type="dxa"/>
          </w:tcPr>
          <w:p w14:paraId="7F2FF409" w14:textId="77777777" w:rsidR="00397C8B" w:rsidRPr="002D025F" w:rsidRDefault="00397C8B" w:rsidP="00200EC1">
            <w:pPr>
              <w:rPr>
                <w:i/>
                <w:szCs w:val="22"/>
                <w:lang w:eastAsia="en-AU"/>
              </w:rPr>
            </w:pPr>
            <w:r w:rsidRPr="002D025F">
              <w:rPr>
                <w:szCs w:val="22"/>
                <w:lang w:eastAsia="en-AU"/>
              </w:rPr>
              <w:t>Referred to QCAT</w:t>
            </w:r>
          </w:p>
        </w:tc>
        <w:tc>
          <w:tcPr>
            <w:tcW w:w="1500" w:type="dxa"/>
          </w:tcPr>
          <w:p w14:paraId="6DB2057D" w14:textId="77777777" w:rsidR="00397C8B" w:rsidRPr="002D025F" w:rsidRDefault="003D06E1" w:rsidP="00200EC1">
            <w:pPr>
              <w:rPr>
                <w:i/>
                <w:szCs w:val="22"/>
                <w:lang w:eastAsia="en-AU"/>
              </w:rPr>
            </w:pPr>
            <w:r>
              <w:rPr>
                <w:szCs w:val="22"/>
                <w:lang w:eastAsia="en-AU"/>
              </w:rPr>
              <w:t>31</w:t>
            </w:r>
          </w:p>
        </w:tc>
        <w:tc>
          <w:tcPr>
            <w:tcW w:w="1097" w:type="dxa"/>
          </w:tcPr>
          <w:p w14:paraId="61896EF0" w14:textId="77777777" w:rsidR="00397C8B" w:rsidRPr="002D025F" w:rsidRDefault="003D06E1" w:rsidP="00200EC1">
            <w:pPr>
              <w:rPr>
                <w:i/>
                <w:szCs w:val="22"/>
                <w:lang w:eastAsia="en-AU"/>
              </w:rPr>
            </w:pPr>
            <w:r>
              <w:rPr>
                <w:szCs w:val="22"/>
                <w:lang w:eastAsia="en-AU"/>
              </w:rPr>
              <w:t>9</w:t>
            </w:r>
          </w:p>
        </w:tc>
        <w:tc>
          <w:tcPr>
            <w:tcW w:w="925" w:type="dxa"/>
          </w:tcPr>
          <w:p w14:paraId="7071E7FE" w14:textId="77777777" w:rsidR="00397C8B" w:rsidRPr="002D025F" w:rsidRDefault="003D06E1" w:rsidP="00200EC1">
            <w:pPr>
              <w:rPr>
                <w:i/>
                <w:szCs w:val="22"/>
                <w:lang w:eastAsia="en-AU"/>
              </w:rPr>
            </w:pPr>
            <w:r>
              <w:rPr>
                <w:szCs w:val="22"/>
                <w:lang w:eastAsia="en-AU"/>
              </w:rPr>
              <w:t>4</w:t>
            </w:r>
          </w:p>
        </w:tc>
        <w:tc>
          <w:tcPr>
            <w:tcW w:w="1329" w:type="dxa"/>
          </w:tcPr>
          <w:p w14:paraId="5CDDF04F" w14:textId="77777777" w:rsidR="00397C8B" w:rsidRPr="002D025F" w:rsidRDefault="003D06E1" w:rsidP="00200EC1">
            <w:pPr>
              <w:rPr>
                <w:i/>
                <w:szCs w:val="22"/>
                <w:lang w:eastAsia="en-AU"/>
              </w:rPr>
            </w:pPr>
            <w:r>
              <w:rPr>
                <w:szCs w:val="22"/>
                <w:lang w:eastAsia="en-AU"/>
              </w:rPr>
              <w:t>8</w:t>
            </w:r>
          </w:p>
        </w:tc>
        <w:tc>
          <w:tcPr>
            <w:tcW w:w="1439" w:type="dxa"/>
          </w:tcPr>
          <w:p w14:paraId="4958FC69" w14:textId="77777777" w:rsidR="00397C8B" w:rsidRPr="002D025F" w:rsidRDefault="003D06E1" w:rsidP="00200EC1">
            <w:pPr>
              <w:rPr>
                <w:i/>
                <w:szCs w:val="22"/>
                <w:lang w:eastAsia="en-AU"/>
              </w:rPr>
            </w:pPr>
            <w:r>
              <w:rPr>
                <w:szCs w:val="22"/>
                <w:lang w:eastAsia="en-AU"/>
              </w:rPr>
              <w:t>52</w:t>
            </w:r>
          </w:p>
        </w:tc>
        <w:tc>
          <w:tcPr>
            <w:tcW w:w="2439" w:type="dxa"/>
          </w:tcPr>
          <w:p w14:paraId="75D82FB1" w14:textId="77777777" w:rsidR="00397C8B" w:rsidRPr="002D025F" w:rsidRDefault="003D06E1" w:rsidP="00200EC1">
            <w:pPr>
              <w:rPr>
                <w:i/>
                <w:szCs w:val="22"/>
                <w:lang w:eastAsia="en-AU"/>
              </w:rPr>
            </w:pPr>
            <w:r>
              <w:rPr>
                <w:szCs w:val="22"/>
                <w:lang w:eastAsia="en-AU"/>
              </w:rPr>
              <w:t>10.5%</w:t>
            </w:r>
          </w:p>
        </w:tc>
      </w:tr>
      <w:tr w:rsidR="00397C8B" w:rsidRPr="002D025F" w14:paraId="519DAB40" w14:textId="77777777" w:rsidTr="009A150D">
        <w:trPr>
          <w:trHeight w:val="268"/>
        </w:trPr>
        <w:tc>
          <w:tcPr>
            <w:tcW w:w="3193" w:type="dxa"/>
          </w:tcPr>
          <w:p w14:paraId="08F7F9CE" w14:textId="77777777" w:rsidR="00397C8B" w:rsidRPr="002D025F" w:rsidRDefault="00397C8B" w:rsidP="00200EC1">
            <w:pPr>
              <w:rPr>
                <w:i/>
                <w:szCs w:val="22"/>
                <w:lang w:eastAsia="en-AU"/>
              </w:rPr>
            </w:pPr>
            <w:r w:rsidRPr="002D025F">
              <w:rPr>
                <w:szCs w:val="22"/>
                <w:lang w:eastAsia="en-AU"/>
              </w:rPr>
              <w:t>Referred to QIRC</w:t>
            </w:r>
          </w:p>
        </w:tc>
        <w:tc>
          <w:tcPr>
            <w:tcW w:w="1500" w:type="dxa"/>
          </w:tcPr>
          <w:p w14:paraId="2C36FA81" w14:textId="77777777" w:rsidR="00397C8B" w:rsidRPr="002D025F" w:rsidRDefault="003D06E1" w:rsidP="00200EC1">
            <w:pPr>
              <w:rPr>
                <w:i/>
                <w:szCs w:val="22"/>
                <w:lang w:eastAsia="en-AU"/>
              </w:rPr>
            </w:pPr>
            <w:r>
              <w:rPr>
                <w:szCs w:val="22"/>
                <w:lang w:eastAsia="en-AU"/>
              </w:rPr>
              <w:t>46</w:t>
            </w:r>
          </w:p>
        </w:tc>
        <w:tc>
          <w:tcPr>
            <w:tcW w:w="1097" w:type="dxa"/>
          </w:tcPr>
          <w:p w14:paraId="5434E6D7" w14:textId="77777777" w:rsidR="00397C8B" w:rsidRPr="002D025F" w:rsidRDefault="003D06E1" w:rsidP="00200EC1">
            <w:pPr>
              <w:rPr>
                <w:i/>
                <w:szCs w:val="22"/>
                <w:lang w:eastAsia="en-AU"/>
              </w:rPr>
            </w:pPr>
            <w:r>
              <w:rPr>
                <w:szCs w:val="22"/>
                <w:lang w:eastAsia="en-AU"/>
              </w:rPr>
              <w:t>11</w:t>
            </w:r>
          </w:p>
        </w:tc>
        <w:tc>
          <w:tcPr>
            <w:tcW w:w="925" w:type="dxa"/>
          </w:tcPr>
          <w:p w14:paraId="0C88BBB5" w14:textId="77777777" w:rsidR="00397C8B" w:rsidRPr="002D025F" w:rsidRDefault="003D06E1" w:rsidP="00200EC1">
            <w:pPr>
              <w:rPr>
                <w:i/>
                <w:szCs w:val="22"/>
                <w:lang w:eastAsia="en-AU"/>
              </w:rPr>
            </w:pPr>
            <w:r>
              <w:rPr>
                <w:szCs w:val="22"/>
                <w:lang w:eastAsia="en-AU"/>
              </w:rPr>
              <w:t>20</w:t>
            </w:r>
          </w:p>
        </w:tc>
        <w:tc>
          <w:tcPr>
            <w:tcW w:w="1329" w:type="dxa"/>
          </w:tcPr>
          <w:p w14:paraId="7495D8A1" w14:textId="77777777" w:rsidR="00397C8B" w:rsidRPr="002D025F" w:rsidRDefault="003D06E1" w:rsidP="00200EC1">
            <w:pPr>
              <w:rPr>
                <w:i/>
                <w:szCs w:val="22"/>
                <w:lang w:eastAsia="en-AU"/>
              </w:rPr>
            </w:pPr>
            <w:r>
              <w:rPr>
                <w:szCs w:val="22"/>
                <w:lang w:eastAsia="en-AU"/>
              </w:rPr>
              <w:t>28</w:t>
            </w:r>
          </w:p>
        </w:tc>
        <w:tc>
          <w:tcPr>
            <w:tcW w:w="1439" w:type="dxa"/>
          </w:tcPr>
          <w:p w14:paraId="33A49C70" w14:textId="77777777" w:rsidR="00397C8B" w:rsidRPr="002D025F" w:rsidRDefault="003D06E1" w:rsidP="00200EC1">
            <w:pPr>
              <w:rPr>
                <w:i/>
                <w:szCs w:val="22"/>
                <w:lang w:eastAsia="en-AU"/>
              </w:rPr>
            </w:pPr>
            <w:r>
              <w:rPr>
                <w:szCs w:val="22"/>
                <w:lang w:eastAsia="en-AU"/>
              </w:rPr>
              <w:t>105</w:t>
            </w:r>
          </w:p>
        </w:tc>
        <w:tc>
          <w:tcPr>
            <w:tcW w:w="2439" w:type="dxa"/>
          </w:tcPr>
          <w:p w14:paraId="4D124995" w14:textId="77777777" w:rsidR="00397C8B" w:rsidRPr="002D025F" w:rsidRDefault="003D06E1" w:rsidP="00200EC1">
            <w:pPr>
              <w:rPr>
                <w:i/>
                <w:szCs w:val="22"/>
                <w:lang w:eastAsia="en-AU"/>
              </w:rPr>
            </w:pPr>
            <w:r>
              <w:rPr>
                <w:szCs w:val="22"/>
                <w:lang w:eastAsia="en-AU"/>
              </w:rPr>
              <w:t>21.3%</w:t>
            </w:r>
          </w:p>
        </w:tc>
      </w:tr>
      <w:tr w:rsidR="00397C8B" w:rsidRPr="002D025F" w14:paraId="44111D37" w14:textId="77777777" w:rsidTr="009A150D">
        <w:tc>
          <w:tcPr>
            <w:tcW w:w="3193" w:type="dxa"/>
          </w:tcPr>
          <w:p w14:paraId="28BF9317" w14:textId="77777777" w:rsidR="00397C8B" w:rsidRPr="002D025F" w:rsidRDefault="00397C8B" w:rsidP="00200EC1">
            <w:pPr>
              <w:rPr>
                <w:i/>
                <w:szCs w:val="22"/>
                <w:lang w:eastAsia="en-AU"/>
              </w:rPr>
            </w:pPr>
            <w:r w:rsidRPr="002D025F">
              <w:rPr>
                <w:szCs w:val="22"/>
                <w:lang w:eastAsia="en-AU"/>
              </w:rPr>
              <w:t>Lapsed (s168)</w:t>
            </w:r>
          </w:p>
        </w:tc>
        <w:tc>
          <w:tcPr>
            <w:tcW w:w="1500" w:type="dxa"/>
          </w:tcPr>
          <w:p w14:paraId="587A8EDA" w14:textId="77777777" w:rsidR="00397C8B" w:rsidRPr="002D025F" w:rsidRDefault="003D06E1" w:rsidP="00200EC1">
            <w:pPr>
              <w:rPr>
                <w:i/>
                <w:szCs w:val="22"/>
                <w:lang w:eastAsia="en-AU"/>
              </w:rPr>
            </w:pPr>
            <w:r>
              <w:rPr>
                <w:szCs w:val="22"/>
                <w:lang w:eastAsia="en-AU"/>
              </w:rPr>
              <w:t>2</w:t>
            </w:r>
          </w:p>
        </w:tc>
        <w:tc>
          <w:tcPr>
            <w:tcW w:w="1097" w:type="dxa"/>
          </w:tcPr>
          <w:p w14:paraId="70C7358E" w14:textId="77777777" w:rsidR="00397C8B" w:rsidRPr="002D025F" w:rsidRDefault="003D06E1" w:rsidP="00200EC1">
            <w:pPr>
              <w:rPr>
                <w:i/>
                <w:szCs w:val="22"/>
                <w:lang w:eastAsia="en-AU"/>
              </w:rPr>
            </w:pPr>
            <w:r>
              <w:rPr>
                <w:szCs w:val="22"/>
                <w:lang w:eastAsia="en-AU"/>
              </w:rPr>
              <w:t>0</w:t>
            </w:r>
          </w:p>
        </w:tc>
        <w:tc>
          <w:tcPr>
            <w:tcW w:w="925" w:type="dxa"/>
          </w:tcPr>
          <w:p w14:paraId="255E8C29" w14:textId="77777777" w:rsidR="00397C8B" w:rsidRPr="002D025F" w:rsidRDefault="003D06E1" w:rsidP="00200EC1">
            <w:pPr>
              <w:rPr>
                <w:i/>
                <w:szCs w:val="22"/>
                <w:lang w:eastAsia="en-AU"/>
              </w:rPr>
            </w:pPr>
            <w:r>
              <w:rPr>
                <w:szCs w:val="22"/>
                <w:lang w:eastAsia="en-AU"/>
              </w:rPr>
              <w:t>0</w:t>
            </w:r>
          </w:p>
        </w:tc>
        <w:tc>
          <w:tcPr>
            <w:tcW w:w="1329" w:type="dxa"/>
          </w:tcPr>
          <w:p w14:paraId="3733D93C" w14:textId="77777777" w:rsidR="00397C8B" w:rsidRPr="002D025F" w:rsidRDefault="003D06E1" w:rsidP="00200EC1">
            <w:pPr>
              <w:rPr>
                <w:i/>
                <w:szCs w:val="22"/>
                <w:lang w:eastAsia="en-AU"/>
              </w:rPr>
            </w:pPr>
            <w:r>
              <w:rPr>
                <w:szCs w:val="22"/>
                <w:lang w:eastAsia="en-AU"/>
              </w:rPr>
              <w:t>0</w:t>
            </w:r>
          </w:p>
        </w:tc>
        <w:tc>
          <w:tcPr>
            <w:tcW w:w="1439" w:type="dxa"/>
          </w:tcPr>
          <w:p w14:paraId="5B21B28E" w14:textId="77777777" w:rsidR="00397C8B" w:rsidRPr="002D025F" w:rsidRDefault="003D06E1" w:rsidP="00200EC1">
            <w:pPr>
              <w:rPr>
                <w:i/>
                <w:szCs w:val="22"/>
                <w:lang w:eastAsia="en-AU"/>
              </w:rPr>
            </w:pPr>
            <w:r>
              <w:rPr>
                <w:szCs w:val="22"/>
                <w:lang w:eastAsia="en-AU"/>
              </w:rPr>
              <w:t>2</w:t>
            </w:r>
          </w:p>
        </w:tc>
        <w:tc>
          <w:tcPr>
            <w:tcW w:w="2439" w:type="dxa"/>
          </w:tcPr>
          <w:p w14:paraId="36CBD0AC" w14:textId="77777777" w:rsidR="00397C8B" w:rsidRPr="002D025F" w:rsidRDefault="003D06E1" w:rsidP="00200EC1">
            <w:pPr>
              <w:rPr>
                <w:i/>
                <w:szCs w:val="22"/>
                <w:lang w:eastAsia="en-AU"/>
              </w:rPr>
            </w:pPr>
            <w:r>
              <w:rPr>
                <w:szCs w:val="22"/>
                <w:lang w:eastAsia="en-AU"/>
              </w:rPr>
              <w:t>0.4%</w:t>
            </w:r>
          </w:p>
        </w:tc>
      </w:tr>
      <w:tr w:rsidR="00397C8B" w:rsidRPr="002D025F" w14:paraId="4138B438" w14:textId="77777777" w:rsidTr="009A150D">
        <w:tc>
          <w:tcPr>
            <w:tcW w:w="3193" w:type="dxa"/>
          </w:tcPr>
          <w:p w14:paraId="5F9AB2CD" w14:textId="77777777" w:rsidR="00397C8B" w:rsidRPr="002D025F" w:rsidRDefault="00397C8B" w:rsidP="00200EC1">
            <w:pPr>
              <w:rPr>
                <w:i/>
                <w:szCs w:val="22"/>
                <w:lang w:eastAsia="en-AU"/>
              </w:rPr>
            </w:pPr>
            <w:r w:rsidRPr="002D025F">
              <w:rPr>
                <w:szCs w:val="22"/>
                <w:lang w:eastAsia="en-AU"/>
              </w:rPr>
              <w:t>Unconciliable but not referred</w:t>
            </w:r>
          </w:p>
        </w:tc>
        <w:tc>
          <w:tcPr>
            <w:tcW w:w="1500" w:type="dxa"/>
          </w:tcPr>
          <w:p w14:paraId="4CCA4AEC" w14:textId="77777777" w:rsidR="00397C8B" w:rsidRPr="002D025F" w:rsidRDefault="003D06E1" w:rsidP="00200EC1">
            <w:pPr>
              <w:rPr>
                <w:i/>
                <w:szCs w:val="22"/>
                <w:lang w:eastAsia="en-AU"/>
              </w:rPr>
            </w:pPr>
            <w:r>
              <w:rPr>
                <w:szCs w:val="22"/>
                <w:lang w:eastAsia="en-AU"/>
              </w:rPr>
              <w:t>18</w:t>
            </w:r>
          </w:p>
        </w:tc>
        <w:tc>
          <w:tcPr>
            <w:tcW w:w="1097" w:type="dxa"/>
          </w:tcPr>
          <w:p w14:paraId="07A92185" w14:textId="77777777" w:rsidR="00397C8B" w:rsidRPr="002D025F" w:rsidRDefault="003D06E1" w:rsidP="00200EC1">
            <w:pPr>
              <w:rPr>
                <w:i/>
                <w:szCs w:val="22"/>
                <w:lang w:eastAsia="en-AU"/>
              </w:rPr>
            </w:pPr>
            <w:r>
              <w:rPr>
                <w:szCs w:val="22"/>
                <w:lang w:eastAsia="en-AU"/>
              </w:rPr>
              <w:t>7</w:t>
            </w:r>
          </w:p>
        </w:tc>
        <w:tc>
          <w:tcPr>
            <w:tcW w:w="925" w:type="dxa"/>
          </w:tcPr>
          <w:p w14:paraId="7E77A05D" w14:textId="77777777" w:rsidR="00397C8B" w:rsidRPr="002D025F" w:rsidRDefault="003D06E1" w:rsidP="00200EC1">
            <w:pPr>
              <w:rPr>
                <w:i/>
                <w:szCs w:val="22"/>
                <w:lang w:eastAsia="en-AU"/>
              </w:rPr>
            </w:pPr>
            <w:r>
              <w:rPr>
                <w:szCs w:val="22"/>
                <w:lang w:eastAsia="en-AU"/>
              </w:rPr>
              <w:t>4</w:t>
            </w:r>
          </w:p>
        </w:tc>
        <w:tc>
          <w:tcPr>
            <w:tcW w:w="1329" w:type="dxa"/>
          </w:tcPr>
          <w:p w14:paraId="4E5000B4" w14:textId="77777777" w:rsidR="00397C8B" w:rsidRPr="002D025F" w:rsidRDefault="003D06E1" w:rsidP="00200EC1">
            <w:pPr>
              <w:rPr>
                <w:i/>
                <w:szCs w:val="22"/>
                <w:lang w:eastAsia="en-AU"/>
              </w:rPr>
            </w:pPr>
            <w:r>
              <w:rPr>
                <w:szCs w:val="22"/>
                <w:lang w:eastAsia="en-AU"/>
              </w:rPr>
              <w:t>5</w:t>
            </w:r>
          </w:p>
        </w:tc>
        <w:tc>
          <w:tcPr>
            <w:tcW w:w="1439" w:type="dxa"/>
          </w:tcPr>
          <w:p w14:paraId="6E37C909" w14:textId="77777777" w:rsidR="00397C8B" w:rsidRPr="002D025F" w:rsidRDefault="003D06E1" w:rsidP="00200EC1">
            <w:pPr>
              <w:rPr>
                <w:i/>
                <w:szCs w:val="22"/>
                <w:lang w:eastAsia="en-AU"/>
              </w:rPr>
            </w:pPr>
            <w:r>
              <w:rPr>
                <w:szCs w:val="22"/>
                <w:lang w:eastAsia="en-AU"/>
              </w:rPr>
              <w:t>34</w:t>
            </w:r>
          </w:p>
        </w:tc>
        <w:tc>
          <w:tcPr>
            <w:tcW w:w="2439" w:type="dxa"/>
          </w:tcPr>
          <w:p w14:paraId="6D2861B1" w14:textId="77777777" w:rsidR="00397C8B" w:rsidRPr="002D025F" w:rsidRDefault="003D06E1" w:rsidP="00200EC1">
            <w:pPr>
              <w:rPr>
                <w:i/>
                <w:szCs w:val="22"/>
                <w:lang w:eastAsia="en-AU"/>
              </w:rPr>
            </w:pPr>
            <w:r>
              <w:rPr>
                <w:szCs w:val="22"/>
                <w:lang w:eastAsia="en-AU"/>
              </w:rPr>
              <w:t>6.9%</w:t>
            </w:r>
          </w:p>
        </w:tc>
      </w:tr>
      <w:tr w:rsidR="00397C8B" w:rsidRPr="002D025F" w14:paraId="5981464A" w14:textId="77777777" w:rsidTr="009A150D">
        <w:trPr>
          <w:trHeight w:val="268"/>
        </w:trPr>
        <w:tc>
          <w:tcPr>
            <w:tcW w:w="3193" w:type="dxa"/>
          </w:tcPr>
          <w:p w14:paraId="376697FE" w14:textId="77777777" w:rsidR="00397C8B" w:rsidRPr="002D025F" w:rsidRDefault="00397C8B" w:rsidP="00200EC1">
            <w:pPr>
              <w:rPr>
                <w:i/>
                <w:szCs w:val="22"/>
                <w:lang w:eastAsia="en-AU"/>
              </w:rPr>
            </w:pPr>
            <w:r w:rsidRPr="002D025F">
              <w:rPr>
                <w:szCs w:val="22"/>
                <w:lang w:eastAsia="en-AU"/>
              </w:rPr>
              <w:t>Withdrawn</w:t>
            </w:r>
          </w:p>
        </w:tc>
        <w:tc>
          <w:tcPr>
            <w:tcW w:w="1500" w:type="dxa"/>
          </w:tcPr>
          <w:p w14:paraId="75E1C855" w14:textId="77777777" w:rsidR="00397C8B" w:rsidRPr="002D025F" w:rsidRDefault="003D06E1" w:rsidP="00200EC1">
            <w:pPr>
              <w:rPr>
                <w:i/>
                <w:szCs w:val="22"/>
                <w:lang w:eastAsia="en-AU"/>
              </w:rPr>
            </w:pPr>
            <w:r>
              <w:rPr>
                <w:szCs w:val="22"/>
                <w:lang w:eastAsia="en-AU"/>
              </w:rPr>
              <w:t>11</w:t>
            </w:r>
          </w:p>
        </w:tc>
        <w:tc>
          <w:tcPr>
            <w:tcW w:w="1097" w:type="dxa"/>
          </w:tcPr>
          <w:p w14:paraId="71CF55A5" w14:textId="77777777" w:rsidR="00397C8B" w:rsidRPr="002D025F" w:rsidRDefault="003D06E1" w:rsidP="00200EC1">
            <w:pPr>
              <w:rPr>
                <w:i/>
                <w:szCs w:val="22"/>
                <w:lang w:eastAsia="en-AU"/>
              </w:rPr>
            </w:pPr>
            <w:r>
              <w:rPr>
                <w:szCs w:val="22"/>
                <w:lang w:eastAsia="en-AU"/>
              </w:rPr>
              <w:t>0</w:t>
            </w:r>
          </w:p>
        </w:tc>
        <w:tc>
          <w:tcPr>
            <w:tcW w:w="925" w:type="dxa"/>
          </w:tcPr>
          <w:p w14:paraId="3A158304" w14:textId="77777777" w:rsidR="00397C8B" w:rsidRPr="002D025F" w:rsidRDefault="003D06E1" w:rsidP="00200EC1">
            <w:pPr>
              <w:rPr>
                <w:i/>
                <w:szCs w:val="22"/>
                <w:lang w:eastAsia="en-AU"/>
              </w:rPr>
            </w:pPr>
            <w:r>
              <w:rPr>
                <w:szCs w:val="22"/>
                <w:lang w:eastAsia="en-AU"/>
              </w:rPr>
              <w:t>7</w:t>
            </w:r>
          </w:p>
        </w:tc>
        <w:tc>
          <w:tcPr>
            <w:tcW w:w="1329" w:type="dxa"/>
          </w:tcPr>
          <w:p w14:paraId="665015D4" w14:textId="77777777" w:rsidR="00397C8B" w:rsidRPr="002D025F" w:rsidRDefault="003D06E1" w:rsidP="00200EC1">
            <w:pPr>
              <w:rPr>
                <w:i/>
                <w:szCs w:val="22"/>
                <w:lang w:eastAsia="en-AU"/>
              </w:rPr>
            </w:pPr>
            <w:r>
              <w:rPr>
                <w:szCs w:val="22"/>
                <w:lang w:eastAsia="en-AU"/>
              </w:rPr>
              <w:t>7</w:t>
            </w:r>
          </w:p>
        </w:tc>
        <w:tc>
          <w:tcPr>
            <w:tcW w:w="1439" w:type="dxa"/>
          </w:tcPr>
          <w:p w14:paraId="29625D01" w14:textId="77777777" w:rsidR="00397C8B" w:rsidRPr="002D025F" w:rsidRDefault="003D06E1" w:rsidP="00200EC1">
            <w:pPr>
              <w:rPr>
                <w:i/>
                <w:szCs w:val="22"/>
                <w:lang w:eastAsia="en-AU"/>
              </w:rPr>
            </w:pPr>
            <w:r>
              <w:rPr>
                <w:szCs w:val="22"/>
                <w:lang w:eastAsia="en-AU"/>
              </w:rPr>
              <w:t>25</w:t>
            </w:r>
          </w:p>
        </w:tc>
        <w:tc>
          <w:tcPr>
            <w:tcW w:w="2439" w:type="dxa"/>
          </w:tcPr>
          <w:p w14:paraId="3D96B3EC" w14:textId="77777777" w:rsidR="00397C8B" w:rsidRPr="002D025F" w:rsidRDefault="003D06E1" w:rsidP="00200EC1">
            <w:pPr>
              <w:rPr>
                <w:i/>
                <w:szCs w:val="22"/>
                <w:lang w:eastAsia="en-AU"/>
              </w:rPr>
            </w:pPr>
            <w:r>
              <w:rPr>
                <w:szCs w:val="22"/>
                <w:lang w:eastAsia="en-AU"/>
              </w:rPr>
              <w:t>5.1%</w:t>
            </w:r>
          </w:p>
        </w:tc>
      </w:tr>
      <w:tr w:rsidR="00397C8B" w:rsidRPr="002D025F" w14:paraId="273B736C" w14:textId="77777777" w:rsidTr="009A150D">
        <w:tc>
          <w:tcPr>
            <w:tcW w:w="3193" w:type="dxa"/>
          </w:tcPr>
          <w:p w14:paraId="4F7271C1" w14:textId="77777777" w:rsidR="00397C8B" w:rsidRPr="002D025F" w:rsidRDefault="00397C8B" w:rsidP="00200EC1">
            <w:pPr>
              <w:rPr>
                <w:b/>
                <w:i/>
                <w:szCs w:val="22"/>
                <w:lang w:eastAsia="en-AU"/>
              </w:rPr>
            </w:pPr>
            <w:r w:rsidRPr="002D025F">
              <w:rPr>
                <w:b/>
                <w:szCs w:val="22"/>
                <w:lang w:eastAsia="en-AU"/>
              </w:rPr>
              <w:t>Total</w:t>
            </w:r>
          </w:p>
        </w:tc>
        <w:tc>
          <w:tcPr>
            <w:tcW w:w="1500" w:type="dxa"/>
          </w:tcPr>
          <w:p w14:paraId="7482D007" w14:textId="77777777" w:rsidR="00397C8B" w:rsidRPr="002D025F" w:rsidRDefault="003D06E1" w:rsidP="00200EC1">
            <w:pPr>
              <w:rPr>
                <w:b/>
                <w:i/>
                <w:szCs w:val="22"/>
                <w:lang w:eastAsia="en-AU"/>
              </w:rPr>
            </w:pPr>
            <w:r>
              <w:rPr>
                <w:b/>
                <w:szCs w:val="22"/>
                <w:lang w:eastAsia="en-AU"/>
              </w:rPr>
              <w:t>244</w:t>
            </w:r>
          </w:p>
        </w:tc>
        <w:tc>
          <w:tcPr>
            <w:tcW w:w="1097" w:type="dxa"/>
          </w:tcPr>
          <w:p w14:paraId="5973915B" w14:textId="77777777" w:rsidR="00397C8B" w:rsidRPr="002D025F" w:rsidRDefault="003D06E1" w:rsidP="00200EC1">
            <w:pPr>
              <w:rPr>
                <w:b/>
                <w:i/>
                <w:szCs w:val="22"/>
                <w:lang w:eastAsia="en-AU"/>
              </w:rPr>
            </w:pPr>
            <w:r>
              <w:rPr>
                <w:b/>
                <w:szCs w:val="22"/>
                <w:lang w:eastAsia="en-AU"/>
              </w:rPr>
              <w:t>70</w:t>
            </w:r>
          </w:p>
        </w:tc>
        <w:tc>
          <w:tcPr>
            <w:tcW w:w="925" w:type="dxa"/>
          </w:tcPr>
          <w:p w14:paraId="419C30CB" w14:textId="77777777" w:rsidR="00397C8B" w:rsidRPr="002D025F" w:rsidRDefault="003D06E1" w:rsidP="00200EC1">
            <w:pPr>
              <w:rPr>
                <w:b/>
                <w:i/>
                <w:szCs w:val="22"/>
                <w:lang w:eastAsia="en-AU"/>
              </w:rPr>
            </w:pPr>
            <w:r>
              <w:rPr>
                <w:b/>
                <w:szCs w:val="22"/>
                <w:lang w:eastAsia="en-AU"/>
              </w:rPr>
              <w:t>73</w:t>
            </w:r>
          </w:p>
        </w:tc>
        <w:tc>
          <w:tcPr>
            <w:tcW w:w="1329" w:type="dxa"/>
          </w:tcPr>
          <w:p w14:paraId="2008A255" w14:textId="77777777" w:rsidR="00397C8B" w:rsidRPr="002D025F" w:rsidRDefault="003D06E1" w:rsidP="00200EC1">
            <w:pPr>
              <w:rPr>
                <w:b/>
                <w:i/>
                <w:szCs w:val="22"/>
                <w:lang w:eastAsia="en-AU"/>
              </w:rPr>
            </w:pPr>
            <w:r>
              <w:rPr>
                <w:b/>
                <w:szCs w:val="22"/>
                <w:lang w:eastAsia="en-AU"/>
              </w:rPr>
              <w:t>107</w:t>
            </w:r>
          </w:p>
        </w:tc>
        <w:tc>
          <w:tcPr>
            <w:tcW w:w="1439" w:type="dxa"/>
          </w:tcPr>
          <w:p w14:paraId="06484E68" w14:textId="77777777" w:rsidR="00397C8B" w:rsidRPr="002D025F" w:rsidRDefault="003D06E1" w:rsidP="00200EC1">
            <w:pPr>
              <w:rPr>
                <w:b/>
                <w:i/>
                <w:szCs w:val="22"/>
                <w:lang w:eastAsia="en-AU"/>
              </w:rPr>
            </w:pPr>
            <w:r>
              <w:rPr>
                <w:b/>
                <w:szCs w:val="22"/>
                <w:lang w:eastAsia="en-AU"/>
              </w:rPr>
              <w:t>494</w:t>
            </w:r>
          </w:p>
        </w:tc>
        <w:tc>
          <w:tcPr>
            <w:tcW w:w="2439" w:type="dxa"/>
          </w:tcPr>
          <w:p w14:paraId="1EF48FC0" w14:textId="77777777" w:rsidR="00397C8B" w:rsidRPr="002D025F" w:rsidRDefault="003D06E1" w:rsidP="00200EC1">
            <w:pPr>
              <w:rPr>
                <w:b/>
                <w:i/>
                <w:szCs w:val="22"/>
                <w:lang w:eastAsia="en-AU"/>
              </w:rPr>
            </w:pPr>
            <w:r>
              <w:rPr>
                <w:b/>
                <w:szCs w:val="22"/>
                <w:lang w:eastAsia="en-AU"/>
              </w:rPr>
              <w:t>100%</w:t>
            </w:r>
          </w:p>
        </w:tc>
      </w:tr>
      <w:bookmarkEnd w:id="25"/>
    </w:tbl>
    <w:p w14:paraId="2EC7B254" w14:textId="77777777" w:rsidR="00397C8B" w:rsidRPr="002D025F" w:rsidRDefault="00397C8B" w:rsidP="00A75186">
      <w:pPr>
        <w:spacing w:line="240" w:lineRule="auto"/>
        <w:rPr>
          <w:rFonts w:ascii="Arial" w:eastAsia="Times New Roman" w:hAnsi="Arial" w:cs="Arial"/>
          <w:b/>
          <w:sz w:val="22"/>
          <w:szCs w:val="22"/>
          <w:highlight w:val="yellow"/>
          <w:lang w:eastAsia="en-AU"/>
        </w:rPr>
      </w:pPr>
    </w:p>
    <w:p w14:paraId="3E110DEB" w14:textId="77777777" w:rsidR="00397C8B" w:rsidRPr="002D025F" w:rsidRDefault="00397C8B" w:rsidP="00A75186">
      <w:pPr>
        <w:pageBreakBefore/>
        <w:spacing w:before="240" w:after="120" w:line="240" w:lineRule="auto"/>
        <w:rPr>
          <w:rFonts w:ascii="Arial" w:eastAsiaTheme="majorEastAsia" w:hAnsi="Arial" w:cs="Arial"/>
          <w:b/>
          <w:sz w:val="22"/>
          <w:szCs w:val="22"/>
          <w:highlight w:val="yellow"/>
        </w:rPr>
        <w:sectPr w:rsidR="00397C8B" w:rsidRPr="002D025F" w:rsidSect="003D06E1">
          <w:pgSz w:w="16838" w:h="11906" w:orient="landscape" w:code="9"/>
          <w:pgMar w:top="1077" w:right="851" w:bottom="1077" w:left="902" w:header="708" w:footer="708" w:gutter="0"/>
          <w:cols w:space="720"/>
          <w:titlePg/>
          <w:docGrid w:linePitch="360"/>
        </w:sectPr>
      </w:pPr>
    </w:p>
    <w:p w14:paraId="2F4FBC33" w14:textId="77777777" w:rsidR="003D06E1" w:rsidRPr="003D06E1" w:rsidRDefault="003D06E1" w:rsidP="00321242">
      <w:pPr>
        <w:pStyle w:val="Heading2"/>
      </w:pPr>
      <w:r w:rsidRPr="003D06E1">
        <w:lastRenderedPageBreak/>
        <w:t>Timeliness</w:t>
      </w:r>
    </w:p>
    <w:p w14:paraId="20F3C37A" w14:textId="0A116B64" w:rsidR="003D06E1" w:rsidRPr="00254F04" w:rsidRDefault="003D06E1" w:rsidP="00200EC1">
      <w:pPr>
        <w:rPr>
          <w:i/>
          <w:lang w:eastAsia="en-AU"/>
        </w:rPr>
      </w:pPr>
      <w:r w:rsidRPr="003D06E1">
        <w:rPr>
          <w:lang w:eastAsia="en-AU"/>
        </w:rPr>
        <w:t>The Commission continued to manage complaints in a timely way and met or exceeded most of its timeliness targets.</w:t>
      </w:r>
      <w:r w:rsidR="00803E9C">
        <w:rPr>
          <w:lang w:eastAsia="en-AU"/>
        </w:rPr>
        <w:t xml:space="preserve"> </w:t>
      </w:r>
      <w:r w:rsidRPr="003D06E1">
        <w:rPr>
          <w:lang w:eastAsia="en-AU"/>
        </w:rPr>
        <w:t xml:space="preserve">This meant that, despite the increase in complaint numbers, </w:t>
      </w:r>
      <w:r w:rsidR="00DF2432">
        <w:rPr>
          <w:lang w:eastAsia="en-AU"/>
        </w:rPr>
        <w:t>our</w:t>
      </w:r>
      <w:r w:rsidRPr="003D06E1">
        <w:rPr>
          <w:lang w:eastAsia="en-AU"/>
        </w:rPr>
        <w:t xml:space="preserve"> conciliators were committed to working efficiently and effectively throughout the year to avoid any backlogs in </w:t>
      </w:r>
      <w:r w:rsidRPr="00254F04">
        <w:rPr>
          <w:lang w:eastAsia="en-AU"/>
        </w:rPr>
        <w:t xml:space="preserve">complaints. </w:t>
      </w:r>
    </w:p>
    <w:p w14:paraId="429ED5B8" w14:textId="77777777" w:rsidR="003D06E1" w:rsidRPr="003D06E1" w:rsidRDefault="00254F04" w:rsidP="00200EC1">
      <w:pPr>
        <w:rPr>
          <w:i/>
          <w:lang w:eastAsia="en-AU"/>
        </w:rPr>
      </w:pPr>
      <w:r>
        <w:rPr>
          <w:lang w:eastAsia="en-AU"/>
        </w:rPr>
        <w:t xml:space="preserve">The majority </w:t>
      </w:r>
      <w:r w:rsidR="003D06E1" w:rsidRPr="003D06E1">
        <w:rPr>
          <w:lang w:eastAsia="en-AU"/>
        </w:rPr>
        <w:t>of complaints</w:t>
      </w:r>
      <w:r>
        <w:rPr>
          <w:lang w:eastAsia="en-AU"/>
        </w:rPr>
        <w:t xml:space="preserve"> (65.6%) </w:t>
      </w:r>
      <w:r w:rsidR="003D06E1" w:rsidRPr="003D06E1">
        <w:rPr>
          <w:lang w:eastAsia="en-AU"/>
        </w:rPr>
        <w:t xml:space="preserve">were finalised within three months from assessment notification, and a further 24.3% were finalised within six months. This means a total of 89.9% of complaints were finalised within six months of acceptance. </w:t>
      </w:r>
    </w:p>
    <w:p w14:paraId="6279C8BC" w14:textId="77777777" w:rsidR="003D06E1" w:rsidRPr="003D06E1" w:rsidRDefault="00254F04" w:rsidP="00200EC1">
      <w:pPr>
        <w:rPr>
          <w:i/>
          <w:lang w:eastAsia="en-AU"/>
        </w:rPr>
      </w:pPr>
      <w:r>
        <w:rPr>
          <w:lang w:eastAsia="en-AU"/>
        </w:rPr>
        <w:t>O</w:t>
      </w:r>
      <w:r w:rsidR="003D06E1" w:rsidRPr="003D06E1">
        <w:rPr>
          <w:lang w:eastAsia="en-AU"/>
        </w:rPr>
        <w:t>f accepted complaints</w:t>
      </w:r>
      <w:r>
        <w:rPr>
          <w:lang w:eastAsia="en-AU"/>
        </w:rPr>
        <w:t>, 62.9%</w:t>
      </w:r>
      <w:r w:rsidR="003D06E1" w:rsidRPr="003D06E1">
        <w:rPr>
          <w:lang w:eastAsia="en-AU"/>
        </w:rPr>
        <w:t xml:space="preserve"> were assessed and notified within 28 days of lodgement which exceeded the Commission’s target of 60%.</w:t>
      </w:r>
      <w:r w:rsidR="00803E9C">
        <w:rPr>
          <w:lang w:eastAsia="en-AU"/>
        </w:rPr>
        <w:t xml:space="preserve"> </w:t>
      </w:r>
      <w:r w:rsidR="003D06E1" w:rsidRPr="003D06E1">
        <w:rPr>
          <w:lang w:eastAsia="en-AU"/>
        </w:rPr>
        <w:t>This demonstrates that the Commission has been more consistently able to assess complaints based on the information initially provided by the complainant rather than requiring further information.</w:t>
      </w:r>
      <w:r w:rsidR="00803E9C">
        <w:rPr>
          <w:lang w:eastAsia="en-AU"/>
        </w:rPr>
        <w:t xml:space="preserve"> </w:t>
      </w:r>
    </w:p>
    <w:p w14:paraId="7516CCC7" w14:textId="77777777" w:rsidR="003D06E1" w:rsidRPr="003D06E1" w:rsidRDefault="00254F04" w:rsidP="00200EC1">
      <w:pPr>
        <w:rPr>
          <w:b/>
          <w:i/>
          <w:sz w:val="24"/>
          <w:szCs w:val="22"/>
        </w:rPr>
      </w:pPr>
      <w:r>
        <w:rPr>
          <w:lang w:eastAsia="en-AU"/>
        </w:rPr>
        <w:t>O</w:t>
      </w:r>
      <w:r w:rsidR="003D06E1" w:rsidRPr="003D06E1">
        <w:rPr>
          <w:lang w:eastAsia="en-AU"/>
        </w:rPr>
        <w:t>f accepted complaints</w:t>
      </w:r>
      <w:r>
        <w:rPr>
          <w:lang w:eastAsia="en-AU"/>
        </w:rPr>
        <w:t>, 68.2%</w:t>
      </w:r>
      <w:r w:rsidR="003D06E1" w:rsidRPr="003D06E1">
        <w:rPr>
          <w:lang w:eastAsia="en-AU"/>
        </w:rPr>
        <w:t xml:space="preserve"> reached conference within the 42-day statutory timeframe from notification of decision until conciliation conference.</w:t>
      </w:r>
      <w:r w:rsidR="00803E9C">
        <w:rPr>
          <w:lang w:eastAsia="en-AU"/>
        </w:rPr>
        <w:t xml:space="preserve"> </w:t>
      </w:r>
      <w:r w:rsidR="003D06E1" w:rsidRPr="003D06E1">
        <w:rPr>
          <w:lang w:eastAsia="en-AU"/>
        </w:rPr>
        <w:t>This was a decrease from 70.3% last year and is just below the Commission’s target of 70%.</w:t>
      </w:r>
      <w:r w:rsidR="00803E9C">
        <w:rPr>
          <w:lang w:eastAsia="en-AU"/>
        </w:rPr>
        <w:t xml:space="preserve"> </w:t>
      </w:r>
      <w:r w:rsidR="003D06E1" w:rsidRPr="003D06E1">
        <w:rPr>
          <w:lang w:eastAsia="en-AU"/>
        </w:rPr>
        <w:t>It demonstrates that although the Commission endeavours to set matters down for an early conciliation conference, there have been a higher number of justifiable reasons provided by parties to adjourn conferences.</w:t>
      </w:r>
      <w:r w:rsidR="00803E9C">
        <w:rPr>
          <w:lang w:eastAsia="en-AU"/>
        </w:rPr>
        <w:t xml:space="preserve"> </w:t>
      </w:r>
    </w:p>
    <w:p w14:paraId="06BAF17F" w14:textId="77777777" w:rsidR="003D06E1" w:rsidRPr="002D025F" w:rsidRDefault="003D06E1" w:rsidP="00200EC1">
      <w:pPr>
        <w:pStyle w:val="Heading2"/>
      </w:pPr>
      <w:r w:rsidRPr="002D025F">
        <w:t>Conciliated outcomes</w:t>
      </w:r>
    </w:p>
    <w:p w14:paraId="4CCF4AB6" w14:textId="77777777" w:rsidR="003D06E1" w:rsidRPr="002D025F" w:rsidRDefault="003D06E1" w:rsidP="00200EC1">
      <w:pPr>
        <w:rPr>
          <w:i/>
          <w:szCs w:val="22"/>
          <w:lang w:eastAsia="en-AU"/>
        </w:rPr>
      </w:pPr>
      <w:r w:rsidRPr="002D025F">
        <w:rPr>
          <w:szCs w:val="22"/>
          <w:lang w:eastAsia="en-AU"/>
        </w:rPr>
        <w:t>The following are examples of complaints made to ADCQ in 201</w:t>
      </w:r>
      <w:r>
        <w:rPr>
          <w:szCs w:val="22"/>
          <w:lang w:eastAsia="en-AU"/>
        </w:rPr>
        <w:t>8</w:t>
      </w:r>
      <w:r w:rsidRPr="002D025F">
        <w:rPr>
          <w:szCs w:val="22"/>
          <w:lang w:eastAsia="en-AU"/>
        </w:rPr>
        <w:t>–1</w:t>
      </w:r>
      <w:r>
        <w:rPr>
          <w:szCs w:val="22"/>
          <w:lang w:eastAsia="en-AU"/>
        </w:rPr>
        <w:t>9</w:t>
      </w:r>
      <w:r w:rsidRPr="002D025F">
        <w:rPr>
          <w:szCs w:val="22"/>
          <w:lang w:eastAsia="en-AU"/>
        </w:rPr>
        <w:t xml:space="preserve"> that were successfully resolved through conciliation.</w:t>
      </w:r>
    </w:p>
    <w:p w14:paraId="7B070E14" w14:textId="77777777" w:rsidR="003D06E1" w:rsidRPr="00D8384D" w:rsidRDefault="003D06E1" w:rsidP="00200EC1">
      <w:pPr>
        <w:pStyle w:val="Heading3"/>
        <w:rPr>
          <w:lang w:eastAsia="en-AU"/>
        </w:rPr>
      </w:pPr>
      <w:r w:rsidRPr="00D8384D">
        <w:rPr>
          <w:lang w:eastAsia="en-AU"/>
        </w:rPr>
        <w:t>Insensitive request for medical records of transgender employee</w:t>
      </w:r>
    </w:p>
    <w:p w14:paraId="58B41458" w14:textId="77777777" w:rsidR="003D06E1" w:rsidRPr="00D8384D" w:rsidRDefault="003D06E1" w:rsidP="00200EC1">
      <w:pPr>
        <w:rPr>
          <w:i/>
          <w:szCs w:val="22"/>
          <w:lang w:eastAsia="en-AU"/>
        </w:rPr>
      </w:pPr>
      <w:r w:rsidRPr="00D8384D">
        <w:rPr>
          <w:szCs w:val="22"/>
          <w:lang w:eastAsia="en-AU"/>
        </w:rPr>
        <w:t>A trans</w:t>
      </w:r>
      <w:r w:rsidR="00F158BB">
        <w:rPr>
          <w:szCs w:val="22"/>
          <w:lang w:eastAsia="en-AU"/>
        </w:rPr>
        <w:t xml:space="preserve">gender </w:t>
      </w:r>
      <w:r w:rsidRPr="00D8384D">
        <w:rPr>
          <w:szCs w:val="22"/>
          <w:lang w:eastAsia="en-AU"/>
        </w:rPr>
        <w:t xml:space="preserve">woman lodged a complaint with the Commission after transitioning from male to female. The complainant requested to change her name on the payroll system and was asked by her employer to provide formal paperwork, either a passport or “hospital documents of the procedure”. The complainant had provided a Medicare card and driver’s licence but these were not documents accepted under the name change policy. The complainant says she felt embarrassed and hurt about receiving the request for hospital documents to confirm her gender change. During conciliation, the respondents explained the context in which the request had been made – the complainant’s payroll record was about to expire on the system and they were anxious to complete the change quickly. The complainant had lost a copy of her certificate of name change from Birth Deaths &amp; Marriages and the request for a hospital document was made as an alternative to other formal documents. Following a conciliation conference, the respondent agreed to pay $6000.00 in compensation to the complainant, change the internal policies around gender transitioning and </w:t>
      </w:r>
      <w:r w:rsidRPr="00D8384D">
        <w:rPr>
          <w:szCs w:val="22"/>
          <w:lang w:eastAsia="en-AU"/>
        </w:rPr>
        <w:lastRenderedPageBreak/>
        <w:t>provide a statement of regret acknowledging the distress and upset she felt she experienced.</w:t>
      </w:r>
    </w:p>
    <w:p w14:paraId="0F7D5035" w14:textId="77777777" w:rsidR="003D06E1" w:rsidRPr="00EB6F4E" w:rsidRDefault="003D06E1" w:rsidP="00200EC1">
      <w:pPr>
        <w:pStyle w:val="Heading3"/>
        <w:rPr>
          <w:lang w:eastAsia="en-AU"/>
        </w:rPr>
      </w:pPr>
      <w:r>
        <w:rPr>
          <w:lang w:eastAsia="en-AU"/>
        </w:rPr>
        <w:t>R</w:t>
      </w:r>
      <w:r w:rsidRPr="00EB6F4E">
        <w:rPr>
          <w:lang w:eastAsia="en-AU"/>
        </w:rPr>
        <w:t xml:space="preserve">acist comments </w:t>
      </w:r>
      <w:r>
        <w:rPr>
          <w:lang w:eastAsia="en-AU"/>
        </w:rPr>
        <w:t>at work</w:t>
      </w:r>
    </w:p>
    <w:p w14:paraId="557ACBBB" w14:textId="77777777" w:rsidR="003D06E1" w:rsidRPr="00EB6F4E" w:rsidRDefault="003D06E1" w:rsidP="00200EC1">
      <w:pPr>
        <w:rPr>
          <w:i/>
          <w:szCs w:val="22"/>
          <w:lang w:eastAsia="en-AU"/>
        </w:rPr>
      </w:pPr>
      <w:r w:rsidRPr="00EB6F4E">
        <w:rPr>
          <w:szCs w:val="22"/>
          <w:lang w:eastAsia="en-AU"/>
        </w:rPr>
        <w:t>The complainant</w:t>
      </w:r>
      <w:r>
        <w:rPr>
          <w:szCs w:val="22"/>
          <w:lang w:eastAsia="en-AU"/>
        </w:rPr>
        <w:t xml:space="preserve"> identified as A</w:t>
      </w:r>
      <w:r w:rsidRPr="00EB6F4E">
        <w:rPr>
          <w:szCs w:val="22"/>
          <w:lang w:eastAsia="en-AU"/>
        </w:rPr>
        <w:t>boriginal</w:t>
      </w:r>
      <w:r>
        <w:rPr>
          <w:szCs w:val="22"/>
          <w:lang w:eastAsia="en-AU"/>
        </w:rPr>
        <w:t xml:space="preserve"> and South Sea Islander</w:t>
      </w:r>
      <w:r w:rsidRPr="00EB6F4E">
        <w:rPr>
          <w:szCs w:val="22"/>
          <w:lang w:eastAsia="en-AU"/>
        </w:rPr>
        <w:t xml:space="preserve"> and was a former employee of a non-profit organisation</w:t>
      </w:r>
      <w:r>
        <w:rPr>
          <w:szCs w:val="22"/>
          <w:lang w:eastAsia="en-AU"/>
        </w:rPr>
        <w:t xml:space="preserve"> providing services to the Aboriginal and Torres Strait Islander community.</w:t>
      </w:r>
      <w:r w:rsidR="00803E9C">
        <w:rPr>
          <w:szCs w:val="22"/>
          <w:lang w:eastAsia="en-AU"/>
        </w:rPr>
        <w:t xml:space="preserve"> </w:t>
      </w:r>
      <w:r w:rsidRPr="00EB6F4E">
        <w:rPr>
          <w:szCs w:val="22"/>
          <w:lang w:eastAsia="en-AU"/>
        </w:rPr>
        <w:t>The complainant alleged he had been subjected to racist comments by his supervisor.</w:t>
      </w:r>
      <w:r w:rsidR="00803E9C">
        <w:rPr>
          <w:szCs w:val="22"/>
          <w:lang w:eastAsia="en-AU"/>
        </w:rPr>
        <w:t xml:space="preserve"> </w:t>
      </w:r>
      <w:r w:rsidRPr="00EB6F4E">
        <w:rPr>
          <w:szCs w:val="22"/>
          <w:lang w:eastAsia="en-AU"/>
        </w:rPr>
        <w:t>The complainant chose to pursue his complaint with the organisation</w:t>
      </w:r>
      <w:r>
        <w:rPr>
          <w:szCs w:val="22"/>
          <w:lang w:eastAsia="en-AU"/>
        </w:rPr>
        <w:t xml:space="preserve"> as the supervisor had already left the organisation.</w:t>
      </w:r>
      <w:r w:rsidR="00803E9C">
        <w:rPr>
          <w:szCs w:val="22"/>
          <w:lang w:eastAsia="en-AU"/>
        </w:rPr>
        <w:t xml:space="preserve"> </w:t>
      </w:r>
      <w:r>
        <w:rPr>
          <w:szCs w:val="22"/>
          <w:lang w:eastAsia="en-AU"/>
        </w:rPr>
        <w:t>He</w:t>
      </w:r>
      <w:r w:rsidRPr="00EB6F4E">
        <w:rPr>
          <w:szCs w:val="22"/>
          <w:lang w:eastAsia="en-AU"/>
        </w:rPr>
        <w:t xml:space="preserve"> </w:t>
      </w:r>
      <w:r>
        <w:rPr>
          <w:szCs w:val="22"/>
          <w:lang w:eastAsia="en-AU"/>
        </w:rPr>
        <w:t xml:space="preserve">was of the view that the organisation should have included questions focussed on cultural awareness and sensitivity when hiring staff to avoid the racist treatment he had experienced, and to ensure appropriate hiring. </w:t>
      </w:r>
    </w:p>
    <w:p w14:paraId="62E6B3E7" w14:textId="77777777" w:rsidR="003D06E1" w:rsidRPr="00EB6F4E" w:rsidRDefault="003D06E1" w:rsidP="00200EC1">
      <w:pPr>
        <w:rPr>
          <w:i/>
          <w:szCs w:val="22"/>
          <w:lang w:eastAsia="en-AU"/>
        </w:rPr>
      </w:pPr>
      <w:r>
        <w:rPr>
          <w:szCs w:val="22"/>
          <w:lang w:eastAsia="en-AU"/>
        </w:rPr>
        <w:t xml:space="preserve">At conciliation the parties </w:t>
      </w:r>
      <w:r w:rsidRPr="00EB6F4E">
        <w:rPr>
          <w:szCs w:val="22"/>
          <w:lang w:eastAsia="en-AU"/>
        </w:rPr>
        <w:t>discussed broader systemic issues around the organisation’s hiring process as well the professional supports available for employees who identified as Aboriginal and/or Torres Strait Islander.</w:t>
      </w:r>
    </w:p>
    <w:p w14:paraId="47907F22" w14:textId="77777777" w:rsidR="003D06E1" w:rsidRPr="00EB6F4E" w:rsidRDefault="003D06E1" w:rsidP="00200EC1">
      <w:pPr>
        <w:rPr>
          <w:i/>
          <w:szCs w:val="22"/>
          <w:lang w:eastAsia="en-AU"/>
        </w:rPr>
      </w:pPr>
      <w:r w:rsidRPr="00EB6F4E">
        <w:rPr>
          <w:szCs w:val="22"/>
          <w:lang w:eastAsia="en-AU"/>
        </w:rPr>
        <w:t>The agreement included:</w:t>
      </w:r>
    </w:p>
    <w:p w14:paraId="0D6A0981" w14:textId="77777777" w:rsidR="003D06E1" w:rsidRPr="00200EC1" w:rsidRDefault="003D06E1" w:rsidP="005329BF">
      <w:pPr>
        <w:pStyle w:val="ListParagraph"/>
        <w:numPr>
          <w:ilvl w:val="0"/>
          <w:numId w:val="25"/>
        </w:numPr>
        <w:rPr>
          <w:i/>
          <w:szCs w:val="22"/>
          <w:lang w:eastAsia="en-AU"/>
        </w:rPr>
      </w:pPr>
      <w:r w:rsidRPr="00200EC1">
        <w:rPr>
          <w:szCs w:val="22"/>
          <w:lang w:eastAsia="en-AU"/>
        </w:rPr>
        <w:t>An undertaking to ensure all Aboriginal and Torres Strait Islander employees had cultural supervision available and they were aware of it;</w:t>
      </w:r>
    </w:p>
    <w:p w14:paraId="37FB5EA6" w14:textId="77777777" w:rsidR="003D06E1" w:rsidRPr="00200EC1" w:rsidRDefault="003D06E1" w:rsidP="005329BF">
      <w:pPr>
        <w:pStyle w:val="ListParagraph"/>
        <w:numPr>
          <w:ilvl w:val="0"/>
          <w:numId w:val="25"/>
        </w:numPr>
        <w:rPr>
          <w:i/>
          <w:szCs w:val="22"/>
          <w:lang w:eastAsia="en-AU"/>
        </w:rPr>
      </w:pPr>
      <w:r w:rsidRPr="00200EC1">
        <w:rPr>
          <w:szCs w:val="22"/>
          <w:lang w:eastAsia="en-AU"/>
        </w:rPr>
        <w:t>A review of the hiring processes for relevant roles including:</w:t>
      </w:r>
    </w:p>
    <w:p w14:paraId="416AD667" w14:textId="77777777" w:rsidR="003D06E1" w:rsidRPr="00200EC1" w:rsidRDefault="003D06E1" w:rsidP="005329BF">
      <w:pPr>
        <w:pStyle w:val="ListParagraph"/>
        <w:numPr>
          <w:ilvl w:val="1"/>
          <w:numId w:val="26"/>
        </w:numPr>
        <w:rPr>
          <w:i/>
          <w:szCs w:val="22"/>
          <w:lang w:eastAsia="en-AU"/>
        </w:rPr>
      </w:pPr>
      <w:r w:rsidRPr="00200EC1">
        <w:rPr>
          <w:szCs w:val="22"/>
          <w:lang w:eastAsia="en-AU"/>
        </w:rPr>
        <w:t xml:space="preserve">interview questions had a sufficient cultural component; and </w:t>
      </w:r>
    </w:p>
    <w:p w14:paraId="3AB00DED" w14:textId="77777777" w:rsidR="003D06E1" w:rsidRPr="00200EC1" w:rsidRDefault="003D06E1" w:rsidP="005329BF">
      <w:pPr>
        <w:pStyle w:val="ListParagraph"/>
        <w:numPr>
          <w:ilvl w:val="1"/>
          <w:numId w:val="26"/>
        </w:numPr>
        <w:rPr>
          <w:i/>
          <w:szCs w:val="22"/>
          <w:lang w:eastAsia="en-AU"/>
        </w:rPr>
      </w:pPr>
      <w:r w:rsidRPr="00200EC1">
        <w:rPr>
          <w:szCs w:val="22"/>
          <w:lang w:eastAsia="en-AU"/>
        </w:rPr>
        <w:t xml:space="preserve">panel members included an Aboriginal or Torres Strait Islander person who is a respected member of the local community. </w:t>
      </w:r>
    </w:p>
    <w:p w14:paraId="0F131524" w14:textId="77777777" w:rsidR="003D06E1" w:rsidRPr="00200EC1" w:rsidRDefault="003D06E1" w:rsidP="005329BF">
      <w:pPr>
        <w:pStyle w:val="ListParagraph"/>
        <w:numPr>
          <w:ilvl w:val="0"/>
          <w:numId w:val="25"/>
        </w:numPr>
        <w:rPr>
          <w:i/>
          <w:szCs w:val="22"/>
          <w:lang w:eastAsia="en-AU"/>
        </w:rPr>
      </w:pPr>
      <w:r w:rsidRPr="00200EC1">
        <w:rPr>
          <w:szCs w:val="22"/>
          <w:lang w:eastAsia="en-AU"/>
        </w:rPr>
        <w:t>$5,000 financial settlement</w:t>
      </w:r>
    </w:p>
    <w:p w14:paraId="6A1EC9F6" w14:textId="77777777" w:rsidR="003D06E1" w:rsidRPr="00D8384D" w:rsidRDefault="003D06E1" w:rsidP="00200EC1">
      <w:pPr>
        <w:pStyle w:val="Heading3"/>
        <w:rPr>
          <w:lang w:eastAsia="en-AU"/>
        </w:rPr>
      </w:pPr>
      <w:r w:rsidRPr="00D8384D">
        <w:rPr>
          <w:lang w:eastAsia="en-AU"/>
        </w:rPr>
        <w:t>Employee with intellectual disability bullied at work</w:t>
      </w:r>
    </w:p>
    <w:p w14:paraId="6420A96B" w14:textId="4BF11FE2" w:rsidR="003D06E1" w:rsidRPr="00D8384D" w:rsidRDefault="003D06E1" w:rsidP="00200EC1">
      <w:pPr>
        <w:rPr>
          <w:i/>
          <w:szCs w:val="22"/>
          <w:lang w:eastAsia="en-AU"/>
        </w:rPr>
      </w:pPr>
      <w:r w:rsidRPr="00D8384D">
        <w:rPr>
          <w:szCs w:val="22"/>
          <w:lang w:eastAsia="en-AU"/>
        </w:rPr>
        <w:t>A man with an intellectual disability was employed at a recreational club.</w:t>
      </w:r>
      <w:r w:rsidR="00803E9C">
        <w:rPr>
          <w:szCs w:val="22"/>
          <w:lang w:eastAsia="en-AU"/>
        </w:rPr>
        <w:t xml:space="preserve"> </w:t>
      </w:r>
      <w:r w:rsidRPr="00D8384D">
        <w:rPr>
          <w:szCs w:val="22"/>
          <w:lang w:eastAsia="en-AU"/>
        </w:rPr>
        <w:t xml:space="preserve">He alleged that his supervisor constantly bullied him because of his disability, including making him </w:t>
      </w:r>
      <w:r>
        <w:rPr>
          <w:szCs w:val="22"/>
          <w:lang w:eastAsia="en-AU"/>
        </w:rPr>
        <w:t>work in wet conditions for hours</w:t>
      </w:r>
      <w:r w:rsidRPr="00D8384D">
        <w:rPr>
          <w:szCs w:val="22"/>
          <w:lang w:eastAsia="en-AU"/>
        </w:rPr>
        <w:t>, refused him permission to speak with clients of the club, constantly questioned him about what he was doing and made derogatory comments about his ability to understand his duties.</w:t>
      </w:r>
      <w:r w:rsidR="00803E9C">
        <w:rPr>
          <w:szCs w:val="22"/>
          <w:lang w:eastAsia="en-AU"/>
        </w:rPr>
        <w:t xml:space="preserve"> </w:t>
      </w:r>
      <w:r>
        <w:rPr>
          <w:szCs w:val="22"/>
          <w:lang w:eastAsia="en-AU"/>
        </w:rPr>
        <w:t>The complainant had been dismissed after he lost his temper because of the alleged treatment of his supervisor.</w:t>
      </w:r>
      <w:r w:rsidR="00803E9C">
        <w:rPr>
          <w:szCs w:val="22"/>
          <w:lang w:eastAsia="en-AU"/>
        </w:rPr>
        <w:t xml:space="preserve"> </w:t>
      </w:r>
      <w:r w:rsidRPr="00D8384D">
        <w:rPr>
          <w:szCs w:val="22"/>
          <w:lang w:eastAsia="en-AU"/>
        </w:rPr>
        <w:t>The respondent denied allegations.</w:t>
      </w:r>
      <w:r w:rsidR="00803E9C">
        <w:rPr>
          <w:szCs w:val="22"/>
          <w:lang w:eastAsia="en-AU"/>
        </w:rPr>
        <w:t xml:space="preserve"> </w:t>
      </w:r>
      <w:r w:rsidRPr="00D8384D">
        <w:rPr>
          <w:szCs w:val="22"/>
          <w:lang w:eastAsia="en-AU"/>
        </w:rPr>
        <w:t xml:space="preserve"> An agreement was reached at conciliation that all staff would receive training in discrimination law, a statement of service was provided, and $1,500 was to be paid by</w:t>
      </w:r>
      <w:r w:rsidR="00DF2432">
        <w:rPr>
          <w:szCs w:val="22"/>
          <w:lang w:eastAsia="en-AU"/>
        </w:rPr>
        <w:t xml:space="preserve"> the</w:t>
      </w:r>
      <w:r w:rsidRPr="00D8384D">
        <w:rPr>
          <w:szCs w:val="22"/>
          <w:lang w:eastAsia="en-AU"/>
        </w:rPr>
        <w:t xml:space="preserve"> individual respondent to a </w:t>
      </w:r>
      <w:r>
        <w:rPr>
          <w:szCs w:val="22"/>
          <w:lang w:eastAsia="en-AU"/>
        </w:rPr>
        <w:t xml:space="preserve">disability support </w:t>
      </w:r>
      <w:r w:rsidRPr="00D8384D">
        <w:rPr>
          <w:szCs w:val="22"/>
          <w:lang w:eastAsia="en-AU"/>
        </w:rPr>
        <w:t xml:space="preserve">organisation </w:t>
      </w:r>
      <w:r>
        <w:rPr>
          <w:szCs w:val="22"/>
          <w:lang w:eastAsia="en-AU"/>
        </w:rPr>
        <w:t>located in the complainant’s neighbourhood.</w:t>
      </w:r>
      <w:r w:rsidR="00803E9C">
        <w:rPr>
          <w:szCs w:val="22"/>
          <w:lang w:eastAsia="en-AU"/>
        </w:rPr>
        <w:t xml:space="preserve"> </w:t>
      </w:r>
    </w:p>
    <w:p w14:paraId="146A2B71" w14:textId="77777777" w:rsidR="003D06E1" w:rsidRPr="00D8384D" w:rsidRDefault="003D06E1" w:rsidP="00200EC1">
      <w:pPr>
        <w:pStyle w:val="Heading3"/>
        <w:rPr>
          <w:lang w:eastAsia="en-AU"/>
        </w:rPr>
      </w:pPr>
      <w:r w:rsidRPr="00D8384D">
        <w:rPr>
          <w:lang w:eastAsia="en-AU"/>
        </w:rPr>
        <w:t>Female employee receives hundreds of sexual texts from supervisor</w:t>
      </w:r>
    </w:p>
    <w:p w14:paraId="481141FA" w14:textId="27AC6BD0" w:rsidR="003D06E1" w:rsidRPr="00D8384D" w:rsidRDefault="003D06E1" w:rsidP="00200EC1">
      <w:pPr>
        <w:rPr>
          <w:i/>
          <w:szCs w:val="22"/>
          <w:lang w:eastAsia="en-AU"/>
        </w:rPr>
      </w:pPr>
      <w:r w:rsidRPr="00D8384D">
        <w:rPr>
          <w:szCs w:val="22"/>
          <w:lang w:eastAsia="en-AU"/>
        </w:rPr>
        <w:t>Soon after commencing work, the female employee received text messages and phone calls on a regular and increasing basis from one of her supervisor.</w:t>
      </w:r>
      <w:r w:rsidR="00803E9C">
        <w:rPr>
          <w:szCs w:val="22"/>
          <w:lang w:eastAsia="en-AU"/>
        </w:rPr>
        <w:t xml:space="preserve"> </w:t>
      </w:r>
      <w:r w:rsidRPr="00D8384D">
        <w:rPr>
          <w:szCs w:val="22"/>
          <w:lang w:eastAsia="en-AU"/>
        </w:rPr>
        <w:t>After a few months the intensity of texts and calls increased including the context of the messages.</w:t>
      </w:r>
      <w:r w:rsidR="00803E9C">
        <w:rPr>
          <w:szCs w:val="22"/>
          <w:lang w:eastAsia="en-AU"/>
        </w:rPr>
        <w:t xml:space="preserve"> </w:t>
      </w:r>
      <w:r w:rsidRPr="00D8384D">
        <w:rPr>
          <w:szCs w:val="22"/>
          <w:lang w:eastAsia="en-AU"/>
        </w:rPr>
        <w:t xml:space="preserve">The message repeatedly stated that the colleague loved the female worker, and made unwanted expressions of </w:t>
      </w:r>
      <w:r w:rsidRPr="00D8384D">
        <w:rPr>
          <w:szCs w:val="22"/>
          <w:lang w:eastAsia="en-AU"/>
        </w:rPr>
        <w:lastRenderedPageBreak/>
        <w:t>his feelings and emotions, advances and excessive compliments about her appearance. The messages referred to her as “</w:t>
      </w:r>
      <w:r w:rsidR="00192FB0">
        <w:rPr>
          <w:szCs w:val="22"/>
          <w:lang w:eastAsia="en-AU"/>
        </w:rPr>
        <w:t>s</w:t>
      </w:r>
      <w:r w:rsidRPr="00D8384D">
        <w:rPr>
          <w:szCs w:val="22"/>
          <w:lang w:eastAsia="en-AU"/>
        </w:rPr>
        <w:t>weetie”, “</w:t>
      </w:r>
      <w:r w:rsidR="00192FB0">
        <w:rPr>
          <w:szCs w:val="22"/>
          <w:lang w:eastAsia="en-AU"/>
        </w:rPr>
        <w:t>s</w:t>
      </w:r>
      <w:r w:rsidRPr="00D8384D">
        <w:rPr>
          <w:szCs w:val="22"/>
          <w:lang w:eastAsia="en-AU"/>
        </w:rPr>
        <w:t>weetheart” and “</w:t>
      </w:r>
      <w:r w:rsidR="00192FB0">
        <w:rPr>
          <w:szCs w:val="22"/>
          <w:lang w:eastAsia="en-AU"/>
        </w:rPr>
        <w:t>d</w:t>
      </w:r>
      <w:r w:rsidRPr="00D8384D">
        <w:rPr>
          <w:szCs w:val="22"/>
          <w:lang w:eastAsia="en-AU"/>
        </w:rPr>
        <w:t>arl”.</w:t>
      </w:r>
      <w:r w:rsidR="00803E9C">
        <w:rPr>
          <w:szCs w:val="22"/>
          <w:lang w:eastAsia="en-AU"/>
        </w:rPr>
        <w:t xml:space="preserve"> </w:t>
      </w:r>
      <w:r w:rsidRPr="00D8384D">
        <w:rPr>
          <w:szCs w:val="22"/>
          <w:lang w:eastAsia="en-AU"/>
        </w:rPr>
        <w:t xml:space="preserve"> He sent her a picture of a bra and said “I walked past a lingerie shop tonight and saw this massive bra and thought of you. You're the only girl I know that could fill it”.</w:t>
      </w:r>
      <w:r w:rsidR="00803E9C">
        <w:rPr>
          <w:szCs w:val="22"/>
          <w:lang w:eastAsia="en-AU"/>
        </w:rPr>
        <w:t xml:space="preserve"> </w:t>
      </w:r>
      <w:r w:rsidRPr="00D8384D">
        <w:rPr>
          <w:szCs w:val="22"/>
          <w:lang w:eastAsia="en-AU"/>
        </w:rPr>
        <w:t xml:space="preserve"> A further message included an image of the female employee’s work ID and said “I'm smelling your ID and it smells lovely. I think I'll take it home with me for the night. Don't worry, I'll wash it before I hand it back tomorrow”.</w:t>
      </w:r>
      <w:r w:rsidR="00803E9C">
        <w:rPr>
          <w:szCs w:val="22"/>
          <w:lang w:eastAsia="en-AU"/>
        </w:rPr>
        <w:t xml:space="preserve"> </w:t>
      </w:r>
      <w:r w:rsidRPr="00D8384D">
        <w:rPr>
          <w:szCs w:val="22"/>
          <w:lang w:eastAsia="en-AU"/>
        </w:rPr>
        <w:t xml:space="preserve">Further, “I have absolutely no interest in being intimate with anyone but you”. </w:t>
      </w:r>
    </w:p>
    <w:p w14:paraId="45212637" w14:textId="77777777" w:rsidR="003D06E1" w:rsidRPr="00D8384D" w:rsidRDefault="003D06E1" w:rsidP="00200EC1">
      <w:pPr>
        <w:rPr>
          <w:i/>
          <w:szCs w:val="22"/>
          <w:lang w:eastAsia="en-AU"/>
        </w:rPr>
      </w:pPr>
      <w:r w:rsidRPr="00D8384D">
        <w:rPr>
          <w:szCs w:val="22"/>
          <w:lang w:eastAsia="en-AU"/>
        </w:rPr>
        <w:t>She alleged that after reporting the sexual harassment to her workplace, she was victimised by being told to avoid the workplace whilst the supervisor was promoted.</w:t>
      </w:r>
      <w:r w:rsidR="00803E9C">
        <w:rPr>
          <w:szCs w:val="22"/>
          <w:lang w:eastAsia="en-AU"/>
        </w:rPr>
        <w:t xml:space="preserve"> </w:t>
      </w:r>
    </w:p>
    <w:p w14:paraId="2BED2B21" w14:textId="77777777" w:rsidR="003D06E1" w:rsidRPr="00D8384D" w:rsidRDefault="003D06E1" w:rsidP="00200EC1">
      <w:pPr>
        <w:rPr>
          <w:i/>
          <w:szCs w:val="22"/>
          <w:lang w:eastAsia="en-AU"/>
        </w:rPr>
      </w:pPr>
      <w:r w:rsidRPr="00D8384D">
        <w:rPr>
          <w:szCs w:val="22"/>
          <w:lang w:eastAsia="en-AU"/>
        </w:rPr>
        <w:t>At conciliation conference, the supervisor stated that he believed their friendship was at a point that he could say the things he had said. The workplace denied any wrong doing following the employee’s reporting of the sexual harassment.</w:t>
      </w:r>
    </w:p>
    <w:p w14:paraId="3C5F9F5B" w14:textId="7CD1F76E" w:rsidR="003D06E1" w:rsidRPr="00D8384D" w:rsidRDefault="003D06E1" w:rsidP="00200EC1">
      <w:pPr>
        <w:rPr>
          <w:i/>
          <w:szCs w:val="22"/>
          <w:lang w:eastAsia="en-AU"/>
        </w:rPr>
      </w:pPr>
      <w:r w:rsidRPr="00D8384D">
        <w:rPr>
          <w:szCs w:val="22"/>
          <w:lang w:eastAsia="en-AU"/>
        </w:rPr>
        <w:t>An agreement was reached at conciliation that the complainant agreed to resign, was paid $13</w:t>
      </w:r>
      <w:r w:rsidR="00192FB0">
        <w:rPr>
          <w:szCs w:val="22"/>
          <w:lang w:eastAsia="en-AU"/>
        </w:rPr>
        <w:t>,</w:t>
      </w:r>
      <w:r w:rsidRPr="00D8384D">
        <w:rPr>
          <w:szCs w:val="22"/>
          <w:lang w:eastAsia="en-AU"/>
        </w:rPr>
        <w:t>333 payment in lieu of notice, $93</w:t>
      </w:r>
      <w:r w:rsidR="00192FB0">
        <w:rPr>
          <w:szCs w:val="22"/>
          <w:lang w:eastAsia="en-AU"/>
        </w:rPr>
        <w:t>,</w:t>
      </w:r>
      <w:r w:rsidRPr="00D8384D">
        <w:rPr>
          <w:szCs w:val="22"/>
          <w:lang w:eastAsia="en-AU"/>
        </w:rPr>
        <w:t>333.31 compensation for future economic loss, $75</w:t>
      </w:r>
      <w:r w:rsidR="00192FB0">
        <w:rPr>
          <w:szCs w:val="22"/>
          <w:lang w:eastAsia="en-AU"/>
        </w:rPr>
        <w:t>,</w:t>
      </w:r>
      <w:r w:rsidRPr="00D8384D">
        <w:rPr>
          <w:szCs w:val="22"/>
          <w:lang w:eastAsia="en-AU"/>
        </w:rPr>
        <w:t>000 general damages, statement of service was provided for the employee together with agreed communications about the cessation of her employment, and a confidentiality agreement including destruction of documents relating to the complaint.</w:t>
      </w:r>
    </w:p>
    <w:p w14:paraId="034B451E" w14:textId="77777777" w:rsidR="003D06E1" w:rsidRPr="00D8384D" w:rsidRDefault="003D06E1" w:rsidP="00200EC1">
      <w:pPr>
        <w:pStyle w:val="Heading3"/>
        <w:rPr>
          <w:lang w:eastAsia="en-AU"/>
        </w:rPr>
      </w:pPr>
      <w:r w:rsidRPr="00D8384D">
        <w:rPr>
          <w:lang w:eastAsia="en-AU"/>
        </w:rPr>
        <w:t>Child with ADHD and ASD not permitted to attend school camp</w:t>
      </w:r>
    </w:p>
    <w:p w14:paraId="21466640" w14:textId="36817022" w:rsidR="003D06E1" w:rsidRPr="00D8384D" w:rsidRDefault="003D06E1" w:rsidP="00200EC1">
      <w:pPr>
        <w:rPr>
          <w:i/>
          <w:szCs w:val="22"/>
          <w:lang w:eastAsia="en-AU"/>
        </w:rPr>
      </w:pPr>
      <w:r w:rsidRPr="00D8384D">
        <w:rPr>
          <w:szCs w:val="22"/>
          <w:lang w:eastAsia="en-AU"/>
        </w:rPr>
        <w:t>The 13 year old complainant had ADHD and ASD Level 1, the characteristics of which included impulsivity and violent outbursts that could be minimised by medication.</w:t>
      </w:r>
      <w:r w:rsidR="00803E9C">
        <w:rPr>
          <w:szCs w:val="22"/>
          <w:lang w:eastAsia="en-AU"/>
        </w:rPr>
        <w:t xml:space="preserve"> </w:t>
      </w:r>
      <w:r w:rsidRPr="00D8384D">
        <w:rPr>
          <w:szCs w:val="22"/>
          <w:lang w:eastAsia="en-AU"/>
        </w:rPr>
        <w:t>The complainant had attended mainstream schooling and school camps for his entire schooling with minimal problems.</w:t>
      </w:r>
      <w:r w:rsidR="00803E9C">
        <w:rPr>
          <w:szCs w:val="22"/>
          <w:lang w:eastAsia="en-AU"/>
        </w:rPr>
        <w:t xml:space="preserve"> </w:t>
      </w:r>
      <w:r w:rsidRPr="00D8384D">
        <w:rPr>
          <w:szCs w:val="22"/>
          <w:lang w:eastAsia="en-AU"/>
        </w:rPr>
        <w:t xml:space="preserve"> He attended a private school and alleged (through his mother as his agent) that the acting principal would not permit him to attend school camp due to violent outbursts and ASD.</w:t>
      </w:r>
      <w:r w:rsidR="00803E9C">
        <w:rPr>
          <w:szCs w:val="22"/>
          <w:lang w:eastAsia="en-AU"/>
        </w:rPr>
        <w:t xml:space="preserve"> </w:t>
      </w:r>
      <w:r w:rsidRPr="00D8384D">
        <w:rPr>
          <w:szCs w:val="22"/>
          <w:lang w:eastAsia="en-AU"/>
        </w:rPr>
        <w:t>The school informed the mother the complainant needed to be in another educational facility as they d</w:t>
      </w:r>
      <w:r w:rsidR="00DF2432">
        <w:rPr>
          <w:szCs w:val="22"/>
          <w:lang w:eastAsia="en-AU"/>
        </w:rPr>
        <w:t>id</w:t>
      </w:r>
      <w:r w:rsidRPr="00D8384D">
        <w:rPr>
          <w:szCs w:val="22"/>
          <w:lang w:eastAsia="en-AU"/>
        </w:rPr>
        <w:t xml:space="preserve"> not believe he could be in mainstream schooling. </w:t>
      </w:r>
    </w:p>
    <w:p w14:paraId="75DFDD15" w14:textId="1F875552" w:rsidR="003D06E1" w:rsidRPr="00D8384D" w:rsidRDefault="003D06E1" w:rsidP="00200EC1">
      <w:pPr>
        <w:rPr>
          <w:i/>
          <w:szCs w:val="22"/>
          <w:lang w:eastAsia="en-AU"/>
        </w:rPr>
      </w:pPr>
      <w:r w:rsidRPr="00D8384D">
        <w:rPr>
          <w:szCs w:val="22"/>
          <w:lang w:eastAsia="en-AU"/>
        </w:rPr>
        <w:t xml:space="preserve">No written response </w:t>
      </w:r>
      <w:r w:rsidR="00DF2432">
        <w:rPr>
          <w:szCs w:val="22"/>
          <w:lang w:eastAsia="en-AU"/>
        </w:rPr>
        <w:t xml:space="preserve">was </w:t>
      </w:r>
      <w:r w:rsidRPr="00D8384D">
        <w:rPr>
          <w:szCs w:val="22"/>
          <w:lang w:eastAsia="en-AU"/>
        </w:rPr>
        <w:t>provided.</w:t>
      </w:r>
      <w:r w:rsidR="00803E9C">
        <w:rPr>
          <w:szCs w:val="22"/>
          <w:lang w:eastAsia="en-AU"/>
        </w:rPr>
        <w:t xml:space="preserve"> </w:t>
      </w:r>
      <w:r w:rsidRPr="00D8384D">
        <w:rPr>
          <w:szCs w:val="22"/>
          <w:lang w:eastAsia="en-AU"/>
        </w:rPr>
        <w:t>During conference the school representatives explained the reasons for the steps taken and provided details as to the concerns they had around safety, including the complainant’s behaviour towards other students and staff.</w:t>
      </w:r>
      <w:r w:rsidR="00803E9C">
        <w:rPr>
          <w:szCs w:val="22"/>
          <w:lang w:eastAsia="en-AU"/>
        </w:rPr>
        <w:t xml:space="preserve"> </w:t>
      </w:r>
      <w:r w:rsidRPr="00D8384D">
        <w:rPr>
          <w:szCs w:val="22"/>
          <w:lang w:eastAsia="en-AU"/>
        </w:rPr>
        <w:t>However</w:t>
      </w:r>
      <w:r w:rsidR="00DF2432">
        <w:rPr>
          <w:szCs w:val="22"/>
          <w:lang w:eastAsia="en-AU"/>
        </w:rPr>
        <w:t>,</w:t>
      </w:r>
      <w:r w:rsidRPr="00D8384D">
        <w:rPr>
          <w:szCs w:val="22"/>
          <w:lang w:eastAsia="en-AU"/>
        </w:rPr>
        <w:t xml:space="preserve"> they did express regret over the way the matter was handled, and the school acknowledged communication could have been better.</w:t>
      </w:r>
      <w:r w:rsidR="00803E9C">
        <w:rPr>
          <w:szCs w:val="22"/>
          <w:lang w:eastAsia="en-AU"/>
        </w:rPr>
        <w:t xml:space="preserve"> </w:t>
      </w:r>
    </w:p>
    <w:p w14:paraId="28316AA3" w14:textId="77777777" w:rsidR="003D06E1" w:rsidRPr="00D8384D" w:rsidRDefault="003D06E1" w:rsidP="00200EC1">
      <w:pPr>
        <w:rPr>
          <w:i/>
          <w:szCs w:val="22"/>
          <w:lang w:eastAsia="en-AU"/>
        </w:rPr>
      </w:pPr>
      <w:r w:rsidRPr="00D8384D">
        <w:rPr>
          <w:szCs w:val="22"/>
          <w:lang w:eastAsia="en-AU"/>
        </w:rPr>
        <w:t>The school assured the complainant’s mother that they had already taken steps to improve communication and one of the school representatives that attended the conference was a new employee hired to address problems such as this in the future.</w:t>
      </w:r>
    </w:p>
    <w:p w14:paraId="0AD4BA5F" w14:textId="77777777" w:rsidR="003D06E1" w:rsidRPr="00D8384D" w:rsidRDefault="003D06E1" w:rsidP="00200EC1">
      <w:pPr>
        <w:rPr>
          <w:i/>
          <w:szCs w:val="22"/>
          <w:lang w:eastAsia="en-AU"/>
        </w:rPr>
      </w:pPr>
    </w:p>
    <w:p w14:paraId="1DFE891C" w14:textId="33EAB616" w:rsidR="003D06E1" w:rsidRPr="00D8384D" w:rsidRDefault="003D06E1" w:rsidP="00200EC1">
      <w:pPr>
        <w:rPr>
          <w:i/>
          <w:szCs w:val="22"/>
          <w:lang w:eastAsia="en-AU"/>
        </w:rPr>
      </w:pPr>
      <w:r w:rsidRPr="00D8384D">
        <w:rPr>
          <w:szCs w:val="22"/>
          <w:lang w:eastAsia="en-AU"/>
        </w:rPr>
        <w:lastRenderedPageBreak/>
        <w:t>The complaint was resolved by conciliation by agreement on the terms of $3,000 general damages;</w:t>
      </w:r>
      <w:r w:rsidR="00803E9C">
        <w:rPr>
          <w:szCs w:val="22"/>
          <w:lang w:eastAsia="en-AU"/>
        </w:rPr>
        <w:t xml:space="preserve"> </w:t>
      </w:r>
      <w:r w:rsidRPr="00D8384D">
        <w:rPr>
          <w:szCs w:val="22"/>
          <w:lang w:eastAsia="en-AU"/>
        </w:rPr>
        <w:t xml:space="preserve">$720 special damages for medical expenses; waiver of all school fees owed; </w:t>
      </w:r>
      <w:r w:rsidR="00DF2432">
        <w:rPr>
          <w:szCs w:val="22"/>
          <w:lang w:eastAsia="en-AU"/>
        </w:rPr>
        <w:t xml:space="preserve">and that </w:t>
      </w:r>
      <w:r w:rsidRPr="00D8384D">
        <w:rPr>
          <w:szCs w:val="22"/>
          <w:lang w:eastAsia="en-AU"/>
        </w:rPr>
        <w:t>policies</w:t>
      </w:r>
      <w:r w:rsidR="00DF2432">
        <w:rPr>
          <w:szCs w:val="22"/>
          <w:lang w:eastAsia="en-AU"/>
        </w:rPr>
        <w:t xml:space="preserve"> and </w:t>
      </w:r>
      <w:r w:rsidRPr="00D8384D">
        <w:rPr>
          <w:szCs w:val="22"/>
          <w:lang w:eastAsia="en-AU"/>
        </w:rPr>
        <w:t>procedures</w:t>
      </w:r>
      <w:r w:rsidR="00DF2432">
        <w:rPr>
          <w:szCs w:val="22"/>
          <w:lang w:eastAsia="en-AU"/>
        </w:rPr>
        <w:t xml:space="preserve"> would be reviewed, revised and implemented - </w:t>
      </w:r>
      <w:r w:rsidRPr="00D8384D">
        <w:rPr>
          <w:szCs w:val="22"/>
          <w:lang w:eastAsia="en-AU"/>
        </w:rPr>
        <w:t>specifically, improved communication with parents/guardians, improved management of students with challenging behaviours and improved complaint management.</w:t>
      </w:r>
    </w:p>
    <w:p w14:paraId="48DEAC4C" w14:textId="2083CFB2" w:rsidR="003D06E1" w:rsidRPr="00D8384D" w:rsidRDefault="003D06E1" w:rsidP="00200EC1">
      <w:pPr>
        <w:pStyle w:val="Heading3"/>
        <w:rPr>
          <w:lang w:eastAsia="en-AU"/>
        </w:rPr>
      </w:pPr>
      <w:r w:rsidRPr="00D8384D">
        <w:rPr>
          <w:lang w:eastAsia="en-AU"/>
        </w:rPr>
        <w:t xml:space="preserve">Legally </w:t>
      </w:r>
      <w:r w:rsidR="00DF2432">
        <w:rPr>
          <w:lang w:eastAsia="en-AU"/>
        </w:rPr>
        <w:t>b</w:t>
      </w:r>
      <w:r w:rsidRPr="00D8384D">
        <w:rPr>
          <w:lang w:eastAsia="en-AU"/>
        </w:rPr>
        <w:t>lind resident provided with a safe path of travel</w:t>
      </w:r>
    </w:p>
    <w:p w14:paraId="2184B122" w14:textId="608E4B00" w:rsidR="003D06E1" w:rsidRPr="00D8384D" w:rsidRDefault="003D06E1" w:rsidP="00200EC1">
      <w:pPr>
        <w:rPr>
          <w:i/>
          <w:szCs w:val="22"/>
          <w:lang w:eastAsia="en-AU"/>
        </w:rPr>
      </w:pPr>
      <w:r w:rsidRPr="00D8384D">
        <w:rPr>
          <w:szCs w:val="22"/>
          <w:lang w:eastAsia="en-AU"/>
        </w:rPr>
        <w:t>The complainant was legally blind and complained that there was inadequate lighting, signs, crossings and tactile indicators in the high traffic area where she resided.</w:t>
      </w:r>
      <w:r w:rsidR="00803E9C">
        <w:rPr>
          <w:szCs w:val="22"/>
          <w:lang w:eastAsia="en-AU"/>
        </w:rPr>
        <w:t xml:space="preserve"> </w:t>
      </w:r>
      <w:r w:rsidRPr="00D8384D">
        <w:rPr>
          <w:szCs w:val="22"/>
          <w:lang w:eastAsia="en-AU"/>
        </w:rPr>
        <w:t>This meant she did not have access to a clear and safe path of travel.</w:t>
      </w:r>
      <w:r w:rsidR="00803E9C">
        <w:rPr>
          <w:szCs w:val="22"/>
          <w:lang w:eastAsia="en-AU"/>
        </w:rPr>
        <w:t xml:space="preserve"> </w:t>
      </w:r>
      <w:r w:rsidRPr="00D8384D">
        <w:rPr>
          <w:szCs w:val="22"/>
          <w:lang w:eastAsia="en-AU"/>
        </w:rPr>
        <w:t>The respondent local council lodged a detailed written response stating they had complied with regulatory standards but were also looking into in the complainant’s concerns and further works were planned.</w:t>
      </w:r>
      <w:r w:rsidR="00803E9C">
        <w:rPr>
          <w:szCs w:val="22"/>
          <w:lang w:eastAsia="en-AU"/>
        </w:rPr>
        <w:t xml:space="preserve"> </w:t>
      </w:r>
      <w:r w:rsidRPr="00D8384D">
        <w:rPr>
          <w:szCs w:val="22"/>
          <w:lang w:eastAsia="en-AU"/>
        </w:rPr>
        <w:t>Detailed diagrams and photos of different sites were provided.</w:t>
      </w:r>
      <w:r w:rsidR="00803E9C">
        <w:rPr>
          <w:szCs w:val="22"/>
          <w:lang w:eastAsia="en-AU"/>
        </w:rPr>
        <w:t xml:space="preserve"> </w:t>
      </w:r>
      <w:r w:rsidRPr="00D8384D">
        <w:rPr>
          <w:szCs w:val="22"/>
          <w:lang w:eastAsia="en-AU"/>
        </w:rPr>
        <w:t>Pre-conference communication with the complainant and the council representative led to productive conference discussions involving an expert in regulatory requirements and the council representative responsible for works of this nature.</w:t>
      </w:r>
      <w:r w:rsidR="00803E9C">
        <w:rPr>
          <w:szCs w:val="22"/>
          <w:lang w:eastAsia="en-AU"/>
        </w:rPr>
        <w:t xml:space="preserve"> </w:t>
      </w:r>
      <w:r w:rsidRPr="00D8384D">
        <w:rPr>
          <w:szCs w:val="22"/>
          <w:lang w:eastAsia="en-AU"/>
        </w:rPr>
        <w:t xml:space="preserve">Post-conference negotiations led to significant council works that addressed every safety concern and the matter settled by conciliation agreement on the basis that the complainant was satisfied with discussions at conference and the council works that had been completed addressing all of her concerns. </w:t>
      </w:r>
    </w:p>
    <w:p w14:paraId="7A8C30CD" w14:textId="77777777" w:rsidR="003D06E1" w:rsidRPr="007E71F9" w:rsidRDefault="003D06E1" w:rsidP="00200EC1">
      <w:pPr>
        <w:pStyle w:val="Heading3"/>
        <w:rPr>
          <w:lang w:eastAsia="en-AU"/>
        </w:rPr>
      </w:pPr>
      <w:r w:rsidRPr="007E71F9">
        <w:rPr>
          <w:lang w:eastAsia="en-AU"/>
        </w:rPr>
        <w:t xml:space="preserve">Church </w:t>
      </w:r>
      <w:r>
        <w:rPr>
          <w:lang w:eastAsia="en-AU"/>
        </w:rPr>
        <w:t>excluded and restricted</w:t>
      </w:r>
      <w:r w:rsidRPr="007E71F9">
        <w:rPr>
          <w:lang w:eastAsia="en-AU"/>
        </w:rPr>
        <w:t xml:space="preserve"> </w:t>
      </w:r>
      <w:r>
        <w:rPr>
          <w:lang w:eastAsia="en-AU"/>
        </w:rPr>
        <w:t xml:space="preserve">congregation member </w:t>
      </w:r>
      <w:r w:rsidRPr="007E71F9">
        <w:rPr>
          <w:lang w:eastAsia="en-AU"/>
        </w:rPr>
        <w:t xml:space="preserve">with disability </w:t>
      </w:r>
    </w:p>
    <w:p w14:paraId="6F39254D" w14:textId="1720AA9D" w:rsidR="003D06E1" w:rsidRPr="007E71F9" w:rsidRDefault="003D06E1" w:rsidP="00200EC1">
      <w:pPr>
        <w:rPr>
          <w:i/>
          <w:szCs w:val="22"/>
          <w:lang w:eastAsia="en-AU"/>
        </w:rPr>
      </w:pPr>
      <w:r w:rsidRPr="007E71F9">
        <w:rPr>
          <w:szCs w:val="22"/>
          <w:lang w:eastAsia="en-AU"/>
        </w:rPr>
        <w:t>This was a joint complaint made by a mother on behalf of herself and her adult (18 y</w:t>
      </w:r>
      <w:r w:rsidR="0071026E">
        <w:rPr>
          <w:szCs w:val="22"/>
          <w:lang w:eastAsia="en-AU"/>
        </w:rPr>
        <w:t>ear</w:t>
      </w:r>
      <w:r w:rsidRPr="007E71F9">
        <w:rPr>
          <w:szCs w:val="22"/>
          <w:lang w:eastAsia="en-AU"/>
        </w:rPr>
        <w:t xml:space="preserve"> old) son against a church, its clergy and certain members of the congregation.</w:t>
      </w:r>
      <w:r w:rsidR="00803E9C">
        <w:rPr>
          <w:szCs w:val="22"/>
          <w:lang w:eastAsia="en-AU"/>
        </w:rPr>
        <w:t xml:space="preserve"> </w:t>
      </w:r>
      <w:r>
        <w:rPr>
          <w:szCs w:val="22"/>
          <w:lang w:eastAsia="en-AU"/>
        </w:rPr>
        <w:t xml:space="preserve">The mother </w:t>
      </w:r>
      <w:r w:rsidRPr="007E71F9">
        <w:rPr>
          <w:szCs w:val="22"/>
          <w:lang w:eastAsia="en-AU"/>
        </w:rPr>
        <w:t xml:space="preserve">alleged that </w:t>
      </w:r>
      <w:r>
        <w:rPr>
          <w:szCs w:val="22"/>
          <w:lang w:eastAsia="en-AU"/>
        </w:rPr>
        <w:t>her son</w:t>
      </w:r>
      <w:r w:rsidRPr="007E71F9">
        <w:rPr>
          <w:szCs w:val="22"/>
          <w:lang w:eastAsia="en-AU"/>
        </w:rPr>
        <w:t xml:space="preserve"> had ten separate and significant disabilities including severe physical, sensory (hearing and vision) and intellectual impairments.</w:t>
      </w:r>
      <w:r w:rsidR="00803E9C">
        <w:rPr>
          <w:szCs w:val="22"/>
          <w:lang w:eastAsia="en-AU"/>
        </w:rPr>
        <w:t xml:space="preserve"> </w:t>
      </w:r>
      <w:r>
        <w:rPr>
          <w:szCs w:val="22"/>
          <w:lang w:eastAsia="en-AU"/>
        </w:rPr>
        <w:t xml:space="preserve">He </w:t>
      </w:r>
      <w:r w:rsidRPr="007E71F9">
        <w:rPr>
          <w:szCs w:val="22"/>
          <w:lang w:eastAsia="en-AU"/>
        </w:rPr>
        <w:t>used a wheelchair and required oxygen</w:t>
      </w:r>
      <w:r>
        <w:rPr>
          <w:szCs w:val="22"/>
          <w:lang w:eastAsia="en-AU"/>
        </w:rPr>
        <w:t>, and his</w:t>
      </w:r>
      <w:r w:rsidRPr="007E71F9">
        <w:rPr>
          <w:szCs w:val="22"/>
          <w:lang w:eastAsia="en-AU"/>
        </w:rPr>
        <w:t xml:space="preserve"> intellectual impairments affected his behaviour.</w:t>
      </w:r>
      <w:r w:rsidR="00803E9C">
        <w:rPr>
          <w:szCs w:val="22"/>
          <w:lang w:eastAsia="en-AU"/>
        </w:rPr>
        <w:t xml:space="preserve"> </w:t>
      </w:r>
    </w:p>
    <w:p w14:paraId="7E58EC7C" w14:textId="6688C272" w:rsidR="003D06E1" w:rsidRPr="007E71F9" w:rsidRDefault="003D06E1" w:rsidP="00200EC1">
      <w:pPr>
        <w:rPr>
          <w:i/>
          <w:szCs w:val="22"/>
          <w:lang w:eastAsia="en-AU"/>
        </w:rPr>
      </w:pPr>
      <w:r>
        <w:rPr>
          <w:szCs w:val="22"/>
          <w:lang w:eastAsia="en-AU"/>
        </w:rPr>
        <w:t>The mother ha</w:t>
      </w:r>
      <w:r w:rsidR="0071026E">
        <w:rPr>
          <w:szCs w:val="22"/>
          <w:lang w:eastAsia="en-AU"/>
        </w:rPr>
        <w:t>d</w:t>
      </w:r>
      <w:r>
        <w:rPr>
          <w:szCs w:val="22"/>
          <w:lang w:eastAsia="en-AU"/>
        </w:rPr>
        <w:t xml:space="preserve"> been </w:t>
      </w:r>
      <w:r w:rsidRPr="007E71F9">
        <w:rPr>
          <w:szCs w:val="22"/>
          <w:lang w:eastAsia="en-AU"/>
        </w:rPr>
        <w:t>an active member of a church congregation since 1996</w:t>
      </w:r>
      <w:r>
        <w:rPr>
          <w:szCs w:val="22"/>
          <w:lang w:eastAsia="en-AU"/>
        </w:rPr>
        <w:t>, and had been bringing her son to church with her since he was around 6 years old.</w:t>
      </w:r>
      <w:r w:rsidR="00803E9C">
        <w:rPr>
          <w:szCs w:val="22"/>
          <w:lang w:eastAsia="en-AU"/>
        </w:rPr>
        <w:t xml:space="preserve"> </w:t>
      </w:r>
      <w:r>
        <w:rPr>
          <w:szCs w:val="22"/>
          <w:lang w:eastAsia="en-AU"/>
        </w:rPr>
        <w:t xml:space="preserve">The mother </w:t>
      </w:r>
      <w:r w:rsidRPr="007E71F9">
        <w:rPr>
          <w:szCs w:val="22"/>
          <w:lang w:eastAsia="en-AU"/>
        </w:rPr>
        <w:t xml:space="preserve">alleged that the </w:t>
      </w:r>
      <w:r w:rsidR="0071026E">
        <w:rPr>
          <w:szCs w:val="22"/>
          <w:lang w:eastAsia="en-AU"/>
        </w:rPr>
        <w:t>c</w:t>
      </w:r>
      <w:r w:rsidRPr="007E71F9">
        <w:rPr>
          <w:szCs w:val="22"/>
          <w:lang w:eastAsia="en-AU"/>
        </w:rPr>
        <w:t xml:space="preserve">hurch, its clergy and various members of the congregation </w:t>
      </w:r>
      <w:r>
        <w:rPr>
          <w:szCs w:val="22"/>
          <w:lang w:eastAsia="en-AU"/>
        </w:rPr>
        <w:t>treated her and her son in the following discriminatory ways</w:t>
      </w:r>
      <w:r w:rsidRPr="007E71F9">
        <w:rPr>
          <w:szCs w:val="22"/>
          <w:lang w:eastAsia="en-AU"/>
        </w:rPr>
        <w:t xml:space="preserve"> from 2006 to December 2018</w:t>
      </w:r>
      <w:r>
        <w:rPr>
          <w:szCs w:val="22"/>
          <w:lang w:eastAsia="en-AU"/>
        </w:rPr>
        <w:t>:</w:t>
      </w:r>
    </w:p>
    <w:p w14:paraId="34755871" w14:textId="00BA0B33" w:rsidR="003D06E1" w:rsidRPr="007E71F9" w:rsidRDefault="003D06E1" w:rsidP="00200EC1">
      <w:pPr>
        <w:rPr>
          <w:i/>
          <w:szCs w:val="22"/>
          <w:lang w:eastAsia="en-AU"/>
        </w:rPr>
      </w:pPr>
      <w:r w:rsidRPr="007E71F9">
        <w:rPr>
          <w:szCs w:val="22"/>
          <w:lang w:eastAsia="en-AU"/>
        </w:rPr>
        <w:t xml:space="preserve">Writing a letter to </w:t>
      </w:r>
      <w:r>
        <w:rPr>
          <w:szCs w:val="22"/>
          <w:lang w:eastAsia="en-AU"/>
        </w:rPr>
        <w:t xml:space="preserve">the mother </w:t>
      </w:r>
      <w:r w:rsidRPr="007E71F9">
        <w:rPr>
          <w:szCs w:val="22"/>
          <w:lang w:eastAsia="en-AU"/>
        </w:rPr>
        <w:t xml:space="preserve">“on behalf of the clergy and congregation” suggesting that </w:t>
      </w:r>
      <w:r>
        <w:rPr>
          <w:szCs w:val="22"/>
          <w:lang w:eastAsia="en-AU"/>
        </w:rPr>
        <w:t xml:space="preserve">the son’s </w:t>
      </w:r>
      <w:r w:rsidRPr="007E71F9">
        <w:rPr>
          <w:szCs w:val="22"/>
          <w:lang w:eastAsia="en-AU"/>
        </w:rPr>
        <w:t>behaviour was disrespectful and stating that the church “is so pleasant and peaceful when you’re not there”</w:t>
      </w:r>
      <w:r w:rsidR="0071026E">
        <w:rPr>
          <w:szCs w:val="22"/>
          <w:lang w:eastAsia="en-AU"/>
        </w:rPr>
        <w:t>;</w:t>
      </w:r>
    </w:p>
    <w:p w14:paraId="14CEC996" w14:textId="77777777" w:rsidR="003D06E1" w:rsidRPr="007E71F9" w:rsidRDefault="003D06E1" w:rsidP="00200EC1">
      <w:pPr>
        <w:rPr>
          <w:i/>
          <w:szCs w:val="22"/>
          <w:lang w:eastAsia="en-AU"/>
        </w:rPr>
      </w:pPr>
      <w:r w:rsidRPr="007E71F9">
        <w:rPr>
          <w:szCs w:val="22"/>
          <w:lang w:eastAsia="en-AU"/>
        </w:rPr>
        <w:t xml:space="preserve">Excluding </w:t>
      </w:r>
      <w:r>
        <w:rPr>
          <w:szCs w:val="22"/>
          <w:lang w:eastAsia="en-AU"/>
        </w:rPr>
        <w:t xml:space="preserve">the mother and son </w:t>
      </w:r>
      <w:r w:rsidRPr="007E71F9">
        <w:rPr>
          <w:szCs w:val="22"/>
          <w:lang w:eastAsia="en-AU"/>
        </w:rPr>
        <w:t>from church activities and placing restrictions on where they should sit in the church, effectively excluding them from the main area where most the congregation sat;</w:t>
      </w:r>
    </w:p>
    <w:p w14:paraId="5C182D7F" w14:textId="115CEB0E" w:rsidR="003D06E1" w:rsidRPr="007E71F9" w:rsidRDefault="003D06E1" w:rsidP="00200EC1">
      <w:pPr>
        <w:rPr>
          <w:i/>
          <w:szCs w:val="22"/>
          <w:lang w:eastAsia="en-AU"/>
        </w:rPr>
      </w:pPr>
      <w:r w:rsidRPr="007E71F9">
        <w:rPr>
          <w:szCs w:val="22"/>
          <w:lang w:eastAsia="en-AU"/>
        </w:rPr>
        <w:t xml:space="preserve">Unfairly blaming </w:t>
      </w:r>
      <w:r>
        <w:rPr>
          <w:szCs w:val="22"/>
          <w:lang w:eastAsia="en-AU"/>
        </w:rPr>
        <w:t xml:space="preserve">the son </w:t>
      </w:r>
      <w:r w:rsidRPr="007E71F9">
        <w:rPr>
          <w:szCs w:val="22"/>
          <w:lang w:eastAsia="en-AU"/>
        </w:rPr>
        <w:t xml:space="preserve">and/or falsely accusing </w:t>
      </w:r>
      <w:r>
        <w:rPr>
          <w:szCs w:val="22"/>
          <w:lang w:eastAsia="en-AU"/>
        </w:rPr>
        <w:t>him</w:t>
      </w:r>
      <w:r w:rsidRPr="007E71F9">
        <w:rPr>
          <w:szCs w:val="22"/>
          <w:lang w:eastAsia="en-AU"/>
        </w:rPr>
        <w:t xml:space="preserve"> of</w:t>
      </w:r>
      <w:r w:rsidR="0071026E">
        <w:rPr>
          <w:szCs w:val="22"/>
          <w:lang w:eastAsia="en-AU"/>
        </w:rPr>
        <w:t xml:space="preserve"> </w:t>
      </w:r>
      <w:r w:rsidRPr="007E71F9">
        <w:rPr>
          <w:szCs w:val="22"/>
          <w:lang w:eastAsia="en-AU"/>
        </w:rPr>
        <w:t>certain behaviour which either didn’t occur, or was behaviour characteristic of one or more of his impairments;</w:t>
      </w:r>
    </w:p>
    <w:p w14:paraId="26964F35" w14:textId="7A5004D4" w:rsidR="003D06E1" w:rsidRPr="007E71F9" w:rsidRDefault="003D06E1" w:rsidP="00200EC1">
      <w:pPr>
        <w:rPr>
          <w:i/>
          <w:szCs w:val="22"/>
          <w:lang w:eastAsia="en-AU"/>
        </w:rPr>
      </w:pPr>
      <w:r w:rsidRPr="007E71F9">
        <w:rPr>
          <w:szCs w:val="22"/>
          <w:lang w:eastAsia="en-AU"/>
        </w:rPr>
        <w:lastRenderedPageBreak/>
        <w:t xml:space="preserve">After an incident in which </w:t>
      </w:r>
      <w:r>
        <w:rPr>
          <w:szCs w:val="22"/>
          <w:lang w:eastAsia="en-AU"/>
        </w:rPr>
        <w:t xml:space="preserve">the son’s </w:t>
      </w:r>
      <w:r w:rsidRPr="007E71F9">
        <w:rPr>
          <w:szCs w:val="22"/>
          <w:lang w:eastAsia="en-AU"/>
        </w:rPr>
        <w:t>oxygen trolley accidentally fell and knocked a bystander (who was unharmed), imposing restrictions on the use of his</w:t>
      </w:r>
      <w:r w:rsidR="00200EC1">
        <w:rPr>
          <w:szCs w:val="22"/>
          <w:lang w:eastAsia="en-AU"/>
        </w:rPr>
        <w:t xml:space="preserve"> </w:t>
      </w:r>
      <w:r w:rsidRPr="007E71F9">
        <w:rPr>
          <w:szCs w:val="22"/>
          <w:lang w:eastAsia="en-AU"/>
        </w:rPr>
        <w:t>oxygen, allegedly for workplace health and safety reasons.</w:t>
      </w:r>
      <w:r w:rsidR="00803E9C">
        <w:rPr>
          <w:szCs w:val="22"/>
          <w:lang w:eastAsia="en-AU"/>
        </w:rPr>
        <w:t xml:space="preserve"> </w:t>
      </w:r>
    </w:p>
    <w:p w14:paraId="3C1D1BA4" w14:textId="3607D204" w:rsidR="003D06E1" w:rsidRPr="007E71F9" w:rsidRDefault="003D06E1" w:rsidP="00200EC1">
      <w:pPr>
        <w:rPr>
          <w:i/>
          <w:szCs w:val="22"/>
          <w:lang w:eastAsia="en-AU"/>
        </w:rPr>
      </w:pPr>
      <w:r>
        <w:rPr>
          <w:szCs w:val="22"/>
          <w:lang w:eastAsia="en-AU"/>
        </w:rPr>
        <w:t xml:space="preserve">The mother and son </w:t>
      </w:r>
      <w:r w:rsidRPr="007E71F9">
        <w:rPr>
          <w:szCs w:val="22"/>
          <w:lang w:eastAsia="en-AU"/>
        </w:rPr>
        <w:t>eventually left the congregation and attended another church</w:t>
      </w:r>
      <w:r w:rsidR="0071026E">
        <w:rPr>
          <w:szCs w:val="22"/>
          <w:lang w:eastAsia="en-AU"/>
        </w:rPr>
        <w:t xml:space="preserve">, </w:t>
      </w:r>
      <w:r w:rsidR="0071026E" w:rsidRPr="007E71F9">
        <w:rPr>
          <w:szCs w:val="22"/>
          <w:lang w:eastAsia="en-AU"/>
        </w:rPr>
        <w:t>but the complaint allege</w:t>
      </w:r>
      <w:r w:rsidR="0071026E">
        <w:rPr>
          <w:szCs w:val="22"/>
          <w:lang w:eastAsia="en-AU"/>
        </w:rPr>
        <w:t>d that discrimination continued</w:t>
      </w:r>
      <w:r>
        <w:rPr>
          <w:szCs w:val="22"/>
          <w:lang w:eastAsia="en-AU"/>
        </w:rPr>
        <w:t xml:space="preserve">. </w:t>
      </w:r>
      <w:r w:rsidRPr="007E71F9">
        <w:rPr>
          <w:szCs w:val="22"/>
          <w:lang w:eastAsia="en-AU"/>
        </w:rPr>
        <w:t xml:space="preserve">After a conciliation conference and subsequent negotiations, the parties reached an agreement that, amongst other things, provided for: </w:t>
      </w:r>
    </w:p>
    <w:p w14:paraId="43BA494E" w14:textId="77777777" w:rsidR="003D06E1" w:rsidRPr="00200EC1" w:rsidRDefault="003D06E1" w:rsidP="005329BF">
      <w:pPr>
        <w:pStyle w:val="ListParagraph"/>
        <w:numPr>
          <w:ilvl w:val="0"/>
          <w:numId w:val="27"/>
        </w:numPr>
        <w:rPr>
          <w:i/>
          <w:szCs w:val="22"/>
          <w:lang w:eastAsia="en-AU"/>
        </w:rPr>
      </w:pPr>
      <w:r w:rsidRPr="00200EC1">
        <w:rPr>
          <w:szCs w:val="22"/>
          <w:lang w:eastAsia="en-AU"/>
        </w:rPr>
        <w:t>The son’s input into a working group to develop a Disability Access and Action Plan for the respondent;</w:t>
      </w:r>
    </w:p>
    <w:p w14:paraId="5C9B104C" w14:textId="33EF4338" w:rsidR="003D06E1" w:rsidRPr="00200EC1" w:rsidRDefault="003D06E1" w:rsidP="005329BF">
      <w:pPr>
        <w:pStyle w:val="ListParagraph"/>
        <w:numPr>
          <w:ilvl w:val="0"/>
          <w:numId w:val="27"/>
        </w:numPr>
        <w:rPr>
          <w:i/>
          <w:szCs w:val="22"/>
          <w:lang w:eastAsia="en-AU"/>
        </w:rPr>
      </w:pPr>
      <w:r w:rsidRPr="00200EC1">
        <w:rPr>
          <w:szCs w:val="22"/>
          <w:lang w:eastAsia="en-AU"/>
        </w:rPr>
        <w:t>A meeting between the mother, a senior member of the clergy and an independent consultant with expertise in the inclusion of people with disabilities, workplace health and safety and risk management, to develop a disability support plan to facilitate the son’s return to regular worship at the church;</w:t>
      </w:r>
      <w:r w:rsidR="0071026E" w:rsidRPr="00200EC1">
        <w:rPr>
          <w:szCs w:val="22"/>
          <w:lang w:eastAsia="en-AU"/>
        </w:rPr>
        <w:t xml:space="preserve"> and</w:t>
      </w:r>
    </w:p>
    <w:p w14:paraId="43CD2114" w14:textId="77777777" w:rsidR="003D06E1" w:rsidRPr="00200EC1" w:rsidRDefault="003D06E1" w:rsidP="005329BF">
      <w:pPr>
        <w:pStyle w:val="ListParagraph"/>
        <w:numPr>
          <w:ilvl w:val="0"/>
          <w:numId w:val="27"/>
        </w:numPr>
        <w:rPr>
          <w:i/>
          <w:szCs w:val="22"/>
          <w:lang w:eastAsia="en-AU"/>
        </w:rPr>
      </w:pPr>
      <w:r w:rsidRPr="00200EC1">
        <w:rPr>
          <w:szCs w:val="22"/>
          <w:lang w:eastAsia="en-AU"/>
        </w:rPr>
        <w:t xml:space="preserve">Payment of a small sum as general damages. </w:t>
      </w:r>
    </w:p>
    <w:p w14:paraId="189F6286" w14:textId="77777777" w:rsidR="003D06E1" w:rsidRPr="00D26B58" w:rsidRDefault="003D06E1" w:rsidP="00200EC1">
      <w:pPr>
        <w:pStyle w:val="Heading3"/>
        <w:rPr>
          <w:lang w:eastAsia="en-AU"/>
        </w:rPr>
      </w:pPr>
      <w:r w:rsidRPr="00D26B58">
        <w:rPr>
          <w:lang w:eastAsia="en-AU"/>
        </w:rPr>
        <w:t>Bank provides sit-down transaction facilities</w:t>
      </w:r>
    </w:p>
    <w:p w14:paraId="35936BF9" w14:textId="77777777" w:rsidR="003D06E1" w:rsidRPr="00D26B58" w:rsidRDefault="003D06E1" w:rsidP="00200EC1">
      <w:pPr>
        <w:rPr>
          <w:i/>
          <w:szCs w:val="22"/>
          <w:lang w:eastAsia="en-AU"/>
        </w:rPr>
      </w:pPr>
      <w:r>
        <w:rPr>
          <w:szCs w:val="22"/>
          <w:lang w:eastAsia="en-AU"/>
        </w:rPr>
        <w:t>The complainant had a disability that caused her to experience excruciating pain when walking or standing.</w:t>
      </w:r>
      <w:r w:rsidR="00803E9C">
        <w:rPr>
          <w:szCs w:val="22"/>
          <w:lang w:eastAsia="en-AU"/>
        </w:rPr>
        <w:t xml:space="preserve"> </w:t>
      </w:r>
      <w:r>
        <w:rPr>
          <w:szCs w:val="22"/>
          <w:lang w:eastAsia="en-AU"/>
        </w:rPr>
        <w:t xml:space="preserve">She complained that she </w:t>
      </w:r>
      <w:r w:rsidRPr="00D26B58">
        <w:rPr>
          <w:szCs w:val="22"/>
          <w:lang w:eastAsia="en-AU"/>
        </w:rPr>
        <w:t>was not provided adequate seating whe</w:t>
      </w:r>
      <w:r>
        <w:rPr>
          <w:szCs w:val="22"/>
          <w:lang w:eastAsia="en-AU"/>
        </w:rPr>
        <w:t>n using her local bank so she could not effectively do her banking.</w:t>
      </w:r>
      <w:r w:rsidR="00803E9C">
        <w:rPr>
          <w:szCs w:val="22"/>
          <w:lang w:eastAsia="en-AU"/>
        </w:rPr>
        <w:t xml:space="preserve"> </w:t>
      </w:r>
    </w:p>
    <w:p w14:paraId="73A1F942" w14:textId="5A33BC53" w:rsidR="003D06E1" w:rsidRPr="00D26B58" w:rsidRDefault="003D06E1" w:rsidP="00200EC1">
      <w:pPr>
        <w:rPr>
          <w:i/>
          <w:szCs w:val="22"/>
          <w:lang w:eastAsia="en-AU"/>
        </w:rPr>
      </w:pPr>
      <w:r>
        <w:rPr>
          <w:szCs w:val="22"/>
          <w:lang w:eastAsia="en-AU"/>
        </w:rPr>
        <w:t xml:space="preserve">The complaint was resolved through early negotiations on the basis that the bank would provide adequate sit down facilities at its local branches, appropriate security for those facilities, </w:t>
      </w:r>
      <w:r w:rsidRPr="00D26B58">
        <w:rPr>
          <w:szCs w:val="22"/>
          <w:lang w:eastAsia="en-AU"/>
        </w:rPr>
        <w:t xml:space="preserve">additional customer service training </w:t>
      </w:r>
      <w:r>
        <w:rPr>
          <w:szCs w:val="22"/>
          <w:lang w:eastAsia="en-AU"/>
        </w:rPr>
        <w:t xml:space="preserve">for its staff </w:t>
      </w:r>
      <w:r w:rsidR="0071026E">
        <w:rPr>
          <w:szCs w:val="22"/>
          <w:lang w:eastAsia="en-AU"/>
        </w:rPr>
        <w:t>including in</w:t>
      </w:r>
      <w:r w:rsidRPr="00D26B58">
        <w:rPr>
          <w:szCs w:val="22"/>
          <w:lang w:eastAsia="en-AU"/>
        </w:rPr>
        <w:t xml:space="preserve"> </w:t>
      </w:r>
      <w:r w:rsidR="0071026E">
        <w:rPr>
          <w:szCs w:val="22"/>
          <w:lang w:eastAsia="en-AU"/>
        </w:rPr>
        <w:t>a</w:t>
      </w:r>
      <w:r w:rsidRPr="00D26B58">
        <w:rPr>
          <w:szCs w:val="22"/>
          <w:lang w:eastAsia="en-AU"/>
        </w:rPr>
        <w:t>nti-</w:t>
      </w:r>
      <w:r w:rsidR="0071026E">
        <w:rPr>
          <w:szCs w:val="22"/>
          <w:lang w:eastAsia="en-AU"/>
        </w:rPr>
        <w:t>d</w:t>
      </w:r>
      <w:r w:rsidRPr="00D26B58">
        <w:rPr>
          <w:szCs w:val="22"/>
          <w:lang w:eastAsia="en-AU"/>
        </w:rPr>
        <w:t>iscrimination and awareness</w:t>
      </w:r>
      <w:r>
        <w:rPr>
          <w:szCs w:val="22"/>
          <w:lang w:eastAsia="en-AU"/>
        </w:rPr>
        <w:t xml:space="preserve">, and a </w:t>
      </w:r>
      <w:r w:rsidRPr="00D26B58">
        <w:rPr>
          <w:szCs w:val="22"/>
          <w:lang w:eastAsia="en-AU"/>
        </w:rPr>
        <w:t xml:space="preserve">meeting </w:t>
      </w:r>
      <w:r>
        <w:rPr>
          <w:szCs w:val="22"/>
          <w:lang w:eastAsia="en-AU"/>
        </w:rPr>
        <w:t xml:space="preserve">between the complainant and the bank </w:t>
      </w:r>
      <w:r w:rsidRPr="00D26B58">
        <w:rPr>
          <w:szCs w:val="22"/>
          <w:lang w:eastAsia="en-AU"/>
        </w:rPr>
        <w:t xml:space="preserve">executives to ensure that </w:t>
      </w:r>
      <w:r>
        <w:rPr>
          <w:szCs w:val="22"/>
          <w:lang w:eastAsia="en-AU"/>
        </w:rPr>
        <w:t>the banking facilities were accessible for the complainant,</w:t>
      </w:r>
      <w:r w:rsidRPr="00D26B58">
        <w:rPr>
          <w:szCs w:val="22"/>
          <w:lang w:eastAsia="en-AU"/>
        </w:rPr>
        <w:t xml:space="preserve"> and to deliver face to face verbal apology.</w:t>
      </w:r>
    </w:p>
    <w:p w14:paraId="27E455F5" w14:textId="77777777" w:rsidR="003D06E1" w:rsidRPr="002D025F" w:rsidRDefault="003D06E1" w:rsidP="00200EC1">
      <w:pPr>
        <w:pStyle w:val="Heading2"/>
      </w:pPr>
      <w:r w:rsidRPr="002D025F">
        <w:t>Evaluation</w:t>
      </w:r>
    </w:p>
    <w:p w14:paraId="7DC270F1" w14:textId="77777777" w:rsidR="003D06E1" w:rsidRPr="002D025F" w:rsidRDefault="003D06E1" w:rsidP="00200EC1">
      <w:pPr>
        <w:rPr>
          <w:i/>
          <w:szCs w:val="22"/>
          <w:lang w:eastAsia="en-AU"/>
        </w:rPr>
      </w:pPr>
      <w:r w:rsidRPr="002D025F">
        <w:rPr>
          <w:szCs w:val="22"/>
          <w:lang w:eastAsia="en-AU"/>
        </w:rPr>
        <w:t>Following each conciliation conference, complaint parties are asked to evaluate the ADCQ complaint process based on a variety of factors including:</w:t>
      </w:r>
    </w:p>
    <w:p w14:paraId="2773BEB2" w14:textId="705D1B32" w:rsidR="003D06E1" w:rsidRPr="00200EC1" w:rsidRDefault="003D06E1" w:rsidP="005329BF">
      <w:pPr>
        <w:pStyle w:val="ListParagraph"/>
        <w:numPr>
          <w:ilvl w:val="0"/>
          <w:numId w:val="28"/>
        </w:numPr>
        <w:rPr>
          <w:i/>
          <w:szCs w:val="22"/>
          <w:lang w:val="en" w:eastAsia="en-AU"/>
        </w:rPr>
      </w:pPr>
      <w:r w:rsidRPr="00200EC1">
        <w:rPr>
          <w:szCs w:val="22"/>
          <w:lang w:val="en" w:eastAsia="en-AU"/>
        </w:rPr>
        <w:t>outcome of the complaint</w:t>
      </w:r>
      <w:r w:rsidR="0071026E" w:rsidRPr="00200EC1">
        <w:rPr>
          <w:szCs w:val="22"/>
          <w:lang w:val="en" w:eastAsia="en-AU"/>
        </w:rPr>
        <w:t>;</w:t>
      </w:r>
    </w:p>
    <w:p w14:paraId="1E6770EF" w14:textId="4C3D00A8" w:rsidR="003D06E1" w:rsidRPr="00200EC1" w:rsidRDefault="003D06E1" w:rsidP="005329BF">
      <w:pPr>
        <w:pStyle w:val="ListParagraph"/>
        <w:numPr>
          <w:ilvl w:val="0"/>
          <w:numId w:val="28"/>
        </w:numPr>
        <w:rPr>
          <w:i/>
          <w:szCs w:val="22"/>
          <w:lang w:val="en" w:eastAsia="en-AU"/>
        </w:rPr>
      </w:pPr>
      <w:r w:rsidRPr="00200EC1">
        <w:rPr>
          <w:szCs w:val="22"/>
          <w:lang w:val="en" w:eastAsia="en-AU"/>
        </w:rPr>
        <w:t>fairness of the process</w:t>
      </w:r>
      <w:r w:rsidR="0071026E" w:rsidRPr="00200EC1">
        <w:rPr>
          <w:szCs w:val="22"/>
          <w:lang w:val="en" w:eastAsia="en-AU"/>
        </w:rPr>
        <w:t>;</w:t>
      </w:r>
    </w:p>
    <w:p w14:paraId="01643222" w14:textId="734A4765" w:rsidR="003D06E1" w:rsidRPr="00200EC1" w:rsidRDefault="003D06E1" w:rsidP="005329BF">
      <w:pPr>
        <w:pStyle w:val="ListParagraph"/>
        <w:numPr>
          <w:ilvl w:val="0"/>
          <w:numId w:val="28"/>
        </w:numPr>
        <w:rPr>
          <w:i/>
          <w:szCs w:val="22"/>
          <w:lang w:val="en" w:eastAsia="en-AU"/>
        </w:rPr>
      </w:pPr>
      <w:r w:rsidRPr="00200EC1">
        <w:rPr>
          <w:szCs w:val="22"/>
          <w:lang w:val="en" w:eastAsia="en-AU"/>
        </w:rPr>
        <w:t>clarity of letters and brochures provided</w:t>
      </w:r>
      <w:r w:rsidR="0071026E" w:rsidRPr="00200EC1">
        <w:rPr>
          <w:szCs w:val="22"/>
          <w:lang w:val="en" w:eastAsia="en-AU"/>
        </w:rPr>
        <w:t>;</w:t>
      </w:r>
    </w:p>
    <w:p w14:paraId="7BE3E364" w14:textId="21DD1D38" w:rsidR="003D06E1" w:rsidRPr="00200EC1" w:rsidRDefault="003D06E1" w:rsidP="005329BF">
      <w:pPr>
        <w:pStyle w:val="ListParagraph"/>
        <w:numPr>
          <w:ilvl w:val="0"/>
          <w:numId w:val="28"/>
        </w:numPr>
        <w:rPr>
          <w:i/>
          <w:szCs w:val="22"/>
          <w:lang w:val="en" w:eastAsia="en-AU"/>
        </w:rPr>
      </w:pPr>
      <w:r w:rsidRPr="00200EC1">
        <w:rPr>
          <w:szCs w:val="22"/>
          <w:lang w:val="en" w:eastAsia="en-AU"/>
        </w:rPr>
        <w:t>reliability of information provided</w:t>
      </w:r>
      <w:r w:rsidR="0071026E" w:rsidRPr="00200EC1">
        <w:rPr>
          <w:szCs w:val="22"/>
          <w:lang w:val="en" w:eastAsia="en-AU"/>
        </w:rPr>
        <w:t>;</w:t>
      </w:r>
    </w:p>
    <w:p w14:paraId="70977780" w14:textId="76E88BE0" w:rsidR="003D06E1" w:rsidRPr="00200EC1" w:rsidRDefault="003D06E1" w:rsidP="005329BF">
      <w:pPr>
        <w:pStyle w:val="ListParagraph"/>
        <w:numPr>
          <w:ilvl w:val="0"/>
          <w:numId w:val="28"/>
        </w:numPr>
        <w:rPr>
          <w:i/>
          <w:szCs w:val="22"/>
          <w:lang w:val="en" w:eastAsia="en-AU"/>
        </w:rPr>
      </w:pPr>
      <w:r w:rsidRPr="00200EC1">
        <w:rPr>
          <w:szCs w:val="22"/>
          <w:lang w:val="en" w:eastAsia="en-AU"/>
        </w:rPr>
        <w:t>timeliness of the process</w:t>
      </w:r>
      <w:r w:rsidR="0071026E" w:rsidRPr="00200EC1">
        <w:rPr>
          <w:szCs w:val="22"/>
          <w:lang w:val="en" w:eastAsia="en-AU"/>
        </w:rPr>
        <w:t>;</w:t>
      </w:r>
    </w:p>
    <w:p w14:paraId="7DD05EC2" w14:textId="432E9E02" w:rsidR="003D06E1" w:rsidRPr="00200EC1" w:rsidRDefault="003D06E1" w:rsidP="005329BF">
      <w:pPr>
        <w:pStyle w:val="ListParagraph"/>
        <w:numPr>
          <w:ilvl w:val="0"/>
          <w:numId w:val="28"/>
        </w:numPr>
        <w:rPr>
          <w:i/>
          <w:szCs w:val="22"/>
          <w:lang w:val="en" w:eastAsia="en-AU"/>
        </w:rPr>
      </w:pPr>
      <w:r w:rsidRPr="00200EC1">
        <w:rPr>
          <w:szCs w:val="22"/>
          <w:lang w:val="en" w:eastAsia="en-AU"/>
        </w:rPr>
        <w:t>conciliator’s skills</w:t>
      </w:r>
      <w:r w:rsidR="0071026E" w:rsidRPr="00200EC1">
        <w:rPr>
          <w:szCs w:val="22"/>
          <w:lang w:val="en" w:eastAsia="en-AU"/>
        </w:rPr>
        <w:t>;</w:t>
      </w:r>
      <w:r w:rsidRPr="00200EC1">
        <w:rPr>
          <w:szCs w:val="22"/>
          <w:lang w:val="en" w:eastAsia="en-AU"/>
        </w:rPr>
        <w:t xml:space="preserve"> and</w:t>
      </w:r>
    </w:p>
    <w:p w14:paraId="3DD04305" w14:textId="77777777" w:rsidR="003D06E1" w:rsidRPr="00200EC1" w:rsidRDefault="003D06E1" w:rsidP="005329BF">
      <w:pPr>
        <w:pStyle w:val="ListParagraph"/>
        <w:numPr>
          <w:ilvl w:val="0"/>
          <w:numId w:val="28"/>
        </w:numPr>
        <w:rPr>
          <w:rFonts w:eastAsia="Times New Roman"/>
          <w:i/>
          <w:szCs w:val="22"/>
          <w:lang w:eastAsia="en-AU"/>
        </w:rPr>
      </w:pPr>
      <w:r w:rsidRPr="00200EC1">
        <w:rPr>
          <w:szCs w:val="22"/>
          <w:lang w:val="en" w:eastAsia="en-AU"/>
        </w:rPr>
        <w:t>impact of the process on understanding of rights</w:t>
      </w:r>
      <w:r w:rsidRPr="00200EC1">
        <w:rPr>
          <w:rFonts w:eastAsia="Times New Roman"/>
          <w:szCs w:val="22"/>
          <w:lang w:eastAsia="en-AU"/>
        </w:rPr>
        <w:t xml:space="preserve"> and responsibilities under anti-discrimination law.</w:t>
      </w:r>
    </w:p>
    <w:p w14:paraId="71497AB1" w14:textId="77777777" w:rsidR="0059575B" w:rsidRDefault="0059575B">
      <w:pPr>
        <w:rPr>
          <w:szCs w:val="22"/>
        </w:rPr>
      </w:pPr>
      <w:r>
        <w:rPr>
          <w:szCs w:val="22"/>
        </w:rPr>
        <w:br w:type="page"/>
      </w:r>
    </w:p>
    <w:p w14:paraId="79A7EB1C" w14:textId="2B7CE427" w:rsidR="003D06E1" w:rsidRPr="00D91541" w:rsidRDefault="003D06E1" w:rsidP="00200EC1">
      <w:pPr>
        <w:rPr>
          <w:i/>
          <w:szCs w:val="22"/>
        </w:rPr>
      </w:pPr>
      <w:r w:rsidRPr="00D91541">
        <w:rPr>
          <w:szCs w:val="22"/>
        </w:rPr>
        <w:lastRenderedPageBreak/>
        <w:t>A sample of responses from 2018</w:t>
      </w:r>
      <w:r w:rsidRPr="00D91541">
        <w:rPr>
          <w:szCs w:val="22"/>
          <w:lang w:eastAsia="en-AU"/>
        </w:rPr>
        <w:t>–</w:t>
      </w:r>
      <w:r w:rsidRPr="00D91541">
        <w:rPr>
          <w:szCs w:val="22"/>
        </w:rPr>
        <w:t>19 conciliation parties follows:</w:t>
      </w:r>
    </w:p>
    <w:tbl>
      <w:tblPr>
        <w:tblStyle w:val="TableGridLight"/>
        <w:tblW w:w="0" w:type="auto"/>
        <w:tblLook w:val="01E0" w:firstRow="1" w:lastRow="1" w:firstColumn="1" w:lastColumn="1" w:noHBand="0" w:noVBand="0"/>
      </w:tblPr>
      <w:tblGrid>
        <w:gridCol w:w="6793"/>
      </w:tblGrid>
      <w:tr w:rsidR="00D91541" w:rsidRPr="00E93439" w14:paraId="30E0FFE1" w14:textId="77777777" w:rsidTr="0059575B">
        <w:tc>
          <w:tcPr>
            <w:tcW w:w="6793" w:type="dxa"/>
          </w:tcPr>
          <w:p w14:paraId="4C59ECDF" w14:textId="21885CA8" w:rsidR="00D91541" w:rsidRPr="00D91541" w:rsidRDefault="00D91541" w:rsidP="00200EC1">
            <w:pPr>
              <w:rPr>
                <w:i/>
                <w:szCs w:val="22"/>
                <w:lang w:val="en" w:eastAsia="en-AU"/>
              </w:rPr>
            </w:pPr>
            <w:r w:rsidRPr="00D91541">
              <w:rPr>
                <w:szCs w:val="22"/>
                <w:lang w:val="en" w:eastAsia="en-AU"/>
              </w:rPr>
              <w:t>(The conciliator) was very thorough and professional during the whole process and was always clear and straight forward with anything I asked him he was very good and a great asset to the (commission)</w:t>
            </w:r>
            <w:r w:rsidR="0071026E">
              <w:rPr>
                <w:szCs w:val="22"/>
                <w:lang w:val="en" w:eastAsia="en-AU"/>
              </w:rPr>
              <w:t>.</w:t>
            </w:r>
            <w:r w:rsidRPr="00D91541">
              <w:rPr>
                <w:szCs w:val="22"/>
                <w:lang w:val="en" w:eastAsia="en-AU"/>
              </w:rPr>
              <w:t xml:space="preserve"> (</w:t>
            </w:r>
            <w:r w:rsidR="0071026E">
              <w:rPr>
                <w:szCs w:val="22"/>
                <w:lang w:val="en" w:eastAsia="en-AU"/>
              </w:rPr>
              <w:t>C</w:t>
            </w:r>
            <w:r w:rsidRPr="00D91541">
              <w:rPr>
                <w:szCs w:val="22"/>
                <w:lang w:val="en" w:eastAsia="en-AU"/>
              </w:rPr>
              <w:t>omplainant)</w:t>
            </w:r>
          </w:p>
        </w:tc>
      </w:tr>
      <w:tr w:rsidR="00D91541" w:rsidRPr="00E93439" w14:paraId="1F31C976" w14:textId="77777777" w:rsidTr="0059575B">
        <w:tc>
          <w:tcPr>
            <w:tcW w:w="6793" w:type="dxa"/>
          </w:tcPr>
          <w:p w14:paraId="42C51E8C" w14:textId="77777777" w:rsidR="00D91541" w:rsidRPr="00E93439" w:rsidRDefault="00D91541" w:rsidP="00200EC1">
            <w:pPr>
              <w:rPr>
                <w:i/>
                <w:lang w:val="en-GB"/>
              </w:rPr>
            </w:pPr>
            <w:r w:rsidRPr="00D91541">
              <w:rPr>
                <w:szCs w:val="22"/>
                <w:lang w:val="en" w:eastAsia="en-AU"/>
              </w:rPr>
              <w:t>The flexibility of the conciliator, while still working within the legislative framework, was appreciated. (Complainant)</w:t>
            </w:r>
          </w:p>
        </w:tc>
      </w:tr>
      <w:tr w:rsidR="00D91541" w:rsidRPr="00E93439" w14:paraId="3172C6E1" w14:textId="77777777" w:rsidTr="0059575B">
        <w:trPr>
          <w:trHeight w:val="268"/>
        </w:trPr>
        <w:tc>
          <w:tcPr>
            <w:tcW w:w="6793" w:type="dxa"/>
          </w:tcPr>
          <w:p w14:paraId="540A7D39" w14:textId="77777777" w:rsidR="00D91541" w:rsidRPr="00D91541" w:rsidRDefault="00D91541" w:rsidP="00200EC1">
            <w:pPr>
              <w:rPr>
                <w:i/>
                <w:szCs w:val="22"/>
                <w:lang w:val="en" w:eastAsia="en-AU"/>
              </w:rPr>
            </w:pPr>
            <w:r w:rsidRPr="00D91541">
              <w:rPr>
                <w:szCs w:val="22"/>
                <w:lang w:val="en" w:eastAsia="en-AU"/>
              </w:rPr>
              <w:t xml:space="preserve">I was extremely happy with the process. (The conciliators) were professional </w:t>
            </w:r>
            <w:r>
              <w:rPr>
                <w:szCs w:val="22"/>
                <w:lang w:val="en" w:eastAsia="en-AU"/>
              </w:rPr>
              <w:t>and compassionate. (Complainant)</w:t>
            </w:r>
          </w:p>
        </w:tc>
      </w:tr>
      <w:tr w:rsidR="00D91541" w:rsidRPr="005638DA" w14:paraId="2BB17B87" w14:textId="77777777" w:rsidTr="0059575B">
        <w:tc>
          <w:tcPr>
            <w:tcW w:w="6793" w:type="dxa"/>
          </w:tcPr>
          <w:p w14:paraId="1B44710B" w14:textId="77777777" w:rsidR="00D91541" w:rsidRPr="00D91541" w:rsidRDefault="00D91541" w:rsidP="00200EC1">
            <w:pPr>
              <w:rPr>
                <w:i/>
                <w:szCs w:val="22"/>
                <w:lang w:val="en" w:eastAsia="en-AU"/>
              </w:rPr>
            </w:pPr>
            <w:r w:rsidRPr="00D91541">
              <w:rPr>
                <w:szCs w:val="22"/>
                <w:lang w:val="en" w:eastAsia="en-AU"/>
              </w:rPr>
              <w:t>(The conciliator) did an excellent job in her role as conciliator. (Respondent’s lawyer)</w:t>
            </w:r>
          </w:p>
        </w:tc>
      </w:tr>
      <w:tr w:rsidR="00D91541" w:rsidRPr="00E93439" w14:paraId="79569227" w14:textId="77777777" w:rsidTr="0059575B">
        <w:trPr>
          <w:trHeight w:val="268"/>
        </w:trPr>
        <w:tc>
          <w:tcPr>
            <w:tcW w:w="6793" w:type="dxa"/>
          </w:tcPr>
          <w:p w14:paraId="52DCBD4A" w14:textId="77777777" w:rsidR="00D91541" w:rsidRPr="00D91541" w:rsidRDefault="00D91541" w:rsidP="00200EC1">
            <w:pPr>
              <w:rPr>
                <w:i/>
                <w:szCs w:val="22"/>
                <w:lang w:val="en" w:eastAsia="en-AU"/>
              </w:rPr>
            </w:pPr>
            <w:r w:rsidRPr="00D91541">
              <w:rPr>
                <w:szCs w:val="22"/>
                <w:lang w:val="en" w:eastAsia="en-AU"/>
              </w:rPr>
              <w:t>(The conciliator) was very kind and patient with me throughout the entire process. So thankful for her role and the (Commission’s) assistance in helping me deal with this situation. I am also grateful for the free legal aid clinic that is provided which I was able to access and helped to boost my confidence and alleviate some of my anxiety I had as I knew the respondents had proper legal representation. (Complainant)</w:t>
            </w:r>
          </w:p>
        </w:tc>
      </w:tr>
      <w:tr w:rsidR="00D91541" w:rsidRPr="00E93439" w14:paraId="56900D3F" w14:textId="77777777" w:rsidTr="0059575B">
        <w:tc>
          <w:tcPr>
            <w:tcW w:w="6793" w:type="dxa"/>
          </w:tcPr>
          <w:p w14:paraId="0931CCF2" w14:textId="77777777" w:rsidR="00D91541" w:rsidRPr="00D91541" w:rsidRDefault="00D91541" w:rsidP="00200EC1">
            <w:pPr>
              <w:rPr>
                <w:i/>
                <w:szCs w:val="22"/>
                <w:lang w:val="en" w:eastAsia="en-AU"/>
              </w:rPr>
            </w:pPr>
            <w:r w:rsidRPr="00D91541">
              <w:rPr>
                <w:szCs w:val="22"/>
                <w:lang w:val="en" w:eastAsia="en-AU"/>
              </w:rPr>
              <w:t>The conciliator handled my frustrations nervousness and emotions in a calm and caring manner. (Complainant)</w:t>
            </w:r>
          </w:p>
        </w:tc>
      </w:tr>
      <w:tr w:rsidR="00D91541" w:rsidRPr="007E1161" w14:paraId="4452AF5B" w14:textId="77777777" w:rsidTr="0059575B">
        <w:trPr>
          <w:trHeight w:val="268"/>
        </w:trPr>
        <w:tc>
          <w:tcPr>
            <w:tcW w:w="6793" w:type="dxa"/>
          </w:tcPr>
          <w:p w14:paraId="6F58FF9A" w14:textId="77777777" w:rsidR="00D91541" w:rsidRPr="00D91541" w:rsidRDefault="00D91541" w:rsidP="00200EC1">
            <w:pPr>
              <w:rPr>
                <w:i/>
                <w:szCs w:val="22"/>
                <w:lang w:val="en" w:eastAsia="en-AU"/>
              </w:rPr>
            </w:pPr>
            <w:r w:rsidRPr="00D91541">
              <w:rPr>
                <w:szCs w:val="22"/>
                <w:lang w:val="en" w:eastAsia="en-AU"/>
              </w:rPr>
              <w:t>I would just really like to thank the ADCQ for giving me the opportunity to be heard without bias or judgement. I found the conciliator very professional and not at all intimidating. I am very grateful for the whole process. Thank you. (Complainant)</w:t>
            </w:r>
          </w:p>
        </w:tc>
      </w:tr>
      <w:tr w:rsidR="00D91541" w:rsidRPr="007E1161" w14:paraId="22BF42F4" w14:textId="77777777" w:rsidTr="0059575B">
        <w:trPr>
          <w:trHeight w:val="268"/>
        </w:trPr>
        <w:tc>
          <w:tcPr>
            <w:tcW w:w="6793" w:type="dxa"/>
          </w:tcPr>
          <w:p w14:paraId="331E0C01" w14:textId="77777777" w:rsidR="00D91541" w:rsidRPr="00D91541" w:rsidRDefault="00D91541" w:rsidP="00200EC1">
            <w:pPr>
              <w:rPr>
                <w:i/>
                <w:szCs w:val="22"/>
                <w:lang w:val="en" w:eastAsia="en-AU"/>
              </w:rPr>
            </w:pPr>
            <w:r w:rsidRPr="00D91541">
              <w:rPr>
                <w:szCs w:val="22"/>
                <w:lang w:val="en" w:eastAsia="en-AU"/>
              </w:rPr>
              <w:t xml:space="preserve">Preparation of response and for mediation process is onerous for respondent/respondent organisations. More rigorous testing of complaints against legislative thresholds and against evidence provided by respondents before progressing to mediation should occur. Complaint processes are an important protection and deterrent against illegal action by employers however there seems to be increased tendency for complaint processes to be used by disaffected employees to secure payments. This is a general observation - not specific to this particular case. (Respondent’s advocate) </w:t>
            </w:r>
          </w:p>
        </w:tc>
      </w:tr>
      <w:tr w:rsidR="00D91541" w:rsidRPr="00E93439" w14:paraId="0940F08D" w14:textId="77777777" w:rsidTr="0059575B">
        <w:tc>
          <w:tcPr>
            <w:tcW w:w="6793" w:type="dxa"/>
          </w:tcPr>
          <w:p w14:paraId="1E785426" w14:textId="77777777" w:rsidR="00D91541" w:rsidRPr="00D91541" w:rsidRDefault="00D91541" w:rsidP="00200EC1">
            <w:pPr>
              <w:rPr>
                <w:i/>
                <w:szCs w:val="22"/>
                <w:lang w:val="en" w:eastAsia="en-AU"/>
              </w:rPr>
            </w:pPr>
            <w:r w:rsidRPr="00D91541">
              <w:rPr>
                <w:szCs w:val="22"/>
                <w:lang w:val="en" w:eastAsia="en-AU"/>
              </w:rPr>
              <w:t>(Conciliator) displayed a high level of professionalism and EQ throughout a rather unpleasant process. When the complainant behaved aggressively and unethically, (Conciliator) was able to resolve the situation quickly and with a positive outcome. (Respondent)</w:t>
            </w:r>
          </w:p>
        </w:tc>
      </w:tr>
      <w:tr w:rsidR="00D91541" w14:paraId="436BFDCD" w14:textId="77777777" w:rsidTr="0059575B">
        <w:tc>
          <w:tcPr>
            <w:tcW w:w="6793" w:type="dxa"/>
          </w:tcPr>
          <w:p w14:paraId="1B591449" w14:textId="77777777" w:rsidR="00D91541" w:rsidRPr="009C604E" w:rsidRDefault="009C604E" w:rsidP="00200EC1">
            <w:pPr>
              <w:rPr>
                <w:i/>
                <w:szCs w:val="22"/>
                <w:lang w:val="en" w:eastAsia="en-AU"/>
              </w:rPr>
            </w:pPr>
            <w:r w:rsidRPr="00D91541">
              <w:rPr>
                <w:szCs w:val="22"/>
                <w:lang w:val="en" w:eastAsia="en-AU"/>
              </w:rPr>
              <w:t>I felt slut shamed at work and no one was listening.</w:t>
            </w:r>
            <w:r w:rsidR="00803E9C">
              <w:rPr>
                <w:szCs w:val="22"/>
                <w:lang w:val="en" w:eastAsia="en-AU"/>
              </w:rPr>
              <w:t xml:space="preserve"> </w:t>
            </w:r>
            <w:r w:rsidRPr="00D91541">
              <w:rPr>
                <w:szCs w:val="22"/>
                <w:lang w:val="en" w:eastAsia="en-AU"/>
              </w:rPr>
              <w:t>(Conciliator) was a great mediator who was fair on everyone and was very clear in discussing my risks with me and this was very m</w:t>
            </w:r>
            <w:r>
              <w:rPr>
                <w:szCs w:val="22"/>
                <w:lang w:val="en" w:eastAsia="en-AU"/>
              </w:rPr>
              <w:t>uch</w:t>
            </w:r>
            <w:r w:rsidRPr="00D91541">
              <w:rPr>
                <w:szCs w:val="22"/>
                <w:lang w:val="en" w:eastAsia="en-AU"/>
              </w:rPr>
              <w:t xml:space="preserve"> appreciated.</w:t>
            </w:r>
            <w:r w:rsidR="00803E9C">
              <w:rPr>
                <w:szCs w:val="22"/>
                <w:lang w:val="en" w:eastAsia="en-AU"/>
              </w:rPr>
              <w:t xml:space="preserve"> </w:t>
            </w:r>
            <w:r w:rsidRPr="00D91541">
              <w:rPr>
                <w:szCs w:val="22"/>
                <w:lang w:val="en" w:eastAsia="en-AU"/>
              </w:rPr>
              <w:t>I don't think I would have got through this if it was not for the way both (advocate) and (Conciliator) approached the mediation.</w:t>
            </w:r>
            <w:r w:rsidR="00803E9C">
              <w:rPr>
                <w:szCs w:val="22"/>
                <w:lang w:val="en" w:eastAsia="en-AU"/>
              </w:rPr>
              <w:t xml:space="preserve"> </w:t>
            </w:r>
            <w:r w:rsidRPr="00D91541">
              <w:rPr>
                <w:szCs w:val="22"/>
                <w:lang w:val="en" w:eastAsia="en-AU"/>
              </w:rPr>
              <w:t>I assumed (Conciliator’s) plain speaking to me about risks and strengths was also provided to the other side and this gave me a great feeling of fairness and justice. As a (redacted profession), this was also appreciated.</w:t>
            </w:r>
            <w:r w:rsidR="00803E9C">
              <w:rPr>
                <w:szCs w:val="22"/>
                <w:lang w:val="en" w:eastAsia="en-AU"/>
              </w:rPr>
              <w:t xml:space="preserve"> </w:t>
            </w:r>
            <w:r w:rsidRPr="00D91541">
              <w:rPr>
                <w:szCs w:val="22"/>
                <w:lang w:val="en" w:eastAsia="en-AU"/>
              </w:rPr>
              <w:t>Can you please pass on to (Conciliator) and her boss that she has helped close a stressful but important step and while I was dreading and sick with fear at the beginning, I am very glad I did this.</w:t>
            </w:r>
            <w:r w:rsidR="00803E9C">
              <w:rPr>
                <w:szCs w:val="22"/>
                <w:lang w:val="en" w:eastAsia="en-AU"/>
              </w:rPr>
              <w:t xml:space="preserve"> </w:t>
            </w:r>
            <w:r w:rsidRPr="00D91541">
              <w:rPr>
                <w:szCs w:val="22"/>
                <w:lang w:val="en" w:eastAsia="en-AU"/>
              </w:rPr>
              <w:t>I am not quite sure my old bosses learned their lesson but time will tell. (Comp</w:t>
            </w:r>
            <w:r>
              <w:rPr>
                <w:szCs w:val="22"/>
                <w:lang w:val="en" w:eastAsia="en-AU"/>
              </w:rPr>
              <w:t xml:space="preserve">lainant) </w:t>
            </w:r>
          </w:p>
        </w:tc>
      </w:tr>
      <w:tr w:rsidR="00D91541" w:rsidRPr="00E93439" w14:paraId="5C205545" w14:textId="77777777" w:rsidTr="0059575B">
        <w:tc>
          <w:tcPr>
            <w:tcW w:w="6793" w:type="dxa"/>
          </w:tcPr>
          <w:p w14:paraId="20F46DAD" w14:textId="77777777" w:rsidR="00D91541" w:rsidRPr="009C604E" w:rsidRDefault="009C604E" w:rsidP="00200EC1">
            <w:pPr>
              <w:rPr>
                <w:i/>
                <w:szCs w:val="22"/>
                <w:lang w:val="en" w:eastAsia="en-AU"/>
              </w:rPr>
            </w:pPr>
            <w:r w:rsidRPr="00D91541">
              <w:rPr>
                <w:szCs w:val="22"/>
                <w:lang w:val="en" w:eastAsia="en-AU"/>
              </w:rPr>
              <w:t>The Conciliator was easy to deal with and assisted at all times, and was forthcoming with information to keep us up to date of where the matter was at. Is an excellent conc</w:t>
            </w:r>
            <w:r>
              <w:rPr>
                <w:szCs w:val="22"/>
                <w:lang w:val="en" w:eastAsia="en-AU"/>
              </w:rPr>
              <w:t xml:space="preserve">iliator. (Respondent’s lawyer) </w:t>
            </w:r>
          </w:p>
        </w:tc>
      </w:tr>
      <w:tr w:rsidR="009C604E" w:rsidRPr="00E93439" w14:paraId="05F91F43" w14:textId="77777777" w:rsidTr="0059575B">
        <w:tc>
          <w:tcPr>
            <w:tcW w:w="6793" w:type="dxa"/>
          </w:tcPr>
          <w:p w14:paraId="5F742696" w14:textId="77777777" w:rsidR="009C604E" w:rsidRPr="00D91541" w:rsidRDefault="009C604E" w:rsidP="00200EC1">
            <w:pPr>
              <w:rPr>
                <w:i/>
                <w:szCs w:val="22"/>
                <w:lang w:val="en" w:eastAsia="en-AU"/>
              </w:rPr>
            </w:pPr>
            <w:r w:rsidRPr="00D91541">
              <w:rPr>
                <w:szCs w:val="22"/>
                <w:lang w:val="en" w:eastAsia="en-AU"/>
              </w:rPr>
              <w:t>I appreciate help understand through the process as a person with a disability thankyou (Conciliator) was very understanding of my need</w:t>
            </w:r>
            <w:r>
              <w:rPr>
                <w:szCs w:val="22"/>
                <w:lang w:val="en" w:eastAsia="en-AU"/>
              </w:rPr>
              <w:t>s and respectful. (Complainant)</w:t>
            </w:r>
          </w:p>
        </w:tc>
      </w:tr>
      <w:tr w:rsidR="009C604E" w:rsidRPr="00E93439" w14:paraId="11ED4D19" w14:textId="77777777" w:rsidTr="0059575B">
        <w:tc>
          <w:tcPr>
            <w:tcW w:w="6793" w:type="dxa"/>
          </w:tcPr>
          <w:p w14:paraId="41310DDA" w14:textId="77777777" w:rsidR="009C604E" w:rsidRPr="00D91541" w:rsidRDefault="009C604E" w:rsidP="00200EC1">
            <w:pPr>
              <w:rPr>
                <w:i/>
                <w:szCs w:val="22"/>
                <w:lang w:val="en" w:eastAsia="en-AU"/>
              </w:rPr>
            </w:pPr>
            <w:r w:rsidRPr="00D91541">
              <w:rPr>
                <w:szCs w:val="22"/>
                <w:lang w:val="en" w:eastAsia="en-AU"/>
              </w:rPr>
              <w:t>(Conciliator) was very professional and helpful thro</w:t>
            </w:r>
            <w:r>
              <w:rPr>
                <w:szCs w:val="22"/>
                <w:lang w:val="en" w:eastAsia="en-AU"/>
              </w:rPr>
              <w:t>ughout the process.(Respondent)</w:t>
            </w:r>
          </w:p>
        </w:tc>
      </w:tr>
    </w:tbl>
    <w:p w14:paraId="57B376F2" w14:textId="77777777" w:rsidR="00D91541" w:rsidRPr="00D91541" w:rsidRDefault="00D91541" w:rsidP="00033D76">
      <w:pPr>
        <w:spacing w:before="120" w:after="120" w:line="240" w:lineRule="auto"/>
        <w:rPr>
          <w:rFonts w:ascii="Arial" w:hAnsi="Arial" w:cs="Arial"/>
          <w:i/>
          <w:sz w:val="22"/>
          <w:szCs w:val="22"/>
        </w:rPr>
      </w:pPr>
    </w:p>
    <w:p w14:paraId="450D9177" w14:textId="558E3C20" w:rsidR="00A6655D" w:rsidRPr="00663979" w:rsidRDefault="0067689A" w:rsidP="00A6655D">
      <w:pPr>
        <w:pStyle w:val="Heading1"/>
      </w:pPr>
      <w:bookmarkStart w:id="26" w:name="_Toc16855333"/>
      <w:r>
        <w:lastRenderedPageBreak/>
        <w:t>I</w:t>
      </w:r>
      <w:r w:rsidR="00A6655D">
        <w:t>nfluencing government policy and legislation</w:t>
      </w:r>
      <w:bookmarkEnd w:id="26"/>
    </w:p>
    <w:p w14:paraId="34925BFF" w14:textId="77777777" w:rsidR="009B45C3" w:rsidRPr="00CB35F1" w:rsidRDefault="009B45C3" w:rsidP="00200EC1">
      <w:pPr>
        <w:rPr>
          <w:i/>
        </w:rPr>
      </w:pPr>
      <w:r w:rsidRPr="00CB35F1">
        <w:t>In 2018-19 the Commission provided submissions to various bodies on the development of government policies and legislation.</w:t>
      </w:r>
      <w:r w:rsidR="00803E9C">
        <w:t xml:space="preserve"> </w:t>
      </w:r>
      <w:r w:rsidRPr="00CB35F1">
        <w:t>These included:</w:t>
      </w:r>
    </w:p>
    <w:p w14:paraId="6DE01056" w14:textId="77777777" w:rsidR="009B45C3" w:rsidRPr="00CB35F1" w:rsidRDefault="009B45C3" w:rsidP="00200EC1">
      <w:pPr>
        <w:pStyle w:val="Heading3"/>
      </w:pPr>
      <w:r w:rsidRPr="0067689A">
        <w:rPr>
          <w:i/>
        </w:rPr>
        <w:t>Anti-Discrimination (Right to Use Gender-Specific Language) Amendment Bill 2018</w:t>
      </w:r>
      <w:r w:rsidRPr="00CB35F1">
        <w:t xml:space="preserve"> to the Legal Affairs and Community Safety Committee</w:t>
      </w:r>
    </w:p>
    <w:p w14:paraId="47DFB71E" w14:textId="3C801B6F" w:rsidR="009B45C3" w:rsidRPr="00CB35F1" w:rsidRDefault="009B45C3" w:rsidP="00200EC1">
      <w:pPr>
        <w:rPr>
          <w:i/>
        </w:rPr>
      </w:pPr>
      <w:r w:rsidRPr="00CB35F1">
        <w:t>This was a private member’s Bill, the objective of which was to protect an individual’s right to use gender-specific language and to protect businesses and other organisations from disadvantage in the provision of facilities and services that exclusively recognise gender as either male or female.</w:t>
      </w:r>
    </w:p>
    <w:p w14:paraId="6C80C7BF" w14:textId="275F8E0F" w:rsidR="009B45C3" w:rsidRPr="00CB35F1" w:rsidRDefault="009B45C3" w:rsidP="00200EC1">
      <w:pPr>
        <w:rPr>
          <w:i/>
        </w:rPr>
      </w:pPr>
      <w:r w:rsidRPr="00CB35F1">
        <w:t xml:space="preserve">The Commission did not support the Bill and submitted that the amendments were not necessary or warranted, and </w:t>
      </w:r>
      <w:r w:rsidR="00800AD1">
        <w:t xml:space="preserve">were </w:t>
      </w:r>
      <w:r w:rsidRPr="00CB35F1">
        <w:t xml:space="preserve">inconsistent with the objectives of the </w:t>
      </w:r>
      <w:r w:rsidRPr="0067689A">
        <w:rPr>
          <w:i/>
        </w:rPr>
        <w:t>Anti-Discrimination Act 1991</w:t>
      </w:r>
      <w:r w:rsidRPr="00254F04">
        <w:t>.</w:t>
      </w:r>
    </w:p>
    <w:p w14:paraId="237BE007" w14:textId="77777777" w:rsidR="009B45C3" w:rsidRPr="00CB35F1" w:rsidRDefault="009B45C3" w:rsidP="00200EC1">
      <w:pPr>
        <w:rPr>
          <w:i/>
        </w:rPr>
      </w:pPr>
      <w:r w:rsidRPr="00CB35F1">
        <w:t>The Commissioner and the Principal Lawyer appeared at a public hearing of the Committee.</w:t>
      </w:r>
    </w:p>
    <w:p w14:paraId="624E26E9" w14:textId="77777777" w:rsidR="009B45C3" w:rsidRPr="00CB35F1" w:rsidRDefault="009B45C3" w:rsidP="00200EC1">
      <w:pPr>
        <w:rPr>
          <w:i/>
        </w:rPr>
      </w:pPr>
      <w:r w:rsidRPr="00CB35F1">
        <w:t>The Bill was not passed.</w:t>
      </w:r>
    </w:p>
    <w:p w14:paraId="6B37A597" w14:textId="77777777" w:rsidR="009B45C3" w:rsidRPr="00CB35F1" w:rsidRDefault="009B45C3" w:rsidP="00200EC1">
      <w:pPr>
        <w:pStyle w:val="Heading3"/>
      </w:pPr>
      <w:r w:rsidRPr="0067689A">
        <w:rPr>
          <w:i/>
        </w:rPr>
        <w:t>Human Rights Bill 2018</w:t>
      </w:r>
      <w:r w:rsidRPr="00CB35F1">
        <w:rPr>
          <w:b/>
        </w:rPr>
        <w:t xml:space="preserve"> </w:t>
      </w:r>
      <w:r w:rsidRPr="00CB35F1">
        <w:t>to the Legal Affairs and Community Safety Committee</w:t>
      </w:r>
    </w:p>
    <w:p w14:paraId="50D86FBD" w14:textId="77777777" w:rsidR="009B45C3" w:rsidRPr="00CB35F1" w:rsidRDefault="009B45C3" w:rsidP="00200EC1">
      <w:pPr>
        <w:rPr>
          <w:i/>
        </w:rPr>
      </w:pPr>
      <w:r w:rsidRPr="00CB35F1">
        <w:t>The purpose of the Bill is to recognise the inherent dignity and worth of all human beings by protecting and promoting human rights, building a culture in the public sector that respects and promotes human rights, and promoting a dialogue about the nature, meaning and scope of human rights.</w:t>
      </w:r>
    </w:p>
    <w:p w14:paraId="1A43966E" w14:textId="452367A5" w:rsidR="009B45C3" w:rsidRPr="00CB35F1" w:rsidRDefault="009B45C3" w:rsidP="00200EC1">
      <w:pPr>
        <w:rPr>
          <w:i/>
        </w:rPr>
      </w:pPr>
      <w:r w:rsidRPr="00CB35F1">
        <w:t>The Commission provided an analysis of how the Act would operate in Queensland.</w:t>
      </w:r>
      <w:r w:rsidR="00803E9C">
        <w:t xml:space="preserve"> </w:t>
      </w:r>
      <w:r w:rsidRPr="00CB35F1">
        <w:t xml:space="preserve">The Commission supported the Bill, including a complaints function for the Commission, a feature that does not currently exist in Australian jurisdictions that have </w:t>
      </w:r>
      <w:r w:rsidR="00800AD1">
        <w:t xml:space="preserve">legislated </w:t>
      </w:r>
      <w:r w:rsidRPr="00CB35F1">
        <w:t xml:space="preserve">human rights </w:t>
      </w:r>
      <w:r w:rsidR="00800AD1">
        <w:t>protections</w:t>
      </w:r>
      <w:r w:rsidRPr="00CB35F1">
        <w:t>.</w:t>
      </w:r>
    </w:p>
    <w:p w14:paraId="2DEEBB99" w14:textId="77777777" w:rsidR="009B45C3" w:rsidRPr="00CB35F1" w:rsidRDefault="009B45C3" w:rsidP="00200EC1">
      <w:pPr>
        <w:rPr>
          <w:i/>
        </w:rPr>
      </w:pPr>
      <w:r w:rsidRPr="00CB35F1">
        <w:t>The Commissioner, Deputy Commissioner, and Principal Lawyer appeared at a public hearing of the Committee.</w:t>
      </w:r>
    </w:p>
    <w:p w14:paraId="3A9FBAEB" w14:textId="77777777" w:rsidR="009B45C3" w:rsidRPr="00CB35F1" w:rsidRDefault="009B45C3" w:rsidP="00200EC1">
      <w:pPr>
        <w:rPr>
          <w:i/>
        </w:rPr>
      </w:pPr>
      <w:r w:rsidRPr="00CB35F1">
        <w:t>The Bill was passed and the educative functions of the Commission commenced on 1 July 2019.</w:t>
      </w:r>
      <w:r w:rsidR="00803E9C">
        <w:t xml:space="preserve"> </w:t>
      </w:r>
      <w:r w:rsidRPr="00CB35F1">
        <w:t>The obligations on public entities and remainder of the provisions are expected to commence on 1 January 2020.</w:t>
      </w:r>
    </w:p>
    <w:p w14:paraId="1CD29726" w14:textId="77777777" w:rsidR="009B45C3" w:rsidRPr="00CB35F1" w:rsidRDefault="009B45C3" w:rsidP="00200EC1">
      <w:pPr>
        <w:pStyle w:val="Heading3"/>
      </w:pPr>
      <w:r w:rsidRPr="00200EC1">
        <w:t>Inquiry into imprisonment and recidivism</w:t>
      </w:r>
      <w:r w:rsidRPr="00CB35F1">
        <w:rPr>
          <w:b/>
        </w:rPr>
        <w:t xml:space="preserve"> </w:t>
      </w:r>
      <w:r w:rsidRPr="00CB35F1">
        <w:t>to the Queensland Productivity Commission</w:t>
      </w:r>
    </w:p>
    <w:p w14:paraId="55FD551C" w14:textId="1AE98088" w:rsidR="009B45C3" w:rsidRPr="00CB35F1" w:rsidRDefault="009B45C3" w:rsidP="00200EC1">
      <w:pPr>
        <w:rPr>
          <w:i/>
        </w:rPr>
      </w:pPr>
      <w:r w:rsidRPr="00CB35F1">
        <w:t>The Commi</w:t>
      </w:r>
      <w:r w:rsidR="0067689A">
        <w:t xml:space="preserve">ssion referenced its two </w:t>
      </w:r>
      <w:r w:rsidR="0067689A" w:rsidRPr="0067689A">
        <w:rPr>
          <w:i/>
        </w:rPr>
        <w:t>Women I</w:t>
      </w:r>
      <w:r w:rsidRPr="0067689A">
        <w:rPr>
          <w:i/>
        </w:rPr>
        <w:t>n Prison</w:t>
      </w:r>
      <w:r w:rsidRPr="00CB35F1">
        <w:t xml:space="preserve"> reports (2006 &amp; 2019) and made suggestions for reducing overcrowding in prisons and recidivism, including addressing underlying issues, reconsidering remand and criminal offences, and implementing justice reinvestment and diversionary programs.</w:t>
      </w:r>
    </w:p>
    <w:p w14:paraId="72B6F7DF" w14:textId="77777777" w:rsidR="009B45C3" w:rsidRPr="00CB35F1" w:rsidRDefault="009B45C3" w:rsidP="00200EC1">
      <w:pPr>
        <w:pStyle w:val="Heading3"/>
      </w:pPr>
      <w:r w:rsidRPr="00200EC1">
        <w:lastRenderedPageBreak/>
        <w:t>Inquiry into aged care, end of life and palliative care, and voluntary assisted dying</w:t>
      </w:r>
      <w:r w:rsidRPr="00CB35F1">
        <w:rPr>
          <w:b/>
        </w:rPr>
        <w:t xml:space="preserve"> </w:t>
      </w:r>
      <w:r w:rsidRPr="00CB35F1">
        <w:t>to the Health, Communities, Disability Services, and Domestic and Family Violence Committee</w:t>
      </w:r>
    </w:p>
    <w:p w14:paraId="70502B02" w14:textId="77777777" w:rsidR="009B45C3" w:rsidRPr="00CB35F1" w:rsidRDefault="009B45C3" w:rsidP="00200EC1">
      <w:pPr>
        <w:rPr>
          <w:i/>
        </w:rPr>
      </w:pPr>
      <w:r w:rsidRPr="00CB35F1">
        <w:t>The Commission provided information on human rights relevant to voluntary assisted dying, including references to issues papers and reports, and the background to the Victorian legislation.</w:t>
      </w:r>
      <w:r w:rsidR="00803E9C">
        <w:t xml:space="preserve"> </w:t>
      </w:r>
      <w:r w:rsidRPr="00CB35F1">
        <w:t>An analysis of the relevant human rights suggests that there is no one right that compels voluntary assisted dying to be legislated for, nor is there one right that prevents it, provided stringent safeguards are implemented.</w:t>
      </w:r>
    </w:p>
    <w:p w14:paraId="4E8ED573" w14:textId="77777777" w:rsidR="009B45C3" w:rsidRPr="00CB35F1" w:rsidRDefault="009B45C3" w:rsidP="00200EC1">
      <w:pPr>
        <w:rPr>
          <w:i/>
        </w:rPr>
      </w:pPr>
      <w:r w:rsidRPr="00CB35F1">
        <w:t>The Deputy Commissioner and the Principal Lawyer appeared at a public hearing of the Committee.</w:t>
      </w:r>
    </w:p>
    <w:p w14:paraId="589F8201" w14:textId="77777777" w:rsidR="003D06E1" w:rsidRPr="00AD4FE0" w:rsidRDefault="003D06E1" w:rsidP="003D06E1">
      <w:pPr>
        <w:spacing w:before="120" w:after="120" w:line="240" w:lineRule="auto"/>
        <w:rPr>
          <w:rFonts w:ascii="Arial" w:hAnsi="Arial" w:cs="Arial"/>
          <w:i/>
          <w:sz w:val="24"/>
          <w:highlight w:val="yellow"/>
          <w:lang w:eastAsia="en-AU"/>
        </w:rPr>
        <w:sectPr w:rsidR="003D06E1" w:rsidRPr="00AD4FE0" w:rsidSect="00200EC1">
          <w:footerReference w:type="default" r:id="rId21"/>
          <w:footerReference w:type="first" r:id="rId22"/>
          <w:pgSz w:w="11906" w:h="16838" w:code="9"/>
          <w:pgMar w:top="1418" w:right="3402" w:bottom="1418" w:left="1701" w:header="709" w:footer="425" w:gutter="0"/>
          <w:cols w:space="720"/>
          <w:titlePg/>
          <w:docGrid w:linePitch="360"/>
        </w:sectPr>
      </w:pPr>
    </w:p>
    <w:p w14:paraId="7A4B4969" w14:textId="77777777" w:rsidR="0035643F" w:rsidRPr="00663979" w:rsidRDefault="0035643F" w:rsidP="00A75186">
      <w:pPr>
        <w:pStyle w:val="Heading1"/>
      </w:pPr>
      <w:bookmarkStart w:id="27" w:name="_Toc366487304"/>
      <w:bookmarkStart w:id="28" w:name="_Toc397345683"/>
      <w:bookmarkStart w:id="29" w:name="_Toc16855334"/>
      <w:r w:rsidRPr="00663979">
        <w:lastRenderedPageBreak/>
        <w:t>Legal information</w:t>
      </w:r>
      <w:bookmarkEnd w:id="27"/>
      <w:bookmarkEnd w:id="28"/>
      <w:bookmarkEnd w:id="29"/>
    </w:p>
    <w:p w14:paraId="354C344F" w14:textId="77777777" w:rsidR="004E405B" w:rsidRDefault="004E405B" w:rsidP="00321242">
      <w:pPr>
        <w:pStyle w:val="Heading2"/>
      </w:pPr>
      <w:r w:rsidRPr="004E405B">
        <w:t>Applications to the Tribunal for review</w:t>
      </w:r>
    </w:p>
    <w:p w14:paraId="477F9B95" w14:textId="77777777" w:rsidR="009B45C3" w:rsidRPr="00896B84" w:rsidRDefault="009B45C3" w:rsidP="00200EC1">
      <w:pPr>
        <w:rPr>
          <w:i/>
        </w:rPr>
      </w:pPr>
      <w:r w:rsidRPr="00896B84">
        <w:t xml:space="preserve">Under section 169 of the </w:t>
      </w:r>
      <w:r w:rsidRPr="0067689A">
        <w:rPr>
          <w:i/>
        </w:rPr>
        <w:t>Anti-Discrimination Act 1991</w:t>
      </w:r>
      <w:r w:rsidRPr="00896B84">
        <w:t xml:space="preserve"> a complainant may apply to the tribunal for review of a decision to lapse a complaint where the Commissioner has formed the opinion that the complainant had lost interest in continuing with the complaint.</w:t>
      </w:r>
    </w:p>
    <w:p w14:paraId="058077A7" w14:textId="77777777" w:rsidR="009B45C3" w:rsidRPr="00896B84" w:rsidRDefault="009B45C3" w:rsidP="00200EC1">
      <w:pPr>
        <w:rPr>
          <w:i/>
        </w:rPr>
      </w:pPr>
      <w:r w:rsidRPr="00896B84">
        <w:t>For work-related matters the tribunal is the Queensland Industrial Relations Commission, and for all other matters the tribunal is the Queensland Civil and Administrative Tribunal.</w:t>
      </w:r>
    </w:p>
    <w:p w14:paraId="2C7AF0F3" w14:textId="77777777" w:rsidR="009B45C3" w:rsidRPr="00896B84" w:rsidRDefault="009B45C3" w:rsidP="00200EC1">
      <w:pPr>
        <w:rPr>
          <w:i/>
        </w:rPr>
      </w:pPr>
      <w:r w:rsidRPr="00896B84">
        <w:t xml:space="preserve">There were no applications to the tribunal for review during the period. </w:t>
      </w:r>
    </w:p>
    <w:p w14:paraId="037A655C" w14:textId="2E655557" w:rsidR="004E405B" w:rsidRDefault="004E405B" w:rsidP="00321242">
      <w:pPr>
        <w:pStyle w:val="Heading2"/>
      </w:pPr>
      <w:r w:rsidRPr="004E405B">
        <w:t xml:space="preserve">Judicial </w:t>
      </w:r>
      <w:r w:rsidR="00800AD1">
        <w:t>r</w:t>
      </w:r>
      <w:r w:rsidRPr="004E405B">
        <w:t>eview of decisions</w:t>
      </w:r>
    </w:p>
    <w:p w14:paraId="098F2E0D" w14:textId="77777777" w:rsidR="009B45C3" w:rsidRPr="00896B84" w:rsidRDefault="009B45C3" w:rsidP="00200EC1">
      <w:pPr>
        <w:rPr>
          <w:i/>
        </w:rPr>
      </w:pPr>
      <w:r w:rsidRPr="00896B84">
        <w:t xml:space="preserve">Decisions of the Commissioner may be judicially reviewed by the Queensland Supreme Court under the </w:t>
      </w:r>
      <w:r w:rsidRPr="0067689A">
        <w:rPr>
          <w:i/>
        </w:rPr>
        <w:t>Judicial Review Act 1991</w:t>
      </w:r>
      <w:r w:rsidRPr="00896B84">
        <w:t>.</w:t>
      </w:r>
    </w:p>
    <w:p w14:paraId="54E661F8" w14:textId="77777777" w:rsidR="009B45C3" w:rsidRPr="00896B84" w:rsidRDefault="009B45C3" w:rsidP="00200EC1">
      <w:pPr>
        <w:rPr>
          <w:i/>
        </w:rPr>
      </w:pPr>
      <w:r w:rsidRPr="00896B84">
        <w:t>The Court of Appeal allowed an appeal against a decision on a judicial review application where the Court at first instance dismissed the application.</w:t>
      </w:r>
      <w:r w:rsidR="00803E9C">
        <w:t xml:space="preserve"> </w:t>
      </w:r>
      <w:r w:rsidRPr="00896B84">
        <w:t>The Court of Appeal set aside the Commissioner’s decision rejecting a complaint.</w:t>
      </w:r>
      <w:r w:rsidR="00803E9C">
        <w:t xml:space="preserve"> </w:t>
      </w:r>
      <w:r w:rsidRPr="00896B84">
        <w:t>A summary of the Court of Appeal decision is included in this Annual Report.</w:t>
      </w:r>
    </w:p>
    <w:p w14:paraId="2549383E" w14:textId="77777777" w:rsidR="009B45C3" w:rsidRPr="00896B84" w:rsidRDefault="009B45C3" w:rsidP="00200EC1">
      <w:pPr>
        <w:rPr>
          <w:i/>
        </w:rPr>
      </w:pPr>
      <w:r w:rsidRPr="00896B84">
        <w:t>There were no new applications for judicial review made in the reporting period.</w:t>
      </w:r>
    </w:p>
    <w:p w14:paraId="04FF7180" w14:textId="77777777" w:rsidR="004E405B" w:rsidRDefault="004E405B" w:rsidP="00321242">
      <w:pPr>
        <w:pStyle w:val="Heading2"/>
      </w:pPr>
      <w:r w:rsidRPr="004E405B">
        <w:t>Intervention in proceedings</w:t>
      </w:r>
    </w:p>
    <w:p w14:paraId="56B20035" w14:textId="77777777" w:rsidR="009B45C3" w:rsidRPr="00896B84" w:rsidRDefault="009B45C3" w:rsidP="00200EC1">
      <w:pPr>
        <w:rPr>
          <w:i/>
        </w:rPr>
      </w:pPr>
      <w:r w:rsidRPr="00896B84">
        <w:t xml:space="preserve">Under section 235 of the </w:t>
      </w:r>
      <w:r w:rsidRPr="0067689A">
        <w:rPr>
          <w:i/>
        </w:rPr>
        <w:t>Anti-Discrimination Act 1991</w:t>
      </w:r>
      <w:r w:rsidRPr="00896B84">
        <w:t xml:space="preserve"> the Commission has the function to intervene in a proceeding that involves human rights issues, with the leave of the court hearing the proceeding, if the Commission considers it appropriate to do so.</w:t>
      </w:r>
    </w:p>
    <w:p w14:paraId="05BEE0C0" w14:textId="77777777" w:rsidR="009B45C3" w:rsidRPr="00896B84" w:rsidRDefault="009B45C3" w:rsidP="00200EC1">
      <w:pPr>
        <w:rPr>
          <w:i/>
          <w:lang w:val="en"/>
        </w:rPr>
      </w:pPr>
      <w:r w:rsidRPr="00896B84">
        <w:rPr>
          <w:lang w:val="en"/>
        </w:rPr>
        <w:t>The Commission applied to the Queensland Industrial Relations Commission (the tribunal) to intervene in the hearing of an application to dismiss a complaint that had been referred to the tribunal.</w:t>
      </w:r>
    </w:p>
    <w:p w14:paraId="06C0E405" w14:textId="77777777" w:rsidR="009B45C3" w:rsidRPr="00896B84" w:rsidRDefault="009B45C3" w:rsidP="00200EC1">
      <w:pPr>
        <w:rPr>
          <w:i/>
          <w:lang w:val="en"/>
        </w:rPr>
      </w:pPr>
      <w:r w:rsidRPr="00896B84">
        <w:rPr>
          <w:lang w:val="en"/>
        </w:rPr>
        <w:t>In their application to dismiss the complaint the respondents argued that the Commissioner’s decision to accept the complaint was wrong, and that the earlier settlement agreement precluded the tribunal from dealing with the complaint.</w:t>
      </w:r>
    </w:p>
    <w:p w14:paraId="30F8451F" w14:textId="77777777" w:rsidR="009B45C3" w:rsidRPr="00896B84" w:rsidRDefault="009B45C3" w:rsidP="00200EC1">
      <w:pPr>
        <w:rPr>
          <w:i/>
          <w:lang w:val="en"/>
        </w:rPr>
      </w:pPr>
      <w:r w:rsidRPr="00896B84">
        <w:rPr>
          <w:lang w:val="en"/>
        </w:rPr>
        <w:t xml:space="preserve">The Commission made submissions about the jurisdiction of the tribunal on referred complaints and the effect of section 137 of the </w:t>
      </w:r>
      <w:r w:rsidRPr="0067689A">
        <w:rPr>
          <w:i/>
        </w:rPr>
        <w:t>Anti-Discrimination Act 1991</w:t>
      </w:r>
      <w:r w:rsidRPr="00896B84">
        <w:t>, which allows the Commissioner to accept a complaint notwithstanding an earlier agreement not to complain</w:t>
      </w:r>
      <w:r w:rsidRPr="00896B84">
        <w:rPr>
          <w:lang w:val="en"/>
        </w:rPr>
        <w:t xml:space="preserve">. The Commission submitted that the tribunal does not have jurisdiction to review the Commissioner’s decision under section 137 of the Act and does not have </w:t>
      </w:r>
      <w:r w:rsidRPr="00896B84">
        <w:rPr>
          <w:lang w:val="en"/>
        </w:rPr>
        <w:lastRenderedPageBreak/>
        <w:t>jurisdiction to consider common law principles of accord and satisfaction and estoppel in relation to the agreement.</w:t>
      </w:r>
    </w:p>
    <w:p w14:paraId="3F807DAB" w14:textId="77777777" w:rsidR="009B45C3" w:rsidRPr="00896B84" w:rsidRDefault="009B45C3" w:rsidP="00200EC1">
      <w:pPr>
        <w:rPr>
          <w:i/>
          <w:lang w:val="en"/>
        </w:rPr>
      </w:pPr>
      <w:r w:rsidRPr="00896B84">
        <w:rPr>
          <w:lang w:val="en"/>
        </w:rPr>
        <w:t>As a consequence, the respondents withdrew their arguments about the Commissioner’s decision and the effect of the agreement.</w:t>
      </w:r>
    </w:p>
    <w:p w14:paraId="3F61E6EF" w14:textId="2AD9C9F4" w:rsidR="004E405B" w:rsidRDefault="004E405B" w:rsidP="00321242">
      <w:pPr>
        <w:pStyle w:val="Heading2"/>
      </w:pPr>
      <w:r w:rsidRPr="004E405B">
        <w:t xml:space="preserve">Exemption </w:t>
      </w:r>
      <w:r w:rsidR="008A30A6">
        <w:t>a</w:t>
      </w:r>
      <w:r w:rsidRPr="004E405B">
        <w:t>pplications</w:t>
      </w:r>
    </w:p>
    <w:p w14:paraId="29E52230" w14:textId="77777777" w:rsidR="009B45C3" w:rsidRPr="00896B84" w:rsidRDefault="009B45C3" w:rsidP="00200EC1">
      <w:pPr>
        <w:rPr>
          <w:i/>
        </w:rPr>
      </w:pPr>
      <w:r w:rsidRPr="00896B84">
        <w:t xml:space="preserve">Under section 113 of the </w:t>
      </w:r>
      <w:r w:rsidRPr="0067689A">
        <w:rPr>
          <w:i/>
        </w:rPr>
        <w:t>Anti-Discrimination Act 1991</w:t>
      </w:r>
      <w:r w:rsidRPr="00896B84">
        <w:t xml:space="preserve"> the tribunal is required to consult the Commission before deciding an application for an exemption from the operation of a specified provision of the </w:t>
      </w:r>
      <w:r w:rsidRPr="0067689A">
        <w:rPr>
          <w:i/>
        </w:rPr>
        <w:t>Anti-Discrimination Act 1991</w:t>
      </w:r>
      <w:r w:rsidRPr="00896B84">
        <w:t>.</w:t>
      </w:r>
      <w:r w:rsidR="00803E9C">
        <w:t xml:space="preserve"> </w:t>
      </w:r>
      <w:r w:rsidRPr="00896B84">
        <w:t>For work-related applications the tribunal is the Queensland Industrial Relations Commission (QIRC), and for all other applications, the tribunal is the Queensland Civil and Administrative Tribunal (QCAT)</w:t>
      </w:r>
    </w:p>
    <w:p w14:paraId="565D4A3A" w14:textId="77777777" w:rsidR="009B45C3" w:rsidRPr="00896B84" w:rsidRDefault="009B45C3" w:rsidP="00200EC1">
      <w:pPr>
        <w:rPr>
          <w:i/>
        </w:rPr>
      </w:pPr>
      <w:r w:rsidRPr="00896B84">
        <w:t xml:space="preserve">During the period the Commission made two submissions to QCAT and three submissions to QIRC on applications for exemption from the operation of the </w:t>
      </w:r>
      <w:r w:rsidRPr="0067689A">
        <w:rPr>
          <w:i/>
        </w:rPr>
        <w:t>Anti-Discrimination Act 1991</w:t>
      </w:r>
      <w:r w:rsidRPr="00896B84">
        <w:t>.</w:t>
      </w:r>
      <w:r w:rsidR="00803E9C">
        <w:t xml:space="preserve"> </w:t>
      </w:r>
    </w:p>
    <w:p w14:paraId="53F57527" w14:textId="77777777" w:rsidR="004E405B" w:rsidRPr="004E405B" w:rsidRDefault="00896B84" w:rsidP="00321242">
      <w:pPr>
        <w:pStyle w:val="Heading2"/>
      </w:pPr>
      <w:r>
        <w:t>Tribunal and Court decisions</w:t>
      </w:r>
    </w:p>
    <w:p w14:paraId="0A9C2A18" w14:textId="77777777" w:rsidR="004E405B" w:rsidRPr="004E405B" w:rsidRDefault="004E405B" w:rsidP="00321242">
      <w:pPr>
        <w:pStyle w:val="Heading3"/>
      </w:pPr>
      <w:r w:rsidRPr="004E405B">
        <w:t>Tribunal</w:t>
      </w:r>
    </w:p>
    <w:p w14:paraId="240794CA" w14:textId="77777777" w:rsidR="00896B84" w:rsidRPr="00896B84" w:rsidRDefault="00896B84" w:rsidP="00200EC1">
      <w:pPr>
        <w:rPr>
          <w:i/>
        </w:rPr>
      </w:pPr>
      <w:r w:rsidRPr="00896B84">
        <w:t xml:space="preserve">Under the </w:t>
      </w:r>
      <w:r w:rsidRPr="0067689A">
        <w:rPr>
          <w:i/>
        </w:rPr>
        <w:t>Anti-Discrimination Act 1991</w:t>
      </w:r>
      <w:r w:rsidRPr="00896B84">
        <w:t>, the tribunal has the functions of:</w:t>
      </w:r>
    </w:p>
    <w:p w14:paraId="51E3DA74" w14:textId="77777777" w:rsidR="00896B84" w:rsidRPr="00200EC1" w:rsidRDefault="00896B84" w:rsidP="005329BF">
      <w:pPr>
        <w:pStyle w:val="ListParagraph"/>
        <w:numPr>
          <w:ilvl w:val="0"/>
          <w:numId w:val="29"/>
        </w:numPr>
        <w:rPr>
          <w:color w:val="000000"/>
        </w:rPr>
      </w:pPr>
      <w:r w:rsidRPr="00200EC1">
        <w:rPr>
          <w:color w:val="000000"/>
        </w:rPr>
        <w:t>hearing and determining complaints referred by the Commissioner;</w:t>
      </w:r>
      <w:r w:rsidRPr="00200EC1">
        <w:rPr>
          <w:rStyle w:val="FootnoteReference"/>
          <w:rFonts w:asciiTheme="majorHAnsi" w:hAnsiTheme="majorHAnsi" w:cstheme="majorHAnsi"/>
          <w:color w:val="000000"/>
          <w:sz w:val="22"/>
          <w:szCs w:val="22"/>
        </w:rPr>
        <w:footnoteReference w:id="1"/>
      </w:r>
    </w:p>
    <w:p w14:paraId="2D408283" w14:textId="77777777" w:rsidR="00896B84" w:rsidRPr="00200EC1" w:rsidRDefault="00896B84" w:rsidP="005329BF">
      <w:pPr>
        <w:pStyle w:val="ListParagraph"/>
        <w:numPr>
          <w:ilvl w:val="0"/>
          <w:numId w:val="29"/>
        </w:numPr>
        <w:rPr>
          <w:color w:val="000000"/>
        </w:rPr>
      </w:pPr>
      <w:r w:rsidRPr="00200EC1">
        <w:rPr>
          <w:color w:val="000000"/>
        </w:rPr>
        <w:t>hearing and determining applications for exemptions;</w:t>
      </w:r>
      <w:r w:rsidRPr="00200EC1">
        <w:rPr>
          <w:rStyle w:val="FootnoteReference"/>
          <w:rFonts w:asciiTheme="majorHAnsi" w:hAnsiTheme="majorHAnsi" w:cstheme="majorHAnsi"/>
          <w:color w:val="000000"/>
          <w:sz w:val="22"/>
          <w:szCs w:val="22"/>
        </w:rPr>
        <w:footnoteReference w:id="2"/>
      </w:r>
    </w:p>
    <w:p w14:paraId="1EDBA46C" w14:textId="77777777" w:rsidR="00896B84" w:rsidRPr="00200EC1" w:rsidRDefault="00896B84" w:rsidP="005329BF">
      <w:pPr>
        <w:pStyle w:val="ListParagraph"/>
        <w:numPr>
          <w:ilvl w:val="0"/>
          <w:numId w:val="29"/>
        </w:numPr>
        <w:rPr>
          <w:color w:val="000000"/>
        </w:rPr>
      </w:pPr>
      <w:r w:rsidRPr="00200EC1">
        <w:rPr>
          <w:color w:val="000000"/>
        </w:rPr>
        <w:t>hearing and determining applications for interim orders before referral of a complaint;</w:t>
      </w:r>
      <w:r w:rsidRPr="00200EC1">
        <w:rPr>
          <w:rStyle w:val="FootnoteReference"/>
          <w:rFonts w:asciiTheme="majorHAnsi" w:hAnsiTheme="majorHAnsi" w:cstheme="majorHAnsi"/>
          <w:color w:val="000000"/>
          <w:sz w:val="22"/>
          <w:szCs w:val="22"/>
        </w:rPr>
        <w:footnoteReference w:id="3"/>
      </w:r>
    </w:p>
    <w:p w14:paraId="6B3F8BFD" w14:textId="77777777" w:rsidR="00896B84" w:rsidRPr="00200EC1" w:rsidRDefault="00896B84" w:rsidP="005329BF">
      <w:pPr>
        <w:pStyle w:val="ListParagraph"/>
        <w:numPr>
          <w:ilvl w:val="0"/>
          <w:numId w:val="29"/>
        </w:numPr>
        <w:rPr>
          <w:color w:val="000000"/>
        </w:rPr>
      </w:pPr>
      <w:r w:rsidRPr="00200EC1">
        <w:rPr>
          <w:color w:val="000000"/>
        </w:rPr>
        <w:t>considering applications for review of a decision that a complainant has lost interest;</w:t>
      </w:r>
      <w:r w:rsidRPr="00200EC1">
        <w:rPr>
          <w:rStyle w:val="FootnoteReference"/>
          <w:rFonts w:asciiTheme="majorHAnsi" w:hAnsiTheme="majorHAnsi" w:cstheme="majorHAnsi"/>
          <w:color w:val="000000"/>
          <w:sz w:val="22"/>
          <w:szCs w:val="22"/>
        </w:rPr>
        <w:footnoteReference w:id="4"/>
      </w:r>
      <w:r w:rsidRPr="00200EC1">
        <w:rPr>
          <w:color w:val="000000"/>
        </w:rPr>
        <w:t xml:space="preserve"> and</w:t>
      </w:r>
    </w:p>
    <w:p w14:paraId="7FEA510F" w14:textId="77777777" w:rsidR="00896B84" w:rsidRPr="00200EC1" w:rsidRDefault="00896B84" w:rsidP="005329BF">
      <w:pPr>
        <w:pStyle w:val="ListParagraph"/>
        <w:numPr>
          <w:ilvl w:val="0"/>
          <w:numId w:val="29"/>
        </w:numPr>
        <w:rPr>
          <w:i/>
          <w:color w:val="000000"/>
        </w:rPr>
      </w:pPr>
      <w:r w:rsidRPr="00200EC1">
        <w:rPr>
          <w:color w:val="000000"/>
        </w:rPr>
        <w:t>providing opinions about the application of the Act.</w:t>
      </w:r>
      <w:r w:rsidRPr="00896B84">
        <w:rPr>
          <w:rStyle w:val="FootnoteReference"/>
          <w:rFonts w:asciiTheme="majorHAnsi" w:hAnsiTheme="majorHAnsi" w:cstheme="majorHAnsi"/>
          <w:color w:val="000000"/>
          <w:sz w:val="22"/>
          <w:szCs w:val="22"/>
        </w:rPr>
        <w:footnoteReference w:id="5"/>
      </w:r>
    </w:p>
    <w:p w14:paraId="5B3498DE" w14:textId="77777777" w:rsidR="00896B84" w:rsidRPr="00896B84" w:rsidRDefault="00896B84" w:rsidP="00200EC1">
      <w:pPr>
        <w:rPr>
          <w:i/>
        </w:rPr>
      </w:pPr>
      <w:r w:rsidRPr="00896B84">
        <w:t>The Queensland Industrial Relations Commission (QIRC) is the tribunal for all work-related matters, and the Queensland Civil and Administrative Tribunal (QCAT) is the tribunal for all other matters.</w:t>
      </w:r>
    </w:p>
    <w:p w14:paraId="3F95DF90" w14:textId="77777777" w:rsidR="0059575B" w:rsidRDefault="0059575B">
      <w:r>
        <w:br w:type="page"/>
      </w:r>
    </w:p>
    <w:p w14:paraId="0BD9768F" w14:textId="1EE12D5C" w:rsidR="00896B84" w:rsidRPr="00896B84" w:rsidRDefault="00896B84" w:rsidP="00200EC1">
      <w:pPr>
        <w:rPr>
          <w:i/>
        </w:rPr>
      </w:pPr>
      <w:r w:rsidRPr="00896B84">
        <w:lastRenderedPageBreak/>
        <w:t>There were 25 decisions of the tribunals published for the period, made up as follows:</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4A0" w:firstRow="1" w:lastRow="0" w:firstColumn="1" w:lastColumn="0" w:noHBand="0" w:noVBand="1"/>
      </w:tblPr>
      <w:tblGrid>
        <w:gridCol w:w="2835"/>
        <w:gridCol w:w="1275"/>
        <w:gridCol w:w="1418"/>
        <w:gridCol w:w="1133"/>
      </w:tblGrid>
      <w:tr w:rsidR="00896B84" w:rsidRPr="00896B84" w14:paraId="0202AEB0" w14:textId="77777777" w:rsidTr="0059575B">
        <w:tc>
          <w:tcPr>
            <w:tcW w:w="2835" w:type="dxa"/>
          </w:tcPr>
          <w:p w14:paraId="30A613BB" w14:textId="77777777" w:rsidR="00896B84" w:rsidRPr="00896B84" w:rsidRDefault="00896B84" w:rsidP="00200EC1">
            <w:pPr>
              <w:rPr>
                <w:i/>
              </w:rPr>
            </w:pPr>
          </w:p>
        </w:tc>
        <w:tc>
          <w:tcPr>
            <w:tcW w:w="1275" w:type="dxa"/>
          </w:tcPr>
          <w:p w14:paraId="6E4FC738" w14:textId="77777777" w:rsidR="00896B84" w:rsidRPr="00896B84" w:rsidRDefault="00896B84" w:rsidP="00200EC1">
            <w:pPr>
              <w:rPr>
                <w:b/>
                <w:i/>
              </w:rPr>
            </w:pPr>
            <w:r w:rsidRPr="00896B84">
              <w:rPr>
                <w:b/>
              </w:rPr>
              <w:t>QIRC</w:t>
            </w:r>
          </w:p>
        </w:tc>
        <w:tc>
          <w:tcPr>
            <w:tcW w:w="1418" w:type="dxa"/>
          </w:tcPr>
          <w:p w14:paraId="059AAAD4" w14:textId="77777777" w:rsidR="00896B84" w:rsidRPr="00896B84" w:rsidRDefault="00896B84" w:rsidP="00200EC1">
            <w:pPr>
              <w:rPr>
                <w:b/>
                <w:i/>
              </w:rPr>
            </w:pPr>
            <w:r w:rsidRPr="00896B84">
              <w:rPr>
                <w:b/>
              </w:rPr>
              <w:t>QCAT</w:t>
            </w:r>
          </w:p>
        </w:tc>
        <w:tc>
          <w:tcPr>
            <w:tcW w:w="1133" w:type="dxa"/>
          </w:tcPr>
          <w:p w14:paraId="199847AE" w14:textId="77777777" w:rsidR="00896B84" w:rsidRPr="00896B84" w:rsidRDefault="00896B84" w:rsidP="00200EC1">
            <w:pPr>
              <w:rPr>
                <w:b/>
                <w:i/>
              </w:rPr>
            </w:pPr>
            <w:r w:rsidRPr="00896B84">
              <w:rPr>
                <w:b/>
              </w:rPr>
              <w:t>Totals</w:t>
            </w:r>
          </w:p>
        </w:tc>
      </w:tr>
      <w:tr w:rsidR="00896B84" w:rsidRPr="00896B84" w14:paraId="0362362C" w14:textId="77777777" w:rsidTr="0059575B">
        <w:tc>
          <w:tcPr>
            <w:tcW w:w="2835" w:type="dxa"/>
          </w:tcPr>
          <w:p w14:paraId="3BF44C90" w14:textId="77777777" w:rsidR="00896B84" w:rsidRPr="00896B84" w:rsidRDefault="00896B84" w:rsidP="00200EC1">
            <w:pPr>
              <w:rPr>
                <w:i/>
              </w:rPr>
            </w:pPr>
            <w:r w:rsidRPr="00896B84">
              <w:t>Final hearings</w:t>
            </w:r>
          </w:p>
        </w:tc>
        <w:tc>
          <w:tcPr>
            <w:tcW w:w="1275" w:type="dxa"/>
          </w:tcPr>
          <w:p w14:paraId="2629F3C1" w14:textId="77777777" w:rsidR="00896B84" w:rsidRPr="00896B84" w:rsidRDefault="00896B84" w:rsidP="00200EC1">
            <w:pPr>
              <w:rPr>
                <w:i/>
              </w:rPr>
            </w:pPr>
            <w:r w:rsidRPr="00896B84">
              <w:t>2</w:t>
            </w:r>
          </w:p>
        </w:tc>
        <w:tc>
          <w:tcPr>
            <w:tcW w:w="1418" w:type="dxa"/>
          </w:tcPr>
          <w:p w14:paraId="3278E983" w14:textId="77777777" w:rsidR="00896B84" w:rsidRPr="00896B84" w:rsidRDefault="00896B84" w:rsidP="00200EC1">
            <w:pPr>
              <w:rPr>
                <w:i/>
              </w:rPr>
            </w:pPr>
            <w:r w:rsidRPr="00896B84">
              <w:t>5</w:t>
            </w:r>
          </w:p>
        </w:tc>
        <w:tc>
          <w:tcPr>
            <w:tcW w:w="1133" w:type="dxa"/>
          </w:tcPr>
          <w:p w14:paraId="63A31B7B" w14:textId="77777777" w:rsidR="00896B84" w:rsidRPr="00896B84" w:rsidRDefault="00896B84" w:rsidP="00200EC1">
            <w:pPr>
              <w:rPr>
                <w:b/>
                <w:i/>
              </w:rPr>
            </w:pPr>
            <w:r w:rsidRPr="00896B84">
              <w:rPr>
                <w:b/>
              </w:rPr>
              <w:t>7</w:t>
            </w:r>
          </w:p>
        </w:tc>
      </w:tr>
      <w:tr w:rsidR="00896B84" w:rsidRPr="00896B84" w14:paraId="36E708CB" w14:textId="77777777" w:rsidTr="0059575B">
        <w:tc>
          <w:tcPr>
            <w:tcW w:w="2835" w:type="dxa"/>
          </w:tcPr>
          <w:p w14:paraId="69C4EC74" w14:textId="77777777" w:rsidR="00896B84" w:rsidRPr="00896B84" w:rsidRDefault="00896B84" w:rsidP="00200EC1">
            <w:pPr>
              <w:rPr>
                <w:i/>
              </w:rPr>
            </w:pPr>
            <w:r w:rsidRPr="00896B84">
              <w:t>Dismiss/strike out</w:t>
            </w:r>
          </w:p>
        </w:tc>
        <w:tc>
          <w:tcPr>
            <w:tcW w:w="1275" w:type="dxa"/>
          </w:tcPr>
          <w:p w14:paraId="42B0205E" w14:textId="77777777" w:rsidR="00896B84" w:rsidRPr="00896B84" w:rsidRDefault="00896B84" w:rsidP="00200EC1">
            <w:pPr>
              <w:rPr>
                <w:i/>
              </w:rPr>
            </w:pPr>
            <w:r w:rsidRPr="00896B84">
              <w:t>1</w:t>
            </w:r>
          </w:p>
        </w:tc>
        <w:tc>
          <w:tcPr>
            <w:tcW w:w="1418" w:type="dxa"/>
          </w:tcPr>
          <w:p w14:paraId="79D68425" w14:textId="77777777" w:rsidR="00896B84" w:rsidRPr="00896B84" w:rsidRDefault="00896B84" w:rsidP="00200EC1">
            <w:pPr>
              <w:rPr>
                <w:i/>
              </w:rPr>
            </w:pPr>
            <w:r w:rsidRPr="00896B84">
              <w:t>3</w:t>
            </w:r>
          </w:p>
        </w:tc>
        <w:tc>
          <w:tcPr>
            <w:tcW w:w="1133" w:type="dxa"/>
          </w:tcPr>
          <w:p w14:paraId="35988304" w14:textId="77777777" w:rsidR="00896B84" w:rsidRPr="00896B84" w:rsidRDefault="00896B84" w:rsidP="00200EC1">
            <w:pPr>
              <w:rPr>
                <w:b/>
                <w:i/>
              </w:rPr>
            </w:pPr>
            <w:r w:rsidRPr="00896B84">
              <w:rPr>
                <w:b/>
              </w:rPr>
              <w:t>4</w:t>
            </w:r>
          </w:p>
        </w:tc>
      </w:tr>
      <w:tr w:rsidR="00896B84" w:rsidRPr="00896B84" w14:paraId="3ECC564F" w14:textId="77777777" w:rsidTr="0059575B">
        <w:tc>
          <w:tcPr>
            <w:tcW w:w="2835" w:type="dxa"/>
          </w:tcPr>
          <w:p w14:paraId="58493381" w14:textId="77777777" w:rsidR="00896B84" w:rsidRPr="00896B84" w:rsidRDefault="00896B84" w:rsidP="00200EC1">
            <w:pPr>
              <w:rPr>
                <w:i/>
              </w:rPr>
            </w:pPr>
            <w:r w:rsidRPr="00896B84">
              <w:t>Legal representation</w:t>
            </w:r>
          </w:p>
        </w:tc>
        <w:tc>
          <w:tcPr>
            <w:tcW w:w="1275" w:type="dxa"/>
          </w:tcPr>
          <w:p w14:paraId="0B49BAF3" w14:textId="77777777" w:rsidR="00896B84" w:rsidRPr="00896B84" w:rsidRDefault="00896B84" w:rsidP="00200EC1">
            <w:pPr>
              <w:rPr>
                <w:i/>
              </w:rPr>
            </w:pPr>
            <w:r w:rsidRPr="00896B84">
              <w:t>-</w:t>
            </w:r>
          </w:p>
        </w:tc>
        <w:tc>
          <w:tcPr>
            <w:tcW w:w="1418" w:type="dxa"/>
          </w:tcPr>
          <w:p w14:paraId="2695C303" w14:textId="77777777" w:rsidR="00896B84" w:rsidRPr="00896B84" w:rsidRDefault="00896B84" w:rsidP="00200EC1">
            <w:pPr>
              <w:rPr>
                <w:i/>
              </w:rPr>
            </w:pPr>
            <w:r w:rsidRPr="00896B84">
              <w:t>2</w:t>
            </w:r>
          </w:p>
        </w:tc>
        <w:tc>
          <w:tcPr>
            <w:tcW w:w="1133" w:type="dxa"/>
          </w:tcPr>
          <w:p w14:paraId="5A670F8C" w14:textId="77777777" w:rsidR="00896B84" w:rsidRPr="00896B84" w:rsidRDefault="00896B84" w:rsidP="00200EC1">
            <w:pPr>
              <w:rPr>
                <w:b/>
                <w:i/>
              </w:rPr>
            </w:pPr>
            <w:r w:rsidRPr="00896B84">
              <w:rPr>
                <w:b/>
              </w:rPr>
              <w:t>2</w:t>
            </w:r>
          </w:p>
        </w:tc>
      </w:tr>
      <w:tr w:rsidR="00896B84" w:rsidRPr="00896B84" w14:paraId="59B3A058" w14:textId="77777777" w:rsidTr="0059575B">
        <w:tc>
          <w:tcPr>
            <w:tcW w:w="2835" w:type="dxa"/>
          </w:tcPr>
          <w:p w14:paraId="4017F67B" w14:textId="77777777" w:rsidR="00896B84" w:rsidRPr="00896B84" w:rsidRDefault="00896B84" w:rsidP="00200EC1">
            <w:pPr>
              <w:rPr>
                <w:i/>
              </w:rPr>
            </w:pPr>
            <w:r w:rsidRPr="00896B84">
              <w:t>Produce documents</w:t>
            </w:r>
          </w:p>
        </w:tc>
        <w:tc>
          <w:tcPr>
            <w:tcW w:w="1275" w:type="dxa"/>
          </w:tcPr>
          <w:p w14:paraId="7257A818" w14:textId="77777777" w:rsidR="00896B84" w:rsidRPr="00896B84" w:rsidRDefault="00896B84" w:rsidP="00200EC1">
            <w:pPr>
              <w:rPr>
                <w:i/>
              </w:rPr>
            </w:pPr>
            <w:r w:rsidRPr="00896B84">
              <w:t>-</w:t>
            </w:r>
          </w:p>
        </w:tc>
        <w:tc>
          <w:tcPr>
            <w:tcW w:w="1418" w:type="dxa"/>
          </w:tcPr>
          <w:p w14:paraId="27D891A3" w14:textId="77777777" w:rsidR="00896B84" w:rsidRPr="00896B84" w:rsidRDefault="00896B84" w:rsidP="00200EC1">
            <w:pPr>
              <w:rPr>
                <w:i/>
              </w:rPr>
            </w:pPr>
            <w:r w:rsidRPr="00896B84">
              <w:t>1</w:t>
            </w:r>
          </w:p>
        </w:tc>
        <w:tc>
          <w:tcPr>
            <w:tcW w:w="1133" w:type="dxa"/>
          </w:tcPr>
          <w:p w14:paraId="3A57E9DD" w14:textId="77777777" w:rsidR="00896B84" w:rsidRPr="00896B84" w:rsidRDefault="00896B84" w:rsidP="00200EC1">
            <w:pPr>
              <w:rPr>
                <w:b/>
                <w:i/>
              </w:rPr>
            </w:pPr>
            <w:r w:rsidRPr="00896B84">
              <w:rPr>
                <w:b/>
              </w:rPr>
              <w:t>1</w:t>
            </w:r>
          </w:p>
        </w:tc>
      </w:tr>
      <w:tr w:rsidR="00896B84" w:rsidRPr="00896B84" w14:paraId="64F528C1" w14:textId="77777777" w:rsidTr="0059575B">
        <w:tc>
          <w:tcPr>
            <w:tcW w:w="2835" w:type="dxa"/>
          </w:tcPr>
          <w:p w14:paraId="5B1B40BC" w14:textId="77777777" w:rsidR="00896B84" w:rsidRPr="00896B84" w:rsidRDefault="00896B84" w:rsidP="00200EC1">
            <w:pPr>
              <w:rPr>
                <w:i/>
              </w:rPr>
            </w:pPr>
            <w:r w:rsidRPr="00896B84">
              <w:t>Costs</w:t>
            </w:r>
          </w:p>
        </w:tc>
        <w:tc>
          <w:tcPr>
            <w:tcW w:w="1275" w:type="dxa"/>
          </w:tcPr>
          <w:p w14:paraId="3F8F544C" w14:textId="77777777" w:rsidR="00896B84" w:rsidRPr="00896B84" w:rsidRDefault="00896B84" w:rsidP="00200EC1">
            <w:pPr>
              <w:rPr>
                <w:i/>
              </w:rPr>
            </w:pPr>
            <w:r w:rsidRPr="00896B84">
              <w:t>-</w:t>
            </w:r>
          </w:p>
        </w:tc>
        <w:tc>
          <w:tcPr>
            <w:tcW w:w="1418" w:type="dxa"/>
          </w:tcPr>
          <w:p w14:paraId="78A1C5F1" w14:textId="77777777" w:rsidR="00896B84" w:rsidRPr="00896B84" w:rsidRDefault="00896B84" w:rsidP="00200EC1">
            <w:pPr>
              <w:rPr>
                <w:i/>
              </w:rPr>
            </w:pPr>
            <w:r w:rsidRPr="00896B84">
              <w:t>2</w:t>
            </w:r>
          </w:p>
        </w:tc>
        <w:tc>
          <w:tcPr>
            <w:tcW w:w="1133" w:type="dxa"/>
          </w:tcPr>
          <w:p w14:paraId="7133A2B0" w14:textId="77777777" w:rsidR="00896B84" w:rsidRPr="00896B84" w:rsidRDefault="00896B84" w:rsidP="00200EC1">
            <w:pPr>
              <w:rPr>
                <w:b/>
                <w:i/>
              </w:rPr>
            </w:pPr>
            <w:r w:rsidRPr="00896B84">
              <w:rPr>
                <w:b/>
              </w:rPr>
              <w:t>2</w:t>
            </w:r>
          </w:p>
        </w:tc>
      </w:tr>
      <w:tr w:rsidR="00896B84" w:rsidRPr="00896B84" w14:paraId="7D816D67" w14:textId="77777777" w:rsidTr="0059575B">
        <w:tc>
          <w:tcPr>
            <w:tcW w:w="2835" w:type="dxa"/>
          </w:tcPr>
          <w:p w14:paraId="2C2966D4" w14:textId="77777777" w:rsidR="00896B84" w:rsidRPr="00896B84" w:rsidRDefault="00896B84" w:rsidP="00200EC1">
            <w:pPr>
              <w:rPr>
                <w:i/>
              </w:rPr>
            </w:pPr>
            <w:r w:rsidRPr="00896B84">
              <w:t>Amend complaint</w:t>
            </w:r>
          </w:p>
        </w:tc>
        <w:tc>
          <w:tcPr>
            <w:tcW w:w="1275" w:type="dxa"/>
          </w:tcPr>
          <w:p w14:paraId="4B5AB060" w14:textId="77777777" w:rsidR="00896B84" w:rsidRPr="00896B84" w:rsidRDefault="00896B84" w:rsidP="00200EC1">
            <w:pPr>
              <w:rPr>
                <w:i/>
              </w:rPr>
            </w:pPr>
            <w:r w:rsidRPr="00896B84">
              <w:t>-</w:t>
            </w:r>
          </w:p>
        </w:tc>
        <w:tc>
          <w:tcPr>
            <w:tcW w:w="1418" w:type="dxa"/>
          </w:tcPr>
          <w:p w14:paraId="712D3926" w14:textId="77777777" w:rsidR="00896B84" w:rsidRPr="00896B84" w:rsidRDefault="00896B84" w:rsidP="00200EC1">
            <w:pPr>
              <w:rPr>
                <w:i/>
              </w:rPr>
            </w:pPr>
            <w:r w:rsidRPr="00896B84">
              <w:t>2</w:t>
            </w:r>
          </w:p>
        </w:tc>
        <w:tc>
          <w:tcPr>
            <w:tcW w:w="1133" w:type="dxa"/>
          </w:tcPr>
          <w:p w14:paraId="6EF664AF" w14:textId="77777777" w:rsidR="00896B84" w:rsidRPr="00896B84" w:rsidRDefault="00896B84" w:rsidP="00200EC1">
            <w:pPr>
              <w:rPr>
                <w:b/>
                <w:i/>
              </w:rPr>
            </w:pPr>
            <w:r w:rsidRPr="00896B84">
              <w:rPr>
                <w:b/>
              </w:rPr>
              <w:t>2</w:t>
            </w:r>
          </w:p>
        </w:tc>
      </w:tr>
      <w:tr w:rsidR="00896B84" w:rsidRPr="00896B84" w14:paraId="74089A39" w14:textId="77777777" w:rsidTr="0059575B">
        <w:tc>
          <w:tcPr>
            <w:tcW w:w="2835" w:type="dxa"/>
          </w:tcPr>
          <w:p w14:paraId="694F14E8" w14:textId="77777777" w:rsidR="00896B84" w:rsidRPr="00896B84" w:rsidRDefault="00896B84" w:rsidP="00200EC1">
            <w:pPr>
              <w:rPr>
                <w:i/>
              </w:rPr>
            </w:pPr>
            <w:r w:rsidRPr="00896B84">
              <w:t>Interim orders before referral (s.144)</w:t>
            </w:r>
          </w:p>
        </w:tc>
        <w:tc>
          <w:tcPr>
            <w:tcW w:w="1275" w:type="dxa"/>
          </w:tcPr>
          <w:p w14:paraId="19E1F84D" w14:textId="77777777" w:rsidR="00896B84" w:rsidRPr="00896B84" w:rsidRDefault="00896B84" w:rsidP="00200EC1">
            <w:pPr>
              <w:rPr>
                <w:i/>
              </w:rPr>
            </w:pPr>
            <w:r w:rsidRPr="00896B84">
              <w:t>1</w:t>
            </w:r>
          </w:p>
        </w:tc>
        <w:tc>
          <w:tcPr>
            <w:tcW w:w="1418" w:type="dxa"/>
          </w:tcPr>
          <w:p w14:paraId="0CFF6AA8" w14:textId="77777777" w:rsidR="00896B84" w:rsidRPr="00896B84" w:rsidRDefault="00896B84" w:rsidP="00200EC1">
            <w:pPr>
              <w:rPr>
                <w:i/>
              </w:rPr>
            </w:pPr>
            <w:r w:rsidRPr="00896B84">
              <w:t>1</w:t>
            </w:r>
          </w:p>
        </w:tc>
        <w:tc>
          <w:tcPr>
            <w:tcW w:w="1133" w:type="dxa"/>
          </w:tcPr>
          <w:p w14:paraId="3DAB69DA" w14:textId="77777777" w:rsidR="00896B84" w:rsidRPr="00896B84" w:rsidRDefault="00896B84" w:rsidP="00200EC1">
            <w:pPr>
              <w:rPr>
                <w:b/>
                <w:i/>
              </w:rPr>
            </w:pPr>
            <w:r w:rsidRPr="00896B84">
              <w:rPr>
                <w:b/>
              </w:rPr>
              <w:t>2</w:t>
            </w:r>
          </w:p>
        </w:tc>
      </w:tr>
      <w:tr w:rsidR="00896B84" w:rsidRPr="00896B84" w14:paraId="5866E605" w14:textId="77777777" w:rsidTr="0059575B">
        <w:tc>
          <w:tcPr>
            <w:tcW w:w="2835" w:type="dxa"/>
          </w:tcPr>
          <w:p w14:paraId="0911683C" w14:textId="77777777" w:rsidR="00896B84" w:rsidRPr="00896B84" w:rsidRDefault="00896B84" w:rsidP="00200EC1">
            <w:pPr>
              <w:rPr>
                <w:i/>
              </w:rPr>
            </w:pPr>
            <w:r w:rsidRPr="00896B84">
              <w:t>Injunction</w:t>
            </w:r>
          </w:p>
        </w:tc>
        <w:tc>
          <w:tcPr>
            <w:tcW w:w="1275" w:type="dxa"/>
          </w:tcPr>
          <w:p w14:paraId="7BD86C15" w14:textId="77777777" w:rsidR="00896B84" w:rsidRPr="00896B84" w:rsidRDefault="00896B84" w:rsidP="00200EC1">
            <w:pPr>
              <w:rPr>
                <w:i/>
              </w:rPr>
            </w:pPr>
            <w:r w:rsidRPr="00896B84">
              <w:t>-</w:t>
            </w:r>
          </w:p>
        </w:tc>
        <w:tc>
          <w:tcPr>
            <w:tcW w:w="1418" w:type="dxa"/>
          </w:tcPr>
          <w:p w14:paraId="38B75ADD" w14:textId="77777777" w:rsidR="00896B84" w:rsidRPr="00896B84" w:rsidRDefault="00896B84" w:rsidP="00200EC1">
            <w:pPr>
              <w:rPr>
                <w:i/>
              </w:rPr>
            </w:pPr>
            <w:r w:rsidRPr="00896B84">
              <w:t>1</w:t>
            </w:r>
          </w:p>
        </w:tc>
        <w:tc>
          <w:tcPr>
            <w:tcW w:w="1133" w:type="dxa"/>
          </w:tcPr>
          <w:p w14:paraId="6D25A63A" w14:textId="77777777" w:rsidR="00896B84" w:rsidRPr="00896B84" w:rsidRDefault="00896B84" w:rsidP="00200EC1">
            <w:pPr>
              <w:rPr>
                <w:b/>
                <w:i/>
              </w:rPr>
            </w:pPr>
            <w:r w:rsidRPr="00896B84">
              <w:rPr>
                <w:b/>
              </w:rPr>
              <w:t>1</w:t>
            </w:r>
          </w:p>
        </w:tc>
      </w:tr>
      <w:tr w:rsidR="00896B84" w:rsidRPr="00896B84" w14:paraId="3AF4FFBB" w14:textId="77777777" w:rsidTr="0059575B">
        <w:tc>
          <w:tcPr>
            <w:tcW w:w="2835" w:type="dxa"/>
          </w:tcPr>
          <w:p w14:paraId="7E933DD5" w14:textId="77777777" w:rsidR="00896B84" w:rsidRPr="00896B84" w:rsidRDefault="00896B84" w:rsidP="00200EC1">
            <w:pPr>
              <w:rPr>
                <w:i/>
              </w:rPr>
            </w:pPr>
            <w:r w:rsidRPr="00896B84">
              <w:t>Miscellaneous process</w:t>
            </w:r>
          </w:p>
        </w:tc>
        <w:tc>
          <w:tcPr>
            <w:tcW w:w="1275" w:type="dxa"/>
          </w:tcPr>
          <w:p w14:paraId="71B8036C" w14:textId="77777777" w:rsidR="00896B84" w:rsidRPr="00896B84" w:rsidRDefault="00896B84" w:rsidP="00200EC1">
            <w:pPr>
              <w:rPr>
                <w:i/>
              </w:rPr>
            </w:pPr>
            <w:r w:rsidRPr="00896B84">
              <w:t>-</w:t>
            </w:r>
          </w:p>
        </w:tc>
        <w:tc>
          <w:tcPr>
            <w:tcW w:w="1418" w:type="dxa"/>
          </w:tcPr>
          <w:p w14:paraId="3B682791" w14:textId="77777777" w:rsidR="00896B84" w:rsidRPr="00896B84" w:rsidRDefault="00896B84" w:rsidP="00200EC1">
            <w:pPr>
              <w:rPr>
                <w:i/>
              </w:rPr>
            </w:pPr>
            <w:r w:rsidRPr="00896B84">
              <w:t>1</w:t>
            </w:r>
          </w:p>
        </w:tc>
        <w:tc>
          <w:tcPr>
            <w:tcW w:w="1133" w:type="dxa"/>
          </w:tcPr>
          <w:p w14:paraId="25C2BDB8" w14:textId="77777777" w:rsidR="00896B84" w:rsidRPr="00896B84" w:rsidRDefault="00896B84" w:rsidP="00200EC1">
            <w:pPr>
              <w:rPr>
                <w:b/>
                <w:i/>
              </w:rPr>
            </w:pPr>
            <w:r w:rsidRPr="00896B84">
              <w:rPr>
                <w:b/>
              </w:rPr>
              <w:t>1</w:t>
            </w:r>
          </w:p>
        </w:tc>
      </w:tr>
      <w:tr w:rsidR="00896B84" w:rsidRPr="00896B84" w14:paraId="3D17D84D" w14:textId="77777777" w:rsidTr="0059575B">
        <w:tc>
          <w:tcPr>
            <w:tcW w:w="2835" w:type="dxa"/>
          </w:tcPr>
          <w:p w14:paraId="64037223" w14:textId="77777777" w:rsidR="00896B84" w:rsidRPr="00896B84" w:rsidRDefault="00896B84" w:rsidP="00200EC1">
            <w:pPr>
              <w:rPr>
                <w:i/>
              </w:rPr>
            </w:pPr>
            <w:r w:rsidRPr="00896B84">
              <w:t>Exemption applications</w:t>
            </w:r>
          </w:p>
        </w:tc>
        <w:tc>
          <w:tcPr>
            <w:tcW w:w="1275" w:type="dxa"/>
          </w:tcPr>
          <w:p w14:paraId="733E944F" w14:textId="77777777" w:rsidR="00896B84" w:rsidRPr="00896B84" w:rsidRDefault="00896B84" w:rsidP="00200EC1">
            <w:pPr>
              <w:rPr>
                <w:i/>
              </w:rPr>
            </w:pPr>
            <w:r w:rsidRPr="00896B84">
              <w:t>2</w:t>
            </w:r>
          </w:p>
        </w:tc>
        <w:tc>
          <w:tcPr>
            <w:tcW w:w="1418" w:type="dxa"/>
          </w:tcPr>
          <w:p w14:paraId="42CC949C" w14:textId="77777777" w:rsidR="00896B84" w:rsidRPr="00896B84" w:rsidRDefault="00896B84" w:rsidP="00200EC1">
            <w:pPr>
              <w:rPr>
                <w:i/>
              </w:rPr>
            </w:pPr>
            <w:r w:rsidRPr="00896B84">
              <w:t>1</w:t>
            </w:r>
          </w:p>
        </w:tc>
        <w:tc>
          <w:tcPr>
            <w:tcW w:w="1133" w:type="dxa"/>
          </w:tcPr>
          <w:p w14:paraId="3D6DEC87" w14:textId="77777777" w:rsidR="00896B84" w:rsidRPr="00896B84" w:rsidRDefault="00896B84" w:rsidP="00200EC1">
            <w:pPr>
              <w:rPr>
                <w:b/>
                <w:i/>
              </w:rPr>
            </w:pPr>
            <w:r w:rsidRPr="00896B84">
              <w:rPr>
                <w:b/>
              </w:rPr>
              <w:t>3</w:t>
            </w:r>
          </w:p>
        </w:tc>
      </w:tr>
      <w:tr w:rsidR="00896B84" w:rsidRPr="00896B84" w14:paraId="44F62DF8" w14:textId="77777777" w:rsidTr="0059575B">
        <w:tc>
          <w:tcPr>
            <w:tcW w:w="2835" w:type="dxa"/>
          </w:tcPr>
          <w:p w14:paraId="56D1D2F8" w14:textId="77777777" w:rsidR="00896B84" w:rsidRPr="00896B84" w:rsidRDefault="00896B84" w:rsidP="00200EC1">
            <w:pPr>
              <w:rPr>
                <w:i/>
              </w:rPr>
            </w:pPr>
          </w:p>
        </w:tc>
        <w:tc>
          <w:tcPr>
            <w:tcW w:w="1275" w:type="dxa"/>
          </w:tcPr>
          <w:p w14:paraId="4A975B7F" w14:textId="77777777" w:rsidR="00896B84" w:rsidRPr="00896B84" w:rsidRDefault="00896B84" w:rsidP="00200EC1">
            <w:pPr>
              <w:rPr>
                <w:b/>
                <w:i/>
              </w:rPr>
            </w:pPr>
            <w:r w:rsidRPr="00896B84">
              <w:rPr>
                <w:b/>
              </w:rPr>
              <w:t>6</w:t>
            </w:r>
          </w:p>
        </w:tc>
        <w:tc>
          <w:tcPr>
            <w:tcW w:w="1418" w:type="dxa"/>
          </w:tcPr>
          <w:p w14:paraId="2B9DE417" w14:textId="77777777" w:rsidR="00896B84" w:rsidRPr="00896B84" w:rsidRDefault="00896B84" w:rsidP="00200EC1">
            <w:pPr>
              <w:rPr>
                <w:b/>
                <w:i/>
              </w:rPr>
            </w:pPr>
            <w:r w:rsidRPr="00896B84">
              <w:rPr>
                <w:b/>
                <w:i/>
              </w:rPr>
              <w:fldChar w:fldCharType="begin"/>
            </w:r>
            <w:r w:rsidRPr="00896B84">
              <w:rPr>
                <w:b/>
              </w:rPr>
              <w:instrText xml:space="preserve"> =SUM(ABOVE) </w:instrText>
            </w:r>
            <w:r w:rsidRPr="00896B84">
              <w:rPr>
                <w:b/>
                <w:i/>
              </w:rPr>
              <w:fldChar w:fldCharType="separate"/>
            </w:r>
            <w:r w:rsidRPr="00896B84">
              <w:rPr>
                <w:b/>
                <w:noProof/>
              </w:rPr>
              <w:t>19</w:t>
            </w:r>
            <w:r w:rsidRPr="00896B84">
              <w:rPr>
                <w:b/>
                <w:i/>
              </w:rPr>
              <w:fldChar w:fldCharType="end"/>
            </w:r>
          </w:p>
        </w:tc>
        <w:tc>
          <w:tcPr>
            <w:tcW w:w="1133" w:type="dxa"/>
          </w:tcPr>
          <w:p w14:paraId="63440EBC" w14:textId="77777777" w:rsidR="00896B84" w:rsidRPr="00896B84" w:rsidRDefault="00896B84" w:rsidP="00200EC1">
            <w:pPr>
              <w:rPr>
                <w:b/>
                <w:i/>
              </w:rPr>
            </w:pPr>
            <w:r w:rsidRPr="00896B84">
              <w:rPr>
                <w:b/>
                <w:i/>
              </w:rPr>
              <w:fldChar w:fldCharType="begin"/>
            </w:r>
            <w:r w:rsidRPr="00896B84">
              <w:rPr>
                <w:b/>
              </w:rPr>
              <w:instrText xml:space="preserve"> =SUM(ABOVE) </w:instrText>
            </w:r>
            <w:r w:rsidRPr="00896B84">
              <w:rPr>
                <w:b/>
                <w:i/>
              </w:rPr>
              <w:fldChar w:fldCharType="separate"/>
            </w:r>
            <w:r w:rsidRPr="00896B84">
              <w:rPr>
                <w:b/>
                <w:noProof/>
              </w:rPr>
              <w:t>25</w:t>
            </w:r>
            <w:r w:rsidRPr="00896B84">
              <w:rPr>
                <w:b/>
                <w:i/>
              </w:rPr>
              <w:fldChar w:fldCharType="end"/>
            </w:r>
          </w:p>
        </w:tc>
      </w:tr>
    </w:tbl>
    <w:p w14:paraId="7C20EC9E" w14:textId="77777777" w:rsidR="0059575B" w:rsidRDefault="0059575B" w:rsidP="00200EC1"/>
    <w:p w14:paraId="334E5D9C" w14:textId="7054B141" w:rsidR="00896B84" w:rsidRPr="00896B84" w:rsidRDefault="00896B84" w:rsidP="00200EC1">
      <w:pPr>
        <w:rPr>
          <w:i/>
        </w:rPr>
      </w:pPr>
      <w:r w:rsidRPr="00896B84">
        <w:t>The following is a selection of the published decisions.</w:t>
      </w:r>
    </w:p>
    <w:p w14:paraId="6069ED55" w14:textId="56DF4444" w:rsidR="004E405B" w:rsidRDefault="00200EC1" w:rsidP="00200EC1">
      <w:pPr>
        <w:pStyle w:val="Heading2"/>
      </w:pPr>
      <w:r>
        <w:t xml:space="preserve">Tribunal and Court decisions: </w:t>
      </w:r>
      <w:r w:rsidR="004E405B" w:rsidRPr="004E405B">
        <w:t>Complaints</w:t>
      </w:r>
    </w:p>
    <w:p w14:paraId="5AC2B08A" w14:textId="77777777" w:rsidR="00896B84" w:rsidRPr="00896B84" w:rsidRDefault="00896B84" w:rsidP="00200EC1">
      <w:pPr>
        <w:pStyle w:val="Heading3"/>
        <w:rPr>
          <w:i/>
        </w:rPr>
      </w:pPr>
      <w:r w:rsidRPr="00896B84">
        <w:t>Former politician denied job in public hospital</w:t>
      </w:r>
    </w:p>
    <w:p w14:paraId="79FB9617" w14:textId="77777777" w:rsidR="00896B84" w:rsidRPr="00896B84" w:rsidRDefault="00896B84" w:rsidP="00200EC1">
      <w:pPr>
        <w:rPr>
          <w:i/>
        </w:rPr>
      </w:pPr>
      <w:r w:rsidRPr="00896B84">
        <w:t>A specialist doctor was a former member of parliament and Assistant Minister for Health.</w:t>
      </w:r>
      <w:r w:rsidR="00803E9C">
        <w:t xml:space="preserve"> </w:t>
      </w:r>
      <w:r w:rsidRPr="00896B84">
        <w:t>He was sacked as Assistant Minister for Health and he resigned from parliament and from the Liberal National Party.</w:t>
      </w:r>
      <w:r w:rsidR="00803E9C">
        <w:t xml:space="preserve"> </w:t>
      </w:r>
      <w:r w:rsidRPr="00896B84">
        <w:t>He had been critical of the government of the time, being involved in a very public dispute over employment contracts of public hospital doctors.</w:t>
      </w:r>
      <w:r w:rsidR="00803E9C">
        <w:t xml:space="preserve"> </w:t>
      </w:r>
      <w:r w:rsidRPr="00896B84">
        <w:t>Before going into politics he had been employed in public hospitals throughout Queensland as a physician and geriatrician, and at one stage he was the State President of the Australian Medical Association.</w:t>
      </w:r>
    </w:p>
    <w:p w14:paraId="43B9E924" w14:textId="77777777" w:rsidR="00896B84" w:rsidRPr="00896B84" w:rsidRDefault="00896B84" w:rsidP="00200EC1">
      <w:pPr>
        <w:rPr>
          <w:i/>
        </w:rPr>
      </w:pPr>
      <w:r w:rsidRPr="00896B84">
        <w:t>After leaving politics, the doctor applied for an advertised position as a specialist geriatric medicine senior medical officer for the Royal Brisbane and Women’s Hospital.</w:t>
      </w:r>
      <w:r w:rsidR="00803E9C">
        <w:t xml:space="preserve"> </w:t>
      </w:r>
      <w:r w:rsidRPr="00896B84">
        <w:t>The doctor was the only applicant for the position.</w:t>
      </w:r>
      <w:r w:rsidR="00803E9C">
        <w:t xml:space="preserve"> </w:t>
      </w:r>
      <w:r w:rsidRPr="00896B84">
        <w:t>The standard recruitment procedure was not followed, and the doctor was eventually informed that the position had been withdrawn.</w:t>
      </w:r>
    </w:p>
    <w:p w14:paraId="4E31DC6C" w14:textId="77777777" w:rsidR="00896B84" w:rsidRPr="00896B84" w:rsidRDefault="00896B84" w:rsidP="00200EC1">
      <w:pPr>
        <w:rPr>
          <w:i/>
        </w:rPr>
      </w:pPr>
      <w:r w:rsidRPr="00896B84">
        <w:t>The tribunal found that departure from the standard recruitment process by notifying the Board (via the chief executive) would have occurred in the case of an application from any person with a high profile, and accordingly was not less favourable treatment of the doctor.</w:t>
      </w:r>
    </w:p>
    <w:p w14:paraId="69E20CF9" w14:textId="77777777" w:rsidR="00896B84" w:rsidRPr="00896B84" w:rsidRDefault="00896B84" w:rsidP="00200EC1">
      <w:pPr>
        <w:rPr>
          <w:i/>
        </w:rPr>
      </w:pPr>
      <w:r w:rsidRPr="00896B84">
        <w:t>However, the tribunal found that the decision of the CEO to cease the recruitment process and not appoint the doctor amounted to less favourable treatment of him.</w:t>
      </w:r>
      <w:r w:rsidR="00803E9C">
        <w:t xml:space="preserve"> </w:t>
      </w:r>
      <w:r w:rsidRPr="00896B84">
        <w:t>An inference that the decision was made because of the doctor’s political belief or activity was open on the evidence, and there was no innocent explanation for the decision.</w:t>
      </w:r>
    </w:p>
    <w:p w14:paraId="2018A252" w14:textId="77777777" w:rsidR="00896B84" w:rsidRPr="00896B84" w:rsidRDefault="00896B84" w:rsidP="00200EC1">
      <w:pPr>
        <w:rPr>
          <w:i/>
        </w:rPr>
      </w:pPr>
      <w:r w:rsidRPr="00896B84">
        <w:t>As a consequence of the discrimination, the doctor said he lost dignity, lost his standing in the profession, and lost self-esteem as he had been reduced from a medical director of a major academic clinical department to a clinician incapable of securing a public hospital position.</w:t>
      </w:r>
      <w:r w:rsidR="00803E9C">
        <w:t xml:space="preserve"> </w:t>
      </w:r>
      <w:r w:rsidRPr="00896B84">
        <w:t xml:space="preserve">He suffered considerable </w:t>
      </w:r>
      <w:r w:rsidRPr="00896B84">
        <w:lastRenderedPageBreak/>
        <w:t>distress and isolated himself, which resulted in his not applying for further public hospital clinical jobs.</w:t>
      </w:r>
      <w:r w:rsidR="00803E9C">
        <w:t xml:space="preserve"> </w:t>
      </w:r>
      <w:r w:rsidRPr="00896B84">
        <w:t>He had minimal opportunity to practice his professional skills or engage in professional development that is integral with public hospital clinical practice.</w:t>
      </w:r>
      <w:r w:rsidR="00803E9C">
        <w:t xml:space="preserve"> </w:t>
      </w:r>
    </w:p>
    <w:p w14:paraId="6C17F2E9" w14:textId="77777777" w:rsidR="00896B84" w:rsidRPr="00896B84" w:rsidRDefault="00896B84" w:rsidP="00200EC1">
      <w:pPr>
        <w:rPr>
          <w:i/>
        </w:rPr>
      </w:pPr>
      <w:r w:rsidRPr="00896B84">
        <w:t>The tribunal found that the discrimination caused the doctor to change from a confident, highly achieving medical professional capable of taking responsibility for the management and direction of an entire department of a major public hospital to an anxious, despondent, socially isolated person who demonstrates a lack of purpose, self-worth and drive.</w:t>
      </w:r>
      <w:r w:rsidR="00803E9C">
        <w:t xml:space="preserve"> </w:t>
      </w:r>
      <w:r w:rsidRPr="00896B84">
        <w:t>The tribunal found the deleterious impact had been long lasting and was ongoing.</w:t>
      </w:r>
    </w:p>
    <w:p w14:paraId="6DCECDA7" w14:textId="77777777" w:rsidR="00896B84" w:rsidRPr="00896B84" w:rsidRDefault="00896B84" w:rsidP="00200EC1">
      <w:pPr>
        <w:rPr>
          <w:i/>
        </w:rPr>
      </w:pPr>
      <w:r w:rsidRPr="00896B84">
        <w:t>Although the doctor did not rely on medical evidence that he sustained a diagnosed psychological disorder, the tribunal found that the impact on his functioning caused by the discrimination is not dissimilar to, and has had serious and debilitating consequences in common with, the effects of diagnosed psychological disorder.</w:t>
      </w:r>
      <w:r w:rsidR="00803E9C">
        <w:t xml:space="preserve"> </w:t>
      </w:r>
    </w:p>
    <w:p w14:paraId="31B466FF" w14:textId="77777777" w:rsidR="00896B84" w:rsidRPr="00896B84" w:rsidRDefault="00896B84" w:rsidP="00200EC1">
      <w:pPr>
        <w:rPr>
          <w:i/>
        </w:rPr>
      </w:pPr>
      <w:r w:rsidRPr="00896B84">
        <w:t>The tribunal adopted the reasoning used in Green v State of Queensland as to assessment of damages and considered that in the absence of psychological injury the tribunal should consider the persuasive influence of the Full Court of the Federal Court in Richardson v Oracle.</w:t>
      </w:r>
      <w:r w:rsidR="00803E9C">
        <w:t xml:space="preserve"> </w:t>
      </w:r>
      <w:r w:rsidRPr="00896B84">
        <w:t>The tribunal considered the impacts of contraventions and awards of damages in QCAT cases of Green, STU, and Carey, and concluded that the impact on Mr Green and STU were significantly greater than the impact to the doctor.</w:t>
      </w:r>
      <w:r w:rsidR="00803E9C">
        <w:t xml:space="preserve"> </w:t>
      </w:r>
      <w:r w:rsidRPr="00896B84">
        <w:t>The tribunal awarded damages totalling $1,450,771.69 comprised of:</w:t>
      </w:r>
    </w:p>
    <w:p w14:paraId="70E00AB1" w14:textId="43E1603C" w:rsidR="00896B84" w:rsidRPr="00896B84" w:rsidRDefault="00896B84" w:rsidP="00200EC1">
      <w:pPr>
        <w:rPr>
          <w:i/>
        </w:rPr>
      </w:pPr>
      <w:r w:rsidRPr="00896B84">
        <w:t>General damages</w:t>
      </w:r>
      <w:r w:rsidR="00803E9C">
        <w:t xml:space="preserve">             </w:t>
      </w:r>
      <w:r w:rsidRPr="00896B84">
        <w:t xml:space="preserve"> </w:t>
      </w:r>
      <w:r w:rsidR="0055064A">
        <w:tab/>
      </w:r>
      <w:r w:rsidRPr="00896B84">
        <w:t>$</w:t>
      </w:r>
      <w:r w:rsidR="00803E9C">
        <w:t xml:space="preserve"> </w:t>
      </w:r>
      <w:r w:rsidRPr="00896B84">
        <w:t>50,000.00</w:t>
      </w:r>
      <w:r w:rsidRPr="00896B84">
        <w:br/>
        <w:t>Interest on general damages</w:t>
      </w:r>
      <w:r w:rsidR="00803E9C">
        <w:t xml:space="preserve">     </w:t>
      </w:r>
      <w:r w:rsidR="0055064A">
        <w:tab/>
      </w:r>
      <w:r w:rsidRPr="00896B84">
        <w:t>$4,410.00</w:t>
      </w:r>
      <w:r w:rsidRPr="00896B84">
        <w:br/>
        <w:t>Past economic loss</w:t>
      </w:r>
      <w:r w:rsidR="00803E9C">
        <w:t xml:space="preserve">            </w:t>
      </w:r>
      <w:r w:rsidRPr="00896B84">
        <w:t xml:space="preserve"> </w:t>
      </w:r>
      <w:r w:rsidR="0055064A">
        <w:tab/>
      </w:r>
      <w:r w:rsidRPr="00896B84">
        <w:t>$830,824.83</w:t>
      </w:r>
      <w:r w:rsidRPr="00896B84">
        <w:br/>
        <w:t>Lost superannuation</w:t>
      </w:r>
      <w:r w:rsidR="00803E9C">
        <w:t xml:space="preserve">           </w:t>
      </w:r>
      <w:r w:rsidRPr="00896B84">
        <w:t xml:space="preserve"> </w:t>
      </w:r>
      <w:r w:rsidR="0055064A">
        <w:tab/>
      </w:r>
      <w:r w:rsidRPr="00896B84">
        <w:t>$78,928.35</w:t>
      </w:r>
      <w:r w:rsidRPr="00896B84">
        <w:br/>
        <w:t>Interest of past economic &amp; super</w:t>
      </w:r>
      <w:r w:rsidR="00803E9C">
        <w:t xml:space="preserve"> </w:t>
      </w:r>
      <w:r w:rsidRPr="00896B84">
        <w:t>$78,784.62</w:t>
      </w:r>
      <w:r w:rsidRPr="00896B84">
        <w:br/>
        <w:t>Future economic loss</w:t>
      </w:r>
      <w:r w:rsidR="00803E9C">
        <w:t xml:space="preserve">          </w:t>
      </w:r>
      <w:r w:rsidRPr="00896B84">
        <w:t xml:space="preserve"> </w:t>
      </w:r>
      <w:r w:rsidR="0055064A">
        <w:tab/>
      </w:r>
      <w:r w:rsidRPr="00896B84">
        <w:t>$407,823.89</w:t>
      </w:r>
    </w:p>
    <w:p w14:paraId="5E072222" w14:textId="77777777" w:rsidR="00896B84" w:rsidRPr="00200EC1" w:rsidRDefault="00896B84" w:rsidP="00200EC1">
      <w:pPr>
        <w:rPr>
          <w:i/>
          <w:lang w:val="en-US"/>
        </w:rPr>
      </w:pPr>
      <w:r w:rsidRPr="00200EC1">
        <w:rPr>
          <w:i/>
          <w:lang w:val="en-US"/>
        </w:rPr>
        <w:t>Davis v Metro North Hospital and Health Services &amp; Ors [2019] QCAT 18</w:t>
      </w:r>
    </w:p>
    <w:p w14:paraId="52B559AD" w14:textId="77777777" w:rsidR="00896B84" w:rsidRPr="00896B84" w:rsidRDefault="00896B84" w:rsidP="00200EC1">
      <w:pPr>
        <w:pStyle w:val="Heading3"/>
        <w:rPr>
          <w:i/>
        </w:rPr>
      </w:pPr>
      <w:r w:rsidRPr="00896B84">
        <w:t>University student required to sit exam while a psychiatric inpatient</w:t>
      </w:r>
    </w:p>
    <w:p w14:paraId="123E2E32" w14:textId="02F16B26" w:rsidR="00896B84" w:rsidRPr="00896B84" w:rsidRDefault="00896B84" w:rsidP="00200EC1">
      <w:pPr>
        <w:rPr>
          <w:i/>
        </w:rPr>
      </w:pPr>
      <w:r w:rsidRPr="00896B84">
        <w:t>A student from the United States (US) was studying medicine at the University of Queensland (UQ) as part of a program between UQ and a US health provider, where the first two years would be studied at UQ Brisbane and the next two year</w:t>
      </w:r>
      <w:r w:rsidR="003A217D">
        <w:t>s</w:t>
      </w:r>
      <w:r w:rsidRPr="00896B84">
        <w:t xml:space="preserve"> in New Orleans.</w:t>
      </w:r>
    </w:p>
    <w:p w14:paraId="767F00AA" w14:textId="77777777" w:rsidR="00896B84" w:rsidRPr="00896B84" w:rsidRDefault="00896B84" w:rsidP="00200EC1">
      <w:pPr>
        <w:rPr>
          <w:i/>
        </w:rPr>
      </w:pPr>
      <w:r w:rsidRPr="00896B84">
        <w:t>For the 2012 year the student’s grade point average was 2.5.</w:t>
      </w:r>
      <w:r w:rsidR="00803E9C">
        <w:t xml:space="preserve"> </w:t>
      </w:r>
      <w:r w:rsidRPr="00896B84">
        <w:t>In January 2013 he was diagnosed with Bipolar 1 and Social Anxiety Disorder.</w:t>
      </w:r>
      <w:r w:rsidR="00803E9C">
        <w:t xml:space="preserve"> </w:t>
      </w:r>
      <w:r w:rsidRPr="00896B84">
        <w:t>In November 2013 UQ terminated the student’s enrolment and he appealed.</w:t>
      </w:r>
      <w:r w:rsidR="00803E9C">
        <w:t xml:space="preserve"> </w:t>
      </w:r>
      <w:r w:rsidRPr="00896B84">
        <w:t>He claimed his poor performance was based on his psychiatric conditions, and in April 2014 the appeal was upheld.</w:t>
      </w:r>
    </w:p>
    <w:p w14:paraId="0149650F" w14:textId="77777777" w:rsidR="00896B84" w:rsidRPr="00896B84" w:rsidRDefault="00896B84" w:rsidP="00200EC1">
      <w:pPr>
        <w:rPr>
          <w:i/>
        </w:rPr>
      </w:pPr>
      <w:r w:rsidRPr="00896B84">
        <w:t xml:space="preserve">By October 2016 there was one last course requirement – a complex clinical practice assessment called OSCE, which students must pass before moving </w:t>
      </w:r>
      <w:r w:rsidRPr="00896B84">
        <w:lastRenderedPageBreak/>
        <w:t>to the 2</w:t>
      </w:r>
      <w:r w:rsidRPr="00896B84">
        <w:rPr>
          <w:vertAlign w:val="superscript"/>
        </w:rPr>
        <w:t>nd</w:t>
      </w:r>
      <w:r w:rsidRPr="00896B84">
        <w:t xml:space="preserve"> phase of working with real patients.</w:t>
      </w:r>
      <w:r w:rsidR="00803E9C">
        <w:t xml:space="preserve"> </w:t>
      </w:r>
      <w:r w:rsidRPr="00896B84">
        <w:t>Students were allowed three attempts to pass the OSCE assessment.</w:t>
      </w:r>
    </w:p>
    <w:p w14:paraId="77B6A81E" w14:textId="77777777" w:rsidR="00896B84" w:rsidRPr="00896B84" w:rsidRDefault="00896B84" w:rsidP="00200EC1">
      <w:pPr>
        <w:rPr>
          <w:i/>
        </w:rPr>
      </w:pPr>
      <w:r w:rsidRPr="00896B84">
        <w:t>The student was first scheduled to sit the exam on 14 October 2016.</w:t>
      </w:r>
      <w:r w:rsidR="00803E9C">
        <w:t xml:space="preserve"> </w:t>
      </w:r>
      <w:r w:rsidRPr="00896B84">
        <w:t>He experienced a panic attack and the exam was rescheduled for 11 November 2016, but the student did not attend.</w:t>
      </w:r>
      <w:r w:rsidR="00803E9C">
        <w:t xml:space="preserve"> </w:t>
      </w:r>
      <w:r w:rsidRPr="00896B84">
        <w:t>The student sat the exam on 15 December 2016 but did not pass.</w:t>
      </w:r>
    </w:p>
    <w:p w14:paraId="355C8588" w14:textId="77777777" w:rsidR="00896B84" w:rsidRPr="00896B84" w:rsidRDefault="00896B84" w:rsidP="00200EC1">
      <w:pPr>
        <w:rPr>
          <w:i/>
        </w:rPr>
      </w:pPr>
      <w:r w:rsidRPr="00896B84">
        <w:t>The exam was rescheduled for 25 January 2017.</w:t>
      </w:r>
      <w:r w:rsidR="00803E9C">
        <w:t xml:space="preserve"> </w:t>
      </w:r>
      <w:r w:rsidRPr="00896B84">
        <w:t>The student experienced a manic episode beforehand and was hospitalised on 23 January 2017 and UQ was notified.</w:t>
      </w:r>
      <w:r w:rsidR="00803E9C">
        <w:t xml:space="preserve"> </w:t>
      </w:r>
      <w:r w:rsidRPr="00896B84">
        <w:t>The student sat the exam on 25 January 2017 while he was still an inpatient and he failed.</w:t>
      </w:r>
    </w:p>
    <w:p w14:paraId="397B705F" w14:textId="77777777" w:rsidR="00896B84" w:rsidRPr="00896B84" w:rsidRDefault="00896B84" w:rsidP="00200EC1">
      <w:pPr>
        <w:rPr>
          <w:i/>
        </w:rPr>
      </w:pPr>
      <w:r w:rsidRPr="00896B84">
        <w:t>On 2 February 2017 UQ advised the student by letter that he had failed the exam and that he was refused further enrolment.</w:t>
      </w:r>
      <w:r w:rsidR="00803E9C">
        <w:t xml:space="preserve"> </w:t>
      </w:r>
      <w:r w:rsidRPr="00896B84">
        <w:t>He appealed, and in June 2017 his enrolment was reinstated.</w:t>
      </w:r>
      <w:r w:rsidR="00803E9C">
        <w:t xml:space="preserve"> </w:t>
      </w:r>
      <w:r w:rsidRPr="00896B84">
        <w:t>He was not allowed to sit the exam in the US and it was rescheduled for 14 October 2017 with an observer present.</w:t>
      </w:r>
      <w:r w:rsidR="00803E9C">
        <w:t xml:space="preserve"> </w:t>
      </w:r>
      <w:r w:rsidRPr="00896B84">
        <w:t>The student again failed the exam.</w:t>
      </w:r>
      <w:r w:rsidR="00803E9C">
        <w:t xml:space="preserve"> </w:t>
      </w:r>
      <w:r w:rsidRPr="00896B84">
        <w:t>He asked for a supplementary assessment and was informed he was excluded from the course.</w:t>
      </w:r>
      <w:r w:rsidR="00803E9C">
        <w:t xml:space="preserve"> </w:t>
      </w:r>
    </w:p>
    <w:p w14:paraId="4F92CEAB" w14:textId="77777777" w:rsidR="00896B84" w:rsidRPr="00896B84" w:rsidRDefault="00896B84" w:rsidP="00200EC1">
      <w:pPr>
        <w:rPr>
          <w:i/>
        </w:rPr>
      </w:pPr>
      <w:r w:rsidRPr="00896B84">
        <w:t>The parties were in dispute about the calculation of the number of attempts at the exam.</w:t>
      </w:r>
      <w:r w:rsidR="00803E9C">
        <w:t xml:space="preserve"> </w:t>
      </w:r>
      <w:r w:rsidRPr="00896B84">
        <w:t>Both excluded the exam that the student sat while an inpatient, however UQ counted the exam scheduled for 16 November 2016 that the student did not attend.</w:t>
      </w:r>
    </w:p>
    <w:p w14:paraId="4E0F4E03" w14:textId="77777777" w:rsidR="00896B84" w:rsidRPr="00896B84" w:rsidRDefault="00896B84" w:rsidP="00200EC1">
      <w:pPr>
        <w:rPr>
          <w:i/>
        </w:rPr>
      </w:pPr>
      <w:r w:rsidRPr="00896B84">
        <w:t>The tribunal was satisfied that the student had bipolar disorder, anxiety disorder, and panic disorder.</w:t>
      </w:r>
      <w:r w:rsidR="00803E9C">
        <w:t xml:space="preserve"> </w:t>
      </w:r>
      <w:r w:rsidRPr="00896B84">
        <w:t>For direct discrimination, the tribunal found the comparator was a fellow medical student without the disorders, who was in the Ochsner program undertaking the OSCE practical examination.</w:t>
      </w:r>
      <w:r w:rsidR="00803E9C">
        <w:t xml:space="preserve"> </w:t>
      </w:r>
      <w:r w:rsidRPr="00896B84">
        <w:t>The treatment was the conduct of UQ in the application of its rules and policies as to the number of attempts at the examination before exclusion, the time and date when attempts must be undertaken, employment of an observer, and lack of feedback.</w:t>
      </w:r>
    </w:p>
    <w:p w14:paraId="3C30A567" w14:textId="77777777" w:rsidR="00896B84" w:rsidRPr="00896B84" w:rsidRDefault="00896B84" w:rsidP="00200EC1">
      <w:pPr>
        <w:rPr>
          <w:i/>
        </w:rPr>
      </w:pPr>
      <w:r w:rsidRPr="00896B84">
        <w:t>The tribunal found that the evidence favoured the proposition that the observer was put in place not because of any impairment, but because the student had lost trust in UQ, and to ensure the exam process was fair, robust, and beyond reproach.</w:t>
      </w:r>
      <w:r w:rsidR="00803E9C">
        <w:t xml:space="preserve"> </w:t>
      </w:r>
      <w:r w:rsidRPr="00896B84">
        <w:t>Accordingly, there was no direct discrimination or victimisation.</w:t>
      </w:r>
    </w:p>
    <w:p w14:paraId="314631DE" w14:textId="77777777" w:rsidR="00896B84" w:rsidRPr="00896B84" w:rsidRDefault="00896B84" w:rsidP="00200EC1">
      <w:pPr>
        <w:rPr>
          <w:i/>
        </w:rPr>
      </w:pPr>
      <w:r w:rsidRPr="00896B84">
        <w:t>The tribunal considered three claims of indirect discrimination.</w:t>
      </w:r>
    </w:p>
    <w:p w14:paraId="6CF3D621" w14:textId="77777777" w:rsidR="00896B84" w:rsidRPr="00896B84" w:rsidRDefault="00896B84" w:rsidP="00200EC1">
      <w:pPr>
        <w:rPr>
          <w:i/>
        </w:rPr>
      </w:pPr>
      <w:r w:rsidRPr="00896B84">
        <w:t>The requirement to sit the exam in January 2017 without feedback on the failed attempt in December 2016.</w:t>
      </w:r>
      <w:r w:rsidR="00803E9C">
        <w:t xml:space="preserve"> </w:t>
      </w:r>
      <w:r w:rsidRPr="00896B84">
        <w:t>The student claimed there was a term relating to the delay between the two exams, e.g. Christmas.</w:t>
      </w:r>
      <w:r w:rsidR="00803E9C">
        <w:t xml:space="preserve"> </w:t>
      </w:r>
    </w:p>
    <w:p w14:paraId="616AB0F0" w14:textId="77777777" w:rsidR="00896B84" w:rsidRPr="00896B84" w:rsidRDefault="00896B84" w:rsidP="00200EC1">
      <w:pPr>
        <w:rPr>
          <w:i/>
        </w:rPr>
      </w:pPr>
      <w:r w:rsidRPr="00896B84">
        <w:t>The tribunal found there was no term imposed that feedback would not be provided over the Christmas break.</w:t>
      </w:r>
      <w:r w:rsidR="00803E9C">
        <w:t xml:space="preserve"> </w:t>
      </w:r>
      <w:r w:rsidRPr="00896B84">
        <w:t>There were no policies, procedures or rules and no obligation to provide feedback to students before assessments.</w:t>
      </w:r>
      <w:r w:rsidR="00803E9C">
        <w:t xml:space="preserve"> </w:t>
      </w:r>
      <w:r w:rsidRPr="00896B84">
        <w:t>Even if a term had been imposed, it was reasonable in the circumstance – there was a change of staff and a misunderstanding that feedback had been given.</w:t>
      </w:r>
    </w:p>
    <w:p w14:paraId="5512D841" w14:textId="77777777" w:rsidR="00896B84" w:rsidRPr="00896B84" w:rsidRDefault="00896B84" w:rsidP="00200EC1">
      <w:pPr>
        <w:rPr>
          <w:i/>
        </w:rPr>
      </w:pPr>
      <w:r w:rsidRPr="00896B84">
        <w:lastRenderedPageBreak/>
        <w:t>The requirement to undertake the examination in January 2017 when the student was an inpatient of a psychiatric ward, having experienced a manic episode.</w:t>
      </w:r>
      <w:r w:rsidR="00803E9C">
        <w:t xml:space="preserve"> </w:t>
      </w:r>
      <w:r w:rsidRPr="00896B84">
        <w:t>The consequence was failing the exam and the lengthy appeals process was a material disadvantage.</w:t>
      </w:r>
    </w:p>
    <w:p w14:paraId="4EFF1320" w14:textId="77777777" w:rsidR="00896B84" w:rsidRPr="00896B84" w:rsidRDefault="00896B84" w:rsidP="00200EC1">
      <w:pPr>
        <w:rPr>
          <w:i/>
        </w:rPr>
      </w:pPr>
      <w:r w:rsidRPr="00896B84">
        <w:t>The tribunal said there was a lack of evidence to find that there was an offer to defer the exam till June (at a meeting the day before the scheduled exam).</w:t>
      </w:r>
      <w:r w:rsidR="00803E9C">
        <w:t xml:space="preserve"> </w:t>
      </w:r>
      <w:r w:rsidRPr="00896B84">
        <w:t>A term was imposed that to pass the course the student needed to attend and pass the exam on the specified date, namely 25 January 2017.</w:t>
      </w:r>
    </w:p>
    <w:p w14:paraId="2A8D807A" w14:textId="77777777" w:rsidR="00896B84" w:rsidRPr="00896B84" w:rsidRDefault="00896B84" w:rsidP="00200EC1">
      <w:pPr>
        <w:rPr>
          <w:i/>
        </w:rPr>
      </w:pPr>
      <w:r w:rsidRPr="00896B84">
        <w:t>The tribunal ordered nominal compensation because the requirement to sit the exam ‘did not play a starring role’ in the ultimate disenrollment, as it was not counted as an attempt.</w:t>
      </w:r>
    </w:p>
    <w:p w14:paraId="11869799" w14:textId="77777777" w:rsidR="00896B84" w:rsidRPr="00896B84" w:rsidRDefault="00896B84" w:rsidP="00200EC1">
      <w:pPr>
        <w:rPr>
          <w:i/>
        </w:rPr>
      </w:pPr>
      <w:r w:rsidRPr="00896B84">
        <w:t>The exam scheduled for November 2016 being included in the count and the disenrollment.</w:t>
      </w:r>
      <w:r w:rsidR="00803E9C">
        <w:t xml:space="preserve"> </w:t>
      </w:r>
      <w:r w:rsidRPr="00896B84">
        <w:t>UQ said four opportunities were given to the student (not including the January 2017 exam) and it was not reasonable to provide endless opportunities.</w:t>
      </w:r>
    </w:p>
    <w:p w14:paraId="737282CC" w14:textId="0AF338F3" w:rsidR="00896B84" w:rsidRPr="00896B84" w:rsidRDefault="00896B84" w:rsidP="00200EC1">
      <w:pPr>
        <w:rPr>
          <w:i/>
        </w:rPr>
      </w:pPr>
      <w:r w:rsidRPr="00896B84">
        <w:t>A medical certificate nominated one day only that the student was unfit for studies or work, and that day was not the exam date.</w:t>
      </w:r>
      <w:r w:rsidR="00803E9C">
        <w:t xml:space="preserve"> </w:t>
      </w:r>
      <w:r w:rsidRPr="00896B84">
        <w:t xml:space="preserve">As there was no medical evidence that the student was unfit on the scheduled day, he failed to attend without reasonable excuse, </w:t>
      </w:r>
      <w:r w:rsidR="003A217D">
        <w:t xml:space="preserve">so </w:t>
      </w:r>
      <w:r w:rsidRPr="00896B84">
        <w:t>was in no different position to a student without his impairments.</w:t>
      </w:r>
      <w:r w:rsidR="00803E9C">
        <w:t xml:space="preserve"> </w:t>
      </w:r>
      <w:r w:rsidRPr="00896B84">
        <w:t>The student alleged there was a term that to pass he must attend in person and pass on a least one of three occasions.</w:t>
      </w:r>
      <w:r w:rsidR="00803E9C">
        <w:t xml:space="preserve"> </w:t>
      </w:r>
      <w:r w:rsidRPr="00896B84">
        <w:t>The tribunal said there was no term imposed.</w:t>
      </w:r>
      <w:r w:rsidR="00803E9C">
        <w:t xml:space="preserve"> </w:t>
      </w:r>
    </w:p>
    <w:p w14:paraId="0B10D17C" w14:textId="77777777" w:rsidR="00896B84" w:rsidRPr="00896B84" w:rsidRDefault="00896B84" w:rsidP="00200EC1">
      <w:pPr>
        <w:rPr>
          <w:i/>
        </w:rPr>
      </w:pPr>
      <w:r w:rsidRPr="00896B84">
        <w:t>The requirements to sit the January 2017 exam did not lead to the final expulsion of the student.</w:t>
      </w:r>
      <w:r w:rsidR="00803E9C">
        <w:t xml:space="preserve"> </w:t>
      </w:r>
      <w:r w:rsidRPr="00896B84">
        <w:t xml:space="preserve">The tribunal found that the student was not dis-enrolled due to his impairment – he was excluded due to the valid application of university rules relating to the number of attempts at examinations. </w:t>
      </w:r>
    </w:p>
    <w:p w14:paraId="1F4141D0" w14:textId="77777777" w:rsidR="00896B84" w:rsidRPr="00896B84" w:rsidRDefault="00896B84" w:rsidP="00200EC1">
      <w:pPr>
        <w:rPr>
          <w:i/>
        </w:rPr>
      </w:pPr>
      <w:r w:rsidRPr="00896B84">
        <w:t>Attempts by UQ to ‘right the wrong’ did not mean there could be no finding of discrimination, however it impacted the assessment of compensation.</w:t>
      </w:r>
      <w:r w:rsidR="00803E9C">
        <w:t xml:space="preserve"> </w:t>
      </w:r>
      <w:r w:rsidRPr="00896B84">
        <w:t>The tribunal considered the student should not be compensated beyond nominal compensation, and given there was a lack of submissions on the amount of compensation sought, the tribunal ordered the university to pay $2,000 to the student.</w:t>
      </w:r>
    </w:p>
    <w:p w14:paraId="25869225" w14:textId="77777777" w:rsidR="00896B84" w:rsidRPr="00607657" w:rsidRDefault="00896B84" w:rsidP="00200EC1">
      <w:pPr>
        <w:rPr>
          <w:i/>
        </w:rPr>
      </w:pPr>
      <w:r w:rsidRPr="00607657">
        <w:rPr>
          <w:i/>
          <w:lang w:val="en-US"/>
        </w:rPr>
        <w:t>Patel v University of Queensland [2019] QCAT 108</w:t>
      </w:r>
    </w:p>
    <w:p w14:paraId="36A15728" w14:textId="77777777" w:rsidR="00896B84" w:rsidRPr="00896B84" w:rsidRDefault="00896B84" w:rsidP="00607657">
      <w:pPr>
        <w:pStyle w:val="Heading3"/>
        <w:rPr>
          <w:i/>
        </w:rPr>
      </w:pPr>
      <w:r w:rsidRPr="00896B84">
        <w:t>Proof of impairment, and expert evidence</w:t>
      </w:r>
    </w:p>
    <w:p w14:paraId="66995878" w14:textId="5E5EE83E" w:rsidR="00896B84" w:rsidRPr="00896B84" w:rsidRDefault="00896B84" w:rsidP="00200EC1">
      <w:pPr>
        <w:rPr>
          <w:i/>
        </w:rPr>
      </w:pPr>
      <w:r w:rsidRPr="00896B84">
        <w:t>A woman who worked for yourtown as a Production Administrator in the fundraising department had high levels of absenteeism due to illness, and she failed to successfully complete two return to work programs.</w:t>
      </w:r>
      <w:r w:rsidR="00803E9C">
        <w:t xml:space="preserve"> </w:t>
      </w:r>
    </w:p>
    <w:p w14:paraId="23E3E39D" w14:textId="13C97737" w:rsidR="00896B84" w:rsidRPr="00896B84" w:rsidRDefault="00896B84" w:rsidP="00200EC1">
      <w:pPr>
        <w:rPr>
          <w:i/>
        </w:rPr>
      </w:pPr>
      <w:r w:rsidRPr="00896B84">
        <w:t>The woman failed to return to work in late November 2016, and in early December 2016 she said she couldn’t work full-time, and she asked to work part-time.</w:t>
      </w:r>
      <w:r w:rsidR="00803E9C">
        <w:t xml:space="preserve"> </w:t>
      </w:r>
      <w:r w:rsidRPr="00896B84">
        <w:t xml:space="preserve">For various reasons, including that December is the busiest time for the employer in fundraising, the woman was told to stay away from work </w:t>
      </w:r>
      <w:r w:rsidRPr="00896B84">
        <w:lastRenderedPageBreak/>
        <w:t>until further details of her ability to work were received from her psychologist, and that the request for part-time work would be reviewed in January.</w:t>
      </w:r>
    </w:p>
    <w:p w14:paraId="789FC6B6" w14:textId="77777777" w:rsidR="00896B84" w:rsidRPr="00896B84" w:rsidRDefault="00896B84" w:rsidP="00200EC1">
      <w:pPr>
        <w:rPr>
          <w:i/>
        </w:rPr>
      </w:pPr>
      <w:r w:rsidRPr="00896B84">
        <w:t>At the QIRC a complainant is required to file a Statement of Facts and Contentions (SOFC), which is not as formal as a pleading, however an outline of the case is required of a complainant.</w:t>
      </w:r>
      <w:r w:rsidR="00803E9C">
        <w:t xml:space="preserve"> </w:t>
      </w:r>
      <w:r w:rsidRPr="00896B84">
        <w:t>By the conclusion of the hearing, the woman’s allegations differed from those in the SOFC, and the changing nature of the contentions put the respondents at a distinct disadvantage.</w:t>
      </w:r>
      <w:r w:rsidR="00803E9C">
        <w:t xml:space="preserve"> </w:t>
      </w:r>
      <w:r w:rsidRPr="00896B84">
        <w:t>Nine allegations of direct discrimination had become three, and in the closing submissions there was a reformulation of the term for the case of indirect discrimination.</w:t>
      </w:r>
    </w:p>
    <w:p w14:paraId="24973BAA" w14:textId="77777777" w:rsidR="00896B84" w:rsidRPr="00896B84" w:rsidRDefault="00896B84" w:rsidP="00200EC1">
      <w:pPr>
        <w:rPr>
          <w:i/>
        </w:rPr>
      </w:pPr>
      <w:r w:rsidRPr="00896B84">
        <w:t>In the present case the tribunal said the late amendment of the term was unfair to the respondents, and the woman was bound by the term as particularised in the SOFC.</w:t>
      </w:r>
    </w:p>
    <w:p w14:paraId="58D8B2DC" w14:textId="77777777" w:rsidR="00896B84" w:rsidRPr="00896B84" w:rsidRDefault="00896B84" w:rsidP="00200EC1">
      <w:pPr>
        <w:rPr>
          <w:i/>
        </w:rPr>
      </w:pPr>
      <w:r w:rsidRPr="00896B84">
        <w:t>The woman claimed to have an impairment of anxiety and PTSD.</w:t>
      </w:r>
      <w:r w:rsidR="00803E9C">
        <w:t xml:space="preserve"> </w:t>
      </w:r>
      <w:r w:rsidRPr="00896B84">
        <w:t>Her treating Clinical Psychologist Registrar gave evidence, however the woman’s representatives at the hearing submitted that the psychologist was not an expert witness, and the parties were in dispute as to whether a Clinical Psychologist Registrar could provide a diagnosis.</w:t>
      </w:r>
      <w:r w:rsidR="00803E9C">
        <w:t xml:space="preserve"> </w:t>
      </w:r>
    </w:p>
    <w:p w14:paraId="0C52946A" w14:textId="77777777" w:rsidR="00896B84" w:rsidRPr="00896B84" w:rsidRDefault="00896B84" w:rsidP="00200EC1">
      <w:pPr>
        <w:rPr>
          <w:i/>
        </w:rPr>
      </w:pPr>
      <w:r w:rsidRPr="00896B84">
        <w:t>Only an expert witness can express an opinion. The onus is on the party seeking to rely on the evidence to demonstrate that the witness has specialised knowledge based on training, study, or experience that allows them to give an opinion on a matter relevant to the proceeding.</w:t>
      </w:r>
      <w:r w:rsidR="00803E9C">
        <w:t xml:space="preserve"> </w:t>
      </w:r>
      <w:r w:rsidRPr="00896B84">
        <w:t>An opinion must be based on specialised knowledge, and a failure to demonstrate that the witness has specialised knowledge affects its admissibility, not its weight.</w:t>
      </w:r>
    </w:p>
    <w:p w14:paraId="57146EF6" w14:textId="77777777" w:rsidR="00896B84" w:rsidRPr="00896B84" w:rsidRDefault="00896B84" w:rsidP="00200EC1">
      <w:pPr>
        <w:rPr>
          <w:i/>
        </w:rPr>
      </w:pPr>
      <w:r w:rsidRPr="00896B84">
        <w:t>In this case there was no evidence of the psychologist’s qualifications, and no evidence to support the contention of impairment.</w:t>
      </w:r>
      <w:r w:rsidR="00803E9C">
        <w:t xml:space="preserve"> </w:t>
      </w:r>
      <w:r w:rsidRPr="00896B84">
        <w:t>The tribunal could not form a view that the woman had an attribute, and on that basis the complaint failed. Even if the psychologist was an expert, the tribunal found her evidence was so deficient that it had no weight.</w:t>
      </w:r>
      <w:r w:rsidR="00803E9C">
        <w:t xml:space="preserve"> </w:t>
      </w:r>
      <w:r w:rsidRPr="00896B84">
        <w:t>At the highest, the woman had anxiety.</w:t>
      </w:r>
      <w:r w:rsidR="00803E9C">
        <w:t xml:space="preserve"> </w:t>
      </w:r>
    </w:p>
    <w:p w14:paraId="45F1C602" w14:textId="77777777" w:rsidR="00896B84" w:rsidRPr="00896B84" w:rsidRDefault="00896B84" w:rsidP="00200EC1">
      <w:pPr>
        <w:rPr>
          <w:i/>
        </w:rPr>
      </w:pPr>
      <w:r w:rsidRPr="00896B84">
        <w:t>In the event the tribunal was wrong in concluding that the woman had not established that she had the attribute of impairment, the tribunal proceeded on the basis that the woman had anxiety.</w:t>
      </w:r>
    </w:p>
    <w:p w14:paraId="6746111E" w14:textId="77777777" w:rsidR="00896B84" w:rsidRPr="00896B84" w:rsidRDefault="00896B84" w:rsidP="00200EC1">
      <w:pPr>
        <w:rPr>
          <w:i/>
        </w:rPr>
      </w:pPr>
      <w:r w:rsidRPr="00896B84">
        <w:t>For the claims of direct discrimination the tribunal found that the comparator was another employee working in the position of Production Administrator who does not have anxiety or any characteristics of anxiety, and the circumstances are that the person has taken extended periods of personal leave and wishes to return to work.</w:t>
      </w:r>
      <w:r w:rsidR="00803E9C">
        <w:t xml:space="preserve"> </w:t>
      </w:r>
      <w:r w:rsidRPr="00896B84">
        <w:t xml:space="preserve">The tribunal discussed case law that establishes a two-step process for considering direct discrimination – firstly whether there has been less favourable treatment (differential treatment) and if so, what was the reason for the differential treatment (causation). </w:t>
      </w:r>
    </w:p>
    <w:p w14:paraId="39990B59" w14:textId="77777777" w:rsidR="0059575B" w:rsidRDefault="0059575B">
      <w:r>
        <w:br w:type="page"/>
      </w:r>
    </w:p>
    <w:p w14:paraId="060B964D" w14:textId="547C24B5" w:rsidR="00896B84" w:rsidRPr="00896B84" w:rsidRDefault="00896B84" w:rsidP="00200EC1">
      <w:pPr>
        <w:rPr>
          <w:i/>
        </w:rPr>
      </w:pPr>
      <w:r w:rsidRPr="00896B84">
        <w:lastRenderedPageBreak/>
        <w:t xml:space="preserve">The three allegations of direct discrimination and the findings of the tribunal were: </w:t>
      </w:r>
    </w:p>
    <w:p w14:paraId="0591B8C1" w14:textId="6E9EE214" w:rsidR="00896B84" w:rsidRPr="00607657" w:rsidRDefault="00896B84" w:rsidP="005329BF">
      <w:pPr>
        <w:pStyle w:val="ListParagraph"/>
        <w:numPr>
          <w:ilvl w:val="0"/>
          <w:numId w:val="30"/>
        </w:numPr>
        <w:rPr>
          <w:i/>
        </w:rPr>
      </w:pPr>
      <w:r w:rsidRPr="00896B84">
        <w:t>Requiring the woman to take three months leave instead of one month.</w:t>
      </w:r>
      <w:r w:rsidR="00803E9C">
        <w:t xml:space="preserve"> </w:t>
      </w:r>
      <w:r w:rsidRPr="00896B84">
        <w:t xml:space="preserve">Finding - The evidence did not support the claim that the employer required the woman to take three months leave instead of </w:t>
      </w:r>
      <w:r w:rsidR="007D3B43">
        <w:t>one</w:t>
      </w:r>
      <w:r w:rsidRPr="00896B84">
        <w:t>;</w:t>
      </w:r>
    </w:p>
    <w:p w14:paraId="4269811B" w14:textId="77777777" w:rsidR="00896B84" w:rsidRPr="00607657" w:rsidRDefault="00896B84" w:rsidP="005329BF">
      <w:pPr>
        <w:pStyle w:val="ListParagraph"/>
        <w:numPr>
          <w:ilvl w:val="0"/>
          <w:numId w:val="30"/>
        </w:numPr>
        <w:rPr>
          <w:i/>
        </w:rPr>
      </w:pPr>
      <w:r w:rsidRPr="00896B84">
        <w:t>Frustrating the return to work process.</w:t>
      </w:r>
      <w:r w:rsidR="00803E9C">
        <w:t xml:space="preserve"> </w:t>
      </w:r>
      <w:r w:rsidRPr="00896B84">
        <w:t>Finding - Requesting further information from the psychologist regarding fitness for work and duration was not a deliberate act to delay or frustrate the woman’s return to work, and not treatment that was less favourable than a comparator; and</w:t>
      </w:r>
    </w:p>
    <w:p w14:paraId="648ABD1A" w14:textId="77777777" w:rsidR="00896B84" w:rsidRPr="00607657" w:rsidRDefault="00896B84" w:rsidP="005329BF">
      <w:pPr>
        <w:pStyle w:val="ListParagraph"/>
        <w:numPr>
          <w:ilvl w:val="0"/>
          <w:numId w:val="30"/>
        </w:numPr>
        <w:rPr>
          <w:i/>
        </w:rPr>
      </w:pPr>
      <w:r w:rsidRPr="00896B84">
        <w:t>Refusing to make reasonable adjustments in the nature of part-time work.</w:t>
      </w:r>
      <w:r w:rsidR="00803E9C">
        <w:t xml:space="preserve"> </w:t>
      </w:r>
      <w:r w:rsidRPr="00896B84">
        <w:t>Finding - there was no refusal to provide reasonable adjustments, and the approach taken by the employer was reasonably necessary to protect the health and safety of the woman.</w:t>
      </w:r>
    </w:p>
    <w:p w14:paraId="3985758C" w14:textId="77777777" w:rsidR="00896B84" w:rsidRPr="00896B84" w:rsidRDefault="00896B84" w:rsidP="00200EC1">
      <w:pPr>
        <w:rPr>
          <w:i/>
        </w:rPr>
      </w:pPr>
      <w:r w:rsidRPr="00896B84">
        <w:t>For the case of indirect discrimination, the alleged term was a requirement to obtain medical evidence confirming the woman was fit to return to work full time duties.</w:t>
      </w:r>
      <w:r w:rsidR="00803E9C">
        <w:t xml:space="preserve"> </w:t>
      </w:r>
      <w:r w:rsidRPr="00896B84">
        <w:t>The tribunal found that the term was not imposed, and as to reasonableness, the tribunal took into consideration the employer’s non-delegable duty of care to ensure so far as is reasonably practicable, the health and safety of all workers.</w:t>
      </w:r>
    </w:p>
    <w:p w14:paraId="4FFB534D" w14:textId="77777777" w:rsidR="00896B84" w:rsidRPr="00607657" w:rsidRDefault="00896B84" w:rsidP="00200EC1">
      <w:pPr>
        <w:rPr>
          <w:i/>
        </w:rPr>
      </w:pPr>
      <w:r w:rsidRPr="00607657">
        <w:rPr>
          <w:i/>
        </w:rPr>
        <w:t>Curran v yourtown &amp; Anor [2019] QIRC 059</w:t>
      </w:r>
    </w:p>
    <w:p w14:paraId="77B789D6" w14:textId="19CAFD5D" w:rsidR="00896B84" w:rsidRPr="00896B84" w:rsidRDefault="00607657" w:rsidP="00607657">
      <w:pPr>
        <w:pStyle w:val="Heading2"/>
      </w:pPr>
      <w:r>
        <w:t xml:space="preserve">Tribunal and Court decisions: </w:t>
      </w:r>
      <w:r w:rsidR="00896B84" w:rsidRPr="00896B84">
        <w:t>Application for an interim order</w:t>
      </w:r>
    </w:p>
    <w:p w14:paraId="572FC0EA" w14:textId="77777777" w:rsidR="00896B84" w:rsidRPr="00896B84" w:rsidRDefault="00896B84" w:rsidP="00607657">
      <w:pPr>
        <w:pStyle w:val="Heading3"/>
        <w:rPr>
          <w:i/>
        </w:rPr>
      </w:pPr>
      <w:r w:rsidRPr="00896B84">
        <w:t>No power for the tribunal to stop the Commissioner from exercising its function</w:t>
      </w:r>
    </w:p>
    <w:p w14:paraId="5E08B9AE" w14:textId="77777777" w:rsidR="00896B84" w:rsidRPr="00896B84" w:rsidRDefault="00896B84" w:rsidP="00200EC1">
      <w:pPr>
        <w:rPr>
          <w:i/>
          <w:szCs w:val="22"/>
        </w:rPr>
      </w:pPr>
      <w:r w:rsidRPr="00896B84">
        <w:rPr>
          <w:szCs w:val="22"/>
        </w:rPr>
        <w:t xml:space="preserve">This was an application made by a complainant for an order under section 144 of the </w:t>
      </w:r>
      <w:r w:rsidRPr="0067689A">
        <w:rPr>
          <w:i/>
          <w:szCs w:val="22"/>
        </w:rPr>
        <w:t>Anti-Discrimination Act 1991</w:t>
      </w:r>
      <w:r w:rsidRPr="00896B84">
        <w:rPr>
          <w:szCs w:val="22"/>
        </w:rPr>
        <w:t>.</w:t>
      </w:r>
      <w:r w:rsidR="00803E9C">
        <w:rPr>
          <w:szCs w:val="22"/>
        </w:rPr>
        <w:t xml:space="preserve"> </w:t>
      </w:r>
      <w:r w:rsidRPr="00896B84">
        <w:rPr>
          <w:szCs w:val="22"/>
        </w:rPr>
        <w:t>That section allows the tribunal to make an order, before a complaint is referred to it, to stop a person from doing an act that might prejudice the investigation or conciliation of a complaint, or an order the tribunal might make after a hearing.</w:t>
      </w:r>
      <w:r w:rsidR="00803E9C">
        <w:rPr>
          <w:szCs w:val="22"/>
        </w:rPr>
        <w:t xml:space="preserve"> </w:t>
      </w:r>
      <w:r w:rsidRPr="00896B84">
        <w:rPr>
          <w:szCs w:val="22"/>
        </w:rPr>
        <w:t>In this case, the complainant applied for an order to prevent the Commission from lapsing a complaint.</w:t>
      </w:r>
    </w:p>
    <w:p w14:paraId="0FC83EE7" w14:textId="77777777" w:rsidR="00896B84" w:rsidRPr="00896B84" w:rsidRDefault="00896B84" w:rsidP="00200EC1">
      <w:pPr>
        <w:rPr>
          <w:i/>
          <w:szCs w:val="22"/>
        </w:rPr>
      </w:pPr>
      <w:r w:rsidRPr="00896B84">
        <w:rPr>
          <w:szCs w:val="22"/>
        </w:rPr>
        <w:t>The Commissioner had made an initial decision under the section 168 show cause process, that he considered the complaint was misconceived or lacking in substance.</w:t>
      </w:r>
      <w:r w:rsidR="00803E9C">
        <w:rPr>
          <w:szCs w:val="22"/>
        </w:rPr>
        <w:t xml:space="preserve"> </w:t>
      </w:r>
      <w:r w:rsidRPr="00896B84">
        <w:rPr>
          <w:szCs w:val="22"/>
        </w:rPr>
        <w:t>Under the section 168 process, the complainant then has 28 days to satisfy the Commissioner that the complaint is not misconceived or lacking in substance.</w:t>
      </w:r>
      <w:r w:rsidR="00803E9C">
        <w:rPr>
          <w:szCs w:val="22"/>
        </w:rPr>
        <w:t xml:space="preserve"> </w:t>
      </w:r>
      <w:r w:rsidRPr="00896B84">
        <w:rPr>
          <w:szCs w:val="22"/>
        </w:rPr>
        <w:t>The material in support of the application criticised the decision, claiming facts in dispute had been decided thereby improperly exercising a function of the tribunal, and that the decision-maker was biased.</w:t>
      </w:r>
    </w:p>
    <w:p w14:paraId="658F4070" w14:textId="77777777" w:rsidR="0059575B" w:rsidRDefault="0059575B">
      <w:pPr>
        <w:rPr>
          <w:szCs w:val="22"/>
        </w:rPr>
      </w:pPr>
      <w:r>
        <w:rPr>
          <w:szCs w:val="22"/>
        </w:rPr>
        <w:br w:type="page"/>
      </w:r>
    </w:p>
    <w:p w14:paraId="1021CC9B" w14:textId="55958EAC" w:rsidR="00896B84" w:rsidRPr="00896B84" w:rsidRDefault="00896B84" w:rsidP="00200EC1">
      <w:pPr>
        <w:rPr>
          <w:i/>
          <w:szCs w:val="22"/>
        </w:rPr>
      </w:pPr>
      <w:r w:rsidRPr="00896B84">
        <w:rPr>
          <w:szCs w:val="22"/>
        </w:rPr>
        <w:lastRenderedPageBreak/>
        <w:t>The tribunal found that section 144, read in the context of the Act as a whole, shows that it is not the intention of the legislature that an order would be made against the Commissioner, nor that the power extended to a review, or quasi-review, of decisions of the Commissioner.</w:t>
      </w:r>
    </w:p>
    <w:p w14:paraId="7BB321FC" w14:textId="77777777" w:rsidR="00896B84" w:rsidRPr="00896B84" w:rsidRDefault="00896B84" w:rsidP="00200EC1">
      <w:pPr>
        <w:rPr>
          <w:i/>
          <w:szCs w:val="22"/>
        </w:rPr>
      </w:pPr>
      <w:r w:rsidRPr="00896B84">
        <w:rPr>
          <w:szCs w:val="22"/>
        </w:rPr>
        <w:t>The tribunal noted that if the decision-making process undertaken by the Commission miscarries, then the appropriate avenue for redress is judicial review.</w:t>
      </w:r>
      <w:r w:rsidR="00803E9C">
        <w:rPr>
          <w:szCs w:val="22"/>
        </w:rPr>
        <w:t xml:space="preserve"> </w:t>
      </w:r>
      <w:r w:rsidRPr="00896B84">
        <w:rPr>
          <w:szCs w:val="22"/>
        </w:rPr>
        <w:t>The application did not seek a preservation of the status quo pending final adjudication, which is the purpose of section 144.</w:t>
      </w:r>
      <w:r w:rsidR="00803E9C">
        <w:rPr>
          <w:szCs w:val="22"/>
        </w:rPr>
        <w:t xml:space="preserve"> </w:t>
      </w:r>
      <w:r w:rsidRPr="00896B84">
        <w:rPr>
          <w:szCs w:val="22"/>
        </w:rPr>
        <w:t>Rather, the application sought to interfere in the exercise of a statutory function of the Commissioner.</w:t>
      </w:r>
    </w:p>
    <w:p w14:paraId="222BABEC" w14:textId="77777777" w:rsidR="00896B84" w:rsidRPr="00896B84" w:rsidRDefault="00896B84" w:rsidP="00200EC1">
      <w:pPr>
        <w:rPr>
          <w:i/>
          <w:szCs w:val="22"/>
        </w:rPr>
      </w:pPr>
      <w:r w:rsidRPr="00896B84">
        <w:rPr>
          <w:szCs w:val="22"/>
        </w:rPr>
        <w:t>The tribunal said the statutory scheme reflects an intent of the legislature to limit avenues of appeals from a decision of the Commissioner under section 168, and to increase the Commission’s ability to vet unmeritorious complaints.</w:t>
      </w:r>
      <w:r w:rsidR="00803E9C">
        <w:rPr>
          <w:szCs w:val="22"/>
        </w:rPr>
        <w:t xml:space="preserve"> </w:t>
      </w:r>
      <w:r w:rsidRPr="00896B84">
        <w:rPr>
          <w:szCs w:val="22"/>
        </w:rPr>
        <w:t>The tribunal said the applicant was attempting to impermissibly circumvent the statutory process of section 168, and found that the tribunal does not have the power to grant the order sought.</w:t>
      </w:r>
      <w:r w:rsidR="00803E9C">
        <w:rPr>
          <w:szCs w:val="22"/>
        </w:rPr>
        <w:t xml:space="preserve"> </w:t>
      </w:r>
      <w:r w:rsidRPr="00896B84">
        <w:rPr>
          <w:szCs w:val="22"/>
        </w:rPr>
        <w:t>The application was dismissed.</w:t>
      </w:r>
    </w:p>
    <w:p w14:paraId="006F3B74" w14:textId="77777777" w:rsidR="00896B84" w:rsidRPr="00607657" w:rsidRDefault="00896B84" w:rsidP="00200EC1">
      <w:pPr>
        <w:rPr>
          <w:i/>
          <w:szCs w:val="22"/>
        </w:rPr>
      </w:pPr>
      <w:r w:rsidRPr="00607657">
        <w:rPr>
          <w:i/>
          <w:szCs w:val="22"/>
        </w:rPr>
        <w:t xml:space="preserve">McAllister v Anti-Discrimination Commission Queensland [2018] QIRC 120 </w:t>
      </w:r>
    </w:p>
    <w:p w14:paraId="464885E4" w14:textId="77777777" w:rsidR="004E405B" w:rsidRPr="00896B84" w:rsidRDefault="004E405B" w:rsidP="00607657">
      <w:pPr>
        <w:pStyle w:val="Heading2"/>
      </w:pPr>
      <w:r w:rsidRPr="00896B84">
        <w:t>Exemption applications</w:t>
      </w:r>
    </w:p>
    <w:p w14:paraId="674550DF" w14:textId="3F612AC5" w:rsidR="00896B84" w:rsidRPr="00896B84" w:rsidRDefault="00896B84" w:rsidP="00200EC1">
      <w:pPr>
        <w:rPr>
          <w:i/>
          <w:szCs w:val="22"/>
        </w:rPr>
      </w:pPr>
      <w:r w:rsidRPr="00896B84">
        <w:rPr>
          <w:szCs w:val="22"/>
        </w:rPr>
        <w:t xml:space="preserve">During </w:t>
      </w:r>
      <w:r w:rsidR="003A217D">
        <w:rPr>
          <w:szCs w:val="22"/>
        </w:rPr>
        <w:t>2018-19</w:t>
      </w:r>
      <w:r w:rsidR="003A217D" w:rsidRPr="00896B84">
        <w:rPr>
          <w:szCs w:val="22"/>
        </w:rPr>
        <w:t xml:space="preserve"> </w:t>
      </w:r>
      <w:r w:rsidRPr="00896B84">
        <w:rPr>
          <w:szCs w:val="22"/>
        </w:rPr>
        <w:t>three decisions on applications for exemption from the operation of the Act were published.</w:t>
      </w:r>
      <w:r w:rsidR="00803E9C">
        <w:rPr>
          <w:szCs w:val="22"/>
        </w:rPr>
        <w:t xml:space="preserve"> </w:t>
      </w:r>
      <w:r w:rsidRPr="00896B84">
        <w:rPr>
          <w:szCs w:val="22"/>
        </w:rPr>
        <w:t>There were two decisions by the QI</w:t>
      </w:r>
      <w:r w:rsidR="003A217D">
        <w:rPr>
          <w:szCs w:val="22"/>
        </w:rPr>
        <w:t>R</w:t>
      </w:r>
      <w:r w:rsidRPr="00896B84">
        <w:rPr>
          <w:szCs w:val="22"/>
        </w:rPr>
        <w:t>C and on</w:t>
      </w:r>
      <w:r w:rsidR="003A217D">
        <w:rPr>
          <w:szCs w:val="22"/>
        </w:rPr>
        <w:t>e</w:t>
      </w:r>
      <w:r w:rsidRPr="00896B84">
        <w:rPr>
          <w:szCs w:val="22"/>
        </w:rPr>
        <w:t xml:space="preserve"> decision by the QCAT.</w:t>
      </w:r>
      <w:r w:rsidR="00803E9C">
        <w:rPr>
          <w:szCs w:val="22"/>
        </w:rPr>
        <w:t xml:space="preserve"> </w:t>
      </w:r>
      <w:r w:rsidRPr="00896B84">
        <w:rPr>
          <w:szCs w:val="22"/>
        </w:rPr>
        <w:t>In some cases, applications were not pursued after the Commission made submissions about the application.</w:t>
      </w:r>
    </w:p>
    <w:p w14:paraId="693C6688" w14:textId="1739CE4C" w:rsidR="00896B84" w:rsidRPr="00896B84" w:rsidRDefault="00896B84" w:rsidP="00200EC1">
      <w:pPr>
        <w:rPr>
          <w:i/>
          <w:szCs w:val="22"/>
        </w:rPr>
      </w:pPr>
      <w:r w:rsidRPr="00896B84">
        <w:rPr>
          <w:szCs w:val="22"/>
        </w:rPr>
        <w:t>The Q</w:t>
      </w:r>
      <w:r w:rsidR="007D3B43">
        <w:rPr>
          <w:szCs w:val="22"/>
        </w:rPr>
        <w:t>IRC</w:t>
      </w:r>
      <w:r w:rsidRPr="00896B84">
        <w:rPr>
          <w:szCs w:val="22"/>
        </w:rPr>
        <w:t xml:space="preserve"> granted an exemption to The Women’s Legal Service Inc to allow the service to employ only women who identify as women.</w:t>
      </w:r>
      <w:r w:rsidR="00803E9C">
        <w:rPr>
          <w:szCs w:val="22"/>
        </w:rPr>
        <w:t xml:space="preserve"> </w:t>
      </w:r>
      <w:r w:rsidRPr="00896B84">
        <w:rPr>
          <w:szCs w:val="22"/>
        </w:rPr>
        <w:t>The Women’s Legal Service is a registered charity that provides free legal and social support to vulnerable women who have been subjected to domestic or sexual violence, usually by men.</w:t>
      </w:r>
      <w:r w:rsidR="00803E9C">
        <w:rPr>
          <w:szCs w:val="22"/>
        </w:rPr>
        <w:t xml:space="preserve"> </w:t>
      </w:r>
      <w:r w:rsidRPr="00896B84">
        <w:rPr>
          <w:szCs w:val="22"/>
        </w:rPr>
        <w:t>Because of the vulnerability of the clients it is necessary that everyone who works for the service are women who identify as women.</w:t>
      </w:r>
      <w:r w:rsidRPr="00896B84">
        <w:rPr>
          <w:rStyle w:val="FootnoteReference"/>
          <w:rFonts w:ascii="Arial" w:hAnsi="Arial" w:cs="Arial"/>
          <w:sz w:val="22"/>
          <w:szCs w:val="22"/>
        </w:rPr>
        <w:footnoteReference w:id="6"/>
      </w:r>
    </w:p>
    <w:p w14:paraId="4D366259" w14:textId="77777777" w:rsidR="00896B84" w:rsidRPr="00896B84" w:rsidRDefault="00896B84" w:rsidP="00200EC1">
      <w:pPr>
        <w:rPr>
          <w:i/>
          <w:szCs w:val="22"/>
        </w:rPr>
      </w:pPr>
      <w:r w:rsidRPr="00896B84">
        <w:rPr>
          <w:szCs w:val="22"/>
        </w:rPr>
        <w:t>The Better Together Housing project is a web-based platform aimed at connecting women aged over 55 years who are looking to share accommodation.</w:t>
      </w:r>
      <w:r w:rsidR="00803E9C">
        <w:rPr>
          <w:szCs w:val="22"/>
        </w:rPr>
        <w:t xml:space="preserve"> </w:t>
      </w:r>
      <w:r w:rsidRPr="00896B84">
        <w:rPr>
          <w:szCs w:val="22"/>
        </w:rPr>
        <w:t>The QCAT granted an exemption to allow the online service to be restricted to women aged 55 years and over.</w:t>
      </w:r>
      <w:r w:rsidRPr="00896B84">
        <w:rPr>
          <w:rStyle w:val="FootnoteReference"/>
          <w:rFonts w:ascii="Arial" w:hAnsi="Arial" w:cs="Arial"/>
          <w:sz w:val="22"/>
          <w:szCs w:val="22"/>
        </w:rPr>
        <w:footnoteReference w:id="7"/>
      </w:r>
    </w:p>
    <w:p w14:paraId="3A67BC3C" w14:textId="0E728EDB" w:rsidR="00896B84" w:rsidRPr="00896B84" w:rsidRDefault="00896B84" w:rsidP="00200EC1">
      <w:pPr>
        <w:rPr>
          <w:i/>
          <w:szCs w:val="22"/>
          <w:highlight w:val="yellow"/>
        </w:rPr>
      </w:pPr>
      <w:r w:rsidRPr="00896B84">
        <w:rPr>
          <w:szCs w:val="22"/>
        </w:rPr>
        <w:t>Children by Choice Association was granted an exemption to allow it to advertise for and recruit females into positions of counsellors, manager, campaign coordinator, and education and training coordinator.</w:t>
      </w:r>
      <w:r w:rsidRPr="00896B84">
        <w:rPr>
          <w:rStyle w:val="FootnoteReference"/>
          <w:rFonts w:ascii="Arial" w:hAnsi="Arial" w:cs="Arial"/>
          <w:sz w:val="22"/>
          <w:szCs w:val="22"/>
        </w:rPr>
        <w:footnoteReference w:id="8"/>
      </w:r>
    </w:p>
    <w:p w14:paraId="38AD23B6" w14:textId="77777777" w:rsidR="00896B84" w:rsidRPr="00896B84" w:rsidRDefault="00896B84" w:rsidP="00607657">
      <w:pPr>
        <w:pStyle w:val="Heading2"/>
      </w:pPr>
      <w:r w:rsidRPr="00896B84">
        <w:lastRenderedPageBreak/>
        <w:t>QCAT Appeal Tribunal</w:t>
      </w:r>
    </w:p>
    <w:p w14:paraId="653FD5C1" w14:textId="77777777" w:rsidR="00896B84" w:rsidRPr="00896B84" w:rsidRDefault="00896B84" w:rsidP="00200EC1">
      <w:pPr>
        <w:rPr>
          <w:i/>
          <w:szCs w:val="22"/>
        </w:rPr>
      </w:pPr>
      <w:r w:rsidRPr="00896B84">
        <w:rPr>
          <w:szCs w:val="22"/>
        </w:rPr>
        <w:t>A party to proceedings in QCAT may appeal a decision on a question of law, and apply for leave to appeal a decision on questions of fact or questions of mixed fact and law.</w:t>
      </w:r>
      <w:r w:rsidR="00803E9C">
        <w:rPr>
          <w:szCs w:val="22"/>
        </w:rPr>
        <w:t xml:space="preserve"> </w:t>
      </w:r>
      <w:r w:rsidRPr="00896B84">
        <w:rPr>
          <w:szCs w:val="22"/>
        </w:rPr>
        <w:t>There were three decisions of the QCAT Appeal Tribunal published in the period.</w:t>
      </w:r>
    </w:p>
    <w:p w14:paraId="5CF848BE" w14:textId="77777777" w:rsidR="00896B84" w:rsidRPr="00896B84" w:rsidRDefault="00896B84" w:rsidP="00607657">
      <w:pPr>
        <w:pStyle w:val="Heading3"/>
        <w:rPr>
          <w:i/>
          <w:lang w:val="en-US"/>
        </w:rPr>
      </w:pPr>
      <w:r w:rsidRPr="00896B84">
        <w:rPr>
          <w:lang w:val="en-US"/>
        </w:rPr>
        <w:t>Complaint amended to include allegations not accepted by the Commission</w:t>
      </w:r>
    </w:p>
    <w:p w14:paraId="3C0B95FD" w14:textId="60EEBAAE" w:rsidR="00896B84" w:rsidRPr="00896B84" w:rsidRDefault="00896B84" w:rsidP="00200EC1">
      <w:pPr>
        <w:rPr>
          <w:i/>
          <w:szCs w:val="22"/>
        </w:rPr>
      </w:pPr>
      <w:r w:rsidRPr="00896B84">
        <w:rPr>
          <w:szCs w:val="22"/>
        </w:rPr>
        <w:t>A complaint made to the Commission included allegations of discriminatory conduct that had occurred outside the statutory time limit of 12 months.</w:t>
      </w:r>
      <w:r w:rsidR="00803E9C">
        <w:rPr>
          <w:szCs w:val="22"/>
        </w:rPr>
        <w:t xml:space="preserve"> </w:t>
      </w:r>
      <w:r w:rsidRPr="00896B84">
        <w:rPr>
          <w:szCs w:val="22"/>
        </w:rPr>
        <w:t xml:space="preserve">The Commissioner considered whether to exercise the discretion (under section 138 of the </w:t>
      </w:r>
      <w:r w:rsidRPr="0067689A">
        <w:rPr>
          <w:i/>
          <w:szCs w:val="22"/>
        </w:rPr>
        <w:t>Anti-Discrimination Act 1991</w:t>
      </w:r>
      <w:r w:rsidR="003A217D">
        <w:rPr>
          <w:szCs w:val="22"/>
        </w:rPr>
        <w:t>)</w:t>
      </w:r>
      <w:r w:rsidRPr="00896B84">
        <w:rPr>
          <w:szCs w:val="22"/>
        </w:rPr>
        <w:t xml:space="preserve"> to accept the out-of-time part of the complaint, and decided not to accept the complaint.</w:t>
      </w:r>
    </w:p>
    <w:p w14:paraId="2385D325" w14:textId="2078831E" w:rsidR="00896B84" w:rsidRPr="00896B84" w:rsidRDefault="00896B84" w:rsidP="00200EC1">
      <w:pPr>
        <w:rPr>
          <w:i/>
          <w:szCs w:val="22"/>
        </w:rPr>
      </w:pPr>
      <w:r w:rsidRPr="00896B84">
        <w:rPr>
          <w:szCs w:val="22"/>
        </w:rPr>
        <w:t>The rest of the complaint, about conduct within the 12 month period, was accepted</w:t>
      </w:r>
      <w:r w:rsidR="003A217D">
        <w:rPr>
          <w:szCs w:val="22"/>
        </w:rPr>
        <w:t>;</w:t>
      </w:r>
      <w:r w:rsidRPr="00896B84">
        <w:rPr>
          <w:szCs w:val="22"/>
        </w:rPr>
        <w:t xml:space="preserve"> however</w:t>
      </w:r>
      <w:r w:rsidR="003A217D">
        <w:rPr>
          <w:szCs w:val="22"/>
        </w:rPr>
        <w:t>,</w:t>
      </w:r>
      <w:r w:rsidRPr="00896B84">
        <w:rPr>
          <w:szCs w:val="22"/>
        </w:rPr>
        <w:t xml:space="preserve"> the complaint was not resolved through conciliation.</w:t>
      </w:r>
      <w:r w:rsidR="00803E9C">
        <w:rPr>
          <w:szCs w:val="22"/>
        </w:rPr>
        <w:t xml:space="preserve"> </w:t>
      </w:r>
      <w:r w:rsidRPr="00896B84">
        <w:rPr>
          <w:szCs w:val="22"/>
        </w:rPr>
        <w:t>When the complaint was referred to the tribunal, the complainant applied to amend the complaint by adding the out-of-time allegations that the Commissioner had not accepted.</w:t>
      </w:r>
      <w:r w:rsidR="00803E9C">
        <w:rPr>
          <w:szCs w:val="22"/>
        </w:rPr>
        <w:t xml:space="preserve"> </w:t>
      </w:r>
      <w:r w:rsidRPr="00896B84">
        <w:rPr>
          <w:szCs w:val="22"/>
        </w:rPr>
        <w:t>The tribunal allowed the complaint to be amended in this way.</w:t>
      </w:r>
    </w:p>
    <w:p w14:paraId="6001E9D0" w14:textId="77777777" w:rsidR="00896B84" w:rsidRPr="00896B84" w:rsidRDefault="00896B84" w:rsidP="00200EC1">
      <w:pPr>
        <w:rPr>
          <w:i/>
          <w:szCs w:val="22"/>
        </w:rPr>
      </w:pPr>
      <w:r w:rsidRPr="00896B84">
        <w:rPr>
          <w:szCs w:val="22"/>
        </w:rPr>
        <w:t>On appeal, the Appeal Tribunal agreed with the tribunal at first instance that if the Commissioner does not exercise the discretion to include the out-of-time allegations in a complaint:</w:t>
      </w:r>
    </w:p>
    <w:p w14:paraId="4473B351" w14:textId="77777777" w:rsidR="00896B84" w:rsidRPr="00607657" w:rsidRDefault="00896B84" w:rsidP="005329BF">
      <w:pPr>
        <w:pStyle w:val="ListParagraph"/>
        <w:numPr>
          <w:ilvl w:val="0"/>
          <w:numId w:val="31"/>
        </w:numPr>
        <w:rPr>
          <w:i/>
          <w:szCs w:val="22"/>
        </w:rPr>
      </w:pPr>
      <w:r w:rsidRPr="00607657">
        <w:rPr>
          <w:szCs w:val="22"/>
        </w:rPr>
        <w:t>the out-of-time allegations were never part of a valid complaint because there was never an entitlement to make a complaint;</w:t>
      </w:r>
    </w:p>
    <w:p w14:paraId="25B313B4" w14:textId="77777777" w:rsidR="00896B84" w:rsidRPr="00607657" w:rsidRDefault="00896B84" w:rsidP="005329BF">
      <w:pPr>
        <w:pStyle w:val="ListParagraph"/>
        <w:numPr>
          <w:ilvl w:val="0"/>
          <w:numId w:val="31"/>
        </w:numPr>
        <w:rPr>
          <w:i/>
          <w:szCs w:val="22"/>
        </w:rPr>
      </w:pPr>
      <w:r w:rsidRPr="00607657">
        <w:rPr>
          <w:szCs w:val="22"/>
        </w:rPr>
        <w:t>those allegations were not rejected by the Commissioner; and</w:t>
      </w:r>
    </w:p>
    <w:p w14:paraId="62079BBB" w14:textId="77777777" w:rsidR="00896B84" w:rsidRPr="00607657" w:rsidRDefault="00896B84" w:rsidP="005329BF">
      <w:pPr>
        <w:pStyle w:val="ListParagraph"/>
        <w:numPr>
          <w:ilvl w:val="0"/>
          <w:numId w:val="31"/>
        </w:numPr>
        <w:rPr>
          <w:i/>
          <w:szCs w:val="22"/>
        </w:rPr>
      </w:pPr>
      <w:r w:rsidRPr="00607657">
        <w:rPr>
          <w:szCs w:val="22"/>
        </w:rPr>
        <w:t>the allegations did not lapse as a result.</w:t>
      </w:r>
    </w:p>
    <w:p w14:paraId="58EE4FBD" w14:textId="77777777" w:rsidR="00896B84" w:rsidRPr="00896B84" w:rsidRDefault="00896B84" w:rsidP="00200EC1">
      <w:pPr>
        <w:rPr>
          <w:i/>
          <w:szCs w:val="22"/>
        </w:rPr>
      </w:pPr>
      <w:r w:rsidRPr="00896B84">
        <w:rPr>
          <w:szCs w:val="22"/>
        </w:rPr>
        <w:t>The Appeal Tribunal found that because the out-of-time allegations had not been rejected and had not lapsed, they were not precluded from being re-ventilated by the tribunal in exercising its discretion to amend the complaint.</w:t>
      </w:r>
      <w:r w:rsidR="00803E9C">
        <w:rPr>
          <w:szCs w:val="22"/>
        </w:rPr>
        <w:t xml:space="preserve"> </w:t>
      </w:r>
      <w:r w:rsidRPr="00896B84">
        <w:rPr>
          <w:szCs w:val="22"/>
        </w:rPr>
        <w:t>The Appeal Tribunal considered the unfettered discretion to allow new complaints to be incorporated into referred complaints includes a discretion to include allegations previously found by the Commissioner to have been out-of-time.</w:t>
      </w:r>
    </w:p>
    <w:p w14:paraId="4975FAB3" w14:textId="77777777" w:rsidR="00896B84" w:rsidRPr="00607657" w:rsidRDefault="00896B84" w:rsidP="00200EC1">
      <w:pPr>
        <w:rPr>
          <w:i/>
          <w:szCs w:val="22"/>
          <w:lang w:val="en-US"/>
        </w:rPr>
      </w:pPr>
      <w:r w:rsidRPr="00607657">
        <w:rPr>
          <w:i/>
          <w:szCs w:val="22"/>
          <w:lang w:val="en-US"/>
        </w:rPr>
        <w:t>Bond v State of Queensland [2019] QCATA 60</w:t>
      </w:r>
    </w:p>
    <w:p w14:paraId="4E1F743A" w14:textId="77777777" w:rsidR="00896B84" w:rsidRPr="00896B84" w:rsidRDefault="00896B84" w:rsidP="00607657">
      <w:pPr>
        <w:pStyle w:val="Heading3"/>
        <w:rPr>
          <w:i/>
          <w:lang w:val="en-US"/>
        </w:rPr>
      </w:pPr>
      <w:r w:rsidRPr="00896B84">
        <w:rPr>
          <w:lang w:val="en-US"/>
        </w:rPr>
        <w:t>Refusal to grant injunctions pending a hearing</w:t>
      </w:r>
    </w:p>
    <w:p w14:paraId="27BAAEB0" w14:textId="77777777" w:rsidR="00896B84" w:rsidRPr="00896B84" w:rsidRDefault="00896B84" w:rsidP="00200EC1">
      <w:pPr>
        <w:rPr>
          <w:i/>
          <w:szCs w:val="22"/>
        </w:rPr>
      </w:pPr>
      <w:r w:rsidRPr="00896B84">
        <w:rPr>
          <w:szCs w:val="22"/>
        </w:rPr>
        <w:t>After a complaint of reprisal was referred to the tribunal, the complainant (who is a psychologist) applied for injunctions to lift a ban imposed by Queensland Health that prevented him from providing services for Queensland Health employees as part of the employee assistance program.</w:t>
      </w:r>
      <w:r w:rsidR="00803E9C">
        <w:rPr>
          <w:szCs w:val="22"/>
        </w:rPr>
        <w:t xml:space="preserve"> </w:t>
      </w:r>
      <w:r w:rsidRPr="00896B84">
        <w:rPr>
          <w:szCs w:val="22"/>
        </w:rPr>
        <w:t>The direction not to refer Queensland Health employees to the complainant had not been part of the referred complaint, however the tribunal allowed the complaint to be amended in this regard.</w:t>
      </w:r>
    </w:p>
    <w:p w14:paraId="3FCC52B4" w14:textId="77777777" w:rsidR="00896B84" w:rsidRPr="00896B84" w:rsidRDefault="00896B84" w:rsidP="00200EC1">
      <w:pPr>
        <w:rPr>
          <w:i/>
          <w:szCs w:val="22"/>
        </w:rPr>
      </w:pPr>
      <w:r w:rsidRPr="00896B84">
        <w:rPr>
          <w:szCs w:val="22"/>
        </w:rPr>
        <w:lastRenderedPageBreak/>
        <w:t>The tribunal considered that injunctions would in effect be a final remedy without a hearing into the question of whether the complainant had been the victim of reprisal related to a public interest disclosure he had made.</w:t>
      </w:r>
      <w:r w:rsidR="00803E9C">
        <w:rPr>
          <w:szCs w:val="22"/>
        </w:rPr>
        <w:t xml:space="preserve"> </w:t>
      </w:r>
      <w:r w:rsidRPr="00896B84">
        <w:rPr>
          <w:szCs w:val="22"/>
        </w:rPr>
        <w:t>The tribunal considered there was not a sufficient likelihood of success to justify reverting to the previous position where the complainant was available as a provider of psychological services in the employee assistance program.</w:t>
      </w:r>
    </w:p>
    <w:p w14:paraId="1C8DA925" w14:textId="77777777" w:rsidR="00896B84" w:rsidRPr="00896B84" w:rsidRDefault="00896B84" w:rsidP="00200EC1">
      <w:pPr>
        <w:rPr>
          <w:i/>
          <w:szCs w:val="22"/>
        </w:rPr>
      </w:pPr>
      <w:r w:rsidRPr="00896B84">
        <w:rPr>
          <w:szCs w:val="22"/>
        </w:rPr>
        <w:t>The complainant’s appeal against the tribunal decision did no more than baldly assert that the tribunal erred in law and erred in fact.</w:t>
      </w:r>
      <w:r w:rsidR="00803E9C">
        <w:rPr>
          <w:szCs w:val="22"/>
        </w:rPr>
        <w:t xml:space="preserve"> </w:t>
      </w:r>
      <w:r w:rsidRPr="00896B84">
        <w:rPr>
          <w:szCs w:val="22"/>
        </w:rPr>
        <w:t>The Appeal Tribunal found that the complainant had failed to demonstrate that an appeal was necessary to correct a substantial injustice, and failed to advance any argument that there was error in the tribunal’s decision which needed to be corrected.</w:t>
      </w:r>
      <w:r w:rsidR="00803E9C">
        <w:rPr>
          <w:szCs w:val="22"/>
        </w:rPr>
        <w:t xml:space="preserve"> </w:t>
      </w:r>
      <w:r w:rsidRPr="00896B84">
        <w:rPr>
          <w:szCs w:val="22"/>
        </w:rPr>
        <w:t>The complainant was refused leave to appeal.</w:t>
      </w:r>
    </w:p>
    <w:p w14:paraId="019EBD8C" w14:textId="77777777" w:rsidR="00896B84" w:rsidRPr="00607657" w:rsidRDefault="00896B84" w:rsidP="00200EC1">
      <w:pPr>
        <w:rPr>
          <w:i/>
          <w:szCs w:val="22"/>
          <w:lang w:val="en-US"/>
        </w:rPr>
      </w:pPr>
      <w:r w:rsidRPr="00607657">
        <w:rPr>
          <w:i/>
          <w:szCs w:val="22"/>
          <w:lang w:val="en-US"/>
        </w:rPr>
        <w:t>Gobus v Cairns Hinterland Hospital and Health Service [2018] QCATA 121</w:t>
      </w:r>
    </w:p>
    <w:p w14:paraId="41DA53D0" w14:textId="77777777" w:rsidR="004E405B" w:rsidRPr="00896B84" w:rsidRDefault="004E405B" w:rsidP="00607657">
      <w:pPr>
        <w:pStyle w:val="Heading2"/>
      </w:pPr>
      <w:r w:rsidRPr="00896B84">
        <w:t>Court of Appeal</w:t>
      </w:r>
    </w:p>
    <w:p w14:paraId="6FCE35FE" w14:textId="77777777" w:rsidR="009B45C3" w:rsidRPr="00896B84" w:rsidRDefault="009B45C3" w:rsidP="00200EC1">
      <w:pPr>
        <w:rPr>
          <w:i/>
          <w:szCs w:val="22"/>
        </w:rPr>
      </w:pPr>
      <w:r w:rsidRPr="00896B84">
        <w:rPr>
          <w:szCs w:val="22"/>
        </w:rPr>
        <w:t>A party may apply to the Court of Appeal for leave to appeal a decision of the QCAT Appeal Tribunal on a question of law.</w:t>
      </w:r>
      <w:r w:rsidR="00803E9C">
        <w:rPr>
          <w:szCs w:val="22"/>
        </w:rPr>
        <w:t xml:space="preserve"> </w:t>
      </w:r>
      <w:r w:rsidRPr="00896B84">
        <w:rPr>
          <w:szCs w:val="22"/>
        </w:rPr>
        <w:t>For work-related matters, a party may appeal a decision of the Industrial Relations Court of Queensland on the ground of error of law, or excess or want of jurisdiction.</w:t>
      </w:r>
      <w:r w:rsidR="00803E9C">
        <w:rPr>
          <w:szCs w:val="22"/>
        </w:rPr>
        <w:t xml:space="preserve"> </w:t>
      </w:r>
      <w:r w:rsidRPr="00896B84">
        <w:rPr>
          <w:szCs w:val="22"/>
        </w:rPr>
        <w:t xml:space="preserve">In the period, there was one decision of the Court of Appeal in a complaint under the </w:t>
      </w:r>
      <w:r w:rsidRPr="0067689A">
        <w:rPr>
          <w:i/>
          <w:szCs w:val="22"/>
        </w:rPr>
        <w:t>Anti-Discrimination Act 1991</w:t>
      </w:r>
      <w:r w:rsidRPr="00D0655F">
        <w:rPr>
          <w:szCs w:val="22"/>
        </w:rPr>
        <w:t>.</w:t>
      </w:r>
    </w:p>
    <w:p w14:paraId="54FA3800" w14:textId="77777777" w:rsidR="009B45C3" w:rsidRPr="00896B84" w:rsidRDefault="009B45C3" w:rsidP="00200EC1">
      <w:pPr>
        <w:rPr>
          <w:i/>
          <w:szCs w:val="22"/>
        </w:rPr>
      </w:pPr>
      <w:r w:rsidRPr="00896B84">
        <w:rPr>
          <w:szCs w:val="22"/>
        </w:rPr>
        <w:t>There was also a decision on an appeal in a judicial review application relating to a decision of the Commissioner to reject a complaint as misconceived or lacking in substance.</w:t>
      </w:r>
    </w:p>
    <w:p w14:paraId="1E43330A" w14:textId="77777777" w:rsidR="009B45C3" w:rsidRPr="00896B84" w:rsidRDefault="009B45C3" w:rsidP="00607657">
      <w:pPr>
        <w:pStyle w:val="Heading3"/>
        <w:rPr>
          <w:i/>
        </w:rPr>
      </w:pPr>
      <w:r w:rsidRPr="00896B84">
        <w:t>Meaning of ‘in the course of work’</w:t>
      </w:r>
    </w:p>
    <w:p w14:paraId="1309D4B6" w14:textId="77777777" w:rsidR="009B45C3" w:rsidRPr="00896B84" w:rsidRDefault="009B45C3" w:rsidP="00200EC1">
      <w:pPr>
        <w:rPr>
          <w:i/>
          <w:szCs w:val="22"/>
        </w:rPr>
      </w:pPr>
      <w:r w:rsidRPr="00896B84">
        <w:rPr>
          <w:szCs w:val="22"/>
        </w:rPr>
        <w:t>This was an appeal from a decision of the QCAT Appeal Tribunal about the liability of an employer for sexual harassment by a man engaged to provide after-hours caretaking services at a hotel.</w:t>
      </w:r>
      <w:r w:rsidR="00803E9C">
        <w:rPr>
          <w:szCs w:val="22"/>
        </w:rPr>
        <w:t xml:space="preserve"> </w:t>
      </w:r>
      <w:r w:rsidRPr="00896B84">
        <w:rPr>
          <w:szCs w:val="22"/>
        </w:rPr>
        <w:t>The man was required to be on-call between 10pm and 6am to provide various services, and in return he was permitted to occupy a unit in the hotel rent free.</w:t>
      </w:r>
      <w:r w:rsidR="00803E9C">
        <w:rPr>
          <w:szCs w:val="22"/>
        </w:rPr>
        <w:t xml:space="preserve"> </w:t>
      </w:r>
      <w:r w:rsidRPr="00896B84">
        <w:rPr>
          <w:szCs w:val="22"/>
        </w:rPr>
        <w:t>With his agreement, an arrangement was made for a woman who was to start work at another hotel in the group, to share the unit. After the first night, the woman woke at 5am to find the man naked in her bedroom and he indecently assaulted her.</w:t>
      </w:r>
      <w:r w:rsidR="00803E9C">
        <w:rPr>
          <w:szCs w:val="22"/>
        </w:rPr>
        <w:t xml:space="preserve"> </w:t>
      </w:r>
      <w:r w:rsidRPr="00896B84">
        <w:rPr>
          <w:szCs w:val="22"/>
        </w:rPr>
        <w:t>She told him to stop and to leave the room, and she broke down crying.</w:t>
      </w:r>
    </w:p>
    <w:p w14:paraId="7B3207EE" w14:textId="77777777" w:rsidR="009B45C3" w:rsidRPr="00896B84" w:rsidRDefault="009B45C3" w:rsidP="00200EC1">
      <w:pPr>
        <w:rPr>
          <w:i/>
          <w:szCs w:val="22"/>
        </w:rPr>
      </w:pPr>
      <w:r w:rsidRPr="00896B84">
        <w:rPr>
          <w:szCs w:val="22"/>
        </w:rPr>
        <w:t>The woman made a complaint of sexual harassment against the man, his employer, and her employer (the woman’s employer was a wholly owned subsidiary of the man’s employer).</w:t>
      </w:r>
      <w:r w:rsidR="00803E9C">
        <w:rPr>
          <w:szCs w:val="22"/>
        </w:rPr>
        <w:t xml:space="preserve"> </w:t>
      </w:r>
      <w:r w:rsidRPr="00896B84">
        <w:rPr>
          <w:szCs w:val="22"/>
        </w:rPr>
        <w:t>The complaint against the woman’s employer was settled, and the complaint against the man and his employer proceeded to hearing.</w:t>
      </w:r>
      <w:r w:rsidR="00803E9C">
        <w:rPr>
          <w:szCs w:val="22"/>
        </w:rPr>
        <w:t xml:space="preserve"> </w:t>
      </w:r>
      <w:r w:rsidRPr="00896B84">
        <w:rPr>
          <w:szCs w:val="22"/>
        </w:rPr>
        <w:t>At the hearing (which the man did not attend), there was no issue that the man had sexually harassed the woman.</w:t>
      </w:r>
      <w:r w:rsidR="00803E9C">
        <w:rPr>
          <w:szCs w:val="22"/>
        </w:rPr>
        <w:t xml:space="preserve"> </w:t>
      </w:r>
      <w:r w:rsidRPr="00896B84">
        <w:rPr>
          <w:szCs w:val="22"/>
        </w:rPr>
        <w:t>The issue at the hearing, and on appeal, was whether the sexual harassment happened ‘in the course of work’ so as to make the man’s employer vicariously liable.</w:t>
      </w:r>
    </w:p>
    <w:p w14:paraId="56A04BE0" w14:textId="77777777" w:rsidR="0059575B" w:rsidRDefault="0059575B">
      <w:pPr>
        <w:rPr>
          <w:szCs w:val="22"/>
        </w:rPr>
      </w:pPr>
      <w:r>
        <w:rPr>
          <w:szCs w:val="22"/>
        </w:rPr>
        <w:br w:type="page"/>
      </w:r>
    </w:p>
    <w:p w14:paraId="4967300B" w14:textId="2374E5CA" w:rsidR="009B45C3" w:rsidRPr="00896B84" w:rsidRDefault="009B45C3" w:rsidP="00200EC1">
      <w:pPr>
        <w:rPr>
          <w:i/>
          <w:szCs w:val="22"/>
        </w:rPr>
      </w:pPr>
      <w:r w:rsidRPr="00896B84">
        <w:rPr>
          <w:szCs w:val="22"/>
        </w:rPr>
        <w:lastRenderedPageBreak/>
        <w:t>Leave was granted to appeal on the ground that there had been an error of law in the finding that the conduct had occurred in the course of work within the meaning of the vicarious liability provision of the Anti-Discrimination Act.</w:t>
      </w:r>
      <w:r w:rsidR="00803E9C">
        <w:rPr>
          <w:szCs w:val="22"/>
        </w:rPr>
        <w:t xml:space="preserve"> </w:t>
      </w:r>
      <w:r w:rsidRPr="00896B84">
        <w:rPr>
          <w:szCs w:val="22"/>
        </w:rPr>
        <w:t>The employer argued that the word ‘work’ in the phrase ‘in the course of work’ connotes only active obligations, and that the employer was not liable when the man was simply on-call.</w:t>
      </w:r>
    </w:p>
    <w:p w14:paraId="16AAF622" w14:textId="77777777" w:rsidR="009B45C3" w:rsidRPr="00896B84" w:rsidRDefault="009B45C3" w:rsidP="00200EC1">
      <w:pPr>
        <w:rPr>
          <w:i/>
          <w:szCs w:val="22"/>
        </w:rPr>
      </w:pPr>
      <w:r w:rsidRPr="00896B84">
        <w:rPr>
          <w:szCs w:val="22"/>
        </w:rPr>
        <w:t>The Court looked at the purposes of the Act and the purpose of the vicarious liability provision, and concluded that ‘in the course of work’ should be given a broader construction, and that ‘work’ comprehends a more general meaning of ‘employment’ or ‘job’ rather than being confined to activities.</w:t>
      </w:r>
    </w:p>
    <w:p w14:paraId="37B12B8D" w14:textId="77777777" w:rsidR="009B45C3" w:rsidRPr="00896B84" w:rsidRDefault="009B45C3" w:rsidP="00200EC1">
      <w:pPr>
        <w:rPr>
          <w:i/>
          <w:szCs w:val="22"/>
        </w:rPr>
      </w:pPr>
      <w:r w:rsidRPr="00896B84">
        <w:rPr>
          <w:szCs w:val="22"/>
        </w:rPr>
        <w:t>The Court suggested that even on a more narrow construction the employer may still be liable, because by being in the unit, the man was fulfilling his contractual obligation to be in or near the hotel.</w:t>
      </w:r>
      <w:r w:rsidR="00803E9C">
        <w:rPr>
          <w:szCs w:val="22"/>
        </w:rPr>
        <w:t xml:space="preserve"> </w:t>
      </w:r>
      <w:r w:rsidRPr="00896B84">
        <w:rPr>
          <w:szCs w:val="22"/>
        </w:rPr>
        <w:t>His obligation to be vigilant for situations that could cause a safety risk was as much a part of his work under the contract for services as was his obligation to respond to calls.</w:t>
      </w:r>
    </w:p>
    <w:p w14:paraId="22E098B7" w14:textId="77777777" w:rsidR="009B45C3" w:rsidRPr="00896B84" w:rsidRDefault="009B45C3" w:rsidP="00200EC1">
      <w:pPr>
        <w:rPr>
          <w:i/>
          <w:szCs w:val="22"/>
        </w:rPr>
      </w:pPr>
      <w:r w:rsidRPr="00896B84">
        <w:rPr>
          <w:szCs w:val="22"/>
        </w:rPr>
        <w:t>The Court said it is inappropriate to construe the Anti-Discrimination Act by analogy with common law principles about the vicarious liability of an employer for the negligent or intentional criminal acts of an employee.</w:t>
      </w:r>
      <w:r w:rsidR="00803E9C">
        <w:rPr>
          <w:szCs w:val="22"/>
        </w:rPr>
        <w:t xml:space="preserve"> </w:t>
      </w:r>
      <w:r w:rsidRPr="00896B84">
        <w:rPr>
          <w:szCs w:val="22"/>
        </w:rPr>
        <w:t>The expression ‘in the course of work’ should not be confined to analogies from the law of vicarious liability in tort.</w:t>
      </w:r>
      <w:r w:rsidR="00803E9C">
        <w:rPr>
          <w:szCs w:val="22"/>
        </w:rPr>
        <w:t xml:space="preserve"> </w:t>
      </w:r>
      <w:r w:rsidRPr="00896B84">
        <w:rPr>
          <w:szCs w:val="22"/>
        </w:rPr>
        <w:t>In light of its text and statutory purpose the words ‘in the course of work’ should be construed broadly.</w:t>
      </w:r>
    </w:p>
    <w:p w14:paraId="1D4F6BD1" w14:textId="77777777" w:rsidR="009B45C3" w:rsidRPr="00607657" w:rsidRDefault="009B45C3" w:rsidP="00200EC1">
      <w:pPr>
        <w:rPr>
          <w:i/>
          <w:szCs w:val="22"/>
          <w:lang w:val="en-US"/>
        </w:rPr>
      </w:pPr>
      <w:r w:rsidRPr="00607657">
        <w:rPr>
          <w:i/>
          <w:szCs w:val="22"/>
          <w:lang w:val="en-US"/>
        </w:rPr>
        <w:t>Oaks Hotels and Resorts Limited v Knauer &amp; Ors [2018] QCA 359</w:t>
      </w:r>
    </w:p>
    <w:p w14:paraId="0AE7E168" w14:textId="77777777" w:rsidR="009B45C3" w:rsidRPr="00896B84" w:rsidRDefault="009B45C3" w:rsidP="00607657">
      <w:pPr>
        <w:pStyle w:val="Heading3"/>
        <w:rPr>
          <w:i/>
          <w:lang w:val="en-US"/>
        </w:rPr>
      </w:pPr>
      <w:r w:rsidRPr="00896B84">
        <w:rPr>
          <w:lang w:val="en-US"/>
        </w:rPr>
        <w:t>Test for rejecting a complaint as misconceived or lacking in substance</w:t>
      </w:r>
    </w:p>
    <w:p w14:paraId="7CBF1A42" w14:textId="77777777" w:rsidR="009B45C3" w:rsidRPr="00896B84" w:rsidRDefault="009B45C3" w:rsidP="00200EC1">
      <w:pPr>
        <w:rPr>
          <w:i/>
          <w:szCs w:val="22"/>
        </w:rPr>
      </w:pPr>
      <w:r w:rsidRPr="00896B84">
        <w:rPr>
          <w:szCs w:val="22"/>
        </w:rPr>
        <w:t>The Commissioner had rejected complaints of race and religious belief discrimination after concluding that an inference of discrimination was improbable and therefore the complainants had not established a sufficient connection between the attributes and the conduct.</w:t>
      </w:r>
      <w:r w:rsidR="00803E9C">
        <w:rPr>
          <w:szCs w:val="22"/>
        </w:rPr>
        <w:t xml:space="preserve"> </w:t>
      </w:r>
    </w:p>
    <w:p w14:paraId="4A5F611E" w14:textId="77777777" w:rsidR="009B45C3" w:rsidRPr="00896B84" w:rsidRDefault="009B45C3" w:rsidP="00200EC1">
      <w:pPr>
        <w:rPr>
          <w:i/>
          <w:szCs w:val="22"/>
        </w:rPr>
      </w:pPr>
      <w:r w:rsidRPr="00896B84">
        <w:rPr>
          <w:szCs w:val="22"/>
        </w:rPr>
        <w:t xml:space="preserve">The Court of Appeal said this approach was wrong, and it appeared the delegate had decided the complaint, which is not part of the Commissioner’s functions under the </w:t>
      </w:r>
      <w:r w:rsidRPr="0067689A">
        <w:rPr>
          <w:i/>
          <w:szCs w:val="22"/>
        </w:rPr>
        <w:t>Anti-Discrimination Act 1991</w:t>
      </w:r>
      <w:r w:rsidRPr="00896B84">
        <w:rPr>
          <w:szCs w:val="22"/>
        </w:rPr>
        <w:t>.</w:t>
      </w:r>
      <w:r w:rsidR="00803E9C">
        <w:rPr>
          <w:szCs w:val="22"/>
        </w:rPr>
        <w:t xml:space="preserve"> </w:t>
      </w:r>
      <w:r w:rsidRPr="00896B84">
        <w:rPr>
          <w:szCs w:val="22"/>
        </w:rPr>
        <w:t>The Court said that where one or more inference is reasonably open on the indicated circumstances, it is not for the Commissioner, when forming an opinion under section 139 of the Act, to decide which inference is more probable; that is a matter within the exclusive province of the tribunal.</w:t>
      </w:r>
    </w:p>
    <w:p w14:paraId="481DA193" w14:textId="77777777" w:rsidR="009B45C3" w:rsidRPr="00896B84" w:rsidRDefault="009B45C3" w:rsidP="00200EC1">
      <w:pPr>
        <w:rPr>
          <w:i/>
          <w:szCs w:val="22"/>
        </w:rPr>
      </w:pPr>
      <w:r w:rsidRPr="00896B84">
        <w:rPr>
          <w:szCs w:val="22"/>
        </w:rPr>
        <w:t>The Court also said that at the lodgement stage, there is no requirement for the complaint to be supported with evidence.</w:t>
      </w:r>
      <w:r w:rsidR="00803E9C">
        <w:rPr>
          <w:szCs w:val="22"/>
        </w:rPr>
        <w:t xml:space="preserve"> </w:t>
      </w:r>
      <w:r w:rsidRPr="00896B84">
        <w:rPr>
          <w:szCs w:val="22"/>
        </w:rPr>
        <w:t>The obligation is to provide reasonably sufficient details to indicate a contravention.</w:t>
      </w:r>
      <w:r w:rsidR="00803E9C">
        <w:rPr>
          <w:szCs w:val="22"/>
        </w:rPr>
        <w:t xml:space="preserve"> </w:t>
      </w:r>
      <w:r w:rsidRPr="00896B84">
        <w:rPr>
          <w:szCs w:val="22"/>
        </w:rPr>
        <w:t>The question for the Commissioner to consider is whether the details provided with the complaint, if proved at a hearing of the tribunal, are indicative of a contravention that is neither misconceived nor lacking in substance.</w:t>
      </w:r>
      <w:r w:rsidR="00803E9C">
        <w:rPr>
          <w:szCs w:val="22"/>
        </w:rPr>
        <w:t xml:space="preserve"> </w:t>
      </w:r>
    </w:p>
    <w:p w14:paraId="74BDFC3E" w14:textId="77777777" w:rsidR="0059575B" w:rsidRDefault="0059575B">
      <w:pPr>
        <w:rPr>
          <w:szCs w:val="22"/>
        </w:rPr>
      </w:pPr>
      <w:r>
        <w:rPr>
          <w:szCs w:val="22"/>
        </w:rPr>
        <w:br w:type="page"/>
      </w:r>
    </w:p>
    <w:p w14:paraId="33CC70E6" w14:textId="654720B0" w:rsidR="009B45C3" w:rsidRPr="00896B84" w:rsidRDefault="009B45C3" w:rsidP="00200EC1">
      <w:pPr>
        <w:rPr>
          <w:i/>
          <w:szCs w:val="22"/>
        </w:rPr>
      </w:pPr>
      <w:r w:rsidRPr="00896B84">
        <w:rPr>
          <w:szCs w:val="22"/>
        </w:rPr>
        <w:lastRenderedPageBreak/>
        <w:t>A complaint will be ‘misconceived’ if it is based on a false conception or notion (such as discrimination on the basis of an attributed that is not protected by the Act) and ‘lacking in substance’ where the detail provided in the complaint fails to point to conduct that is capable, if proved, of amounting to a contravention under the Act.</w:t>
      </w:r>
    </w:p>
    <w:p w14:paraId="451401FE" w14:textId="77777777" w:rsidR="009B45C3" w:rsidRPr="00896B84" w:rsidRDefault="009B45C3" w:rsidP="00200EC1">
      <w:pPr>
        <w:rPr>
          <w:i/>
          <w:szCs w:val="22"/>
        </w:rPr>
      </w:pPr>
      <w:r w:rsidRPr="00896B84">
        <w:rPr>
          <w:szCs w:val="22"/>
        </w:rPr>
        <w:t>Because rejection of a complaint will deprive the complainant of a hearing, it must clearly appear that the complaint is misconceived or lacking in substance before the requisite opinion may reasonably be formed.</w:t>
      </w:r>
    </w:p>
    <w:p w14:paraId="2B9D5055" w14:textId="77777777" w:rsidR="009B45C3" w:rsidRPr="00607657" w:rsidRDefault="009B45C3" w:rsidP="00200EC1">
      <w:pPr>
        <w:rPr>
          <w:i/>
          <w:szCs w:val="22"/>
        </w:rPr>
      </w:pPr>
      <w:r w:rsidRPr="00607657">
        <w:rPr>
          <w:i/>
          <w:szCs w:val="22"/>
        </w:rPr>
        <w:t xml:space="preserve">Toodayan v Anti-Discrimination Commissioner Queensland [2018] QCA </w:t>
      </w:r>
    </w:p>
    <w:p w14:paraId="4D1F854D" w14:textId="77777777" w:rsidR="009B45C3" w:rsidRPr="004E405B" w:rsidRDefault="009B45C3" w:rsidP="00200EC1">
      <w:pPr>
        <w:rPr>
          <w:b/>
          <w:i/>
          <w:sz w:val="24"/>
          <w:szCs w:val="22"/>
        </w:rPr>
      </w:pPr>
    </w:p>
    <w:p w14:paraId="4D49AC32" w14:textId="77777777" w:rsidR="003D4AF2" w:rsidRPr="004E405B" w:rsidRDefault="003D4AF2" w:rsidP="00200EC1">
      <w:pPr>
        <w:rPr>
          <w:rFonts w:cstheme="minorHAnsi"/>
          <w:b/>
          <w:i/>
          <w:szCs w:val="22"/>
        </w:rPr>
      </w:pPr>
    </w:p>
    <w:p w14:paraId="1E5FD01C" w14:textId="54B7AD87" w:rsidR="00C90ADA" w:rsidRDefault="006E3D4F" w:rsidP="00A75186">
      <w:pPr>
        <w:pStyle w:val="Heading1"/>
      </w:pPr>
      <w:bookmarkStart w:id="30" w:name="_Toc366487305"/>
      <w:bookmarkStart w:id="31" w:name="_Toc397345684"/>
      <w:bookmarkStart w:id="32" w:name="_Toc16855335"/>
      <w:r>
        <w:rPr>
          <w:noProof/>
          <w:lang w:eastAsia="en-AU"/>
        </w:rPr>
        <w:lastRenderedPageBreak/>
        <mc:AlternateContent>
          <mc:Choice Requires="wps">
            <w:drawing>
              <wp:anchor distT="0" distB="0" distL="114300" distR="114300" simplePos="0" relativeHeight="251726336" behindDoc="0" locked="0" layoutInCell="1" allowOverlap="1" wp14:anchorId="2588EBF0" wp14:editId="27440480">
                <wp:simplePos x="0" y="0"/>
                <wp:positionH relativeFrom="column">
                  <wp:posOffset>1320165</wp:posOffset>
                </wp:positionH>
                <wp:positionV relativeFrom="paragraph">
                  <wp:posOffset>1661795</wp:posOffset>
                </wp:positionV>
                <wp:extent cx="4610100" cy="0"/>
                <wp:effectExtent l="0" t="0" r="19050" b="19050"/>
                <wp:wrapNone/>
                <wp:docPr id="247" name="Straight Connector 247"/>
                <wp:cNvGraphicFramePr/>
                <a:graphic xmlns:a="http://schemas.openxmlformats.org/drawingml/2006/main">
                  <a:graphicData uri="http://schemas.microsoft.com/office/word/2010/wordprocessingShape">
                    <wps:wsp>
                      <wps:cNvCnPr/>
                      <wps:spPr>
                        <a:xfrm>
                          <a:off x="0" y="0"/>
                          <a:ext cx="461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0D3A9" id="Straight Connector 247"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103.95pt,130.85pt" to="466.9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" strokecolor="#581d6a [3044]"/>
            </w:pict>
          </mc:Fallback>
        </mc:AlternateContent>
      </w:r>
      <w:r>
        <w:rPr>
          <w:noProof/>
          <w:lang w:eastAsia="en-AU"/>
        </w:rPr>
        <mc:AlternateContent>
          <mc:Choice Requires="wps">
            <w:drawing>
              <wp:anchor distT="0" distB="0" distL="114300" distR="114300" simplePos="0" relativeHeight="251724288" behindDoc="0" locked="0" layoutInCell="1" allowOverlap="1" wp14:anchorId="7122FBBE" wp14:editId="64BEAC0D">
                <wp:simplePos x="0" y="0"/>
                <wp:positionH relativeFrom="column">
                  <wp:posOffset>1301115</wp:posOffset>
                </wp:positionH>
                <wp:positionV relativeFrom="paragraph">
                  <wp:posOffset>652145</wp:posOffset>
                </wp:positionV>
                <wp:extent cx="4610100" cy="0"/>
                <wp:effectExtent l="0" t="0" r="19050" b="19050"/>
                <wp:wrapNone/>
                <wp:docPr id="238" name="Straight Connector 238"/>
                <wp:cNvGraphicFramePr/>
                <a:graphic xmlns:a="http://schemas.openxmlformats.org/drawingml/2006/main">
                  <a:graphicData uri="http://schemas.microsoft.com/office/word/2010/wordprocessingShape">
                    <wps:wsp>
                      <wps:cNvCnPr/>
                      <wps:spPr>
                        <a:xfrm>
                          <a:off x="0" y="0"/>
                          <a:ext cx="461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639D8" id="Straight Connector 238"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102.45pt,51.35pt" to="465.4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" strokecolor="#581d6a [3044]"/>
            </w:pict>
          </mc:Fallback>
        </mc:AlternateContent>
      </w:r>
      <w:r w:rsidR="0055064A">
        <w:rPr>
          <w:noProof/>
        </w:rPr>
        <mc:AlternateContent>
          <mc:Choice Requires="wps">
            <w:drawing>
              <wp:anchor distT="45720" distB="45720" distL="114300" distR="114300" simplePos="0" relativeHeight="251723264" behindDoc="0" locked="0" layoutInCell="1" allowOverlap="1" wp14:anchorId="0ABFE321" wp14:editId="37D823E5">
                <wp:simplePos x="0" y="0"/>
                <wp:positionH relativeFrom="page">
                  <wp:posOffset>2264410</wp:posOffset>
                </wp:positionH>
                <wp:positionV relativeFrom="paragraph">
                  <wp:posOffset>680720</wp:posOffset>
                </wp:positionV>
                <wp:extent cx="4829175" cy="1404620"/>
                <wp:effectExtent l="0" t="0" r="0" b="0"/>
                <wp:wrapTopAndBottom/>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4620"/>
                        </a:xfrm>
                        <a:prstGeom prst="rect">
                          <a:avLst/>
                        </a:prstGeom>
                        <a:noFill/>
                        <a:ln w="9525">
                          <a:noFill/>
                          <a:miter lim="800000"/>
                          <a:headEnd/>
                          <a:tailEnd/>
                        </a:ln>
                      </wps:spPr>
                      <wps:txbx>
                        <w:txbxContent>
                          <w:p w14:paraId="7B1D2E97" w14:textId="77777777" w:rsidR="00B5590A" w:rsidRPr="008445E6" w:rsidRDefault="00B5590A" w:rsidP="006E3D4F">
                            <w:pPr>
                              <w:pStyle w:val="Quote"/>
                              <w:rPr>
                                <w:bCs/>
                              </w:rPr>
                            </w:pPr>
                            <w:r w:rsidRPr="008445E6">
                              <w:t>Corporate governance is the manner in which an organisation is controlled and governed in order to achieve its strategic goals and operational objectives. It is the cornerstone of sound stewardship and effective management.</w:t>
                            </w:r>
                          </w:p>
                          <w:p w14:paraId="44E87D1F" w14:textId="6A2D873C" w:rsidR="00B5590A" w:rsidRPr="006E3D4F" w:rsidRDefault="00B5590A" w:rsidP="0055064A">
                            <w:pPr>
                              <w:pStyle w:val="Quote"/>
                              <w:rPr>
                                <w:sz w:val="18"/>
                              </w:rPr>
                            </w:pPr>
                            <w:r w:rsidRPr="006E3D4F">
                              <w:rPr>
                                <w:sz w:val="18"/>
                              </w:rPr>
                              <w:t>Queensland Audit Office, 1999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FE321" id="_x0000_t202" coordsize="21600,21600" o:spt="202" path="m,l,21600r21600,l21600,xe">
                <v:stroke joinstyle="miter"/>
                <v:path gradientshapeok="t" o:connecttype="rect"/>
              </v:shapetype>
              <v:shape id="Text Box 2" o:spid="_x0000_s1026" type="#_x0000_t202" style="position:absolute;margin-left:178.3pt;margin-top:53.6pt;width:380.25pt;height:110.6pt;z-index:251723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" filled="f" stroked="f">
                <v:textbox style="mso-fit-shape-to-text:t">
                  <w:txbxContent>
                    <w:p w14:paraId="7B1D2E97" w14:textId="77777777" w:rsidR="00B5590A" w:rsidRPr="008445E6" w:rsidRDefault="00B5590A" w:rsidP="006E3D4F">
                      <w:pPr>
                        <w:pStyle w:val="Quote"/>
                        <w:rPr>
                          <w:bCs/>
                        </w:rPr>
                      </w:pPr>
                      <w:r w:rsidRPr="008445E6">
                        <w:t>Corporate governance is the manner in which an organisation is controlled and governed in order to achieve its strategic goals and operational objectives. It is the cornerstone of sound stewardship and effective management.</w:t>
                      </w:r>
                    </w:p>
                    <w:p w14:paraId="44E87D1F" w14:textId="6A2D873C" w:rsidR="00B5590A" w:rsidRPr="006E3D4F" w:rsidRDefault="00B5590A" w:rsidP="0055064A">
                      <w:pPr>
                        <w:pStyle w:val="Quote"/>
                        <w:rPr>
                          <w:sz w:val="18"/>
                        </w:rPr>
                      </w:pPr>
                      <w:r w:rsidRPr="006E3D4F">
                        <w:rPr>
                          <w:sz w:val="18"/>
                        </w:rPr>
                        <w:t>Queensland Audit Office, 1999</w:t>
                      </w:r>
                    </w:p>
                  </w:txbxContent>
                </v:textbox>
                <w10:wrap type="topAndBottom" anchorx="page"/>
              </v:shape>
            </w:pict>
          </mc:Fallback>
        </mc:AlternateContent>
      </w:r>
      <w:r w:rsidR="00E371F5" w:rsidRPr="00663979">
        <w:t>Corporate governance</w:t>
      </w:r>
      <w:bookmarkEnd w:id="30"/>
      <w:bookmarkEnd w:id="31"/>
      <w:bookmarkEnd w:id="32"/>
    </w:p>
    <w:p w14:paraId="68FFDD13" w14:textId="0BF112AD" w:rsidR="00896B84" w:rsidRPr="00896B84" w:rsidRDefault="00896B84" w:rsidP="00896B84">
      <w:pPr>
        <w:pStyle w:val="Heading2"/>
      </w:pPr>
      <w:bookmarkStart w:id="33" w:name="_Toc243207814"/>
      <w:bookmarkStart w:id="34" w:name="_Toc240787694"/>
      <w:bookmarkStart w:id="35" w:name="_Toc243284321"/>
      <w:bookmarkStart w:id="36" w:name="_Toc16854537"/>
      <w:bookmarkStart w:id="37" w:name="_Toc16855336"/>
      <w:r w:rsidRPr="00896B84">
        <w:t>Governance framework</w:t>
      </w:r>
      <w:bookmarkEnd w:id="34"/>
      <w:bookmarkEnd w:id="35"/>
      <w:bookmarkEnd w:id="36"/>
      <w:bookmarkEnd w:id="37"/>
      <w:r w:rsidRPr="00896B84">
        <w:t xml:space="preserve"> </w:t>
      </w:r>
    </w:p>
    <w:p w14:paraId="3AD10B54" w14:textId="77777777" w:rsidR="00896B84" w:rsidRPr="00896B84" w:rsidRDefault="00896B84" w:rsidP="00607657">
      <w:pPr>
        <w:rPr>
          <w:i/>
        </w:rPr>
      </w:pPr>
      <w:r w:rsidRPr="00896B84">
        <w:t>The ADCQ’s governance framework supports transparent, accountable decision-making by establishing clear lines of authority and requiring monitoring and reporting of operational performance. It is the mechanism through which our strategic goals can be achieved and is based on the following principles:</w:t>
      </w:r>
    </w:p>
    <w:p w14:paraId="00AC5ECD" w14:textId="77777777" w:rsidR="00896B84" w:rsidRPr="00607657" w:rsidRDefault="00896B84" w:rsidP="005329BF">
      <w:pPr>
        <w:pStyle w:val="ListParagraph"/>
        <w:numPr>
          <w:ilvl w:val="0"/>
          <w:numId w:val="25"/>
        </w:numPr>
        <w:rPr>
          <w:i/>
        </w:rPr>
      </w:pPr>
      <w:r w:rsidRPr="00896B84">
        <w:t>effective vision, leadership, and strategic direction;</w:t>
      </w:r>
    </w:p>
    <w:p w14:paraId="6FBD844F" w14:textId="77777777" w:rsidR="00896B84" w:rsidRPr="00607657" w:rsidRDefault="00896B84" w:rsidP="005329BF">
      <w:pPr>
        <w:pStyle w:val="ListParagraph"/>
        <w:numPr>
          <w:ilvl w:val="0"/>
          <w:numId w:val="25"/>
        </w:numPr>
        <w:rPr>
          <w:i/>
        </w:rPr>
      </w:pPr>
      <w:r w:rsidRPr="00896B84">
        <w:t>transparency and disclosure of decision-making processes;</w:t>
      </w:r>
    </w:p>
    <w:p w14:paraId="5489C07D" w14:textId="77777777" w:rsidR="00896B84" w:rsidRPr="00607657" w:rsidRDefault="00896B84" w:rsidP="005329BF">
      <w:pPr>
        <w:pStyle w:val="ListParagraph"/>
        <w:numPr>
          <w:ilvl w:val="0"/>
          <w:numId w:val="25"/>
        </w:numPr>
        <w:rPr>
          <w:i/>
        </w:rPr>
      </w:pPr>
      <w:r w:rsidRPr="00896B84">
        <w:t>clear lines of responsibility and accountability;</w:t>
      </w:r>
    </w:p>
    <w:p w14:paraId="43AA4F1B" w14:textId="77777777" w:rsidR="00896B84" w:rsidRPr="00607657" w:rsidRDefault="00896B84" w:rsidP="005329BF">
      <w:pPr>
        <w:pStyle w:val="ListParagraph"/>
        <w:numPr>
          <w:ilvl w:val="0"/>
          <w:numId w:val="25"/>
        </w:numPr>
        <w:rPr>
          <w:i/>
        </w:rPr>
      </w:pPr>
      <w:r w:rsidRPr="00896B84">
        <w:t>participation in the governance process by employees.</w:t>
      </w:r>
    </w:p>
    <w:p w14:paraId="3FB3D117" w14:textId="77777777" w:rsidR="00896B84" w:rsidRPr="00896B84" w:rsidRDefault="00896B84" w:rsidP="00607657">
      <w:pPr>
        <w:rPr>
          <w:i/>
        </w:rPr>
      </w:pPr>
      <w:r w:rsidRPr="00896B84">
        <w:t>These principles ensure that the ADCQ maintains its focus on:</w:t>
      </w:r>
    </w:p>
    <w:p w14:paraId="7069354C" w14:textId="77777777" w:rsidR="00896B84" w:rsidRPr="00607657" w:rsidRDefault="00896B84" w:rsidP="005329BF">
      <w:pPr>
        <w:pStyle w:val="ListParagraph"/>
        <w:numPr>
          <w:ilvl w:val="0"/>
          <w:numId w:val="32"/>
        </w:numPr>
        <w:rPr>
          <w:i/>
        </w:rPr>
      </w:pPr>
      <w:r w:rsidRPr="00607657">
        <w:t>meeting its statutory responsibilities under the Act;</w:t>
      </w:r>
    </w:p>
    <w:p w14:paraId="0F2E8B90" w14:textId="77777777" w:rsidR="00896B84" w:rsidRPr="00607657" w:rsidRDefault="00896B84" w:rsidP="005329BF">
      <w:pPr>
        <w:pStyle w:val="ListParagraph"/>
        <w:numPr>
          <w:ilvl w:val="0"/>
          <w:numId w:val="32"/>
        </w:numPr>
        <w:rPr>
          <w:i/>
        </w:rPr>
      </w:pPr>
      <w:r w:rsidRPr="00607657">
        <w:t>effective and efficient performance management;</w:t>
      </w:r>
    </w:p>
    <w:p w14:paraId="07ACDCF9" w14:textId="5E9CAB36" w:rsidR="00896B84" w:rsidRPr="00607657" w:rsidRDefault="00896B84" w:rsidP="005329BF">
      <w:pPr>
        <w:pStyle w:val="ListParagraph"/>
        <w:numPr>
          <w:ilvl w:val="0"/>
          <w:numId w:val="32"/>
        </w:numPr>
        <w:rPr>
          <w:i/>
        </w:rPr>
      </w:pPr>
      <w:r w:rsidRPr="00607657">
        <w:t>improving service delivery through a process of engagement with key stakeholders;</w:t>
      </w:r>
      <w:r w:rsidR="003A217D" w:rsidRPr="00607657">
        <w:t xml:space="preserve"> and</w:t>
      </w:r>
    </w:p>
    <w:p w14:paraId="0DA5DEC7" w14:textId="77777777" w:rsidR="00896B84" w:rsidRPr="00607657" w:rsidRDefault="00896B84" w:rsidP="005329BF">
      <w:pPr>
        <w:pStyle w:val="ListParagraph"/>
        <w:numPr>
          <w:ilvl w:val="0"/>
          <w:numId w:val="32"/>
        </w:numPr>
        <w:rPr>
          <w:i/>
        </w:rPr>
      </w:pPr>
      <w:r w:rsidRPr="00607657">
        <w:t>reporting on performance.</w:t>
      </w:r>
    </w:p>
    <w:p w14:paraId="2F60331D" w14:textId="77777777" w:rsidR="00896B84" w:rsidRPr="00896B84" w:rsidRDefault="00896B84" w:rsidP="00607657">
      <w:pPr>
        <w:rPr>
          <w:i/>
        </w:rPr>
      </w:pPr>
      <w:r w:rsidRPr="00896B84">
        <w:t xml:space="preserve">While the ADCQ is independent of government, it is accountable to the Queensland Parliament through the Attorney-General and Minister for Justice. </w:t>
      </w:r>
    </w:p>
    <w:p w14:paraId="1895A991" w14:textId="77777777" w:rsidR="00896B84" w:rsidRPr="00896B84" w:rsidRDefault="00896B84" w:rsidP="00607657">
      <w:pPr>
        <w:pStyle w:val="Heading2"/>
      </w:pPr>
      <w:bookmarkStart w:id="38" w:name="_Toc240787695"/>
      <w:bookmarkStart w:id="39" w:name="_Toc243284322"/>
      <w:bookmarkStart w:id="40" w:name="_Toc16854538"/>
      <w:bookmarkStart w:id="41" w:name="_Toc16855337"/>
      <w:r w:rsidRPr="00896B84">
        <w:t xml:space="preserve">Managing </w:t>
      </w:r>
      <w:bookmarkEnd w:id="38"/>
      <w:r w:rsidRPr="00896B84">
        <w:t>the ADCQ</w:t>
      </w:r>
      <w:bookmarkEnd w:id="39"/>
      <w:bookmarkEnd w:id="40"/>
      <w:bookmarkEnd w:id="41"/>
    </w:p>
    <w:p w14:paraId="4096E4D6" w14:textId="77777777" w:rsidR="00896B84" w:rsidRPr="00896B84" w:rsidRDefault="00896B84" w:rsidP="00607657">
      <w:pPr>
        <w:rPr>
          <w:i/>
        </w:rPr>
      </w:pPr>
      <w:r w:rsidRPr="00896B84">
        <w:t xml:space="preserve">Accountability for the ADCQ’s operations under the </w:t>
      </w:r>
      <w:r w:rsidRPr="000B671E">
        <w:t>Financial Accountability Act 2009</w:t>
      </w:r>
      <w:r w:rsidRPr="00896B84">
        <w:t xml:space="preserve"> resides solely with the Commissioner as the Accountable Officer. </w:t>
      </w:r>
    </w:p>
    <w:p w14:paraId="77D5B251" w14:textId="77777777" w:rsidR="00896B84" w:rsidRPr="00896B84" w:rsidRDefault="00896B84" w:rsidP="00607657">
      <w:pPr>
        <w:rPr>
          <w:i/>
        </w:rPr>
      </w:pPr>
      <w:r w:rsidRPr="00896B84">
        <w:t xml:space="preserve">The Commissioner is appointed under section 238 of the </w:t>
      </w:r>
      <w:r w:rsidRPr="0067689A">
        <w:rPr>
          <w:i/>
        </w:rPr>
        <w:t>Anti-Discrimination Act 1991</w:t>
      </w:r>
      <w:r w:rsidRPr="00896B84">
        <w:t xml:space="preserve"> for a term of no longer than seven years. ADCQ employees are appointed under the Public Service Act 2008.</w:t>
      </w:r>
    </w:p>
    <w:p w14:paraId="5C26BFB1" w14:textId="77777777" w:rsidR="00896B84" w:rsidRPr="00896B84" w:rsidRDefault="00896B84" w:rsidP="00607657">
      <w:pPr>
        <w:rPr>
          <w:i/>
        </w:rPr>
      </w:pPr>
      <w:r w:rsidRPr="00896B84">
        <w:t>Two committees have been established to support the Commissioner in achieving the strategic goals and operational objectives of the ADCQ. They are the Executive Leadership Team (ELT) and the Leadership Group.</w:t>
      </w:r>
    </w:p>
    <w:p w14:paraId="3F1AB329" w14:textId="77777777" w:rsidR="006E3D4F" w:rsidRDefault="006E3D4F">
      <w:pPr>
        <w:rPr>
          <w:lang w:val="en-US"/>
        </w:rPr>
      </w:pPr>
      <w:r>
        <w:rPr>
          <w:lang w:val="en-US"/>
        </w:rPr>
        <w:br w:type="page"/>
      </w:r>
    </w:p>
    <w:p w14:paraId="5594C34A" w14:textId="58AEA5C7" w:rsidR="00896B84" w:rsidRPr="00896B84" w:rsidRDefault="00896B84" w:rsidP="00607657">
      <w:pPr>
        <w:rPr>
          <w:i/>
          <w:lang w:val="en-US"/>
        </w:rPr>
      </w:pPr>
      <w:r w:rsidRPr="00896B84">
        <w:rPr>
          <w:lang w:val="en-US"/>
        </w:rPr>
        <w:lastRenderedPageBreak/>
        <w:t xml:space="preserve">The ELT </w:t>
      </w:r>
      <w:r w:rsidRPr="00896B84">
        <w:rPr>
          <w:color w:val="000000"/>
          <w:lang w:val="en-US"/>
        </w:rPr>
        <w:t xml:space="preserve">supports the Commissioner by </w:t>
      </w:r>
      <w:r w:rsidRPr="00896B84">
        <w:rPr>
          <w:lang w:val="en-US"/>
        </w:rPr>
        <w:t>providing advice in the following areas:</w:t>
      </w:r>
    </w:p>
    <w:p w14:paraId="041C2BED" w14:textId="77777777" w:rsidR="00896B84" w:rsidRPr="00607657" w:rsidRDefault="00896B84" w:rsidP="005329BF">
      <w:pPr>
        <w:pStyle w:val="ListParagraph"/>
        <w:numPr>
          <w:ilvl w:val="0"/>
          <w:numId w:val="33"/>
        </w:numPr>
        <w:rPr>
          <w:i/>
        </w:rPr>
      </w:pPr>
      <w:r w:rsidRPr="00896B84">
        <w:t xml:space="preserve">establishing priorities; </w:t>
      </w:r>
    </w:p>
    <w:p w14:paraId="47CDCBB5" w14:textId="77777777" w:rsidR="00896B84" w:rsidRPr="00607657" w:rsidRDefault="00896B84" w:rsidP="005329BF">
      <w:pPr>
        <w:pStyle w:val="ListParagraph"/>
        <w:numPr>
          <w:ilvl w:val="0"/>
          <w:numId w:val="33"/>
        </w:numPr>
        <w:rPr>
          <w:i/>
        </w:rPr>
      </w:pPr>
      <w:r w:rsidRPr="00896B84">
        <w:t>developing an overarching fiscal strategy;</w:t>
      </w:r>
    </w:p>
    <w:p w14:paraId="3D0CC9D4" w14:textId="77777777" w:rsidR="00896B84" w:rsidRPr="00607657" w:rsidRDefault="00896B84" w:rsidP="005329BF">
      <w:pPr>
        <w:pStyle w:val="ListParagraph"/>
        <w:numPr>
          <w:ilvl w:val="0"/>
          <w:numId w:val="33"/>
        </w:numPr>
        <w:rPr>
          <w:i/>
        </w:rPr>
      </w:pPr>
      <w:r w:rsidRPr="00896B84">
        <w:t>maintaining the corporate governance framework;</w:t>
      </w:r>
    </w:p>
    <w:p w14:paraId="2EA79326" w14:textId="77777777" w:rsidR="00896B84" w:rsidRPr="00607657" w:rsidRDefault="00896B84" w:rsidP="005329BF">
      <w:pPr>
        <w:pStyle w:val="ListParagraph"/>
        <w:numPr>
          <w:ilvl w:val="0"/>
          <w:numId w:val="33"/>
        </w:numPr>
        <w:rPr>
          <w:i/>
        </w:rPr>
      </w:pPr>
      <w:r w:rsidRPr="00896B84">
        <w:t>overseeing major initiatives and projects;</w:t>
      </w:r>
    </w:p>
    <w:p w14:paraId="6DC4D711" w14:textId="77777777" w:rsidR="00896B84" w:rsidRPr="00607657" w:rsidRDefault="00896B84" w:rsidP="005329BF">
      <w:pPr>
        <w:pStyle w:val="ListParagraph"/>
        <w:numPr>
          <w:ilvl w:val="0"/>
          <w:numId w:val="33"/>
        </w:numPr>
        <w:rPr>
          <w:i/>
        </w:rPr>
      </w:pPr>
      <w:r w:rsidRPr="00896B84">
        <w:t>managing external relationships;</w:t>
      </w:r>
    </w:p>
    <w:p w14:paraId="337BA535" w14:textId="77777777" w:rsidR="00896B84" w:rsidRPr="00607657" w:rsidRDefault="00896B84" w:rsidP="005329BF">
      <w:pPr>
        <w:pStyle w:val="ListParagraph"/>
        <w:numPr>
          <w:ilvl w:val="0"/>
          <w:numId w:val="33"/>
        </w:numPr>
        <w:rPr>
          <w:i/>
        </w:rPr>
      </w:pPr>
      <w:r w:rsidRPr="00896B84">
        <w:t>setting corporate performance objectives;</w:t>
      </w:r>
    </w:p>
    <w:p w14:paraId="297DA9D0" w14:textId="77777777" w:rsidR="00896B84" w:rsidRPr="00607657" w:rsidRDefault="00896B84" w:rsidP="005329BF">
      <w:pPr>
        <w:pStyle w:val="ListParagraph"/>
        <w:numPr>
          <w:ilvl w:val="0"/>
          <w:numId w:val="33"/>
        </w:numPr>
        <w:rPr>
          <w:i/>
        </w:rPr>
      </w:pPr>
      <w:r w:rsidRPr="00896B84">
        <w:t>fostering an appropriate corporate culture that supports the Commission’s values and code of conduct;</w:t>
      </w:r>
    </w:p>
    <w:p w14:paraId="54E855F2" w14:textId="34360B15" w:rsidR="00896B84" w:rsidRPr="00607657" w:rsidRDefault="00896B84" w:rsidP="005329BF">
      <w:pPr>
        <w:pStyle w:val="ListParagraph"/>
        <w:numPr>
          <w:ilvl w:val="0"/>
          <w:numId w:val="33"/>
        </w:numPr>
        <w:rPr>
          <w:i/>
        </w:rPr>
      </w:pPr>
      <w:r w:rsidRPr="00896B84">
        <w:t>ensuring business continuity;</w:t>
      </w:r>
      <w:r w:rsidR="003A217D">
        <w:t xml:space="preserve"> and</w:t>
      </w:r>
    </w:p>
    <w:p w14:paraId="70360665" w14:textId="77777777" w:rsidR="00896B84" w:rsidRPr="00607657" w:rsidRDefault="00896B84" w:rsidP="005329BF">
      <w:pPr>
        <w:pStyle w:val="ListParagraph"/>
        <w:numPr>
          <w:ilvl w:val="0"/>
          <w:numId w:val="33"/>
        </w:numPr>
        <w:rPr>
          <w:i/>
        </w:rPr>
      </w:pPr>
      <w:r w:rsidRPr="00896B84">
        <w:t>providing the strategic focus for corporate communications and marketing.</w:t>
      </w:r>
    </w:p>
    <w:p w14:paraId="145B4042" w14:textId="77777777" w:rsidR="00896B84" w:rsidRPr="00896B84" w:rsidRDefault="00896B84" w:rsidP="00607657">
      <w:pPr>
        <w:rPr>
          <w:i/>
          <w:lang w:val="en-US"/>
        </w:rPr>
      </w:pPr>
      <w:r w:rsidRPr="00896B84">
        <w:rPr>
          <w:lang w:val="en-US"/>
        </w:rPr>
        <w:t>The members of the ELT are:</w:t>
      </w:r>
    </w:p>
    <w:p w14:paraId="6A9EC0E6" w14:textId="77777777" w:rsidR="00896B84" w:rsidRPr="00607657" w:rsidRDefault="00896B84" w:rsidP="005329BF">
      <w:pPr>
        <w:pStyle w:val="ListParagraph"/>
        <w:numPr>
          <w:ilvl w:val="0"/>
          <w:numId w:val="34"/>
        </w:numPr>
        <w:rPr>
          <w:i/>
        </w:rPr>
      </w:pPr>
      <w:r w:rsidRPr="00896B84">
        <w:t>Anti-Discrimination Commissioner (Chair);</w:t>
      </w:r>
    </w:p>
    <w:p w14:paraId="675B3223" w14:textId="77777777" w:rsidR="00896B84" w:rsidRPr="00607657" w:rsidRDefault="00896B84" w:rsidP="005329BF">
      <w:pPr>
        <w:pStyle w:val="ListParagraph"/>
        <w:numPr>
          <w:ilvl w:val="0"/>
          <w:numId w:val="34"/>
        </w:numPr>
        <w:rPr>
          <w:i/>
        </w:rPr>
      </w:pPr>
      <w:r w:rsidRPr="00896B84">
        <w:t>Deputy Commissioner (Deputy Chair);</w:t>
      </w:r>
    </w:p>
    <w:p w14:paraId="309F48D9" w14:textId="62C8954F" w:rsidR="00896B84" w:rsidRPr="00607657" w:rsidRDefault="00896B84" w:rsidP="005329BF">
      <w:pPr>
        <w:pStyle w:val="ListParagraph"/>
        <w:numPr>
          <w:ilvl w:val="0"/>
          <w:numId w:val="34"/>
        </w:numPr>
        <w:rPr>
          <w:i/>
        </w:rPr>
      </w:pPr>
      <w:r w:rsidRPr="00896B84">
        <w:t>Director, Complaint Management;</w:t>
      </w:r>
      <w:r w:rsidR="003A217D">
        <w:t xml:space="preserve"> and</w:t>
      </w:r>
    </w:p>
    <w:p w14:paraId="69BA8864" w14:textId="77777777" w:rsidR="00896B84" w:rsidRPr="00607657" w:rsidRDefault="00896B84" w:rsidP="005329BF">
      <w:pPr>
        <w:pStyle w:val="ListParagraph"/>
        <w:numPr>
          <w:ilvl w:val="0"/>
          <w:numId w:val="34"/>
        </w:numPr>
        <w:rPr>
          <w:i/>
        </w:rPr>
      </w:pPr>
      <w:r w:rsidRPr="00896B84">
        <w:t>Director, Engagement and Corporate Services.</w:t>
      </w:r>
    </w:p>
    <w:p w14:paraId="4D5CC968" w14:textId="77777777" w:rsidR="00896B84" w:rsidRPr="00896B84" w:rsidRDefault="00896B84" w:rsidP="00607657">
      <w:pPr>
        <w:rPr>
          <w:i/>
          <w:lang w:val="en-US"/>
        </w:rPr>
      </w:pPr>
      <w:r w:rsidRPr="00896B84">
        <w:rPr>
          <w:lang w:val="en-US"/>
        </w:rPr>
        <w:t>The Leadership Group is a sub-committee of the ELT.</w:t>
      </w:r>
      <w:r w:rsidR="00803E9C">
        <w:rPr>
          <w:lang w:val="en-US"/>
        </w:rPr>
        <w:t xml:space="preserve"> </w:t>
      </w:r>
      <w:r w:rsidRPr="00896B84">
        <w:rPr>
          <w:lang w:val="en-US"/>
        </w:rPr>
        <w:t>The group is responsible for providing advice to the Commissioner in the following areas:</w:t>
      </w:r>
    </w:p>
    <w:p w14:paraId="61BECE9B" w14:textId="77777777" w:rsidR="00896B84" w:rsidRPr="00607657" w:rsidRDefault="00896B84" w:rsidP="005329BF">
      <w:pPr>
        <w:pStyle w:val="ListParagraph"/>
        <w:numPr>
          <w:ilvl w:val="0"/>
          <w:numId w:val="35"/>
        </w:numPr>
        <w:rPr>
          <w:i/>
        </w:rPr>
      </w:pPr>
      <w:r w:rsidRPr="00896B84">
        <w:t>overseeing strategic and operational planning processes to ensure that strategies, goals and performance measures address overarching priorities;</w:t>
      </w:r>
    </w:p>
    <w:p w14:paraId="7008F53C" w14:textId="77777777" w:rsidR="00896B84" w:rsidRPr="00607657" w:rsidRDefault="00896B84" w:rsidP="005329BF">
      <w:pPr>
        <w:pStyle w:val="ListParagraph"/>
        <w:numPr>
          <w:ilvl w:val="0"/>
          <w:numId w:val="35"/>
        </w:numPr>
        <w:rPr>
          <w:i/>
        </w:rPr>
      </w:pPr>
      <w:r w:rsidRPr="00896B84">
        <w:t>monitoring performance to ensure services are being delivered to the required level and quality;</w:t>
      </w:r>
    </w:p>
    <w:p w14:paraId="22B4F257" w14:textId="77777777" w:rsidR="00896B84" w:rsidRPr="00607657" w:rsidRDefault="00896B84" w:rsidP="005329BF">
      <w:pPr>
        <w:pStyle w:val="ListParagraph"/>
        <w:numPr>
          <w:ilvl w:val="0"/>
          <w:numId w:val="35"/>
        </w:numPr>
        <w:rPr>
          <w:i/>
        </w:rPr>
      </w:pPr>
      <w:r w:rsidRPr="00896B84">
        <w:t>driving the identification and establishment of best practice in all aspects of service delivery;</w:t>
      </w:r>
    </w:p>
    <w:p w14:paraId="12C1AAAE" w14:textId="77777777" w:rsidR="00896B84" w:rsidRPr="00607657" w:rsidRDefault="00896B84" w:rsidP="005329BF">
      <w:pPr>
        <w:pStyle w:val="ListParagraph"/>
        <w:numPr>
          <w:ilvl w:val="0"/>
          <w:numId w:val="35"/>
        </w:numPr>
        <w:rPr>
          <w:i/>
        </w:rPr>
      </w:pPr>
      <w:r w:rsidRPr="00896B84">
        <w:t>monitoring the effectiveness of governance practices including policies and procedures;</w:t>
      </w:r>
    </w:p>
    <w:p w14:paraId="2ABD9C18" w14:textId="77777777" w:rsidR="00896B84" w:rsidRPr="00607657" w:rsidRDefault="00896B84" w:rsidP="005329BF">
      <w:pPr>
        <w:pStyle w:val="ListParagraph"/>
        <w:numPr>
          <w:ilvl w:val="0"/>
          <w:numId w:val="35"/>
        </w:numPr>
        <w:rPr>
          <w:i/>
        </w:rPr>
      </w:pPr>
      <w:r w:rsidRPr="00896B84">
        <w:t xml:space="preserve">allocation and management of resources; </w:t>
      </w:r>
    </w:p>
    <w:p w14:paraId="471A181D" w14:textId="77777777" w:rsidR="00896B84" w:rsidRPr="00607657" w:rsidRDefault="00896B84" w:rsidP="005329BF">
      <w:pPr>
        <w:pStyle w:val="ListParagraph"/>
        <w:numPr>
          <w:ilvl w:val="0"/>
          <w:numId w:val="35"/>
        </w:numPr>
        <w:rPr>
          <w:i/>
        </w:rPr>
      </w:pPr>
      <w:r w:rsidRPr="00896B84">
        <w:t xml:space="preserve">ensuring the integrity of reporting systems and that appropriate systems of internal control are in place to manage risk; </w:t>
      </w:r>
    </w:p>
    <w:p w14:paraId="4F1BF0BE" w14:textId="77777777" w:rsidR="00896B84" w:rsidRPr="00607657" w:rsidRDefault="00896B84" w:rsidP="005329BF">
      <w:pPr>
        <w:pStyle w:val="ListParagraph"/>
        <w:numPr>
          <w:ilvl w:val="0"/>
          <w:numId w:val="35"/>
        </w:numPr>
        <w:rPr>
          <w:i/>
        </w:rPr>
      </w:pPr>
      <w:r w:rsidRPr="00896B84">
        <w:t>ensuring there are adequate processes in place to comply with statutory reporting requirements;</w:t>
      </w:r>
    </w:p>
    <w:p w14:paraId="7DEF8B8D" w14:textId="073EC78E" w:rsidR="00896B84" w:rsidRPr="00607657" w:rsidRDefault="00896B84" w:rsidP="005329BF">
      <w:pPr>
        <w:pStyle w:val="ListParagraph"/>
        <w:numPr>
          <w:ilvl w:val="0"/>
          <w:numId w:val="35"/>
        </w:numPr>
        <w:rPr>
          <w:i/>
        </w:rPr>
      </w:pPr>
      <w:r w:rsidRPr="00896B84">
        <w:t>ensuring that planning and performance management processes are based on an understanding of operational issues and constraints;</w:t>
      </w:r>
      <w:r w:rsidR="003A217D">
        <w:t xml:space="preserve"> and</w:t>
      </w:r>
    </w:p>
    <w:p w14:paraId="69C99AF4" w14:textId="77777777" w:rsidR="00896B84" w:rsidRPr="00607657" w:rsidRDefault="00896B84" w:rsidP="005329BF">
      <w:pPr>
        <w:pStyle w:val="ListParagraph"/>
        <w:numPr>
          <w:ilvl w:val="0"/>
          <w:numId w:val="35"/>
        </w:numPr>
        <w:rPr>
          <w:i/>
        </w:rPr>
      </w:pPr>
      <w:r w:rsidRPr="00896B84">
        <w:t>maintaining relationships and partnerships with stakeholders.</w:t>
      </w:r>
    </w:p>
    <w:p w14:paraId="20D8892E" w14:textId="77777777" w:rsidR="00896B84" w:rsidRPr="00896B84" w:rsidRDefault="00896B84" w:rsidP="00607657">
      <w:pPr>
        <w:rPr>
          <w:i/>
          <w:lang w:val="en-US"/>
        </w:rPr>
      </w:pPr>
      <w:r w:rsidRPr="00896B84">
        <w:rPr>
          <w:lang w:val="en-US"/>
        </w:rPr>
        <w:t>The members of the Leadership Group are:</w:t>
      </w:r>
    </w:p>
    <w:p w14:paraId="3C5D18E6" w14:textId="77777777" w:rsidR="00896B84" w:rsidRPr="00607657" w:rsidRDefault="00896B84" w:rsidP="005329BF">
      <w:pPr>
        <w:pStyle w:val="ListParagraph"/>
        <w:numPr>
          <w:ilvl w:val="0"/>
          <w:numId w:val="36"/>
        </w:numPr>
        <w:rPr>
          <w:i/>
        </w:rPr>
      </w:pPr>
      <w:r w:rsidRPr="00896B84">
        <w:t>Anti-Discrimination Commissioner (Chair);</w:t>
      </w:r>
    </w:p>
    <w:p w14:paraId="5A90F443" w14:textId="77777777" w:rsidR="00896B84" w:rsidRPr="00607657" w:rsidRDefault="00896B84" w:rsidP="005329BF">
      <w:pPr>
        <w:pStyle w:val="ListParagraph"/>
        <w:numPr>
          <w:ilvl w:val="0"/>
          <w:numId w:val="36"/>
        </w:numPr>
        <w:rPr>
          <w:i/>
        </w:rPr>
      </w:pPr>
      <w:r w:rsidRPr="00896B84">
        <w:t>Deputy Commissioner (Deputy Chair);</w:t>
      </w:r>
    </w:p>
    <w:p w14:paraId="05F79DD6" w14:textId="77777777" w:rsidR="00896B84" w:rsidRPr="00607657" w:rsidRDefault="00896B84" w:rsidP="005329BF">
      <w:pPr>
        <w:pStyle w:val="ListParagraph"/>
        <w:numPr>
          <w:ilvl w:val="0"/>
          <w:numId w:val="36"/>
        </w:numPr>
        <w:rPr>
          <w:i/>
        </w:rPr>
      </w:pPr>
      <w:r w:rsidRPr="00896B84">
        <w:t>Director, Complaint Management;</w:t>
      </w:r>
    </w:p>
    <w:p w14:paraId="076ED903" w14:textId="77777777" w:rsidR="00896B84" w:rsidRPr="00607657" w:rsidRDefault="00896B84" w:rsidP="005329BF">
      <w:pPr>
        <w:pStyle w:val="ListParagraph"/>
        <w:numPr>
          <w:ilvl w:val="0"/>
          <w:numId w:val="36"/>
        </w:numPr>
        <w:rPr>
          <w:i/>
        </w:rPr>
      </w:pPr>
      <w:r w:rsidRPr="00896B84">
        <w:t>Director, Engagement and Corporate Services;</w:t>
      </w:r>
    </w:p>
    <w:p w14:paraId="4287F965" w14:textId="77777777" w:rsidR="00896B84" w:rsidRPr="00607657" w:rsidRDefault="00896B84" w:rsidP="005329BF">
      <w:pPr>
        <w:pStyle w:val="ListParagraph"/>
        <w:numPr>
          <w:ilvl w:val="0"/>
          <w:numId w:val="36"/>
        </w:numPr>
        <w:rPr>
          <w:i/>
        </w:rPr>
      </w:pPr>
      <w:r w:rsidRPr="00896B84">
        <w:t xml:space="preserve">Principal </w:t>
      </w:r>
      <w:r w:rsidR="00512F77">
        <w:t>Lawyer</w:t>
      </w:r>
      <w:r w:rsidRPr="00896B84">
        <w:t xml:space="preserve">; </w:t>
      </w:r>
    </w:p>
    <w:p w14:paraId="75775F18" w14:textId="77777777" w:rsidR="00896B84" w:rsidRPr="00607657" w:rsidRDefault="00896B84" w:rsidP="005329BF">
      <w:pPr>
        <w:pStyle w:val="ListParagraph"/>
        <w:numPr>
          <w:ilvl w:val="0"/>
          <w:numId w:val="36"/>
        </w:numPr>
        <w:rPr>
          <w:i/>
        </w:rPr>
      </w:pPr>
      <w:r w:rsidRPr="00896B84">
        <w:t>Manager, Far North Queensland Region;</w:t>
      </w:r>
    </w:p>
    <w:p w14:paraId="7F881FE4" w14:textId="77777777" w:rsidR="00896B84" w:rsidRPr="00607657" w:rsidRDefault="00896B84" w:rsidP="005329BF">
      <w:pPr>
        <w:pStyle w:val="ListParagraph"/>
        <w:numPr>
          <w:ilvl w:val="0"/>
          <w:numId w:val="36"/>
        </w:numPr>
        <w:rPr>
          <w:i/>
        </w:rPr>
      </w:pPr>
      <w:r w:rsidRPr="00896B84">
        <w:lastRenderedPageBreak/>
        <w:t>Manager, North Queensland Region;</w:t>
      </w:r>
    </w:p>
    <w:p w14:paraId="243C578E" w14:textId="77777777" w:rsidR="00896B84" w:rsidRPr="00607657" w:rsidRDefault="00896B84" w:rsidP="005329BF">
      <w:pPr>
        <w:pStyle w:val="ListParagraph"/>
        <w:numPr>
          <w:ilvl w:val="0"/>
          <w:numId w:val="36"/>
        </w:numPr>
        <w:rPr>
          <w:i/>
        </w:rPr>
      </w:pPr>
      <w:r w:rsidRPr="00896B84">
        <w:t>Manager, Central Queensland Region;</w:t>
      </w:r>
    </w:p>
    <w:p w14:paraId="39F7A174" w14:textId="77777777" w:rsidR="00896B84" w:rsidRPr="00607657" w:rsidRDefault="00896B84" w:rsidP="005329BF">
      <w:pPr>
        <w:pStyle w:val="ListParagraph"/>
        <w:numPr>
          <w:ilvl w:val="0"/>
          <w:numId w:val="36"/>
        </w:numPr>
        <w:rPr>
          <w:i/>
        </w:rPr>
      </w:pPr>
      <w:r w:rsidRPr="00896B84">
        <w:t>Manager, Brisbane Complaint Team;</w:t>
      </w:r>
    </w:p>
    <w:p w14:paraId="6BF9A1D3" w14:textId="0F15BBC4" w:rsidR="00512F77" w:rsidRPr="00607657" w:rsidRDefault="00512F77" w:rsidP="005329BF">
      <w:pPr>
        <w:pStyle w:val="ListParagraph"/>
        <w:numPr>
          <w:ilvl w:val="0"/>
          <w:numId w:val="36"/>
        </w:numPr>
        <w:rPr>
          <w:i/>
        </w:rPr>
      </w:pPr>
      <w:r>
        <w:t>Aboriginal &amp; Torres Strait Islander Community Engagement Coordinator;</w:t>
      </w:r>
      <w:r w:rsidR="003A217D">
        <w:t xml:space="preserve"> and</w:t>
      </w:r>
    </w:p>
    <w:p w14:paraId="62C20ED1" w14:textId="1BEA09BB" w:rsidR="00896B84" w:rsidRPr="00607657" w:rsidRDefault="003A217D" w:rsidP="005329BF">
      <w:pPr>
        <w:pStyle w:val="ListParagraph"/>
        <w:numPr>
          <w:ilvl w:val="0"/>
          <w:numId w:val="36"/>
        </w:numPr>
        <w:rPr>
          <w:i/>
        </w:rPr>
      </w:pPr>
      <w:r>
        <w:t xml:space="preserve">Senior </w:t>
      </w:r>
      <w:r w:rsidR="00512F77">
        <w:t>Communications Officer.</w:t>
      </w:r>
    </w:p>
    <w:p w14:paraId="49BF48CF" w14:textId="77777777" w:rsidR="00896B84" w:rsidRPr="00896B84" w:rsidRDefault="00896B84" w:rsidP="00607657">
      <w:pPr>
        <w:pStyle w:val="Heading2"/>
      </w:pPr>
      <w:bookmarkStart w:id="42" w:name="_Toc243284323"/>
      <w:bookmarkStart w:id="43" w:name="_Toc16854539"/>
      <w:bookmarkStart w:id="44" w:name="_Toc16855338"/>
      <w:r w:rsidRPr="00896B84">
        <w:t>Commission staff</w:t>
      </w:r>
      <w:bookmarkEnd w:id="42"/>
      <w:bookmarkEnd w:id="43"/>
      <w:bookmarkEnd w:id="44"/>
    </w:p>
    <w:p w14:paraId="4A5901B8" w14:textId="77777777" w:rsidR="00896B84" w:rsidRPr="00896B84" w:rsidRDefault="00896B84" w:rsidP="00607657">
      <w:pPr>
        <w:rPr>
          <w:i/>
        </w:rPr>
      </w:pPr>
      <w:r w:rsidRPr="00896B84">
        <w:t>The ADCQ maintains offices in Brisbane, Cairns, Townsville and Rockhampton. At 30 June 2019, we employed 35 full-time equivalent permanent and temporary staff. The proportion of permanent staff increased from 88 to 89 per cent over the last year. The permanent staff retention rate during 2018–19 was 97 per cent. The permanent staff separation rate was 3 per cent.</w:t>
      </w:r>
      <w:r w:rsidR="00803E9C">
        <w:t xml:space="preserve"> </w:t>
      </w:r>
    </w:p>
    <w:p w14:paraId="53A3C57C" w14:textId="77777777" w:rsidR="00896B84" w:rsidRPr="00896B84" w:rsidRDefault="00896B84" w:rsidP="00607657">
      <w:pPr>
        <w:rPr>
          <w:i/>
        </w:rPr>
      </w:pPr>
      <w:r w:rsidRPr="00896B84">
        <w:t>ADCQ is committed to maintaining a diverse and inclusive workplace where the contributions of all staff are valued.</w:t>
      </w:r>
      <w:r w:rsidR="00803E9C">
        <w:t xml:space="preserve"> </w:t>
      </w:r>
      <w:r w:rsidRPr="00896B84">
        <w:t>Strategies that have been implemented to promote diversity and inclusion include: support of flexible work arrangement like part time work and working from home; provision of a parenting room; provision of highly accessible workplaces where possible; establishment of a Healthy Workplaces Program with a focus on mental health; clear induction and performance management policies; professional development of all staff on a continuing basis; and, adoption of a model of service delivery that encourages the creation of multi-disciplinary teams.</w:t>
      </w:r>
    </w:p>
    <w:p w14:paraId="4CDC177D" w14:textId="77777777" w:rsidR="00896B84" w:rsidRPr="00896B84" w:rsidRDefault="00896B84" w:rsidP="00607657">
      <w:pPr>
        <w:rPr>
          <w:i/>
        </w:rPr>
      </w:pPr>
      <w:r w:rsidRPr="00896B84">
        <w:t>The success of these strategies can be seen in the most recent Working for Queensland survey where the responses of staff were very positive.</w:t>
      </w:r>
      <w:r w:rsidR="00803E9C">
        <w:t xml:space="preserve"> </w:t>
      </w:r>
      <w:r w:rsidRPr="00896B84">
        <w:t>Some of the key responses in the survey include:</w:t>
      </w:r>
    </w:p>
    <w:p w14:paraId="327DF066" w14:textId="77777777" w:rsidR="00896B84" w:rsidRPr="00607657" w:rsidRDefault="00896B84" w:rsidP="005329BF">
      <w:pPr>
        <w:pStyle w:val="ListParagraph"/>
        <w:numPr>
          <w:ilvl w:val="0"/>
          <w:numId w:val="37"/>
        </w:numPr>
        <w:rPr>
          <w:i/>
        </w:rPr>
      </w:pPr>
      <w:r w:rsidRPr="00896B84">
        <w:t>98% of responses to questions relating to support for diversity and inclusion were positive;</w:t>
      </w:r>
    </w:p>
    <w:p w14:paraId="247C58AA" w14:textId="77777777" w:rsidR="00896B84" w:rsidRPr="00607657" w:rsidRDefault="00896B84" w:rsidP="005329BF">
      <w:pPr>
        <w:pStyle w:val="ListParagraph"/>
        <w:numPr>
          <w:ilvl w:val="0"/>
          <w:numId w:val="37"/>
        </w:numPr>
        <w:rPr>
          <w:i/>
        </w:rPr>
      </w:pPr>
      <w:r w:rsidRPr="00896B84">
        <w:t>89% of responses indicated use of some form of flexible work arrangement over the course of the year;</w:t>
      </w:r>
    </w:p>
    <w:p w14:paraId="516242E8" w14:textId="77777777" w:rsidR="00896B84" w:rsidRPr="00607657" w:rsidRDefault="00896B84" w:rsidP="005329BF">
      <w:pPr>
        <w:pStyle w:val="ListParagraph"/>
        <w:numPr>
          <w:ilvl w:val="0"/>
          <w:numId w:val="37"/>
        </w:numPr>
        <w:rPr>
          <w:i/>
        </w:rPr>
      </w:pPr>
      <w:r w:rsidRPr="00896B84">
        <w:t>89% of responses indicated a positive assessment of their workgroups;</w:t>
      </w:r>
    </w:p>
    <w:p w14:paraId="41AD8D42" w14:textId="3ED807B6" w:rsidR="00896B84" w:rsidRPr="00607657" w:rsidRDefault="00896B84" w:rsidP="005329BF">
      <w:pPr>
        <w:pStyle w:val="ListParagraph"/>
        <w:numPr>
          <w:ilvl w:val="0"/>
          <w:numId w:val="37"/>
        </w:numPr>
        <w:rPr>
          <w:i/>
        </w:rPr>
      </w:pPr>
      <w:r w:rsidRPr="00896B84">
        <w:t>76% of responses indicated that the commission was innovative;</w:t>
      </w:r>
      <w:r w:rsidR="003A217D">
        <w:t xml:space="preserve"> and</w:t>
      </w:r>
    </w:p>
    <w:p w14:paraId="3A10E1B0" w14:textId="77777777" w:rsidR="00896B84" w:rsidRPr="00607657" w:rsidRDefault="00896B84" w:rsidP="005329BF">
      <w:pPr>
        <w:pStyle w:val="ListParagraph"/>
        <w:numPr>
          <w:ilvl w:val="0"/>
          <w:numId w:val="37"/>
        </w:numPr>
        <w:rPr>
          <w:i/>
        </w:rPr>
      </w:pPr>
      <w:r w:rsidRPr="00896B84">
        <w:t>88% of responses indicated that staff were empowered to do their work.</w:t>
      </w:r>
      <w:r w:rsidR="00803E9C">
        <w:t xml:space="preserve"> </w:t>
      </w:r>
    </w:p>
    <w:p w14:paraId="34AEE612" w14:textId="77777777" w:rsidR="00896B84" w:rsidRPr="00896B84" w:rsidRDefault="00896B84" w:rsidP="00607657">
      <w:pPr>
        <w:rPr>
          <w:i/>
        </w:rPr>
      </w:pPr>
      <w:r w:rsidRPr="00896B84">
        <w:t>Overall the survey continues the trend in past surveys of respondents having a very positive view of working for the commission.</w:t>
      </w:r>
    </w:p>
    <w:p w14:paraId="68EEA845" w14:textId="34A833C4" w:rsidR="00896B84" w:rsidRDefault="00896B84" w:rsidP="00607657">
      <w:r w:rsidRPr="00896B84">
        <w:t>The commission implemented a minor restructure as part of its transition to becoming the Queensland Human Rights Commission from 1 July 2019.</w:t>
      </w:r>
      <w:r w:rsidR="00803E9C">
        <w:t xml:space="preserve"> </w:t>
      </w:r>
      <w:r w:rsidRPr="00896B84">
        <w:t xml:space="preserve">The outcome of the restructure can be </w:t>
      </w:r>
      <w:r w:rsidRPr="00512F77">
        <w:t xml:space="preserve">seen in Appendix </w:t>
      </w:r>
      <w:r w:rsidR="004E2CFD" w:rsidRPr="00512F77">
        <w:t>D</w:t>
      </w:r>
      <w:r w:rsidRPr="00512F77">
        <w:t>: Organisational Structure.</w:t>
      </w:r>
    </w:p>
    <w:p w14:paraId="7406F2A0" w14:textId="77777777" w:rsidR="00A847D4" w:rsidRDefault="00A847D4">
      <w:pPr>
        <w:rPr>
          <w:b/>
          <w:bCs/>
          <w:i/>
          <w:color w:val="3B4E98"/>
          <w:szCs w:val="18"/>
        </w:rPr>
      </w:pPr>
      <w:r>
        <w:br w:type="page"/>
      </w:r>
    </w:p>
    <w:p w14:paraId="26BA3CE1" w14:textId="2382B7CE" w:rsidR="004932AB" w:rsidRPr="00CB5234" w:rsidRDefault="004932AB" w:rsidP="004932AB">
      <w:pPr>
        <w:pStyle w:val="Caption"/>
        <w:keepNext/>
        <w:rPr>
          <w:sz w:val="20"/>
        </w:rPr>
      </w:pPr>
      <w:r w:rsidRPr="00CB5234">
        <w:rPr>
          <w:sz w:val="20"/>
        </w:rPr>
        <w:lastRenderedPageBreak/>
        <w:t>Table</w:t>
      </w:r>
      <w:r w:rsidR="0059575B">
        <w:rPr>
          <w:sz w:val="20"/>
        </w:rPr>
        <w:t xml:space="preserve"> 12</w:t>
      </w:r>
      <w:r w:rsidR="00A847D4">
        <w:rPr>
          <w:sz w:val="20"/>
        </w:rPr>
        <w:t>:</w:t>
      </w:r>
      <w:r>
        <w:rPr>
          <w:sz w:val="20"/>
        </w:rPr>
        <w:t xml:space="preserve"> </w:t>
      </w:r>
      <w:r w:rsidRPr="00CB5234">
        <w:rPr>
          <w:sz w:val="20"/>
        </w:rPr>
        <w:t>Staff groups</w:t>
      </w:r>
      <w:bookmarkEnd w:id="33"/>
      <w:r>
        <w:rPr>
          <w:sz w:val="20"/>
        </w:rPr>
        <w:t xml:space="preserve"> (rounded)</w:t>
      </w:r>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3199"/>
        <w:gridCol w:w="1408"/>
      </w:tblGrid>
      <w:tr w:rsidR="004932AB" w:rsidRPr="00A847D4" w14:paraId="0A4A32E2" w14:textId="77777777" w:rsidTr="00A847D4">
        <w:tc>
          <w:tcPr>
            <w:tcW w:w="3199" w:type="dxa"/>
          </w:tcPr>
          <w:p w14:paraId="51BE4719" w14:textId="77777777" w:rsidR="004932AB" w:rsidRPr="00A847D4" w:rsidRDefault="004932AB" w:rsidP="00607657">
            <w:pPr>
              <w:rPr>
                <w:b/>
                <w:i/>
              </w:rPr>
            </w:pPr>
            <w:r w:rsidRPr="00A847D4">
              <w:rPr>
                <w:b/>
              </w:rPr>
              <w:t>Group</w:t>
            </w:r>
          </w:p>
        </w:tc>
        <w:tc>
          <w:tcPr>
            <w:tcW w:w="1408" w:type="dxa"/>
          </w:tcPr>
          <w:p w14:paraId="0BBA6F3D" w14:textId="77777777" w:rsidR="004932AB" w:rsidRPr="00A847D4" w:rsidRDefault="004932AB" w:rsidP="00607657">
            <w:pPr>
              <w:rPr>
                <w:b/>
                <w:i/>
              </w:rPr>
            </w:pPr>
            <w:r w:rsidRPr="00A847D4">
              <w:rPr>
                <w:b/>
              </w:rPr>
              <w:t>Employees</w:t>
            </w:r>
          </w:p>
        </w:tc>
      </w:tr>
      <w:tr w:rsidR="004932AB" w:rsidRPr="004B637B" w14:paraId="2E12DF17" w14:textId="77777777" w:rsidTr="00A847D4">
        <w:tc>
          <w:tcPr>
            <w:tcW w:w="3199" w:type="dxa"/>
          </w:tcPr>
          <w:p w14:paraId="5B8EB2A9" w14:textId="77777777" w:rsidR="004932AB" w:rsidRPr="004932AB" w:rsidRDefault="004932AB" w:rsidP="00607657">
            <w:pPr>
              <w:rPr>
                <w:rFonts w:ascii="Arial" w:hAnsi="Arial"/>
                <w:i/>
              </w:rPr>
            </w:pPr>
            <w:r w:rsidRPr="004932AB">
              <w:rPr>
                <w:rFonts w:ascii="Arial" w:hAnsi="Arial"/>
              </w:rPr>
              <w:t>Executive management</w:t>
            </w:r>
            <w:r w:rsidRPr="004932AB">
              <w:rPr>
                <w:rFonts w:ascii="Arial" w:hAnsi="Arial"/>
              </w:rPr>
              <w:tab/>
            </w:r>
          </w:p>
        </w:tc>
        <w:tc>
          <w:tcPr>
            <w:tcW w:w="1408" w:type="dxa"/>
          </w:tcPr>
          <w:p w14:paraId="0C68DDD5" w14:textId="77777777" w:rsidR="004932AB" w:rsidRPr="004932AB" w:rsidRDefault="004932AB" w:rsidP="00607657">
            <w:pPr>
              <w:rPr>
                <w:rFonts w:ascii="Arial" w:hAnsi="Arial"/>
                <w:i/>
              </w:rPr>
            </w:pPr>
            <w:r w:rsidRPr="004932AB">
              <w:rPr>
                <w:rFonts w:ascii="Arial" w:hAnsi="Arial"/>
              </w:rPr>
              <w:t>3</w:t>
            </w:r>
          </w:p>
        </w:tc>
      </w:tr>
      <w:tr w:rsidR="004932AB" w:rsidRPr="004B637B" w14:paraId="5D4F3327" w14:textId="77777777" w:rsidTr="00A847D4">
        <w:tc>
          <w:tcPr>
            <w:tcW w:w="3199" w:type="dxa"/>
          </w:tcPr>
          <w:p w14:paraId="25053D5D" w14:textId="77777777" w:rsidR="004932AB" w:rsidRPr="004932AB" w:rsidRDefault="004932AB" w:rsidP="00607657">
            <w:pPr>
              <w:rPr>
                <w:rFonts w:ascii="Arial" w:hAnsi="Arial"/>
                <w:i/>
              </w:rPr>
            </w:pPr>
            <w:r w:rsidRPr="004932AB">
              <w:rPr>
                <w:rFonts w:ascii="Arial" w:hAnsi="Arial"/>
              </w:rPr>
              <w:t>Legal</w:t>
            </w:r>
            <w:r w:rsidRPr="004932AB">
              <w:rPr>
                <w:rFonts w:ascii="Arial" w:hAnsi="Arial"/>
              </w:rPr>
              <w:tab/>
            </w:r>
          </w:p>
        </w:tc>
        <w:tc>
          <w:tcPr>
            <w:tcW w:w="1408" w:type="dxa"/>
          </w:tcPr>
          <w:p w14:paraId="550FE19D" w14:textId="77777777" w:rsidR="004932AB" w:rsidRPr="004932AB" w:rsidRDefault="004932AB" w:rsidP="00607657">
            <w:pPr>
              <w:rPr>
                <w:rFonts w:ascii="Arial" w:hAnsi="Arial"/>
                <w:i/>
              </w:rPr>
            </w:pPr>
            <w:r w:rsidRPr="004932AB">
              <w:rPr>
                <w:rFonts w:ascii="Arial" w:hAnsi="Arial"/>
              </w:rPr>
              <w:t>1</w:t>
            </w:r>
          </w:p>
        </w:tc>
      </w:tr>
      <w:tr w:rsidR="004932AB" w:rsidRPr="004B637B" w14:paraId="4058CA90" w14:textId="77777777" w:rsidTr="00A847D4">
        <w:tc>
          <w:tcPr>
            <w:tcW w:w="3199" w:type="dxa"/>
          </w:tcPr>
          <w:p w14:paraId="426A4752" w14:textId="77777777" w:rsidR="004932AB" w:rsidRPr="004932AB" w:rsidRDefault="004932AB" w:rsidP="00607657">
            <w:pPr>
              <w:rPr>
                <w:rFonts w:ascii="Arial" w:hAnsi="Arial"/>
                <w:i/>
              </w:rPr>
            </w:pPr>
            <w:r w:rsidRPr="004932AB">
              <w:rPr>
                <w:rFonts w:ascii="Arial" w:hAnsi="Arial"/>
              </w:rPr>
              <w:t>Corporate support</w:t>
            </w:r>
          </w:p>
        </w:tc>
        <w:tc>
          <w:tcPr>
            <w:tcW w:w="1408" w:type="dxa"/>
          </w:tcPr>
          <w:p w14:paraId="023EDAB4" w14:textId="77777777" w:rsidR="004932AB" w:rsidRPr="004932AB" w:rsidRDefault="00896B84" w:rsidP="00607657">
            <w:pPr>
              <w:rPr>
                <w:rFonts w:ascii="Arial" w:hAnsi="Arial"/>
                <w:i/>
              </w:rPr>
            </w:pPr>
            <w:r>
              <w:rPr>
                <w:rFonts w:ascii="Arial" w:hAnsi="Arial"/>
              </w:rPr>
              <w:t>3</w:t>
            </w:r>
          </w:p>
        </w:tc>
      </w:tr>
      <w:tr w:rsidR="004932AB" w:rsidRPr="004B637B" w14:paraId="24AA9749" w14:textId="77777777" w:rsidTr="00A847D4">
        <w:tc>
          <w:tcPr>
            <w:tcW w:w="3199" w:type="dxa"/>
          </w:tcPr>
          <w:p w14:paraId="295FBF5F" w14:textId="77777777" w:rsidR="004932AB" w:rsidRPr="004932AB" w:rsidRDefault="004932AB" w:rsidP="00607657">
            <w:pPr>
              <w:rPr>
                <w:rFonts w:ascii="Arial" w:hAnsi="Arial"/>
                <w:i/>
              </w:rPr>
            </w:pPr>
            <w:r w:rsidRPr="004932AB">
              <w:rPr>
                <w:rFonts w:ascii="Arial" w:hAnsi="Arial"/>
              </w:rPr>
              <w:t>Information technology</w:t>
            </w:r>
          </w:p>
        </w:tc>
        <w:tc>
          <w:tcPr>
            <w:tcW w:w="1408" w:type="dxa"/>
          </w:tcPr>
          <w:p w14:paraId="593D6DD0" w14:textId="77777777" w:rsidR="004932AB" w:rsidRPr="004932AB" w:rsidRDefault="004932AB" w:rsidP="00607657">
            <w:pPr>
              <w:rPr>
                <w:rFonts w:ascii="Arial" w:hAnsi="Arial"/>
                <w:i/>
              </w:rPr>
            </w:pPr>
            <w:r w:rsidRPr="004932AB">
              <w:rPr>
                <w:rFonts w:ascii="Arial" w:hAnsi="Arial"/>
              </w:rPr>
              <w:t>1</w:t>
            </w:r>
          </w:p>
        </w:tc>
      </w:tr>
      <w:tr w:rsidR="004932AB" w:rsidRPr="004B637B" w14:paraId="02D6085A" w14:textId="77777777" w:rsidTr="00A847D4">
        <w:tc>
          <w:tcPr>
            <w:tcW w:w="3199" w:type="dxa"/>
          </w:tcPr>
          <w:p w14:paraId="3F7A9360" w14:textId="77777777" w:rsidR="004932AB" w:rsidRPr="004932AB" w:rsidRDefault="004932AB" w:rsidP="00607657">
            <w:pPr>
              <w:rPr>
                <w:rFonts w:ascii="Arial" w:hAnsi="Arial"/>
                <w:i/>
              </w:rPr>
            </w:pPr>
            <w:r w:rsidRPr="004932AB">
              <w:rPr>
                <w:rFonts w:ascii="Arial" w:hAnsi="Arial"/>
              </w:rPr>
              <w:t>Conciliation</w:t>
            </w:r>
          </w:p>
        </w:tc>
        <w:tc>
          <w:tcPr>
            <w:tcW w:w="1408" w:type="dxa"/>
          </w:tcPr>
          <w:p w14:paraId="5C74AB21" w14:textId="77777777" w:rsidR="004932AB" w:rsidRPr="004932AB" w:rsidRDefault="00896B84" w:rsidP="00607657">
            <w:pPr>
              <w:rPr>
                <w:rFonts w:ascii="Arial" w:hAnsi="Arial"/>
                <w:i/>
              </w:rPr>
            </w:pPr>
            <w:r>
              <w:rPr>
                <w:rFonts w:ascii="Arial" w:hAnsi="Arial"/>
              </w:rPr>
              <w:t>10</w:t>
            </w:r>
          </w:p>
        </w:tc>
      </w:tr>
      <w:tr w:rsidR="004932AB" w:rsidRPr="004B637B" w14:paraId="13FFF8A3" w14:textId="77777777" w:rsidTr="00A847D4">
        <w:tc>
          <w:tcPr>
            <w:tcW w:w="3199" w:type="dxa"/>
          </w:tcPr>
          <w:p w14:paraId="680B25BB" w14:textId="77777777" w:rsidR="004932AB" w:rsidRPr="004932AB" w:rsidRDefault="004932AB" w:rsidP="00607657">
            <w:pPr>
              <w:rPr>
                <w:rFonts w:ascii="Arial" w:hAnsi="Arial"/>
                <w:i/>
              </w:rPr>
            </w:pPr>
            <w:r w:rsidRPr="004932AB">
              <w:rPr>
                <w:rFonts w:ascii="Arial" w:hAnsi="Arial"/>
              </w:rPr>
              <w:t>Community relations</w:t>
            </w:r>
          </w:p>
        </w:tc>
        <w:tc>
          <w:tcPr>
            <w:tcW w:w="1408" w:type="dxa"/>
          </w:tcPr>
          <w:p w14:paraId="0EB36A41" w14:textId="77777777" w:rsidR="004932AB" w:rsidRPr="004932AB" w:rsidRDefault="00896B84" w:rsidP="00607657">
            <w:pPr>
              <w:rPr>
                <w:rFonts w:ascii="Arial" w:hAnsi="Arial"/>
                <w:i/>
              </w:rPr>
            </w:pPr>
            <w:r>
              <w:rPr>
                <w:rFonts w:ascii="Arial" w:hAnsi="Arial"/>
              </w:rPr>
              <w:t>8</w:t>
            </w:r>
          </w:p>
        </w:tc>
      </w:tr>
      <w:tr w:rsidR="004932AB" w:rsidRPr="004B637B" w14:paraId="141B220F" w14:textId="77777777" w:rsidTr="00A847D4">
        <w:tc>
          <w:tcPr>
            <w:tcW w:w="3199" w:type="dxa"/>
          </w:tcPr>
          <w:p w14:paraId="5DF24175" w14:textId="77777777" w:rsidR="004932AB" w:rsidRPr="004932AB" w:rsidRDefault="004932AB" w:rsidP="00607657">
            <w:pPr>
              <w:rPr>
                <w:rFonts w:ascii="Arial" w:hAnsi="Arial"/>
                <w:i/>
              </w:rPr>
            </w:pPr>
            <w:r w:rsidRPr="004932AB">
              <w:rPr>
                <w:rFonts w:ascii="Arial" w:hAnsi="Arial"/>
              </w:rPr>
              <w:t>Regional services</w:t>
            </w:r>
            <w:r w:rsidRPr="004932AB">
              <w:rPr>
                <w:rFonts w:ascii="Arial" w:hAnsi="Arial"/>
              </w:rPr>
              <w:tab/>
            </w:r>
          </w:p>
        </w:tc>
        <w:tc>
          <w:tcPr>
            <w:tcW w:w="1408" w:type="dxa"/>
          </w:tcPr>
          <w:p w14:paraId="31C600D8" w14:textId="77777777" w:rsidR="004932AB" w:rsidRPr="004932AB" w:rsidRDefault="00896B84" w:rsidP="00607657">
            <w:pPr>
              <w:rPr>
                <w:rFonts w:ascii="Arial" w:hAnsi="Arial"/>
                <w:i/>
              </w:rPr>
            </w:pPr>
            <w:r>
              <w:rPr>
                <w:rFonts w:ascii="Arial" w:hAnsi="Arial"/>
              </w:rPr>
              <w:t>9</w:t>
            </w:r>
          </w:p>
        </w:tc>
      </w:tr>
      <w:tr w:rsidR="004932AB" w:rsidRPr="00A847D4" w14:paraId="484700EC" w14:textId="77777777" w:rsidTr="00A847D4">
        <w:tc>
          <w:tcPr>
            <w:tcW w:w="3199" w:type="dxa"/>
          </w:tcPr>
          <w:p w14:paraId="6FF646C7" w14:textId="77777777" w:rsidR="004932AB" w:rsidRPr="00A847D4" w:rsidRDefault="004932AB" w:rsidP="00607657">
            <w:pPr>
              <w:rPr>
                <w:rFonts w:ascii="Arial" w:hAnsi="Arial"/>
                <w:b/>
                <w:i/>
              </w:rPr>
            </w:pPr>
            <w:r w:rsidRPr="00A847D4">
              <w:rPr>
                <w:rFonts w:ascii="Arial" w:hAnsi="Arial"/>
                <w:b/>
              </w:rPr>
              <w:t>Total</w:t>
            </w:r>
          </w:p>
        </w:tc>
        <w:tc>
          <w:tcPr>
            <w:tcW w:w="1408" w:type="dxa"/>
          </w:tcPr>
          <w:p w14:paraId="56063C60" w14:textId="77777777" w:rsidR="004932AB" w:rsidRPr="00A847D4" w:rsidRDefault="004932AB" w:rsidP="00607657">
            <w:pPr>
              <w:rPr>
                <w:rFonts w:ascii="Arial" w:hAnsi="Arial"/>
                <w:b/>
                <w:i/>
              </w:rPr>
            </w:pPr>
            <w:r w:rsidRPr="00A847D4">
              <w:rPr>
                <w:rFonts w:ascii="Arial" w:hAnsi="Arial"/>
                <w:b/>
              </w:rPr>
              <w:t>3</w:t>
            </w:r>
            <w:r w:rsidR="00D220C5" w:rsidRPr="00A847D4">
              <w:rPr>
                <w:rFonts w:ascii="Arial" w:hAnsi="Arial"/>
                <w:b/>
              </w:rPr>
              <w:t>5</w:t>
            </w:r>
          </w:p>
        </w:tc>
      </w:tr>
    </w:tbl>
    <w:p w14:paraId="66FB339A" w14:textId="77777777" w:rsidR="004932AB" w:rsidRDefault="004932AB" w:rsidP="004932AB">
      <w:pPr>
        <w:pStyle w:val="Caption"/>
        <w:rPr>
          <w:rFonts w:cs="Arial"/>
          <w:sz w:val="20"/>
        </w:rPr>
      </w:pPr>
      <w:bookmarkStart w:id="45" w:name="_Toc243207815"/>
    </w:p>
    <w:p w14:paraId="2A33CA17" w14:textId="1878D707" w:rsidR="004932AB" w:rsidRDefault="004932AB" w:rsidP="004932AB">
      <w:pPr>
        <w:pStyle w:val="Caption"/>
        <w:rPr>
          <w:rFonts w:cs="Arial"/>
          <w:sz w:val="20"/>
        </w:rPr>
      </w:pPr>
      <w:r w:rsidRPr="004C6CE6">
        <w:rPr>
          <w:rFonts w:cs="Arial"/>
          <w:sz w:val="20"/>
        </w:rPr>
        <w:t xml:space="preserve">Graph </w:t>
      </w:r>
      <w:r w:rsidRPr="004C6CE6">
        <w:rPr>
          <w:rFonts w:cs="Arial"/>
          <w:sz w:val="20"/>
        </w:rPr>
        <w:fldChar w:fldCharType="begin"/>
      </w:r>
      <w:r w:rsidRPr="004C6CE6">
        <w:rPr>
          <w:rFonts w:cs="Arial"/>
          <w:sz w:val="20"/>
        </w:rPr>
        <w:instrText xml:space="preserve"> SEQ Graph \* ARABIC </w:instrText>
      </w:r>
      <w:r w:rsidRPr="004C6CE6">
        <w:rPr>
          <w:rFonts w:cs="Arial"/>
          <w:sz w:val="20"/>
        </w:rPr>
        <w:fldChar w:fldCharType="separate"/>
      </w:r>
      <w:r w:rsidR="00B5590A">
        <w:rPr>
          <w:rFonts w:cs="Arial"/>
          <w:noProof/>
          <w:sz w:val="20"/>
        </w:rPr>
        <w:t>1</w:t>
      </w:r>
      <w:r w:rsidRPr="004C6CE6">
        <w:rPr>
          <w:rFonts w:cs="Arial"/>
          <w:sz w:val="20"/>
        </w:rPr>
        <w:fldChar w:fldCharType="end"/>
      </w:r>
      <w:r w:rsidR="00A847D4">
        <w:rPr>
          <w:rFonts w:cs="Arial"/>
          <w:sz w:val="20"/>
        </w:rPr>
        <w:t xml:space="preserve">: </w:t>
      </w:r>
      <w:r w:rsidRPr="004C6CE6">
        <w:rPr>
          <w:rFonts w:cs="Arial"/>
          <w:sz w:val="20"/>
        </w:rPr>
        <w:t>Employee profiles</w:t>
      </w:r>
      <w:bookmarkEnd w:id="45"/>
    </w:p>
    <w:p w14:paraId="6B5C3C27" w14:textId="77777777" w:rsidR="00D220C5" w:rsidRPr="00D220C5" w:rsidRDefault="00D220C5" w:rsidP="00607657">
      <w:pPr>
        <w:rPr>
          <w:i/>
        </w:rPr>
      </w:pPr>
      <w:r w:rsidRPr="00D220C5">
        <w:rPr>
          <w:i/>
          <w:noProof/>
          <w:lang w:eastAsia="en-AU"/>
        </w:rPr>
        <w:drawing>
          <wp:inline distT="0" distB="0" distL="0" distR="0" wp14:anchorId="71E8756E" wp14:editId="7DFCECB4">
            <wp:extent cx="3990975" cy="3381375"/>
            <wp:effectExtent l="0" t="0" r="0" b="0"/>
            <wp:docPr id="240" name="Chart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7C820D" w14:textId="77777777" w:rsidR="00D220C5" w:rsidRPr="00D220C5" w:rsidRDefault="00D220C5" w:rsidP="00D220C5">
      <w:pPr>
        <w:pStyle w:val="Heading2"/>
      </w:pPr>
      <w:bookmarkStart w:id="46" w:name="_Toc240787698"/>
      <w:bookmarkStart w:id="47" w:name="_Toc243284324"/>
      <w:bookmarkStart w:id="48" w:name="_Toc16854540"/>
      <w:bookmarkStart w:id="49" w:name="_Toc16855339"/>
      <w:bookmarkStart w:id="50" w:name="_Toc240787697"/>
      <w:r w:rsidRPr="00D220C5">
        <w:t xml:space="preserve">Shared </w:t>
      </w:r>
      <w:bookmarkEnd w:id="46"/>
      <w:r w:rsidRPr="00D220C5">
        <w:t>services</w:t>
      </w:r>
      <w:bookmarkEnd w:id="47"/>
      <w:bookmarkEnd w:id="48"/>
      <w:bookmarkEnd w:id="49"/>
    </w:p>
    <w:p w14:paraId="5F961D7D" w14:textId="77777777" w:rsidR="00D220C5" w:rsidRPr="00D220C5" w:rsidRDefault="00D220C5" w:rsidP="00607657">
      <w:pPr>
        <w:rPr>
          <w:i/>
        </w:rPr>
      </w:pPr>
      <w:r w:rsidRPr="00D220C5">
        <w:t>The ADCQ has service level agreements with the Department of Justice and Attorney-General and Queensland Shared Services for the provision of financial, human resource, internal audit and processing services. These arrangements benefit the ADCQ by providing a cost-effective processing environment and access to a greater range of skills than it can maintain internally given its size, and allows the organisation to focus on core business.</w:t>
      </w:r>
    </w:p>
    <w:p w14:paraId="4187D332" w14:textId="77777777" w:rsidR="00A847D4" w:rsidRDefault="00A847D4">
      <w:pPr>
        <w:rPr>
          <w:rFonts w:ascii="Century Gothic" w:hAnsi="Century Gothic" w:cstheme="minorHAnsi"/>
          <w:color w:val="3B4E98"/>
          <w:sz w:val="32"/>
          <w:szCs w:val="22"/>
        </w:rPr>
      </w:pPr>
      <w:bookmarkStart w:id="51" w:name="_Toc240787700"/>
      <w:bookmarkStart w:id="52" w:name="_Toc243284326"/>
      <w:bookmarkStart w:id="53" w:name="_Toc16854541"/>
      <w:bookmarkStart w:id="54" w:name="_Toc16855340"/>
      <w:r>
        <w:br w:type="page"/>
      </w:r>
    </w:p>
    <w:p w14:paraId="1CF62C6A" w14:textId="0F120649" w:rsidR="00D220C5" w:rsidRPr="00D220C5" w:rsidRDefault="00D220C5" w:rsidP="00D220C5">
      <w:pPr>
        <w:pStyle w:val="Heading2"/>
      </w:pPr>
      <w:r w:rsidRPr="00D220C5">
        <w:lastRenderedPageBreak/>
        <w:t xml:space="preserve">Statutory </w:t>
      </w:r>
      <w:bookmarkEnd w:id="51"/>
      <w:r w:rsidRPr="00D220C5">
        <w:t>obligations</w:t>
      </w:r>
      <w:bookmarkEnd w:id="52"/>
      <w:bookmarkEnd w:id="53"/>
      <w:bookmarkEnd w:id="54"/>
    </w:p>
    <w:p w14:paraId="2B12967B" w14:textId="77777777" w:rsidR="00D220C5" w:rsidRPr="00D220C5" w:rsidRDefault="00D220C5" w:rsidP="00321242">
      <w:pPr>
        <w:pStyle w:val="Heading3"/>
        <w:rPr>
          <w:lang w:val="fi"/>
        </w:rPr>
      </w:pPr>
      <w:r w:rsidRPr="00D220C5">
        <w:rPr>
          <w:lang w:val="fi"/>
        </w:rPr>
        <w:t>Ethical behaviour</w:t>
      </w:r>
    </w:p>
    <w:p w14:paraId="0323BA77" w14:textId="77777777" w:rsidR="00D220C5" w:rsidRPr="00D220C5" w:rsidRDefault="00D220C5" w:rsidP="00607657">
      <w:pPr>
        <w:rPr>
          <w:i/>
        </w:rPr>
      </w:pPr>
      <w:r w:rsidRPr="00D220C5">
        <w:t xml:space="preserve">Prior to 1 June 2011 the ADCQ developed a Code of Conduct in accordance with the requirements of the </w:t>
      </w:r>
      <w:r w:rsidRPr="008445E6">
        <w:t>Public Service Ethics Act 1994.</w:t>
      </w:r>
      <w:r w:rsidRPr="00D220C5">
        <w:t xml:space="preserve"> The code provided guidance on the way staff should behave in the workplace, and when representing the ADCQ outside the workplace, clearly explaining the standard of conduct expected of all employees.</w:t>
      </w:r>
    </w:p>
    <w:p w14:paraId="0CB5092D" w14:textId="77777777" w:rsidR="00D220C5" w:rsidRPr="00D220C5" w:rsidRDefault="00D220C5" w:rsidP="00607657">
      <w:pPr>
        <w:rPr>
          <w:i/>
        </w:rPr>
      </w:pPr>
      <w:r w:rsidRPr="00D220C5">
        <w:t xml:space="preserve">Amendments to the </w:t>
      </w:r>
      <w:r w:rsidRPr="008445E6">
        <w:t>Public Service Ethics Act 1994</w:t>
      </w:r>
      <w:r w:rsidRPr="00D220C5">
        <w:t xml:space="preserve"> (PSEA) in 2010 included the introduction of the Code of Conduct for the Queensland Public Service (the Code), applicable to all public service agencies.</w:t>
      </w:r>
      <w:r w:rsidR="00803E9C">
        <w:t xml:space="preserve"> </w:t>
      </w:r>
      <w:r w:rsidRPr="00D220C5">
        <w:t xml:space="preserve">The </w:t>
      </w:r>
      <w:r w:rsidRPr="008445E6">
        <w:t>Public Sector Ethics Amendment Regulation (No. 1) 2011</w:t>
      </w:r>
      <w:r w:rsidRPr="00D220C5">
        <w:t xml:space="preserve"> included the ADCQ in the definition of a public service agency, meaning that the Code applied to the ADCQ from 1 June 2011. </w:t>
      </w:r>
    </w:p>
    <w:p w14:paraId="182DC1B1" w14:textId="77777777" w:rsidR="00D220C5" w:rsidRPr="00D220C5" w:rsidRDefault="00D220C5" w:rsidP="00607657">
      <w:pPr>
        <w:rPr>
          <w:i/>
        </w:rPr>
      </w:pPr>
      <w:r w:rsidRPr="00D220C5">
        <w:t xml:space="preserve">The Code applies to every person employed by the ADCQ and breaches of the Code may be subject to appropriate disciplinary action as outlined in the </w:t>
      </w:r>
      <w:r w:rsidRPr="008445E6">
        <w:t>Public Service Act 2008.</w:t>
      </w:r>
    </w:p>
    <w:p w14:paraId="2E6C7291" w14:textId="61E47905" w:rsidR="00D220C5" w:rsidRPr="00D220C5" w:rsidRDefault="00D220C5" w:rsidP="00321242">
      <w:pPr>
        <w:pStyle w:val="Heading3"/>
        <w:rPr>
          <w:lang w:val="fi"/>
        </w:rPr>
      </w:pPr>
      <w:r w:rsidRPr="00D220C5">
        <w:rPr>
          <w:lang w:val="fi"/>
        </w:rPr>
        <w:t xml:space="preserve">Client </w:t>
      </w:r>
      <w:r w:rsidR="003A217D">
        <w:rPr>
          <w:lang w:val="fi"/>
        </w:rPr>
        <w:t>c</w:t>
      </w:r>
      <w:r w:rsidRPr="00D220C5">
        <w:rPr>
          <w:lang w:val="fi"/>
        </w:rPr>
        <w:t>omplaints</w:t>
      </w:r>
    </w:p>
    <w:p w14:paraId="1173F603" w14:textId="77777777" w:rsidR="00D220C5" w:rsidRDefault="00D220C5" w:rsidP="00607657">
      <w:pPr>
        <w:rPr>
          <w:i/>
        </w:rPr>
      </w:pPr>
      <w:r w:rsidRPr="00D220C5">
        <w:t>Seven complaints about ADCQ service delivery were received during 2018-19 – compared to five in 2017-18.</w:t>
      </w:r>
      <w:r w:rsidR="00803E9C">
        <w:t xml:space="preserve"> </w:t>
      </w:r>
      <w:r w:rsidRPr="00D220C5">
        <w:t>All complaints were resolved or partially resolved.</w:t>
      </w:r>
      <w:r w:rsidR="00803E9C">
        <w:t xml:space="preserve"> </w:t>
      </w:r>
      <w:r w:rsidRPr="00D220C5">
        <w:t>All complaints were investigated and managed in accordance with the policy and timeframes of the commission and none indicated the existence of any systemic problems.</w:t>
      </w:r>
    </w:p>
    <w:p w14:paraId="28B19E4E" w14:textId="77777777" w:rsidR="00D220C5" w:rsidRPr="00D220C5" w:rsidRDefault="00D220C5" w:rsidP="00D220C5">
      <w:pPr>
        <w:pStyle w:val="Heading2"/>
      </w:pPr>
      <w:bookmarkStart w:id="55" w:name="_Toc240787701"/>
      <w:bookmarkStart w:id="56" w:name="_Toc243284327"/>
      <w:bookmarkStart w:id="57" w:name="_Toc16854542"/>
      <w:bookmarkStart w:id="58" w:name="_Toc16855341"/>
      <w:r w:rsidRPr="00D220C5">
        <w:t>Information systems and recordkeeping</w:t>
      </w:r>
      <w:bookmarkEnd w:id="55"/>
      <w:bookmarkEnd w:id="56"/>
      <w:bookmarkEnd w:id="57"/>
      <w:bookmarkEnd w:id="58"/>
    </w:p>
    <w:p w14:paraId="4112E3ED" w14:textId="77777777" w:rsidR="00D220C5" w:rsidRPr="00D220C5" w:rsidRDefault="00D220C5" w:rsidP="00607657">
      <w:pPr>
        <w:rPr>
          <w:i/>
        </w:rPr>
      </w:pPr>
      <w:r w:rsidRPr="00D220C5">
        <w:t xml:space="preserve">The ADCQ recognises the significant value of its information resources to the achievement of corporate goals. Controls are implemented and monitored to safeguard the integrity, availability and confidentiality of information in order to maintain business continuity. Recordkeeping policies and systems are being reviewed to ensure they meet the accountability requirements of the </w:t>
      </w:r>
      <w:r w:rsidRPr="00607657">
        <w:rPr>
          <w:i/>
        </w:rPr>
        <w:t>Public Records Act 2002</w:t>
      </w:r>
      <w:r w:rsidRPr="00D220C5">
        <w:t xml:space="preserve">, as well as other whole-of-government policies and standards, including Information Standard 40: Recordkeeping. </w:t>
      </w:r>
    </w:p>
    <w:p w14:paraId="0CBEC52B" w14:textId="77777777" w:rsidR="00D220C5" w:rsidRPr="00D220C5" w:rsidRDefault="00D220C5" w:rsidP="00D220C5">
      <w:pPr>
        <w:pStyle w:val="Heading2"/>
      </w:pPr>
      <w:bookmarkStart w:id="59" w:name="_Toc240787703"/>
      <w:bookmarkStart w:id="60" w:name="_Toc243284329"/>
      <w:bookmarkStart w:id="61" w:name="_Toc16854543"/>
      <w:bookmarkStart w:id="62" w:name="_Toc16855342"/>
      <w:r w:rsidRPr="00D220C5">
        <w:t xml:space="preserve">Internal and external </w:t>
      </w:r>
      <w:bookmarkEnd w:id="59"/>
      <w:r w:rsidRPr="00D220C5">
        <w:t>audit</w:t>
      </w:r>
      <w:bookmarkEnd w:id="60"/>
      <w:bookmarkEnd w:id="61"/>
      <w:bookmarkEnd w:id="62"/>
    </w:p>
    <w:p w14:paraId="0D9EB820" w14:textId="77777777" w:rsidR="00D220C5" w:rsidRPr="00D220C5" w:rsidRDefault="00D220C5" w:rsidP="00607657">
      <w:pPr>
        <w:rPr>
          <w:i/>
        </w:rPr>
      </w:pPr>
      <w:r w:rsidRPr="00D220C5">
        <w:t>Internal audit services are provided on an “as needed” basis to the ADCQ under a service level agreement with the Department of Justice and Attorney-General. The size of the ADCQ is such that a formal Audit Committee is not required. The responsibilities associated with internal audit and the maintenance of an appropriate internal control framework are discharged by the Executive Leadership Team.</w:t>
      </w:r>
    </w:p>
    <w:p w14:paraId="1D0A4B44" w14:textId="77777777" w:rsidR="00D220C5" w:rsidRPr="00D220C5" w:rsidRDefault="00D220C5" w:rsidP="00607657">
      <w:pPr>
        <w:rPr>
          <w:i/>
        </w:rPr>
      </w:pPr>
      <w:r w:rsidRPr="00D220C5">
        <w:t xml:space="preserve">A copy of the external audit report and certificate of our financial statements are supplied with this report. The Auditor-General’s delegate has provided an unqualified certificate indicating the ADCQ’s compliance with financial </w:t>
      </w:r>
      <w:r w:rsidRPr="00D220C5">
        <w:lastRenderedPageBreak/>
        <w:t>management requirements and the accuracy and fairness of the financial statements.</w:t>
      </w:r>
    </w:p>
    <w:p w14:paraId="2EF6268D" w14:textId="77777777" w:rsidR="00D220C5" w:rsidRPr="00D220C5" w:rsidRDefault="00D220C5" w:rsidP="00D220C5">
      <w:pPr>
        <w:pStyle w:val="Heading2"/>
      </w:pPr>
      <w:bookmarkStart w:id="63" w:name="_Toc16854544"/>
      <w:bookmarkStart w:id="64" w:name="_Toc16855343"/>
      <w:r w:rsidRPr="00D220C5">
        <w:t>Risk management</w:t>
      </w:r>
      <w:bookmarkEnd w:id="63"/>
      <w:bookmarkEnd w:id="64"/>
    </w:p>
    <w:p w14:paraId="3431C790" w14:textId="77777777" w:rsidR="00D220C5" w:rsidRPr="00D220C5" w:rsidRDefault="00D220C5" w:rsidP="00607657">
      <w:pPr>
        <w:rPr>
          <w:i/>
        </w:rPr>
      </w:pPr>
      <w:r w:rsidRPr="00D220C5">
        <w:t>The ADCQ’s risk management framework ensures risk is managed as an integral part of decision-making, planning and service delivery. This practice aims to reduce vulnerability to internal and external incidents that limit the ADCQ’s ability to achieve strategic objectives and deliver services to the community. Key aspects of the risk management framework include:</w:t>
      </w:r>
    </w:p>
    <w:p w14:paraId="74C1BF11" w14:textId="77777777" w:rsidR="00D220C5" w:rsidRPr="00607657" w:rsidRDefault="00D220C5" w:rsidP="005329BF">
      <w:pPr>
        <w:pStyle w:val="ListParagraph"/>
        <w:numPr>
          <w:ilvl w:val="0"/>
          <w:numId w:val="38"/>
        </w:numPr>
        <w:rPr>
          <w:i/>
        </w:rPr>
      </w:pPr>
      <w:r w:rsidRPr="00D220C5">
        <w:t>maintenance of an effective system of internal control;</w:t>
      </w:r>
    </w:p>
    <w:p w14:paraId="47CBF49F" w14:textId="77777777" w:rsidR="00D220C5" w:rsidRPr="00607657" w:rsidRDefault="00D220C5" w:rsidP="005329BF">
      <w:pPr>
        <w:pStyle w:val="ListParagraph"/>
        <w:numPr>
          <w:ilvl w:val="0"/>
          <w:numId w:val="38"/>
        </w:numPr>
        <w:rPr>
          <w:i/>
        </w:rPr>
      </w:pPr>
      <w:r w:rsidRPr="00D220C5">
        <w:t>regular reporting of identified risks to the Executive Leadership Team;</w:t>
      </w:r>
    </w:p>
    <w:p w14:paraId="767464EE" w14:textId="77777777" w:rsidR="00D220C5" w:rsidRPr="00607657" w:rsidRDefault="00D220C5" w:rsidP="005329BF">
      <w:pPr>
        <w:pStyle w:val="ListParagraph"/>
        <w:numPr>
          <w:ilvl w:val="0"/>
          <w:numId w:val="38"/>
        </w:numPr>
        <w:rPr>
          <w:i/>
        </w:rPr>
      </w:pPr>
      <w:r w:rsidRPr="00D220C5">
        <w:t>physical security of ADCQ assets including security access to premises;</w:t>
      </w:r>
    </w:p>
    <w:p w14:paraId="6A50F140" w14:textId="77777777" w:rsidR="00D220C5" w:rsidRPr="00607657" w:rsidRDefault="00D220C5" w:rsidP="005329BF">
      <w:pPr>
        <w:pStyle w:val="ListParagraph"/>
        <w:numPr>
          <w:ilvl w:val="0"/>
          <w:numId w:val="38"/>
        </w:numPr>
        <w:rPr>
          <w:i/>
        </w:rPr>
      </w:pPr>
      <w:r w:rsidRPr="00D220C5">
        <w:t>maintenance of security over access to information through network security;</w:t>
      </w:r>
    </w:p>
    <w:p w14:paraId="3E440894" w14:textId="063D380A" w:rsidR="00D220C5" w:rsidRPr="00607657" w:rsidRDefault="00D220C5" w:rsidP="005329BF">
      <w:pPr>
        <w:pStyle w:val="ListParagraph"/>
        <w:numPr>
          <w:ilvl w:val="0"/>
          <w:numId w:val="38"/>
        </w:numPr>
        <w:rPr>
          <w:i/>
        </w:rPr>
      </w:pPr>
      <w:r w:rsidRPr="00D220C5">
        <w:t>investment in new information technology infrastructure;</w:t>
      </w:r>
      <w:r w:rsidR="003A217D">
        <w:t xml:space="preserve"> and</w:t>
      </w:r>
    </w:p>
    <w:p w14:paraId="5309F7EC" w14:textId="77777777" w:rsidR="00D220C5" w:rsidRPr="00607657" w:rsidRDefault="00D220C5" w:rsidP="005329BF">
      <w:pPr>
        <w:pStyle w:val="ListParagraph"/>
        <w:numPr>
          <w:ilvl w:val="0"/>
          <w:numId w:val="38"/>
        </w:numPr>
        <w:rPr>
          <w:i/>
        </w:rPr>
      </w:pPr>
      <w:r w:rsidRPr="00D220C5">
        <w:t>media monitoring and risk evaluation.</w:t>
      </w:r>
    </w:p>
    <w:p w14:paraId="4078F0A0" w14:textId="77777777" w:rsidR="00D220C5" w:rsidRPr="00D220C5" w:rsidRDefault="00D220C5" w:rsidP="00607657">
      <w:pPr>
        <w:rPr>
          <w:i/>
        </w:rPr>
      </w:pPr>
      <w:r w:rsidRPr="00D220C5">
        <w:t>The standard operating environment of the commission is Windows 10 and Office 2016 and all core software is supported by appropriate support agreements and software assurance.</w:t>
      </w:r>
      <w:r w:rsidR="00803E9C">
        <w:t xml:space="preserve"> </w:t>
      </w:r>
      <w:r w:rsidRPr="00D220C5">
        <w:t>The commission has migrated from laptops to Surface Pro 4s to reduce costs, enhance mobility and allow for business continuity in the event of natural disasters.</w:t>
      </w:r>
    </w:p>
    <w:p w14:paraId="7AB4066F" w14:textId="77777777" w:rsidR="00D220C5" w:rsidRPr="00D220C5" w:rsidRDefault="00D220C5" w:rsidP="00607657">
      <w:pPr>
        <w:rPr>
          <w:i/>
        </w:rPr>
      </w:pPr>
      <w:r w:rsidRPr="00D220C5">
        <w:t>The commission has migrated to a “cloud” based provision of computing and telecommunication services.</w:t>
      </w:r>
      <w:r w:rsidR="00803E9C">
        <w:t xml:space="preserve"> </w:t>
      </w:r>
      <w:r w:rsidRPr="00D220C5">
        <w:t>This approach reduces risks associated with in-house management of computing services and also reduces cost.</w:t>
      </w:r>
    </w:p>
    <w:p w14:paraId="6767C822" w14:textId="77777777" w:rsidR="00D220C5" w:rsidRPr="00D220C5" w:rsidRDefault="00D220C5" w:rsidP="00607657">
      <w:pPr>
        <w:rPr>
          <w:i/>
        </w:rPr>
      </w:pPr>
      <w:r w:rsidRPr="00D220C5">
        <w:t>The responsibilities associated with risk management are discharged by the Executive Leadership Team.</w:t>
      </w:r>
    </w:p>
    <w:p w14:paraId="1375AB47" w14:textId="2D54A5C9" w:rsidR="00D220C5" w:rsidRPr="00D220C5" w:rsidRDefault="00D220C5" w:rsidP="00D220C5">
      <w:pPr>
        <w:pStyle w:val="Heading2"/>
      </w:pPr>
      <w:bookmarkStart w:id="65" w:name="_Toc240787705"/>
      <w:bookmarkStart w:id="66" w:name="_Toc243284331"/>
      <w:bookmarkStart w:id="67" w:name="_Toc16854545"/>
      <w:bookmarkStart w:id="68" w:name="_Toc16855344"/>
      <w:r w:rsidRPr="00D220C5">
        <w:t>Consultancies</w:t>
      </w:r>
      <w:bookmarkEnd w:id="65"/>
      <w:bookmarkEnd w:id="66"/>
      <w:r w:rsidRPr="00D220C5">
        <w:t xml:space="preserve">, </w:t>
      </w:r>
      <w:r w:rsidR="003A217D">
        <w:t>o</w:t>
      </w:r>
      <w:r w:rsidRPr="00D220C5">
        <w:t xml:space="preserve">verseas </w:t>
      </w:r>
      <w:r w:rsidR="003A217D">
        <w:t>t</w:t>
      </w:r>
      <w:r w:rsidRPr="00D220C5">
        <w:t xml:space="preserve">ravel and </w:t>
      </w:r>
      <w:r w:rsidR="003A217D">
        <w:t>l</w:t>
      </w:r>
      <w:r w:rsidRPr="00D220C5">
        <w:t xml:space="preserve">anguage </w:t>
      </w:r>
      <w:r w:rsidR="003A217D">
        <w:t>s</w:t>
      </w:r>
      <w:r w:rsidRPr="00D220C5">
        <w:t>ervices</w:t>
      </w:r>
      <w:bookmarkEnd w:id="67"/>
      <w:bookmarkEnd w:id="68"/>
    </w:p>
    <w:p w14:paraId="24387DFD" w14:textId="77777777" w:rsidR="00D220C5" w:rsidRPr="00D220C5" w:rsidRDefault="00D220C5" w:rsidP="00607657">
      <w:pPr>
        <w:rPr>
          <w:i/>
        </w:rPr>
      </w:pPr>
      <w:r w:rsidRPr="00D220C5">
        <w:t xml:space="preserve">ADCQ did not engage any consultants during 2018–19. </w:t>
      </w:r>
    </w:p>
    <w:p w14:paraId="2646196B" w14:textId="77777777" w:rsidR="00D220C5" w:rsidRPr="00D220C5" w:rsidRDefault="00D220C5" w:rsidP="00607657">
      <w:pPr>
        <w:rPr>
          <w:i/>
        </w:rPr>
      </w:pPr>
      <w:r w:rsidRPr="00D220C5">
        <w:t>ADCQ staff did not undertake any overseas travel in 2018-19.</w:t>
      </w:r>
    </w:p>
    <w:p w14:paraId="6A49F4C9" w14:textId="77777777" w:rsidR="00D220C5" w:rsidRDefault="00D220C5" w:rsidP="00607657">
      <w:pPr>
        <w:rPr>
          <w:i/>
        </w:rPr>
      </w:pPr>
      <w:r w:rsidRPr="00D220C5">
        <w:t>ADCQ incurred approximately $8,500 in costs for interpreter and translator services in 2018-19.</w:t>
      </w:r>
      <w:r w:rsidR="00430565">
        <w:t xml:space="preserve"> Interpreters were engaged on 42 occasions providing the following interpretation services: </w:t>
      </w:r>
    </w:p>
    <w:p w14:paraId="3240B7D5" w14:textId="77777777" w:rsidR="00430565" w:rsidRPr="00607657" w:rsidRDefault="00430565" w:rsidP="005329BF">
      <w:pPr>
        <w:pStyle w:val="ListParagraph"/>
        <w:numPr>
          <w:ilvl w:val="0"/>
          <w:numId w:val="39"/>
        </w:numPr>
        <w:rPr>
          <w:i/>
        </w:rPr>
      </w:pPr>
      <w:r>
        <w:t>Arabic x 4</w:t>
      </w:r>
    </w:p>
    <w:p w14:paraId="77D94709" w14:textId="77777777" w:rsidR="00430565" w:rsidRPr="00607657" w:rsidRDefault="00430565" w:rsidP="005329BF">
      <w:pPr>
        <w:pStyle w:val="ListParagraph"/>
        <w:numPr>
          <w:ilvl w:val="0"/>
          <w:numId w:val="39"/>
        </w:numPr>
        <w:rPr>
          <w:i/>
        </w:rPr>
      </w:pPr>
      <w:r>
        <w:t>Auslan x 7</w:t>
      </w:r>
    </w:p>
    <w:p w14:paraId="65870A3F" w14:textId="77777777" w:rsidR="00430565" w:rsidRPr="00607657" w:rsidRDefault="00430565" w:rsidP="005329BF">
      <w:pPr>
        <w:pStyle w:val="ListParagraph"/>
        <w:numPr>
          <w:ilvl w:val="0"/>
          <w:numId w:val="39"/>
        </w:numPr>
        <w:rPr>
          <w:i/>
        </w:rPr>
      </w:pPr>
      <w:r>
        <w:t>Mandarin x 6</w:t>
      </w:r>
    </w:p>
    <w:p w14:paraId="08A0F4F9" w14:textId="77777777" w:rsidR="00430565" w:rsidRPr="00607657" w:rsidRDefault="00430565" w:rsidP="005329BF">
      <w:pPr>
        <w:pStyle w:val="ListParagraph"/>
        <w:numPr>
          <w:ilvl w:val="0"/>
          <w:numId w:val="39"/>
        </w:numPr>
        <w:rPr>
          <w:i/>
        </w:rPr>
      </w:pPr>
      <w:r>
        <w:t>Spanish x 10</w:t>
      </w:r>
    </w:p>
    <w:p w14:paraId="21E29F05" w14:textId="77777777" w:rsidR="00430565" w:rsidRPr="00607657" w:rsidRDefault="00430565" w:rsidP="005329BF">
      <w:pPr>
        <w:pStyle w:val="ListParagraph"/>
        <w:numPr>
          <w:ilvl w:val="0"/>
          <w:numId w:val="39"/>
        </w:numPr>
        <w:rPr>
          <w:i/>
        </w:rPr>
      </w:pPr>
      <w:r>
        <w:t>Korean x 7</w:t>
      </w:r>
    </w:p>
    <w:p w14:paraId="0DFB3CE4" w14:textId="77777777" w:rsidR="00430565" w:rsidRPr="00607657" w:rsidRDefault="00430565" w:rsidP="005329BF">
      <w:pPr>
        <w:pStyle w:val="ListParagraph"/>
        <w:numPr>
          <w:ilvl w:val="0"/>
          <w:numId w:val="39"/>
        </w:numPr>
        <w:rPr>
          <w:i/>
        </w:rPr>
      </w:pPr>
      <w:r>
        <w:t>Thai x 1</w:t>
      </w:r>
    </w:p>
    <w:p w14:paraId="7A5BA189" w14:textId="77777777" w:rsidR="00430565" w:rsidRPr="00607657" w:rsidRDefault="00430565" w:rsidP="005329BF">
      <w:pPr>
        <w:pStyle w:val="ListParagraph"/>
        <w:numPr>
          <w:ilvl w:val="0"/>
          <w:numId w:val="39"/>
        </w:numPr>
        <w:rPr>
          <w:i/>
        </w:rPr>
      </w:pPr>
      <w:r>
        <w:t>Tamil x 1</w:t>
      </w:r>
    </w:p>
    <w:p w14:paraId="2850F324" w14:textId="77777777" w:rsidR="00430565" w:rsidRPr="00607657" w:rsidRDefault="00430565" w:rsidP="005329BF">
      <w:pPr>
        <w:pStyle w:val="ListParagraph"/>
        <w:numPr>
          <w:ilvl w:val="0"/>
          <w:numId w:val="39"/>
        </w:numPr>
        <w:rPr>
          <w:i/>
        </w:rPr>
      </w:pPr>
      <w:r>
        <w:lastRenderedPageBreak/>
        <w:t>Tigrinya x 1</w:t>
      </w:r>
    </w:p>
    <w:p w14:paraId="448C74FC" w14:textId="77777777" w:rsidR="00430565" w:rsidRPr="00607657" w:rsidRDefault="00430565" w:rsidP="005329BF">
      <w:pPr>
        <w:pStyle w:val="ListParagraph"/>
        <w:numPr>
          <w:ilvl w:val="0"/>
          <w:numId w:val="39"/>
        </w:numPr>
        <w:rPr>
          <w:i/>
        </w:rPr>
      </w:pPr>
      <w:r>
        <w:t>Somali x 1</w:t>
      </w:r>
    </w:p>
    <w:p w14:paraId="5B70B745" w14:textId="77777777" w:rsidR="00430565" w:rsidRPr="00607657" w:rsidRDefault="00430565" w:rsidP="005329BF">
      <w:pPr>
        <w:pStyle w:val="ListParagraph"/>
        <w:numPr>
          <w:ilvl w:val="0"/>
          <w:numId w:val="39"/>
        </w:numPr>
        <w:rPr>
          <w:i/>
        </w:rPr>
      </w:pPr>
      <w:r>
        <w:t>Chinese x 2</w:t>
      </w:r>
    </w:p>
    <w:p w14:paraId="0E33B619" w14:textId="77777777" w:rsidR="00430565" w:rsidRPr="00607657" w:rsidRDefault="00430565" w:rsidP="005329BF">
      <w:pPr>
        <w:pStyle w:val="ListParagraph"/>
        <w:numPr>
          <w:ilvl w:val="0"/>
          <w:numId w:val="39"/>
        </w:numPr>
        <w:rPr>
          <w:i/>
        </w:rPr>
      </w:pPr>
      <w:r>
        <w:t>Amharic x 1</w:t>
      </w:r>
    </w:p>
    <w:p w14:paraId="70DDA35D" w14:textId="77777777" w:rsidR="00430565" w:rsidRPr="00607657" w:rsidRDefault="00430565" w:rsidP="005329BF">
      <w:pPr>
        <w:pStyle w:val="ListParagraph"/>
        <w:numPr>
          <w:ilvl w:val="0"/>
          <w:numId w:val="39"/>
        </w:numPr>
        <w:rPr>
          <w:i/>
        </w:rPr>
      </w:pPr>
      <w:r>
        <w:t>Punjabi x 1</w:t>
      </w:r>
    </w:p>
    <w:p w14:paraId="01D10F2A" w14:textId="77777777" w:rsidR="00D220C5" w:rsidRPr="00D220C5" w:rsidRDefault="00D220C5" w:rsidP="00D220C5">
      <w:pPr>
        <w:pStyle w:val="Heading2"/>
      </w:pPr>
      <w:bookmarkStart w:id="69" w:name="_Toc16854546"/>
      <w:bookmarkStart w:id="70" w:name="_Toc16855345"/>
      <w:r w:rsidRPr="00D220C5">
        <w:t>Early retirement, redundancy and retrenchment</w:t>
      </w:r>
      <w:bookmarkEnd w:id="69"/>
      <w:bookmarkEnd w:id="70"/>
    </w:p>
    <w:p w14:paraId="4C3F72C8" w14:textId="77777777" w:rsidR="00D220C5" w:rsidRDefault="00D220C5" w:rsidP="00607657">
      <w:pPr>
        <w:rPr>
          <w:i/>
        </w:rPr>
      </w:pPr>
      <w:r w:rsidRPr="00D220C5">
        <w:t xml:space="preserve">The ADCQ made no payments of this nature during 2018-19. </w:t>
      </w:r>
    </w:p>
    <w:p w14:paraId="39234929" w14:textId="77777777" w:rsidR="00AB3649" w:rsidRPr="00D220C5" w:rsidRDefault="00AB3649" w:rsidP="00607657">
      <w:pPr>
        <w:rPr>
          <w:i/>
        </w:rPr>
      </w:pPr>
      <w:r>
        <w:t xml:space="preserve">The above information relating to consultancies, overseas travel and language services is also available at </w:t>
      </w:r>
      <w:hyperlink r:id="rId24" w:history="1">
        <w:r w:rsidRPr="00516449">
          <w:rPr>
            <w:rStyle w:val="Hyperlink"/>
            <w:rFonts w:cstheme="minorHAnsi"/>
            <w:sz w:val="22"/>
            <w:szCs w:val="22"/>
          </w:rPr>
          <w:t>https://data.qld.gov.au</w:t>
        </w:r>
      </w:hyperlink>
      <w:r>
        <w:t xml:space="preserve">. </w:t>
      </w:r>
    </w:p>
    <w:p w14:paraId="19BA86F5" w14:textId="77777777" w:rsidR="00E371F5" w:rsidRPr="00663979" w:rsidRDefault="00D220C5" w:rsidP="00A75186">
      <w:pPr>
        <w:pStyle w:val="Heading1"/>
      </w:pPr>
      <w:bookmarkStart w:id="71" w:name="_Toc240787706"/>
      <w:bookmarkStart w:id="72" w:name="_Toc242069892"/>
      <w:bookmarkStart w:id="73" w:name="_Toc243284332"/>
      <w:bookmarkStart w:id="74" w:name="_Toc366487307"/>
      <w:bookmarkStart w:id="75" w:name="_Toc397345685"/>
      <w:bookmarkStart w:id="76" w:name="_Toc16855346"/>
      <w:bookmarkEnd w:id="50"/>
      <w:r>
        <w:lastRenderedPageBreak/>
        <w:t>S</w:t>
      </w:r>
      <w:r w:rsidR="00E371F5" w:rsidRPr="00663979">
        <w:t>ummary of financial information</w:t>
      </w:r>
      <w:bookmarkEnd w:id="71"/>
      <w:bookmarkEnd w:id="72"/>
      <w:bookmarkEnd w:id="73"/>
      <w:bookmarkEnd w:id="74"/>
      <w:bookmarkEnd w:id="75"/>
      <w:bookmarkEnd w:id="76"/>
    </w:p>
    <w:p w14:paraId="23D82F69" w14:textId="67E75797" w:rsidR="004932AB" w:rsidRDefault="004932AB" w:rsidP="00321242">
      <w:pPr>
        <w:pStyle w:val="Heading2"/>
      </w:pPr>
      <w:bookmarkStart w:id="77" w:name="_Toc243207816"/>
      <w:bookmarkStart w:id="78" w:name="_Toc240787709"/>
      <w:bookmarkStart w:id="79" w:name="_Toc240787711"/>
      <w:bookmarkStart w:id="80" w:name="_Toc243284339"/>
      <w:r>
        <w:t>Summary of financial information overview</w:t>
      </w:r>
    </w:p>
    <w:p w14:paraId="379F90C8" w14:textId="7929C652" w:rsidR="00D220C5" w:rsidRPr="00D220C5" w:rsidRDefault="00D220C5" w:rsidP="005329BF">
      <w:pPr>
        <w:rPr>
          <w:i/>
        </w:rPr>
      </w:pPr>
      <w:r w:rsidRPr="00D220C5">
        <w:t>The operating result for the ADCQ for 2018–19 was a surplus of approximately $60</w:t>
      </w:r>
      <w:r w:rsidR="00192FB0">
        <w:t>,</w:t>
      </w:r>
      <w:r w:rsidRPr="00D220C5">
        <w:t>000.</w:t>
      </w:r>
      <w:r w:rsidR="00803E9C">
        <w:t xml:space="preserve"> </w:t>
      </w:r>
    </w:p>
    <w:p w14:paraId="7F8226FD" w14:textId="77777777" w:rsidR="00D220C5" w:rsidRPr="00D220C5" w:rsidRDefault="00D220C5" w:rsidP="005329BF">
      <w:pPr>
        <w:rPr>
          <w:i/>
        </w:rPr>
      </w:pPr>
      <w:r w:rsidRPr="00D220C5">
        <w:t xml:space="preserve">The surplus was mainly due to delays in finalising investments to support the implementation of the </w:t>
      </w:r>
      <w:r w:rsidRPr="004D4981">
        <w:rPr>
          <w:i/>
        </w:rPr>
        <w:t>Human Rights Act 2019</w:t>
      </w:r>
      <w:r w:rsidRPr="008445E6">
        <w:t>.</w:t>
      </w:r>
      <w:r w:rsidRPr="00D220C5">
        <w:t xml:space="preserve"> </w:t>
      </w:r>
    </w:p>
    <w:p w14:paraId="3F1EAC0D" w14:textId="77777777" w:rsidR="00D220C5" w:rsidRPr="00D220C5" w:rsidRDefault="00D220C5" w:rsidP="005329BF">
      <w:pPr>
        <w:rPr>
          <w:i/>
        </w:rPr>
      </w:pPr>
      <w:r w:rsidRPr="00D220C5">
        <w:t xml:space="preserve">Performance in the remaining budget areas was sound. </w:t>
      </w:r>
    </w:p>
    <w:p w14:paraId="16BB372E" w14:textId="77777777" w:rsidR="00D220C5" w:rsidRPr="00D220C5" w:rsidRDefault="00D220C5" w:rsidP="005329BF">
      <w:pPr>
        <w:rPr>
          <w:i/>
        </w:rPr>
      </w:pPr>
      <w:r w:rsidRPr="00D220C5">
        <w:t>The major activities undertaken during the year include:</w:t>
      </w:r>
    </w:p>
    <w:p w14:paraId="2740ABFD" w14:textId="77777777" w:rsidR="00D220C5" w:rsidRPr="005329BF" w:rsidRDefault="00D220C5" w:rsidP="005329BF">
      <w:pPr>
        <w:pStyle w:val="ListParagraph"/>
        <w:numPr>
          <w:ilvl w:val="0"/>
          <w:numId w:val="40"/>
        </w:numPr>
        <w:rPr>
          <w:i/>
        </w:rPr>
      </w:pPr>
      <w:r w:rsidRPr="00D220C5">
        <w:t>Transitioning to the Queensland Human Rights Commission in preparation for its commencement on 1 July 2019 which involved a minor restructure, rebranding, the development of educational and promotional resources as well as system changes to support new functions;</w:t>
      </w:r>
    </w:p>
    <w:p w14:paraId="7712DF4D" w14:textId="77777777" w:rsidR="00D220C5" w:rsidRPr="005329BF" w:rsidRDefault="00D220C5" w:rsidP="005329BF">
      <w:pPr>
        <w:pStyle w:val="ListParagraph"/>
        <w:numPr>
          <w:ilvl w:val="0"/>
          <w:numId w:val="40"/>
        </w:numPr>
        <w:rPr>
          <w:i/>
        </w:rPr>
      </w:pPr>
      <w:r w:rsidRPr="00D220C5">
        <w:t>Fitting out the new Cairns Regional Office;</w:t>
      </w:r>
    </w:p>
    <w:p w14:paraId="2A0D775F" w14:textId="750A3A2D" w:rsidR="00D220C5" w:rsidRPr="005329BF" w:rsidRDefault="00D220C5" w:rsidP="005329BF">
      <w:pPr>
        <w:pStyle w:val="ListParagraph"/>
        <w:numPr>
          <w:ilvl w:val="0"/>
          <w:numId w:val="40"/>
        </w:numPr>
        <w:rPr>
          <w:i/>
        </w:rPr>
      </w:pPr>
      <w:r w:rsidRPr="00D220C5">
        <w:t>Co-host</w:t>
      </w:r>
      <w:r w:rsidR="003A217D">
        <w:t>ing</w:t>
      </w:r>
      <w:r w:rsidRPr="00D220C5">
        <w:t xml:space="preserve"> the bi</w:t>
      </w:r>
      <w:r w:rsidR="001A73AA">
        <w:t>ennial</w:t>
      </w:r>
      <w:r w:rsidRPr="00D220C5">
        <w:t xml:space="preserve"> Mabo Oration with QPAC; </w:t>
      </w:r>
    </w:p>
    <w:p w14:paraId="61A94EA7" w14:textId="3C9CE4DA" w:rsidR="00D220C5" w:rsidRPr="005329BF" w:rsidRDefault="00D220C5" w:rsidP="005329BF">
      <w:pPr>
        <w:pStyle w:val="ListParagraph"/>
        <w:numPr>
          <w:ilvl w:val="0"/>
          <w:numId w:val="40"/>
        </w:numPr>
        <w:rPr>
          <w:i/>
        </w:rPr>
      </w:pPr>
      <w:r w:rsidRPr="00D220C5">
        <w:t>Manag</w:t>
      </w:r>
      <w:r w:rsidR="003A217D">
        <w:t>ing</w:t>
      </w:r>
      <w:r w:rsidRPr="00D220C5">
        <w:t xml:space="preserve"> a significant increase in complaint numbers whilst achieving most targets.</w:t>
      </w:r>
    </w:p>
    <w:p w14:paraId="7713FA79" w14:textId="77777777" w:rsidR="00D220C5" w:rsidRPr="00D220C5" w:rsidRDefault="00D220C5" w:rsidP="005329BF">
      <w:pPr>
        <w:rPr>
          <w:i/>
        </w:rPr>
      </w:pPr>
      <w:r w:rsidRPr="00D220C5">
        <w:t xml:space="preserve">The financial effects of these major activities are provided in detail in the audited financial statements provided with this report and on the ADCQ’s website (www.qhrc.qld.gov.au). </w:t>
      </w:r>
    </w:p>
    <w:p w14:paraId="54ECA5E4" w14:textId="77777777" w:rsidR="000F0A75" w:rsidRDefault="000F0A75" w:rsidP="00321242">
      <w:pPr>
        <w:pStyle w:val="Heading2"/>
      </w:pPr>
      <w:r>
        <w:t>The ADCQ’s financial position</w:t>
      </w:r>
    </w:p>
    <w:p w14:paraId="15A4F4B2" w14:textId="77777777" w:rsidR="00D220C5" w:rsidRDefault="00D220C5" w:rsidP="005329BF">
      <w:r w:rsidRPr="00D220C5">
        <w:t xml:space="preserve">The financial position provides an indication of the ADCQ’s underlying financial health, or net worth, at 30 June 2019. This provides a measure of our equity level. ADCQ’s assets at 30 June 2019 were $1.6 million and liabilities were $0.5 million, resulting in a total equity of $1.1 million. The increase in net worth is the largely the result of delays in finalising investments to support the implementation of the </w:t>
      </w:r>
      <w:r w:rsidRPr="004D4981">
        <w:rPr>
          <w:i/>
        </w:rPr>
        <w:t>Human Rights Act 2019</w:t>
      </w:r>
      <w:r w:rsidRPr="00D220C5">
        <w:t>.</w:t>
      </w:r>
      <w:r w:rsidR="00803E9C">
        <w:t xml:space="preserve"> </w:t>
      </w:r>
      <w:r w:rsidRPr="00D220C5">
        <w:t>These investments will be finalised in the 2019-20 financial year.</w:t>
      </w:r>
      <w:r w:rsidR="00803E9C">
        <w:t xml:space="preserve"> </w:t>
      </w:r>
      <w:r w:rsidRPr="00D220C5">
        <w:t>The ADCQ’s financial position remains strong</w:t>
      </w:r>
      <w:r w:rsidRPr="0007463F">
        <w:t>.</w:t>
      </w:r>
      <w:r w:rsidR="00803E9C">
        <w:t xml:space="preserve"> </w:t>
      </w:r>
    </w:p>
    <w:p w14:paraId="3338B8C4" w14:textId="77777777" w:rsidR="00A847D4" w:rsidRDefault="00A847D4">
      <w:pPr>
        <w:rPr>
          <w:b/>
          <w:bCs/>
          <w:i/>
          <w:color w:val="3B4E98"/>
          <w:szCs w:val="18"/>
        </w:rPr>
      </w:pPr>
      <w:r>
        <w:br w:type="page"/>
      </w:r>
    </w:p>
    <w:p w14:paraId="25BA4E8F" w14:textId="173F7E5D" w:rsidR="000F0A75" w:rsidRPr="0007463F" w:rsidRDefault="000F0A75" w:rsidP="000F0A75">
      <w:pPr>
        <w:pStyle w:val="Caption"/>
        <w:rPr>
          <w:sz w:val="20"/>
        </w:rPr>
      </w:pPr>
      <w:r w:rsidRPr="00C163E5">
        <w:rPr>
          <w:sz w:val="20"/>
        </w:rPr>
        <w:lastRenderedPageBreak/>
        <w:t xml:space="preserve">Graph </w:t>
      </w:r>
      <w:r w:rsidRPr="00C163E5">
        <w:rPr>
          <w:sz w:val="20"/>
        </w:rPr>
        <w:fldChar w:fldCharType="begin"/>
      </w:r>
      <w:r w:rsidRPr="00C163E5">
        <w:rPr>
          <w:sz w:val="20"/>
        </w:rPr>
        <w:instrText xml:space="preserve"> SEQ Graph \* ARABIC </w:instrText>
      </w:r>
      <w:r w:rsidRPr="00C163E5">
        <w:rPr>
          <w:sz w:val="20"/>
        </w:rPr>
        <w:fldChar w:fldCharType="separate"/>
      </w:r>
      <w:r w:rsidR="00B5590A">
        <w:rPr>
          <w:noProof/>
          <w:sz w:val="20"/>
        </w:rPr>
        <w:t>2</w:t>
      </w:r>
      <w:r w:rsidRPr="00C163E5">
        <w:rPr>
          <w:sz w:val="20"/>
        </w:rPr>
        <w:fldChar w:fldCharType="end"/>
      </w:r>
      <w:r w:rsidR="00A847D4">
        <w:rPr>
          <w:sz w:val="20"/>
        </w:rPr>
        <w:t>:</w:t>
      </w:r>
      <w:r w:rsidRPr="00C163E5">
        <w:rPr>
          <w:sz w:val="20"/>
        </w:rPr>
        <w:t xml:space="preserve"> Net worth</w:t>
      </w:r>
    </w:p>
    <w:p w14:paraId="77648D4D" w14:textId="77777777" w:rsidR="000F0A75" w:rsidRPr="000F0A75" w:rsidRDefault="00D220C5" w:rsidP="00A847D4">
      <w:pPr>
        <w:spacing w:after="240"/>
        <w:rPr>
          <w:rFonts w:ascii="Arial" w:hAnsi="Arial" w:cs="Arial"/>
          <w:i/>
          <w:sz w:val="22"/>
          <w:szCs w:val="22"/>
        </w:rPr>
      </w:pPr>
      <w:r>
        <w:rPr>
          <w:noProof/>
          <w:lang w:eastAsia="en-AU"/>
        </w:rPr>
        <w:drawing>
          <wp:inline distT="0" distB="0" distL="0" distR="0" wp14:anchorId="2C4A1AB3" wp14:editId="6205A7DC">
            <wp:extent cx="3962400" cy="3752850"/>
            <wp:effectExtent l="0" t="0" r="0" b="0"/>
            <wp:docPr id="241" name="Chart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8DBC81" w14:textId="77777777" w:rsidR="00D220C5" w:rsidRPr="00752AD9" w:rsidRDefault="00D220C5" w:rsidP="00D220C5">
      <w:pPr>
        <w:pStyle w:val="Heading2"/>
      </w:pPr>
      <w:bookmarkStart w:id="81" w:name="_Toc243284335"/>
      <w:bookmarkStart w:id="82" w:name="_Toc16854548"/>
      <w:bookmarkStart w:id="83" w:name="_Toc16855347"/>
      <w:r w:rsidRPr="00752AD9">
        <w:t>Financial performance</w:t>
      </w:r>
      <w:bookmarkEnd w:id="81"/>
      <w:bookmarkEnd w:id="82"/>
      <w:bookmarkEnd w:id="83"/>
    </w:p>
    <w:p w14:paraId="438592AE" w14:textId="77777777" w:rsidR="00D220C5" w:rsidRPr="00D220C5" w:rsidRDefault="00D220C5" w:rsidP="005329BF">
      <w:pPr>
        <w:rPr>
          <w:i/>
        </w:rPr>
      </w:pPr>
      <w:r w:rsidRPr="00D220C5">
        <w:t>The Income Statement shows the total income for 2018–19 as $6.082 million and expenditure as $6.022 million. The ADCQ finished the year with an operating surplus of approximately $60,000.</w:t>
      </w:r>
      <w:r w:rsidR="00803E9C">
        <w:t xml:space="preserve"> </w:t>
      </w:r>
      <w:r w:rsidRPr="00D220C5">
        <w:t xml:space="preserve">The surplus mainly relates to delays in finalising investments to support the implementation of the </w:t>
      </w:r>
      <w:r w:rsidRPr="005329BF">
        <w:rPr>
          <w:i/>
        </w:rPr>
        <w:t>Human Rights Act 2019</w:t>
      </w:r>
      <w:r w:rsidRPr="00D220C5">
        <w:t>.</w:t>
      </w:r>
      <w:r w:rsidR="00803E9C">
        <w:t xml:space="preserve"> </w:t>
      </w:r>
    </w:p>
    <w:p w14:paraId="7658F3AD" w14:textId="77777777" w:rsidR="00D220C5" w:rsidRPr="00D220C5" w:rsidRDefault="00D220C5" w:rsidP="00D220C5">
      <w:pPr>
        <w:pStyle w:val="Heading2"/>
      </w:pPr>
      <w:bookmarkStart w:id="84" w:name="_Toc243284336"/>
      <w:bookmarkStart w:id="85" w:name="_Toc16854549"/>
      <w:bookmarkStart w:id="86" w:name="_Toc16855348"/>
      <w:r w:rsidRPr="00D220C5">
        <w:t>Income</w:t>
      </w:r>
      <w:bookmarkEnd w:id="84"/>
      <w:bookmarkEnd w:id="85"/>
      <w:bookmarkEnd w:id="86"/>
      <w:r w:rsidRPr="00D220C5">
        <w:t xml:space="preserve"> </w:t>
      </w:r>
    </w:p>
    <w:p w14:paraId="4D892537" w14:textId="77777777" w:rsidR="00D220C5" w:rsidRPr="00752AD9" w:rsidRDefault="00D220C5" w:rsidP="005329BF">
      <w:r w:rsidRPr="00D220C5">
        <w:rPr>
          <w:noProof/>
        </w:rPr>
        <w:t>The</w:t>
      </w:r>
      <w:r w:rsidRPr="00D220C5">
        <w:t xml:space="preserve"> ADCQ derives most of its income from the Queensland Government, through a grant paid by the Department of Justice and Attorney-General. The ADCQ also generates funds through investment of surplus cash in interest bearing deposits and the provision of training on a fee-for-service basis.</w:t>
      </w:r>
      <w:r w:rsidRPr="00752AD9">
        <w:t xml:space="preserve"> </w:t>
      </w:r>
    </w:p>
    <w:p w14:paraId="793DD381" w14:textId="77777777" w:rsidR="00A847D4" w:rsidRDefault="00A847D4">
      <w:pPr>
        <w:rPr>
          <w:b/>
          <w:bCs/>
          <w:i/>
          <w:color w:val="3B4E98"/>
          <w:szCs w:val="18"/>
        </w:rPr>
      </w:pPr>
      <w:bookmarkStart w:id="87" w:name="_Toc243207817"/>
      <w:r>
        <w:br w:type="page"/>
      </w:r>
    </w:p>
    <w:p w14:paraId="21658214" w14:textId="33F072E8" w:rsidR="000F0A75" w:rsidRDefault="000F0A75" w:rsidP="000F0A75">
      <w:pPr>
        <w:pStyle w:val="Caption"/>
        <w:rPr>
          <w:sz w:val="20"/>
        </w:rPr>
      </w:pPr>
      <w:r w:rsidRPr="005037F7">
        <w:rPr>
          <w:sz w:val="20"/>
        </w:rPr>
        <w:lastRenderedPageBreak/>
        <w:t xml:space="preserve">Graph </w:t>
      </w:r>
      <w:r w:rsidRPr="005037F7">
        <w:rPr>
          <w:sz w:val="20"/>
        </w:rPr>
        <w:fldChar w:fldCharType="begin"/>
      </w:r>
      <w:r w:rsidRPr="005037F7">
        <w:rPr>
          <w:sz w:val="20"/>
        </w:rPr>
        <w:instrText xml:space="preserve"> SEQ Graph \* ARABIC </w:instrText>
      </w:r>
      <w:r w:rsidRPr="005037F7">
        <w:rPr>
          <w:sz w:val="20"/>
        </w:rPr>
        <w:fldChar w:fldCharType="separate"/>
      </w:r>
      <w:r w:rsidR="00B5590A">
        <w:rPr>
          <w:noProof/>
          <w:sz w:val="20"/>
        </w:rPr>
        <w:t>3</w:t>
      </w:r>
      <w:r w:rsidRPr="005037F7">
        <w:rPr>
          <w:sz w:val="20"/>
        </w:rPr>
        <w:fldChar w:fldCharType="end"/>
      </w:r>
      <w:r w:rsidR="00A847D4">
        <w:rPr>
          <w:sz w:val="20"/>
        </w:rPr>
        <w:t>:</w:t>
      </w:r>
      <w:r>
        <w:rPr>
          <w:sz w:val="20"/>
        </w:rPr>
        <w:t xml:space="preserve"> </w:t>
      </w:r>
      <w:r w:rsidRPr="005037F7">
        <w:rPr>
          <w:sz w:val="20"/>
        </w:rPr>
        <w:t>Source of funds 201</w:t>
      </w:r>
      <w:r w:rsidR="00D220C5">
        <w:rPr>
          <w:sz w:val="20"/>
        </w:rPr>
        <w:t>8</w:t>
      </w:r>
      <w:r w:rsidRPr="005037F7">
        <w:rPr>
          <w:sz w:val="20"/>
        </w:rPr>
        <w:t>–1</w:t>
      </w:r>
      <w:bookmarkEnd w:id="87"/>
      <w:r w:rsidR="00D220C5">
        <w:rPr>
          <w:sz w:val="20"/>
        </w:rPr>
        <w:t>9</w:t>
      </w:r>
    </w:p>
    <w:p w14:paraId="4E3BFD9A" w14:textId="42783AD8" w:rsidR="00D220C5" w:rsidRDefault="00A847D4" w:rsidP="00D220C5">
      <w:r>
        <w:rPr>
          <w:noProof/>
          <w:lang w:eastAsia="en-AU"/>
        </w:rPr>
        <w:drawing>
          <wp:inline distT="0" distB="0" distL="0" distR="0" wp14:anchorId="1976382E" wp14:editId="2434ABB3">
            <wp:extent cx="4343400" cy="2505075"/>
            <wp:effectExtent l="0" t="0" r="0" b="0"/>
            <wp:docPr id="242" name="Chart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7CC998" w14:textId="276A098B" w:rsidR="00D220C5" w:rsidRPr="00D220C5" w:rsidRDefault="00D220C5" w:rsidP="00D220C5">
      <w:pPr>
        <w:jc w:val="center"/>
      </w:pPr>
    </w:p>
    <w:p w14:paraId="444EC574" w14:textId="77777777" w:rsidR="00D220C5" w:rsidRPr="00752AD9" w:rsidRDefault="00D220C5" w:rsidP="00D220C5">
      <w:pPr>
        <w:pStyle w:val="Heading2"/>
        <w:keepNext/>
        <w:keepLines/>
      </w:pPr>
      <w:bookmarkStart w:id="88" w:name="_Toc243284337"/>
      <w:bookmarkStart w:id="89" w:name="_Toc16854550"/>
      <w:bookmarkStart w:id="90" w:name="_Toc16855349"/>
      <w:r w:rsidRPr="00752AD9">
        <w:t>Expenses</w:t>
      </w:r>
      <w:bookmarkEnd w:id="88"/>
      <w:bookmarkEnd w:id="89"/>
      <w:bookmarkEnd w:id="90"/>
      <w:r w:rsidRPr="00752AD9">
        <w:t xml:space="preserve"> </w:t>
      </w:r>
    </w:p>
    <w:p w14:paraId="72434AA1" w14:textId="14FD25E6" w:rsidR="000F0A75" w:rsidRDefault="00D220C5">
      <w:pPr>
        <w:rPr>
          <w:b/>
          <w:bCs/>
          <w:color w:val="674A2C" w:themeColor="accent2" w:themeShade="BF"/>
          <w:szCs w:val="18"/>
        </w:rPr>
      </w:pPr>
      <w:r w:rsidRPr="00D220C5">
        <w:t xml:space="preserve">Total operating expenses for 2018–19 were $6.022 million. The largest expense category is employee-related costs, which account for almost 67.8 per cent of total expenses. The second biggest category is supplies and services, which accounts for 29 per cent. </w:t>
      </w:r>
      <w:bookmarkStart w:id="91" w:name="_Toc243207818"/>
    </w:p>
    <w:p w14:paraId="1A9309F6" w14:textId="7B5020FF" w:rsidR="000F0A75" w:rsidRDefault="000F0A75" w:rsidP="000F0A75">
      <w:pPr>
        <w:pStyle w:val="Caption"/>
        <w:rPr>
          <w:sz w:val="20"/>
        </w:rPr>
      </w:pPr>
      <w:r w:rsidRPr="00752AD9">
        <w:rPr>
          <w:sz w:val="20"/>
        </w:rPr>
        <w:t xml:space="preserve">Graph </w:t>
      </w:r>
      <w:r w:rsidRPr="00752AD9">
        <w:rPr>
          <w:sz w:val="20"/>
        </w:rPr>
        <w:fldChar w:fldCharType="begin"/>
      </w:r>
      <w:r w:rsidRPr="00752AD9">
        <w:rPr>
          <w:sz w:val="20"/>
        </w:rPr>
        <w:instrText xml:space="preserve"> SEQ Graph \* ARABIC </w:instrText>
      </w:r>
      <w:r w:rsidRPr="00752AD9">
        <w:rPr>
          <w:sz w:val="20"/>
        </w:rPr>
        <w:fldChar w:fldCharType="separate"/>
      </w:r>
      <w:r w:rsidR="00B5590A">
        <w:rPr>
          <w:noProof/>
          <w:sz w:val="20"/>
        </w:rPr>
        <w:t>4</w:t>
      </w:r>
      <w:r w:rsidRPr="00752AD9">
        <w:rPr>
          <w:sz w:val="20"/>
        </w:rPr>
        <w:fldChar w:fldCharType="end"/>
      </w:r>
      <w:r w:rsidR="00A847D4">
        <w:rPr>
          <w:sz w:val="20"/>
        </w:rPr>
        <w:t>:</w:t>
      </w:r>
      <w:r>
        <w:rPr>
          <w:sz w:val="20"/>
        </w:rPr>
        <w:t xml:space="preserve"> </w:t>
      </w:r>
      <w:r w:rsidRPr="00752AD9">
        <w:rPr>
          <w:sz w:val="20"/>
        </w:rPr>
        <w:t>Application of funds</w:t>
      </w:r>
      <w:bookmarkEnd w:id="91"/>
    </w:p>
    <w:p w14:paraId="592E0E48" w14:textId="4FD695ED" w:rsidR="00A847D4" w:rsidRPr="00A847D4" w:rsidRDefault="00A847D4" w:rsidP="00A847D4"/>
    <w:p w14:paraId="15F1E56E" w14:textId="77777777" w:rsidR="000F0A75" w:rsidRDefault="00D220C5" w:rsidP="000F0A75">
      <w:pPr>
        <w:spacing w:after="240"/>
        <w:jc w:val="center"/>
        <w:rPr>
          <w:rFonts w:ascii="Arial" w:hAnsi="Arial" w:cs="Arial"/>
          <w:b/>
          <w:i/>
          <w:sz w:val="24"/>
          <w:szCs w:val="22"/>
        </w:rPr>
      </w:pPr>
      <w:r>
        <w:rPr>
          <w:noProof/>
          <w:lang w:eastAsia="en-AU"/>
        </w:rPr>
        <w:drawing>
          <wp:inline distT="0" distB="0" distL="0" distR="0" wp14:anchorId="3F29836E" wp14:editId="4CDA3B35">
            <wp:extent cx="6765600" cy="37433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FB763D" w14:textId="77777777" w:rsidR="00D220C5" w:rsidRPr="00752AD9" w:rsidRDefault="00D220C5" w:rsidP="00D220C5">
      <w:pPr>
        <w:pStyle w:val="Heading2"/>
        <w:keepNext/>
        <w:keepLines/>
      </w:pPr>
      <w:bookmarkStart w:id="92" w:name="_Toc16854551"/>
      <w:bookmarkStart w:id="93" w:name="_Toc16855350"/>
      <w:bookmarkStart w:id="94" w:name="_Toc240787710"/>
      <w:bookmarkStart w:id="95" w:name="_Toc243284338"/>
      <w:r w:rsidRPr="00752AD9">
        <w:lastRenderedPageBreak/>
        <w:t>Comparison to</w:t>
      </w:r>
      <w:r w:rsidRPr="00752AD9">
        <w:rPr>
          <w:color w:val="FF0000"/>
        </w:rPr>
        <w:t xml:space="preserve"> </w:t>
      </w:r>
      <w:r>
        <w:t>B</w:t>
      </w:r>
      <w:r w:rsidRPr="00752AD9">
        <w:t>udget</w:t>
      </w:r>
      <w:r>
        <w:t xml:space="preserve"> and Actual</w:t>
      </w:r>
      <w:bookmarkEnd w:id="92"/>
      <w:bookmarkEnd w:id="93"/>
      <w:r>
        <w:t xml:space="preserve"> </w:t>
      </w:r>
    </w:p>
    <w:p w14:paraId="78F3F4B9" w14:textId="77777777" w:rsidR="00D220C5" w:rsidRPr="00D220C5" w:rsidRDefault="00D220C5" w:rsidP="00D220C5">
      <w:pPr>
        <w:spacing w:line="240" w:lineRule="auto"/>
        <w:rPr>
          <w:i/>
          <w:highlight w:val="yellow"/>
        </w:rPr>
      </w:pPr>
    </w:p>
    <w:p w14:paraId="42005312" w14:textId="77777777" w:rsidR="00D220C5" w:rsidRPr="00D220C5" w:rsidRDefault="00D220C5" w:rsidP="00EC7F11">
      <w:pPr>
        <w:rPr>
          <w:i/>
        </w:rPr>
      </w:pPr>
      <w:r w:rsidRPr="00D220C5">
        <w:t>Budget and Actual performance together with explanatory notes are provided in detail in Note E1 of the audited financial statements provided with this report and on the ADCQ’s website (www.qhrc.qld.gov.au).</w:t>
      </w:r>
    </w:p>
    <w:p w14:paraId="217FA8BE" w14:textId="77777777" w:rsidR="00D220C5" w:rsidRPr="00D220C5" w:rsidRDefault="00D220C5" w:rsidP="00D220C5">
      <w:pPr>
        <w:pStyle w:val="Heading2"/>
        <w:keepNext/>
        <w:keepLines/>
      </w:pPr>
      <w:bookmarkStart w:id="96" w:name="_Toc16854552"/>
      <w:bookmarkStart w:id="97" w:name="_Toc16855351"/>
      <w:r w:rsidRPr="00D220C5">
        <w:t>Assets</w:t>
      </w:r>
      <w:bookmarkEnd w:id="94"/>
      <w:bookmarkEnd w:id="95"/>
      <w:bookmarkEnd w:id="96"/>
      <w:bookmarkEnd w:id="97"/>
    </w:p>
    <w:p w14:paraId="39793446" w14:textId="77777777" w:rsidR="00D220C5" w:rsidRPr="00D220C5" w:rsidRDefault="00D220C5" w:rsidP="00EC7F11">
      <w:pPr>
        <w:rPr>
          <w:i/>
        </w:rPr>
      </w:pPr>
      <w:r w:rsidRPr="00D220C5">
        <w:t>Total assets increased from $1.3 million at 30 June 2018 to $1.6 million at 30 June 2019.</w:t>
      </w:r>
      <w:r w:rsidR="00803E9C">
        <w:t xml:space="preserve"> </w:t>
      </w:r>
      <w:r w:rsidRPr="00D220C5">
        <w:t xml:space="preserve">This change is largely the result of delays in finalising investments to support the implementation of the </w:t>
      </w:r>
      <w:r w:rsidRPr="004D4981">
        <w:rPr>
          <w:i/>
        </w:rPr>
        <w:t>Human Rights Act 2019</w:t>
      </w:r>
      <w:r w:rsidRPr="00D220C5">
        <w:t xml:space="preserve"> thus increasing the cash balance.</w:t>
      </w:r>
      <w:r w:rsidR="00803E9C">
        <w:t xml:space="preserve"> </w:t>
      </w:r>
      <w:r w:rsidRPr="00D220C5">
        <w:t>Current assets are valued at $0.5 million and are available to meet current liabilities, which are valued at $0.5 million. The ADCQ remains well positioned to meet all its obligations as they fall due.</w:t>
      </w:r>
    </w:p>
    <w:p w14:paraId="526E07B3" w14:textId="49F09571" w:rsidR="000F0A75" w:rsidRDefault="000F0A75" w:rsidP="000F0A75">
      <w:pPr>
        <w:pStyle w:val="Caption"/>
        <w:rPr>
          <w:sz w:val="20"/>
        </w:rPr>
      </w:pPr>
      <w:r w:rsidRPr="00752AD9">
        <w:rPr>
          <w:sz w:val="20"/>
        </w:rPr>
        <w:t xml:space="preserve">Graph </w:t>
      </w:r>
      <w:r w:rsidRPr="00752AD9">
        <w:rPr>
          <w:sz w:val="20"/>
        </w:rPr>
        <w:fldChar w:fldCharType="begin"/>
      </w:r>
      <w:r w:rsidRPr="00752AD9">
        <w:rPr>
          <w:sz w:val="20"/>
        </w:rPr>
        <w:instrText xml:space="preserve"> SEQ Graph \* ARABIC </w:instrText>
      </w:r>
      <w:r w:rsidRPr="00752AD9">
        <w:rPr>
          <w:sz w:val="20"/>
        </w:rPr>
        <w:fldChar w:fldCharType="separate"/>
      </w:r>
      <w:r w:rsidR="00B5590A">
        <w:rPr>
          <w:noProof/>
          <w:sz w:val="20"/>
        </w:rPr>
        <w:t>5</w:t>
      </w:r>
      <w:r w:rsidRPr="00752AD9">
        <w:rPr>
          <w:sz w:val="20"/>
        </w:rPr>
        <w:fldChar w:fldCharType="end"/>
      </w:r>
      <w:r w:rsidR="00A847D4">
        <w:rPr>
          <w:sz w:val="20"/>
        </w:rPr>
        <w:t>:</w:t>
      </w:r>
      <w:r>
        <w:rPr>
          <w:sz w:val="20"/>
        </w:rPr>
        <w:t xml:space="preserve"> </w:t>
      </w:r>
      <w:r w:rsidRPr="00752AD9">
        <w:rPr>
          <w:sz w:val="20"/>
        </w:rPr>
        <w:t>Asset portfolio</w:t>
      </w:r>
    </w:p>
    <w:p w14:paraId="622A51A4" w14:textId="77777777" w:rsidR="000F0A75" w:rsidRDefault="00D220C5" w:rsidP="000F0A75">
      <w:pPr>
        <w:spacing w:line="240" w:lineRule="auto"/>
        <w:jc w:val="center"/>
        <w:rPr>
          <w:rFonts w:ascii="Arial" w:hAnsi="Arial" w:cs="Arial"/>
          <w:b/>
          <w:i/>
          <w:sz w:val="24"/>
          <w:szCs w:val="22"/>
        </w:rPr>
      </w:pPr>
      <w:r>
        <w:rPr>
          <w:noProof/>
          <w:lang w:eastAsia="en-AU"/>
        </w:rPr>
        <w:drawing>
          <wp:anchor distT="0" distB="0" distL="114300" distR="114300" simplePos="0" relativeHeight="251727360" behindDoc="1" locked="0" layoutInCell="1" allowOverlap="1" wp14:anchorId="292F16F2" wp14:editId="52384169">
            <wp:simplePos x="0" y="0"/>
            <wp:positionH relativeFrom="column">
              <wp:posOffset>-3810</wp:posOffset>
            </wp:positionH>
            <wp:positionV relativeFrom="paragraph">
              <wp:posOffset>4445</wp:posOffset>
            </wp:positionV>
            <wp:extent cx="4552950" cy="3019425"/>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6A6D05C9" w14:textId="77777777" w:rsidR="0059575B" w:rsidRDefault="0059575B" w:rsidP="000F0A75">
      <w:pPr>
        <w:pStyle w:val="Caption"/>
        <w:rPr>
          <w:sz w:val="20"/>
        </w:rPr>
      </w:pPr>
      <w:bookmarkStart w:id="98" w:name="_Toc243207820"/>
    </w:p>
    <w:p w14:paraId="7B811741" w14:textId="77777777" w:rsidR="0059575B" w:rsidRDefault="0059575B" w:rsidP="000F0A75">
      <w:pPr>
        <w:pStyle w:val="Caption"/>
        <w:rPr>
          <w:sz w:val="20"/>
        </w:rPr>
      </w:pPr>
    </w:p>
    <w:p w14:paraId="0EA623DD" w14:textId="77777777" w:rsidR="0059575B" w:rsidRDefault="0059575B" w:rsidP="000F0A75">
      <w:pPr>
        <w:pStyle w:val="Caption"/>
        <w:rPr>
          <w:sz w:val="20"/>
        </w:rPr>
      </w:pPr>
    </w:p>
    <w:p w14:paraId="0129D203" w14:textId="77777777" w:rsidR="0059575B" w:rsidRDefault="0059575B" w:rsidP="000F0A75">
      <w:pPr>
        <w:pStyle w:val="Caption"/>
        <w:rPr>
          <w:sz w:val="20"/>
        </w:rPr>
      </w:pPr>
    </w:p>
    <w:p w14:paraId="61C86CC3" w14:textId="77777777" w:rsidR="0059575B" w:rsidRDefault="0059575B" w:rsidP="000F0A75">
      <w:pPr>
        <w:pStyle w:val="Caption"/>
        <w:rPr>
          <w:sz w:val="20"/>
        </w:rPr>
      </w:pPr>
    </w:p>
    <w:p w14:paraId="6D3F8E37" w14:textId="77777777" w:rsidR="0059575B" w:rsidRDefault="0059575B" w:rsidP="000F0A75">
      <w:pPr>
        <w:pStyle w:val="Caption"/>
        <w:rPr>
          <w:sz w:val="20"/>
        </w:rPr>
      </w:pPr>
    </w:p>
    <w:p w14:paraId="5C8AF3BC" w14:textId="6CA06B99" w:rsidR="0059575B" w:rsidRDefault="0059575B" w:rsidP="000F0A75">
      <w:pPr>
        <w:pStyle w:val="Caption"/>
        <w:rPr>
          <w:sz w:val="20"/>
        </w:rPr>
      </w:pPr>
      <w:r>
        <w:rPr>
          <w:noProof/>
          <w:lang w:eastAsia="en-AU"/>
        </w:rPr>
        <w:drawing>
          <wp:anchor distT="0" distB="0" distL="114300" distR="114300" simplePos="0" relativeHeight="251728384" behindDoc="1" locked="0" layoutInCell="1" allowOverlap="1" wp14:anchorId="3ED14159" wp14:editId="2770E6FD">
            <wp:simplePos x="0" y="0"/>
            <wp:positionH relativeFrom="margin">
              <wp:posOffset>526415</wp:posOffset>
            </wp:positionH>
            <wp:positionV relativeFrom="paragraph">
              <wp:posOffset>241300</wp:posOffset>
            </wp:positionV>
            <wp:extent cx="4010025" cy="2543175"/>
            <wp:effectExtent l="0" t="0" r="0" b="0"/>
            <wp:wrapNone/>
            <wp:docPr id="244" name="Chart 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1F2B88B1" w14:textId="1FF45B49" w:rsidR="000F0A75" w:rsidRPr="004B637B" w:rsidRDefault="000F0A75" w:rsidP="000F0A75">
      <w:pPr>
        <w:pStyle w:val="Caption"/>
        <w:rPr>
          <w:rFonts w:cs="Arial"/>
          <w:sz w:val="20"/>
          <w:highlight w:val="yellow"/>
        </w:rPr>
      </w:pPr>
      <w:r w:rsidRPr="00752AD9">
        <w:rPr>
          <w:sz w:val="20"/>
        </w:rPr>
        <w:t xml:space="preserve">Graph </w:t>
      </w:r>
      <w:r w:rsidRPr="00752AD9">
        <w:rPr>
          <w:sz w:val="20"/>
        </w:rPr>
        <w:fldChar w:fldCharType="begin"/>
      </w:r>
      <w:r w:rsidRPr="00752AD9">
        <w:rPr>
          <w:sz w:val="20"/>
        </w:rPr>
        <w:instrText xml:space="preserve"> SEQ Graph \* ARABIC </w:instrText>
      </w:r>
      <w:r w:rsidRPr="00752AD9">
        <w:rPr>
          <w:sz w:val="20"/>
        </w:rPr>
        <w:fldChar w:fldCharType="separate"/>
      </w:r>
      <w:r w:rsidR="00B5590A">
        <w:rPr>
          <w:noProof/>
          <w:sz w:val="20"/>
        </w:rPr>
        <w:t>6</w:t>
      </w:r>
      <w:r w:rsidRPr="00752AD9">
        <w:rPr>
          <w:sz w:val="20"/>
        </w:rPr>
        <w:fldChar w:fldCharType="end"/>
      </w:r>
      <w:r w:rsidR="0059575B">
        <w:rPr>
          <w:sz w:val="20"/>
        </w:rPr>
        <w:t>:</w:t>
      </w:r>
      <w:r>
        <w:rPr>
          <w:sz w:val="20"/>
        </w:rPr>
        <w:t xml:space="preserve"> </w:t>
      </w:r>
      <w:r w:rsidRPr="00752AD9">
        <w:rPr>
          <w:sz w:val="20"/>
        </w:rPr>
        <w:t>Liability composition</w:t>
      </w:r>
      <w:bookmarkEnd w:id="98"/>
    </w:p>
    <w:p w14:paraId="0E11F439" w14:textId="4F86420A" w:rsidR="00E22D32" w:rsidRDefault="00E22D32" w:rsidP="00E22D32">
      <w:pPr>
        <w:spacing w:line="240" w:lineRule="auto"/>
        <w:jc w:val="center"/>
      </w:pPr>
      <w:bookmarkStart w:id="99" w:name="_Toc366487308"/>
      <w:bookmarkStart w:id="100" w:name="_Toc397345686"/>
      <w:bookmarkStart w:id="101" w:name="_Toc16855352"/>
      <w:bookmarkEnd w:id="77"/>
      <w:bookmarkEnd w:id="78"/>
      <w:bookmarkEnd w:id="79"/>
      <w:bookmarkEnd w:id="80"/>
    </w:p>
    <w:p w14:paraId="72E86EFC" w14:textId="77777777" w:rsidR="00E22D32" w:rsidRDefault="00E22D32">
      <w:r>
        <w:br w:type="page"/>
      </w:r>
    </w:p>
    <w:p w14:paraId="618F120F" w14:textId="61D2E6AD" w:rsidR="00E371F5" w:rsidRPr="00A43D75" w:rsidRDefault="00E371F5" w:rsidP="00E22D32">
      <w:pPr>
        <w:pStyle w:val="Heading1"/>
      </w:pPr>
      <w:r w:rsidRPr="00A43D75">
        <w:lastRenderedPageBreak/>
        <w:t>Financial statements</w:t>
      </w:r>
      <w:bookmarkEnd w:id="99"/>
      <w:bookmarkEnd w:id="100"/>
      <w:bookmarkEnd w:id="101"/>
    </w:p>
    <w:p w14:paraId="48B4A22A" w14:textId="77777777" w:rsidR="00C9506D" w:rsidRPr="00EA4737" w:rsidRDefault="00523BA4" w:rsidP="00321242">
      <w:pPr>
        <w:pStyle w:val="Heading2"/>
      </w:pPr>
      <w:hyperlink w:anchor="_Toc230068497" w:history="1">
        <w:bookmarkStart w:id="102" w:name="_Toc243284341"/>
        <w:bookmarkStart w:id="103" w:name="_Toc240787713"/>
        <w:r w:rsidR="00C9506D" w:rsidRPr="00EA4737">
          <w:t>Certification of financial statements</w:t>
        </w:r>
        <w:bookmarkEnd w:id="102"/>
        <w:bookmarkEnd w:id="103"/>
      </w:hyperlink>
    </w:p>
    <w:p w14:paraId="54BE017E" w14:textId="77777777" w:rsidR="00C9506D" w:rsidRPr="002F3BB0" w:rsidRDefault="00C9506D" w:rsidP="00EC7F11">
      <w:pPr>
        <w:rPr>
          <w:i/>
        </w:rPr>
      </w:pPr>
      <w:r w:rsidRPr="002F3BB0">
        <w:t xml:space="preserve">The </w:t>
      </w:r>
      <w:r w:rsidR="001C00B9">
        <w:t>c</w:t>
      </w:r>
      <w:r w:rsidRPr="002F3BB0">
        <w:t>ertification of financial statements accompanies the annual report or can be viewed at www.q</w:t>
      </w:r>
      <w:r w:rsidR="00AD4FE0">
        <w:t>hrc</w:t>
      </w:r>
      <w:r w:rsidRPr="002F3BB0">
        <w:t>.qld.gov.au.</w:t>
      </w:r>
    </w:p>
    <w:p w14:paraId="184C2F9E" w14:textId="77777777" w:rsidR="00C9506D" w:rsidRPr="00EA4737" w:rsidRDefault="00C9506D" w:rsidP="00321242">
      <w:pPr>
        <w:pStyle w:val="Heading2"/>
      </w:pPr>
      <w:bookmarkStart w:id="104" w:name="_Toc243284342"/>
      <w:r w:rsidRPr="00EA4737">
        <w:t>Independent auditor’s report</w:t>
      </w:r>
      <w:bookmarkEnd w:id="104"/>
    </w:p>
    <w:p w14:paraId="3DCB8901" w14:textId="66D387F2" w:rsidR="00C9506D" w:rsidRDefault="00C9506D" w:rsidP="00EC7F11">
      <w:r w:rsidRPr="002F3BB0">
        <w:t xml:space="preserve">The independent auditor’s report accompanies the annual report or can be viewed </w:t>
      </w:r>
      <w:r w:rsidR="009E6E66">
        <w:t xml:space="preserve">at </w:t>
      </w:r>
      <w:hyperlink r:id="rId30" w:history="1">
        <w:r w:rsidR="00E75F3E" w:rsidRPr="00111D44">
          <w:rPr>
            <w:rStyle w:val="Hyperlink"/>
          </w:rPr>
          <w:t>www.qhrc.qld.gov.au</w:t>
        </w:r>
      </w:hyperlink>
      <w:r w:rsidRPr="002F3BB0">
        <w:t>.</w:t>
      </w:r>
    </w:p>
    <w:p w14:paraId="5046FF51" w14:textId="5C453073" w:rsidR="00E75F3E" w:rsidRDefault="00E75F3E" w:rsidP="00EC7F11"/>
    <w:p w14:paraId="6560883D" w14:textId="77777777" w:rsidR="00E75F3E" w:rsidRPr="00737679" w:rsidRDefault="00E75F3E" w:rsidP="00EC7F11"/>
    <w:p w14:paraId="4453C594" w14:textId="77777777" w:rsidR="008F545E" w:rsidRPr="00A43D75" w:rsidRDefault="008F545E" w:rsidP="00A75186">
      <w:pPr>
        <w:pStyle w:val="Heading1"/>
        <w:spacing w:before="40" w:after="40"/>
      </w:pPr>
      <w:bookmarkStart w:id="105" w:name="_Toc243284344"/>
      <w:bookmarkStart w:id="106" w:name="_Toc366487310"/>
      <w:bookmarkStart w:id="107" w:name="_Toc397345688"/>
      <w:bookmarkStart w:id="108" w:name="_Toc16855353"/>
      <w:bookmarkStart w:id="109" w:name="_Ref227638909"/>
      <w:bookmarkStart w:id="110" w:name="_Ref227658228"/>
      <w:bookmarkStart w:id="111" w:name="_Toc240787716"/>
      <w:bookmarkStart w:id="112" w:name="_Toc242069895"/>
      <w:r w:rsidRPr="00A43D75">
        <w:lastRenderedPageBreak/>
        <w:t>Appendix</w:t>
      </w:r>
      <w:r w:rsidR="002D29F9" w:rsidRPr="00A43D75">
        <w:t xml:space="preserve"> </w:t>
      </w:r>
      <w:r w:rsidR="000E6D8F">
        <w:t>A</w:t>
      </w:r>
      <w:r w:rsidR="0098206F" w:rsidRPr="00A43D75">
        <w:t xml:space="preserve">: </w:t>
      </w:r>
      <w:r w:rsidRPr="00A43D75">
        <w:t>Compliance checklist</w:t>
      </w:r>
      <w:bookmarkEnd w:id="105"/>
      <w:bookmarkEnd w:id="106"/>
      <w:bookmarkEnd w:id="107"/>
      <w:bookmarkEnd w:id="108"/>
      <w:r w:rsidRPr="00A43D75">
        <w:t xml:space="preserve"> </w:t>
      </w:r>
      <w:bookmarkEnd w:id="109"/>
      <w:bookmarkEnd w:id="110"/>
      <w:bookmarkEnd w:id="111"/>
      <w:bookmarkEnd w:id="112"/>
    </w:p>
    <w:tbl>
      <w:tblPr>
        <w:tblStyle w:val="TableGridLight"/>
        <w:tblW w:w="9490" w:type="dxa"/>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ayout w:type="fixed"/>
        <w:tblLook w:val="01E0" w:firstRow="1" w:lastRow="1" w:firstColumn="1" w:lastColumn="1" w:noHBand="0" w:noVBand="0"/>
      </w:tblPr>
      <w:tblGrid>
        <w:gridCol w:w="2053"/>
        <w:gridCol w:w="3242"/>
        <w:gridCol w:w="2526"/>
        <w:gridCol w:w="1669"/>
      </w:tblGrid>
      <w:tr w:rsidR="003640E9" w:rsidRPr="00EC7F11" w14:paraId="5EB46EFF" w14:textId="77777777" w:rsidTr="00E75F3E">
        <w:tc>
          <w:tcPr>
            <w:tcW w:w="5206" w:type="dxa"/>
            <w:gridSpan w:val="2"/>
          </w:tcPr>
          <w:p w14:paraId="5CCF8CEA" w14:textId="77777777" w:rsidR="003640E9" w:rsidRPr="00EC7F11" w:rsidRDefault="003640E9" w:rsidP="00E75F3E">
            <w:pPr>
              <w:rPr>
                <w:rFonts w:eastAsia="Times New Roman"/>
                <w:b/>
                <w:i/>
                <w:lang w:eastAsia="en-AU"/>
              </w:rPr>
            </w:pPr>
            <w:r w:rsidRPr="00EC7F11">
              <w:rPr>
                <w:rFonts w:eastAsia="Times New Roman"/>
                <w:b/>
                <w:lang w:eastAsia="en-AU"/>
              </w:rPr>
              <w:t>Summary of requirement</w:t>
            </w:r>
          </w:p>
        </w:tc>
        <w:tc>
          <w:tcPr>
            <w:tcW w:w="2483" w:type="dxa"/>
          </w:tcPr>
          <w:p w14:paraId="215DD828" w14:textId="77777777" w:rsidR="003640E9" w:rsidRPr="00EC7F11" w:rsidRDefault="003640E9" w:rsidP="00E75F3E">
            <w:pPr>
              <w:rPr>
                <w:rFonts w:eastAsia="Times New Roman"/>
                <w:b/>
                <w:i/>
                <w:lang w:eastAsia="en-AU"/>
              </w:rPr>
            </w:pPr>
            <w:r w:rsidRPr="00EC7F11">
              <w:rPr>
                <w:rFonts w:eastAsia="Times New Roman"/>
                <w:b/>
                <w:lang w:eastAsia="en-AU"/>
              </w:rPr>
              <w:t>Basis for requirement</w:t>
            </w:r>
          </w:p>
        </w:tc>
        <w:tc>
          <w:tcPr>
            <w:tcW w:w="1641" w:type="dxa"/>
          </w:tcPr>
          <w:p w14:paraId="283A46A2" w14:textId="77777777" w:rsidR="003640E9" w:rsidRPr="00EC7F11" w:rsidRDefault="003640E9" w:rsidP="00E75F3E">
            <w:pPr>
              <w:rPr>
                <w:rFonts w:eastAsia="Times New Roman"/>
                <w:b/>
                <w:i/>
                <w:lang w:eastAsia="en-AU"/>
              </w:rPr>
            </w:pPr>
            <w:r w:rsidRPr="00EC7F11">
              <w:rPr>
                <w:rFonts w:eastAsia="Times New Roman"/>
                <w:b/>
                <w:lang w:eastAsia="en-AU"/>
              </w:rPr>
              <w:t>Annual report reference</w:t>
            </w:r>
          </w:p>
        </w:tc>
      </w:tr>
      <w:tr w:rsidR="00E062EB" w:rsidRPr="002A0F92" w14:paraId="6FA37D71" w14:textId="77777777" w:rsidTr="00E75F3E">
        <w:tc>
          <w:tcPr>
            <w:tcW w:w="2019" w:type="dxa"/>
          </w:tcPr>
          <w:p w14:paraId="4B1304AD" w14:textId="77777777" w:rsidR="00E062EB" w:rsidRPr="002F3BB0" w:rsidRDefault="00E062EB" w:rsidP="00E75F3E">
            <w:pPr>
              <w:rPr>
                <w:rFonts w:eastAsia="Times New Roman"/>
                <w:bCs/>
                <w:i/>
                <w:lang w:eastAsia="en-AU"/>
              </w:rPr>
            </w:pPr>
            <w:r w:rsidRPr="002F3BB0">
              <w:rPr>
                <w:rFonts w:eastAsia="Times New Roman"/>
                <w:bCs/>
                <w:lang w:eastAsia="en-AU"/>
              </w:rPr>
              <w:t>Letter of compliance</w:t>
            </w:r>
          </w:p>
        </w:tc>
        <w:tc>
          <w:tcPr>
            <w:tcW w:w="3147" w:type="dxa"/>
          </w:tcPr>
          <w:p w14:paraId="33A74B19" w14:textId="77777777" w:rsidR="00E062EB" w:rsidRPr="000662E8" w:rsidRDefault="00E062EB" w:rsidP="00E75F3E">
            <w:pPr>
              <w:rPr>
                <w:rFonts w:eastAsia="Times New Roman"/>
                <w:i/>
                <w:lang w:eastAsia="en-AU"/>
              </w:rPr>
            </w:pPr>
            <w:r w:rsidRPr="000662E8">
              <w:rPr>
                <w:rFonts w:eastAsia="Times New Roman"/>
                <w:lang w:eastAsia="en-AU"/>
              </w:rPr>
              <w:t>A letter of compliance from the accountable officer or statutory body to the relevant Minister</w:t>
            </w:r>
            <w:r w:rsidR="00682916" w:rsidRPr="000662E8">
              <w:rPr>
                <w:rFonts w:eastAsia="Times New Roman"/>
                <w:lang w:eastAsia="en-AU"/>
              </w:rPr>
              <w:t>/s</w:t>
            </w:r>
          </w:p>
        </w:tc>
        <w:tc>
          <w:tcPr>
            <w:tcW w:w="2483" w:type="dxa"/>
          </w:tcPr>
          <w:p w14:paraId="33F8C74A" w14:textId="77777777" w:rsidR="00E062EB" w:rsidRPr="000662E8" w:rsidRDefault="00E062EB" w:rsidP="00E75F3E">
            <w:pPr>
              <w:rPr>
                <w:rFonts w:eastAsia="Times New Roman"/>
                <w:i/>
                <w:lang w:eastAsia="en-AU"/>
              </w:rPr>
            </w:pPr>
            <w:r w:rsidRPr="000662E8">
              <w:rPr>
                <w:rFonts w:eastAsia="Times New Roman"/>
                <w:lang w:eastAsia="en-AU"/>
              </w:rPr>
              <w:t xml:space="preserve">ARRs </w:t>
            </w:r>
            <w:r w:rsidR="001C00B9" w:rsidRPr="000662E8">
              <w:rPr>
                <w:rFonts w:eastAsia="Times New Roman"/>
                <w:lang w:eastAsia="en-AU"/>
              </w:rPr>
              <w:t>—</w:t>
            </w:r>
            <w:r w:rsidRPr="000662E8">
              <w:rPr>
                <w:rFonts w:eastAsia="Times New Roman"/>
                <w:lang w:eastAsia="en-AU"/>
              </w:rPr>
              <w:t xml:space="preserve"> section </w:t>
            </w:r>
            <w:r w:rsidR="00B05F27">
              <w:rPr>
                <w:rFonts w:eastAsia="Times New Roman"/>
                <w:lang w:eastAsia="en-AU"/>
              </w:rPr>
              <w:t>7</w:t>
            </w:r>
          </w:p>
        </w:tc>
        <w:tc>
          <w:tcPr>
            <w:tcW w:w="1641" w:type="dxa"/>
          </w:tcPr>
          <w:p w14:paraId="6A02271D" w14:textId="77777777" w:rsidR="00E062EB" w:rsidRPr="003B02D6" w:rsidRDefault="00D55F0C" w:rsidP="00E75F3E">
            <w:pPr>
              <w:rPr>
                <w:rFonts w:eastAsia="Times New Roman"/>
                <w:i/>
                <w:highlight w:val="yellow"/>
                <w:lang w:eastAsia="en-AU"/>
              </w:rPr>
            </w:pPr>
            <w:r w:rsidRPr="00512F77">
              <w:rPr>
                <w:rFonts w:eastAsia="Times New Roman"/>
                <w:lang w:eastAsia="en-AU"/>
              </w:rPr>
              <w:t xml:space="preserve">Page </w:t>
            </w:r>
            <w:r w:rsidR="00522EE6" w:rsidRPr="00512F77">
              <w:rPr>
                <w:rFonts w:eastAsia="Times New Roman"/>
                <w:lang w:eastAsia="en-AU"/>
              </w:rPr>
              <w:t>3</w:t>
            </w:r>
          </w:p>
        </w:tc>
      </w:tr>
      <w:tr w:rsidR="003640E9" w:rsidRPr="002A0F92" w14:paraId="3103DCB4" w14:textId="77777777" w:rsidTr="00E75F3E">
        <w:tc>
          <w:tcPr>
            <w:tcW w:w="2019" w:type="dxa"/>
            <w:vMerge w:val="restart"/>
          </w:tcPr>
          <w:p w14:paraId="6E104631" w14:textId="77777777" w:rsidR="003640E9" w:rsidRPr="002F3BB0" w:rsidRDefault="003640E9" w:rsidP="00E75F3E">
            <w:pPr>
              <w:rPr>
                <w:rFonts w:eastAsia="Times New Roman"/>
                <w:bCs/>
                <w:i/>
                <w:lang w:eastAsia="en-AU"/>
              </w:rPr>
            </w:pPr>
            <w:r w:rsidRPr="002F3BB0">
              <w:rPr>
                <w:rFonts w:eastAsia="Times New Roman"/>
                <w:bCs/>
                <w:lang w:eastAsia="en-AU"/>
              </w:rPr>
              <w:t>Accessibility</w:t>
            </w:r>
          </w:p>
        </w:tc>
        <w:tc>
          <w:tcPr>
            <w:tcW w:w="3147" w:type="dxa"/>
          </w:tcPr>
          <w:p w14:paraId="0161C69B" w14:textId="77777777" w:rsidR="003640E9" w:rsidRPr="000662E8" w:rsidRDefault="003640E9" w:rsidP="00E75F3E">
            <w:pPr>
              <w:rPr>
                <w:rFonts w:eastAsia="Times New Roman"/>
                <w:i/>
                <w:lang w:eastAsia="en-AU"/>
              </w:rPr>
            </w:pPr>
            <w:r w:rsidRPr="000662E8">
              <w:rPr>
                <w:rFonts w:eastAsia="Times New Roman"/>
                <w:lang w:eastAsia="en-AU"/>
              </w:rPr>
              <w:t>Table of contents</w:t>
            </w:r>
          </w:p>
          <w:p w14:paraId="1F0CE514" w14:textId="77777777" w:rsidR="003640E9" w:rsidRPr="000662E8" w:rsidRDefault="003640E9" w:rsidP="00E75F3E">
            <w:pPr>
              <w:rPr>
                <w:rFonts w:eastAsia="Times New Roman"/>
                <w:i/>
                <w:lang w:eastAsia="en-AU"/>
              </w:rPr>
            </w:pPr>
            <w:r w:rsidRPr="000662E8">
              <w:rPr>
                <w:rFonts w:eastAsia="Times New Roman"/>
                <w:lang w:eastAsia="en-AU"/>
              </w:rPr>
              <w:t>Glossary</w:t>
            </w:r>
          </w:p>
        </w:tc>
        <w:tc>
          <w:tcPr>
            <w:tcW w:w="2483" w:type="dxa"/>
          </w:tcPr>
          <w:p w14:paraId="4CBCEFA8" w14:textId="77777777" w:rsidR="003640E9" w:rsidRPr="000662E8" w:rsidRDefault="003640E9" w:rsidP="00E75F3E">
            <w:pPr>
              <w:rPr>
                <w:rFonts w:eastAsia="Times New Roman"/>
                <w:i/>
                <w:lang w:eastAsia="en-AU"/>
              </w:rPr>
            </w:pPr>
            <w:r w:rsidRPr="000662E8">
              <w:rPr>
                <w:rFonts w:eastAsia="Times New Roman"/>
                <w:lang w:eastAsia="en-AU"/>
              </w:rPr>
              <w:t xml:space="preserve">ARRs </w:t>
            </w:r>
            <w:r w:rsidR="001C00B9" w:rsidRPr="000662E8">
              <w:rPr>
                <w:rFonts w:eastAsia="Times New Roman"/>
                <w:lang w:eastAsia="en-AU"/>
              </w:rPr>
              <w:t>—</w:t>
            </w:r>
            <w:r w:rsidRPr="000662E8">
              <w:rPr>
                <w:rFonts w:eastAsia="Times New Roman"/>
                <w:lang w:eastAsia="en-AU"/>
              </w:rPr>
              <w:t xml:space="preserve"> section </w:t>
            </w:r>
            <w:r w:rsidR="004E2CFD">
              <w:rPr>
                <w:rFonts w:eastAsia="Times New Roman"/>
                <w:lang w:eastAsia="en-AU"/>
              </w:rPr>
              <w:t>9</w:t>
            </w:r>
            <w:r w:rsidRPr="000662E8">
              <w:rPr>
                <w:rFonts w:eastAsia="Times New Roman"/>
                <w:lang w:eastAsia="en-AU"/>
              </w:rPr>
              <w:t>.1</w:t>
            </w:r>
          </w:p>
        </w:tc>
        <w:tc>
          <w:tcPr>
            <w:tcW w:w="1641" w:type="dxa"/>
          </w:tcPr>
          <w:p w14:paraId="0742D8A3" w14:textId="77777777" w:rsidR="003640E9" w:rsidRPr="00512F77" w:rsidRDefault="00D55F0C" w:rsidP="00E75F3E">
            <w:pPr>
              <w:rPr>
                <w:rFonts w:eastAsia="Times New Roman"/>
                <w:i/>
                <w:lang w:eastAsia="en-AU"/>
              </w:rPr>
            </w:pPr>
            <w:r w:rsidRPr="00512F77">
              <w:rPr>
                <w:rFonts w:eastAsia="Times New Roman"/>
                <w:lang w:eastAsia="en-AU"/>
              </w:rPr>
              <w:t>Page 2</w:t>
            </w:r>
          </w:p>
          <w:p w14:paraId="2A7DA3DB" w14:textId="77777777" w:rsidR="00D55F0C" w:rsidRPr="003B02D6" w:rsidRDefault="00B05F27" w:rsidP="00E75F3E">
            <w:pPr>
              <w:rPr>
                <w:rFonts w:eastAsia="Times New Roman"/>
                <w:i/>
                <w:highlight w:val="yellow"/>
                <w:lang w:eastAsia="en-AU"/>
              </w:rPr>
            </w:pPr>
            <w:r w:rsidRPr="00512F77">
              <w:rPr>
                <w:rFonts w:eastAsia="Times New Roman"/>
                <w:lang w:eastAsia="en-AU"/>
              </w:rPr>
              <w:t>Appendix B</w:t>
            </w:r>
          </w:p>
        </w:tc>
      </w:tr>
      <w:tr w:rsidR="003640E9" w:rsidRPr="002A0F92" w14:paraId="4F76026F" w14:textId="77777777" w:rsidTr="00E75F3E">
        <w:tc>
          <w:tcPr>
            <w:tcW w:w="2019" w:type="dxa"/>
            <w:vMerge/>
          </w:tcPr>
          <w:p w14:paraId="7C36BE8D" w14:textId="77777777" w:rsidR="003640E9" w:rsidRPr="002F3BB0" w:rsidRDefault="003640E9" w:rsidP="00E75F3E">
            <w:pPr>
              <w:rPr>
                <w:rFonts w:eastAsia="Times New Roman"/>
                <w:bCs/>
                <w:i/>
                <w:lang w:eastAsia="en-AU"/>
              </w:rPr>
            </w:pPr>
          </w:p>
        </w:tc>
        <w:tc>
          <w:tcPr>
            <w:tcW w:w="3147" w:type="dxa"/>
          </w:tcPr>
          <w:p w14:paraId="5B392D45" w14:textId="77777777" w:rsidR="003640E9" w:rsidRPr="000662E8" w:rsidRDefault="003640E9" w:rsidP="00E75F3E">
            <w:pPr>
              <w:rPr>
                <w:rFonts w:eastAsia="Times New Roman"/>
                <w:i/>
                <w:lang w:eastAsia="en-AU"/>
              </w:rPr>
            </w:pPr>
            <w:r w:rsidRPr="000662E8">
              <w:rPr>
                <w:rFonts w:eastAsia="Times New Roman"/>
                <w:lang w:eastAsia="en-AU"/>
              </w:rPr>
              <w:t>Public availability</w:t>
            </w:r>
          </w:p>
        </w:tc>
        <w:tc>
          <w:tcPr>
            <w:tcW w:w="2483" w:type="dxa"/>
          </w:tcPr>
          <w:p w14:paraId="3B8A8842" w14:textId="77777777" w:rsidR="003640E9" w:rsidRPr="000662E8" w:rsidRDefault="003640E9" w:rsidP="00E75F3E">
            <w:pPr>
              <w:rPr>
                <w:rFonts w:eastAsia="Times New Roman"/>
                <w:i/>
                <w:lang w:eastAsia="en-AU"/>
              </w:rPr>
            </w:pPr>
            <w:r w:rsidRPr="000662E8">
              <w:rPr>
                <w:rFonts w:eastAsia="Times New Roman"/>
                <w:lang w:eastAsia="en-AU"/>
              </w:rPr>
              <w:t xml:space="preserve">ARRs </w:t>
            </w:r>
            <w:r w:rsidR="001C00B9" w:rsidRPr="000662E8">
              <w:rPr>
                <w:rFonts w:eastAsia="Times New Roman"/>
                <w:lang w:eastAsia="en-AU"/>
              </w:rPr>
              <w:t>—</w:t>
            </w:r>
            <w:r w:rsidRPr="000662E8">
              <w:rPr>
                <w:rFonts w:eastAsia="Times New Roman"/>
                <w:lang w:eastAsia="en-AU"/>
              </w:rPr>
              <w:t xml:space="preserve"> section </w:t>
            </w:r>
            <w:r w:rsidR="004E2CFD">
              <w:rPr>
                <w:rFonts w:eastAsia="Times New Roman"/>
                <w:lang w:eastAsia="en-AU"/>
              </w:rPr>
              <w:t>9</w:t>
            </w:r>
            <w:r w:rsidRPr="000662E8">
              <w:rPr>
                <w:rFonts w:eastAsia="Times New Roman"/>
                <w:lang w:eastAsia="en-AU"/>
              </w:rPr>
              <w:t>.2</w:t>
            </w:r>
          </w:p>
        </w:tc>
        <w:tc>
          <w:tcPr>
            <w:tcW w:w="1641" w:type="dxa"/>
          </w:tcPr>
          <w:p w14:paraId="4C9A1DCC" w14:textId="77777777" w:rsidR="003640E9" w:rsidRPr="00512F77" w:rsidRDefault="00512F77" w:rsidP="00E75F3E">
            <w:pPr>
              <w:rPr>
                <w:rFonts w:eastAsia="Times New Roman"/>
                <w:i/>
                <w:lang w:eastAsia="en-AU"/>
              </w:rPr>
            </w:pPr>
            <w:r w:rsidRPr="00512F77">
              <w:rPr>
                <w:rFonts w:eastAsia="Times New Roman"/>
                <w:lang w:eastAsia="en-AU"/>
              </w:rPr>
              <w:t>Page 1</w:t>
            </w:r>
          </w:p>
        </w:tc>
      </w:tr>
      <w:tr w:rsidR="003640E9" w:rsidRPr="002A0F92" w14:paraId="397FD00F" w14:textId="77777777" w:rsidTr="00E75F3E">
        <w:tc>
          <w:tcPr>
            <w:tcW w:w="2019" w:type="dxa"/>
            <w:vMerge/>
          </w:tcPr>
          <w:p w14:paraId="7D4848AB" w14:textId="77777777" w:rsidR="003640E9" w:rsidRPr="002F3BB0" w:rsidRDefault="003640E9" w:rsidP="00E75F3E">
            <w:pPr>
              <w:rPr>
                <w:rFonts w:eastAsia="Times New Roman"/>
                <w:bCs/>
                <w:i/>
                <w:lang w:eastAsia="en-AU"/>
              </w:rPr>
            </w:pPr>
          </w:p>
        </w:tc>
        <w:tc>
          <w:tcPr>
            <w:tcW w:w="3147" w:type="dxa"/>
          </w:tcPr>
          <w:p w14:paraId="5918BAFC" w14:textId="77777777" w:rsidR="003640E9" w:rsidRPr="000662E8" w:rsidRDefault="003640E9" w:rsidP="00E75F3E">
            <w:pPr>
              <w:rPr>
                <w:rFonts w:eastAsia="Times New Roman"/>
                <w:i/>
                <w:lang w:eastAsia="en-AU"/>
              </w:rPr>
            </w:pPr>
            <w:r w:rsidRPr="000662E8">
              <w:rPr>
                <w:rFonts w:eastAsia="Times New Roman"/>
                <w:lang w:eastAsia="en-AU"/>
              </w:rPr>
              <w:t>Interpreter service statement</w:t>
            </w:r>
          </w:p>
        </w:tc>
        <w:tc>
          <w:tcPr>
            <w:tcW w:w="2483" w:type="dxa"/>
          </w:tcPr>
          <w:p w14:paraId="24CA40EC" w14:textId="77777777" w:rsidR="003640E9" w:rsidRPr="000662E8" w:rsidRDefault="003640E9" w:rsidP="00E75F3E">
            <w:pPr>
              <w:rPr>
                <w:rFonts w:eastAsia="Times New Roman"/>
                <w:lang w:eastAsia="en-AU"/>
              </w:rPr>
            </w:pPr>
            <w:r w:rsidRPr="000662E8">
              <w:rPr>
                <w:rFonts w:eastAsia="Times New Roman"/>
                <w:lang w:eastAsia="en-AU"/>
              </w:rPr>
              <w:t>Queensland Government Language Services Policy</w:t>
            </w:r>
          </w:p>
          <w:p w14:paraId="7E295C5F" w14:textId="77777777" w:rsidR="003640E9" w:rsidRPr="000662E8" w:rsidRDefault="00B32DB1" w:rsidP="00E75F3E">
            <w:pPr>
              <w:rPr>
                <w:rFonts w:eastAsia="Times New Roman"/>
                <w:i/>
                <w:lang w:eastAsia="en-AU"/>
              </w:rPr>
            </w:pPr>
            <w:r w:rsidRPr="000662E8">
              <w:rPr>
                <w:rFonts w:eastAsia="Times New Roman"/>
                <w:lang w:eastAsia="en-AU"/>
              </w:rPr>
              <w:t xml:space="preserve">ARRs – section </w:t>
            </w:r>
            <w:r w:rsidR="004E2CFD">
              <w:rPr>
                <w:rFonts w:eastAsia="Times New Roman"/>
                <w:lang w:eastAsia="en-AU"/>
              </w:rPr>
              <w:t>9</w:t>
            </w:r>
            <w:r w:rsidR="003640E9" w:rsidRPr="000662E8">
              <w:rPr>
                <w:rFonts w:eastAsia="Times New Roman"/>
                <w:lang w:eastAsia="en-AU"/>
              </w:rPr>
              <w:t>.3</w:t>
            </w:r>
          </w:p>
        </w:tc>
        <w:tc>
          <w:tcPr>
            <w:tcW w:w="1641" w:type="dxa"/>
          </w:tcPr>
          <w:p w14:paraId="13C9A306" w14:textId="77777777" w:rsidR="003640E9" w:rsidRPr="00512F77" w:rsidRDefault="00512F77" w:rsidP="00E75F3E">
            <w:pPr>
              <w:rPr>
                <w:rFonts w:eastAsia="Times New Roman"/>
                <w:i/>
                <w:lang w:eastAsia="en-AU"/>
              </w:rPr>
            </w:pPr>
            <w:r w:rsidRPr="00512F77">
              <w:rPr>
                <w:rFonts w:eastAsia="Times New Roman"/>
                <w:lang w:eastAsia="en-AU"/>
              </w:rPr>
              <w:t>Page 1</w:t>
            </w:r>
          </w:p>
        </w:tc>
      </w:tr>
      <w:tr w:rsidR="003640E9" w:rsidRPr="002A0F92" w14:paraId="14C537B2" w14:textId="77777777" w:rsidTr="00E75F3E">
        <w:tc>
          <w:tcPr>
            <w:tcW w:w="2019" w:type="dxa"/>
            <w:vMerge/>
          </w:tcPr>
          <w:p w14:paraId="775D8FBC" w14:textId="77777777" w:rsidR="003640E9" w:rsidRPr="002F3BB0" w:rsidRDefault="003640E9" w:rsidP="00E75F3E">
            <w:pPr>
              <w:rPr>
                <w:rFonts w:eastAsia="Times New Roman"/>
                <w:bCs/>
                <w:i/>
                <w:lang w:eastAsia="en-AU"/>
              </w:rPr>
            </w:pPr>
          </w:p>
        </w:tc>
        <w:tc>
          <w:tcPr>
            <w:tcW w:w="3147" w:type="dxa"/>
          </w:tcPr>
          <w:p w14:paraId="5B6019A7" w14:textId="77777777" w:rsidR="003640E9" w:rsidRPr="000662E8" w:rsidRDefault="003640E9" w:rsidP="00E75F3E">
            <w:pPr>
              <w:rPr>
                <w:rFonts w:eastAsia="Times New Roman"/>
                <w:i/>
                <w:lang w:eastAsia="en-AU"/>
              </w:rPr>
            </w:pPr>
            <w:r w:rsidRPr="000662E8">
              <w:rPr>
                <w:rFonts w:eastAsia="Times New Roman"/>
                <w:lang w:eastAsia="en-AU"/>
              </w:rPr>
              <w:t>Copyright notice</w:t>
            </w:r>
          </w:p>
        </w:tc>
        <w:tc>
          <w:tcPr>
            <w:tcW w:w="2483" w:type="dxa"/>
          </w:tcPr>
          <w:p w14:paraId="10C50D56" w14:textId="77777777" w:rsidR="003640E9" w:rsidRPr="000662E8" w:rsidRDefault="003640E9" w:rsidP="00E75F3E">
            <w:pPr>
              <w:rPr>
                <w:rFonts w:eastAsia="Times New Roman"/>
                <w:lang w:eastAsia="en-AU"/>
              </w:rPr>
            </w:pPr>
            <w:r w:rsidRPr="000662E8">
              <w:rPr>
                <w:rFonts w:eastAsia="Times New Roman"/>
                <w:lang w:eastAsia="en-AU"/>
              </w:rPr>
              <w:t>Copyright Act 1968</w:t>
            </w:r>
          </w:p>
          <w:p w14:paraId="729D64C5" w14:textId="77777777" w:rsidR="003640E9" w:rsidRPr="000662E8" w:rsidRDefault="003640E9" w:rsidP="00E75F3E">
            <w:pPr>
              <w:rPr>
                <w:rFonts w:eastAsia="Times New Roman"/>
                <w:i/>
                <w:lang w:eastAsia="en-AU"/>
              </w:rPr>
            </w:pPr>
            <w:r w:rsidRPr="000662E8">
              <w:rPr>
                <w:rFonts w:eastAsia="Times New Roman"/>
                <w:lang w:eastAsia="en-AU"/>
              </w:rPr>
              <w:t xml:space="preserve">ARRs </w:t>
            </w:r>
            <w:r w:rsidR="001C00B9" w:rsidRPr="000662E8">
              <w:rPr>
                <w:rFonts w:eastAsia="Times New Roman"/>
                <w:lang w:eastAsia="en-AU"/>
              </w:rPr>
              <w:t>—</w:t>
            </w:r>
            <w:r w:rsidRPr="000662E8">
              <w:rPr>
                <w:rFonts w:eastAsia="Times New Roman"/>
                <w:lang w:eastAsia="en-AU"/>
              </w:rPr>
              <w:t xml:space="preserve"> section </w:t>
            </w:r>
            <w:r w:rsidR="004E2CFD">
              <w:rPr>
                <w:rFonts w:eastAsia="Times New Roman"/>
                <w:lang w:eastAsia="en-AU"/>
              </w:rPr>
              <w:t>9</w:t>
            </w:r>
            <w:r w:rsidRPr="000662E8">
              <w:rPr>
                <w:rFonts w:eastAsia="Times New Roman"/>
                <w:lang w:eastAsia="en-AU"/>
              </w:rPr>
              <w:t>.4</w:t>
            </w:r>
          </w:p>
        </w:tc>
        <w:tc>
          <w:tcPr>
            <w:tcW w:w="1641" w:type="dxa"/>
          </w:tcPr>
          <w:p w14:paraId="1B2FD32D" w14:textId="77777777" w:rsidR="003640E9" w:rsidRPr="00512F77" w:rsidRDefault="00512F77" w:rsidP="00E75F3E">
            <w:pPr>
              <w:rPr>
                <w:rFonts w:eastAsia="Times New Roman"/>
                <w:i/>
                <w:lang w:eastAsia="en-AU"/>
              </w:rPr>
            </w:pPr>
            <w:r w:rsidRPr="00512F77">
              <w:rPr>
                <w:rFonts w:eastAsia="Times New Roman"/>
                <w:lang w:eastAsia="en-AU"/>
              </w:rPr>
              <w:t>Page 1</w:t>
            </w:r>
          </w:p>
        </w:tc>
      </w:tr>
      <w:tr w:rsidR="003640E9" w:rsidRPr="002A0F92" w14:paraId="798E74B0" w14:textId="77777777" w:rsidTr="00E75F3E">
        <w:tc>
          <w:tcPr>
            <w:tcW w:w="2019" w:type="dxa"/>
            <w:vMerge/>
          </w:tcPr>
          <w:p w14:paraId="6CF6730A" w14:textId="77777777" w:rsidR="003640E9" w:rsidRPr="002F3BB0" w:rsidRDefault="003640E9" w:rsidP="00E75F3E">
            <w:pPr>
              <w:rPr>
                <w:rFonts w:eastAsia="Times New Roman"/>
                <w:bCs/>
                <w:i/>
                <w:lang w:eastAsia="en-AU"/>
              </w:rPr>
            </w:pPr>
          </w:p>
        </w:tc>
        <w:tc>
          <w:tcPr>
            <w:tcW w:w="3147" w:type="dxa"/>
          </w:tcPr>
          <w:p w14:paraId="45A83C7F" w14:textId="77777777" w:rsidR="003640E9" w:rsidRPr="000662E8" w:rsidRDefault="003640E9" w:rsidP="00E75F3E">
            <w:pPr>
              <w:rPr>
                <w:rFonts w:eastAsia="Times New Roman"/>
                <w:i/>
                <w:lang w:eastAsia="en-AU"/>
              </w:rPr>
            </w:pPr>
            <w:r w:rsidRPr="000662E8">
              <w:rPr>
                <w:rFonts w:eastAsia="Times New Roman"/>
                <w:lang w:eastAsia="en-AU"/>
              </w:rPr>
              <w:t xml:space="preserve">Information </w:t>
            </w:r>
            <w:r w:rsidR="00B32DB1" w:rsidRPr="000662E8">
              <w:rPr>
                <w:rFonts w:eastAsia="Times New Roman"/>
                <w:lang w:eastAsia="en-AU"/>
              </w:rPr>
              <w:t>l</w:t>
            </w:r>
            <w:r w:rsidRPr="000662E8">
              <w:rPr>
                <w:rFonts w:eastAsia="Times New Roman"/>
                <w:lang w:eastAsia="en-AU"/>
              </w:rPr>
              <w:t xml:space="preserve">icensing </w:t>
            </w:r>
          </w:p>
        </w:tc>
        <w:tc>
          <w:tcPr>
            <w:tcW w:w="2483" w:type="dxa"/>
          </w:tcPr>
          <w:p w14:paraId="6225A356" w14:textId="77777777" w:rsidR="003640E9" w:rsidRPr="000662E8" w:rsidRDefault="00216388" w:rsidP="00E75F3E">
            <w:pPr>
              <w:rPr>
                <w:rFonts w:eastAsia="Times New Roman"/>
                <w:lang w:eastAsia="en-AU"/>
              </w:rPr>
            </w:pPr>
            <w:r w:rsidRPr="000662E8">
              <w:rPr>
                <w:rFonts w:eastAsia="Times New Roman"/>
                <w:lang w:eastAsia="en-AU"/>
              </w:rPr>
              <w:t xml:space="preserve">QGEA </w:t>
            </w:r>
            <w:r w:rsidR="001C00B9" w:rsidRPr="000662E8">
              <w:rPr>
                <w:rFonts w:eastAsia="Times New Roman"/>
                <w:lang w:eastAsia="en-AU"/>
              </w:rPr>
              <w:t>—</w:t>
            </w:r>
            <w:r w:rsidRPr="000662E8">
              <w:rPr>
                <w:rFonts w:eastAsia="Times New Roman"/>
                <w:lang w:eastAsia="en-AU"/>
              </w:rPr>
              <w:t xml:space="preserve"> Information L</w:t>
            </w:r>
            <w:r w:rsidR="00B32DB1" w:rsidRPr="000662E8">
              <w:rPr>
                <w:rFonts w:eastAsia="Times New Roman"/>
                <w:lang w:eastAsia="en-AU"/>
              </w:rPr>
              <w:t xml:space="preserve">icensing </w:t>
            </w:r>
          </w:p>
          <w:p w14:paraId="58F7F3DB" w14:textId="77777777" w:rsidR="003640E9" w:rsidRPr="000662E8" w:rsidRDefault="00B32DB1" w:rsidP="00E75F3E">
            <w:pPr>
              <w:rPr>
                <w:rFonts w:eastAsia="Times New Roman"/>
                <w:i/>
                <w:lang w:eastAsia="en-AU"/>
              </w:rPr>
            </w:pPr>
            <w:r w:rsidRPr="000662E8">
              <w:rPr>
                <w:rFonts w:eastAsia="Times New Roman"/>
                <w:lang w:eastAsia="en-AU"/>
              </w:rPr>
              <w:t xml:space="preserve">ARRs </w:t>
            </w:r>
            <w:r w:rsidR="001C00B9" w:rsidRPr="000662E8">
              <w:rPr>
                <w:rFonts w:eastAsia="Times New Roman"/>
                <w:lang w:eastAsia="en-AU"/>
              </w:rPr>
              <w:t>—</w:t>
            </w:r>
            <w:r w:rsidRPr="000662E8">
              <w:rPr>
                <w:rFonts w:eastAsia="Times New Roman"/>
                <w:lang w:eastAsia="en-AU"/>
              </w:rPr>
              <w:t xml:space="preserve"> section </w:t>
            </w:r>
            <w:r w:rsidR="004E2CFD">
              <w:rPr>
                <w:rFonts w:eastAsia="Times New Roman"/>
                <w:lang w:eastAsia="en-AU"/>
              </w:rPr>
              <w:t>9</w:t>
            </w:r>
            <w:r w:rsidR="003640E9" w:rsidRPr="000662E8">
              <w:rPr>
                <w:rFonts w:eastAsia="Times New Roman"/>
                <w:lang w:eastAsia="en-AU"/>
              </w:rPr>
              <w:t>.5</w:t>
            </w:r>
          </w:p>
        </w:tc>
        <w:tc>
          <w:tcPr>
            <w:tcW w:w="1641" w:type="dxa"/>
          </w:tcPr>
          <w:p w14:paraId="3B52FBB0" w14:textId="77777777" w:rsidR="003640E9" w:rsidRPr="00512F77" w:rsidRDefault="00512F77" w:rsidP="00E75F3E">
            <w:pPr>
              <w:rPr>
                <w:rFonts w:eastAsia="Times New Roman"/>
                <w:i/>
                <w:lang w:eastAsia="en-AU"/>
              </w:rPr>
            </w:pPr>
            <w:r w:rsidRPr="00512F77">
              <w:rPr>
                <w:rFonts w:eastAsia="Times New Roman"/>
                <w:lang w:eastAsia="en-AU"/>
              </w:rPr>
              <w:t>Page 1</w:t>
            </w:r>
          </w:p>
        </w:tc>
      </w:tr>
      <w:tr w:rsidR="00E062EB" w:rsidRPr="002A0F92" w14:paraId="3436F790" w14:textId="77777777" w:rsidTr="00E75F3E">
        <w:tc>
          <w:tcPr>
            <w:tcW w:w="2019" w:type="dxa"/>
            <w:vMerge w:val="restart"/>
          </w:tcPr>
          <w:p w14:paraId="691F7766" w14:textId="77777777" w:rsidR="00E062EB" w:rsidRPr="002F3BB0" w:rsidRDefault="00E062EB" w:rsidP="00E75F3E">
            <w:pPr>
              <w:rPr>
                <w:rFonts w:eastAsia="Times New Roman"/>
                <w:bCs/>
                <w:i/>
                <w:lang w:eastAsia="en-AU"/>
              </w:rPr>
            </w:pPr>
            <w:r w:rsidRPr="002F3BB0">
              <w:rPr>
                <w:rFonts w:eastAsia="Times New Roman"/>
                <w:bCs/>
                <w:lang w:eastAsia="en-AU"/>
              </w:rPr>
              <w:t>General information</w:t>
            </w:r>
          </w:p>
        </w:tc>
        <w:tc>
          <w:tcPr>
            <w:tcW w:w="3147" w:type="dxa"/>
          </w:tcPr>
          <w:p w14:paraId="773480CF" w14:textId="77777777" w:rsidR="00E062EB" w:rsidRPr="00512F77" w:rsidRDefault="00E062EB" w:rsidP="00E75F3E">
            <w:pPr>
              <w:rPr>
                <w:rFonts w:eastAsia="Times New Roman"/>
                <w:i/>
                <w:lang w:eastAsia="en-AU"/>
              </w:rPr>
            </w:pPr>
            <w:r w:rsidRPr="00512F77">
              <w:rPr>
                <w:rFonts w:eastAsia="Times New Roman"/>
                <w:lang w:eastAsia="en-AU"/>
              </w:rPr>
              <w:t>Introductory Information</w:t>
            </w:r>
          </w:p>
        </w:tc>
        <w:tc>
          <w:tcPr>
            <w:tcW w:w="2483" w:type="dxa"/>
          </w:tcPr>
          <w:p w14:paraId="343E6F99"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0</w:t>
            </w:r>
            <w:r w:rsidRPr="00512F77">
              <w:rPr>
                <w:rFonts w:eastAsia="Times New Roman"/>
                <w:lang w:eastAsia="en-AU"/>
              </w:rPr>
              <w:t>.1</w:t>
            </w:r>
          </w:p>
        </w:tc>
        <w:tc>
          <w:tcPr>
            <w:tcW w:w="1641" w:type="dxa"/>
          </w:tcPr>
          <w:p w14:paraId="5A4C17B9" w14:textId="77777777" w:rsidR="00E062EB" w:rsidRPr="00512F77" w:rsidRDefault="00D55F0C" w:rsidP="00E75F3E">
            <w:pPr>
              <w:rPr>
                <w:rFonts w:eastAsia="Times New Roman"/>
                <w:i/>
                <w:lang w:eastAsia="en-AU"/>
              </w:rPr>
            </w:pPr>
            <w:r w:rsidRPr="00512F77">
              <w:rPr>
                <w:rFonts w:eastAsia="Times New Roman"/>
                <w:lang w:eastAsia="en-AU"/>
              </w:rPr>
              <w:t xml:space="preserve">Page </w:t>
            </w:r>
            <w:r w:rsidR="00512F77" w:rsidRPr="00512F77">
              <w:rPr>
                <w:rFonts w:eastAsia="Times New Roman"/>
                <w:lang w:eastAsia="en-AU"/>
              </w:rPr>
              <w:t>4</w:t>
            </w:r>
          </w:p>
        </w:tc>
      </w:tr>
      <w:tr w:rsidR="004E2CFD" w:rsidRPr="002A0F92" w14:paraId="4DED371A" w14:textId="77777777" w:rsidTr="00E75F3E">
        <w:tc>
          <w:tcPr>
            <w:tcW w:w="2019" w:type="dxa"/>
            <w:vMerge/>
          </w:tcPr>
          <w:p w14:paraId="3BC4239B" w14:textId="77777777" w:rsidR="004E2CFD" w:rsidRPr="002F3BB0" w:rsidRDefault="004E2CFD" w:rsidP="00E75F3E">
            <w:pPr>
              <w:rPr>
                <w:rFonts w:eastAsia="Times New Roman"/>
                <w:bCs/>
                <w:i/>
                <w:lang w:eastAsia="en-AU"/>
              </w:rPr>
            </w:pPr>
          </w:p>
        </w:tc>
        <w:tc>
          <w:tcPr>
            <w:tcW w:w="3147" w:type="dxa"/>
          </w:tcPr>
          <w:p w14:paraId="6E96D868" w14:textId="77777777" w:rsidR="004E2CFD" w:rsidRPr="00512F77" w:rsidRDefault="004E2CFD" w:rsidP="00E75F3E">
            <w:pPr>
              <w:rPr>
                <w:rFonts w:eastAsia="Times New Roman"/>
                <w:i/>
                <w:lang w:eastAsia="en-AU"/>
              </w:rPr>
            </w:pPr>
            <w:r w:rsidRPr="00512F77">
              <w:rPr>
                <w:rFonts w:eastAsia="Times New Roman"/>
                <w:lang w:eastAsia="en-AU"/>
              </w:rPr>
              <w:t>Machinery of Government changes</w:t>
            </w:r>
          </w:p>
        </w:tc>
        <w:tc>
          <w:tcPr>
            <w:tcW w:w="2483" w:type="dxa"/>
          </w:tcPr>
          <w:p w14:paraId="2BF90B96" w14:textId="77777777" w:rsidR="004E2CFD" w:rsidRPr="00512F77" w:rsidRDefault="004E2CFD" w:rsidP="00E75F3E">
            <w:pPr>
              <w:rPr>
                <w:rFonts w:eastAsia="Times New Roman"/>
                <w:i/>
                <w:lang w:val="fr-FR" w:eastAsia="en-AU"/>
              </w:rPr>
            </w:pPr>
            <w:r w:rsidRPr="00512F77">
              <w:rPr>
                <w:rFonts w:eastAsia="Times New Roman"/>
                <w:lang w:val="fr-FR" w:eastAsia="en-AU"/>
              </w:rPr>
              <w:t xml:space="preserve">ARRs </w:t>
            </w:r>
            <w:r w:rsidRPr="00512F77">
              <w:rPr>
                <w:rFonts w:eastAsia="Times New Roman"/>
                <w:lang w:eastAsia="en-AU"/>
              </w:rPr>
              <w:t>— section 10.2, 31 and 32</w:t>
            </w:r>
          </w:p>
        </w:tc>
        <w:tc>
          <w:tcPr>
            <w:tcW w:w="1641" w:type="dxa"/>
          </w:tcPr>
          <w:p w14:paraId="0C3E5270" w14:textId="77777777" w:rsidR="004E2CFD" w:rsidRPr="00512F77" w:rsidRDefault="004E2CFD" w:rsidP="00E75F3E">
            <w:pPr>
              <w:rPr>
                <w:rFonts w:eastAsia="Times New Roman"/>
                <w:i/>
                <w:lang w:eastAsia="en-AU"/>
              </w:rPr>
            </w:pPr>
            <w:r w:rsidRPr="00512F77">
              <w:rPr>
                <w:rFonts w:eastAsia="Times New Roman"/>
                <w:lang w:eastAsia="en-AU"/>
              </w:rPr>
              <w:t>N/A</w:t>
            </w:r>
          </w:p>
        </w:tc>
      </w:tr>
      <w:tr w:rsidR="00E062EB" w:rsidRPr="002A0F92" w14:paraId="43CE39D8" w14:textId="77777777" w:rsidTr="00E75F3E">
        <w:tc>
          <w:tcPr>
            <w:tcW w:w="2019" w:type="dxa"/>
            <w:vMerge/>
          </w:tcPr>
          <w:p w14:paraId="2067C4ED" w14:textId="77777777" w:rsidR="00E062EB" w:rsidRPr="002F3BB0" w:rsidRDefault="00E062EB" w:rsidP="00E75F3E">
            <w:pPr>
              <w:rPr>
                <w:rFonts w:eastAsia="Times New Roman"/>
                <w:bCs/>
                <w:i/>
                <w:lang w:eastAsia="en-AU"/>
              </w:rPr>
            </w:pPr>
          </w:p>
        </w:tc>
        <w:tc>
          <w:tcPr>
            <w:tcW w:w="3147" w:type="dxa"/>
          </w:tcPr>
          <w:p w14:paraId="47FA81D4" w14:textId="77777777" w:rsidR="00E062EB" w:rsidRPr="00512F77" w:rsidRDefault="00E062EB" w:rsidP="00E75F3E">
            <w:pPr>
              <w:rPr>
                <w:rFonts w:eastAsia="Times New Roman"/>
                <w:i/>
                <w:lang w:eastAsia="en-AU"/>
              </w:rPr>
            </w:pPr>
            <w:r w:rsidRPr="00512F77">
              <w:rPr>
                <w:rFonts w:eastAsia="Times New Roman"/>
                <w:lang w:eastAsia="en-AU"/>
              </w:rPr>
              <w:t>Agency role and main functions</w:t>
            </w:r>
          </w:p>
        </w:tc>
        <w:tc>
          <w:tcPr>
            <w:tcW w:w="2483" w:type="dxa"/>
          </w:tcPr>
          <w:p w14:paraId="705371A9" w14:textId="77777777" w:rsidR="00E062EB" w:rsidRPr="00512F77" w:rsidRDefault="00E062EB" w:rsidP="00E75F3E">
            <w:pPr>
              <w:rPr>
                <w:rFonts w:eastAsia="Times New Roman"/>
                <w:i/>
                <w:lang w:eastAsia="en-AU"/>
              </w:rPr>
            </w:pPr>
            <w:r w:rsidRPr="00512F77">
              <w:rPr>
                <w:rFonts w:eastAsia="Times New Roman"/>
                <w:lang w:val="fr-FR" w:eastAsia="en-AU"/>
              </w:rPr>
              <w:t xml:space="preserve">ARRs </w:t>
            </w:r>
            <w:r w:rsidR="001C00B9" w:rsidRPr="00512F77">
              <w:rPr>
                <w:rFonts w:eastAsia="Times New Roman"/>
                <w:lang w:eastAsia="en-AU"/>
              </w:rPr>
              <w:t>—</w:t>
            </w:r>
            <w:r w:rsidRPr="00512F77">
              <w:rPr>
                <w:rFonts w:eastAsia="Times New Roman"/>
                <w:lang w:val="fr-FR" w:eastAsia="en-AU"/>
              </w:rPr>
              <w:t xml:space="preserve"> section </w:t>
            </w:r>
            <w:r w:rsidRPr="00512F77">
              <w:rPr>
                <w:rFonts w:eastAsia="Times New Roman"/>
                <w:lang w:eastAsia="en-AU"/>
              </w:rPr>
              <w:t>1</w:t>
            </w:r>
            <w:r w:rsidR="004E2CFD" w:rsidRPr="00512F77">
              <w:rPr>
                <w:rFonts w:eastAsia="Times New Roman"/>
                <w:lang w:eastAsia="en-AU"/>
              </w:rPr>
              <w:t>0</w:t>
            </w:r>
            <w:r w:rsidRPr="00512F77">
              <w:rPr>
                <w:rFonts w:eastAsia="Times New Roman"/>
                <w:lang w:eastAsia="en-AU"/>
              </w:rPr>
              <w:t>.2</w:t>
            </w:r>
          </w:p>
        </w:tc>
        <w:tc>
          <w:tcPr>
            <w:tcW w:w="1641" w:type="dxa"/>
          </w:tcPr>
          <w:p w14:paraId="4C3C63D1" w14:textId="77777777" w:rsidR="00E062EB" w:rsidRPr="00512F77" w:rsidRDefault="00D55F0C" w:rsidP="00E75F3E">
            <w:pPr>
              <w:rPr>
                <w:rFonts w:eastAsia="Times New Roman"/>
                <w:i/>
                <w:lang w:eastAsia="en-AU"/>
              </w:rPr>
            </w:pPr>
            <w:r w:rsidRPr="00512F77">
              <w:rPr>
                <w:rFonts w:eastAsia="Times New Roman"/>
                <w:lang w:eastAsia="en-AU"/>
              </w:rPr>
              <w:t>Page 6</w:t>
            </w:r>
          </w:p>
        </w:tc>
      </w:tr>
      <w:tr w:rsidR="00E062EB" w:rsidRPr="002A0F92" w14:paraId="04FA93A5" w14:textId="77777777" w:rsidTr="00E75F3E">
        <w:tc>
          <w:tcPr>
            <w:tcW w:w="2019" w:type="dxa"/>
            <w:vMerge/>
          </w:tcPr>
          <w:p w14:paraId="598DE30B" w14:textId="77777777" w:rsidR="00E062EB" w:rsidRPr="002F3BB0" w:rsidRDefault="00E062EB" w:rsidP="00E75F3E">
            <w:pPr>
              <w:rPr>
                <w:rFonts w:eastAsia="Times New Roman"/>
                <w:bCs/>
                <w:i/>
                <w:lang w:eastAsia="en-AU"/>
              </w:rPr>
            </w:pPr>
          </w:p>
        </w:tc>
        <w:tc>
          <w:tcPr>
            <w:tcW w:w="3147" w:type="dxa"/>
          </w:tcPr>
          <w:p w14:paraId="334BF317" w14:textId="77777777" w:rsidR="00E062EB" w:rsidRPr="00512F77" w:rsidRDefault="00E062EB" w:rsidP="00E75F3E">
            <w:pPr>
              <w:rPr>
                <w:rFonts w:eastAsia="Times New Roman"/>
                <w:i/>
                <w:lang w:eastAsia="en-AU"/>
              </w:rPr>
            </w:pPr>
            <w:r w:rsidRPr="00512F77">
              <w:rPr>
                <w:rFonts w:eastAsia="Times New Roman"/>
                <w:lang w:eastAsia="en-AU"/>
              </w:rPr>
              <w:t>Operating environment</w:t>
            </w:r>
          </w:p>
        </w:tc>
        <w:tc>
          <w:tcPr>
            <w:tcW w:w="2483" w:type="dxa"/>
          </w:tcPr>
          <w:p w14:paraId="03B987E2" w14:textId="77777777" w:rsidR="00E062EB" w:rsidRPr="00512F77" w:rsidRDefault="00E062EB" w:rsidP="00E75F3E">
            <w:pPr>
              <w:rPr>
                <w:rFonts w:eastAsia="Times New Roman"/>
                <w:i/>
                <w:lang w:val="fr-FR" w:eastAsia="en-AU"/>
              </w:rPr>
            </w:pPr>
            <w:r w:rsidRPr="00512F77">
              <w:rPr>
                <w:rFonts w:eastAsia="Times New Roman"/>
                <w:lang w:val="fr-FR" w:eastAsia="en-AU"/>
              </w:rPr>
              <w:t xml:space="preserve">ARRs </w:t>
            </w:r>
            <w:r w:rsidR="001C00B9" w:rsidRPr="00512F77">
              <w:rPr>
                <w:rFonts w:eastAsia="Times New Roman"/>
                <w:lang w:eastAsia="en-AU"/>
              </w:rPr>
              <w:t>—</w:t>
            </w:r>
            <w:r w:rsidRPr="00512F77">
              <w:rPr>
                <w:rFonts w:eastAsia="Times New Roman"/>
                <w:lang w:val="fr-FR" w:eastAsia="en-AU"/>
              </w:rPr>
              <w:t xml:space="preserve"> section </w:t>
            </w:r>
            <w:r w:rsidR="004E2CFD" w:rsidRPr="00512F77">
              <w:rPr>
                <w:rFonts w:eastAsia="Times New Roman"/>
                <w:lang w:eastAsia="en-AU"/>
              </w:rPr>
              <w:t>10</w:t>
            </w:r>
            <w:r w:rsidRPr="00512F77">
              <w:rPr>
                <w:rFonts w:eastAsia="Times New Roman"/>
                <w:lang w:eastAsia="en-AU"/>
              </w:rPr>
              <w:t>.3</w:t>
            </w:r>
          </w:p>
        </w:tc>
        <w:tc>
          <w:tcPr>
            <w:tcW w:w="1641" w:type="dxa"/>
          </w:tcPr>
          <w:p w14:paraId="7F9EAA5C" w14:textId="77777777" w:rsidR="00E062EB" w:rsidRPr="00512F77" w:rsidRDefault="00D55F0C" w:rsidP="00E75F3E">
            <w:pPr>
              <w:rPr>
                <w:rFonts w:eastAsia="Times New Roman"/>
                <w:i/>
                <w:lang w:eastAsia="en-AU"/>
              </w:rPr>
            </w:pPr>
            <w:r w:rsidRPr="00512F77">
              <w:rPr>
                <w:rFonts w:eastAsia="Times New Roman"/>
                <w:lang w:eastAsia="en-AU"/>
              </w:rPr>
              <w:t>Page 6</w:t>
            </w:r>
          </w:p>
        </w:tc>
      </w:tr>
      <w:tr w:rsidR="003640E9" w:rsidRPr="002A0F92" w14:paraId="4E985DDB" w14:textId="77777777" w:rsidTr="00E75F3E">
        <w:tc>
          <w:tcPr>
            <w:tcW w:w="2019" w:type="dxa"/>
            <w:vMerge w:val="restart"/>
          </w:tcPr>
          <w:p w14:paraId="1BFEDD1D" w14:textId="77777777" w:rsidR="003640E9" w:rsidRPr="002F3BB0" w:rsidRDefault="003640E9" w:rsidP="00E75F3E">
            <w:pPr>
              <w:rPr>
                <w:rFonts w:eastAsia="Times New Roman"/>
                <w:bCs/>
                <w:i/>
                <w:lang w:eastAsia="en-AU"/>
              </w:rPr>
            </w:pPr>
            <w:r w:rsidRPr="002F3BB0">
              <w:rPr>
                <w:rFonts w:eastAsia="Times New Roman"/>
                <w:bCs/>
                <w:lang w:eastAsia="en-AU"/>
              </w:rPr>
              <w:t>Non-financial performance</w:t>
            </w:r>
          </w:p>
        </w:tc>
        <w:tc>
          <w:tcPr>
            <w:tcW w:w="3147" w:type="dxa"/>
          </w:tcPr>
          <w:p w14:paraId="1B754F8B" w14:textId="77777777" w:rsidR="003640E9" w:rsidRPr="00512F77" w:rsidRDefault="003640E9" w:rsidP="00E75F3E">
            <w:pPr>
              <w:rPr>
                <w:rFonts w:eastAsia="Times New Roman"/>
                <w:i/>
                <w:lang w:eastAsia="en-AU"/>
              </w:rPr>
            </w:pPr>
            <w:r w:rsidRPr="00512F77">
              <w:rPr>
                <w:rFonts w:eastAsia="Times New Roman"/>
                <w:lang w:eastAsia="en-AU"/>
              </w:rPr>
              <w:t>Government objectives for the community</w:t>
            </w:r>
          </w:p>
        </w:tc>
        <w:tc>
          <w:tcPr>
            <w:tcW w:w="2483" w:type="dxa"/>
          </w:tcPr>
          <w:p w14:paraId="7E794F33"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004E2CFD" w:rsidRPr="00512F77">
              <w:rPr>
                <w:rFonts w:eastAsia="Times New Roman"/>
                <w:lang w:eastAsia="en-AU"/>
              </w:rPr>
              <w:t xml:space="preserve"> section</w:t>
            </w:r>
            <w:r w:rsidR="00803E9C">
              <w:rPr>
                <w:rFonts w:eastAsia="Times New Roman"/>
                <w:lang w:eastAsia="en-AU"/>
              </w:rPr>
              <w:t xml:space="preserve"> </w:t>
            </w:r>
            <w:r w:rsidR="004E2CFD" w:rsidRPr="00512F77">
              <w:rPr>
                <w:rFonts w:eastAsia="Times New Roman"/>
                <w:lang w:eastAsia="en-AU"/>
              </w:rPr>
              <w:t>11</w:t>
            </w:r>
            <w:r w:rsidR="003640E9" w:rsidRPr="00512F77">
              <w:rPr>
                <w:rFonts w:eastAsia="Times New Roman"/>
                <w:lang w:eastAsia="en-AU"/>
              </w:rPr>
              <w:t>.1</w:t>
            </w:r>
          </w:p>
        </w:tc>
        <w:tc>
          <w:tcPr>
            <w:tcW w:w="1641" w:type="dxa"/>
          </w:tcPr>
          <w:p w14:paraId="0EE05137" w14:textId="77777777" w:rsidR="003640E9" w:rsidRPr="00512F77" w:rsidRDefault="00522EE6" w:rsidP="00E75F3E">
            <w:pPr>
              <w:rPr>
                <w:rFonts w:eastAsia="Times New Roman"/>
                <w:i/>
                <w:lang w:eastAsia="en-AU"/>
              </w:rPr>
            </w:pPr>
            <w:r w:rsidRPr="00512F77">
              <w:rPr>
                <w:rFonts w:eastAsia="Times New Roman"/>
                <w:lang w:eastAsia="en-AU"/>
              </w:rPr>
              <w:t xml:space="preserve">Page </w:t>
            </w:r>
            <w:r w:rsidR="00DE08F3" w:rsidRPr="00512F77">
              <w:rPr>
                <w:rFonts w:eastAsia="Times New Roman"/>
                <w:lang w:eastAsia="en-AU"/>
              </w:rPr>
              <w:t>5</w:t>
            </w:r>
          </w:p>
        </w:tc>
      </w:tr>
      <w:tr w:rsidR="003640E9" w:rsidRPr="002A0F92" w14:paraId="2B1D3C12" w14:textId="77777777" w:rsidTr="00E75F3E">
        <w:tc>
          <w:tcPr>
            <w:tcW w:w="2019" w:type="dxa"/>
            <w:vMerge/>
          </w:tcPr>
          <w:p w14:paraId="46558136" w14:textId="77777777" w:rsidR="003640E9" w:rsidRPr="002F3BB0" w:rsidRDefault="003640E9" w:rsidP="00E75F3E">
            <w:pPr>
              <w:rPr>
                <w:rFonts w:eastAsia="Times New Roman"/>
                <w:bCs/>
                <w:i/>
                <w:lang w:eastAsia="en-AU"/>
              </w:rPr>
            </w:pPr>
          </w:p>
        </w:tc>
        <w:tc>
          <w:tcPr>
            <w:tcW w:w="3147" w:type="dxa"/>
          </w:tcPr>
          <w:p w14:paraId="594AC89C" w14:textId="77777777" w:rsidR="003640E9" w:rsidRPr="00512F77" w:rsidRDefault="003640E9" w:rsidP="00E75F3E">
            <w:pPr>
              <w:rPr>
                <w:rFonts w:eastAsia="Times New Roman"/>
                <w:i/>
                <w:lang w:eastAsia="en-AU"/>
              </w:rPr>
            </w:pPr>
            <w:r w:rsidRPr="00512F77">
              <w:rPr>
                <w:rFonts w:eastAsia="Times New Roman"/>
                <w:lang w:eastAsia="en-AU"/>
              </w:rPr>
              <w:t>Other whole-of-government plans / specific initiatives</w:t>
            </w:r>
          </w:p>
        </w:tc>
        <w:tc>
          <w:tcPr>
            <w:tcW w:w="2483" w:type="dxa"/>
          </w:tcPr>
          <w:p w14:paraId="24FEFA44"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1</w:t>
            </w:r>
            <w:r w:rsidRPr="00512F77">
              <w:rPr>
                <w:rFonts w:eastAsia="Times New Roman"/>
                <w:lang w:eastAsia="en-AU"/>
              </w:rPr>
              <w:t>.2</w:t>
            </w:r>
          </w:p>
        </w:tc>
        <w:tc>
          <w:tcPr>
            <w:tcW w:w="1641" w:type="dxa"/>
          </w:tcPr>
          <w:p w14:paraId="64D3C443" w14:textId="77777777" w:rsidR="003640E9" w:rsidRPr="00512F77" w:rsidRDefault="00512F77" w:rsidP="00E75F3E">
            <w:pPr>
              <w:rPr>
                <w:rFonts w:eastAsia="Times New Roman"/>
                <w:i/>
                <w:lang w:eastAsia="en-AU"/>
              </w:rPr>
            </w:pPr>
            <w:r w:rsidRPr="00512F77">
              <w:rPr>
                <w:rFonts w:eastAsia="Times New Roman"/>
                <w:lang w:eastAsia="en-AU"/>
              </w:rPr>
              <w:t>Page 11</w:t>
            </w:r>
          </w:p>
        </w:tc>
      </w:tr>
      <w:tr w:rsidR="003640E9" w:rsidRPr="002A0F92" w14:paraId="39AB2FA6" w14:textId="77777777" w:rsidTr="00E75F3E">
        <w:tc>
          <w:tcPr>
            <w:tcW w:w="2019" w:type="dxa"/>
            <w:vMerge/>
          </w:tcPr>
          <w:p w14:paraId="1B965070" w14:textId="77777777" w:rsidR="003640E9" w:rsidRPr="002F3BB0" w:rsidRDefault="003640E9" w:rsidP="00E75F3E">
            <w:pPr>
              <w:rPr>
                <w:rFonts w:eastAsia="Times New Roman"/>
                <w:bCs/>
                <w:i/>
                <w:lang w:eastAsia="en-AU"/>
              </w:rPr>
            </w:pPr>
          </w:p>
        </w:tc>
        <w:tc>
          <w:tcPr>
            <w:tcW w:w="3147" w:type="dxa"/>
          </w:tcPr>
          <w:p w14:paraId="7098A09E" w14:textId="77777777" w:rsidR="003640E9" w:rsidRPr="00512F77" w:rsidRDefault="00E062EB" w:rsidP="00E75F3E">
            <w:pPr>
              <w:rPr>
                <w:rFonts w:eastAsia="Times New Roman"/>
                <w:i/>
                <w:lang w:eastAsia="en-AU"/>
              </w:rPr>
            </w:pPr>
            <w:r w:rsidRPr="00512F77">
              <w:rPr>
                <w:rFonts w:eastAsia="Times New Roman"/>
                <w:lang w:eastAsia="en-AU"/>
              </w:rPr>
              <w:t>Agency objectives and performance indicators</w:t>
            </w:r>
          </w:p>
        </w:tc>
        <w:tc>
          <w:tcPr>
            <w:tcW w:w="2483" w:type="dxa"/>
          </w:tcPr>
          <w:p w14:paraId="2A56B5A0"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1</w:t>
            </w:r>
            <w:r w:rsidRPr="00512F77">
              <w:rPr>
                <w:rFonts w:eastAsia="Times New Roman"/>
                <w:lang w:eastAsia="en-AU"/>
              </w:rPr>
              <w:t>.3</w:t>
            </w:r>
          </w:p>
        </w:tc>
        <w:tc>
          <w:tcPr>
            <w:tcW w:w="1641" w:type="dxa"/>
          </w:tcPr>
          <w:p w14:paraId="5B828813" w14:textId="77777777" w:rsidR="003640E9" w:rsidRPr="00512F77" w:rsidRDefault="00D55F0C" w:rsidP="00E75F3E">
            <w:pPr>
              <w:rPr>
                <w:rFonts w:eastAsia="Times New Roman"/>
                <w:i/>
                <w:lang w:eastAsia="en-AU"/>
              </w:rPr>
            </w:pPr>
            <w:r w:rsidRPr="00512F77">
              <w:rPr>
                <w:rFonts w:eastAsia="Times New Roman"/>
                <w:lang w:eastAsia="en-AU"/>
              </w:rPr>
              <w:t xml:space="preserve">Page </w:t>
            </w:r>
            <w:r w:rsidR="00DE08F3" w:rsidRPr="00512F77">
              <w:rPr>
                <w:rFonts w:eastAsia="Times New Roman"/>
                <w:lang w:eastAsia="en-AU"/>
              </w:rPr>
              <w:t>8</w:t>
            </w:r>
          </w:p>
        </w:tc>
      </w:tr>
      <w:tr w:rsidR="003640E9" w:rsidRPr="002A0F92" w14:paraId="3AFE29CD" w14:textId="77777777" w:rsidTr="00E75F3E">
        <w:tc>
          <w:tcPr>
            <w:tcW w:w="2019" w:type="dxa"/>
            <w:vMerge/>
          </w:tcPr>
          <w:p w14:paraId="774FB89C" w14:textId="77777777" w:rsidR="003640E9" w:rsidRPr="002F3BB0" w:rsidRDefault="003640E9" w:rsidP="00E75F3E">
            <w:pPr>
              <w:rPr>
                <w:rFonts w:eastAsia="Times New Roman"/>
                <w:bCs/>
                <w:i/>
                <w:lang w:eastAsia="en-AU"/>
              </w:rPr>
            </w:pPr>
          </w:p>
        </w:tc>
        <w:tc>
          <w:tcPr>
            <w:tcW w:w="3147" w:type="dxa"/>
          </w:tcPr>
          <w:p w14:paraId="486A398C" w14:textId="77777777" w:rsidR="003640E9" w:rsidRPr="00512F77" w:rsidRDefault="00E062EB" w:rsidP="00E75F3E">
            <w:pPr>
              <w:rPr>
                <w:rFonts w:eastAsia="Times New Roman"/>
                <w:i/>
                <w:lang w:eastAsia="en-AU"/>
              </w:rPr>
            </w:pPr>
            <w:r w:rsidRPr="00512F77">
              <w:rPr>
                <w:rFonts w:eastAsia="Times New Roman"/>
                <w:lang w:eastAsia="en-AU"/>
              </w:rPr>
              <w:t>Agency service areas,</w:t>
            </w:r>
            <w:r w:rsidR="00216388" w:rsidRPr="00512F77">
              <w:rPr>
                <w:rFonts w:eastAsia="Times New Roman"/>
                <w:lang w:eastAsia="en-AU"/>
              </w:rPr>
              <w:t xml:space="preserve"> and</w:t>
            </w:r>
            <w:r w:rsidRPr="00512F77">
              <w:rPr>
                <w:rFonts w:eastAsia="Times New Roman"/>
                <w:lang w:eastAsia="en-AU"/>
              </w:rPr>
              <w:t xml:space="preserve"> </w:t>
            </w:r>
            <w:r w:rsidR="00216388" w:rsidRPr="00512F77">
              <w:rPr>
                <w:rFonts w:eastAsia="Times New Roman"/>
                <w:lang w:eastAsia="en-AU"/>
              </w:rPr>
              <w:t>service standards</w:t>
            </w:r>
          </w:p>
        </w:tc>
        <w:tc>
          <w:tcPr>
            <w:tcW w:w="2483" w:type="dxa"/>
          </w:tcPr>
          <w:p w14:paraId="2E2E99E2"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1</w:t>
            </w:r>
            <w:r w:rsidRPr="00512F77">
              <w:rPr>
                <w:rFonts w:eastAsia="Times New Roman"/>
                <w:lang w:eastAsia="en-AU"/>
              </w:rPr>
              <w:t>.4</w:t>
            </w:r>
          </w:p>
        </w:tc>
        <w:tc>
          <w:tcPr>
            <w:tcW w:w="1641" w:type="dxa"/>
          </w:tcPr>
          <w:p w14:paraId="4CD24DC4" w14:textId="77777777" w:rsidR="003640E9" w:rsidRPr="00512F77" w:rsidRDefault="00D55F0C" w:rsidP="00E75F3E">
            <w:pPr>
              <w:rPr>
                <w:rFonts w:eastAsia="Times New Roman"/>
                <w:i/>
                <w:lang w:eastAsia="en-AU"/>
              </w:rPr>
            </w:pPr>
            <w:r w:rsidRPr="00512F77">
              <w:rPr>
                <w:rFonts w:eastAsia="Times New Roman"/>
                <w:lang w:eastAsia="en-AU"/>
              </w:rPr>
              <w:t>Page</w:t>
            </w:r>
            <w:r w:rsidR="00DE08F3" w:rsidRPr="00512F77">
              <w:rPr>
                <w:rFonts w:eastAsia="Times New Roman"/>
                <w:lang w:eastAsia="en-AU"/>
              </w:rPr>
              <w:t xml:space="preserve"> 8</w:t>
            </w:r>
          </w:p>
        </w:tc>
      </w:tr>
      <w:tr w:rsidR="003640E9" w:rsidRPr="002A0F92" w14:paraId="59FF5D4B" w14:textId="77777777" w:rsidTr="00E75F3E">
        <w:tc>
          <w:tcPr>
            <w:tcW w:w="2019" w:type="dxa"/>
          </w:tcPr>
          <w:p w14:paraId="43966FE5" w14:textId="77777777" w:rsidR="003640E9" w:rsidRPr="002F3BB0" w:rsidRDefault="003640E9" w:rsidP="00E75F3E">
            <w:pPr>
              <w:rPr>
                <w:rFonts w:eastAsia="Times New Roman"/>
                <w:bCs/>
                <w:i/>
                <w:lang w:eastAsia="en-AU"/>
              </w:rPr>
            </w:pPr>
            <w:r w:rsidRPr="002F3BB0">
              <w:rPr>
                <w:rFonts w:eastAsia="Times New Roman"/>
                <w:bCs/>
                <w:lang w:eastAsia="en-AU"/>
              </w:rPr>
              <w:t>Financial performance</w:t>
            </w:r>
          </w:p>
        </w:tc>
        <w:tc>
          <w:tcPr>
            <w:tcW w:w="3147" w:type="dxa"/>
          </w:tcPr>
          <w:p w14:paraId="7D4F7689" w14:textId="77777777" w:rsidR="003640E9" w:rsidRPr="00512F77" w:rsidRDefault="003640E9" w:rsidP="00E75F3E">
            <w:pPr>
              <w:rPr>
                <w:rFonts w:eastAsia="Times New Roman"/>
                <w:i/>
                <w:lang w:eastAsia="en-AU"/>
              </w:rPr>
            </w:pPr>
            <w:r w:rsidRPr="00512F77">
              <w:rPr>
                <w:rFonts w:eastAsia="Times New Roman"/>
                <w:lang w:eastAsia="en-AU"/>
              </w:rPr>
              <w:t>Summary of financial performance</w:t>
            </w:r>
          </w:p>
        </w:tc>
        <w:tc>
          <w:tcPr>
            <w:tcW w:w="2483" w:type="dxa"/>
          </w:tcPr>
          <w:p w14:paraId="6C835782"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2</w:t>
            </w:r>
            <w:r w:rsidRPr="00512F77">
              <w:rPr>
                <w:rFonts w:eastAsia="Times New Roman"/>
                <w:lang w:eastAsia="en-AU"/>
              </w:rPr>
              <w:t>.1</w:t>
            </w:r>
          </w:p>
        </w:tc>
        <w:tc>
          <w:tcPr>
            <w:tcW w:w="1641" w:type="dxa"/>
          </w:tcPr>
          <w:p w14:paraId="05C10C3E" w14:textId="77777777" w:rsidR="003640E9" w:rsidRPr="00512F77" w:rsidRDefault="00D55F0C" w:rsidP="00E75F3E">
            <w:pPr>
              <w:rPr>
                <w:rFonts w:eastAsia="Times New Roman"/>
                <w:i/>
                <w:lang w:eastAsia="en-AU"/>
              </w:rPr>
            </w:pPr>
            <w:r w:rsidRPr="00512F77">
              <w:rPr>
                <w:rFonts w:eastAsia="Times New Roman"/>
                <w:lang w:eastAsia="en-AU"/>
              </w:rPr>
              <w:t>Page 4</w:t>
            </w:r>
            <w:r w:rsidR="00512F77" w:rsidRPr="00512F77">
              <w:rPr>
                <w:rFonts w:eastAsia="Times New Roman"/>
                <w:lang w:eastAsia="en-AU"/>
              </w:rPr>
              <w:t>9</w:t>
            </w:r>
          </w:p>
        </w:tc>
      </w:tr>
      <w:tr w:rsidR="003640E9" w:rsidRPr="00743D8C" w14:paraId="526DC6E3" w14:textId="77777777" w:rsidTr="00E75F3E">
        <w:tc>
          <w:tcPr>
            <w:tcW w:w="2019" w:type="dxa"/>
            <w:vMerge w:val="restart"/>
          </w:tcPr>
          <w:p w14:paraId="34AAFDFC" w14:textId="77777777" w:rsidR="003640E9" w:rsidRPr="002F3BB0" w:rsidRDefault="003640E9" w:rsidP="00E75F3E">
            <w:pPr>
              <w:rPr>
                <w:rFonts w:eastAsia="Times New Roman"/>
                <w:bCs/>
                <w:i/>
                <w:lang w:eastAsia="en-AU"/>
              </w:rPr>
            </w:pPr>
            <w:r w:rsidRPr="002F3BB0">
              <w:rPr>
                <w:rFonts w:eastAsia="Times New Roman"/>
                <w:bCs/>
                <w:lang w:eastAsia="en-AU"/>
              </w:rPr>
              <w:t>Governance – management and structure</w:t>
            </w:r>
          </w:p>
        </w:tc>
        <w:tc>
          <w:tcPr>
            <w:tcW w:w="3147" w:type="dxa"/>
          </w:tcPr>
          <w:p w14:paraId="1EDE6A11" w14:textId="77777777" w:rsidR="003640E9" w:rsidRPr="00512F77" w:rsidRDefault="003640E9" w:rsidP="00E75F3E">
            <w:pPr>
              <w:rPr>
                <w:rFonts w:eastAsia="Times New Roman"/>
                <w:i/>
                <w:lang w:eastAsia="en-AU"/>
              </w:rPr>
            </w:pPr>
            <w:r w:rsidRPr="00512F77">
              <w:rPr>
                <w:rFonts w:eastAsia="Times New Roman"/>
                <w:lang w:eastAsia="en-AU"/>
              </w:rPr>
              <w:t>Organisational structure</w:t>
            </w:r>
          </w:p>
        </w:tc>
        <w:tc>
          <w:tcPr>
            <w:tcW w:w="2483" w:type="dxa"/>
          </w:tcPr>
          <w:p w14:paraId="5597C685"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3</w:t>
            </w:r>
            <w:r w:rsidRPr="00512F77">
              <w:rPr>
                <w:rFonts w:eastAsia="Times New Roman"/>
                <w:lang w:eastAsia="en-AU"/>
              </w:rPr>
              <w:t>.1</w:t>
            </w:r>
          </w:p>
        </w:tc>
        <w:tc>
          <w:tcPr>
            <w:tcW w:w="1641" w:type="dxa"/>
          </w:tcPr>
          <w:p w14:paraId="3AA7CCEF" w14:textId="77777777" w:rsidR="003640E9" w:rsidRPr="00512F77" w:rsidRDefault="00512F77" w:rsidP="00E75F3E">
            <w:pPr>
              <w:rPr>
                <w:rFonts w:eastAsia="Times New Roman"/>
                <w:i/>
                <w:lang w:eastAsia="en-AU"/>
              </w:rPr>
            </w:pPr>
            <w:r w:rsidRPr="00512F77">
              <w:rPr>
                <w:rFonts w:eastAsia="Times New Roman"/>
                <w:lang w:eastAsia="en-AU"/>
              </w:rPr>
              <w:t>Appendix D</w:t>
            </w:r>
          </w:p>
        </w:tc>
      </w:tr>
      <w:tr w:rsidR="003640E9" w:rsidRPr="00743D8C" w14:paraId="55A3610D" w14:textId="77777777" w:rsidTr="00E75F3E">
        <w:tc>
          <w:tcPr>
            <w:tcW w:w="2019" w:type="dxa"/>
            <w:vMerge/>
          </w:tcPr>
          <w:p w14:paraId="5873D90A" w14:textId="77777777" w:rsidR="003640E9" w:rsidRPr="002F3BB0" w:rsidRDefault="003640E9" w:rsidP="00E75F3E">
            <w:pPr>
              <w:rPr>
                <w:rFonts w:eastAsia="Times New Roman"/>
                <w:bCs/>
                <w:i/>
                <w:lang w:eastAsia="en-AU"/>
              </w:rPr>
            </w:pPr>
          </w:p>
        </w:tc>
        <w:tc>
          <w:tcPr>
            <w:tcW w:w="3147" w:type="dxa"/>
          </w:tcPr>
          <w:p w14:paraId="6F5A4805" w14:textId="77777777" w:rsidR="003640E9" w:rsidRPr="00512F77" w:rsidRDefault="003640E9" w:rsidP="00E75F3E">
            <w:pPr>
              <w:rPr>
                <w:rFonts w:eastAsia="Times New Roman"/>
                <w:i/>
                <w:lang w:eastAsia="en-AU"/>
              </w:rPr>
            </w:pPr>
            <w:r w:rsidRPr="00512F77">
              <w:rPr>
                <w:rFonts w:eastAsia="Times New Roman"/>
                <w:lang w:eastAsia="en-AU"/>
              </w:rPr>
              <w:t>Executive management</w:t>
            </w:r>
          </w:p>
        </w:tc>
        <w:tc>
          <w:tcPr>
            <w:tcW w:w="2483" w:type="dxa"/>
          </w:tcPr>
          <w:p w14:paraId="7589DD87"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3</w:t>
            </w:r>
            <w:r w:rsidR="003640E9" w:rsidRPr="00512F77">
              <w:rPr>
                <w:rFonts w:eastAsia="Times New Roman"/>
                <w:lang w:eastAsia="en-AU"/>
              </w:rPr>
              <w:t>.2</w:t>
            </w:r>
          </w:p>
        </w:tc>
        <w:tc>
          <w:tcPr>
            <w:tcW w:w="1641" w:type="dxa"/>
          </w:tcPr>
          <w:p w14:paraId="45046BAB" w14:textId="77777777" w:rsidR="003640E9" w:rsidRPr="00512F77" w:rsidRDefault="00512F77" w:rsidP="00E75F3E">
            <w:pPr>
              <w:rPr>
                <w:rFonts w:eastAsia="Times New Roman"/>
                <w:i/>
                <w:lang w:eastAsia="en-AU"/>
              </w:rPr>
            </w:pPr>
            <w:r w:rsidRPr="00512F77">
              <w:rPr>
                <w:rFonts w:eastAsia="Times New Roman"/>
                <w:lang w:eastAsia="en-AU"/>
              </w:rPr>
              <w:t>Page 42</w:t>
            </w:r>
          </w:p>
        </w:tc>
      </w:tr>
      <w:tr w:rsidR="003640E9" w:rsidRPr="00743D8C" w14:paraId="01889C8A" w14:textId="77777777" w:rsidTr="00E75F3E">
        <w:tc>
          <w:tcPr>
            <w:tcW w:w="2019" w:type="dxa"/>
            <w:vMerge/>
          </w:tcPr>
          <w:p w14:paraId="77CF1912" w14:textId="77777777" w:rsidR="003640E9" w:rsidRPr="002F3BB0" w:rsidRDefault="003640E9" w:rsidP="00E75F3E">
            <w:pPr>
              <w:rPr>
                <w:rFonts w:eastAsia="Times New Roman"/>
                <w:bCs/>
                <w:i/>
                <w:lang w:eastAsia="en-AU"/>
              </w:rPr>
            </w:pPr>
          </w:p>
        </w:tc>
        <w:tc>
          <w:tcPr>
            <w:tcW w:w="3147" w:type="dxa"/>
          </w:tcPr>
          <w:p w14:paraId="5F01B036" w14:textId="77777777" w:rsidR="003640E9" w:rsidRPr="00512F77" w:rsidRDefault="00FE3111" w:rsidP="00E75F3E">
            <w:pPr>
              <w:rPr>
                <w:rFonts w:eastAsia="Times New Roman"/>
                <w:i/>
                <w:lang w:eastAsia="en-AU"/>
              </w:rPr>
            </w:pPr>
            <w:r w:rsidRPr="00512F77">
              <w:rPr>
                <w:rFonts w:eastAsia="Times New Roman"/>
                <w:lang w:eastAsia="en-AU"/>
              </w:rPr>
              <w:t>Government bodies</w:t>
            </w:r>
            <w:r w:rsidR="00682916" w:rsidRPr="00512F77">
              <w:rPr>
                <w:rFonts w:eastAsia="Times New Roman"/>
                <w:lang w:eastAsia="en-AU"/>
              </w:rPr>
              <w:t xml:space="preserve"> (statutory bodies and other entities)</w:t>
            </w:r>
          </w:p>
        </w:tc>
        <w:tc>
          <w:tcPr>
            <w:tcW w:w="2483" w:type="dxa"/>
          </w:tcPr>
          <w:p w14:paraId="5ED1FE61"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3</w:t>
            </w:r>
            <w:r w:rsidR="003640E9" w:rsidRPr="00512F77">
              <w:rPr>
                <w:rFonts w:eastAsia="Times New Roman"/>
                <w:lang w:eastAsia="en-AU"/>
              </w:rPr>
              <w:t>.</w:t>
            </w:r>
            <w:r w:rsidR="00682916" w:rsidRPr="00512F77">
              <w:rPr>
                <w:rFonts w:eastAsia="Times New Roman"/>
                <w:lang w:eastAsia="en-AU"/>
              </w:rPr>
              <w:t>3</w:t>
            </w:r>
          </w:p>
        </w:tc>
        <w:tc>
          <w:tcPr>
            <w:tcW w:w="1641" w:type="dxa"/>
          </w:tcPr>
          <w:p w14:paraId="3918A542" w14:textId="77777777" w:rsidR="003640E9" w:rsidRPr="00512F77" w:rsidRDefault="00D55F0C" w:rsidP="00E75F3E">
            <w:pPr>
              <w:rPr>
                <w:rFonts w:eastAsia="Times New Roman"/>
                <w:i/>
                <w:lang w:eastAsia="en-AU"/>
              </w:rPr>
            </w:pPr>
            <w:r w:rsidRPr="00512F77">
              <w:rPr>
                <w:rFonts w:eastAsia="Times New Roman"/>
                <w:lang w:eastAsia="en-AU"/>
              </w:rPr>
              <w:t>N/A</w:t>
            </w:r>
          </w:p>
        </w:tc>
      </w:tr>
      <w:tr w:rsidR="003640E9" w:rsidRPr="00743D8C" w14:paraId="6E385465" w14:textId="77777777" w:rsidTr="00E75F3E">
        <w:tc>
          <w:tcPr>
            <w:tcW w:w="2019" w:type="dxa"/>
            <w:vMerge/>
          </w:tcPr>
          <w:p w14:paraId="70E9F927" w14:textId="77777777" w:rsidR="003640E9" w:rsidRPr="002F3BB0" w:rsidRDefault="003640E9" w:rsidP="00E75F3E">
            <w:pPr>
              <w:rPr>
                <w:rFonts w:eastAsia="Times New Roman"/>
                <w:bCs/>
                <w:i/>
                <w:lang w:eastAsia="en-AU"/>
              </w:rPr>
            </w:pPr>
          </w:p>
        </w:tc>
        <w:tc>
          <w:tcPr>
            <w:tcW w:w="3147" w:type="dxa"/>
          </w:tcPr>
          <w:p w14:paraId="5B082EA6" w14:textId="77777777" w:rsidR="003640E9" w:rsidRPr="00512F77" w:rsidRDefault="003640E9" w:rsidP="00E75F3E">
            <w:pPr>
              <w:rPr>
                <w:rFonts w:eastAsia="Times New Roman"/>
                <w:lang w:eastAsia="en-AU"/>
              </w:rPr>
            </w:pPr>
            <w:r w:rsidRPr="00512F77">
              <w:rPr>
                <w:rFonts w:eastAsia="Times New Roman"/>
                <w:lang w:eastAsia="en-AU"/>
              </w:rPr>
              <w:t>Public Sector Ethics Act 1994</w:t>
            </w:r>
          </w:p>
        </w:tc>
        <w:tc>
          <w:tcPr>
            <w:tcW w:w="2483" w:type="dxa"/>
          </w:tcPr>
          <w:p w14:paraId="63F287D2" w14:textId="77777777" w:rsidR="003640E9" w:rsidRPr="00512F77" w:rsidRDefault="003640E9" w:rsidP="00E75F3E">
            <w:pPr>
              <w:rPr>
                <w:rFonts w:eastAsia="Times New Roman"/>
                <w:lang w:eastAsia="en-AU"/>
              </w:rPr>
            </w:pPr>
            <w:r w:rsidRPr="00512F77">
              <w:rPr>
                <w:rFonts w:eastAsia="Times New Roman"/>
                <w:lang w:eastAsia="en-AU"/>
              </w:rPr>
              <w:t>Public Sector Ethics Act 1994</w:t>
            </w:r>
          </w:p>
          <w:p w14:paraId="6A51643E"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3</w:t>
            </w:r>
            <w:r w:rsidRPr="00512F77">
              <w:rPr>
                <w:rFonts w:eastAsia="Times New Roman"/>
                <w:lang w:eastAsia="en-AU"/>
              </w:rPr>
              <w:t>.</w:t>
            </w:r>
            <w:r w:rsidR="00682916" w:rsidRPr="00512F77">
              <w:rPr>
                <w:rFonts w:eastAsia="Times New Roman"/>
                <w:lang w:eastAsia="en-AU"/>
              </w:rPr>
              <w:t>4</w:t>
            </w:r>
          </w:p>
        </w:tc>
        <w:tc>
          <w:tcPr>
            <w:tcW w:w="1641" w:type="dxa"/>
          </w:tcPr>
          <w:p w14:paraId="4F7FA060" w14:textId="77777777" w:rsidR="003640E9" w:rsidRPr="00512F77" w:rsidRDefault="00512F77" w:rsidP="00E75F3E">
            <w:pPr>
              <w:rPr>
                <w:rFonts w:eastAsia="Times New Roman"/>
                <w:i/>
                <w:lang w:eastAsia="en-AU"/>
              </w:rPr>
            </w:pPr>
            <w:r w:rsidRPr="00512F77">
              <w:rPr>
                <w:rFonts w:eastAsia="Times New Roman"/>
                <w:lang w:eastAsia="en-AU"/>
              </w:rPr>
              <w:t>Page 46</w:t>
            </w:r>
          </w:p>
        </w:tc>
      </w:tr>
      <w:tr w:rsidR="00CE7202" w:rsidRPr="00743D8C" w14:paraId="696CD42D" w14:textId="77777777" w:rsidTr="00E75F3E">
        <w:tc>
          <w:tcPr>
            <w:tcW w:w="2019" w:type="dxa"/>
          </w:tcPr>
          <w:p w14:paraId="020A9883" w14:textId="77777777" w:rsidR="00CE7202" w:rsidRPr="002F3BB0" w:rsidRDefault="00CE7202" w:rsidP="00E75F3E">
            <w:pPr>
              <w:rPr>
                <w:rFonts w:eastAsia="Times New Roman"/>
                <w:bCs/>
                <w:i/>
                <w:lang w:eastAsia="en-AU"/>
              </w:rPr>
            </w:pPr>
          </w:p>
        </w:tc>
        <w:tc>
          <w:tcPr>
            <w:tcW w:w="3147" w:type="dxa"/>
          </w:tcPr>
          <w:p w14:paraId="6B8989C4" w14:textId="77777777" w:rsidR="00CE7202" w:rsidRPr="00512F77" w:rsidRDefault="00CE7202" w:rsidP="00E75F3E">
            <w:pPr>
              <w:rPr>
                <w:rFonts w:eastAsia="Times New Roman"/>
                <w:i/>
                <w:lang w:eastAsia="en-AU"/>
              </w:rPr>
            </w:pPr>
            <w:r w:rsidRPr="00512F77">
              <w:rPr>
                <w:rFonts w:eastAsia="Times New Roman"/>
                <w:lang w:eastAsia="en-AU"/>
              </w:rPr>
              <w:t>Queensland public service values</w:t>
            </w:r>
          </w:p>
        </w:tc>
        <w:tc>
          <w:tcPr>
            <w:tcW w:w="2483" w:type="dxa"/>
          </w:tcPr>
          <w:p w14:paraId="16771C8B" w14:textId="77777777" w:rsidR="00CE7202" w:rsidRPr="00512F77" w:rsidRDefault="00CE7202" w:rsidP="00E75F3E">
            <w:pPr>
              <w:rPr>
                <w:rFonts w:eastAsia="Times New Roman"/>
                <w:lang w:eastAsia="en-AU"/>
              </w:rPr>
            </w:pPr>
            <w:r w:rsidRPr="00512F77">
              <w:rPr>
                <w:rFonts w:eastAsia="Times New Roman"/>
                <w:lang w:eastAsia="en-AU"/>
              </w:rPr>
              <w:t>ARRs —</w:t>
            </w:r>
            <w:r w:rsidR="001830E4" w:rsidRPr="00512F77">
              <w:rPr>
                <w:rFonts w:eastAsia="Times New Roman"/>
                <w:lang w:eastAsia="en-AU"/>
              </w:rPr>
              <w:t xml:space="preserve"> section 1</w:t>
            </w:r>
            <w:r w:rsidR="004E2CFD" w:rsidRPr="00512F77">
              <w:rPr>
                <w:rFonts w:eastAsia="Times New Roman"/>
                <w:lang w:eastAsia="en-AU"/>
              </w:rPr>
              <w:t>3</w:t>
            </w:r>
            <w:r w:rsidR="001830E4" w:rsidRPr="00512F77">
              <w:rPr>
                <w:rFonts w:eastAsia="Times New Roman"/>
                <w:lang w:eastAsia="en-AU"/>
              </w:rPr>
              <w:t>.5</w:t>
            </w:r>
          </w:p>
        </w:tc>
        <w:tc>
          <w:tcPr>
            <w:tcW w:w="1641" w:type="dxa"/>
          </w:tcPr>
          <w:p w14:paraId="728EC01C" w14:textId="77777777" w:rsidR="00CE7202" w:rsidRPr="00512F77" w:rsidRDefault="00C3367F" w:rsidP="00E75F3E">
            <w:pPr>
              <w:rPr>
                <w:rFonts w:eastAsia="Times New Roman"/>
                <w:i/>
                <w:lang w:eastAsia="en-AU"/>
              </w:rPr>
            </w:pPr>
            <w:r w:rsidRPr="00512F77">
              <w:rPr>
                <w:rFonts w:eastAsia="Times New Roman"/>
                <w:lang w:eastAsia="en-AU"/>
              </w:rPr>
              <w:t>Page 5</w:t>
            </w:r>
          </w:p>
        </w:tc>
      </w:tr>
      <w:tr w:rsidR="00E062EB" w:rsidRPr="00743D8C" w14:paraId="1D7B8496" w14:textId="77777777" w:rsidTr="00E75F3E">
        <w:tc>
          <w:tcPr>
            <w:tcW w:w="2019" w:type="dxa"/>
            <w:vMerge w:val="restart"/>
          </w:tcPr>
          <w:p w14:paraId="0F14B2AB" w14:textId="77777777" w:rsidR="00E062EB" w:rsidRPr="002F3BB0" w:rsidRDefault="00E062EB" w:rsidP="00E75F3E">
            <w:pPr>
              <w:rPr>
                <w:rFonts w:eastAsia="Times New Roman"/>
                <w:bCs/>
                <w:i/>
                <w:lang w:eastAsia="en-AU"/>
              </w:rPr>
            </w:pPr>
            <w:r w:rsidRPr="002F3BB0">
              <w:rPr>
                <w:rFonts w:eastAsia="Times New Roman"/>
                <w:bCs/>
                <w:lang w:eastAsia="en-AU"/>
              </w:rPr>
              <w:t>Governance – risk management and accountability</w:t>
            </w:r>
          </w:p>
        </w:tc>
        <w:tc>
          <w:tcPr>
            <w:tcW w:w="3147" w:type="dxa"/>
          </w:tcPr>
          <w:p w14:paraId="28170850" w14:textId="77777777" w:rsidR="00E062EB" w:rsidRPr="00512F77" w:rsidRDefault="00E062EB" w:rsidP="00E75F3E">
            <w:pPr>
              <w:rPr>
                <w:rFonts w:eastAsia="Times New Roman"/>
                <w:i/>
                <w:lang w:eastAsia="en-AU"/>
              </w:rPr>
            </w:pPr>
            <w:r w:rsidRPr="00512F77">
              <w:rPr>
                <w:rFonts w:eastAsia="Times New Roman"/>
                <w:lang w:eastAsia="en-AU"/>
              </w:rPr>
              <w:t>Risk management</w:t>
            </w:r>
          </w:p>
        </w:tc>
        <w:tc>
          <w:tcPr>
            <w:tcW w:w="2483" w:type="dxa"/>
          </w:tcPr>
          <w:p w14:paraId="16A6B5C3"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4</w:t>
            </w:r>
            <w:r w:rsidRPr="00512F77">
              <w:rPr>
                <w:rFonts w:eastAsia="Times New Roman"/>
                <w:lang w:eastAsia="en-AU"/>
              </w:rPr>
              <w:t>.1</w:t>
            </w:r>
          </w:p>
        </w:tc>
        <w:tc>
          <w:tcPr>
            <w:tcW w:w="1641" w:type="dxa"/>
          </w:tcPr>
          <w:p w14:paraId="1497C55F" w14:textId="77777777" w:rsidR="00E062EB" w:rsidRPr="00512F77" w:rsidRDefault="00522EE6" w:rsidP="00E75F3E">
            <w:pPr>
              <w:rPr>
                <w:rFonts w:eastAsia="Times New Roman"/>
                <w:i/>
                <w:lang w:eastAsia="en-AU"/>
              </w:rPr>
            </w:pPr>
            <w:r w:rsidRPr="00512F77">
              <w:rPr>
                <w:rFonts w:eastAsia="Times New Roman"/>
                <w:lang w:eastAsia="en-AU"/>
              </w:rPr>
              <w:t>Page 4</w:t>
            </w:r>
            <w:r w:rsidR="00512F77" w:rsidRPr="00512F77">
              <w:rPr>
                <w:rFonts w:eastAsia="Times New Roman"/>
                <w:lang w:eastAsia="en-AU"/>
              </w:rPr>
              <w:t>7</w:t>
            </w:r>
          </w:p>
        </w:tc>
      </w:tr>
      <w:tr w:rsidR="00E062EB" w:rsidRPr="00743D8C" w14:paraId="578EB6BC" w14:textId="77777777" w:rsidTr="00E75F3E">
        <w:tc>
          <w:tcPr>
            <w:tcW w:w="2019" w:type="dxa"/>
            <w:vMerge/>
          </w:tcPr>
          <w:p w14:paraId="269A3560" w14:textId="77777777" w:rsidR="00E062EB" w:rsidRPr="002F3BB0" w:rsidRDefault="00E062EB" w:rsidP="00E75F3E">
            <w:pPr>
              <w:rPr>
                <w:rFonts w:eastAsia="Times New Roman"/>
                <w:bCs/>
                <w:i/>
                <w:lang w:eastAsia="en-AU"/>
              </w:rPr>
            </w:pPr>
          </w:p>
        </w:tc>
        <w:tc>
          <w:tcPr>
            <w:tcW w:w="3147" w:type="dxa"/>
          </w:tcPr>
          <w:p w14:paraId="04FE7746" w14:textId="77777777" w:rsidR="00E062EB" w:rsidRPr="00512F77" w:rsidRDefault="001830E4" w:rsidP="00E75F3E">
            <w:pPr>
              <w:rPr>
                <w:rFonts w:eastAsia="Times New Roman"/>
                <w:i/>
                <w:lang w:eastAsia="en-AU"/>
              </w:rPr>
            </w:pPr>
            <w:r w:rsidRPr="00512F77">
              <w:rPr>
                <w:rFonts w:eastAsia="Times New Roman"/>
                <w:lang w:eastAsia="en-AU"/>
              </w:rPr>
              <w:t>Audit committee</w:t>
            </w:r>
          </w:p>
        </w:tc>
        <w:tc>
          <w:tcPr>
            <w:tcW w:w="2483" w:type="dxa"/>
          </w:tcPr>
          <w:p w14:paraId="31327247"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4</w:t>
            </w:r>
            <w:r w:rsidRPr="00512F77">
              <w:rPr>
                <w:rFonts w:eastAsia="Times New Roman"/>
                <w:lang w:eastAsia="en-AU"/>
              </w:rPr>
              <w:t>.2</w:t>
            </w:r>
          </w:p>
        </w:tc>
        <w:tc>
          <w:tcPr>
            <w:tcW w:w="1641" w:type="dxa"/>
          </w:tcPr>
          <w:p w14:paraId="7756C9F5" w14:textId="77777777" w:rsidR="00E062EB" w:rsidRPr="00512F77" w:rsidRDefault="00512F77" w:rsidP="00E75F3E">
            <w:pPr>
              <w:rPr>
                <w:rFonts w:eastAsia="Times New Roman"/>
                <w:i/>
                <w:lang w:eastAsia="en-AU"/>
              </w:rPr>
            </w:pPr>
            <w:r w:rsidRPr="00512F77">
              <w:rPr>
                <w:rFonts w:eastAsia="Times New Roman"/>
                <w:lang w:eastAsia="en-AU"/>
              </w:rPr>
              <w:t>Page 47</w:t>
            </w:r>
          </w:p>
        </w:tc>
      </w:tr>
      <w:tr w:rsidR="00E062EB" w:rsidRPr="00743D8C" w14:paraId="07D89883" w14:textId="77777777" w:rsidTr="00E75F3E">
        <w:tc>
          <w:tcPr>
            <w:tcW w:w="2019" w:type="dxa"/>
            <w:vMerge/>
          </w:tcPr>
          <w:p w14:paraId="19053885" w14:textId="77777777" w:rsidR="00E062EB" w:rsidRPr="002F3BB0" w:rsidRDefault="00E062EB" w:rsidP="00E75F3E">
            <w:pPr>
              <w:rPr>
                <w:rFonts w:eastAsia="Times New Roman"/>
                <w:bCs/>
                <w:i/>
                <w:lang w:eastAsia="en-AU"/>
              </w:rPr>
            </w:pPr>
          </w:p>
        </w:tc>
        <w:tc>
          <w:tcPr>
            <w:tcW w:w="3147" w:type="dxa"/>
          </w:tcPr>
          <w:p w14:paraId="78560135" w14:textId="77777777" w:rsidR="00E062EB" w:rsidRPr="00512F77" w:rsidRDefault="001830E4" w:rsidP="00E75F3E">
            <w:pPr>
              <w:rPr>
                <w:rFonts w:eastAsia="Times New Roman"/>
                <w:i/>
                <w:lang w:eastAsia="en-AU"/>
              </w:rPr>
            </w:pPr>
            <w:r w:rsidRPr="00512F77">
              <w:rPr>
                <w:rFonts w:eastAsia="Times New Roman"/>
                <w:lang w:eastAsia="en-AU"/>
              </w:rPr>
              <w:t>Internal audit</w:t>
            </w:r>
          </w:p>
        </w:tc>
        <w:tc>
          <w:tcPr>
            <w:tcW w:w="2483" w:type="dxa"/>
          </w:tcPr>
          <w:p w14:paraId="1679459E"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4</w:t>
            </w:r>
            <w:r w:rsidRPr="00512F77">
              <w:rPr>
                <w:rFonts w:eastAsia="Times New Roman"/>
                <w:lang w:eastAsia="en-AU"/>
              </w:rPr>
              <w:t>.3</w:t>
            </w:r>
          </w:p>
        </w:tc>
        <w:tc>
          <w:tcPr>
            <w:tcW w:w="1641" w:type="dxa"/>
          </w:tcPr>
          <w:p w14:paraId="45707F83" w14:textId="77777777" w:rsidR="00E062EB" w:rsidRPr="00512F77" w:rsidRDefault="00522EE6" w:rsidP="00E75F3E">
            <w:pPr>
              <w:rPr>
                <w:rFonts w:eastAsia="Times New Roman"/>
                <w:i/>
                <w:lang w:eastAsia="en-AU"/>
              </w:rPr>
            </w:pPr>
            <w:r w:rsidRPr="00512F77">
              <w:rPr>
                <w:rFonts w:eastAsia="Times New Roman"/>
                <w:lang w:eastAsia="en-AU"/>
              </w:rPr>
              <w:t>Page 4</w:t>
            </w:r>
            <w:r w:rsidR="00512F77" w:rsidRPr="00512F77">
              <w:rPr>
                <w:rFonts w:eastAsia="Times New Roman"/>
                <w:lang w:eastAsia="en-AU"/>
              </w:rPr>
              <w:t>7</w:t>
            </w:r>
          </w:p>
        </w:tc>
      </w:tr>
      <w:tr w:rsidR="00E062EB" w:rsidRPr="00743D8C" w14:paraId="7A74C33B" w14:textId="77777777" w:rsidTr="00E75F3E">
        <w:trPr>
          <w:trHeight w:val="422"/>
        </w:trPr>
        <w:tc>
          <w:tcPr>
            <w:tcW w:w="2019" w:type="dxa"/>
            <w:vMerge/>
          </w:tcPr>
          <w:p w14:paraId="1B5F9DDA" w14:textId="77777777" w:rsidR="00E062EB" w:rsidRPr="002F3BB0" w:rsidRDefault="00E062EB" w:rsidP="00E75F3E">
            <w:pPr>
              <w:rPr>
                <w:rFonts w:eastAsia="Times New Roman"/>
                <w:bCs/>
                <w:i/>
                <w:lang w:eastAsia="en-AU"/>
              </w:rPr>
            </w:pPr>
          </w:p>
        </w:tc>
        <w:tc>
          <w:tcPr>
            <w:tcW w:w="3147" w:type="dxa"/>
          </w:tcPr>
          <w:p w14:paraId="3E3779E1" w14:textId="77777777" w:rsidR="00E062EB" w:rsidRPr="00512F77" w:rsidRDefault="001830E4" w:rsidP="00E75F3E">
            <w:pPr>
              <w:rPr>
                <w:rFonts w:eastAsia="Times New Roman"/>
                <w:i/>
                <w:lang w:eastAsia="en-AU"/>
              </w:rPr>
            </w:pPr>
            <w:r w:rsidRPr="00512F77">
              <w:rPr>
                <w:rFonts w:eastAsia="Times New Roman"/>
                <w:lang w:eastAsia="en-AU"/>
              </w:rPr>
              <w:t>External scrutiny</w:t>
            </w:r>
          </w:p>
        </w:tc>
        <w:tc>
          <w:tcPr>
            <w:tcW w:w="2483" w:type="dxa"/>
          </w:tcPr>
          <w:p w14:paraId="714B83BA"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4</w:t>
            </w:r>
            <w:r w:rsidRPr="00512F77">
              <w:rPr>
                <w:rFonts w:eastAsia="Times New Roman"/>
                <w:lang w:eastAsia="en-AU"/>
              </w:rPr>
              <w:t>.4</w:t>
            </w:r>
          </w:p>
        </w:tc>
        <w:tc>
          <w:tcPr>
            <w:tcW w:w="1641" w:type="dxa"/>
          </w:tcPr>
          <w:p w14:paraId="79097259" w14:textId="77777777" w:rsidR="00E062EB" w:rsidRPr="00512F77" w:rsidRDefault="001830E4" w:rsidP="00E75F3E">
            <w:pPr>
              <w:rPr>
                <w:rFonts w:eastAsia="Times New Roman"/>
                <w:i/>
                <w:lang w:eastAsia="en-AU"/>
              </w:rPr>
            </w:pPr>
            <w:r w:rsidRPr="00512F77">
              <w:rPr>
                <w:rFonts w:eastAsia="Times New Roman"/>
                <w:lang w:eastAsia="en-AU"/>
              </w:rPr>
              <w:t>N/A</w:t>
            </w:r>
          </w:p>
        </w:tc>
      </w:tr>
      <w:tr w:rsidR="00E062EB" w:rsidRPr="00743D8C" w14:paraId="4589E102" w14:textId="77777777" w:rsidTr="00E75F3E">
        <w:trPr>
          <w:trHeight w:val="422"/>
        </w:trPr>
        <w:tc>
          <w:tcPr>
            <w:tcW w:w="2019" w:type="dxa"/>
            <w:vMerge/>
          </w:tcPr>
          <w:p w14:paraId="6C7294DC" w14:textId="77777777" w:rsidR="00E062EB" w:rsidRPr="002F3BB0" w:rsidRDefault="00E062EB" w:rsidP="00E75F3E">
            <w:pPr>
              <w:rPr>
                <w:rFonts w:eastAsia="Times New Roman"/>
                <w:bCs/>
                <w:i/>
                <w:lang w:eastAsia="en-AU"/>
              </w:rPr>
            </w:pPr>
          </w:p>
        </w:tc>
        <w:tc>
          <w:tcPr>
            <w:tcW w:w="3147" w:type="dxa"/>
          </w:tcPr>
          <w:p w14:paraId="02C5A174" w14:textId="77777777" w:rsidR="00E062EB" w:rsidRPr="00512F77" w:rsidRDefault="00E062EB" w:rsidP="00E75F3E">
            <w:pPr>
              <w:rPr>
                <w:rFonts w:eastAsia="Times New Roman"/>
                <w:i/>
                <w:lang w:eastAsia="en-AU"/>
              </w:rPr>
            </w:pPr>
            <w:r w:rsidRPr="00512F77">
              <w:rPr>
                <w:rFonts w:eastAsia="Times New Roman"/>
                <w:lang w:eastAsia="en-AU"/>
              </w:rPr>
              <w:t>Information systems and recordkeeping</w:t>
            </w:r>
          </w:p>
        </w:tc>
        <w:tc>
          <w:tcPr>
            <w:tcW w:w="2483" w:type="dxa"/>
          </w:tcPr>
          <w:p w14:paraId="72CF9769" w14:textId="77777777" w:rsidR="00E062EB"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4</w:t>
            </w:r>
            <w:r w:rsidRPr="00512F77">
              <w:rPr>
                <w:rFonts w:eastAsia="Times New Roman"/>
                <w:lang w:eastAsia="en-AU"/>
              </w:rPr>
              <w:t>.</w:t>
            </w:r>
            <w:r w:rsidR="00682916" w:rsidRPr="00512F77">
              <w:rPr>
                <w:rFonts w:eastAsia="Times New Roman"/>
                <w:lang w:eastAsia="en-AU"/>
              </w:rPr>
              <w:t>5</w:t>
            </w:r>
          </w:p>
        </w:tc>
        <w:tc>
          <w:tcPr>
            <w:tcW w:w="1641" w:type="dxa"/>
          </w:tcPr>
          <w:p w14:paraId="20F080CC" w14:textId="77777777" w:rsidR="00E062EB" w:rsidRPr="00512F77" w:rsidRDefault="00522EE6" w:rsidP="00E75F3E">
            <w:pPr>
              <w:rPr>
                <w:rFonts w:eastAsia="Times New Roman"/>
                <w:i/>
                <w:lang w:eastAsia="en-AU"/>
              </w:rPr>
            </w:pPr>
            <w:r w:rsidRPr="00512F77">
              <w:rPr>
                <w:rFonts w:eastAsia="Times New Roman"/>
                <w:lang w:eastAsia="en-AU"/>
              </w:rPr>
              <w:t>Page 4</w:t>
            </w:r>
            <w:r w:rsidR="00512F77" w:rsidRPr="00512F77">
              <w:rPr>
                <w:rFonts w:eastAsia="Times New Roman"/>
                <w:lang w:eastAsia="en-AU"/>
              </w:rPr>
              <w:t>7</w:t>
            </w:r>
          </w:p>
        </w:tc>
      </w:tr>
      <w:tr w:rsidR="003640E9" w:rsidRPr="00743D8C" w14:paraId="4F29B0B4" w14:textId="77777777" w:rsidTr="00E75F3E">
        <w:tc>
          <w:tcPr>
            <w:tcW w:w="2019" w:type="dxa"/>
            <w:vMerge w:val="restart"/>
          </w:tcPr>
          <w:p w14:paraId="5589EDD4" w14:textId="77777777" w:rsidR="003640E9" w:rsidRPr="002F3BB0" w:rsidRDefault="003640E9" w:rsidP="00E75F3E">
            <w:pPr>
              <w:rPr>
                <w:rFonts w:eastAsia="Times New Roman"/>
                <w:bCs/>
                <w:i/>
                <w:lang w:eastAsia="en-AU"/>
              </w:rPr>
            </w:pPr>
            <w:r w:rsidRPr="002F3BB0">
              <w:rPr>
                <w:rFonts w:eastAsia="Times New Roman"/>
                <w:bCs/>
                <w:lang w:eastAsia="en-AU"/>
              </w:rPr>
              <w:t>Governance – human resources</w:t>
            </w:r>
          </w:p>
        </w:tc>
        <w:tc>
          <w:tcPr>
            <w:tcW w:w="3147" w:type="dxa"/>
          </w:tcPr>
          <w:p w14:paraId="2775D1A2" w14:textId="77777777" w:rsidR="003640E9" w:rsidRPr="00512F77" w:rsidRDefault="004E2CFD" w:rsidP="00E75F3E">
            <w:pPr>
              <w:rPr>
                <w:rFonts w:eastAsia="Times New Roman"/>
                <w:i/>
                <w:lang w:eastAsia="en-AU"/>
              </w:rPr>
            </w:pPr>
            <w:r w:rsidRPr="00512F77">
              <w:rPr>
                <w:rFonts w:eastAsia="Times New Roman"/>
                <w:lang w:eastAsia="en-AU"/>
              </w:rPr>
              <w:t>Strategic w</w:t>
            </w:r>
            <w:r w:rsidR="003640E9" w:rsidRPr="00512F77">
              <w:rPr>
                <w:rFonts w:eastAsia="Times New Roman"/>
                <w:lang w:eastAsia="en-AU"/>
              </w:rPr>
              <w:t xml:space="preserve">orkforce planning </w:t>
            </w:r>
            <w:r w:rsidR="00682916" w:rsidRPr="00512F77">
              <w:rPr>
                <w:rFonts w:eastAsia="Times New Roman"/>
                <w:lang w:eastAsia="en-AU"/>
              </w:rPr>
              <w:t>a</w:t>
            </w:r>
            <w:r w:rsidR="00E062EB" w:rsidRPr="00512F77">
              <w:rPr>
                <w:rFonts w:eastAsia="Times New Roman"/>
                <w:lang w:eastAsia="en-AU"/>
              </w:rPr>
              <w:t>nd performance</w:t>
            </w:r>
          </w:p>
        </w:tc>
        <w:tc>
          <w:tcPr>
            <w:tcW w:w="2483" w:type="dxa"/>
          </w:tcPr>
          <w:p w14:paraId="6DF7F1BD"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5</w:t>
            </w:r>
            <w:r w:rsidR="003640E9" w:rsidRPr="00512F77">
              <w:rPr>
                <w:rFonts w:eastAsia="Times New Roman"/>
                <w:lang w:eastAsia="en-AU"/>
              </w:rPr>
              <w:t>.1</w:t>
            </w:r>
          </w:p>
        </w:tc>
        <w:tc>
          <w:tcPr>
            <w:tcW w:w="1641" w:type="dxa"/>
          </w:tcPr>
          <w:p w14:paraId="5C01E136" w14:textId="77777777" w:rsidR="003640E9" w:rsidRPr="00512F77" w:rsidRDefault="00D55F0C" w:rsidP="00E75F3E">
            <w:pPr>
              <w:rPr>
                <w:rFonts w:eastAsia="Times New Roman"/>
                <w:i/>
                <w:lang w:eastAsia="en-AU"/>
              </w:rPr>
            </w:pPr>
            <w:r w:rsidRPr="00512F77">
              <w:rPr>
                <w:rFonts w:eastAsia="Times New Roman"/>
                <w:lang w:eastAsia="en-AU"/>
              </w:rPr>
              <w:t>Pa</w:t>
            </w:r>
            <w:r w:rsidR="00512F77" w:rsidRPr="00512F77">
              <w:rPr>
                <w:rFonts w:eastAsia="Times New Roman"/>
                <w:lang w:eastAsia="en-AU"/>
              </w:rPr>
              <w:t>ge 44</w:t>
            </w:r>
          </w:p>
        </w:tc>
      </w:tr>
      <w:tr w:rsidR="003640E9" w:rsidRPr="00743D8C" w14:paraId="0FDBA64F" w14:textId="77777777" w:rsidTr="00E75F3E">
        <w:tc>
          <w:tcPr>
            <w:tcW w:w="2019" w:type="dxa"/>
            <w:vMerge/>
          </w:tcPr>
          <w:p w14:paraId="0D6CCC4D" w14:textId="77777777" w:rsidR="003640E9" w:rsidRPr="002F3BB0" w:rsidRDefault="003640E9" w:rsidP="00E75F3E">
            <w:pPr>
              <w:rPr>
                <w:rFonts w:eastAsia="Times New Roman"/>
                <w:bCs/>
                <w:i/>
                <w:lang w:eastAsia="en-AU"/>
              </w:rPr>
            </w:pPr>
          </w:p>
        </w:tc>
        <w:tc>
          <w:tcPr>
            <w:tcW w:w="3147" w:type="dxa"/>
          </w:tcPr>
          <w:p w14:paraId="21E65076" w14:textId="77777777" w:rsidR="003640E9" w:rsidRPr="00512F77" w:rsidRDefault="003640E9" w:rsidP="00E75F3E">
            <w:pPr>
              <w:rPr>
                <w:rFonts w:eastAsia="Times New Roman"/>
                <w:i/>
                <w:lang w:eastAsia="en-AU"/>
              </w:rPr>
            </w:pPr>
            <w:r w:rsidRPr="00512F77">
              <w:rPr>
                <w:rFonts w:eastAsia="Times New Roman"/>
                <w:lang w:eastAsia="en-AU"/>
              </w:rPr>
              <w:t>Early retirement, redundancy and retrenchment</w:t>
            </w:r>
          </w:p>
        </w:tc>
        <w:tc>
          <w:tcPr>
            <w:tcW w:w="2483" w:type="dxa"/>
          </w:tcPr>
          <w:p w14:paraId="1BA971F9" w14:textId="77777777" w:rsidR="003640E9" w:rsidRPr="00512F77" w:rsidRDefault="004E2CFD" w:rsidP="00E75F3E">
            <w:pPr>
              <w:rPr>
                <w:rFonts w:eastAsia="Times New Roman"/>
                <w:lang w:eastAsia="en-AU"/>
              </w:rPr>
            </w:pPr>
            <w:r w:rsidRPr="00512F77">
              <w:rPr>
                <w:rFonts w:eastAsia="Times New Roman"/>
                <w:lang w:eastAsia="en-AU"/>
              </w:rPr>
              <w:t>Directive No.04</w:t>
            </w:r>
            <w:r w:rsidR="003640E9" w:rsidRPr="00512F77">
              <w:rPr>
                <w:rFonts w:eastAsia="Times New Roman"/>
                <w:lang w:eastAsia="en-AU"/>
              </w:rPr>
              <w:t>/</w:t>
            </w:r>
            <w:r w:rsidR="00E062EB" w:rsidRPr="00512F77">
              <w:rPr>
                <w:rFonts w:eastAsia="Times New Roman"/>
                <w:lang w:eastAsia="en-AU"/>
              </w:rPr>
              <w:t>1</w:t>
            </w:r>
            <w:r w:rsidRPr="00512F77">
              <w:rPr>
                <w:rFonts w:eastAsia="Times New Roman"/>
                <w:lang w:eastAsia="en-AU"/>
              </w:rPr>
              <w:t>8</w:t>
            </w:r>
            <w:r w:rsidR="003640E9" w:rsidRPr="00512F77">
              <w:rPr>
                <w:rFonts w:eastAsia="Times New Roman"/>
                <w:lang w:eastAsia="en-AU"/>
              </w:rPr>
              <w:t xml:space="preserve"> Early Retirement, Redundancy and Retrenchment</w:t>
            </w:r>
          </w:p>
          <w:p w14:paraId="4E860C49"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5</w:t>
            </w:r>
            <w:r w:rsidR="003640E9" w:rsidRPr="00512F77">
              <w:rPr>
                <w:rFonts w:eastAsia="Times New Roman"/>
                <w:lang w:eastAsia="en-AU"/>
              </w:rPr>
              <w:t>.2</w:t>
            </w:r>
          </w:p>
        </w:tc>
        <w:tc>
          <w:tcPr>
            <w:tcW w:w="1641" w:type="dxa"/>
          </w:tcPr>
          <w:p w14:paraId="07923A85" w14:textId="77777777" w:rsidR="003640E9" w:rsidRPr="00512F77" w:rsidRDefault="00522EE6" w:rsidP="00E75F3E">
            <w:pPr>
              <w:rPr>
                <w:rFonts w:eastAsia="Times New Roman"/>
                <w:i/>
                <w:lang w:eastAsia="en-AU"/>
              </w:rPr>
            </w:pPr>
            <w:r w:rsidRPr="00512F77">
              <w:rPr>
                <w:rFonts w:eastAsia="Times New Roman"/>
                <w:lang w:eastAsia="en-AU"/>
              </w:rPr>
              <w:t>Page 4</w:t>
            </w:r>
            <w:r w:rsidR="00512F77" w:rsidRPr="00512F77">
              <w:rPr>
                <w:rFonts w:eastAsia="Times New Roman"/>
                <w:lang w:eastAsia="en-AU"/>
              </w:rPr>
              <w:t>7</w:t>
            </w:r>
          </w:p>
        </w:tc>
      </w:tr>
      <w:tr w:rsidR="004E2CFD" w:rsidRPr="00743D8C" w14:paraId="5F88BB78" w14:textId="77777777" w:rsidTr="00E75F3E">
        <w:tc>
          <w:tcPr>
            <w:tcW w:w="2019" w:type="dxa"/>
            <w:vMerge w:val="restart"/>
          </w:tcPr>
          <w:p w14:paraId="7887DBB2" w14:textId="77777777" w:rsidR="004E2CFD" w:rsidRPr="002F3BB0" w:rsidRDefault="004E2CFD" w:rsidP="00E75F3E">
            <w:pPr>
              <w:rPr>
                <w:rFonts w:eastAsia="Times New Roman"/>
                <w:bCs/>
                <w:i/>
                <w:lang w:eastAsia="en-AU"/>
              </w:rPr>
            </w:pPr>
            <w:r w:rsidRPr="002F3BB0">
              <w:rPr>
                <w:rFonts w:eastAsia="Times New Roman"/>
                <w:bCs/>
                <w:lang w:eastAsia="en-AU"/>
              </w:rPr>
              <w:t>Open Data</w:t>
            </w:r>
          </w:p>
        </w:tc>
        <w:tc>
          <w:tcPr>
            <w:tcW w:w="3147" w:type="dxa"/>
          </w:tcPr>
          <w:p w14:paraId="0F0421F2" w14:textId="77777777" w:rsidR="004E2CFD" w:rsidRPr="00512F77" w:rsidRDefault="004E2CFD" w:rsidP="00E75F3E">
            <w:pPr>
              <w:rPr>
                <w:rFonts w:eastAsia="Times New Roman"/>
                <w:i/>
                <w:lang w:eastAsia="en-AU"/>
              </w:rPr>
            </w:pPr>
            <w:r w:rsidRPr="00512F77">
              <w:rPr>
                <w:rFonts w:eastAsia="Times New Roman"/>
                <w:lang w:eastAsia="en-AU"/>
              </w:rPr>
              <w:t xml:space="preserve">Statement advising publication of information </w:t>
            </w:r>
          </w:p>
        </w:tc>
        <w:tc>
          <w:tcPr>
            <w:tcW w:w="2483" w:type="dxa"/>
          </w:tcPr>
          <w:p w14:paraId="2C96F225" w14:textId="77777777" w:rsidR="004E2CFD" w:rsidRPr="00512F77" w:rsidRDefault="004E2CFD" w:rsidP="00E75F3E">
            <w:pPr>
              <w:rPr>
                <w:rFonts w:eastAsia="Times New Roman"/>
                <w:i/>
                <w:lang w:eastAsia="en-AU"/>
              </w:rPr>
            </w:pPr>
            <w:r w:rsidRPr="00512F77">
              <w:rPr>
                <w:rFonts w:eastAsia="Times New Roman"/>
                <w:lang w:eastAsia="en-AU"/>
              </w:rPr>
              <w:t>ARRs — section 16</w:t>
            </w:r>
          </w:p>
          <w:p w14:paraId="35D435E1" w14:textId="77777777" w:rsidR="004E2CFD" w:rsidRPr="00512F77" w:rsidRDefault="004E2CFD" w:rsidP="00E75F3E">
            <w:pPr>
              <w:rPr>
                <w:rFonts w:eastAsia="Times New Roman"/>
                <w:i/>
                <w:lang w:eastAsia="en-AU"/>
              </w:rPr>
            </w:pPr>
          </w:p>
        </w:tc>
        <w:tc>
          <w:tcPr>
            <w:tcW w:w="1641" w:type="dxa"/>
          </w:tcPr>
          <w:p w14:paraId="2923DAAC" w14:textId="77777777" w:rsidR="004E2CFD" w:rsidRPr="00512F77" w:rsidRDefault="00512F77" w:rsidP="00E75F3E">
            <w:pPr>
              <w:rPr>
                <w:rFonts w:eastAsia="Times New Roman"/>
                <w:i/>
                <w:lang w:eastAsia="en-AU"/>
              </w:rPr>
            </w:pPr>
            <w:r w:rsidRPr="00512F77">
              <w:rPr>
                <w:rFonts w:eastAsia="Times New Roman"/>
                <w:lang w:eastAsia="en-AU"/>
              </w:rPr>
              <w:t>Page 47</w:t>
            </w:r>
          </w:p>
        </w:tc>
      </w:tr>
      <w:tr w:rsidR="004E2CFD" w:rsidRPr="00743D8C" w14:paraId="0F0FE962" w14:textId="77777777" w:rsidTr="00E75F3E">
        <w:tc>
          <w:tcPr>
            <w:tcW w:w="2019" w:type="dxa"/>
            <w:vMerge/>
          </w:tcPr>
          <w:p w14:paraId="1B8CD345" w14:textId="77777777" w:rsidR="004E2CFD" w:rsidRPr="002F3BB0" w:rsidRDefault="004E2CFD" w:rsidP="00E75F3E">
            <w:pPr>
              <w:rPr>
                <w:rFonts w:eastAsia="Times New Roman"/>
                <w:bCs/>
                <w:i/>
                <w:lang w:eastAsia="en-AU"/>
              </w:rPr>
            </w:pPr>
          </w:p>
        </w:tc>
        <w:tc>
          <w:tcPr>
            <w:tcW w:w="3147" w:type="dxa"/>
          </w:tcPr>
          <w:p w14:paraId="0491CE65" w14:textId="77777777" w:rsidR="004E2CFD" w:rsidRPr="00512F77" w:rsidRDefault="004E2CFD" w:rsidP="00E75F3E">
            <w:pPr>
              <w:rPr>
                <w:rFonts w:eastAsia="Times New Roman"/>
                <w:i/>
                <w:lang w:eastAsia="en-AU"/>
              </w:rPr>
            </w:pPr>
            <w:r w:rsidRPr="00512F77">
              <w:rPr>
                <w:rFonts w:eastAsia="Times New Roman"/>
                <w:lang w:eastAsia="en-AU"/>
              </w:rPr>
              <w:t>Consultancies</w:t>
            </w:r>
          </w:p>
        </w:tc>
        <w:tc>
          <w:tcPr>
            <w:tcW w:w="2483" w:type="dxa"/>
          </w:tcPr>
          <w:p w14:paraId="68A7A160" w14:textId="77777777" w:rsidR="004E2CFD" w:rsidRPr="00512F77" w:rsidRDefault="004E2CFD" w:rsidP="00E75F3E">
            <w:pPr>
              <w:rPr>
                <w:rFonts w:eastAsia="Times New Roman"/>
                <w:i/>
                <w:lang w:eastAsia="en-AU"/>
              </w:rPr>
            </w:pPr>
            <w:r w:rsidRPr="00512F77">
              <w:rPr>
                <w:rFonts w:eastAsia="Times New Roman"/>
                <w:lang w:eastAsia="en-AU"/>
              </w:rPr>
              <w:t>ARRs</w:t>
            </w:r>
            <w:r w:rsidR="00803E9C">
              <w:rPr>
                <w:rFonts w:eastAsia="Times New Roman"/>
                <w:lang w:eastAsia="en-AU"/>
              </w:rPr>
              <w:t xml:space="preserve"> </w:t>
            </w:r>
            <w:r w:rsidRPr="00512F77">
              <w:rPr>
                <w:rFonts w:eastAsia="Times New Roman"/>
                <w:lang w:eastAsia="en-AU"/>
              </w:rPr>
              <w:t>— section 33.1</w:t>
            </w:r>
          </w:p>
        </w:tc>
        <w:tc>
          <w:tcPr>
            <w:tcW w:w="1641" w:type="dxa"/>
          </w:tcPr>
          <w:p w14:paraId="01E6D1EC" w14:textId="77777777" w:rsidR="004E2CFD" w:rsidRPr="00512F77" w:rsidRDefault="004E2CFD" w:rsidP="00E75F3E">
            <w:pPr>
              <w:rPr>
                <w:rFonts w:eastAsia="Times New Roman"/>
                <w:i/>
                <w:lang w:eastAsia="en-AU"/>
              </w:rPr>
            </w:pPr>
            <w:r w:rsidRPr="00512F77">
              <w:rPr>
                <w:rFonts w:eastAsia="Times New Roman"/>
                <w:sz w:val="18"/>
                <w:lang w:eastAsia="en-AU"/>
              </w:rPr>
              <w:t>https://data/qld.gov.au</w:t>
            </w:r>
          </w:p>
        </w:tc>
      </w:tr>
      <w:tr w:rsidR="004E2CFD" w:rsidRPr="00743D8C" w14:paraId="3E952EE8" w14:textId="77777777" w:rsidTr="00E75F3E">
        <w:tc>
          <w:tcPr>
            <w:tcW w:w="2019" w:type="dxa"/>
            <w:vMerge/>
          </w:tcPr>
          <w:p w14:paraId="7079133E" w14:textId="77777777" w:rsidR="004E2CFD" w:rsidRPr="002F3BB0" w:rsidRDefault="004E2CFD" w:rsidP="00E75F3E">
            <w:pPr>
              <w:rPr>
                <w:rFonts w:eastAsia="Times New Roman"/>
                <w:bCs/>
                <w:i/>
                <w:lang w:eastAsia="en-AU"/>
              </w:rPr>
            </w:pPr>
          </w:p>
        </w:tc>
        <w:tc>
          <w:tcPr>
            <w:tcW w:w="3147" w:type="dxa"/>
          </w:tcPr>
          <w:p w14:paraId="6FE41CAB" w14:textId="77777777" w:rsidR="004E2CFD" w:rsidRPr="00512F77" w:rsidRDefault="004E2CFD" w:rsidP="00E75F3E">
            <w:pPr>
              <w:rPr>
                <w:rFonts w:eastAsia="Times New Roman"/>
                <w:i/>
                <w:lang w:eastAsia="en-AU"/>
              </w:rPr>
            </w:pPr>
            <w:r w:rsidRPr="00512F77">
              <w:rPr>
                <w:rFonts w:eastAsia="Times New Roman"/>
                <w:lang w:eastAsia="en-AU"/>
              </w:rPr>
              <w:t>Overseas travel</w:t>
            </w:r>
          </w:p>
        </w:tc>
        <w:tc>
          <w:tcPr>
            <w:tcW w:w="2483" w:type="dxa"/>
          </w:tcPr>
          <w:p w14:paraId="1D2CC2BC" w14:textId="77777777" w:rsidR="004E2CFD" w:rsidRPr="00512F77" w:rsidRDefault="004E2CFD" w:rsidP="00E75F3E">
            <w:pPr>
              <w:rPr>
                <w:rFonts w:eastAsia="Times New Roman"/>
                <w:i/>
                <w:lang w:eastAsia="en-AU"/>
              </w:rPr>
            </w:pPr>
            <w:r w:rsidRPr="00512F77">
              <w:rPr>
                <w:rFonts w:eastAsia="Times New Roman"/>
                <w:lang w:eastAsia="en-AU"/>
              </w:rPr>
              <w:t>ARRs — section 33.2</w:t>
            </w:r>
          </w:p>
        </w:tc>
        <w:tc>
          <w:tcPr>
            <w:tcW w:w="1641" w:type="dxa"/>
          </w:tcPr>
          <w:p w14:paraId="59376E74" w14:textId="77777777" w:rsidR="004E2CFD" w:rsidRPr="00512F77" w:rsidRDefault="004E2CFD" w:rsidP="00E75F3E">
            <w:pPr>
              <w:rPr>
                <w:rFonts w:eastAsia="Times New Roman"/>
                <w:i/>
                <w:lang w:eastAsia="en-AU"/>
              </w:rPr>
            </w:pPr>
            <w:r w:rsidRPr="00512F77">
              <w:rPr>
                <w:rFonts w:eastAsia="Times New Roman"/>
                <w:sz w:val="18"/>
                <w:lang w:eastAsia="en-AU"/>
              </w:rPr>
              <w:t>https://data/qld.gov.au</w:t>
            </w:r>
          </w:p>
        </w:tc>
      </w:tr>
      <w:tr w:rsidR="004E2CFD" w:rsidRPr="00743D8C" w14:paraId="7968D735" w14:textId="77777777" w:rsidTr="00E75F3E">
        <w:tc>
          <w:tcPr>
            <w:tcW w:w="2019" w:type="dxa"/>
            <w:vMerge/>
          </w:tcPr>
          <w:p w14:paraId="7C356128" w14:textId="77777777" w:rsidR="004E2CFD" w:rsidRPr="002F3BB0" w:rsidRDefault="004E2CFD" w:rsidP="00E75F3E">
            <w:pPr>
              <w:rPr>
                <w:rFonts w:eastAsia="Times New Roman"/>
                <w:bCs/>
                <w:i/>
                <w:lang w:eastAsia="en-AU"/>
              </w:rPr>
            </w:pPr>
          </w:p>
        </w:tc>
        <w:tc>
          <w:tcPr>
            <w:tcW w:w="3147" w:type="dxa"/>
          </w:tcPr>
          <w:p w14:paraId="26DD246F" w14:textId="77777777" w:rsidR="004E2CFD" w:rsidRPr="00512F77" w:rsidRDefault="004E2CFD" w:rsidP="00E75F3E">
            <w:pPr>
              <w:rPr>
                <w:rFonts w:eastAsia="Times New Roman"/>
                <w:i/>
                <w:lang w:eastAsia="en-AU"/>
              </w:rPr>
            </w:pPr>
            <w:r w:rsidRPr="00512F77">
              <w:rPr>
                <w:rFonts w:eastAsia="Times New Roman"/>
                <w:lang w:eastAsia="en-AU"/>
              </w:rPr>
              <w:t>Queensland Language Services Policy</w:t>
            </w:r>
          </w:p>
        </w:tc>
        <w:tc>
          <w:tcPr>
            <w:tcW w:w="2483" w:type="dxa"/>
          </w:tcPr>
          <w:p w14:paraId="0CCB7531" w14:textId="77777777" w:rsidR="004E2CFD" w:rsidRPr="00512F77" w:rsidRDefault="004E2CFD" w:rsidP="00E75F3E">
            <w:pPr>
              <w:rPr>
                <w:rFonts w:eastAsia="Times New Roman"/>
                <w:i/>
                <w:lang w:eastAsia="en-AU"/>
              </w:rPr>
            </w:pPr>
            <w:r w:rsidRPr="00512F77">
              <w:rPr>
                <w:rFonts w:eastAsia="Times New Roman"/>
                <w:lang w:eastAsia="en-AU"/>
              </w:rPr>
              <w:t>ARRs — section 33.3</w:t>
            </w:r>
          </w:p>
        </w:tc>
        <w:tc>
          <w:tcPr>
            <w:tcW w:w="1641" w:type="dxa"/>
          </w:tcPr>
          <w:p w14:paraId="745B9B7C" w14:textId="77777777" w:rsidR="004E2CFD" w:rsidRPr="00512F77" w:rsidRDefault="004E2CFD" w:rsidP="00E75F3E">
            <w:pPr>
              <w:rPr>
                <w:rFonts w:eastAsia="Times New Roman"/>
                <w:i/>
                <w:lang w:eastAsia="en-AU"/>
              </w:rPr>
            </w:pPr>
            <w:r w:rsidRPr="00512F77">
              <w:rPr>
                <w:rFonts w:eastAsia="Times New Roman"/>
                <w:sz w:val="18"/>
                <w:lang w:eastAsia="en-AU"/>
              </w:rPr>
              <w:t>https://data/qld.gov.au</w:t>
            </w:r>
          </w:p>
        </w:tc>
      </w:tr>
      <w:tr w:rsidR="003640E9" w:rsidRPr="00743D8C" w14:paraId="1E24F423" w14:textId="77777777" w:rsidTr="00E75F3E">
        <w:tc>
          <w:tcPr>
            <w:tcW w:w="2019" w:type="dxa"/>
            <w:vMerge w:val="restart"/>
          </w:tcPr>
          <w:p w14:paraId="46151380" w14:textId="77777777" w:rsidR="003640E9" w:rsidRPr="002F3BB0" w:rsidRDefault="003640E9" w:rsidP="00E75F3E">
            <w:pPr>
              <w:rPr>
                <w:rFonts w:eastAsia="Times New Roman"/>
                <w:bCs/>
                <w:i/>
                <w:lang w:eastAsia="en-AU"/>
              </w:rPr>
            </w:pPr>
            <w:r w:rsidRPr="002F3BB0">
              <w:rPr>
                <w:rFonts w:eastAsia="Times New Roman"/>
                <w:bCs/>
                <w:lang w:eastAsia="en-AU"/>
              </w:rPr>
              <w:t>Financial statements</w:t>
            </w:r>
          </w:p>
        </w:tc>
        <w:tc>
          <w:tcPr>
            <w:tcW w:w="3147" w:type="dxa"/>
          </w:tcPr>
          <w:p w14:paraId="3199EA18" w14:textId="77777777" w:rsidR="003640E9" w:rsidRPr="00512F77" w:rsidRDefault="003640E9" w:rsidP="00E75F3E">
            <w:pPr>
              <w:rPr>
                <w:rFonts w:eastAsia="Times New Roman"/>
                <w:i/>
                <w:lang w:eastAsia="en-AU"/>
              </w:rPr>
            </w:pPr>
            <w:r w:rsidRPr="00512F77">
              <w:rPr>
                <w:rFonts w:eastAsia="Times New Roman"/>
                <w:lang w:eastAsia="en-AU"/>
              </w:rPr>
              <w:t>Certification of financial statements</w:t>
            </w:r>
          </w:p>
        </w:tc>
        <w:tc>
          <w:tcPr>
            <w:tcW w:w="2483" w:type="dxa"/>
          </w:tcPr>
          <w:p w14:paraId="78B67754" w14:textId="77777777" w:rsidR="003640E9" w:rsidRPr="00512F77" w:rsidRDefault="003640E9" w:rsidP="00E75F3E">
            <w:pPr>
              <w:rPr>
                <w:rFonts w:eastAsia="Times New Roman"/>
                <w:i/>
                <w:lang w:eastAsia="en-AU"/>
              </w:rPr>
            </w:pPr>
            <w:r w:rsidRPr="00512F77">
              <w:rPr>
                <w:rFonts w:eastAsia="Times New Roman"/>
                <w:lang w:eastAsia="en-AU"/>
              </w:rPr>
              <w:t xml:space="preserve">FAA </w:t>
            </w:r>
            <w:r w:rsidR="001C00B9" w:rsidRPr="00512F77">
              <w:rPr>
                <w:rFonts w:eastAsia="Times New Roman"/>
                <w:lang w:eastAsia="en-AU"/>
              </w:rPr>
              <w:t>—</w:t>
            </w:r>
            <w:r w:rsidRPr="00512F77">
              <w:rPr>
                <w:rFonts w:eastAsia="Times New Roman"/>
                <w:lang w:eastAsia="en-AU"/>
              </w:rPr>
              <w:t xml:space="preserve"> section 62</w:t>
            </w:r>
          </w:p>
          <w:p w14:paraId="0B0CBED7" w14:textId="77777777" w:rsidR="003640E9" w:rsidRPr="00512F77" w:rsidRDefault="003640E9" w:rsidP="00E75F3E">
            <w:pPr>
              <w:rPr>
                <w:rFonts w:eastAsia="Times New Roman"/>
                <w:i/>
                <w:lang w:eastAsia="en-AU"/>
              </w:rPr>
            </w:pPr>
            <w:r w:rsidRPr="00512F77">
              <w:rPr>
                <w:rFonts w:eastAsia="Times New Roman"/>
                <w:lang w:eastAsia="en-AU"/>
              </w:rPr>
              <w:t xml:space="preserve">FPMS </w:t>
            </w:r>
            <w:r w:rsidR="001C00B9" w:rsidRPr="00512F77">
              <w:rPr>
                <w:rFonts w:eastAsia="Times New Roman"/>
                <w:lang w:eastAsia="en-AU"/>
              </w:rPr>
              <w:t>—</w:t>
            </w:r>
            <w:r w:rsidRPr="00512F77">
              <w:rPr>
                <w:rFonts w:eastAsia="Times New Roman"/>
                <w:lang w:eastAsia="en-AU"/>
              </w:rPr>
              <w:t xml:space="preserve"> sections 42, 43 and 50</w:t>
            </w:r>
          </w:p>
          <w:p w14:paraId="0301F22F" w14:textId="77777777" w:rsidR="003640E9" w:rsidRPr="00512F77" w:rsidRDefault="00E062EB"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7</w:t>
            </w:r>
            <w:r w:rsidR="003640E9" w:rsidRPr="00512F77">
              <w:rPr>
                <w:rFonts w:eastAsia="Times New Roman"/>
                <w:lang w:eastAsia="en-AU"/>
              </w:rPr>
              <w:t>.1</w:t>
            </w:r>
          </w:p>
        </w:tc>
        <w:tc>
          <w:tcPr>
            <w:tcW w:w="1641" w:type="dxa"/>
          </w:tcPr>
          <w:p w14:paraId="7CB4B1C3" w14:textId="77777777" w:rsidR="003640E9" w:rsidRPr="00512F77" w:rsidRDefault="00512F77" w:rsidP="00E75F3E">
            <w:pPr>
              <w:rPr>
                <w:rFonts w:eastAsia="Times New Roman"/>
                <w:i/>
                <w:lang w:eastAsia="en-AU"/>
              </w:rPr>
            </w:pPr>
            <w:r w:rsidRPr="00512F77">
              <w:rPr>
                <w:rFonts w:eastAsia="Times New Roman"/>
                <w:lang w:eastAsia="en-AU"/>
              </w:rPr>
              <w:t>Page 52</w:t>
            </w:r>
          </w:p>
          <w:p w14:paraId="3B148AFE" w14:textId="77777777" w:rsidR="00D55F0C" w:rsidRPr="00512F77" w:rsidRDefault="00D55F0C" w:rsidP="00E75F3E">
            <w:pPr>
              <w:rPr>
                <w:rFonts w:eastAsia="Times New Roman"/>
                <w:i/>
                <w:lang w:eastAsia="en-AU"/>
              </w:rPr>
            </w:pPr>
            <w:r w:rsidRPr="00512F77">
              <w:rPr>
                <w:rFonts w:eastAsia="Times New Roman"/>
                <w:lang w:eastAsia="en-AU"/>
              </w:rPr>
              <w:t xml:space="preserve">Appendix </w:t>
            </w:r>
            <w:r w:rsidR="00693B68" w:rsidRPr="00512F77">
              <w:rPr>
                <w:rFonts w:eastAsia="Times New Roman"/>
                <w:lang w:eastAsia="en-AU"/>
              </w:rPr>
              <w:t>G</w:t>
            </w:r>
          </w:p>
        </w:tc>
      </w:tr>
      <w:tr w:rsidR="003640E9" w:rsidRPr="00743D8C" w14:paraId="6A859B5B" w14:textId="77777777" w:rsidTr="00E75F3E">
        <w:tc>
          <w:tcPr>
            <w:tcW w:w="2019" w:type="dxa"/>
            <w:vMerge/>
          </w:tcPr>
          <w:p w14:paraId="0AB6AF98" w14:textId="77777777" w:rsidR="003640E9" w:rsidRPr="002F3BB0" w:rsidRDefault="003640E9" w:rsidP="00E75F3E">
            <w:pPr>
              <w:rPr>
                <w:rFonts w:eastAsia="Times New Roman"/>
                <w:bCs/>
                <w:i/>
                <w:lang w:eastAsia="en-AU"/>
              </w:rPr>
            </w:pPr>
          </w:p>
        </w:tc>
        <w:tc>
          <w:tcPr>
            <w:tcW w:w="3147" w:type="dxa"/>
          </w:tcPr>
          <w:p w14:paraId="1D7B1BA2" w14:textId="77777777" w:rsidR="003640E9" w:rsidRPr="00512F77" w:rsidRDefault="003640E9" w:rsidP="00E75F3E">
            <w:pPr>
              <w:rPr>
                <w:rFonts w:eastAsia="Times New Roman"/>
                <w:i/>
                <w:lang w:eastAsia="en-AU"/>
              </w:rPr>
            </w:pPr>
            <w:r w:rsidRPr="00512F77">
              <w:rPr>
                <w:rFonts w:eastAsia="Times New Roman"/>
                <w:lang w:eastAsia="en-AU"/>
              </w:rPr>
              <w:t xml:space="preserve">Independent </w:t>
            </w:r>
            <w:r w:rsidR="00682916" w:rsidRPr="00512F77">
              <w:rPr>
                <w:rFonts w:eastAsia="Times New Roman"/>
                <w:lang w:eastAsia="en-AU"/>
              </w:rPr>
              <w:t>A</w:t>
            </w:r>
            <w:r w:rsidRPr="00512F77">
              <w:rPr>
                <w:rFonts w:eastAsia="Times New Roman"/>
                <w:lang w:eastAsia="en-AU"/>
              </w:rPr>
              <w:t xml:space="preserve">uditors </w:t>
            </w:r>
            <w:r w:rsidR="00682916" w:rsidRPr="00512F77">
              <w:rPr>
                <w:rFonts w:eastAsia="Times New Roman"/>
                <w:lang w:eastAsia="en-AU"/>
              </w:rPr>
              <w:t>R</w:t>
            </w:r>
            <w:r w:rsidRPr="00512F77">
              <w:rPr>
                <w:rFonts w:eastAsia="Times New Roman"/>
                <w:lang w:eastAsia="en-AU"/>
              </w:rPr>
              <w:t>eport</w:t>
            </w:r>
          </w:p>
        </w:tc>
        <w:tc>
          <w:tcPr>
            <w:tcW w:w="2483" w:type="dxa"/>
          </w:tcPr>
          <w:p w14:paraId="16DFDF49" w14:textId="77777777" w:rsidR="003640E9" w:rsidRPr="00512F77" w:rsidRDefault="003640E9" w:rsidP="00E75F3E">
            <w:pPr>
              <w:rPr>
                <w:rFonts w:eastAsia="Times New Roman"/>
                <w:i/>
                <w:lang w:eastAsia="en-AU"/>
              </w:rPr>
            </w:pPr>
            <w:r w:rsidRPr="00512F77">
              <w:rPr>
                <w:rFonts w:eastAsia="Times New Roman"/>
                <w:lang w:eastAsia="en-AU"/>
              </w:rPr>
              <w:t xml:space="preserve">FAA </w:t>
            </w:r>
            <w:r w:rsidR="001C00B9" w:rsidRPr="00512F77">
              <w:rPr>
                <w:rFonts w:eastAsia="Times New Roman"/>
                <w:lang w:eastAsia="en-AU"/>
              </w:rPr>
              <w:t>—</w:t>
            </w:r>
            <w:r w:rsidRPr="00512F77">
              <w:rPr>
                <w:rFonts w:eastAsia="Times New Roman"/>
                <w:lang w:eastAsia="en-AU"/>
              </w:rPr>
              <w:t xml:space="preserve"> section 62</w:t>
            </w:r>
          </w:p>
          <w:p w14:paraId="2585A74C" w14:textId="77777777" w:rsidR="003640E9" w:rsidRPr="00512F77" w:rsidRDefault="003640E9" w:rsidP="00E75F3E">
            <w:pPr>
              <w:rPr>
                <w:rFonts w:eastAsia="Times New Roman"/>
                <w:i/>
                <w:lang w:eastAsia="en-AU"/>
              </w:rPr>
            </w:pPr>
            <w:r w:rsidRPr="00512F77">
              <w:rPr>
                <w:rFonts w:eastAsia="Times New Roman"/>
                <w:lang w:eastAsia="en-AU"/>
              </w:rPr>
              <w:t xml:space="preserve">FPMS </w:t>
            </w:r>
            <w:r w:rsidR="001C00B9" w:rsidRPr="00512F77">
              <w:rPr>
                <w:rFonts w:eastAsia="Times New Roman"/>
                <w:lang w:eastAsia="en-AU"/>
              </w:rPr>
              <w:t>—</w:t>
            </w:r>
            <w:r w:rsidRPr="00512F77">
              <w:rPr>
                <w:rFonts w:eastAsia="Times New Roman"/>
                <w:lang w:eastAsia="en-AU"/>
              </w:rPr>
              <w:t xml:space="preserve"> section 50</w:t>
            </w:r>
          </w:p>
          <w:p w14:paraId="136FD5CB" w14:textId="77777777" w:rsidR="003640E9" w:rsidRPr="00512F77" w:rsidRDefault="003640E9" w:rsidP="00E75F3E">
            <w:pPr>
              <w:rPr>
                <w:rFonts w:eastAsia="Times New Roman"/>
                <w:i/>
                <w:lang w:eastAsia="en-AU"/>
              </w:rPr>
            </w:pPr>
            <w:r w:rsidRPr="00512F77">
              <w:rPr>
                <w:rFonts w:eastAsia="Times New Roman"/>
                <w:lang w:eastAsia="en-AU"/>
              </w:rPr>
              <w:t xml:space="preserve">ARRs </w:t>
            </w:r>
            <w:r w:rsidR="001C00B9" w:rsidRPr="00512F77">
              <w:rPr>
                <w:rFonts w:eastAsia="Times New Roman"/>
                <w:lang w:eastAsia="en-AU"/>
              </w:rPr>
              <w:t>—</w:t>
            </w:r>
            <w:r w:rsidRPr="00512F77">
              <w:rPr>
                <w:rFonts w:eastAsia="Times New Roman"/>
                <w:lang w:eastAsia="en-AU"/>
              </w:rPr>
              <w:t xml:space="preserve"> section 1</w:t>
            </w:r>
            <w:r w:rsidR="004E2CFD" w:rsidRPr="00512F77">
              <w:rPr>
                <w:rFonts w:eastAsia="Times New Roman"/>
                <w:lang w:eastAsia="en-AU"/>
              </w:rPr>
              <w:t>7</w:t>
            </w:r>
            <w:r w:rsidRPr="00512F77">
              <w:rPr>
                <w:rFonts w:eastAsia="Times New Roman"/>
                <w:lang w:eastAsia="en-AU"/>
              </w:rPr>
              <w:t>.2</w:t>
            </w:r>
          </w:p>
        </w:tc>
        <w:tc>
          <w:tcPr>
            <w:tcW w:w="1641" w:type="dxa"/>
          </w:tcPr>
          <w:p w14:paraId="446995A7" w14:textId="77777777" w:rsidR="003640E9" w:rsidRPr="00512F77" w:rsidRDefault="00693B68" w:rsidP="00E75F3E">
            <w:pPr>
              <w:rPr>
                <w:rFonts w:eastAsia="Times New Roman"/>
                <w:i/>
                <w:lang w:eastAsia="en-AU"/>
              </w:rPr>
            </w:pPr>
            <w:r w:rsidRPr="00512F77">
              <w:rPr>
                <w:rFonts w:eastAsia="Times New Roman"/>
                <w:lang w:eastAsia="en-AU"/>
              </w:rPr>
              <w:t>Page 44</w:t>
            </w:r>
          </w:p>
          <w:p w14:paraId="219EF765" w14:textId="77777777" w:rsidR="00522EE6" w:rsidRPr="00512F77" w:rsidRDefault="00522EE6" w:rsidP="00E75F3E">
            <w:pPr>
              <w:rPr>
                <w:rFonts w:eastAsia="Times New Roman"/>
                <w:i/>
                <w:lang w:eastAsia="en-AU"/>
              </w:rPr>
            </w:pPr>
            <w:r w:rsidRPr="00512F77">
              <w:rPr>
                <w:rFonts w:eastAsia="Times New Roman"/>
                <w:lang w:eastAsia="en-AU"/>
              </w:rPr>
              <w:t xml:space="preserve">Appendix </w:t>
            </w:r>
            <w:r w:rsidR="00512F77" w:rsidRPr="00512F77">
              <w:rPr>
                <w:rFonts w:eastAsia="Times New Roman"/>
                <w:lang w:eastAsia="en-AU"/>
              </w:rPr>
              <w:t>F</w:t>
            </w:r>
          </w:p>
        </w:tc>
      </w:tr>
    </w:tbl>
    <w:p w14:paraId="22A5DEB5" w14:textId="77777777" w:rsidR="00B32DB1" w:rsidRPr="00D17CF0" w:rsidRDefault="00B32DB1" w:rsidP="00A75186">
      <w:pPr>
        <w:spacing w:after="0" w:line="240" w:lineRule="auto"/>
        <w:rPr>
          <w:rFonts w:eastAsia="Times New Roman" w:cstheme="minorHAnsi"/>
          <w:i/>
          <w:sz w:val="16"/>
          <w:szCs w:val="22"/>
          <w:lang w:eastAsia="en-AU"/>
        </w:rPr>
      </w:pPr>
      <w:r w:rsidRPr="00D17CF0">
        <w:rPr>
          <w:rFonts w:eastAsia="Times New Roman" w:cstheme="minorHAnsi"/>
          <w:sz w:val="16"/>
          <w:szCs w:val="22"/>
          <w:lang w:eastAsia="en-AU"/>
        </w:rPr>
        <w:t>FAA</w:t>
      </w:r>
      <w:r w:rsidRPr="00D17CF0">
        <w:rPr>
          <w:rFonts w:eastAsia="Times New Roman" w:cstheme="minorHAnsi"/>
          <w:sz w:val="16"/>
          <w:szCs w:val="22"/>
          <w:lang w:eastAsia="en-AU"/>
        </w:rPr>
        <w:tab/>
      </w:r>
      <w:r w:rsidRPr="0059575B">
        <w:rPr>
          <w:rFonts w:eastAsia="Times New Roman" w:cstheme="minorHAnsi"/>
          <w:i/>
          <w:sz w:val="16"/>
          <w:szCs w:val="22"/>
          <w:lang w:eastAsia="en-AU"/>
        </w:rPr>
        <w:t>Financial Accountability Act 2009</w:t>
      </w:r>
    </w:p>
    <w:p w14:paraId="505D87C4" w14:textId="77777777" w:rsidR="00697040" w:rsidRPr="00D17CF0" w:rsidRDefault="00697040" w:rsidP="00A75186">
      <w:pPr>
        <w:spacing w:after="0" w:line="240" w:lineRule="auto"/>
        <w:rPr>
          <w:rFonts w:eastAsia="Times New Roman" w:cstheme="minorHAnsi"/>
          <w:i/>
          <w:sz w:val="16"/>
          <w:szCs w:val="22"/>
          <w:lang w:eastAsia="en-AU"/>
        </w:rPr>
      </w:pPr>
      <w:r w:rsidRPr="00D17CF0">
        <w:rPr>
          <w:rFonts w:eastAsia="Times New Roman" w:cstheme="minorHAnsi"/>
          <w:sz w:val="16"/>
          <w:szCs w:val="22"/>
          <w:lang w:eastAsia="en-AU"/>
        </w:rPr>
        <w:t>FPMS</w:t>
      </w:r>
      <w:r w:rsidRPr="00D17CF0">
        <w:rPr>
          <w:rFonts w:eastAsia="Times New Roman" w:cstheme="minorHAnsi"/>
          <w:sz w:val="16"/>
          <w:szCs w:val="22"/>
          <w:lang w:eastAsia="en-AU"/>
        </w:rPr>
        <w:tab/>
        <w:t>Financial and Performance Management Standard 2009</w:t>
      </w:r>
    </w:p>
    <w:p w14:paraId="2F2E4504" w14:textId="77777777" w:rsidR="006F0C54" w:rsidRDefault="00B32DB1" w:rsidP="00A75186">
      <w:pPr>
        <w:spacing w:line="240" w:lineRule="auto"/>
        <w:rPr>
          <w:rFonts w:eastAsia="Times New Roman" w:cstheme="minorHAnsi"/>
          <w:sz w:val="16"/>
          <w:szCs w:val="22"/>
          <w:lang w:eastAsia="en-AU"/>
        </w:rPr>
      </w:pPr>
      <w:r w:rsidRPr="00D17CF0">
        <w:rPr>
          <w:rFonts w:eastAsia="Times New Roman" w:cstheme="minorHAnsi"/>
          <w:sz w:val="16"/>
          <w:szCs w:val="22"/>
          <w:lang w:eastAsia="en-AU"/>
        </w:rPr>
        <w:t>ARRs</w:t>
      </w:r>
      <w:r w:rsidRPr="00D17CF0">
        <w:rPr>
          <w:rFonts w:eastAsia="Times New Roman" w:cstheme="minorHAnsi"/>
          <w:sz w:val="16"/>
          <w:szCs w:val="22"/>
          <w:lang w:eastAsia="en-AU"/>
        </w:rPr>
        <w:tab/>
        <w:t>Annual Report Requirements for Queensland Government Agencies</w:t>
      </w:r>
    </w:p>
    <w:p w14:paraId="1D1A89FD" w14:textId="77777777" w:rsidR="00B05F27" w:rsidRDefault="00B05F27" w:rsidP="00A75186">
      <w:pPr>
        <w:spacing w:line="240" w:lineRule="auto"/>
        <w:rPr>
          <w:rFonts w:eastAsia="Times New Roman" w:cstheme="minorHAnsi"/>
          <w:sz w:val="16"/>
          <w:szCs w:val="22"/>
          <w:lang w:eastAsia="en-AU"/>
        </w:rPr>
      </w:pPr>
    </w:p>
    <w:p w14:paraId="1E2C7917" w14:textId="77777777" w:rsidR="00B05F27" w:rsidRDefault="00B05F27">
      <w:pPr>
        <w:rPr>
          <w:rFonts w:eastAsia="Times New Roman" w:cstheme="minorHAnsi"/>
          <w:sz w:val="16"/>
          <w:szCs w:val="22"/>
          <w:lang w:eastAsia="en-AU"/>
        </w:rPr>
      </w:pPr>
      <w:r>
        <w:rPr>
          <w:rFonts w:eastAsia="Times New Roman" w:cstheme="minorHAnsi"/>
          <w:sz w:val="16"/>
          <w:szCs w:val="22"/>
          <w:lang w:eastAsia="en-AU"/>
        </w:rPr>
        <w:br w:type="page"/>
      </w:r>
    </w:p>
    <w:p w14:paraId="2B2E3A74" w14:textId="77777777" w:rsidR="00B05F27" w:rsidRPr="003A68B3" w:rsidRDefault="00B05F27" w:rsidP="00A75186">
      <w:pPr>
        <w:spacing w:line="240" w:lineRule="auto"/>
        <w:rPr>
          <w:rFonts w:eastAsiaTheme="majorEastAsia"/>
        </w:rPr>
        <w:sectPr w:rsidR="00B05F27" w:rsidRPr="003A68B3" w:rsidSect="00200EC1">
          <w:pgSz w:w="11906" w:h="16838" w:code="9"/>
          <w:pgMar w:top="1418" w:right="3402" w:bottom="1418" w:left="1701" w:header="709" w:footer="709" w:gutter="0"/>
          <w:cols w:space="720"/>
          <w:titlePg/>
          <w:docGrid w:linePitch="360"/>
        </w:sectPr>
      </w:pPr>
    </w:p>
    <w:p w14:paraId="2785387A" w14:textId="77777777" w:rsidR="00B05F27" w:rsidRPr="00A43D75" w:rsidRDefault="00B05F27" w:rsidP="00B05F27">
      <w:pPr>
        <w:pStyle w:val="Heading1"/>
      </w:pPr>
      <w:bookmarkStart w:id="113" w:name="_Ref220307104"/>
      <w:bookmarkStart w:id="114" w:name="_Toc240787715"/>
      <w:bookmarkStart w:id="115" w:name="_Toc242069894"/>
      <w:bookmarkStart w:id="116" w:name="_Toc243284343"/>
      <w:bookmarkStart w:id="117" w:name="_Toc366487309"/>
      <w:bookmarkStart w:id="118" w:name="_Toc397345687"/>
      <w:bookmarkStart w:id="119" w:name="_Toc522890110"/>
      <w:bookmarkStart w:id="120" w:name="_Toc16855354"/>
      <w:r w:rsidRPr="00A43D75">
        <w:lastRenderedPageBreak/>
        <w:t>Appendix </w:t>
      </w:r>
      <w:bookmarkEnd w:id="113"/>
      <w:r>
        <w:t>B</w:t>
      </w:r>
      <w:r w:rsidRPr="00A43D75">
        <w:t>: Glossary of terms</w:t>
      </w:r>
      <w:bookmarkEnd w:id="114"/>
      <w:bookmarkEnd w:id="115"/>
      <w:bookmarkEnd w:id="116"/>
      <w:bookmarkEnd w:id="117"/>
      <w:bookmarkEnd w:id="118"/>
      <w:bookmarkEnd w:id="119"/>
      <w:bookmarkEnd w:id="120"/>
    </w:p>
    <w:tbl>
      <w:tblPr>
        <w:tblStyle w:val="TableGridLight"/>
        <w:tblW w:w="0" w:type="auto"/>
        <w:tblBorders>
          <w:top w:val="dotted" w:sz="4" w:space="0" w:color="3B4E98"/>
          <w:left w:val="dotted" w:sz="4" w:space="0" w:color="3B4E98"/>
          <w:bottom w:val="dotted" w:sz="4" w:space="0" w:color="3B4E98"/>
          <w:right w:val="dotted" w:sz="4" w:space="0" w:color="3B4E98"/>
          <w:insideH w:val="dotted" w:sz="4" w:space="0" w:color="3B4E98"/>
          <w:insideV w:val="dotted" w:sz="4" w:space="0" w:color="3B4E98"/>
        </w:tblBorders>
        <w:tblLook w:val="01E0" w:firstRow="1" w:lastRow="1" w:firstColumn="1" w:lastColumn="1" w:noHBand="0" w:noVBand="0"/>
      </w:tblPr>
      <w:tblGrid>
        <w:gridCol w:w="1439"/>
        <w:gridCol w:w="8303"/>
      </w:tblGrid>
      <w:tr w:rsidR="00B05F27" w:rsidRPr="00E75F3E" w14:paraId="1806EF50" w14:textId="77777777" w:rsidTr="00E75F3E">
        <w:tc>
          <w:tcPr>
            <w:tcW w:w="0" w:type="auto"/>
          </w:tcPr>
          <w:p w14:paraId="3CD46CF9" w14:textId="77777777" w:rsidR="00B05F27" w:rsidRPr="00E75F3E" w:rsidRDefault="00B05F27" w:rsidP="00E75F3E">
            <w:pPr>
              <w:spacing w:before="240"/>
              <w:rPr>
                <w:rFonts w:eastAsia="Times New Roman"/>
                <w:b/>
                <w:i/>
                <w:lang w:eastAsia="en-AU"/>
              </w:rPr>
            </w:pPr>
            <w:r w:rsidRPr="00E75F3E">
              <w:rPr>
                <w:rFonts w:eastAsia="Times New Roman"/>
                <w:b/>
                <w:lang w:eastAsia="en-AU"/>
              </w:rPr>
              <w:t>Term</w:t>
            </w:r>
          </w:p>
        </w:tc>
        <w:tc>
          <w:tcPr>
            <w:tcW w:w="0" w:type="auto"/>
          </w:tcPr>
          <w:p w14:paraId="3C655F54" w14:textId="77777777" w:rsidR="00B05F27" w:rsidRPr="00E75F3E" w:rsidRDefault="00B05F27" w:rsidP="00E75F3E">
            <w:pPr>
              <w:spacing w:before="240"/>
              <w:rPr>
                <w:rFonts w:eastAsia="Times New Roman"/>
                <w:b/>
                <w:i/>
                <w:lang w:eastAsia="en-AU"/>
              </w:rPr>
            </w:pPr>
            <w:r w:rsidRPr="00E75F3E">
              <w:rPr>
                <w:rFonts w:eastAsia="Times New Roman"/>
                <w:b/>
                <w:lang w:eastAsia="en-AU"/>
              </w:rPr>
              <w:t>Description</w:t>
            </w:r>
          </w:p>
        </w:tc>
      </w:tr>
      <w:tr w:rsidR="00B05F27" w:rsidRPr="002A0F92" w14:paraId="6257296D" w14:textId="77777777" w:rsidTr="00E75F3E">
        <w:tc>
          <w:tcPr>
            <w:tcW w:w="0" w:type="auto"/>
          </w:tcPr>
          <w:p w14:paraId="5D1782B6" w14:textId="77777777" w:rsidR="00B05F27" w:rsidRPr="002A0F92" w:rsidRDefault="00B05F27" w:rsidP="00E75F3E">
            <w:pPr>
              <w:spacing w:before="240"/>
              <w:rPr>
                <w:rFonts w:eastAsia="Times New Roman"/>
                <w:i/>
                <w:lang w:eastAsia="en-AU"/>
              </w:rPr>
            </w:pPr>
            <w:r w:rsidRPr="002A0F92">
              <w:rPr>
                <w:rFonts w:eastAsia="Times New Roman"/>
                <w:lang w:eastAsia="en-AU"/>
              </w:rPr>
              <w:t>the Act</w:t>
            </w:r>
          </w:p>
        </w:tc>
        <w:tc>
          <w:tcPr>
            <w:tcW w:w="0" w:type="auto"/>
          </w:tcPr>
          <w:p w14:paraId="69FE783A" w14:textId="77777777" w:rsidR="00B05F27" w:rsidRPr="002A0F92" w:rsidRDefault="00B05F27" w:rsidP="00E75F3E">
            <w:pPr>
              <w:spacing w:before="240"/>
              <w:rPr>
                <w:rFonts w:eastAsia="Times New Roman"/>
                <w:i/>
                <w:lang w:eastAsia="en-AU"/>
              </w:rPr>
            </w:pPr>
            <w:r w:rsidRPr="002A0F92">
              <w:rPr>
                <w:rFonts w:eastAsia="Times New Roman"/>
                <w:lang w:eastAsia="en-AU"/>
              </w:rPr>
              <w:t xml:space="preserve">the </w:t>
            </w:r>
            <w:r w:rsidRPr="0067689A">
              <w:rPr>
                <w:rFonts w:eastAsia="Times New Roman"/>
                <w:i/>
                <w:lang w:eastAsia="en-AU"/>
              </w:rPr>
              <w:t>Anti-Discrimination Act 1991</w:t>
            </w:r>
            <w:r w:rsidRPr="002A0F92">
              <w:rPr>
                <w:rFonts w:eastAsia="Times New Roman"/>
                <w:lang w:eastAsia="en-AU"/>
              </w:rPr>
              <w:t xml:space="preserve"> (Qld)</w:t>
            </w:r>
          </w:p>
        </w:tc>
      </w:tr>
      <w:tr w:rsidR="00B05F27" w:rsidRPr="002A0F92" w14:paraId="262133CB" w14:textId="77777777" w:rsidTr="00E75F3E">
        <w:tc>
          <w:tcPr>
            <w:tcW w:w="0" w:type="auto"/>
          </w:tcPr>
          <w:p w14:paraId="44DD2B11" w14:textId="77777777" w:rsidR="00B05F27" w:rsidRPr="002A0F92" w:rsidRDefault="00B05F27" w:rsidP="00E75F3E">
            <w:pPr>
              <w:spacing w:before="240"/>
              <w:rPr>
                <w:rFonts w:eastAsia="Times New Roman"/>
                <w:i/>
                <w:lang w:eastAsia="en-AU"/>
              </w:rPr>
            </w:pPr>
            <w:r w:rsidRPr="002A0F92">
              <w:rPr>
                <w:rFonts w:eastAsia="Times New Roman"/>
                <w:lang w:eastAsia="en-AU"/>
              </w:rPr>
              <w:t>ADCQ</w:t>
            </w:r>
          </w:p>
        </w:tc>
        <w:tc>
          <w:tcPr>
            <w:tcW w:w="0" w:type="auto"/>
          </w:tcPr>
          <w:p w14:paraId="73C9F74D" w14:textId="77777777" w:rsidR="00B05F27" w:rsidRPr="002A0F92" w:rsidRDefault="00B05F27" w:rsidP="00E75F3E">
            <w:pPr>
              <w:spacing w:before="240"/>
              <w:rPr>
                <w:rFonts w:eastAsia="Times New Roman"/>
                <w:i/>
                <w:lang w:eastAsia="en-AU"/>
              </w:rPr>
            </w:pPr>
            <w:r w:rsidRPr="002A0F92">
              <w:rPr>
                <w:rFonts w:eastAsia="Times New Roman"/>
                <w:lang w:eastAsia="en-AU"/>
              </w:rPr>
              <w:t>Anti-Discrimination Commission Queensland</w:t>
            </w:r>
          </w:p>
        </w:tc>
      </w:tr>
      <w:tr w:rsidR="00B05F27" w:rsidRPr="002A0F92" w14:paraId="31DF695F" w14:textId="77777777" w:rsidTr="00E75F3E">
        <w:tc>
          <w:tcPr>
            <w:tcW w:w="0" w:type="auto"/>
          </w:tcPr>
          <w:p w14:paraId="62CCBF19" w14:textId="77777777" w:rsidR="00B05F27" w:rsidRPr="002A0F92" w:rsidRDefault="00B05F27" w:rsidP="00E75F3E">
            <w:pPr>
              <w:spacing w:before="240"/>
              <w:rPr>
                <w:rFonts w:eastAsia="Times New Roman"/>
                <w:i/>
                <w:lang w:eastAsia="en-AU"/>
              </w:rPr>
            </w:pPr>
            <w:r w:rsidRPr="002A0F92">
              <w:rPr>
                <w:rFonts w:eastAsia="Times New Roman"/>
                <w:lang w:eastAsia="en-AU"/>
              </w:rPr>
              <w:t>complaint</w:t>
            </w:r>
          </w:p>
        </w:tc>
        <w:tc>
          <w:tcPr>
            <w:tcW w:w="0" w:type="auto"/>
          </w:tcPr>
          <w:p w14:paraId="63CBFF71" w14:textId="77777777" w:rsidR="00B05F27" w:rsidRPr="002A0F92" w:rsidRDefault="00B05F27" w:rsidP="00E75F3E">
            <w:pPr>
              <w:spacing w:before="240"/>
              <w:rPr>
                <w:rFonts w:eastAsia="Times New Roman"/>
                <w:i/>
                <w:lang w:eastAsia="en-AU"/>
              </w:rPr>
            </w:pPr>
            <w:r w:rsidRPr="002A0F92">
              <w:rPr>
                <w:rFonts w:eastAsia="Times New Roman"/>
                <w:lang w:eastAsia="en-AU"/>
              </w:rPr>
              <w:t>Means a complaint made under the Act. A complaint must:</w:t>
            </w:r>
          </w:p>
          <w:p w14:paraId="24137854" w14:textId="77777777" w:rsidR="00B05F27" w:rsidRPr="00EC7F11" w:rsidRDefault="00B05F27" w:rsidP="00E75F3E">
            <w:pPr>
              <w:pStyle w:val="ListParagraph"/>
              <w:numPr>
                <w:ilvl w:val="0"/>
                <w:numId w:val="41"/>
              </w:numPr>
              <w:spacing w:before="240"/>
              <w:rPr>
                <w:rFonts w:eastAsia="Times New Roman"/>
                <w:i/>
                <w:lang w:eastAsia="en-AU"/>
              </w:rPr>
            </w:pPr>
            <w:r w:rsidRPr="00EC7F11">
              <w:rPr>
                <w:rFonts w:eastAsia="Times New Roman"/>
                <w:lang w:eastAsia="en-AU"/>
              </w:rPr>
              <w:t>be in writing</w:t>
            </w:r>
          </w:p>
          <w:p w14:paraId="19FC0609" w14:textId="77777777" w:rsidR="00B05F27" w:rsidRPr="00EC7F11" w:rsidRDefault="00B05F27" w:rsidP="00E75F3E">
            <w:pPr>
              <w:pStyle w:val="ListParagraph"/>
              <w:numPr>
                <w:ilvl w:val="0"/>
                <w:numId w:val="41"/>
              </w:numPr>
              <w:spacing w:before="240"/>
              <w:rPr>
                <w:rFonts w:eastAsia="Times New Roman"/>
                <w:i/>
                <w:lang w:eastAsia="en-AU"/>
              </w:rPr>
            </w:pPr>
            <w:r w:rsidRPr="00EC7F11">
              <w:rPr>
                <w:rFonts w:eastAsia="Times New Roman"/>
                <w:lang w:eastAsia="en-AU"/>
              </w:rPr>
              <w:t>set out reasonably sufficient details to indicate an alleged contravention of the Act</w:t>
            </w:r>
          </w:p>
          <w:p w14:paraId="748040BD" w14:textId="77777777" w:rsidR="00B05F27" w:rsidRPr="00EC7F11" w:rsidRDefault="00B05F27" w:rsidP="00E75F3E">
            <w:pPr>
              <w:pStyle w:val="ListParagraph"/>
              <w:numPr>
                <w:ilvl w:val="0"/>
                <w:numId w:val="41"/>
              </w:numPr>
              <w:spacing w:before="240"/>
              <w:rPr>
                <w:rFonts w:eastAsia="Times New Roman"/>
                <w:i/>
                <w:lang w:eastAsia="en-AU"/>
              </w:rPr>
            </w:pPr>
            <w:r w:rsidRPr="00EC7F11">
              <w:rPr>
                <w:rFonts w:eastAsia="Times New Roman"/>
                <w:lang w:eastAsia="en-AU"/>
              </w:rPr>
              <w:t>state the complainant’s address for service</w:t>
            </w:r>
          </w:p>
          <w:p w14:paraId="774078B6" w14:textId="77777777" w:rsidR="00B05F27" w:rsidRPr="00EC7F11" w:rsidRDefault="00B05F27" w:rsidP="00E75F3E">
            <w:pPr>
              <w:pStyle w:val="ListParagraph"/>
              <w:numPr>
                <w:ilvl w:val="0"/>
                <w:numId w:val="41"/>
              </w:numPr>
              <w:spacing w:before="240"/>
              <w:rPr>
                <w:rFonts w:eastAsia="Times New Roman"/>
                <w:i/>
                <w:lang w:eastAsia="en-AU"/>
              </w:rPr>
            </w:pPr>
            <w:r w:rsidRPr="00EC7F11">
              <w:rPr>
                <w:rFonts w:eastAsia="Times New Roman"/>
                <w:lang w:eastAsia="en-AU"/>
              </w:rPr>
              <w:t>be lodged with, or sent by post to the Commissioner.</w:t>
            </w:r>
          </w:p>
          <w:p w14:paraId="7F63C73D" w14:textId="77777777" w:rsidR="00B05F27" w:rsidRPr="002A0F92" w:rsidRDefault="00B05F27" w:rsidP="00E75F3E">
            <w:pPr>
              <w:spacing w:before="240"/>
              <w:rPr>
                <w:rFonts w:eastAsia="Times New Roman"/>
                <w:i/>
                <w:lang w:eastAsia="en-AU"/>
              </w:rPr>
            </w:pPr>
            <w:r w:rsidRPr="002A0F92">
              <w:rPr>
                <w:rFonts w:eastAsia="Times New Roman"/>
                <w:lang w:eastAsia="en-AU"/>
              </w:rPr>
              <w:t>A person is only entitled to make a complaint within one year of the alleged contravention of the Act</w:t>
            </w:r>
            <w:r>
              <w:rPr>
                <w:rFonts w:eastAsia="Times New Roman"/>
                <w:lang w:eastAsia="en-AU"/>
              </w:rPr>
              <w:t>.</w:t>
            </w:r>
          </w:p>
        </w:tc>
      </w:tr>
      <w:tr w:rsidR="00B05F27" w:rsidRPr="002A0F92" w14:paraId="6A9F6A15" w14:textId="77777777" w:rsidTr="00E75F3E">
        <w:tc>
          <w:tcPr>
            <w:tcW w:w="0" w:type="auto"/>
          </w:tcPr>
          <w:p w14:paraId="62DA1EE0" w14:textId="77777777" w:rsidR="00B05F27" w:rsidRPr="002A0F92" w:rsidRDefault="00B05F27" w:rsidP="00E75F3E">
            <w:pPr>
              <w:spacing w:before="240"/>
              <w:rPr>
                <w:rFonts w:eastAsia="Times New Roman"/>
                <w:i/>
                <w:lang w:eastAsia="en-AU"/>
              </w:rPr>
            </w:pPr>
            <w:r w:rsidRPr="002A0F92">
              <w:rPr>
                <w:rFonts w:eastAsia="Times New Roman"/>
                <w:lang w:eastAsia="en-AU"/>
              </w:rPr>
              <w:t>conciliation</w:t>
            </w:r>
          </w:p>
        </w:tc>
        <w:tc>
          <w:tcPr>
            <w:tcW w:w="0" w:type="auto"/>
          </w:tcPr>
          <w:p w14:paraId="64DF6E82" w14:textId="77777777" w:rsidR="00B05F27" w:rsidRPr="002A0F92" w:rsidRDefault="00B05F27" w:rsidP="00E75F3E">
            <w:pPr>
              <w:spacing w:before="240"/>
              <w:rPr>
                <w:rFonts w:eastAsia="Times New Roman"/>
                <w:i/>
                <w:lang w:eastAsia="en-AU"/>
              </w:rPr>
            </w:pPr>
            <w:r w:rsidRPr="002A0F92">
              <w:rPr>
                <w:rFonts w:eastAsia="Times New Roman"/>
                <w:lang w:eastAsia="en-AU"/>
              </w:rPr>
              <w:t xml:space="preserve">A conciliation conference is a meeting to help parties resolve a complaint. It is the main way in which complaints are resolved. A conciliator from the ADCQ contacts the parties and manages the conciliation conference. Complaints that cannot be resolved through the conciliation process may be referred to the Queensland Civil and Administrative Tribunal for a public hearing to decide whether there has been a breach of the </w:t>
            </w:r>
            <w:r w:rsidRPr="0067689A">
              <w:rPr>
                <w:rFonts w:eastAsia="Times New Roman"/>
                <w:i/>
                <w:lang w:eastAsia="en-AU"/>
              </w:rPr>
              <w:t>Anti-Discrimination Act 1991</w:t>
            </w:r>
            <w:r w:rsidRPr="002A0F92">
              <w:rPr>
                <w:rFonts w:eastAsia="Times New Roman"/>
                <w:lang w:eastAsia="en-AU"/>
              </w:rPr>
              <w:t>, and decide any compensation.</w:t>
            </w:r>
          </w:p>
        </w:tc>
      </w:tr>
      <w:tr w:rsidR="00B05F27" w:rsidRPr="002A0F92" w14:paraId="5E5BAEE1" w14:textId="77777777" w:rsidTr="00E75F3E">
        <w:tc>
          <w:tcPr>
            <w:tcW w:w="0" w:type="auto"/>
          </w:tcPr>
          <w:p w14:paraId="00B5A750" w14:textId="77777777" w:rsidR="00B05F27" w:rsidRPr="002A0F92" w:rsidRDefault="00B05F27" w:rsidP="00E75F3E">
            <w:pPr>
              <w:spacing w:before="240"/>
              <w:rPr>
                <w:rFonts w:eastAsia="Times New Roman"/>
                <w:i/>
                <w:lang w:eastAsia="en-AU"/>
              </w:rPr>
            </w:pPr>
            <w:r w:rsidRPr="002A0F92">
              <w:rPr>
                <w:rFonts w:eastAsia="Times New Roman"/>
                <w:lang w:eastAsia="en-AU"/>
              </w:rPr>
              <w:t>Commission</w:t>
            </w:r>
          </w:p>
        </w:tc>
        <w:tc>
          <w:tcPr>
            <w:tcW w:w="0" w:type="auto"/>
          </w:tcPr>
          <w:p w14:paraId="53E048F5" w14:textId="77777777" w:rsidR="00B05F27" w:rsidRPr="002A0F92" w:rsidRDefault="00B05F27" w:rsidP="00E75F3E">
            <w:pPr>
              <w:spacing w:before="240"/>
              <w:rPr>
                <w:rFonts w:eastAsia="Times New Roman"/>
                <w:i/>
                <w:lang w:eastAsia="en-AU"/>
              </w:rPr>
            </w:pPr>
            <w:r w:rsidRPr="002A0F92">
              <w:rPr>
                <w:rFonts w:eastAsia="Times New Roman"/>
                <w:lang w:eastAsia="en-AU"/>
              </w:rPr>
              <w:t>Anti-Discrimination Commission Queensland</w:t>
            </w:r>
          </w:p>
        </w:tc>
      </w:tr>
      <w:tr w:rsidR="00B05F27" w:rsidRPr="002A0F92" w14:paraId="01D83634" w14:textId="77777777" w:rsidTr="00E75F3E">
        <w:tc>
          <w:tcPr>
            <w:tcW w:w="0" w:type="auto"/>
          </w:tcPr>
          <w:p w14:paraId="7E50C4CD" w14:textId="77777777" w:rsidR="00B05F27" w:rsidRPr="002A0F92" w:rsidRDefault="00B05F27" w:rsidP="00E75F3E">
            <w:pPr>
              <w:spacing w:before="240"/>
              <w:rPr>
                <w:rFonts w:eastAsia="Times New Roman"/>
                <w:i/>
                <w:lang w:eastAsia="en-AU"/>
              </w:rPr>
            </w:pPr>
            <w:r w:rsidRPr="002A0F92">
              <w:rPr>
                <w:rFonts w:eastAsia="Times New Roman"/>
                <w:lang w:eastAsia="en-AU"/>
              </w:rPr>
              <w:t>direct discrimination</w:t>
            </w:r>
            <w:r w:rsidRPr="002A0F92" w:rsidDel="006E0CA9">
              <w:rPr>
                <w:rFonts w:eastAsia="Times New Roman"/>
                <w:lang w:eastAsia="en-AU"/>
              </w:rPr>
              <w:t xml:space="preserve"> </w:t>
            </w:r>
          </w:p>
        </w:tc>
        <w:tc>
          <w:tcPr>
            <w:tcW w:w="0" w:type="auto"/>
          </w:tcPr>
          <w:p w14:paraId="7B9AEF38" w14:textId="77777777" w:rsidR="00B05F27" w:rsidRPr="002A0F92" w:rsidRDefault="00B05F27" w:rsidP="00E75F3E">
            <w:pPr>
              <w:spacing w:before="240"/>
              <w:rPr>
                <w:rFonts w:eastAsia="Times New Roman"/>
                <w:i/>
                <w:lang w:eastAsia="en-AU"/>
              </w:rPr>
            </w:pPr>
            <w:r w:rsidRPr="002A0F92">
              <w:rPr>
                <w:rFonts w:eastAsia="Times New Roman"/>
                <w:lang w:eastAsia="en-AU"/>
              </w:rPr>
              <w:t>Direct discrimination on the basis of an attribute happens if a person treats, or proposes to treat, a person with an attribute less favourably than another person without the attribute is or would be treated in circumstances that are the same or not materially different.</w:t>
            </w:r>
          </w:p>
        </w:tc>
      </w:tr>
      <w:tr w:rsidR="00B05F27" w:rsidRPr="002A0F92" w14:paraId="56188E94" w14:textId="77777777" w:rsidTr="00E75F3E">
        <w:tc>
          <w:tcPr>
            <w:tcW w:w="0" w:type="auto"/>
          </w:tcPr>
          <w:p w14:paraId="5EA409EF" w14:textId="77777777" w:rsidR="00B05F27" w:rsidRPr="002A0F92" w:rsidRDefault="00B05F27" w:rsidP="00E75F3E">
            <w:pPr>
              <w:spacing w:before="240"/>
              <w:rPr>
                <w:rFonts w:eastAsia="Times New Roman"/>
                <w:i/>
                <w:lang w:eastAsia="en-AU"/>
              </w:rPr>
            </w:pPr>
            <w:r w:rsidRPr="002A0F92">
              <w:rPr>
                <w:rFonts w:eastAsia="Times New Roman"/>
                <w:lang w:eastAsia="en-AU"/>
              </w:rPr>
              <w:t>Executive Leadership Team</w:t>
            </w:r>
          </w:p>
        </w:tc>
        <w:tc>
          <w:tcPr>
            <w:tcW w:w="0" w:type="auto"/>
          </w:tcPr>
          <w:p w14:paraId="561DF3A3" w14:textId="77777777" w:rsidR="00B05F27" w:rsidRPr="002A0F92" w:rsidRDefault="00B05F27" w:rsidP="00E75F3E">
            <w:pPr>
              <w:spacing w:before="240"/>
              <w:rPr>
                <w:rFonts w:eastAsia="Times New Roman"/>
                <w:i/>
                <w:lang w:eastAsia="en-AU"/>
              </w:rPr>
            </w:pPr>
            <w:r w:rsidRPr="002A0F92">
              <w:rPr>
                <w:rFonts w:eastAsia="Times New Roman"/>
                <w:lang w:eastAsia="en-AU"/>
              </w:rPr>
              <w:t>The Executive Leadership Team is one of the key strategic advisory bodies of the ADCQ. It supports the Commissioner in providing the strategic direction as part of the overall corporate governance framework and oversees the Commission’s strategic performance.</w:t>
            </w:r>
          </w:p>
        </w:tc>
      </w:tr>
      <w:tr w:rsidR="00B05F27" w:rsidRPr="002A0F92" w14:paraId="0843234C" w14:textId="77777777" w:rsidTr="00E75F3E">
        <w:tc>
          <w:tcPr>
            <w:tcW w:w="0" w:type="auto"/>
          </w:tcPr>
          <w:p w14:paraId="07229FDB" w14:textId="77777777" w:rsidR="00B05F27" w:rsidRPr="002A0F92" w:rsidRDefault="00B05F27" w:rsidP="00E75F3E">
            <w:pPr>
              <w:spacing w:before="240"/>
              <w:rPr>
                <w:rFonts w:eastAsia="Times New Roman"/>
                <w:i/>
                <w:lang w:eastAsia="en-AU"/>
              </w:rPr>
            </w:pPr>
            <w:r w:rsidRPr="002A0F92">
              <w:rPr>
                <w:rFonts w:eastAsia="Times New Roman"/>
                <w:lang w:eastAsia="en-AU"/>
              </w:rPr>
              <w:t>indirect discrimination</w:t>
            </w:r>
          </w:p>
        </w:tc>
        <w:tc>
          <w:tcPr>
            <w:tcW w:w="0" w:type="auto"/>
          </w:tcPr>
          <w:p w14:paraId="565B511A" w14:textId="77777777" w:rsidR="00B05F27" w:rsidRPr="002A0F92" w:rsidRDefault="00B05F27" w:rsidP="00E75F3E">
            <w:pPr>
              <w:spacing w:before="240"/>
              <w:rPr>
                <w:rFonts w:eastAsia="Times New Roman"/>
                <w:i/>
                <w:lang w:eastAsia="en-AU"/>
              </w:rPr>
            </w:pPr>
            <w:r w:rsidRPr="002A0F92">
              <w:rPr>
                <w:rFonts w:eastAsia="Times New Roman"/>
                <w:lang w:eastAsia="en-AU"/>
              </w:rPr>
              <w:t>Indirect discrimination on the basis of an attribute happens if a person imposes, or proposes to impose, a term with which a person with an attribute does not or is not able to comply; and with which a higher proportion of people without the attribute comply or are able to comply; and that is not reasonable.</w:t>
            </w:r>
          </w:p>
        </w:tc>
      </w:tr>
      <w:tr w:rsidR="00B05F27" w:rsidRPr="002A0F92" w14:paraId="5A7B88B1" w14:textId="77777777" w:rsidTr="00E75F3E">
        <w:tc>
          <w:tcPr>
            <w:tcW w:w="0" w:type="auto"/>
          </w:tcPr>
          <w:p w14:paraId="12ADCDB7" w14:textId="77777777" w:rsidR="00B05F27" w:rsidRPr="002A0F92" w:rsidRDefault="00B05F27" w:rsidP="00E75F3E">
            <w:pPr>
              <w:spacing w:before="240"/>
              <w:rPr>
                <w:rFonts w:eastAsia="Times New Roman"/>
                <w:i/>
                <w:lang w:eastAsia="en-AU"/>
              </w:rPr>
            </w:pPr>
            <w:r w:rsidRPr="002A0F92">
              <w:rPr>
                <w:rFonts w:eastAsia="Times New Roman"/>
                <w:lang w:eastAsia="en-AU"/>
              </w:rPr>
              <w:t>Leadership Group</w:t>
            </w:r>
          </w:p>
        </w:tc>
        <w:tc>
          <w:tcPr>
            <w:tcW w:w="0" w:type="auto"/>
          </w:tcPr>
          <w:p w14:paraId="30B99450" w14:textId="77777777" w:rsidR="00B05F27" w:rsidRPr="002A0F92" w:rsidRDefault="00B05F27" w:rsidP="00E75F3E">
            <w:pPr>
              <w:spacing w:before="240"/>
              <w:rPr>
                <w:rFonts w:eastAsia="Times New Roman"/>
                <w:i/>
                <w:lang w:eastAsia="en-AU"/>
              </w:rPr>
            </w:pPr>
            <w:r w:rsidRPr="002A0F92">
              <w:rPr>
                <w:rFonts w:eastAsia="Times New Roman"/>
                <w:lang w:eastAsia="en-AU"/>
              </w:rPr>
              <w:t>The Leadership Group is a sub-committee of the Executive Leadership Team (ELT). It supports the Commissioner by ensuring that operational activity aligns with the strategic direction of the ADCQ as set by the ELT.</w:t>
            </w:r>
          </w:p>
        </w:tc>
      </w:tr>
      <w:tr w:rsidR="00B05F27" w:rsidRPr="002A0F92" w14:paraId="0A9098D8" w14:textId="77777777" w:rsidTr="00E75F3E">
        <w:tc>
          <w:tcPr>
            <w:tcW w:w="0" w:type="auto"/>
          </w:tcPr>
          <w:p w14:paraId="5037E104" w14:textId="77777777" w:rsidR="00B05F27" w:rsidRPr="002A0F92" w:rsidRDefault="00B05F27" w:rsidP="00E75F3E">
            <w:pPr>
              <w:spacing w:before="240"/>
              <w:rPr>
                <w:rFonts w:eastAsia="Times New Roman"/>
                <w:i/>
                <w:lang w:eastAsia="en-AU"/>
              </w:rPr>
            </w:pPr>
            <w:r w:rsidRPr="002A0F92">
              <w:rPr>
                <w:rFonts w:eastAsia="Times New Roman"/>
                <w:lang w:eastAsia="en-AU"/>
              </w:rPr>
              <w:t>QCAT</w:t>
            </w:r>
          </w:p>
        </w:tc>
        <w:tc>
          <w:tcPr>
            <w:tcW w:w="8025" w:type="dxa"/>
          </w:tcPr>
          <w:p w14:paraId="0AC033D1" w14:textId="77777777" w:rsidR="00B05F27" w:rsidRPr="002A0F92" w:rsidRDefault="00B05F27" w:rsidP="00E75F3E">
            <w:pPr>
              <w:spacing w:before="240"/>
              <w:rPr>
                <w:rFonts w:eastAsia="Times New Roman"/>
                <w:i/>
                <w:lang w:eastAsia="en-AU"/>
              </w:rPr>
            </w:pPr>
            <w:r w:rsidRPr="002A0F92">
              <w:rPr>
                <w:rFonts w:eastAsia="Times New Roman"/>
                <w:lang w:eastAsia="en-AU"/>
              </w:rPr>
              <w:t>Queensland Civil and Administrative Tribunal</w:t>
            </w:r>
          </w:p>
        </w:tc>
      </w:tr>
      <w:tr w:rsidR="00B05F27" w:rsidRPr="002A0F92" w14:paraId="29117346" w14:textId="77777777" w:rsidTr="00E75F3E">
        <w:tc>
          <w:tcPr>
            <w:tcW w:w="0" w:type="auto"/>
          </w:tcPr>
          <w:p w14:paraId="6844479F" w14:textId="77777777" w:rsidR="00B05F27" w:rsidRPr="002A0F92" w:rsidRDefault="00B05F27" w:rsidP="00E75F3E">
            <w:pPr>
              <w:spacing w:before="240"/>
              <w:rPr>
                <w:rFonts w:eastAsia="Times New Roman"/>
                <w:i/>
                <w:lang w:eastAsia="en-AU"/>
              </w:rPr>
            </w:pPr>
            <w:r>
              <w:rPr>
                <w:rFonts w:eastAsia="Times New Roman"/>
                <w:lang w:eastAsia="en-AU"/>
              </w:rPr>
              <w:t>QIRC</w:t>
            </w:r>
          </w:p>
        </w:tc>
        <w:tc>
          <w:tcPr>
            <w:tcW w:w="8025" w:type="dxa"/>
          </w:tcPr>
          <w:p w14:paraId="1E7C7E99" w14:textId="77777777" w:rsidR="00B05F27" w:rsidRPr="002A0F92" w:rsidRDefault="00B05F27" w:rsidP="00E75F3E">
            <w:pPr>
              <w:spacing w:before="240"/>
              <w:rPr>
                <w:rFonts w:eastAsia="Times New Roman"/>
                <w:i/>
                <w:lang w:eastAsia="en-AU"/>
              </w:rPr>
            </w:pPr>
            <w:r>
              <w:rPr>
                <w:rFonts w:eastAsia="Times New Roman"/>
                <w:lang w:eastAsia="en-AU"/>
              </w:rPr>
              <w:t>Queensland Industrial Relations Commission</w:t>
            </w:r>
          </w:p>
        </w:tc>
      </w:tr>
      <w:tr w:rsidR="00B05F27" w:rsidRPr="002A0F92" w14:paraId="7AFC07F1" w14:textId="77777777" w:rsidTr="00E75F3E">
        <w:tc>
          <w:tcPr>
            <w:tcW w:w="0" w:type="auto"/>
          </w:tcPr>
          <w:p w14:paraId="1D80070B" w14:textId="77777777" w:rsidR="00B05F27" w:rsidRPr="002A0F92" w:rsidRDefault="00B05F27" w:rsidP="00E75F3E">
            <w:pPr>
              <w:spacing w:before="240"/>
              <w:rPr>
                <w:rFonts w:eastAsia="Times New Roman"/>
                <w:i/>
                <w:lang w:eastAsia="en-AU"/>
              </w:rPr>
            </w:pPr>
            <w:r w:rsidRPr="002A0F92">
              <w:rPr>
                <w:rFonts w:eastAsia="Times New Roman"/>
                <w:lang w:eastAsia="en-AU"/>
              </w:rPr>
              <w:t>vicarious liability</w:t>
            </w:r>
          </w:p>
        </w:tc>
        <w:tc>
          <w:tcPr>
            <w:tcW w:w="0" w:type="auto"/>
          </w:tcPr>
          <w:p w14:paraId="539AF6D4" w14:textId="77777777" w:rsidR="00B05F27" w:rsidRPr="002A0F92" w:rsidRDefault="00B05F27" w:rsidP="00E75F3E">
            <w:pPr>
              <w:spacing w:before="240"/>
              <w:rPr>
                <w:rFonts w:eastAsia="Times New Roman"/>
                <w:i/>
                <w:lang w:eastAsia="en-AU"/>
              </w:rPr>
            </w:pPr>
            <w:r w:rsidRPr="002A0F92">
              <w:rPr>
                <w:rFonts w:eastAsia="Times New Roman"/>
                <w:lang w:eastAsia="en-AU"/>
              </w:rPr>
              <w:t>If a person’s workers or agents contravene the Act in the course of work or while acting as agent, both the person and the worker or agent, are jointly and severally civilly liable for the contravention, and a proceeding under the Act may be taken against either or both. It is a defence to a proceeding for a contravention of the Act if the respondent proves, on the balance of probabilities, that the respondent took reasonable steps to prevent the worker or agent contravening the Act.</w:t>
            </w:r>
          </w:p>
        </w:tc>
      </w:tr>
    </w:tbl>
    <w:p w14:paraId="31C99C17" w14:textId="77777777" w:rsidR="00D52E27" w:rsidRDefault="00D52E27" w:rsidP="005329BF">
      <w:pPr>
        <w:numPr>
          <w:ilvl w:val="0"/>
          <w:numId w:val="3"/>
        </w:numPr>
        <w:tabs>
          <w:tab w:val="clear" w:pos="360"/>
        </w:tabs>
        <w:spacing w:after="110" w:line="240" w:lineRule="auto"/>
        <w:ind w:left="426" w:hanging="426"/>
        <w:rPr>
          <w:rFonts w:eastAsia="Times New Roman" w:cstheme="minorHAnsi"/>
          <w:i/>
          <w:sz w:val="22"/>
          <w:szCs w:val="22"/>
          <w:lang w:eastAsia="en-AU"/>
        </w:rPr>
        <w:sectPr w:rsidR="00D52E27" w:rsidSect="006E6C7F">
          <w:type w:val="continuous"/>
          <w:pgSz w:w="11906" w:h="16838" w:code="9"/>
          <w:pgMar w:top="851" w:right="1077" w:bottom="902" w:left="1077" w:header="709" w:footer="709" w:gutter="0"/>
          <w:cols w:space="720"/>
          <w:titlePg/>
          <w:docGrid w:linePitch="360"/>
        </w:sectPr>
      </w:pPr>
    </w:p>
    <w:p w14:paraId="1E75FBCB" w14:textId="77777777" w:rsidR="004475B5" w:rsidRPr="00A43D75" w:rsidRDefault="004475B5" w:rsidP="00A75186">
      <w:pPr>
        <w:pStyle w:val="Heading1"/>
      </w:pPr>
      <w:bookmarkStart w:id="121" w:name="_Toc366487312"/>
      <w:bookmarkStart w:id="122" w:name="_Toc397345690"/>
      <w:bookmarkStart w:id="123" w:name="_Toc16855355"/>
      <w:r w:rsidRPr="00C71F8C">
        <w:lastRenderedPageBreak/>
        <w:t xml:space="preserve">Appendix </w:t>
      </w:r>
      <w:r w:rsidR="00B05F27" w:rsidRPr="00C71F8C">
        <w:t>C</w:t>
      </w:r>
      <w:r w:rsidR="00BE4233" w:rsidRPr="00C71F8C">
        <w:t>:</w:t>
      </w:r>
      <w:r w:rsidR="002D29F9" w:rsidRPr="00C71F8C">
        <w:t xml:space="preserve"> </w:t>
      </w:r>
      <w:r w:rsidRPr="00C71F8C">
        <w:t>Complaint handling process</w:t>
      </w:r>
      <w:bookmarkEnd w:id="121"/>
      <w:bookmarkEnd w:id="122"/>
      <w:bookmarkEnd w:id="123"/>
    </w:p>
    <w:p w14:paraId="2F4961A1" w14:textId="77777777" w:rsidR="002A3B9D" w:rsidRPr="002A3B9D" w:rsidRDefault="002A3B9D" w:rsidP="00FE0103">
      <w:pPr>
        <w:spacing w:after="0" w:line="240" w:lineRule="auto"/>
        <w:jc w:val="center"/>
        <w:rPr>
          <w:rFonts w:ascii="Arial" w:eastAsia="Times New Roman" w:hAnsi="Arial" w:cs="Times New Roman"/>
          <w:i/>
          <w:iCs w:val="0"/>
          <w:sz w:val="24"/>
          <w:lang w:eastAsia="en-AU"/>
        </w:rPr>
      </w:pPr>
    </w:p>
    <w:p w14:paraId="2D3330E3" w14:textId="77777777" w:rsidR="002A3B9D" w:rsidRPr="002A3B9D" w:rsidRDefault="002A3B9D" w:rsidP="00C71F8C">
      <w:pPr>
        <w:spacing w:after="0" w:line="240" w:lineRule="auto"/>
        <w:rPr>
          <w:rFonts w:ascii="Arial" w:eastAsia="Times New Roman" w:hAnsi="Arial" w:cs="Times New Roman"/>
          <w:i/>
          <w:iCs w:val="0"/>
          <w:sz w:val="24"/>
          <w:lang w:eastAsia="en-AU"/>
        </w:rPr>
      </w:pPr>
    </w:p>
    <w:p w14:paraId="1FE72E50"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1104" behindDoc="0" locked="0" layoutInCell="0" allowOverlap="1" wp14:anchorId="40249DB6" wp14:editId="57C317A6">
                <wp:simplePos x="0" y="0"/>
                <wp:positionH relativeFrom="column">
                  <wp:posOffset>3063240</wp:posOffset>
                </wp:positionH>
                <wp:positionV relativeFrom="paragraph">
                  <wp:posOffset>38100</wp:posOffset>
                </wp:positionV>
                <wp:extent cx="2560320" cy="847725"/>
                <wp:effectExtent l="0" t="0" r="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47725"/>
                        </a:xfrm>
                        <a:prstGeom prst="rect">
                          <a:avLst/>
                        </a:prstGeom>
                        <a:solidFill>
                          <a:srgbClr val="FFFFFF"/>
                        </a:solidFill>
                        <a:ln w="9525">
                          <a:solidFill>
                            <a:srgbClr val="000000"/>
                          </a:solidFill>
                          <a:miter lim="800000"/>
                          <a:headEnd/>
                          <a:tailEnd/>
                        </a:ln>
                      </wps:spPr>
                      <wps:txbx>
                        <w:txbxContent>
                          <w:p w14:paraId="7A626628" w14:textId="77777777" w:rsidR="00B5590A" w:rsidRPr="00FE0103" w:rsidRDefault="00B5590A" w:rsidP="002A3B9D">
                            <w:pPr>
                              <w:rPr>
                                <w:rFonts w:ascii="Arial" w:hAnsi="Arial"/>
                                <w:i/>
                              </w:rPr>
                            </w:pPr>
                            <w:r w:rsidRPr="00FE0103">
                              <w:rPr>
                                <w:rFonts w:ascii="Arial" w:hAnsi="Arial"/>
                              </w:rPr>
                              <w:t>Complaint not accepted. Complainant advised of reasons for non-acceptance and referred to a more relevant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9DB6" id="Text Box 3" o:spid="_x0000_s1027" type="#_x0000_t202" style="position:absolute;margin-left:241.2pt;margin-top:3pt;width:201.6pt;height:66.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" o:allowincell="f">
                <v:textbox>
                  <w:txbxContent>
                    <w:p w14:paraId="7A626628" w14:textId="77777777" w:rsidR="00B5590A" w:rsidRPr="00FE0103" w:rsidRDefault="00B5590A" w:rsidP="002A3B9D">
                      <w:pPr>
                        <w:rPr>
                          <w:rFonts w:ascii="Arial" w:hAnsi="Arial"/>
                          <w:i/>
                        </w:rPr>
                      </w:pPr>
                      <w:r w:rsidRPr="00FE0103">
                        <w:rPr>
                          <w:rFonts w:ascii="Arial" w:hAnsi="Arial"/>
                        </w:rPr>
                        <w:t>Complaint not accepted. Complainant advised of reasons for non-acceptance and referred to a more relevant agency.</w:t>
                      </w:r>
                    </w:p>
                  </w:txbxContent>
                </v:textbox>
              </v:shap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0080" behindDoc="0" locked="0" layoutInCell="0" allowOverlap="1" wp14:anchorId="726F0E8C" wp14:editId="298E097F">
                <wp:simplePos x="0" y="0"/>
                <wp:positionH relativeFrom="column">
                  <wp:posOffset>-320040</wp:posOffset>
                </wp:positionH>
                <wp:positionV relativeFrom="paragraph">
                  <wp:posOffset>38100</wp:posOffset>
                </wp:positionV>
                <wp:extent cx="2743200" cy="615315"/>
                <wp:effectExtent l="0" t="0" r="19050" b="1333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5315"/>
                        </a:xfrm>
                        <a:prstGeom prst="rect">
                          <a:avLst/>
                        </a:prstGeom>
                        <a:solidFill>
                          <a:srgbClr val="FFFFFF"/>
                        </a:solidFill>
                        <a:ln w="9525">
                          <a:solidFill>
                            <a:srgbClr val="000000"/>
                          </a:solidFill>
                          <a:miter lim="800000"/>
                          <a:headEnd/>
                          <a:tailEnd/>
                        </a:ln>
                      </wps:spPr>
                      <wps:txbx>
                        <w:txbxContent>
                          <w:p w14:paraId="17C0EC27" w14:textId="77777777" w:rsidR="00B5590A" w:rsidRPr="00FE0103" w:rsidRDefault="00B5590A" w:rsidP="002A3B9D">
                            <w:pPr>
                              <w:rPr>
                                <w:rFonts w:ascii="Arial" w:hAnsi="Arial"/>
                                <w:i/>
                              </w:rPr>
                            </w:pPr>
                            <w:r w:rsidRPr="00FE0103">
                              <w:rPr>
                                <w:rFonts w:ascii="Arial" w:hAnsi="Arial"/>
                              </w:rPr>
                              <w:t>Written complaint received, acknowledged, and assessed — generally within 28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F0E8C" id="_x0000_s1028" type="#_x0000_t202" style="position:absolute;margin-left:-25.2pt;margin-top:3pt;width:3in;height:48.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" o:allowincell="f">
                <v:textbox>
                  <w:txbxContent>
                    <w:p w14:paraId="17C0EC27" w14:textId="77777777" w:rsidR="00B5590A" w:rsidRPr="00FE0103" w:rsidRDefault="00B5590A" w:rsidP="002A3B9D">
                      <w:pPr>
                        <w:rPr>
                          <w:rFonts w:ascii="Arial" w:hAnsi="Arial"/>
                          <w:i/>
                        </w:rPr>
                      </w:pPr>
                      <w:r w:rsidRPr="00FE0103">
                        <w:rPr>
                          <w:rFonts w:ascii="Arial" w:hAnsi="Arial"/>
                        </w:rPr>
                        <w:t>Written complaint received, acknowledged, and assessed — generally within 28 days.</w:t>
                      </w:r>
                    </w:p>
                  </w:txbxContent>
                </v:textbox>
              </v:shape>
            </w:pict>
          </mc:Fallback>
        </mc:AlternateContent>
      </w:r>
    </w:p>
    <w:p w14:paraId="02E86F3C"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Times New Roman" w:eastAsia="Times New Roman" w:hAnsi="Times New Roman" w:cs="Times New Roman"/>
          <w:i/>
          <w:iCs w:val="0"/>
          <w:noProof/>
          <w:sz w:val="24"/>
          <w:lang w:eastAsia="en-AU"/>
        </w:rPr>
        <mc:AlternateContent>
          <mc:Choice Requires="wps">
            <w:drawing>
              <wp:anchor distT="0" distB="0" distL="114300" distR="114300" simplePos="0" relativeHeight="251642368" behindDoc="0" locked="0" layoutInCell="0" allowOverlap="1" wp14:anchorId="490F11B2" wp14:editId="6226BB38">
                <wp:simplePos x="0" y="0"/>
                <wp:positionH relativeFrom="column">
                  <wp:posOffset>2423160</wp:posOffset>
                </wp:positionH>
                <wp:positionV relativeFrom="paragraph">
                  <wp:posOffset>137160</wp:posOffset>
                </wp:positionV>
                <wp:extent cx="640080" cy="0"/>
                <wp:effectExtent l="0" t="0" r="0" b="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C6D9D" id="Line 1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0.8pt" to="241.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M2KQ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" o:allowincell="f">
                <v:stroke endarrow="block"/>
              </v:line>
            </w:pict>
          </mc:Fallback>
        </mc:AlternateContent>
      </w:r>
    </w:p>
    <w:p w14:paraId="29FFFECE"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p>
    <w:p w14:paraId="5CDEEC8B"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0320" behindDoc="0" locked="0" layoutInCell="0" allowOverlap="1" wp14:anchorId="02E94038" wp14:editId="495154E6">
                <wp:simplePos x="0" y="0"/>
                <wp:positionH relativeFrom="column">
                  <wp:posOffset>896620</wp:posOffset>
                </wp:positionH>
                <wp:positionV relativeFrom="paragraph">
                  <wp:posOffset>127635</wp:posOffset>
                </wp:positionV>
                <wp:extent cx="0" cy="481965"/>
                <wp:effectExtent l="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9BA03" id="Line 1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0.05pt" to="7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3Jw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" o:allowincell="f">
                <v:stroke endarrow="block"/>
              </v:line>
            </w:pict>
          </mc:Fallback>
        </mc:AlternateContent>
      </w:r>
    </w:p>
    <w:p w14:paraId="6F257AD1"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6944" behindDoc="0" locked="0" layoutInCell="0" allowOverlap="1" wp14:anchorId="5032CA02" wp14:editId="477C8006">
                <wp:simplePos x="0" y="0"/>
                <wp:positionH relativeFrom="column">
                  <wp:posOffset>-533400</wp:posOffset>
                </wp:positionH>
                <wp:positionV relativeFrom="paragraph">
                  <wp:posOffset>107315</wp:posOffset>
                </wp:positionV>
                <wp:extent cx="0" cy="5203825"/>
                <wp:effectExtent l="0" t="0" r="0" b="0"/>
                <wp:wrapNone/>
                <wp:docPr id="3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39BB2" id="Line 5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45pt" to="-42pt,4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5920" behindDoc="0" locked="0" layoutInCell="0" allowOverlap="1" wp14:anchorId="0E484318" wp14:editId="0542AC31">
                <wp:simplePos x="0" y="0"/>
                <wp:positionH relativeFrom="column">
                  <wp:posOffset>-533400</wp:posOffset>
                </wp:positionH>
                <wp:positionV relativeFrom="paragraph">
                  <wp:posOffset>107315</wp:posOffset>
                </wp:positionV>
                <wp:extent cx="3596640" cy="0"/>
                <wp:effectExtent l="0" t="0" r="0" b="0"/>
                <wp:wrapNone/>
                <wp:docPr id="45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6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208A" id="Line 4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45pt" to="241.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" o:allowincell="f"/>
            </w:pict>
          </mc:Fallback>
        </mc:AlternateContent>
      </w:r>
    </w:p>
    <w:p w14:paraId="0BE59A77"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Times New Roman" w:eastAsia="Times New Roman" w:hAnsi="Times New Roman" w:cs="Times New Roman"/>
          <w:i/>
          <w:iCs w:val="0"/>
          <w:noProof/>
          <w:sz w:val="24"/>
          <w:lang w:eastAsia="en-AU"/>
        </w:rPr>
        <mc:AlternateContent>
          <mc:Choice Requires="wps">
            <w:drawing>
              <wp:anchor distT="0" distB="0" distL="114300" distR="114300" simplePos="0" relativeHeight="251643392" behindDoc="0" locked="0" layoutInCell="0" allowOverlap="1" wp14:anchorId="69D47751" wp14:editId="16F23C04">
                <wp:simplePos x="0" y="0"/>
                <wp:positionH relativeFrom="column">
                  <wp:posOffset>4343400</wp:posOffset>
                </wp:positionH>
                <wp:positionV relativeFrom="paragraph">
                  <wp:posOffset>9525</wp:posOffset>
                </wp:positionV>
                <wp:extent cx="0" cy="354965"/>
                <wp:effectExtent l="0" t="0" r="0" b="0"/>
                <wp:wrapNone/>
                <wp:docPr id="4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CCC0A" id="Line 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5pt" to="34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CL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" o:allowincell="f">
                <v:stroke endarrow="block"/>
              </v:line>
            </w:pict>
          </mc:Fallback>
        </mc:AlternateContent>
      </w:r>
    </w:p>
    <w:p w14:paraId="0263887F"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2128" behindDoc="0" locked="0" layoutInCell="0" allowOverlap="1" wp14:anchorId="65F513E8" wp14:editId="06099CCD">
                <wp:simplePos x="0" y="0"/>
                <wp:positionH relativeFrom="column">
                  <wp:posOffset>-320040</wp:posOffset>
                </wp:positionH>
                <wp:positionV relativeFrom="paragraph">
                  <wp:posOffset>83820</wp:posOffset>
                </wp:positionV>
                <wp:extent cx="2684145" cy="1202690"/>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1202690"/>
                        </a:xfrm>
                        <a:prstGeom prst="rect">
                          <a:avLst/>
                        </a:prstGeom>
                        <a:solidFill>
                          <a:srgbClr val="FFFFFF"/>
                        </a:solidFill>
                        <a:ln w="9525">
                          <a:solidFill>
                            <a:srgbClr val="000000"/>
                          </a:solidFill>
                          <a:miter lim="800000"/>
                          <a:headEnd/>
                          <a:tailEnd/>
                        </a:ln>
                      </wps:spPr>
                      <wps:txbx>
                        <w:txbxContent>
                          <w:p w14:paraId="5B6CE8C6" w14:textId="77777777" w:rsidR="00B5590A" w:rsidRPr="00FE0103" w:rsidRDefault="00B5590A" w:rsidP="002A3B9D">
                            <w:pPr>
                              <w:rPr>
                                <w:rFonts w:ascii="Arial" w:hAnsi="Arial"/>
                                <w:i/>
                              </w:rPr>
                            </w:pPr>
                            <w:r w:rsidRPr="00FE0103">
                              <w:rPr>
                                <w:rFonts w:ascii="Arial" w:hAnsi="Arial"/>
                              </w:rPr>
                              <w:t>Complaint accepted. Parties notified and respondent given opportunity to provide written response, or request early conference. Date set for compulsory conference — generally within 6 weeks of 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13E8" id="Text Box 4" o:spid="_x0000_s1029" type="#_x0000_t202" style="position:absolute;margin-left:-25.2pt;margin-top:6.6pt;width:211.35pt;height:94.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DhLwIAAFkEAAAOAAAAZHJzL2Uyb0RvYy54bWysVNuO0zAQfUfiHyy/0zQhL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" o:allowincell="f">
                <v:textbox>
                  <w:txbxContent>
                    <w:p w14:paraId="5B6CE8C6" w14:textId="77777777" w:rsidR="00B5590A" w:rsidRPr="00FE0103" w:rsidRDefault="00B5590A" w:rsidP="002A3B9D">
                      <w:pPr>
                        <w:rPr>
                          <w:rFonts w:ascii="Arial" w:hAnsi="Arial"/>
                          <w:i/>
                        </w:rPr>
                      </w:pPr>
                      <w:r w:rsidRPr="00FE0103">
                        <w:rPr>
                          <w:rFonts w:ascii="Arial" w:hAnsi="Arial"/>
                        </w:rPr>
                        <w:t>Complaint accepted. Parties notified and respondent given opportunity to provide written response, or request early conference. Date set for compulsory conference — generally within 6 weeks of notification.</w:t>
                      </w:r>
                    </w:p>
                  </w:txbxContent>
                </v:textbox>
              </v:shape>
            </w:pict>
          </mc:Fallback>
        </mc:AlternateContent>
      </w:r>
    </w:p>
    <w:p w14:paraId="3F782BA1"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3152" behindDoc="0" locked="0" layoutInCell="0" allowOverlap="1" wp14:anchorId="39D11F11" wp14:editId="26A1AAAA">
                <wp:simplePos x="0" y="0"/>
                <wp:positionH relativeFrom="column">
                  <wp:posOffset>3063240</wp:posOffset>
                </wp:positionH>
                <wp:positionV relativeFrom="paragraph">
                  <wp:posOffset>13970</wp:posOffset>
                </wp:positionV>
                <wp:extent cx="2560320" cy="681355"/>
                <wp:effectExtent l="0" t="0" r="0" b="0"/>
                <wp:wrapNone/>
                <wp:docPr id="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81355"/>
                        </a:xfrm>
                        <a:prstGeom prst="rect">
                          <a:avLst/>
                        </a:prstGeom>
                        <a:solidFill>
                          <a:srgbClr val="FFFFFF"/>
                        </a:solidFill>
                        <a:ln w="9525">
                          <a:solidFill>
                            <a:srgbClr val="000000"/>
                          </a:solidFill>
                          <a:miter lim="800000"/>
                          <a:headEnd/>
                          <a:tailEnd/>
                        </a:ln>
                      </wps:spPr>
                      <wps:txbx>
                        <w:txbxContent>
                          <w:p w14:paraId="13FC0F86" w14:textId="77777777" w:rsidR="00B5590A" w:rsidRPr="00FE0103" w:rsidRDefault="00B5590A" w:rsidP="002A3B9D">
                            <w:pPr>
                              <w:rPr>
                                <w:rFonts w:ascii="Arial" w:hAnsi="Arial"/>
                                <w:i/>
                              </w:rPr>
                            </w:pPr>
                            <w:r w:rsidRPr="00FE0103">
                              <w:rPr>
                                <w:rFonts w:ascii="Arial" w:hAnsi="Arial"/>
                              </w:rPr>
                              <w:t>Complainant provides further information to show complaint comes under the Act.</w:t>
                            </w:r>
                          </w:p>
                          <w:p w14:paraId="47EC33F6" w14:textId="77777777" w:rsidR="00B5590A" w:rsidRDefault="00B5590A" w:rsidP="002A3B9D">
                            <w:pPr>
                              <w:rPr>
                                <w:rFonts w:ascii="Arial" w:hAnsi="Arial"/>
                              </w:rPr>
                            </w:pPr>
                          </w:p>
                          <w:p w14:paraId="4B924B9E" w14:textId="77777777" w:rsidR="00B5590A" w:rsidRDefault="00B5590A" w:rsidP="002A3B9D">
                            <w:pPr>
                              <w:rPr>
                                <w:rFonts w:ascii="Arial" w:hAnsi="Arial"/>
                              </w:rPr>
                            </w:pPr>
                          </w:p>
                          <w:p w14:paraId="466BD1C7" w14:textId="77777777" w:rsidR="00B5590A" w:rsidRDefault="00B5590A" w:rsidP="002A3B9D">
                            <w:pPr>
                              <w:rPr>
                                <w:rFonts w:ascii="Arial" w:hAnsi="Arial"/>
                              </w:rPr>
                            </w:pPr>
                          </w:p>
                          <w:p w14:paraId="315B8FEB" w14:textId="77777777" w:rsidR="00B5590A" w:rsidRDefault="00B5590A" w:rsidP="002A3B9D">
                            <w:pPr>
                              <w:rPr>
                                <w:rFonts w:ascii="Arial" w:hAnsi="Arial"/>
                              </w:rPr>
                            </w:pPr>
                            <w:r>
                              <w:rPr>
                                <w:rFonts w:ascii="Arial" w:hAnsi="Arial"/>
                              </w:rPr>
                              <w:t>ff</w:t>
                            </w:r>
                          </w:p>
                          <w:p w14:paraId="20ACEEEF" w14:textId="77777777" w:rsidR="00B5590A" w:rsidRDefault="00B5590A" w:rsidP="002A3B9D">
                            <w:pPr>
                              <w:rPr>
                                <w:rFonts w:ascii="Arial" w:hAnsi="Arial"/>
                              </w:rPr>
                            </w:pPr>
                            <w:r>
                              <w:rPr>
                                <w:rFonts w:ascii="Arial" w:hAnsi="Arial"/>
                              </w:rPr>
                              <w:t>f</w:t>
                            </w:r>
                          </w:p>
                          <w:p w14:paraId="25570205" w14:textId="77777777" w:rsidR="00B5590A" w:rsidRDefault="00B5590A" w:rsidP="002A3B9D">
                            <w:pPr>
                              <w:rPr>
                                <w:rFonts w:ascii="Arial" w:hAnsi="Arial"/>
                              </w:rPr>
                            </w:pPr>
                          </w:p>
                          <w:p w14:paraId="15F54054" w14:textId="77777777" w:rsidR="00B5590A" w:rsidRDefault="00B5590A" w:rsidP="002A3B9D">
                            <w:pPr>
                              <w:rPr>
                                <w:rFonts w:ascii="Arial" w:hAnsi="Arial"/>
                              </w:rPr>
                            </w:pPr>
                            <w:r>
                              <w:rPr>
                                <w:rFonts w:ascii="Arial" w:hAnsi="Arial"/>
                              </w:rPr>
                              <w:t>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11F11" id="Text Box 5" o:spid="_x0000_s1030" type="#_x0000_t202" style="position:absolute;margin-left:241.2pt;margin-top:1.1pt;width:201.6pt;height:53.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" o:allowincell="f">
                <v:textbox>
                  <w:txbxContent>
                    <w:p w14:paraId="13FC0F86" w14:textId="77777777" w:rsidR="00B5590A" w:rsidRPr="00FE0103" w:rsidRDefault="00B5590A" w:rsidP="002A3B9D">
                      <w:pPr>
                        <w:rPr>
                          <w:rFonts w:ascii="Arial" w:hAnsi="Arial"/>
                          <w:i/>
                        </w:rPr>
                      </w:pPr>
                      <w:r w:rsidRPr="00FE0103">
                        <w:rPr>
                          <w:rFonts w:ascii="Arial" w:hAnsi="Arial"/>
                        </w:rPr>
                        <w:t>Complainant provides further information to show complaint comes under the Act.</w:t>
                      </w:r>
                    </w:p>
                    <w:p w14:paraId="47EC33F6" w14:textId="77777777" w:rsidR="00B5590A" w:rsidRDefault="00B5590A" w:rsidP="002A3B9D">
                      <w:pPr>
                        <w:rPr>
                          <w:rFonts w:ascii="Arial" w:hAnsi="Arial"/>
                        </w:rPr>
                      </w:pPr>
                    </w:p>
                    <w:p w14:paraId="4B924B9E" w14:textId="77777777" w:rsidR="00B5590A" w:rsidRDefault="00B5590A" w:rsidP="002A3B9D">
                      <w:pPr>
                        <w:rPr>
                          <w:rFonts w:ascii="Arial" w:hAnsi="Arial"/>
                        </w:rPr>
                      </w:pPr>
                    </w:p>
                    <w:p w14:paraId="466BD1C7" w14:textId="77777777" w:rsidR="00B5590A" w:rsidRDefault="00B5590A" w:rsidP="002A3B9D">
                      <w:pPr>
                        <w:rPr>
                          <w:rFonts w:ascii="Arial" w:hAnsi="Arial"/>
                        </w:rPr>
                      </w:pPr>
                    </w:p>
                    <w:p w14:paraId="315B8FEB" w14:textId="77777777" w:rsidR="00B5590A" w:rsidRDefault="00B5590A" w:rsidP="002A3B9D">
                      <w:pPr>
                        <w:rPr>
                          <w:rFonts w:ascii="Arial" w:hAnsi="Arial"/>
                        </w:rPr>
                      </w:pPr>
                      <w:r>
                        <w:rPr>
                          <w:rFonts w:ascii="Arial" w:hAnsi="Arial"/>
                        </w:rPr>
                        <w:t>ff</w:t>
                      </w:r>
                    </w:p>
                    <w:p w14:paraId="20ACEEEF" w14:textId="77777777" w:rsidR="00B5590A" w:rsidRDefault="00B5590A" w:rsidP="002A3B9D">
                      <w:pPr>
                        <w:rPr>
                          <w:rFonts w:ascii="Arial" w:hAnsi="Arial"/>
                        </w:rPr>
                      </w:pPr>
                      <w:r>
                        <w:rPr>
                          <w:rFonts w:ascii="Arial" w:hAnsi="Arial"/>
                        </w:rPr>
                        <w:t>f</w:t>
                      </w:r>
                    </w:p>
                    <w:p w14:paraId="25570205" w14:textId="77777777" w:rsidR="00B5590A" w:rsidRDefault="00B5590A" w:rsidP="002A3B9D">
                      <w:pPr>
                        <w:rPr>
                          <w:rFonts w:ascii="Arial" w:hAnsi="Arial"/>
                        </w:rPr>
                      </w:pPr>
                    </w:p>
                    <w:p w14:paraId="15F54054" w14:textId="77777777" w:rsidR="00B5590A" w:rsidRDefault="00B5590A" w:rsidP="002A3B9D">
                      <w:pPr>
                        <w:rPr>
                          <w:rFonts w:ascii="Arial" w:hAnsi="Arial"/>
                        </w:rPr>
                      </w:pPr>
                      <w:r>
                        <w:rPr>
                          <w:rFonts w:ascii="Arial" w:hAnsi="Arial"/>
                        </w:rPr>
                        <w:t>ff</w:t>
                      </w:r>
                    </w:p>
                  </w:txbxContent>
                </v:textbox>
              </v:shape>
            </w:pict>
          </mc:Fallback>
        </mc:AlternateContent>
      </w:r>
    </w:p>
    <w:p w14:paraId="002EA1E0"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Times New Roman" w:eastAsia="Times New Roman" w:hAnsi="Times New Roman" w:cs="Times New Roman"/>
          <w:i/>
          <w:iCs w:val="0"/>
          <w:noProof/>
          <w:sz w:val="24"/>
          <w:lang w:eastAsia="en-AU"/>
        </w:rPr>
        <mc:AlternateContent>
          <mc:Choice Requires="wps">
            <w:drawing>
              <wp:anchor distT="0" distB="0" distL="114300" distR="114300" simplePos="0" relativeHeight="251664896" behindDoc="0" locked="0" layoutInCell="0" allowOverlap="1" wp14:anchorId="231D0D48" wp14:editId="2C934E9C">
                <wp:simplePos x="0" y="0"/>
                <wp:positionH relativeFrom="column">
                  <wp:posOffset>2364105</wp:posOffset>
                </wp:positionH>
                <wp:positionV relativeFrom="paragraph">
                  <wp:posOffset>143510</wp:posOffset>
                </wp:positionV>
                <wp:extent cx="699135" cy="0"/>
                <wp:effectExtent l="0" t="0" r="0" b="0"/>
                <wp:wrapNone/>
                <wp:docPr id="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67C0" id="Line 4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5pt,11.3pt" to="241.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" o:allowincell="f">
                <v:stroke endarrow="block"/>
              </v:line>
            </w:pict>
          </mc:Fallback>
        </mc:AlternateContent>
      </w:r>
    </w:p>
    <w:p w14:paraId="1804C573"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p>
    <w:p w14:paraId="0A1793AA"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p>
    <w:p w14:paraId="45889C28" w14:textId="77777777" w:rsidR="002A3B9D" w:rsidRPr="002A3B9D" w:rsidRDefault="002A3B9D" w:rsidP="00C71F8C">
      <w:pPr>
        <w:spacing w:after="0" w:line="240" w:lineRule="auto"/>
        <w:rPr>
          <w:rFonts w:ascii="Times New Roman" w:eastAsia="Times New Roman" w:hAnsi="Times New Roman" w:cs="Times New Roman"/>
          <w:i/>
          <w:iCs w:val="0"/>
          <w:sz w:val="24"/>
          <w:lang w:val="en-US"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3632" behindDoc="0" locked="0" layoutInCell="0" allowOverlap="1" wp14:anchorId="2A3B8D24" wp14:editId="49A26915">
                <wp:simplePos x="0" y="0"/>
                <wp:positionH relativeFrom="column">
                  <wp:posOffset>2423160</wp:posOffset>
                </wp:positionH>
                <wp:positionV relativeFrom="paragraph">
                  <wp:posOffset>1493520</wp:posOffset>
                </wp:positionV>
                <wp:extent cx="640080" cy="0"/>
                <wp:effectExtent l="0" t="0" r="0" b="0"/>
                <wp:wrapNone/>
                <wp:docPr id="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CA893" id="Line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17.6pt" to="241.2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y8KAIAAEs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1584" behindDoc="0" locked="0" layoutInCell="0" allowOverlap="1" wp14:anchorId="76A61DA5" wp14:editId="5DCC4D08">
                <wp:simplePos x="0" y="0"/>
                <wp:positionH relativeFrom="column">
                  <wp:posOffset>868680</wp:posOffset>
                </wp:positionH>
                <wp:positionV relativeFrom="paragraph">
                  <wp:posOffset>1676400</wp:posOffset>
                </wp:positionV>
                <wp:extent cx="0" cy="731520"/>
                <wp:effectExtent l="0" t="0" r="0" b="0"/>
                <wp:wrapNone/>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F6652" id="Line 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32pt" to="68.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ZD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4176" behindDoc="0" locked="0" layoutInCell="0" allowOverlap="1" wp14:anchorId="01B4231F" wp14:editId="76B40F5C">
                <wp:simplePos x="0" y="0"/>
                <wp:positionH relativeFrom="column">
                  <wp:posOffset>-320040</wp:posOffset>
                </wp:positionH>
                <wp:positionV relativeFrom="paragraph">
                  <wp:posOffset>1310640</wp:posOffset>
                </wp:positionV>
                <wp:extent cx="2743200" cy="365760"/>
                <wp:effectExtent l="0" t="0" r="0" b="0"/>
                <wp:wrapNone/>
                <wp:docPr id="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5760"/>
                        </a:xfrm>
                        <a:prstGeom prst="rect">
                          <a:avLst/>
                        </a:prstGeom>
                        <a:solidFill>
                          <a:srgbClr val="FFFFFF"/>
                        </a:solidFill>
                        <a:ln w="9525">
                          <a:solidFill>
                            <a:srgbClr val="000000"/>
                          </a:solidFill>
                          <a:miter lim="800000"/>
                          <a:headEnd/>
                          <a:tailEnd/>
                        </a:ln>
                      </wps:spPr>
                      <wps:txbx>
                        <w:txbxContent>
                          <w:p w14:paraId="41978BFD" w14:textId="77777777" w:rsidR="00B5590A" w:rsidRPr="00FE0103" w:rsidRDefault="00B5590A" w:rsidP="002A3B9D">
                            <w:pPr>
                              <w:rPr>
                                <w:rFonts w:ascii="Arial" w:hAnsi="Arial"/>
                                <w:i/>
                              </w:rPr>
                            </w:pPr>
                            <w:r w:rsidRPr="00FE0103">
                              <w:rPr>
                                <w:rFonts w:ascii="Arial" w:hAnsi="Arial"/>
                              </w:rPr>
                              <w:t>Compulsory conference held.</w:t>
                            </w:r>
                            <w:r>
                              <w:rPr>
                                <w:rFonts w:ascii="Arial" w:hAnsi="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4231F" id="Text Box 6" o:spid="_x0000_s1031" type="#_x0000_t202" style="position:absolute;margin-left:-25.2pt;margin-top:103.2pt;width:3in;height:28.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" o:allowincell="f">
                <v:textbox>
                  <w:txbxContent>
                    <w:p w14:paraId="41978BFD" w14:textId="77777777" w:rsidR="00B5590A" w:rsidRPr="00FE0103" w:rsidRDefault="00B5590A" w:rsidP="002A3B9D">
                      <w:pPr>
                        <w:rPr>
                          <w:rFonts w:ascii="Arial" w:hAnsi="Arial"/>
                          <w:i/>
                        </w:rPr>
                      </w:pPr>
                      <w:r w:rsidRPr="00FE0103">
                        <w:rPr>
                          <w:rFonts w:ascii="Arial" w:hAnsi="Arial"/>
                        </w:rPr>
                        <w:t>Compulsory conference held.</w:t>
                      </w:r>
                      <w:r>
                        <w:rPr>
                          <w:rFonts w:ascii="Arial" w:hAnsi="Arial"/>
                        </w:rPr>
                        <w:t xml:space="preserve">   </w:t>
                      </w:r>
                    </w:p>
                  </w:txbxContent>
                </v:textbox>
              </v:shape>
            </w:pict>
          </mc:Fallback>
        </mc:AlternateContent>
      </w:r>
    </w:p>
    <w:p w14:paraId="24DB8DCB" w14:textId="77777777" w:rsidR="002A3B9D" w:rsidRPr="002A3B9D" w:rsidRDefault="002A3B9D" w:rsidP="00C71F8C">
      <w:pPr>
        <w:spacing w:after="0" w:line="240" w:lineRule="auto"/>
        <w:rPr>
          <w:rFonts w:ascii="Arial" w:eastAsia="Times New Roman" w:hAnsi="Arial" w:cs="Times New Roman"/>
          <w:i/>
          <w:iCs w:val="0"/>
          <w:sz w:val="24"/>
          <w:lang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2608" behindDoc="0" locked="0" layoutInCell="0" allowOverlap="1" wp14:anchorId="74BE37FA" wp14:editId="407676D1">
                <wp:simplePos x="0" y="0"/>
                <wp:positionH relativeFrom="column">
                  <wp:posOffset>870585</wp:posOffset>
                </wp:positionH>
                <wp:positionV relativeFrom="paragraph">
                  <wp:posOffset>3105785</wp:posOffset>
                </wp:positionV>
                <wp:extent cx="0" cy="603885"/>
                <wp:effectExtent l="76200" t="0" r="57150" b="62865"/>
                <wp:wrapNone/>
                <wp:docPr id="46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AA3DB" id="Line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244.55pt" to="68.5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47KA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7248" behindDoc="0" locked="0" layoutInCell="0" allowOverlap="1" wp14:anchorId="1BB919A7" wp14:editId="2719DA76">
                <wp:simplePos x="0" y="0"/>
                <wp:positionH relativeFrom="column">
                  <wp:posOffset>3063875</wp:posOffset>
                </wp:positionH>
                <wp:positionV relativeFrom="paragraph">
                  <wp:posOffset>2274570</wp:posOffset>
                </wp:positionV>
                <wp:extent cx="2560320" cy="894715"/>
                <wp:effectExtent l="0" t="0" r="11430" b="19685"/>
                <wp:wrapNone/>
                <wp:docPr id="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94715"/>
                        </a:xfrm>
                        <a:prstGeom prst="rect">
                          <a:avLst/>
                        </a:prstGeom>
                        <a:solidFill>
                          <a:srgbClr val="FFFFFF"/>
                        </a:solidFill>
                        <a:ln w="9525">
                          <a:solidFill>
                            <a:srgbClr val="000000"/>
                          </a:solidFill>
                          <a:miter lim="800000"/>
                          <a:headEnd/>
                          <a:tailEnd/>
                        </a:ln>
                      </wps:spPr>
                      <wps:txbx>
                        <w:txbxContent>
                          <w:p w14:paraId="1D300587" w14:textId="77777777" w:rsidR="00B5590A" w:rsidRPr="00FE0103" w:rsidRDefault="00B5590A" w:rsidP="002A3B9D">
                            <w:pPr>
                              <w:rPr>
                                <w:rFonts w:ascii="Arial" w:hAnsi="Arial"/>
                                <w:i/>
                              </w:rPr>
                            </w:pPr>
                            <w:r w:rsidRPr="00FE0103">
                              <w:rPr>
                                <w:rFonts w:ascii="Arial" w:hAnsi="Arial"/>
                              </w:rPr>
                              <w:t xml:space="preserve">Complainant has option to refer complaint to the tribunal* for hearing and determination, binding on all parties. </w:t>
                            </w:r>
                          </w:p>
                          <w:p w14:paraId="5650C3B7" w14:textId="77777777" w:rsidR="00B5590A" w:rsidRDefault="00B5590A" w:rsidP="002A3B9D">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919A7" id="Text Box 9" o:spid="_x0000_s1032" type="#_x0000_t202" style="position:absolute;margin-left:241.25pt;margin-top:179.1pt;width:201.6pt;height:70.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LgIAAFk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" o:allowincell="f">
                <v:textbox>
                  <w:txbxContent>
                    <w:p w14:paraId="1D300587" w14:textId="77777777" w:rsidR="00B5590A" w:rsidRPr="00FE0103" w:rsidRDefault="00B5590A" w:rsidP="002A3B9D">
                      <w:pPr>
                        <w:rPr>
                          <w:rFonts w:ascii="Arial" w:hAnsi="Arial"/>
                          <w:i/>
                        </w:rPr>
                      </w:pPr>
                      <w:r w:rsidRPr="00FE0103">
                        <w:rPr>
                          <w:rFonts w:ascii="Arial" w:hAnsi="Arial"/>
                        </w:rPr>
                        <w:t xml:space="preserve">Complainant has option to refer complaint to the tribunal* for hearing and determination, binding on all parties. </w:t>
                      </w:r>
                    </w:p>
                    <w:p w14:paraId="5650C3B7" w14:textId="77777777" w:rsidR="00B5590A" w:rsidRDefault="00B5590A" w:rsidP="002A3B9D">
                      <w:pPr>
                        <w:rPr>
                          <w:rFonts w:ascii="Arial" w:hAnsi="Arial"/>
                        </w:rPr>
                      </w:pPr>
                    </w:p>
                  </w:txbxContent>
                </v:textbox>
              </v:shap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5200" behindDoc="0" locked="0" layoutInCell="0" allowOverlap="1" wp14:anchorId="25DE9C96" wp14:editId="6829F76A">
                <wp:simplePos x="0" y="0"/>
                <wp:positionH relativeFrom="column">
                  <wp:posOffset>-321310</wp:posOffset>
                </wp:positionH>
                <wp:positionV relativeFrom="paragraph">
                  <wp:posOffset>2230755</wp:posOffset>
                </wp:positionV>
                <wp:extent cx="2743200" cy="875030"/>
                <wp:effectExtent l="0" t="0" r="19050" b="2032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75030"/>
                        </a:xfrm>
                        <a:prstGeom prst="rect">
                          <a:avLst/>
                        </a:prstGeom>
                        <a:solidFill>
                          <a:srgbClr val="FFFFFF"/>
                        </a:solidFill>
                        <a:ln w="9525">
                          <a:solidFill>
                            <a:srgbClr val="000000"/>
                          </a:solidFill>
                          <a:miter lim="800000"/>
                          <a:headEnd/>
                          <a:tailEnd/>
                        </a:ln>
                      </wps:spPr>
                      <wps:txbx>
                        <w:txbxContent>
                          <w:p w14:paraId="5542472D" w14:textId="77777777" w:rsidR="00B5590A" w:rsidRPr="00FE0103" w:rsidRDefault="00B5590A" w:rsidP="002A3B9D">
                            <w:pPr>
                              <w:rPr>
                                <w:rFonts w:ascii="Arial" w:hAnsi="Arial"/>
                                <w:i/>
                              </w:rPr>
                            </w:pPr>
                            <w:r w:rsidRPr="00FE0103">
                              <w:rPr>
                                <w:rFonts w:ascii="Arial" w:hAnsi="Arial"/>
                              </w:rPr>
                              <w:t>Settlement reached by all parties.</w:t>
                            </w:r>
                            <w:r>
                              <w:rPr>
                                <w:rFonts w:ascii="Arial" w:hAnsi="Arial"/>
                              </w:rPr>
                              <w:t xml:space="preserve"> </w:t>
                            </w:r>
                            <w:r w:rsidRPr="00FE0103">
                              <w:rPr>
                                <w:rFonts w:ascii="Arial" w:hAnsi="Arial"/>
                              </w:rPr>
                              <w:t>Agreement signed and filed with the tribunal*, and is enforceable as if it is an order of the tribunal.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9C96" id="Text Box 7" o:spid="_x0000_s1033" type="#_x0000_t202" style="position:absolute;margin-left:-25.3pt;margin-top:175.65pt;width:3in;height:68.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" o:allowincell="f">
                <v:textbox>
                  <w:txbxContent>
                    <w:p w14:paraId="5542472D" w14:textId="77777777" w:rsidR="00B5590A" w:rsidRPr="00FE0103" w:rsidRDefault="00B5590A" w:rsidP="002A3B9D">
                      <w:pPr>
                        <w:rPr>
                          <w:rFonts w:ascii="Arial" w:hAnsi="Arial"/>
                          <w:i/>
                        </w:rPr>
                      </w:pPr>
                      <w:r w:rsidRPr="00FE0103">
                        <w:rPr>
                          <w:rFonts w:ascii="Arial" w:hAnsi="Arial"/>
                        </w:rPr>
                        <w:t>Settlement reached by all parties.</w:t>
                      </w:r>
                      <w:r>
                        <w:rPr>
                          <w:rFonts w:ascii="Arial" w:hAnsi="Arial"/>
                        </w:rPr>
                        <w:t xml:space="preserve"> </w:t>
                      </w:r>
                      <w:r w:rsidRPr="00FE0103">
                        <w:rPr>
                          <w:rFonts w:ascii="Arial" w:hAnsi="Arial"/>
                        </w:rPr>
                        <w:t>Agreement signed and filed with the tribunal*, and is enforceable as if it is an order of the tribunal.</w:t>
                      </w:r>
                    </w:p>
                  </w:txbxContent>
                </v:textbox>
              </v:shap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7488" behindDoc="0" locked="0" layoutInCell="0" allowOverlap="1" wp14:anchorId="2D057DF1" wp14:editId="46BD57A0">
                <wp:simplePos x="0" y="0"/>
                <wp:positionH relativeFrom="column">
                  <wp:posOffset>5623560</wp:posOffset>
                </wp:positionH>
                <wp:positionV relativeFrom="paragraph">
                  <wp:posOffset>3863975</wp:posOffset>
                </wp:positionV>
                <wp:extent cx="182880" cy="0"/>
                <wp:effectExtent l="0" t="0" r="0" b="0"/>
                <wp:wrapNone/>
                <wp:docPr id="4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88D7" id="Line 20"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pt,304.25pt" to="457.2pt,3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1824" behindDoc="0" locked="0" layoutInCell="0" allowOverlap="1" wp14:anchorId="68D75D21" wp14:editId="291CAA2F">
                <wp:simplePos x="0" y="0"/>
                <wp:positionH relativeFrom="column">
                  <wp:posOffset>5806440</wp:posOffset>
                </wp:positionH>
                <wp:positionV relativeFrom="paragraph">
                  <wp:posOffset>1454150</wp:posOffset>
                </wp:positionV>
                <wp:extent cx="0" cy="2409825"/>
                <wp:effectExtent l="0" t="0" r="0" b="0"/>
                <wp:wrapNone/>
                <wp:docPr id="46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9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7574A" id="Line 4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4.5pt" to="457.2pt,3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TdEgIAACsEAAAOAAAAZHJzL2Uyb0RvYy54bWysU82O2jAQvlfqO1i+QxI2U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9296" behindDoc="0" locked="0" layoutInCell="0" allowOverlap="1" wp14:anchorId="4BB995D4" wp14:editId="29B5CE2B">
                <wp:simplePos x="0" y="0"/>
                <wp:positionH relativeFrom="column">
                  <wp:posOffset>3063240</wp:posOffset>
                </wp:positionH>
                <wp:positionV relativeFrom="paragraph">
                  <wp:posOffset>3635375</wp:posOffset>
                </wp:positionV>
                <wp:extent cx="2560320" cy="478790"/>
                <wp:effectExtent l="0" t="0" r="0" b="0"/>
                <wp:wrapNone/>
                <wp:docPr id="4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78790"/>
                        </a:xfrm>
                        <a:prstGeom prst="rect">
                          <a:avLst/>
                        </a:prstGeom>
                        <a:solidFill>
                          <a:srgbClr val="FFFFFF"/>
                        </a:solidFill>
                        <a:ln w="9525">
                          <a:solidFill>
                            <a:srgbClr val="000000"/>
                          </a:solidFill>
                          <a:miter lim="800000"/>
                          <a:headEnd/>
                          <a:tailEnd/>
                        </a:ln>
                      </wps:spPr>
                      <wps:txbx>
                        <w:txbxContent>
                          <w:p w14:paraId="33A129D1" w14:textId="77777777" w:rsidR="00B5590A" w:rsidRPr="00FE0103" w:rsidRDefault="00B5590A" w:rsidP="002A3B9D">
                            <w:pPr>
                              <w:rPr>
                                <w:rFonts w:ascii="Arial" w:hAnsi="Arial"/>
                                <w:i/>
                              </w:rPr>
                            </w:pPr>
                            <w:r w:rsidRPr="00FE0103">
                              <w:rPr>
                                <w:rFonts w:ascii="Arial" w:hAnsi="Arial"/>
                              </w:rPr>
                              <w:t>Complaint rejected, based on further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995D4" id="Text Box 11" o:spid="_x0000_s1034" type="#_x0000_t202" style="position:absolute;margin-left:241.2pt;margin-top:286.25pt;width:201.6pt;height:37.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" o:allowincell="f">
                <v:textbox>
                  <w:txbxContent>
                    <w:p w14:paraId="33A129D1" w14:textId="77777777" w:rsidR="00B5590A" w:rsidRPr="00FE0103" w:rsidRDefault="00B5590A" w:rsidP="002A3B9D">
                      <w:pPr>
                        <w:rPr>
                          <w:rFonts w:ascii="Arial" w:hAnsi="Arial"/>
                          <w:i/>
                        </w:rPr>
                      </w:pPr>
                      <w:r w:rsidRPr="00FE0103">
                        <w:rPr>
                          <w:rFonts w:ascii="Arial" w:hAnsi="Arial"/>
                        </w:rPr>
                        <w:t>Complaint rejected, based on further information.</w:t>
                      </w:r>
                    </w:p>
                  </w:txbxContent>
                </v:textbox>
              </v:shap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8992" behindDoc="0" locked="0" layoutInCell="0" allowOverlap="1" wp14:anchorId="3EB30D88" wp14:editId="761ADFF0">
                <wp:simplePos x="0" y="0"/>
                <wp:positionH relativeFrom="column">
                  <wp:posOffset>2788920</wp:posOffset>
                </wp:positionH>
                <wp:positionV relativeFrom="paragraph">
                  <wp:posOffset>2606675</wp:posOffset>
                </wp:positionV>
                <wp:extent cx="0" cy="1202690"/>
                <wp:effectExtent l="0" t="0" r="0" b="0"/>
                <wp:wrapNone/>
                <wp:docPr id="46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5125E" id="Line 5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205.25pt" to="219.6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2848" behindDoc="0" locked="0" layoutInCell="0" allowOverlap="1" wp14:anchorId="000DE99C" wp14:editId="30C7BD0C">
                <wp:simplePos x="0" y="0"/>
                <wp:positionH relativeFrom="column">
                  <wp:posOffset>2423160</wp:posOffset>
                </wp:positionH>
                <wp:positionV relativeFrom="paragraph">
                  <wp:posOffset>3809365</wp:posOffset>
                </wp:positionV>
                <wp:extent cx="365760" cy="0"/>
                <wp:effectExtent l="0" t="0" r="0" b="0"/>
                <wp:wrapNone/>
                <wp:docPr id="46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92C8" id="Line 4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299.95pt" to="219.6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3872" behindDoc="0" locked="0" layoutInCell="0" allowOverlap="1" wp14:anchorId="79AC31C0" wp14:editId="5DFD89A9">
                <wp:simplePos x="0" y="0"/>
                <wp:positionH relativeFrom="column">
                  <wp:posOffset>2423160</wp:posOffset>
                </wp:positionH>
                <wp:positionV relativeFrom="paragraph">
                  <wp:posOffset>3964305</wp:posOffset>
                </wp:positionV>
                <wp:extent cx="640080" cy="0"/>
                <wp:effectExtent l="0" t="0" r="0" b="0"/>
                <wp:wrapNone/>
                <wp:docPr id="46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2061" id="Line 4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312.15pt" to="241.2pt,3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70016" behindDoc="0" locked="0" layoutInCell="0" allowOverlap="1" wp14:anchorId="6296FC6C" wp14:editId="555EA7E1">
                <wp:simplePos x="0" y="0"/>
                <wp:positionH relativeFrom="column">
                  <wp:posOffset>2788920</wp:posOffset>
                </wp:positionH>
                <wp:positionV relativeFrom="paragraph">
                  <wp:posOffset>2606675</wp:posOffset>
                </wp:positionV>
                <wp:extent cx="274320" cy="0"/>
                <wp:effectExtent l="0" t="0" r="0" b="0"/>
                <wp:wrapNone/>
                <wp:docPr id="46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0901" id="Line 5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205.25pt" to="241.2pt,2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2VGwIAADQ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6704" behindDoc="0" locked="0" layoutInCell="0" allowOverlap="1" wp14:anchorId="2B5B4B1D" wp14:editId="685D7259">
                <wp:simplePos x="0" y="0"/>
                <wp:positionH relativeFrom="column">
                  <wp:posOffset>4282440</wp:posOffset>
                </wp:positionH>
                <wp:positionV relativeFrom="paragraph">
                  <wp:posOffset>1781175</wp:posOffset>
                </wp:positionV>
                <wp:extent cx="0" cy="492760"/>
                <wp:effectExtent l="0" t="0" r="0" b="0"/>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4D2DE" id="Line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2pt,140.25pt" to="337.2pt,1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9536" behindDoc="0" locked="0" layoutInCell="0" allowOverlap="1" wp14:anchorId="63F89FDD" wp14:editId="5419D1D4">
                <wp:simplePos x="0" y="0"/>
                <wp:positionH relativeFrom="column">
                  <wp:posOffset>2788920</wp:posOffset>
                </wp:positionH>
                <wp:positionV relativeFrom="paragraph">
                  <wp:posOffset>523240</wp:posOffset>
                </wp:positionV>
                <wp:extent cx="0" cy="1817370"/>
                <wp:effectExtent l="0" t="0" r="0" b="0"/>
                <wp:wrapNone/>
                <wp:docPr id="46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DD41D" id="Line 2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1.2pt" to="219.6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0560" behindDoc="0" locked="0" layoutInCell="0" allowOverlap="1" wp14:anchorId="7D93851C" wp14:editId="1F666DDF">
                <wp:simplePos x="0" y="0"/>
                <wp:positionH relativeFrom="column">
                  <wp:posOffset>2423160</wp:posOffset>
                </wp:positionH>
                <wp:positionV relativeFrom="paragraph">
                  <wp:posOffset>2340610</wp:posOffset>
                </wp:positionV>
                <wp:extent cx="365760" cy="0"/>
                <wp:effectExtent l="0" t="0" r="0" b="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F5E6" id="Line 2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84.3pt" to="219.6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ZjMQ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7968" behindDoc="0" locked="0" layoutInCell="0" allowOverlap="1" wp14:anchorId="3791D0AA" wp14:editId="6FFEDCA0">
                <wp:simplePos x="0" y="0"/>
                <wp:positionH relativeFrom="column">
                  <wp:posOffset>-533400</wp:posOffset>
                </wp:positionH>
                <wp:positionV relativeFrom="paragraph">
                  <wp:posOffset>3909060</wp:posOffset>
                </wp:positionV>
                <wp:extent cx="213360" cy="0"/>
                <wp:effectExtent l="0" t="0" r="0" b="0"/>
                <wp:wrapNone/>
                <wp:docPr id="47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FE685" id="Line 5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7.8pt" to="-25.2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SW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8752" behindDoc="0" locked="0" layoutInCell="0" allowOverlap="1" wp14:anchorId="1F62E249" wp14:editId="2F8FBD3F">
                <wp:simplePos x="0" y="0"/>
                <wp:positionH relativeFrom="column">
                  <wp:posOffset>5623560</wp:posOffset>
                </wp:positionH>
                <wp:positionV relativeFrom="paragraph">
                  <wp:posOffset>1454150</wp:posOffset>
                </wp:positionV>
                <wp:extent cx="182880" cy="0"/>
                <wp:effectExtent l="0" t="0" r="0" b="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A7405" id="Line 3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pt,114.5pt" to="457.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xKEg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60800" behindDoc="0" locked="0" layoutInCell="0" allowOverlap="1" wp14:anchorId="385BF29A" wp14:editId="3A76DA2F">
                <wp:simplePos x="0" y="0"/>
                <wp:positionH relativeFrom="column">
                  <wp:posOffset>5806440</wp:posOffset>
                </wp:positionH>
                <wp:positionV relativeFrom="paragraph">
                  <wp:posOffset>340360</wp:posOffset>
                </wp:positionV>
                <wp:extent cx="0" cy="842010"/>
                <wp:effectExtent l="0" t="0" r="0" b="0"/>
                <wp:wrapNone/>
                <wp:docPr id="4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76CBC" id="Line 4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26.8pt" to="457.2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FhEQ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57728" behindDoc="0" locked="0" layoutInCell="0" allowOverlap="1" wp14:anchorId="7C9D078D" wp14:editId="2F379B31">
                <wp:simplePos x="0" y="0"/>
                <wp:positionH relativeFrom="column">
                  <wp:posOffset>5623560</wp:posOffset>
                </wp:positionH>
                <wp:positionV relativeFrom="paragraph">
                  <wp:posOffset>1182370</wp:posOffset>
                </wp:positionV>
                <wp:extent cx="182880" cy="0"/>
                <wp:effectExtent l="0" t="0" r="0" b="0"/>
                <wp:wrapNone/>
                <wp:docPr id="47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3226F" id="Line 3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pt,93.1pt" to="457.2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8512" behindDoc="0" locked="0" layoutInCell="0" allowOverlap="1" wp14:anchorId="03498118" wp14:editId="35EA247A">
                <wp:simplePos x="0" y="0"/>
                <wp:positionH relativeFrom="column">
                  <wp:posOffset>2788920</wp:posOffset>
                </wp:positionH>
                <wp:positionV relativeFrom="paragraph">
                  <wp:posOffset>523240</wp:posOffset>
                </wp:positionV>
                <wp:extent cx="274320" cy="0"/>
                <wp:effectExtent l="0" t="0" r="0" b="0"/>
                <wp:wrapNone/>
                <wp:docPr id="47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F206" id="Line 2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1.2pt" to="241.2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5440" behindDoc="0" locked="0" layoutInCell="0" allowOverlap="1" wp14:anchorId="72861CFC" wp14:editId="1E12D706">
                <wp:simplePos x="0" y="0"/>
                <wp:positionH relativeFrom="column">
                  <wp:posOffset>868680</wp:posOffset>
                </wp:positionH>
                <wp:positionV relativeFrom="paragraph">
                  <wp:posOffset>379095</wp:posOffset>
                </wp:positionV>
                <wp:extent cx="2194560" cy="0"/>
                <wp:effectExtent l="0" t="0" r="0" b="0"/>
                <wp:wrapNone/>
                <wp:docPr id="47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86FC" id="Line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9.85pt" to="241.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ZS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6464" behindDoc="0" locked="0" layoutInCell="0" allowOverlap="1" wp14:anchorId="53CFD52C" wp14:editId="6731EA93">
                <wp:simplePos x="0" y="0"/>
                <wp:positionH relativeFrom="column">
                  <wp:posOffset>5623560</wp:posOffset>
                </wp:positionH>
                <wp:positionV relativeFrom="paragraph">
                  <wp:posOffset>340360</wp:posOffset>
                </wp:positionV>
                <wp:extent cx="182880" cy="0"/>
                <wp:effectExtent l="0" t="0" r="0" b="0"/>
                <wp:wrapNone/>
                <wp:docPr id="47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29D8" id="Line 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pt,26.8pt" to="457.2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op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" o:allowincell="f"/>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8272" behindDoc="0" locked="0" layoutInCell="0" allowOverlap="1" wp14:anchorId="0100F155" wp14:editId="1C36FAE2">
                <wp:simplePos x="0" y="0"/>
                <wp:positionH relativeFrom="column">
                  <wp:posOffset>3063240</wp:posOffset>
                </wp:positionH>
                <wp:positionV relativeFrom="paragraph">
                  <wp:posOffset>62865</wp:posOffset>
                </wp:positionV>
                <wp:extent cx="2560320" cy="659765"/>
                <wp:effectExtent l="0" t="0" r="0" b="0"/>
                <wp:wrapNone/>
                <wp:docPr id="4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59765"/>
                        </a:xfrm>
                        <a:prstGeom prst="rect">
                          <a:avLst/>
                        </a:prstGeom>
                        <a:solidFill>
                          <a:srgbClr val="FFFFFF"/>
                        </a:solidFill>
                        <a:ln w="9525">
                          <a:solidFill>
                            <a:srgbClr val="000000"/>
                          </a:solidFill>
                          <a:miter lim="800000"/>
                          <a:headEnd/>
                          <a:tailEnd/>
                        </a:ln>
                      </wps:spPr>
                      <wps:txbx>
                        <w:txbxContent>
                          <w:p w14:paraId="21412517" w14:textId="77777777" w:rsidR="00B5590A" w:rsidRPr="00FE0103" w:rsidRDefault="00B5590A" w:rsidP="002A3B9D">
                            <w:pPr>
                              <w:rPr>
                                <w:rFonts w:ascii="Arial" w:hAnsi="Arial"/>
                                <w:i/>
                              </w:rPr>
                            </w:pPr>
                            <w:r w:rsidRPr="00FE0103">
                              <w:rPr>
                                <w:rFonts w:ascii="Arial" w:hAnsi="Arial"/>
                              </w:rPr>
                              <w:t>Early conference held when requested by respondent and all parties agree.</w:t>
                            </w:r>
                          </w:p>
                          <w:p w14:paraId="5B389961" w14:textId="77777777" w:rsidR="00B5590A" w:rsidRDefault="00B5590A" w:rsidP="002A3B9D">
                            <w:pPr>
                              <w:rPr>
                                <w:rFonts w:ascii="Arial" w:hAnsi="Arial"/>
                              </w:rPr>
                            </w:pPr>
                          </w:p>
                          <w:p w14:paraId="2560F6A8" w14:textId="77777777" w:rsidR="00B5590A" w:rsidRDefault="00B5590A" w:rsidP="002A3B9D">
                            <w:pPr>
                              <w:rPr>
                                <w:rFonts w:ascii="Arial" w:hAnsi="Arial"/>
                              </w:rPr>
                            </w:pPr>
                            <w:r>
                              <w:rPr>
                                <w:rFonts w:ascii="Arial" w:hAnsi="Arial"/>
                              </w:rPr>
                              <w:t xml:space="preserve"> 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F155" id="Text Box 10" o:spid="_x0000_s1035" type="#_x0000_t202" style="position:absolute;margin-left:241.2pt;margin-top:4.95pt;width:201.6pt;height:51.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" o:allowincell="f">
                <v:textbox>
                  <w:txbxContent>
                    <w:p w14:paraId="21412517" w14:textId="77777777" w:rsidR="00B5590A" w:rsidRPr="00FE0103" w:rsidRDefault="00B5590A" w:rsidP="002A3B9D">
                      <w:pPr>
                        <w:rPr>
                          <w:rFonts w:ascii="Arial" w:hAnsi="Arial"/>
                          <w:i/>
                        </w:rPr>
                      </w:pPr>
                      <w:r w:rsidRPr="00FE0103">
                        <w:rPr>
                          <w:rFonts w:ascii="Arial" w:hAnsi="Arial"/>
                        </w:rPr>
                        <w:t>Early conference held when requested by respondent and all parties agree.</w:t>
                      </w:r>
                    </w:p>
                    <w:p w14:paraId="5B389961" w14:textId="77777777" w:rsidR="00B5590A" w:rsidRDefault="00B5590A" w:rsidP="002A3B9D">
                      <w:pPr>
                        <w:rPr>
                          <w:rFonts w:ascii="Arial" w:hAnsi="Arial"/>
                        </w:rPr>
                      </w:pPr>
                    </w:p>
                    <w:p w14:paraId="2560F6A8" w14:textId="77777777" w:rsidR="00B5590A" w:rsidRDefault="00B5590A" w:rsidP="002A3B9D">
                      <w:pPr>
                        <w:rPr>
                          <w:rFonts w:ascii="Arial" w:hAnsi="Arial"/>
                        </w:rPr>
                      </w:pPr>
                      <w:r>
                        <w:rPr>
                          <w:rFonts w:ascii="Arial" w:hAnsi="Arial"/>
                        </w:rPr>
                        <w:t xml:space="preserve"> agree.</w:t>
                      </w:r>
                    </w:p>
                  </w:txbxContent>
                </v:textbox>
              </v:shape>
            </w:pict>
          </mc:Fallback>
        </mc:AlternateContent>
      </w:r>
      <w:r w:rsidRPr="002A3B9D">
        <w:rPr>
          <w:rFonts w:ascii="Times New Roman" w:eastAsia="Times New Roman" w:hAnsi="Times New Roman" w:cs="Times New Roman"/>
          <w:i/>
          <w:iCs w:val="0"/>
          <w:noProof/>
          <w:sz w:val="24"/>
          <w:lang w:eastAsia="en-AU"/>
        </w:rPr>
        <mc:AlternateContent>
          <mc:Choice Requires="wps">
            <w:drawing>
              <wp:anchor distT="0" distB="0" distL="114300" distR="114300" simplePos="0" relativeHeight="251655680" behindDoc="0" locked="0" layoutInCell="0" allowOverlap="1" wp14:anchorId="04438201" wp14:editId="2CDF0D6F">
                <wp:simplePos x="0" y="0"/>
                <wp:positionH relativeFrom="column">
                  <wp:posOffset>4251960</wp:posOffset>
                </wp:positionH>
                <wp:positionV relativeFrom="paragraph">
                  <wp:posOffset>722630</wp:posOffset>
                </wp:positionV>
                <wp:extent cx="0" cy="249555"/>
                <wp:effectExtent l="0" t="0" r="0" b="0"/>
                <wp:wrapNone/>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235F" id="Line 3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56.9pt" to="334.8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" o:allowincell="f">
                <v:stroke endarrow="block"/>
              </v:lin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1344" behindDoc="0" locked="0" layoutInCell="0" allowOverlap="1" wp14:anchorId="04132BD7" wp14:editId="6E857E07">
                <wp:simplePos x="0" y="0"/>
                <wp:positionH relativeFrom="column">
                  <wp:posOffset>3063240</wp:posOffset>
                </wp:positionH>
                <wp:positionV relativeFrom="paragraph">
                  <wp:posOffset>972185</wp:posOffset>
                </wp:positionV>
                <wp:extent cx="2560320" cy="808990"/>
                <wp:effectExtent l="0" t="0" r="0" b="0"/>
                <wp:wrapNone/>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8990"/>
                        </a:xfrm>
                        <a:prstGeom prst="rect">
                          <a:avLst/>
                        </a:prstGeom>
                        <a:solidFill>
                          <a:srgbClr val="FFFFFF"/>
                        </a:solidFill>
                        <a:ln w="9525">
                          <a:solidFill>
                            <a:srgbClr val="000000"/>
                          </a:solidFill>
                          <a:miter lim="800000"/>
                          <a:headEnd/>
                          <a:tailEnd/>
                        </a:ln>
                      </wps:spPr>
                      <wps:txbx>
                        <w:txbxContent>
                          <w:p w14:paraId="11D03CA8" w14:textId="77777777" w:rsidR="00B5590A" w:rsidRDefault="00B5590A" w:rsidP="002A3B9D">
                            <w:pPr>
                              <w:rPr>
                                <w:rFonts w:ascii="Arial" w:hAnsi="Arial"/>
                              </w:rPr>
                            </w:pPr>
                            <w:r>
                              <w:rPr>
                                <w:rFonts w:ascii="Arial" w:hAnsi="Arial"/>
                              </w:rPr>
                              <w:t>No settlement reached at conference and further negotiations unable to resolve the complaint.</w:t>
                            </w:r>
                            <w:r w:rsidRPr="00E6647C">
                              <w:rPr>
                                <w:rFonts w:ascii="Arial" w:hAnsi="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32BD7" id="Text Box 13" o:spid="_x0000_s1036" type="#_x0000_t202" style="position:absolute;margin-left:241.2pt;margin-top:76.55pt;width:201.6pt;height:63.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" o:allowincell="f">
                <v:textbox>
                  <w:txbxContent>
                    <w:p w14:paraId="11D03CA8" w14:textId="77777777" w:rsidR="00B5590A" w:rsidRDefault="00B5590A" w:rsidP="002A3B9D">
                      <w:pPr>
                        <w:rPr>
                          <w:rFonts w:ascii="Arial" w:hAnsi="Arial"/>
                        </w:rPr>
                      </w:pPr>
                      <w:r>
                        <w:rPr>
                          <w:rFonts w:ascii="Arial" w:hAnsi="Arial"/>
                        </w:rPr>
                        <w:t>No settlement reached at conference and further negotiations unable to resolve the complaint.</w:t>
                      </w:r>
                      <w:r w:rsidRPr="00E6647C">
                        <w:rPr>
                          <w:rFonts w:ascii="Arial" w:hAnsi="Arial"/>
                        </w:rPr>
                        <w:t xml:space="preserve"> </w:t>
                      </w:r>
                    </w:p>
                  </w:txbxContent>
                </v:textbox>
              </v:shape>
            </w:pict>
          </mc:Fallback>
        </mc:AlternateContent>
      </w: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36224" behindDoc="0" locked="0" layoutInCell="0" allowOverlap="1" wp14:anchorId="1240CD77" wp14:editId="5B171449">
                <wp:simplePos x="0" y="0"/>
                <wp:positionH relativeFrom="column">
                  <wp:posOffset>-320040</wp:posOffset>
                </wp:positionH>
                <wp:positionV relativeFrom="paragraph">
                  <wp:posOffset>3709670</wp:posOffset>
                </wp:positionV>
                <wp:extent cx="2743200" cy="365760"/>
                <wp:effectExtent l="0" t="0" r="0" b="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5760"/>
                        </a:xfrm>
                        <a:prstGeom prst="rect">
                          <a:avLst/>
                        </a:prstGeom>
                        <a:solidFill>
                          <a:srgbClr val="FFFFFF"/>
                        </a:solidFill>
                        <a:ln w="9525">
                          <a:solidFill>
                            <a:srgbClr val="000000"/>
                          </a:solidFill>
                          <a:miter lim="800000"/>
                          <a:headEnd/>
                          <a:tailEnd/>
                        </a:ln>
                      </wps:spPr>
                      <wps:txbx>
                        <w:txbxContent>
                          <w:p w14:paraId="16DEE705" w14:textId="77777777" w:rsidR="00B5590A" w:rsidRPr="00FE0103" w:rsidRDefault="00B5590A" w:rsidP="002A3B9D">
                            <w:pPr>
                              <w:rPr>
                                <w:rFonts w:ascii="Arial" w:hAnsi="Arial"/>
                                <w:i/>
                                <w:lang w:val="en-US"/>
                              </w:rPr>
                            </w:pPr>
                            <w:r w:rsidRPr="00FE0103">
                              <w:rPr>
                                <w:rFonts w:ascii="Arial" w:hAnsi="Arial"/>
                                <w:lang w:val="en-US"/>
                              </w:rPr>
                              <w:t>Complaint closed.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0CD77" id="Text Box 8" o:spid="_x0000_s1037" type="#_x0000_t202" style="position:absolute;margin-left:-25.2pt;margin-top:292.1pt;width:3in;height:28.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zVLgIAAFk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" o:allowincell="f">
                <v:textbox>
                  <w:txbxContent>
                    <w:p w14:paraId="16DEE705" w14:textId="77777777" w:rsidR="00B5590A" w:rsidRPr="00FE0103" w:rsidRDefault="00B5590A" w:rsidP="002A3B9D">
                      <w:pPr>
                        <w:rPr>
                          <w:rFonts w:ascii="Arial" w:hAnsi="Arial"/>
                          <w:i/>
                          <w:lang w:val="en-US"/>
                        </w:rPr>
                      </w:pPr>
                      <w:r w:rsidRPr="00FE0103">
                        <w:rPr>
                          <w:rFonts w:ascii="Arial" w:hAnsi="Arial"/>
                          <w:lang w:val="en-US"/>
                        </w:rPr>
                        <w:t>Complaint closed.</w:t>
                      </w:r>
                    </w:p>
                  </w:txbxContent>
                </v:textbox>
              </v:shape>
            </w:pict>
          </mc:Fallback>
        </mc:AlternateContent>
      </w:r>
      <w:r w:rsidRPr="002A3B9D">
        <w:rPr>
          <w:rFonts w:ascii="Arial" w:eastAsia="Times New Roman" w:hAnsi="Arial" w:cs="Times New Roman"/>
          <w:iCs w:val="0"/>
          <w:sz w:val="24"/>
          <w:lang w:eastAsia="en-AU"/>
        </w:rPr>
        <w:t>within 28 days,</w:t>
      </w:r>
    </w:p>
    <w:p w14:paraId="15DB79F1" w14:textId="77777777" w:rsidR="002A3B9D" w:rsidRPr="002A3B9D" w:rsidRDefault="002A3B9D" w:rsidP="00C71F8C">
      <w:pPr>
        <w:spacing w:after="0" w:line="240" w:lineRule="auto"/>
        <w:rPr>
          <w:rFonts w:ascii="Times New Roman" w:eastAsia="Times New Roman" w:hAnsi="Times New Roman" w:cs="Times New Roman"/>
          <w:i/>
          <w:iCs w:val="0"/>
          <w:sz w:val="24"/>
          <w:lang w:eastAsia="en-AU"/>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44416" behindDoc="0" locked="0" layoutInCell="0" allowOverlap="1" wp14:anchorId="1F722E5B" wp14:editId="7A6919DE">
                <wp:simplePos x="0" y="0"/>
                <wp:positionH relativeFrom="column">
                  <wp:posOffset>870626</wp:posOffset>
                </wp:positionH>
                <wp:positionV relativeFrom="paragraph">
                  <wp:posOffset>204997</wp:posOffset>
                </wp:positionV>
                <wp:extent cx="0" cy="753826"/>
                <wp:effectExtent l="76200" t="0" r="57150" b="65405"/>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8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6C25E" id="Line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6.15pt" to="68.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TX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" o:allowincell="f">
                <v:stroke endarrow="block"/>
              </v:line>
            </w:pict>
          </mc:Fallback>
        </mc:AlternateContent>
      </w:r>
    </w:p>
    <w:p w14:paraId="1FE1DA2F" w14:textId="77777777" w:rsidR="00A510E7" w:rsidRPr="002A0F92" w:rsidRDefault="000E6D8F" w:rsidP="00A75186">
      <w:pPr>
        <w:spacing w:line="240" w:lineRule="auto"/>
        <w:jc w:val="center"/>
        <w:rPr>
          <w:rFonts w:cstheme="minorHAnsi"/>
          <w:i/>
          <w:sz w:val="22"/>
          <w:szCs w:val="22"/>
        </w:rPr>
      </w:pPr>
      <w:r w:rsidRPr="002A3B9D">
        <w:rPr>
          <w:rFonts w:ascii="Arial" w:eastAsia="Times New Roman" w:hAnsi="Arial" w:cs="Times New Roman"/>
          <w:i/>
          <w:iCs w:val="0"/>
          <w:noProof/>
          <w:sz w:val="24"/>
          <w:lang w:eastAsia="en-AU"/>
        </w:rPr>
        <mc:AlternateContent>
          <mc:Choice Requires="wps">
            <w:drawing>
              <wp:anchor distT="0" distB="0" distL="114300" distR="114300" simplePos="0" relativeHeight="251671040" behindDoc="0" locked="0" layoutInCell="1" allowOverlap="1" wp14:anchorId="2D125E6C" wp14:editId="34BD29FB">
                <wp:simplePos x="0" y="0"/>
                <wp:positionH relativeFrom="column">
                  <wp:posOffset>-283845</wp:posOffset>
                </wp:positionH>
                <wp:positionV relativeFrom="paragraph">
                  <wp:posOffset>4112895</wp:posOffset>
                </wp:positionV>
                <wp:extent cx="3204845" cy="10858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1085850"/>
                        </a:xfrm>
                        <a:prstGeom prst="rect">
                          <a:avLst/>
                        </a:prstGeom>
                        <a:solidFill>
                          <a:srgbClr val="FFFFFF"/>
                        </a:solidFill>
                        <a:ln w="9525">
                          <a:noFill/>
                          <a:miter lim="800000"/>
                          <a:headEnd/>
                          <a:tailEnd/>
                        </a:ln>
                      </wps:spPr>
                      <wps:txbx>
                        <w:txbxContent>
                          <w:p w14:paraId="4BB53F43" w14:textId="77777777" w:rsidR="00B5590A" w:rsidRPr="00FE0103" w:rsidRDefault="00B5590A" w:rsidP="002A3B9D">
                            <w:pPr>
                              <w:spacing w:before="120" w:after="240"/>
                              <w:rPr>
                                <w:rFonts w:ascii="Arial" w:hAnsi="Arial" w:cs="Arial"/>
                                <w:i/>
                              </w:rPr>
                            </w:pPr>
                            <w:r w:rsidRPr="00FE0103">
                              <w:rPr>
                                <w:rFonts w:ascii="Arial" w:hAnsi="Arial" w:cs="Arial"/>
                              </w:rPr>
                              <w:t>* From 1 March 2017, for work-related matters the tribunal is the Queensland Industrial Relations Commission, and for all other matters the tribunal is the Queensland Civil and Administrative Tribunal.</w:t>
                            </w:r>
                          </w:p>
                          <w:p w14:paraId="0348DD83" w14:textId="77777777" w:rsidR="00B5590A" w:rsidRPr="00C61477" w:rsidRDefault="00B5590A" w:rsidP="002A3B9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25E6C" id="_x0000_s1038" type="#_x0000_t202" style="position:absolute;left:0;text-align:left;margin-left:-22.35pt;margin-top:323.85pt;width:252.35pt;height:8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" stroked="f">
                <v:textbox>
                  <w:txbxContent>
                    <w:p w14:paraId="4BB53F43" w14:textId="77777777" w:rsidR="00B5590A" w:rsidRPr="00FE0103" w:rsidRDefault="00B5590A" w:rsidP="002A3B9D">
                      <w:pPr>
                        <w:spacing w:before="120" w:after="240"/>
                        <w:rPr>
                          <w:rFonts w:ascii="Arial" w:hAnsi="Arial" w:cs="Arial"/>
                          <w:i/>
                        </w:rPr>
                      </w:pPr>
                      <w:r w:rsidRPr="00FE0103">
                        <w:rPr>
                          <w:rFonts w:ascii="Arial" w:hAnsi="Arial" w:cs="Arial"/>
                        </w:rPr>
                        <w:t>* From 1 March 2017, for work-related matters the tribunal is the Queensland Industrial Relations Commission, and for all other matters the tribunal is the Queensland Civil and Administrative Tribunal.</w:t>
                      </w:r>
                    </w:p>
                    <w:p w14:paraId="0348DD83" w14:textId="77777777" w:rsidR="00B5590A" w:rsidRPr="00C61477" w:rsidRDefault="00B5590A" w:rsidP="002A3B9D">
                      <w:pPr>
                        <w:rPr>
                          <w:rFonts w:ascii="Arial" w:hAnsi="Arial" w:cs="Arial"/>
                        </w:rPr>
                      </w:pPr>
                    </w:p>
                  </w:txbxContent>
                </v:textbox>
              </v:shape>
            </w:pict>
          </mc:Fallback>
        </mc:AlternateContent>
      </w:r>
    </w:p>
    <w:p w14:paraId="367C096D" w14:textId="77777777" w:rsidR="0097114D" w:rsidRPr="002A0F92" w:rsidRDefault="0097114D" w:rsidP="00A75186">
      <w:pPr>
        <w:spacing w:line="240" w:lineRule="auto"/>
        <w:rPr>
          <w:rFonts w:cstheme="minorHAnsi"/>
          <w:i/>
          <w:sz w:val="22"/>
          <w:szCs w:val="22"/>
        </w:rPr>
        <w:sectPr w:rsidR="0097114D" w:rsidRPr="002A0F92" w:rsidSect="006E6C7F">
          <w:pgSz w:w="11906" w:h="16838" w:code="9"/>
          <w:pgMar w:top="851" w:right="1077" w:bottom="902" w:left="1077" w:header="709" w:footer="709" w:gutter="0"/>
          <w:cols w:space="720"/>
          <w:titlePg/>
          <w:docGrid w:linePitch="360"/>
        </w:sectPr>
      </w:pPr>
    </w:p>
    <w:p w14:paraId="4F8277F5" w14:textId="77777777" w:rsidR="00A510E7" w:rsidRPr="00A43D75" w:rsidRDefault="00A510E7" w:rsidP="00A75186">
      <w:pPr>
        <w:pStyle w:val="Heading1"/>
      </w:pPr>
      <w:bookmarkStart w:id="124" w:name="_Toc366487313"/>
      <w:bookmarkStart w:id="125" w:name="_Toc397345691"/>
      <w:bookmarkStart w:id="126" w:name="_Toc16855356"/>
      <w:r w:rsidRPr="00C71F8C">
        <w:lastRenderedPageBreak/>
        <w:t xml:space="preserve">Appendix </w:t>
      </w:r>
      <w:r w:rsidR="00B05F27" w:rsidRPr="00C71F8C">
        <w:t>D</w:t>
      </w:r>
      <w:r w:rsidR="00BE4233" w:rsidRPr="00C71F8C">
        <w:t>:</w:t>
      </w:r>
      <w:r w:rsidR="00B9550E" w:rsidRPr="00C71F8C">
        <w:t xml:space="preserve"> Organisational</w:t>
      </w:r>
      <w:r w:rsidR="00B9550E" w:rsidRPr="00A43D75">
        <w:t xml:space="preserve"> structure</w:t>
      </w:r>
      <w:bookmarkEnd w:id="124"/>
      <w:bookmarkEnd w:id="125"/>
      <w:bookmarkEnd w:id="126"/>
    </w:p>
    <w:p w14:paraId="5B40D848" w14:textId="4FFE2257" w:rsidR="00CA1F8C" w:rsidRDefault="003823BE" w:rsidP="00A75186">
      <w:pPr>
        <w:spacing w:line="240" w:lineRule="auto"/>
        <w:jc w:val="center"/>
        <w:rPr>
          <w:rFonts w:cstheme="minorHAnsi"/>
          <w:i/>
          <w:sz w:val="22"/>
          <w:szCs w:val="22"/>
        </w:rPr>
      </w:pPr>
      <w:r>
        <w:rPr>
          <w:rFonts w:cstheme="minorHAnsi"/>
          <w:i/>
          <w:noProof/>
          <w:sz w:val="22"/>
          <w:szCs w:val="22"/>
          <w:lang w:eastAsia="en-AU"/>
        </w:rPr>
        <mc:AlternateContent>
          <mc:Choice Requires="wps">
            <w:drawing>
              <wp:anchor distT="0" distB="0" distL="114300" distR="114300" simplePos="0" relativeHeight="251686400" behindDoc="0" locked="0" layoutInCell="1" allowOverlap="1" wp14:anchorId="7B09B12E" wp14:editId="2E144245">
                <wp:simplePos x="0" y="0"/>
                <wp:positionH relativeFrom="column">
                  <wp:posOffset>1875155</wp:posOffset>
                </wp:positionH>
                <wp:positionV relativeFrom="paragraph">
                  <wp:posOffset>201295</wp:posOffset>
                </wp:positionV>
                <wp:extent cx="2038350" cy="723900"/>
                <wp:effectExtent l="0" t="0" r="19050" b="19050"/>
                <wp:wrapNone/>
                <wp:docPr id="239" name="Rectangle 239"/>
                <wp:cNvGraphicFramePr/>
                <a:graphic xmlns:a="http://schemas.openxmlformats.org/drawingml/2006/main">
                  <a:graphicData uri="http://schemas.microsoft.com/office/word/2010/wordprocessingShape">
                    <wps:wsp>
                      <wps:cNvSpPr/>
                      <wps:spPr>
                        <a:xfrm>
                          <a:off x="0" y="0"/>
                          <a:ext cx="2038350" cy="723900"/>
                        </a:xfrm>
                        <a:prstGeom prst="rect">
                          <a:avLst/>
                        </a:prstGeom>
                        <a:solidFill>
                          <a:schemeClr val="bg2"/>
                        </a:solidFill>
                        <a:ln w="19050">
                          <a:solidFill>
                            <a:srgbClr val="3B4E98"/>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174FB" id="Rectangle 239" o:spid="_x0000_s1026" style="position:absolute;margin-left:147.65pt;margin-top:15.85pt;width:160.5pt;height:5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" fillcolor="white [3214]" strokecolor="#3b4e98" strokeweight="1.5pt">
                <v:stroke dashstyle="1 1"/>
              </v:rect>
            </w:pict>
          </mc:Fallback>
        </mc:AlternateContent>
      </w:r>
    </w:p>
    <w:p w14:paraId="61B619AC" w14:textId="1A897142" w:rsidR="0097114D" w:rsidRPr="002A0F92" w:rsidRDefault="00E75F3E" w:rsidP="00A75186">
      <w:pPr>
        <w:spacing w:line="240" w:lineRule="auto"/>
        <w:jc w:val="center"/>
        <w:rPr>
          <w:rFonts w:cstheme="minorHAnsi"/>
          <w:i/>
          <w:sz w:val="22"/>
          <w:szCs w:val="22"/>
        </w:rPr>
        <w:sectPr w:rsidR="0097114D" w:rsidRPr="002A0F92" w:rsidSect="00F01B10">
          <w:pgSz w:w="11906" w:h="16838" w:code="9"/>
          <w:pgMar w:top="851" w:right="1077" w:bottom="902" w:left="1077" w:header="709" w:footer="709" w:gutter="0"/>
          <w:cols w:space="720"/>
          <w:titlePg/>
          <w:docGrid w:linePitch="360"/>
        </w:sectPr>
      </w:pPr>
      <w:r>
        <w:rPr>
          <w:rFonts w:cstheme="minorHAnsi"/>
          <w:i/>
          <w:noProof/>
          <w:sz w:val="22"/>
          <w:szCs w:val="22"/>
          <w:lang w:eastAsia="en-AU"/>
        </w:rPr>
        <mc:AlternateContent>
          <mc:Choice Requires="wps">
            <w:drawing>
              <wp:anchor distT="0" distB="0" distL="114300" distR="114300" simplePos="0" relativeHeight="251708928" behindDoc="0" locked="0" layoutInCell="1" allowOverlap="1" wp14:anchorId="19C14A66" wp14:editId="4B2FA152">
                <wp:simplePos x="0" y="0"/>
                <wp:positionH relativeFrom="column">
                  <wp:posOffset>2952750</wp:posOffset>
                </wp:positionH>
                <wp:positionV relativeFrom="paragraph">
                  <wp:posOffset>651671</wp:posOffset>
                </wp:positionV>
                <wp:extent cx="0" cy="271837"/>
                <wp:effectExtent l="0" t="0" r="19050" b="33020"/>
                <wp:wrapNone/>
                <wp:docPr id="450" name="Straight Connector 450"/>
                <wp:cNvGraphicFramePr/>
                <a:graphic xmlns:a="http://schemas.openxmlformats.org/drawingml/2006/main">
                  <a:graphicData uri="http://schemas.microsoft.com/office/word/2010/wordprocessingShape">
                    <wps:wsp>
                      <wps:cNvCnPr/>
                      <wps:spPr>
                        <a:xfrm>
                          <a:off x="0" y="0"/>
                          <a:ext cx="0" cy="271837"/>
                        </a:xfrm>
                        <a:prstGeom prst="line">
                          <a:avLst/>
                        </a:prstGeom>
                        <a:ln w="12700">
                          <a:solidFill>
                            <a:srgbClr val="3B4E98"/>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58CEF6" id="Straight Connector 450" o:spid="_x0000_s1026" style="position:absolute;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51.3pt" to="23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" strokecolor="#3b4e98" strokeweight="1pt"/>
            </w:pict>
          </mc:Fallback>
        </mc:AlternateContent>
      </w:r>
      <w:r>
        <w:rPr>
          <w:rFonts w:cstheme="minorHAnsi"/>
          <w:i/>
          <w:noProof/>
          <w:sz w:val="22"/>
          <w:szCs w:val="22"/>
          <w:lang w:eastAsia="en-AU"/>
        </w:rPr>
        <mc:AlternateContent>
          <mc:Choice Requires="wps">
            <w:drawing>
              <wp:anchor distT="0" distB="0" distL="114300" distR="114300" simplePos="0" relativeHeight="251701760" behindDoc="0" locked="0" layoutInCell="1" allowOverlap="1" wp14:anchorId="5800465E" wp14:editId="0ACF5C57">
                <wp:simplePos x="0" y="0"/>
                <wp:positionH relativeFrom="column">
                  <wp:posOffset>2125980</wp:posOffset>
                </wp:positionH>
                <wp:positionV relativeFrom="paragraph">
                  <wp:posOffset>65566</wp:posOffset>
                </wp:positionV>
                <wp:extent cx="1619250" cy="447675"/>
                <wp:effectExtent l="0" t="0" r="0" b="0"/>
                <wp:wrapNone/>
                <wp:docPr id="251" name="Text Box 251"/>
                <wp:cNvGraphicFramePr/>
                <a:graphic xmlns:a="http://schemas.openxmlformats.org/drawingml/2006/main">
                  <a:graphicData uri="http://schemas.microsoft.com/office/word/2010/wordprocessingShape">
                    <wps:wsp>
                      <wps:cNvSpPr txBox="1"/>
                      <wps:spPr>
                        <a:xfrm>
                          <a:off x="0" y="0"/>
                          <a:ext cx="1619250" cy="447675"/>
                        </a:xfrm>
                        <a:prstGeom prst="rect">
                          <a:avLst/>
                        </a:prstGeom>
                        <a:noFill/>
                        <a:ln w="6350">
                          <a:noFill/>
                        </a:ln>
                      </wps:spPr>
                      <wps:txbx>
                        <w:txbxContent>
                          <w:p w14:paraId="06771096" w14:textId="77777777" w:rsidR="00B5590A" w:rsidRPr="00E75F3E" w:rsidRDefault="00B5590A" w:rsidP="00CA1F8C">
                            <w:pPr>
                              <w:jc w:val="center"/>
                              <w:rPr>
                                <w:b/>
                                <w:i/>
                                <w:sz w:val="22"/>
                                <w:lang w:val="en-US"/>
                              </w:rPr>
                            </w:pPr>
                            <w:r w:rsidRPr="00E75F3E">
                              <w:rPr>
                                <w:b/>
                                <w:sz w:val="22"/>
                                <w:lang w:val="en-US"/>
                              </w:rPr>
                              <w:t>Anti-Discrimination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00465E" id="Text Box 251" o:spid="_x0000_s1039" type="#_x0000_t202" style="position:absolute;left:0;text-align:left;margin-left:167.4pt;margin-top:5.15pt;width:127.5pt;height:35.2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" filled="f" stroked="f" strokeweight=".5pt">
                <v:textbox>
                  <w:txbxContent>
                    <w:p w14:paraId="06771096" w14:textId="77777777" w:rsidR="00B5590A" w:rsidRPr="00E75F3E" w:rsidRDefault="00B5590A" w:rsidP="00CA1F8C">
                      <w:pPr>
                        <w:jc w:val="center"/>
                        <w:rPr>
                          <w:b/>
                          <w:i/>
                          <w:sz w:val="22"/>
                          <w:lang w:val="en-US"/>
                        </w:rPr>
                      </w:pPr>
                      <w:r w:rsidRPr="00E75F3E">
                        <w:rPr>
                          <w:b/>
                          <w:sz w:val="22"/>
                          <w:lang w:val="en-US"/>
                        </w:rPr>
                        <w:t>Anti-Discrimination Commissioner</w:t>
                      </w:r>
                    </w:p>
                  </w:txbxContent>
                </v:textbox>
              </v:shape>
            </w:pict>
          </mc:Fallback>
        </mc:AlternateContent>
      </w:r>
      <w:r>
        <w:rPr>
          <w:rFonts w:cstheme="minorHAnsi"/>
          <w:i/>
          <w:noProof/>
          <w:sz w:val="22"/>
          <w:szCs w:val="22"/>
          <w:lang w:eastAsia="en-AU"/>
        </w:rPr>
        <mc:AlternateContent>
          <mc:Choice Requires="wps">
            <w:drawing>
              <wp:anchor distT="0" distB="0" distL="114300" distR="114300" simplePos="0" relativeHeight="251710976" behindDoc="0" locked="0" layoutInCell="1" allowOverlap="1" wp14:anchorId="282BE3B1" wp14:editId="7B12FEFD">
                <wp:simplePos x="0" y="0"/>
                <wp:positionH relativeFrom="column">
                  <wp:posOffset>5142865</wp:posOffset>
                </wp:positionH>
                <wp:positionV relativeFrom="paragraph">
                  <wp:posOffset>3778250</wp:posOffset>
                </wp:positionV>
                <wp:extent cx="0" cy="463550"/>
                <wp:effectExtent l="0" t="0" r="19050" b="31750"/>
                <wp:wrapNone/>
                <wp:docPr id="451" name="Straight Connector 451"/>
                <wp:cNvGraphicFramePr/>
                <a:graphic xmlns:a="http://schemas.openxmlformats.org/drawingml/2006/main">
                  <a:graphicData uri="http://schemas.microsoft.com/office/word/2010/wordprocessingShape">
                    <wps:wsp>
                      <wps:cNvCnPr/>
                      <wps:spPr>
                        <a:xfrm>
                          <a:off x="0" y="0"/>
                          <a:ext cx="0" cy="463550"/>
                        </a:xfrm>
                        <a:prstGeom prst="line">
                          <a:avLst/>
                        </a:prstGeom>
                        <a:noFill/>
                        <a:ln w="12700" cap="flat" cmpd="sng" algn="ctr">
                          <a:solidFill>
                            <a:srgbClr val="3B4E98"/>
                          </a:solidFill>
                          <a:prstDash val="solid"/>
                        </a:ln>
                        <a:effectLst/>
                      </wps:spPr>
                      <wps:bodyPr/>
                    </wps:wsp>
                  </a:graphicData>
                </a:graphic>
                <wp14:sizeRelV relativeFrom="margin">
                  <wp14:pctHeight>0</wp14:pctHeight>
                </wp14:sizeRelV>
              </wp:anchor>
            </w:drawing>
          </mc:Choice>
          <mc:Fallback>
            <w:pict>
              <v:line w14:anchorId="48BDB48C" id="Straight Connector 451" o:spid="_x0000_s1026" style="position:absolute;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5pt,297.5pt" to="404.9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" strokecolor="#3b4e98" strokeweight="1pt"/>
            </w:pict>
          </mc:Fallback>
        </mc:AlternateContent>
      </w:r>
      <w:r>
        <w:rPr>
          <w:rFonts w:cstheme="minorHAnsi"/>
          <w:i/>
          <w:noProof/>
          <w:sz w:val="22"/>
          <w:szCs w:val="22"/>
          <w:lang w:eastAsia="en-AU"/>
        </w:rPr>
        <mc:AlternateContent>
          <mc:Choice Requires="wps">
            <w:drawing>
              <wp:anchor distT="0" distB="0" distL="114300" distR="114300" simplePos="0" relativeHeight="251717120" behindDoc="0" locked="0" layoutInCell="1" allowOverlap="1" wp14:anchorId="51C3FFDD" wp14:editId="1A7C9F79">
                <wp:simplePos x="0" y="0"/>
                <wp:positionH relativeFrom="column">
                  <wp:posOffset>5136041</wp:posOffset>
                </wp:positionH>
                <wp:positionV relativeFrom="paragraph">
                  <wp:posOffset>1859280</wp:posOffset>
                </wp:positionV>
                <wp:extent cx="0" cy="5524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552450"/>
                        </a:xfrm>
                        <a:prstGeom prst="line">
                          <a:avLst/>
                        </a:prstGeom>
                        <a:noFill/>
                        <a:ln w="12700" cap="flat" cmpd="sng" algn="ctr">
                          <a:solidFill>
                            <a:srgbClr val="3B4E98"/>
                          </a:solidFill>
                          <a:prstDash val="solid"/>
                        </a:ln>
                        <a:effectLst/>
                      </wps:spPr>
                      <wps:bodyPr/>
                    </wps:wsp>
                  </a:graphicData>
                </a:graphic>
                <wp14:sizeRelV relativeFrom="margin">
                  <wp14:pctHeight>0</wp14:pctHeight>
                </wp14:sizeRelV>
              </wp:anchor>
            </w:drawing>
          </mc:Choice>
          <mc:Fallback>
            <w:pict>
              <v:line w14:anchorId="223F2804" id="Straight Connector 44" o:spid="_x0000_s1026" style="position:absolute;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4pt,146.4pt" to="404.4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" strokecolor="#3b4e98" strokeweight="1pt"/>
            </w:pict>
          </mc:Fallback>
        </mc:AlternateContent>
      </w:r>
      <w:r>
        <w:rPr>
          <w:rFonts w:cstheme="minorHAnsi"/>
          <w:i/>
          <w:noProof/>
          <w:sz w:val="22"/>
          <w:szCs w:val="22"/>
          <w:lang w:eastAsia="en-AU"/>
        </w:rPr>
        <mc:AlternateContent>
          <mc:Choice Requires="wps">
            <w:drawing>
              <wp:anchor distT="0" distB="0" distL="114300" distR="114300" simplePos="0" relativeHeight="251718144" behindDoc="0" locked="0" layoutInCell="1" allowOverlap="1" wp14:anchorId="21986216" wp14:editId="55A23D11">
                <wp:simplePos x="0" y="0"/>
                <wp:positionH relativeFrom="column">
                  <wp:posOffset>1456055</wp:posOffset>
                </wp:positionH>
                <wp:positionV relativeFrom="paragraph">
                  <wp:posOffset>1448435</wp:posOffset>
                </wp:positionV>
                <wp:extent cx="790575" cy="0"/>
                <wp:effectExtent l="0" t="0" r="9525" b="19050"/>
                <wp:wrapNone/>
                <wp:docPr id="45" name="Straight Connector 45"/>
                <wp:cNvGraphicFramePr/>
                <a:graphic xmlns:a="http://schemas.openxmlformats.org/drawingml/2006/main">
                  <a:graphicData uri="http://schemas.microsoft.com/office/word/2010/wordprocessingShape">
                    <wps:wsp>
                      <wps:cNvCnPr/>
                      <wps:spPr>
                        <a:xfrm flipH="1">
                          <a:off x="0" y="0"/>
                          <a:ext cx="790575" cy="0"/>
                        </a:xfrm>
                        <a:prstGeom prst="line">
                          <a:avLst/>
                        </a:prstGeom>
                        <a:ln w="12700">
                          <a:solidFill>
                            <a:srgbClr val="3B4E9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17906" id="Straight Connector 45" o:spid="_x0000_s1026" style="position:absolute;flip:x;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65pt,114.05pt" to="176.9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" strokecolor="#3b4e98" strokeweight="1pt"/>
            </w:pict>
          </mc:Fallback>
        </mc:AlternateContent>
      </w:r>
      <w:r>
        <w:rPr>
          <w:rFonts w:cstheme="minorHAnsi"/>
          <w:i/>
          <w:noProof/>
          <w:sz w:val="22"/>
          <w:szCs w:val="22"/>
          <w:lang w:eastAsia="en-AU"/>
        </w:rPr>
        <mc:AlternateContent>
          <mc:Choice Requires="wps">
            <w:drawing>
              <wp:anchor distT="0" distB="0" distL="114300" distR="114300" simplePos="0" relativeHeight="251715072" behindDoc="0" locked="0" layoutInCell="1" allowOverlap="1" wp14:anchorId="771C50E0" wp14:editId="13ABD0E2">
                <wp:simplePos x="0" y="0"/>
                <wp:positionH relativeFrom="margin">
                  <wp:posOffset>2966720</wp:posOffset>
                </wp:positionH>
                <wp:positionV relativeFrom="paragraph">
                  <wp:posOffset>1853404</wp:posOffset>
                </wp:positionV>
                <wp:extent cx="0" cy="538480"/>
                <wp:effectExtent l="0" t="0" r="19050" b="33020"/>
                <wp:wrapNone/>
                <wp:docPr id="453" name="Straight Connector 453"/>
                <wp:cNvGraphicFramePr/>
                <a:graphic xmlns:a="http://schemas.openxmlformats.org/drawingml/2006/main">
                  <a:graphicData uri="http://schemas.microsoft.com/office/word/2010/wordprocessingShape">
                    <wps:wsp>
                      <wps:cNvCnPr/>
                      <wps:spPr>
                        <a:xfrm>
                          <a:off x="0" y="0"/>
                          <a:ext cx="0" cy="538480"/>
                        </a:xfrm>
                        <a:prstGeom prst="line">
                          <a:avLst/>
                        </a:prstGeom>
                        <a:noFill/>
                        <a:ln w="12700" cap="flat" cmpd="sng" algn="ctr">
                          <a:solidFill>
                            <a:srgbClr val="3B4E98"/>
                          </a:solidFill>
                          <a:prstDash val="solid"/>
                        </a:ln>
                        <a:effectLst/>
                      </wps:spPr>
                      <wps:bodyPr/>
                    </wps:wsp>
                  </a:graphicData>
                </a:graphic>
                <wp14:sizeRelV relativeFrom="margin">
                  <wp14:pctHeight>0</wp14:pctHeight>
                </wp14:sizeRelV>
              </wp:anchor>
            </w:drawing>
          </mc:Choice>
          <mc:Fallback>
            <w:pict>
              <v:line w14:anchorId="3D909F34" id="Straight Connector 453" o:spid="_x0000_s1026" style="position:absolute;z-index:251715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3.6pt,145.95pt" to="233.6pt,1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" strokecolor="#3b4e98" strokeweight="1pt">
                <w10:wrap anchorx="margin"/>
              </v:line>
            </w:pict>
          </mc:Fallback>
        </mc:AlternateContent>
      </w:r>
      <w:r w:rsidR="003823BE">
        <w:rPr>
          <w:rFonts w:cstheme="minorHAnsi"/>
          <w:i/>
          <w:noProof/>
          <w:sz w:val="22"/>
          <w:szCs w:val="22"/>
          <w:lang w:eastAsia="en-AU"/>
        </w:rPr>
        <mc:AlternateContent>
          <mc:Choice Requires="wps">
            <w:drawing>
              <wp:anchor distT="0" distB="0" distL="114300" distR="114300" simplePos="0" relativeHeight="251720192" behindDoc="0" locked="0" layoutInCell="1" allowOverlap="1" wp14:anchorId="35D2B808" wp14:editId="08255972">
                <wp:simplePos x="0" y="0"/>
                <wp:positionH relativeFrom="column">
                  <wp:posOffset>3635621</wp:posOffset>
                </wp:positionH>
                <wp:positionV relativeFrom="paragraph">
                  <wp:posOffset>1424125</wp:posOffset>
                </wp:positionV>
                <wp:extent cx="812042" cy="0"/>
                <wp:effectExtent l="0" t="0" r="26670" b="19050"/>
                <wp:wrapNone/>
                <wp:docPr id="46" name="Straight Connector 46"/>
                <wp:cNvGraphicFramePr/>
                <a:graphic xmlns:a="http://schemas.openxmlformats.org/drawingml/2006/main">
                  <a:graphicData uri="http://schemas.microsoft.com/office/word/2010/wordprocessingShape">
                    <wps:wsp>
                      <wps:cNvCnPr/>
                      <wps:spPr>
                        <a:xfrm flipH="1">
                          <a:off x="0" y="0"/>
                          <a:ext cx="812042" cy="0"/>
                        </a:xfrm>
                        <a:prstGeom prst="line">
                          <a:avLst/>
                        </a:prstGeom>
                        <a:noFill/>
                        <a:ln w="12700" cap="flat" cmpd="sng" algn="ctr">
                          <a:solidFill>
                            <a:srgbClr val="3B4E98"/>
                          </a:solidFill>
                          <a:prstDash val="solid"/>
                        </a:ln>
                        <a:effectLst/>
                      </wps:spPr>
                      <wps:bodyPr/>
                    </wps:wsp>
                  </a:graphicData>
                </a:graphic>
                <wp14:sizeRelH relativeFrom="margin">
                  <wp14:pctWidth>0</wp14:pctWidth>
                </wp14:sizeRelH>
              </wp:anchor>
            </w:drawing>
          </mc:Choice>
          <mc:Fallback>
            <w:pict>
              <v:line w14:anchorId="21400D09" id="Straight Connector 46" o:spid="_x0000_s1026" style="position:absolute;flip:x;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25pt,112.15pt" to="350.2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" strokecolor="#3b4e98" strokeweight="1pt"/>
            </w:pict>
          </mc:Fallback>
        </mc:AlternateContent>
      </w:r>
      <w:r w:rsidR="003823BE">
        <w:rPr>
          <w:rFonts w:cstheme="minorHAnsi"/>
          <w:i/>
          <w:noProof/>
          <w:sz w:val="22"/>
          <w:szCs w:val="22"/>
          <w:lang w:eastAsia="en-AU"/>
        </w:rPr>
        <mc:AlternateContent>
          <mc:Choice Requires="wps">
            <w:drawing>
              <wp:anchor distT="0" distB="0" distL="114300" distR="114300" simplePos="0" relativeHeight="251713024" behindDoc="0" locked="0" layoutInCell="1" allowOverlap="1" wp14:anchorId="021AAE4A" wp14:editId="4544D64F">
                <wp:simplePos x="0" y="0"/>
                <wp:positionH relativeFrom="column">
                  <wp:posOffset>773430</wp:posOffset>
                </wp:positionH>
                <wp:positionV relativeFrom="paragraph">
                  <wp:posOffset>1985484</wp:posOffset>
                </wp:positionV>
                <wp:extent cx="0" cy="419100"/>
                <wp:effectExtent l="0" t="0" r="19050" b="19050"/>
                <wp:wrapNone/>
                <wp:docPr id="452" name="Straight Connector 452"/>
                <wp:cNvGraphicFramePr/>
                <a:graphic xmlns:a="http://schemas.openxmlformats.org/drawingml/2006/main">
                  <a:graphicData uri="http://schemas.microsoft.com/office/word/2010/wordprocessingShape">
                    <wps:wsp>
                      <wps:cNvCnPr/>
                      <wps:spPr>
                        <a:xfrm>
                          <a:off x="0" y="0"/>
                          <a:ext cx="0" cy="419100"/>
                        </a:xfrm>
                        <a:prstGeom prst="line">
                          <a:avLst/>
                        </a:prstGeom>
                        <a:noFill/>
                        <a:ln w="12700" cap="flat" cmpd="sng" algn="ctr">
                          <a:solidFill>
                            <a:srgbClr val="3B4E9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B52E35" id="Straight Connector 45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156.35pt" to="60.9pt,1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" strokecolor="#3b4e98" strokeweight="1pt"/>
            </w:pict>
          </mc:Fallback>
        </mc:AlternateContent>
      </w:r>
      <w:r w:rsidR="003823BE">
        <w:rPr>
          <w:rFonts w:cstheme="minorHAnsi"/>
          <w:i/>
          <w:noProof/>
          <w:sz w:val="22"/>
          <w:szCs w:val="22"/>
          <w:lang w:eastAsia="en-AU"/>
        </w:rPr>
        <mc:AlternateContent>
          <mc:Choice Requires="wps">
            <w:drawing>
              <wp:anchor distT="0" distB="0" distL="114300" distR="114300" simplePos="0" relativeHeight="251698688" behindDoc="0" locked="0" layoutInCell="1" allowOverlap="1" wp14:anchorId="5A26130A" wp14:editId="63E970BC">
                <wp:simplePos x="0" y="0"/>
                <wp:positionH relativeFrom="column">
                  <wp:posOffset>4437380</wp:posOffset>
                </wp:positionH>
                <wp:positionV relativeFrom="paragraph">
                  <wp:posOffset>4255770</wp:posOffset>
                </wp:positionV>
                <wp:extent cx="1400175" cy="2628900"/>
                <wp:effectExtent l="0" t="0" r="28575" b="19050"/>
                <wp:wrapNone/>
                <wp:docPr id="249" name="Rectangle 249"/>
                <wp:cNvGraphicFramePr/>
                <a:graphic xmlns:a="http://schemas.openxmlformats.org/drawingml/2006/main">
                  <a:graphicData uri="http://schemas.microsoft.com/office/word/2010/wordprocessingShape">
                    <wps:wsp>
                      <wps:cNvSpPr/>
                      <wps:spPr>
                        <a:xfrm>
                          <a:off x="0" y="0"/>
                          <a:ext cx="1400175" cy="2628900"/>
                        </a:xfrm>
                        <a:prstGeom prst="rect">
                          <a:avLst/>
                        </a:prstGeom>
                        <a:solidFill>
                          <a:schemeClr val="bg2"/>
                        </a:solidFill>
                        <a:ln w="19050" cap="flat" cmpd="sng" algn="ctr">
                          <a:solidFill>
                            <a:srgbClr val="3B4E98"/>
                          </a:solidFill>
                          <a:prstDash val="sysDot"/>
                        </a:ln>
                        <a:effectLst/>
                      </wps:spPr>
                      <wps:txbx>
                        <w:txbxContent>
                          <w:p w14:paraId="5D26A4A8" w14:textId="77777777" w:rsidR="00B5590A" w:rsidRDefault="00B5590A" w:rsidP="00CA1F8C">
                            <w:pPr>
                              <w:jc w:val="center"/>
                              <w:rPr>
                                <w:b/>
                                <w:i/>
                                <w:sz w:val="22"/>
                                <w:lang w:val="en-US"/>
                              </w:rPr>
                            </w:pPr>
                            <w:r>
                              <w:rPr>
                                <w:b/>
                                <w:sz w:val="22"/>
                                <w:lang w:val="en-US"/>
                              </w:rPr>
                              <w:t>Regional Offices</w:t>
                            </w:r>
                          </w:p>
                          <w:p w14:paraId="2E87A91C" w14:textId="77777777" w:rsidR="00B5590A" w:rsidRPr="00E906DD" w:rsidRDefault="00B5590A" w:rsidP="00EC7F11">
                            <w:pPr>
                              <w:rPr>
                                <w:i/>
                                <w:lang w:val="en-US"/>
                              </w:rPr>
                            </w:pPr>
                            <w:r w:rsidRPr="00E906DD">
                              <w:rPr>
                                <w:lang w:val="en-US"/>
                              </w:rPr>
                              <w:t>Teams located in Rockhampton, Townsville &amp; Cairns deliver a combination of complaint management,</w:t>
                            </w:r>
                            <w:r>
                              <w:rPr>
                                <w:lang w:val="en-US"/>
                              </w:rPr>
                              <w:t xml:space="preserve"> training and community engagement services throughout their regions. </w:t>
                            </w:r>
                          </w:p>
                          <w:p w14:paraId="256F561D" w14:textId="77777777" w:rsidR="00B5590A" w:rsidRDefault="00B5590A" w:rsidP="00CA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6130A" id="Rectangle 249" o:spid="_x0000_s1040" style="position:absolute;left:0;text-align:left;margin-left:349.4pt;margin-top:335.1pt;width:110.25pt;height:20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" fillcolor="white [3214]" strokecolor="#3b4e98" strokeweight="1.5pt">
                <v:stroke dashstyle="1 1"/>
                <v:textbox>
                  <w:txbxContent>
                    <w:p w14:paraId="5D26A4A8" w14:textId="77777777" w:rsidR="00B5590A" w:rsidRDefault="00B5590A" w:rsidP="00CA1F8C">
                      <w:pPr>
                        <w:jc w:val="center"/>
                        <w:rPr>
                          <w:b/>
                          <w:i/>
                          <w:sz w:val="22"/>
                          <w:lang w:val="en-US"/>
                        </w:rPr>
                      </w:pPr>
                      <w:r>
                        <w:rPr>
                          <w:b/>
                          <w:sz w:val="22"/>
                          <w:lang w:val="en-US"/>
                        </w:rPr>
                        <w:t>Regional Offices</w:t>
                      </w:r>
                    </w:p>
                    <w:p w14:paraId="2E87A91C" w14:textId="77777777" w:rsidR="00B5590A" w:rsidRPr="00E906DD" w:rsidRDefault="00B5590A" w:rsidP="00EC7F11">
                      <w:pPr>
                        <w:rPr>
                          <w:i/>
                          <w:lang w:val="en-US"/>
                        </w:rPr>
                      </w:pPr>
                      <w:r w:rsidRPr="00E906DD">
                        <w:rPr>
                          <w:lang w:val="en-US"/>
                        </w:rPr>
                        <w:t>Teams located in Rockhampton, Townsville &amp; Cairns deliver a combination of complaint management,</w:t>
                      </w:r>
                      <w:r>
                        <w:rPr>
                          <w:lang w:val="en-US"/>
                        </w:rPr>
                        <w:t xml:space="preserve"> training and community engagement services throughout their regions. </w:t>
                      </w:r>
                    </w:p>
                    <w:p w14:paraId="256F561D" w14:textId="77777777" w:rsidR="00B5590A" w:rsidRDefault="00B5590A" w:rsidP="00CA1F8C">
                      <w:pPr>
                        <w:jc w:val="center"/>
                      </w:pPr>
                    </w:p>
                  </w:txbxContent>
                </v:textbox>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696640" behindDoc="0" locked="0" layoutInCell="1" allowOverlap="1" wp14:anchorId="2262E907" wp14:editId="28DAC29D">
                <wp:simplePos x="0" y="0"/>
                <wp:positionH relativeFrom="column">
                  <wp:posOffset>4427855</wp:posOffset>
                </wp:positionH>
                <wp:positionV relativeFrom="paragraph">
                  <wp:posOffset>2417445</wp:posOffset>
                </wp:positionV>
                <wp:extent cx="1400175" cy="1352550"/>
                <wp:effectExtent l="0" t="0" r="28575" b="19050"/>
                <wp:wrapNone/>
                <wp:docPr id="248" name="Rectangle 248"/>
                <wp:cNvGraphicFramePr/>
                <a:graphic xmlns:a="http://schemas.openxmlformats.org/drawingml/2006/main">
                  <a:graphicData uri="http://schemas.microsoft.com/office/word/2010/wordprocessingShape">
                    <wps:wsp>
                      <wps:cNvSpPr/>
                      <wps:spPr>
                        <a:xfrm>
                          <a:off x="0" y="0"/>
                          <a:ext cx="1400175" cy="1352550"/>
                        </a:xfrm>
                        <a:prstGeom prst="rect">
                          <a:avLst/>
                        </a:prstGeom>
                        <a:solidFill>
                          <a:schemeClr val="bg2"/>
                        </a:solidFill>
                        <a:ln w="19050" cap="flat" cmpd="sng" algn="ctr">
                          <a:solidFill>
                            <a:srgbClr val="3B4E98"/>
                          </a:solidFill>
                          <a:prstDash val="sysDot"/>
                        </a:ln>
                        <a:effectLst/>
                      </wps:spPr>
                      <wps:txbx>
                        <w:txbxContent>
                          <w:p w14:paraId="3C42007B" w14:textId="77777777" w:rsidR="00B5590A" w:rsidRDefault="00B5590A" w:rsidP="00CA1F8C">
                            <w:pPr>
                              <w:jc w:val="center"/>
                              <w:rPr>
                                <w:b/>
                                <w:i/>
                                <w:sz w:val="22"/>
                                <w:lang w:val="en-US"/>
                              </w:rPr>
                            </w:pPr>
                            <w:r>
                              <w:rPr>
                                <w:b/>
                                <w:sz w:val="22"/>
                                <w:lang w:val="en-US"/>
                              </w:rPr>
                              <w:t>Complaints Team</w:t>
                            </w:r>
                          </w:p>
                          <w:p w14:paraId="4B194FDE" w14:textId="77777777" w:rsidR="00B5590A" w:rsidRPr="00E906DD" w:rsidRDefault="00B5590A" w:rsidP="00EC7F11">
                            <w:pPr>
                              <w:rPr>
                                <w:i/>
                                <w:lang w:val="en-US"/>
                              </w:rPr>
                            </w:pPr>
                            <w:r w:rsidRPr="00E906DD">
                              <w:rPr>
                                <w:lang w:val="en-US"/>
                              </w:rPr>
                              <w:t xml:space="preserve">The Brisbane-based complaints team provides complaint management and enquiry services. </w:t>
                            </w:r>
                          </w:p>
                          <w:p w14:paraId="2519C1AE" w14:textId="77777777" w:rsidR="00B5590A" w:rsidRDefault="00B5590A" w:rsidP="00CA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2E907" id="Rectangle 248" o:spid="_x0000_s1041" style="position:absolute;left:0;text-align:left;margin-left:348.65pt;margin-top:190.35pt;width:110.25pt;height:10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" fillcolor="white [3214]" strokecolor="#3b4e98" strokeweight="1.5pt">
                <v:stroke dashstyle="1 1"/>
                <v:textbox>
                  <w:txbxContent>
                    <w:p w14:paraId="3C42007B" w14:textId="77777777" w:rsidR="00B5590A" w:rsidRDefault="00B5590A" w:rsidP="00CA1F8C">
                      <w:pPr>
                        <w:jc w:val="center"/>
                        <w:rPr>
                          <w:b/>
                          <w:i/>
                          <w:sz w:val="22"/>
                          <w:lang w:val="en-US"/>
                        </w:rPr>
                      </w:pPr>
                      <w:r>
                        <w:rPr>
                          <w:b/>
                          <w:sz w:val="22"/>
                          <w:lang w:val="en-US"/>
                        </w:rPr>
                        <w:t>Complaints Team</w:t>
                      </w:r>
                    </w:p>
                    <w:p w14:paraId="4B194FDE" w14:textId="77777777" w:rsidR="00B5590A" w:rsidRPr="00E906DD" w:rsidRDefault="00B5590A" w:rsidP="00EC7F11">
                      <w:pPr>
                        <w:rPr>
                          <w:i/>
                          <w:lang w:val="en-US"/>
                        </w:rPr>
                      </w:pPr>
                      <w:r w:rsidRPr="00E906DD">
                        <w:rPr>
                          <w:lang w:val="en-US"/>
                        </w:rPr>
                        <w:t xml:space="preserve">The Brisbane-based complaints team provides complaint management and enquiry services. </w:t>
                      </w:r>
                    </w:p>
                    <w:p w14:paraId="2519C1AE" w14:textId="77777777" w:rsidR="00B5590A" w:rsidRDefault="00B5590A" w:rsidP="00CA1F8C">
                      <w:pPr>
                        <w:jc w:val="center"/>
                      </w:pPr>
                    </w:p>
                  </w:txbxContent>
                </v:textbox>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706880" behindDoc="0" locked="0" layoutInCell="1" allowOverlap="1" wp14:anchorId="0CA51851" wp14:editId="2EB82E84">
                <wp:simplePos x="0" y="0"/>
                <wp:positionH relativeFrom="column">
                  <wp:posOffset>2256155</wp:posOffset>
                </wp:positionH>
                <wp:positionV relativeFrom="paragraph">
                  <wp:posOffset>2407920</wp:posOffset>
                </wp:positionV>
                <wp:extent cx="1395730" cy="2076450"/>
                <wp:effectExtent l="0" t="0" r="13970" b="19050"/>
                <wp:wrapTopAndBottom/>
                <wp:docPr id="448" name="Rectangle 448"/>
                <wp:cNvGraphicFramePr/>
                <a:graphic xmlns:a="http://schemas.openxmlformats.org/drawingml/2006/main">
                  <a:graphicData uri="http://schemas.microsoft.com/office/word/2010/wordprocessingShape">
                    <wps:wsp>
                      <wps:cNvSpPr/>
                      <wps:spPr>
                        <a:xfrm>
                          <a:off x="0" y="0"/>
                          <a:ext cx="1395730" cy="2076450"/>
                        </a:xfrm>
                        <a:prstGeom prst="rect">
                          <a:avLst/>
                        </a:prstGeom>
                        <a:solidFill>
                          <a:schemeClr val="bg2"/>
                        </a:solidFill>
                        <a:ln w="19050" cap="flat" cmpd="sng" algn="ctr">
                          <a:solidFill>
                            <a:srgbClr val="3B4E98"/>
                          </a:solidFill>
                          <a:prstDash val="sysDot"/>
                        </a:ln>
                        <a:effectLst/>
                      </wps:spPr>
                      <wps:txbx>
                        <w:txbxContent>
                          <w:p w14:paraId="4BCFB469" w14:textId="77777777" w:rsidR="00B5590A" w:rsidRPr="00970080" w:rsidRDefault="00B5590A" w:rsidP="00970080">
                            <w:pPr>
                              <w:rPr>
                                <w:i/>
                                <w:sz w:val="22"/>
                              </w:rPr>
                            </w:pPr>
                            <w:r>
                              <w:rPr>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51851" id="Rectangle 448" o:spid="_x0000_s1042" style="position:absolute;left:0;text-align:left;margin-left:177.65pt;margin-top:189.6pt;width:109.9pt;height:16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" fillcolor="white [3214]" strokecolor="#3b4e98" strokeweight="1.5pt">
                <v:stroke dashstyle="1 1"/>
                <v:textbox>
                  <w:txbxContent>
                    <w:p w14:paraId="4BCFB469" w14:textId="77777777" w:rsidR="00B5590A" w:rsidRPr="00970080" w:rsidRDefault="00B5590A" w:rsidP="00970080">
                      <w:pPr>
                        <w:rPr>
                          <w:i/>
                          <w:sz w:val="22"/>
                        </w:rPr>
                      </w:pPr>
                      <w:r>
                        <w:rPr>
                          <w:sz w:val="22"/>
                        </w:rPr>
                        <w:t xml:space="preserve"> </w:t>
                      </w:r>
                    </w:p>
                  </w:txbxContent>
                </v:textbox>
                <w10:wrap type="topAndBottom"/>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707904" behindDoc="0" locked="0" layoutInCell="1" allowOverlap="1" wp14:anchorId="3E52567E" wp14:editId="75DE7F69">
                <wp:simplePos x="0" y="0"/>
                <wp:positionH relativeFrom="column">
                  <wp:posOffset>2313305</wp:posOffset>
                </wp:positionH>
                <wp:positionV relativeFrom="paragraph">
                  <wp:posOffset>2522220</wp:posOffset>
                </wp:positionV>
                <wp:extent cx="1295400" cy="1962150"/>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1295400" cy="1962150"/>
                        </a:xfrm>
                        <a:prstGeom prst="rect">
                          <a:avLst/>
                        </a:prstGeom>
                        <a:noFill/>
                        <a:ln w="6350">
                          <a:noFill/>
                        </a:ln>
                      </wps:spPr>
                      <wps:txbx>
                        <w:txbxContent>
                          <w:p w14:paraId="676287FD" w14:textId="77777777" w:rsidR="00B5590A" w:rsidRDefault="00B5590A" w:rsidP="00ED3FED">
                            <w:pPr>
                              <w:spacing w:line="240" w:lineRule="auto"/>
                              <w:rPr>
                                <w:b/>
                                <w:i/>
                                <w:sz w:val="22"/>
                                <w:lang w:val="en-US"/>
                              </w:rPr>
                            </w:pPr>
                            <w:r>
                              <w:rPr>
                                <w:b/>
                                <w:sz w:val="22"/>
                                <w:lang w:val="en-US"/>
                              </w:rPr>
                              <w:t>Legal Research &amp; Policy Team</w:t>
                            </w:r>
                          </w:p>
                          <w:p w14:paraId="4A07E60D" w14:textId="77777777" w:rsidR="00B5590A" w:rsidRPr="00970080" w:rsidRDefault="00B5590A" w:rsidP="00EC7F11">
                            <w:pPr>
                              <w:rPr>
                                <w:i/>
                              </w:rPr>
                            </w:pPr>
                            <w:r>
                              <w:t xml:space="preserve">This team provides executive support and legal services; develops human rights policy and undertakes research on human rights issues. </w:t>
                            </w:r>
                          </w:p>
                          <w:p w14:paraId="2C116534" w14:textId="77777777" w:rsidR="00B5590A" w:rsidRDefault="00B55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567E" id="Text Box 449" o:spid="_x0000_s1043" type="#_x0000_t202" style="position:absolute;left:0;text-align:left;margin-left:182.15pt;margin-top:198.6pt;width:102pt;height:15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" filled="f" stroked="f" strokeweight=".5pt">
                <v:textbox>
                  <w:txbxContent>
                    <w:p w14:paraId="676287FD" w14:textId="77777777" w:rsidR="00B5590A" w:rsidRDefault="00B5590A" w:rsidP="00ED3FED">
                      <w:pPr>
                        <w:spacing w:line="240" w:lineRule="auto"/>
                        <w:rPr>
                          <w:b/>
                          <w:i/>
                          <w:sz w:val="22"/>
                          <w:lang w:val="en-US"/>
                        </w:rPr>
                      </w:pPr>
                      <w:r>
                        <w:rPr>
                          <w:b/>
                          <w:sz w:val="22"/>
                          <w:lang w:val="en-US"/>
                        </w:rPr>
                        <w:t>Legal Research &amp; Policy Team</w:t>
                      </w:r>
                    </w:p>
                    <w:p w14:paraId="4A07E60D" w14:textId="77777777" w:rsidR="00B5590A" w:rsidRPr="00970080" w:rsidRDefault="00B5590A" w:rsidP="00EC7F11">
                      <w:pPr>
                        <w:rPr>
                          <w:i/>
                        </w:rPr>
                      </w:pPr>
                      <w:r>
                        <w:t xml:space="preserve">This team provides executive support and legal services; develops human rights policy and undertakes research on human rights issues. </w:t>
                      </w:r>
                    </w:p>
                    <w:p w14:paraId="2C116534" w14:textId="77777777" w:rsidR="00B5590A" w:rsidRDefault="00B5590A"/>
                  </w:txbxContent>
                </v:textbox>
              </v:shape>
            </w:pict>
          </mc:Fallback>
        </mc:AlternateContent>
      </w:r>
      <w:r w:rsidR="003823BE">
        <w:rPr>
          <w:rFonts w:cstheme="minorHAnsi"/>
          <w:i/>
          <w:noProof/>
          <w:sz w:val="22"/>
          <w:szCs w:val="22"/>
          <w:lang w:eastAsia="en-AU"/>
        </w:rPr>
        <mc:AlternateContent>
          <mc:Choice Requires="wps">
            <w:drawing>
              <wp:anchor distT="0" distB="0" distL="114300" distR="114300" simplePos="0" relativeHeight="251692544" behindDoc="0" locked="0" layoutInCell="1" allowOverlap="1" wp14:anchorId="5742CD98" wp14:editId="31EC9AD6">
                <wp:simplePos x="0" y="0"/>
                <wp:positionH relativeFrom="column">
                  <wp:posOffset>4456430</wp:posOffset>
                </wp:positionH>
                <wp:positionV relativeFrom="paragraph">
                  <wp:posOffset>912495</wp:posOffset>
                </wp:positionV>
                <wp:extent cx="1390650" cy="933450"/>
                <wp:effectExtent l="0" t="0" r="19050" b="19050"/>
                <wp:wrapNone/>
                <wp:docPr id="246" name="Rectangle 246"/>
                <wp:cNvGraphicFramePr/>
                <a:graphic xmlns:a="http://schemas.openxmlformats.org/drawingml/2006/main">
                  <a:graphicData uri="http://schemas.microsoft.com/office/word/2010/wordprocessingShape">
                    <wps:wsp>
                      <wps:cNvSpPr/>
                      <wps:spPr>
                        <a:xfrm>
                          <a:off x="0" y="0"/>
                          <a:ext cx="1390650" cy="933450"/>
                        </a:xfrm>
                        <a:prstGeom prst="rect">
                          <a:avLst/>
                        </a:prstGeom>
                        <a:solidFill>
                          <a:schemeClr val="bg2"/>
                        </a:solidFill>
                        <a:ln w="19050" cap="flat" cmpd="sng" algn="ctr">
                          <a:solidFill>
                            <a:srgbClr val="3B4E98"/>
                          </a:solidFill>
                          <a:prstDash val="sysDot"/>
                        </a:ln>
                        <a:effectLst/>
                      </wps:spPr>
                      <wps:txbx>
                        <w:txbxContent>
                          <w:p w14:paraId="5FFD0A16" w14:textId="77777777" w:rsidR="00B5590A" w:rsidRPr="00970080" w:rsidRDefault="00B5590A" w:rsidP="00CA1F8C">
                            <w:pPr>
                              <w:jc w:val="center"/>
                              <w:rPr>
                                <w:b/>
                                <w:i/>
                                <w:sz w:val="4"/>
                                <w:szCs w:val="4"/>
                                <w:lang w:val="en-US"/>
                              </w:rPr>
                            </w:pPr>
                          </w:p>
                          <w:p w14:paraId="0978E043" w14:textId="77777777" w:rsidR="00B5590A" w:rsidRPr="00CA1F8C" w:rsidRDefault="00B5590A" w:rsidP="00CA1F8C">
                            <w:pPr>
                              <w:jc w:val="center"/>
                              <w:rPr>
                                <w:b/>
                                <w:i/>
                                <w:sz w:val="22"/>
                                <w:lang w:val="en-US"/>
                              </w:rPr>
                            </w:pPr>
                            <w:r>
                              <w:rPr>
                                <w:b/>
                                <w:sz w:val="22"/>
                                <w:lang w:val="en-US"/>
                              </w:rPr>
                              <w:t>Director, Complaint Management</w:t>
                            </w:r>
                          </w:p>
                          <w:p w14:paraId="7D401DE3" w14:textId="77777777" w:rsidR="00B5590A" w:rsidRDefault="00B5590A" w:rsidP="00CA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2CD98" id="Rectangle 246" o:spid="_x0000_s1044" style="position:absolute;left:0;text-align:left;margin-left:350.9pt;margin-top:71.85pt;width:109.5pt;height:7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" fillcolor="white [3214]" strokecolor="#3b4e98" strokeweight="1.5pt">
                <v:stroke dashstyle="1 1"/>
                <v:textbox>
                  <w:txbxContent>
                    <w:p w14:paraId="5FFD0A16" w14:textId="77777777" w:rsidR="00B5590A" w:rsidRPr="00970080" w:rsidRDefault="00B5590A" w:rsidP="00CA1F8C">
                      <w:pPr>
                        <w:jc w:val="center"/>
                        <w:rPr>
                          <w:b/>
                          <w:i/>
                          <w:sz w:val="4"/>
                          <w:szCs w:val="4"/>
                          <w:lang w:val="en-US"/>
                        </w:rPr>
                      </w:pPr>
                    </w:p>
                    <w:p w14:paraId="0978E043" w14:textId="77777777" w:rsidR="00B5590A" w:rsidRPr="00CA1F8C" w:rsidRDefault="00B5590A" w:rsidP="00CA1F8C">
                      <w:pPr>
                        <w:jc w:val="center"/>
                        <w:rPr>
                          <w:b/>
                          <w:i/>
                          <w:sz w:val="22"/>
                          <w:lang w:val="en-US"/>
                        </w:rPr>
                      </w:pPr>
                      <w:r>
                        <w:rPr>
                          <w:b/>
                          <w:sz w:val="22"/>
                          <w:lang w:val="en-US"/>
                        </w:rPr>
                        <w:t>Director, Complaint Management</w:t>
                      </w:r>
                    </w:p>
                    <w:p w14:paraId="7D401DE3" w14:textId="77777777" w:rsidR="00B5590A" w:rsidRDefault="00B5590A" w:rsidP="00CA1F8C">
                      <w:pPr>
                        <w:jc w:val="center"/>
                      </w:pPr>
                    </w:p>
                  </w:txbxContent>
                </v:textbox>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690496" behindDoc="0" locked="0" layoutInCell="1" allowOverlap="1" wp14:anchorId="5EF0AFC9" wp14:editId="5E1E15E7">
                <wp:simplePos x="0" y="0"/>
                <wp:positionH relativeFrom="column">
                  <wp:posOffset>2256155</wp:posOffset>
                </wp:positionH>
                <wp:positionV relativeFrom="paragraph">
                  <wp:posOffset>931545</wp:posOffset>
                </wp:positionV>
                <wp:extent cx="1381125" cy="904875"/>
                <wp:effectExtent l="0" t="0" r="28575" b="28575"/>
                <wp:wrapNone/>
                <wp:docPr id="245" name="Rectangle 245"/>
                <wp:cNvGraphicFramePr/>
                <a:graphic xmlns:a="http://schemas.openxmlformats.org/drawingml/2006/main">
                  <a:graphicData uri="http://schemas.microsoft.com/office/word/2010/wordprocessingShape">
                    <wps:wsp>
                      <wps:cNvSpPr/>
                      <wps:spPr>
                        <a:xfrm>
                          <a:off x="0" y="0"/>
                          <a:ext cx="1381125" cy="904875"/>
                        </a:xfrm>
                        <a:prstGeom prst="rect">
                          <a:avLst/>
                        </a:prstGeom>
                        <a:solidFill>
                          <a:schemeClr val="bg2"/>
                        </a:solidFill>
                        <a:ln w="19050" cap="flat" cmpd="sng" algn="ctr">
                          <a:solidFill>
                            <a:srgbClr val="3B4E98"/>
                          </a:solidFill>
                          <a:prstDash val="sysDot"/>
                        </a:ln>
                        <a:effectLst/>
                      </wps:spPr>
                      <wps:txbx>
                        <w:txbxContent>
                          <w:p w14:paraId="6A3B9225" w14:textId="77777777" w:rsidR="00B5590A" w:rsidRPr="00970080" w:rsidRDefault="00B5590A" w:rsidP="00CA1F8C">
                            <w:pPr>
                              <w:jc w:val="center"/>
                              <w:rPr>
                                <w:b/>
                                <w:i/>
                                <w:sz w:val="8"/>
                                <w:szCs w:val="8"/>
                                <w:lang w:val="en-US"/>
                              </w:rPr>
                            </w:pPr>
                          </w:p>
                          <w:p w14:paraId="0A62761A" w14:textId="77777777" w:rsidR="00B5590A" w:rsidRPr="00CA1F8C" w:rsidRDefault="00B5590A" w:rsidP="00CA1F8C">
                            <w:pPr>
                              <w:jc w:val="center"/>
                              <w:rPr>
                                <w:b/>
                                <w:i/>
                                <w:sz w:val="22"/>
                                <w:lang w:val="en-US"/>
                              </w:rPr>
                            </w:pPr>
                            <w:r>
                              <w:rPr>
                                <w:b/>
                                <w:sz w:val="22"/>
                                <w:lang w:val="en-US"/>
                              </w:rPr>
                              <w:t>Deputy</w:t>
                            </w:r>
                            <w:r w:rsidRPr="00CA1F8C">
                              <w:rPr>
                                <w:b/>
                                <w:sz w:val="22"/>
                                <w:lang w:val="en-US"/>
                              </w:rPr>
                              <w:t xml:space="preserve"> Commissioner</w:t>
                            </w:r>
                          </w:p>
                          <w:p w14:paraId="7E59830E" w14:textId="77777777" w:rsidR="00B5590A" w:rsidRDefault="00B5590A" w:rsidP="00CA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0AFC9" id="Rectangle 245" o:spid="_x0000_s1045" style="position:absolute;left:0;text-align:left;margin-left:177.65pt;margin-top:73.35pt;width:108.75pt;height:7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" fillcolor="white [3214]" strokecolor="#3b4e98" strokeweight="1.5pt">
                <v:stroke dashstyle="1 1"/>
                <v:textbox>
                  <w:txbxContent>
                    <w:p w14:paraId="6A3B9225" w14:textId="77777777" w:rsidR="00B5590A" w:rsidRPr="00970080" w:rsidRDefault="00B5590A" w:rsidP="00CA1F8C">
                      <w:pPr>
                        <w:jc w:val="center"/>
                        <w:rPr>
                          <w:b/>
                          <w:i/>
                          <w:sz w:val="8"/>
                          <w:szCs w:val="8"/>
                          <w:lang w:val="en-US"/>
                        </w:rPr>
                      </w:pPr>
                    </w:p>
                    <w:p w14:paraId="0A62761A" w14:textId="77777777" w:rsidR="00B5590A" w:rsidRPr="00CA1F8C" w:rsidRDefault="00B5590A" w:rsidP="00CA1F8C">
                      <w:pPr>
                        <w:jc w:val="center"/>
                        <w:rPr>
                          <w:b/>
                          <w:i/>
                          <w:sz w:val="22"/>
                          <w:lang w:val="en-US"/>
                        </w:rPr>
                      </w:pPr>
                      <w:r>
                        <w:rPr>
                          <w:b/>
                          <w:sz w:val="22"/>
                          <w:lang w:val="en-US"/>
                        </w:rPr>
                        <w:t>Deputy</w:t>
                      </w:r>
                      <w:r w:rsidRPr="00CA1F8C">
                        <w:rPr>
                          <w:b/>
                          <w:sz w:val="22"/>
                          <w:lang w:val="en-US"/>
                        </w:rPr>
                        <w:t xml:space="preserve"> Commissioner</w:t>
                      </w:r>
                    </w:p>
                    <w:p w14:paraId="7E59830E" w14:textId="77777777" w:rsidR="00B5590A" w:rsidRDefault="00B5590A" w:rsidP="00CA1F8C">
                      <w:pPr>
                        <w:jc w:val="center"/>
                      </w:pPr>
                    </w:p>
                  </w:txbxContent>
                </v:textbox>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688448" behindDoc="0" locked="0" layoutInCell="1" allowOverlap="1" wp14:anchorId="49239629" wp14:editId="4DEDB1D9">
                <wp:simplePos x="0" y="0"/>
                <wp:positionH relativeFrom="column">
                  <wp:posOffset>97155</wp:posOffset>
                </wp:positionH>
                <wp:positionV relativeFrom="paragraph">
                  <wp:posOffset>924560</wp:posOffset>
                </wp:positionV>
                <wp:extent cx="1352550" cy="1047750"/>
                <wp:effectExtent l="0" t="0" r="19050" b="19050"/>
                <wp:wrapNone/>
                <wp:docPr id="243" name="Rectangle 243"/>
                <wp:cNvGraphicFramePr/>
                <a:graphic xmlns:a="http://schemas.openxmlformats.org/drawingml/2006/main">
                  <a:graphicData uri="http://schemas.microsoft.com/office/word/2010/wordprocessingShape">
                    <wps:wsp>
                      <wps:cNvSpPr/>
                      <wps:spPr>
                        <a:xfrm>
                          <a:off x="0" y="0"/>
                          <a:ext cx="1352550" cy="1047750"/>
                        </a:xfrm>
                        <a:prstGeom prst="rect">
                          <a:avLst/>
                        </a:prstGeom>
                        <a:solidFill>
                          <a:schemeClr val="bg2"/>
                        </a:solidFill>
                        <a:ln w="19050" cap="flat" cmpd="sng" algn="ctr">
                          <a:solidFill>
                            <a:srgbClr val="3B4E98"/>
                          </a:solidFill>
                          <a:prstDash val="sysDot"/>
                        </a:ln>
                        <a:effectLst/>
                      </wps:spPr>
                      <wps:txbx>
                        <w:txbxContent>
                          <w:p w14:paraId="0CA082D2" w14:textId="77777777" w:rsidR="00B5590A" w:rsidRPr="00970080" w:rsidRDefault="00B5590A" w:rsidP="00CA1F8C">
                            <w:pPr>
                              <w:jc w:val="center"/>
                              <w:rPr>
                                <w:b/>
                                <w:i/>
                                <w:sz w:val="4"/>
                                <w:szCs w:val="4"/>
                                <w:lang w:val="en-US"/>
                              </w:rPr>
                            </w:pPr>
                          </w:p>
                          <w:p w14:paraId="04C77521" w14:textId="77777777" w:rsidR="00B5590A" w:rsidRPr="00CA1F8C" w:rsidRDefault="00B5590A" w:rsidP="00CA1F8C">
                            <w:pPr>
                              <w:jc w:val="center"/>
                              <w:rPr>
                                <w:b/>
                                <w:i/>
                                <w:sz w:val="22"/>
                                <w:lang w:val="en-US"/>
                              </w:rPr>
                            </w:pPr>
                            <w:r>
                              <w:rPr>
                                <w:b/>
                                <w:sz w:val="22"/>
                                <w:lang w:val="en-US"/>
                              </w:rPr>
                              <w:t>Director, Engagement &amp; Corporate Services</w:t>
                            </w:r>
                          </w:p>
                          <w:p w14:paraId="72E5275C" w14:textId="77777777" w:rsidR="00B5590A" w:rsidRDefault="00B5590A" w:rsidP="00CA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39629" id="Rectangle 243" o:spid="_x0000_s1046" style="position:absolute;left:0;text-align:left;margin-left:7.65pt;margin-top:72.8pt;width:106.5pt;height: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" fillcolor="white [3214]" strokecolor="#3b4e98" strokeweight="1.5pt">
                <v:stroke dashstyle="1 1"/>
                <v:textbox>
                  <w:txbxContent>
                    <w:p w14:paraId="0CA082D2" w14:textId="77777777" w:rsidR="00B5590A" w:rsidRPr="00970080" w:rsidRDefault="00B5590A" w:rsidP="00CA1F8C">
                      <w:pPr>
                        <w:jc w:val="center"/>
                        <w:rPr>
                          <w:b/>
                          <w:i/>
                          <w:sz w:val="4"/>
                          <w:szCs w:val="4"/>
                          <w:lang w:val="en-US"/>
                        </w:rPr>
                      </w:pPr>
                    </w:p>
                    <w:p w14:paraId="04C77521" w14:textId="77777777" w:rsidR="00B5590A" w:rsidRPr="00CA1F8C" w:rsidRDefault="00B5590A" w:rsidP="00CA1F8C">
                      <w:pPr>
                        <w:jc w:val="center"/>
                        <w:rPr>
                          <w:b/>
                          <w:i/>
                          <w:sz w:val="22"/>
                          <w:lang w:val="en-US"/>
                        </w:rPr>
                      </w:pPr>
                      <w:r>
                        <w:rPr>
                          <w:b/>
                          <w:sz w:val="22"/>
                          <w:lang w:val="en-US"/>
                        </w:rPr>
                        <w:t>Director, Engagement &amp; Corporate Services</w:t>
                      </w:r>
                    </w:p>
                    <w:p w14:paraId="72E5275C" w14:textId="77777777" w:rsidR="00B5590A" w:rsidRDefault="00B5590A" w:rsidP="00CA1F8C">
                      <w:pPr>
                        <w:jc w:val="center"/>
                      </w:pPr>
                    </w:p>
                  </w:txbxContent>
                </v:textbox>
              </v:rect>
            </w:pict>
          </mc:Fallback>
        </mc:AlternateContent>
      </w:r>
      <w:r w:rsidR="003823BE">
        <w:rPr>
          <w:rFonts w:cstheme="minorHAnsi"/>
          <w:i/>
          <w:noProof/>
          <w:sz w:val="22"/>
          <w:szCs w:val="22"/>
          <w:lang w:eastAsia="en-AU"/>
        </w:rPr>
        <mc:AlternateContent>
          <mc:Choice Requires="wps">
            <w:drawing>
              <wp:anchor distT="0" distB="0" distL="114300" distR="114300" simplePos="0" relativeHeight="251700736" behindDoc="0" locked="0" layoutInCell="1" allowOverlap="1" wp14:anchorId="081B7850" wp14:editId="32CCA7A0">
                <wp:simplePos x="0" y="0"/>
                <wp:positionH relativeFrom="column">
                  <wp:posOffset>78105</wp:posOffset>
                </wp:positionH>
                <wp:positionV relativeFrom="paragraph">
                  <wp:posOffset>2400935</wp:posOffset>
                </wp:positionV>
                <wp:extent cx="1362075" cy="3781425"/>
                <wp:effectExtent l="0" t="0" r="28575" b="28575"/>
                <wp:wrapNone/>
                <wp:docPr id="250" name="Rectangle 250"/>
                <wp:cNvGraphicFramePr/>
                <a:graphic xmlns:a="http://schemas.openxmlformats.org/drawingml/2006/main">
                  <a:graphicData uri="http://schemas.microsoft.com/office/word/2010/wordprocessingShape">
                    <wps:wsp>
                      <wps:cNvSpPr/>
                      <wps:spPr>
                        <a:xfrm>
                          <a:off x="0" y="0"/>
                          <a:ext cx="1362075" cy="3781425"/>
                        </a:xfrm>
                        <a:prstGeom prst="rect">
                          <a:avLst/>
                        </a:prstGeom>
                        <a:solidFill>
                          <a:schemeClr val="bg2"/>
                        </a:solidFill>
                        <a:ln w="19050" cap="flat" cmpd="sng" algn="ctr">
                          <a:solidFill>
                            <a:srgbClr val="3B4E98"/>
                          </a:solidFill>
                          <a:prstDash val="sysDot"/>
                        </a:ln>
                        <a:effectLst/>
                      </wps:spPr>
                      <wps:txbx>
                        <w:txbxContent>
                          <w:p w14:paraId="0A9A592F" w14:textId="77777777" w:rsidR="00B5590A" w:rsidRDefault="00B5590A" w:rsidP="009700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7850" id="Rectangle 250" o:spid="_x0000_s1047" style="position:absolute;left:0;text-align:left;margin-left:6.15pt;margin-top:189.05pt;width:107.25pt;height:29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" fillcolor="white [3214]" strokecolor="#3b4e98" strokeweight="1.5pt">
                <v:stroke dashstyle="1 1"/>
                <v:textbox>
                  <w:txbxContent>
                    <w:p w14:paraId="0A9A592F" w14:textId="77777777" w:rsidR="00B5590A" w:rsidRDefault="00B5590A" w:rsidP="00970080">
                      <w:pPr>
                        <w:jc w:val="center"/>
                      </w:pPr>
                    </w:p>
                  </w:txbxContent>
                </v:textbox>
              </v:rect>
            </w:pict>
          </mc:Fallback>
        </mc:AlternateContent>
      </w:r>
      <w:r w:rsidR="003823BE">
        <w:rPr>
          <w:noProof/>
          <w:lang w:eastAsia="en-AU"/>
        </w:rPr>
        <mc:AlternateContent>
          <mc:Choice Requires="wps">
            <w:drawing>
              <wp:anchor distT="0" distB="0" distL="114300" distR="114300" simplePos="0" relativeHeight="251704832" behindDoc="0" locked="0" layoutInCell="1" allowOverlap="1" wp14:anchorId="07F1EBCA" wp14:editId="3A44D47F">
                <wp:simplePos x="0" y="0"/>
                <wp:positionH relativeFrom="column">
                  <wp:posOffset>160655</wp:posOffset>
                </wp:positionH>
                <wp:positionV relativeFrom="paragraph">
                  <wp:posOffset>2493645</wp:posOffset>
                </wp:positionV>
                <wp:extent cx="1228725" cy="3819525"/>
                <wp:effectExtent l="0" t="0" r="0" b="0"/>
                <wp:wrapNone/>
                <wp:docPr id="253" name="Text Box 253"/>
                <wp:cNvGraphicFramePr/>
                <a:graphic xmlns:a="http://schemas.openxmlformats.org/drawingml/2006/main">
                  <a:graphicData uri="http://schemas.microsoft.com/office/word/2010/wordprocessingShape">
                    <wps:wsp>
                      <wps:cNvSpPr txBox="1"/>
                      <wps:spPr>
                        <a:xfrm>
                          <a:off x="0" y="0"/>
                          <a:ext cx="1228725" cy="3819525"/>
                        </a:xfrm>
                        <a:prstGeom prst="rect">
                          <a:avLst/>
                        </a:prstGeom>
                        <a:noFill/>
                        <a:ln w="6350">
                          <a:noFill/>
                        </a:ln>
                      </wps:spPr>
                      <wps:txbx>
                        <w:txbxContent>
                          <w:p w14:paraId="424B48C1" w14:textId="77777777" w:rsidR="00B5590A" w:rsidRPr="00970080" w:rsidRDefault="00B5590A" w:rsidP="00970080">
                            <w:pPr>
                              <w:jc w:val="center"/>
                              <w:rPr>
                                <w:b/>
                                <w:i/>
                                <w:sz w:val="22"/>
                                <w:lang w:val="en-US"/>
                              </w:rPr>
                            </w:pPr>
                            <w:r w:rsidRPr="00970080">
                              <w:rPr>
                                <w:b/>
                                <w:sz w:val="22"/>
                                <w:lang w:val="en-US"/>
                              </w:rPr>
                              <w:t>Engagement &amp; Corporate Services Team</w:t>
                            </w:r>
                          </w:p>
                          <w:p w14:paraId="5D32FE96" w14:textId="77777777" w:rsidR="00B5590A" w:rsidRPr="00970080" w:rsidRDefault="00B5590A" w:rsidP="00EC7F11">
                            <w:pPr>
                              <w:rPr>
                                <w:i/>
                                <w:lang w:val="en-US"/>
                              </w:rPr>
                            </w:pPr>
                            <w:r w:rsidRPr="00970080">
                              <w:rPr>
                                <w:lang w:val="en-US"/>
                              </w:rPr>
                              <w:t>This team has responsibility for the provision of training and engagement activities, marketing and comm</w:t>
                            </w:r>
                            <w:r>
                              <w:rPr>
                                <w:lang w:val="en-US"/>
                              </w:rPr>
                              <w:t xml:space="preserve">unications, administrative, financial, human resource, information technology, facilities and governance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EBCA" id="Text Box 253" o:spid="_x0000_s1048" type="#_x0000_t202" style="position:absolute;left:0;text-align:left;margin-left:12.65pt;margin-top:196.35pt;width:96.75pt;height:300.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" filled="f" stroked="f" strokeweight=".5pt">
                <v:textbox>
                  <w:txbxContent>
                    <w:p w14:paraId="424B48C1" w14:textId="77777777" w:rsidR="00B5590A" w:rsidRPr="00970080" w:rsidRDefault="00B5590A" w:rsidP="00970080">
                      <w:pPr>
                        <w:jc w:val="center"/>
                        <w:rPr>
                          <w:b/>
                          <w:i/>
                          <w:sz w:val="22"/>
                          <w:lang w:val="en-US"/>
                        </w:rPr>
                      </w:pPr>
                      <w:r w:rsidRPr="00970080">
                        <w:rPr>
                          <w:b/>
                          <w:sz w:val="22"/>
                          <w:lang w:val="en-US"/>
                        </w:rPr>
                        <w:t>Engagement &amp; Corporate Services Team</w:t>
                      </w:r>
                    </w:p>
                    <w:p w14:paraId="5D32FE96" w14:textId="77777777" w:rsidR="00B5590A" w:rsidRPr="00970080" w:rsidRDefault="00B5590A" w:rsidP="00EC7F11">
                      <w:pPr>
                        <w:rPr>
                          <w:i/>
                          <w:lang w:val="en-US"/>
                        </w:rPr>
                      </w:pPr>
                      <w:r w:rsidRPr="00970080">
                        <w:rPr>
                          <w:lang w:val="en-US"/>
                        </w:rPr>
                        <w:t>This team has responsibility for the provision of training and engagement activities, marketing and comm</w:t>
                      </w:r>
                      <w:r>
                        <w:rPr>
                          <w:lang w:val="en-US"/>
                        </w:rPr>
                        <w:t xml:space="preserve">unications, administrative, financial, human resource, information technology, facilities and governance services. </w:t>
                      </w:r>
                    </w:p>
                  </w:txbxContent>
                </v:textbox>
              </v:shape>
            </w:pict>
          </mc:Fallback>
        </mc:AlternateContent>
      </w:r>
      <w:r>
        <w:rPr>
          <w:rFonts w:cstheme="minorHAnsi"/>
          <w:i/>
          <w:sz w:val="22"/>
          <w:szCs w:val="22"/>
        </w:rPr>
        <w:softHyphen/>
      </w:r>
      <w:r>
        <w:rPr>
          <w:rFonts w:cstheme="minorHAnsi"/>
          <w:i/>
          <w:sz w:val="22"/>
          <w:szCs w:val="22"/>
        </w:rPr>
        <w:softHyphen/>
      </w:r>
      <w:r>
        <w:rPr>
          <w:rFonts w:cstheme="minorHAnsi"/>
          <w:i/>
          <w:sz w:val="22"/>
          <w:szCs w:val="22"/>
        </w:rPr>
        <w:softHyphen/>
      </w:r>
    </w:p>
    <w:p w14:paraId="4E388288" w14:textId="77777777" w:rsidR="00553C0A" w:rsidRDefault="00B9550E" w:rsidP="00A75186">
      <w:pPr>
        <w:pStyle w:val="Heading1"/>
        <w:rPr>
          <w:rStyle w:val="Heading1Char"/>
          <w:bCs/>
          <w:iCs/>
        </w:rPr>
      </w:pPr>
      <w:bookmarkStart w:id="127" w:name="_Toc243284345"/>
      <w:bookmarkStart w:id="128" w:name="_Toc366487314"/>
      <w:bookmarkStart w:id="129" w:name="_Toc397345692"/>
      <w:bookmarkStart w:id="130" w:name="_Toc16855357"/>
      <w:r w:rsidRPr="00EC7F11">
        <w:rPr>
          <w:rStyle w:val="Heading1Char"/>
          <w:bCs/>
          <w:iCs/>
        </w:rPr>
        <w:lastRenderedPageBreak/>
        <w:t xml:space="preserve">Appendix </w:t>
      </w:r>
      <w:r w:rsidR="00B05F27" w:rsidRPr="00EC7F11">
        <w:rPr>
          <w:rStyle w:val="Heading1Char"/>
          <w:bCs/>
          <w:iCs/>
        </w:rPr>
        <w:t>E</w:t>
      </w:r>
      <w:r w:rsidR="00BE4233" w:rsidRPr="00EC7F11">
        <w:rPr>
          <w:rStyle w:val="Heading1Char"/>
          <w:bCs/>
          <w:iCs/>
        </w:rPr>
        <w:t>:</w:t>
      </w:r>
      <w:bookmarkEnd w:id="127"/>
      <w:r w:rsidR="002D29F9" w:rsidRPr="00EC7F11">
        <w:rPr>
          <w:rStyle w:val="Heading1Char"/>
          <w:bCs/>
          <w:iCs/>
        </w:rPr>
        <w:t xml:space="preserve"> </w:t>
      </w:r>
      <w:r w:rsidRPr="00EC7F11">
        <w:rPr>
          <w:rStyle w:val="Heading1Char"/>
          <w:bCs/>
          <w:iCs/>
        </w:rPr>
        <w:t xml:space="preserve">Map of areas visited in </w:t>
      </w:r>
      <w:r w:rsidR="00553C0A">
        <w:rPr>
          <w:rStyle w:val="Heading1Char"/>
          <w:bCs/>
          <w:iCs/>
        </w:rPr>
        <w:t xml:space="preserve">    2</w:t>
      </w:r>
      <w:r w:rsidRPr="00EC7F11">
        <w:rPr>
          <w:rStyle w:val="Heading1Char"/>
          <w:bCs/>
          <w:iCs/>
        </w:rPr>
        <w:t>01</w:t>
      </w:r>
      <w:bookmarkEnd w:id="128"/>
      <w:bookmarkEnd w:id="129"/>
      <w:r w:rsidR="000E6D8F" w:rsidRPr="00EC7F11">
        <w:rPr>
          <w:rStyle w:val="Heading1Char"/>
          <w:bCs/>
          <w:iCs/>
        </w:rPr>
        <w:t>8</w:t>
      </w:r>
      <w:r w:rsidR="003B02D6" w:rsidRPr="00EC7F11">
        <w:rPr>
          <w:rStyle w:val="Heading1Char"/>
          <w:bCs/>
          <w:iCs/>
        </w:rPr>
        <w:t>-1</w:t>
      </w:r>
      <w:r w:rsidR="000E6D8F" w:rsidRPr="00EC7F11">
        <w:rPr>
          <w:rStyle w:val="Heading1Char"/>
          <w:bCs/>
          <w:iCs/>
        </w:rPr>
        <w:t>9</w:t>
      </w:r>
      <w:bookmarkEnd w:id="130"/>
    </w:p>
    <w:p w14:paraId="2203BB52" w14:textId="68C1FE81" w:rsidR="00B9550E" w:rsidRPr="00553C0A" w:rsidRDefault="00553C0A" w:rsidP="00553C0A">
      <w:pPr>
        <w:pStyle w:val="Heading2"/>
      </w:pPr>
      <w:r w:rsidRPr="00553C0A">
        <w:rPr>
          <w:rStyle w:val="Heading1Char"/>
          <w:rFonts w:eastAsiaTheme="minorEastAsia" w:cstheme="minorHAnsi"/>
          <w:bCs w:val="0"/>
          <w:iCs/>
          <w:color w:val="3B4E98"/>
          <w:sz w:val="32"/>
        </w:rPr>
        <w:t>Locations of training delivered in 2018-19</w:t>
      </w:r>
      <w:r w:rsidR="00085D3A" w:rsidRPr="00553C0A">
        <w:rPr>
          <w:rStyle w:val="Heading1Char"/>
          <w:rFonts w:eastAsiaTheme="minorEastAsia" w:cstheme="minorHAnsi"/>
          <w:bCs w:val="0"/>
          <w:iCs/>
          <w:color w:val="3B4E98"/>
          <w:sz w:val="32"/>
        </w:rPr>
        <w:tab/>
      </w:r>
      <w:r w:rsidR="00085D3A" w:rsidRPr="00553C0A">
        <w:rPr>
          <w:rStyle w:val="Heading1Char"/>
          <w:rFonts w:eastAsiaTheme="minorEastAsia" w:cstheme="minorHAnsi"/>
          <w:bCs w:val="0"/>
          <w:iCs/>
          <w:color w:val="3B4E98"/>
          <w:sz w:val="32"/>
        </w:rPr>
        <w:tab/>
      </w:r>
      <w:r w:rsidR="00085D3A" w:rsidRPr="00553C0A">
        <w:rPr>
          <w:rStyle w:val="Heading1Char"/>
          <w:rFonts w:eastAsiaTheme="minorEastAsia" w:cstheme="minorHAnsi"/>
          <w:bCs w:val="0"/>
          <w:iCs/>
          <w:color w:val="3B4E98"/>
          <w:sz w:val="32"/>
        </w:rPr>
        <w:tab/>
      </w:r>
      <w:r w:rsidR="00085D3A" w:rsidRPr="00553C0A">
        <w:rPr>
          <w:rStyle w:val="Heading1Char"/>
          <w:rFonts w:eastAsiaTheme="minorEastAsia" w:cstheme="minorHAnsi"/>
          <w:bCs w:val="0"/>
          <w:iCs/>
          <w:color w:val="3B4E98"/>
          <w:sz w:val="32"/>
        </w:rPr>
        <w:tab/>
      </w:r>
    </w:p>
    <w:p w14:paraId="0435F87B" w14:textId="60989841" w:rsidR="00085D3A" w:rsidRDefault="00553C0A" w:rsidP="00A75186">
      <w:pPr>
        <w:spacing w:line="240" w:lineRule="auto"/>
        <w:jc w:val="center"/>
        <w:rPr>
          <w:rFonts w:cstheme="minorHAnsi"/>
          <w:sz w:val="22"/>
          <w:szCs w:val="22"/>
        </w:rPr>
      </w:pPr>
      <w:r>
        <w:rPr>
          <w:noProof/>
          <w:lang w:eastAsia="en-AU"/>
        </w:rPr>
        <w:drawing>
          <wp:anchor distT="0" distB="0" distL="114300" distR="114300" simplePos="0" relativeHeight="251676160" behindDoc="1" locked="0" layoutInCell="1" allowOverlap="1" wp14:anchorId="2C835205" wp14:editId="42F6988E">
            <wp:simplePos x="0" y="0"/>
            <wp:positionH relativeFrom="column">
              <wp:posOffset>30480</wp:posOffset>
            </wp:positionH>
            <wp:positionV relativeFrom="margin">
              <wp:posOffset>1471295</wp:posOffset>
            </wp:positionV>
            <wp:extent cx="4471670" cy="6000750"/>
            <wp:effectExtent l="0" t="0" r="5080" b="0"/>
            <wp:wrapThrough wrapText="bothSides">
              <wp:wrapPolygon edited="0">
                <wp:start x="5153" y="0"/>
                <wp:lineTo x="4693" y="411"/>
                <wp:lineTo x="4049" y="1029"/>
                <wp:lineTo x="4049" y="1166"/>
                <wp:lineTo x="5337" y="2194"/>
                <wp:lineTo x="4693" y="3497"/>
                <wp:lineTo x="4601" y="6583"/>
                <wp:lineTo x="2300" y="7269"/>
                <wp:lineTo x="1748" y="7543"/>
                <wp:lineTo x="0" y="7749"/>
                <wp:lineTo x="0" y="18240"/>
                <wp:lineTo x="4049" y="18651"/>
                <wp:lineTo x="4049" y="21531"/>
                <wp:lineTo x="18496" y="21531"/>
                <wp:lineTo x="18956" y="21531"/>
                <wp:lineTo x="19416" y="21531"/>
                <wp:lineTo x="19876" y="21189"/>
                <wp:lineTo x="19784" y="20846"/>
                <wp:lineTo x="21533" y="20777"/>
                <wp:lineTo x="21533" y="19954"/>
                <wp:lineTo x="21072" y="17486"/>
                <wp:lineTo x="20704" y="17143"/>
                <wp:lineTo x="19876" y="16457"/>
                <wp:lineTo x="18772" y="15566"/>
                <wp:lineTo x="18496" y="15360"/>
                <wp:lineTo x="18036" y="14263"/>
                <wp:lineTo x="17300" y="13783"/>
                <wp:lineTo x="16103" y="13166"/>
                <wp:lineTo x="15367" y="11931"/>
                <wp:lineTo x="14631" y="11451"/>
                <wp:lineTo x="13251" y="10971"/>
                <wp:lineTo x="11778" y="9874"/>
                <wp:lineTo x="11594" y="8777"/>
                <wp:lineTo x="10950" y="8023"/>
                <wp:lineTo x="10582" y="7680"/>
                <wp:lineTo x="10490" y="6377"/>
                <wp:lineTo x="9938" y="5554"/>
                <wp:lineTo x="8466" y="4731"/>
                <wp:lineTo x="8006" y="4183"/>
                <wp:lineTo x="7822" y="3429"/>
                <wp:lineTo x="7454" y="2811"/>
                <wp:lineTo x="6993" y="2194"/>
                <wp:lineTo x="7085" y="1851"/>
                <wp:lineTo x="6349" y="1097"/>
                <wp:lineTo x="5981" y="1097"/>
                <wp:lineTo x="6165" y="617"/>
                <wp:lineTo x="6073" y="137"/>
                <wp:lineTo x="5705" y="0"/>
                <wp:lineTo x="515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map_of_queensland.png"/>
                    <pic:cNvPicPr/>
                  </pic:nvPicPr>
                  <pic:blipFill>
                    <a:blip r:embed="rId31">
                      <a:extLst>
                        <a:ext uri="{28A0092B-C50C-407E-A947-70E740481C1C}">
                          <a14:useLocalDpi xmlns:a14="http://schemas.microsoft.com/office/drawing/2010/main" val="0"/>
                        </a:ext>
                      </a:extLst>
                    </a:blip>
                    <a:stretch>
                      <a:fillRect/>
                    </a:stretch>
                  </pic:blipFill>
                  <pic:spPr>
                    <a:xfrm>
                      <a:off x="0" y="0"/>
                      <a:ext cx="4471670" cy="6000750"/>
                    </a:xfrm>
                    <a:prstGeom prst="rect">
                      <a:avLst/>
                    </a:prstGeom>
                  </pic:spPr>
                </pic:pic>
              </a:graphicData>
            </a:graphic>
            <wp14:sizeRelH relativeFrom="page">
              <wp14:pctWidth>0</wp14:pctWidth>
            </wp14:sizeRelH>
            <wp14:sizeRelV relativeFrom="page">
              <wp14:pctHeight>0</wp14:pctHeight>
            </wp14:sizeRelV>
          </wp:anchor>
        </w:drawing>
      </w:r>
    </w:p>
    <w:p w14:paraId="258A494C" w14:textId="0B23C998" w:rsidR="00085D3A" w:rsidRPr="00085D3A" w:rsidRDefault="00085D3A" w:rsidP="00A75186">
      <w:pPr>
        <w:spacing w:line="240" w:lineRule="auto"/>
        <w:rPr>
          <w:rFonts w:cstheme="minorHAnsi"/>
          <w:sz w:val="22"/>
          <w:szCs w:val="22"/>
        </w:rPr>
      </w:pPr>
    </w:p>
    <w:p w14:paraId="452AAE71" w14:textId="76BB3543" w:rsidR="00085D3A" w:rsidRPr="00085D3A" w:rsidRDefault="00085D3A" w:rsidP="00A75186">
      <w:pPr>
        <w:spacing w:line="240" w:lineRule="auto"/>
        <w:rPr>
          <w:rFonts w:cstheme="minorHAnsi"/>
          <w:sz w:val="22"/>
          <w:szCs w:val="22"/>
        </w:rPr>
      </w:pPr>
    </w:p>
    <w:p w14:paraId="117309FB" w14:textId="7528C511" w:rsidR="00085D3A" w:rsidRPr="00085D3A" w:rsidRDefault="00085D3A" w:rsidP="00A75186">
      <w:pPr>
        <w:spacing w:line="240" w:lineRule="auto"/>
        <w:rPr>
          <w:rFonts w:cstheme="minorHAnsi"/>
          <w:sz w:val="22"/>
          <w:szCs w:val="22"/>
        </w:rPr>
      </w:pPr>
    </w:p>
    <w:p w14:paraId="0552AF5D" w14:textId="150E9B21" w:rsidR="00085D3A" w:rsidRPr="00085D3A" w:rsidRDefault="00E517C6" w:rsidP="00A75186">
      <w:pPr>
        <w:spacing w:line="240" w:lineRule="auto"/>
        <w:rPr>
          <w:rFonts w:cstheme="minorHAnsi"/>
          <w:sz w:val="22"/>
          <w:szCs w:val="22"/>
        </w:rPr>
      </w:pPr>
      <w:r w:rsidRPr="00553C0A">
        <w:rPr>
          <w:rStyle w:val="Heading1Char"/>
          <w:rFonts w:eastAsiaTheme="minorEastAsia" w:cstheme="minorHAnsi"/>
          <w:bCs w:val="0"/>
          <w:iCs/>
          <w:noProof/>
          <w:color w:val="3B4E98"/>
          <w:sz w:val="32"/>
          <w:lang w:eastAsia="en-AU"/>
        </w:rPr>
        <mc:AlternateContent>
          <mc:Choice Requires="wps">
            <w:drawing>
              <wp:anchor distT="45720" distB="45720" distL="114300" distR="114300" simplePos="0" relativeHeight="251730432" behindDoc="0" locked="0" layoutInCell="1" allowOverlap="1" wp14:anchorId="6A9F2188" wp14:editId="0F51F684">
                <wp:simplePos x="0" y="0"/>
                <wp:positionH relativeFrom="margin">
                  <wp:posOffset>2924810</wp:posOffset>
                </wp:positionH>
                <wp:positionV relativeFrom="paragraph">
                  <wp:posOffset>193040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5A5CF4" w14:textId="264F38E7" w:rsidR="00B5590A" w:rsidRDefault="00B5590A" w:rsidP="00E517C6">
                            <w:pPr>
                              <w:pStyle w:val="Heading3"/>
                            </w:pPr>
                            <w:r>
                              <w:t>Far North Queensland</w:t>
                            </w:r>
                          </w:p>
                          <w:p w14:paraId="4846C591" w14:textId="4D7035E7" w:rsidR="00B5590A" w:rsidRDefault="00B5590A" w:rsidP="00E517C6">
                            <w:pPr>
                              <w:spacing w:after="0"/>
                            </w:pPr>
                            <w:r>
                              <w:t xml:space="preserve">Cloncurry </w:t>
                            </w:r>
                          </w:p>
                          <w:p w14:paraId="531A5FF0" w14:textId="068FE0D5" w:rsidR="00B5590A" w:rsidRDefault="00B5590A" w:rsidP="00E517C6">
                            <w:pPr>
                              <w:spacing w:after="0"/>
                            </w:pPr>
                            <w:r>
                              <w:t>Innisfail</w:t>
                            </w:r>
                          </w:p>
                          <w:p w14:paraId="06AC3430" w14:textId="65EDEB7A" w:rsidR="00B5590A" w:rsidRDefault="00B5590A" w:rsidP="00E517C6">
                            <w:pPr>
                              <w:spacing w:after="0"/>
                            </w:pPr>
                            <w:r>
                              <w:t>Mareeba</w:t>
                            </w:r>
                          </w:p>
                          <w:p w14:paraId="4C23CCF4" w14:textId="079C683E" w:rsidR="00B5590A" w:rsidRDefault="00B5590A" w:rsidP="00E517C6">
                            <w:pPr>
                              <w:spacing w:after="0"/>
                            </w:pPr>
                            <w:r>
                              <w:t xml:space="preserve">Mt Isa </w:t>
                            </w:r>
                          </w:p>
                          <w:p w14:paraId="5AA0A44E" w14:textId="005CC3C9" w:rsidR="00B5590A" w:rsidRDefault="00B5590A" w:rsidP="00E517C6">
                            <w:pPr>
                              <w:spacing w:after="0"/>
                            </w:pPr>
                            <w:r>
                              <w:t>Cairns and surrounds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9F2188" id="_x0000_s1049" type="#_x0000_t202" style="position:absolute;margin-left:230.3pt;margin-top:15.2pt;width:185.9pt;height:110.6pt;z-index:251730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" stroked="f">
                <v:textbox style="mso-fit-shape-to-text:t">
                  <w:txbxContent>
                    <w:p w14:paraId="235A5CF4" w14:textId="264F38E7" w:rsidR="00B5590A" w:rsidRDefault="00B5590A" w:rsidP="00E517C6">
                      <w:pPr>
                        <w:pStyle w:val="Heading3"/>
                      </w:pPr>
                      <w:r>
                        <w:t>Far North Queensland</w:t>
                      </w:r>
                    </w:p>
                    <w:p w14:paraId="4846C591" w14:textId="4D7035E7" w:rsidR="00B5590A" w:rsidRDefault="00B5590A" w:rsidP="00E517C6">
                      <w:pPr>
                        <w:spacing w:after="0"/>
                      </w:pPr>
                      <w:r>
                        <w:t xml:space="preserve">Cloncurry </w:t>
                      </w:r>
                    </w:p>
                    <w:p w14:paraId="531A5FF0" w14:textId="068FE0D5" w:rsidR="00B5590A" w:rsidRDefault="00B5590A" w:rsidP="00E517C6">
                      <w:pPr>
                        <w:spacing w:after="0"/>
                      </w:pPr>
                      <w:r>
                        <w:t>Innisfail</w:t>
                      </w:r>
                    </w:p>
                    <w:p w14:paraId="06AC3430" w14:textId="65EDEB7A" w:rsidR="00B5590A" w:rsidRDefault="00B5590A" w:rsidP="00E517C6">
                      <w:pPr>
                        <w:spacing w:after="0"/>
                      </w:pPr>
                      <w:r>
                        <w:t>Mareeba</w:t>
                      </w:r>
                    </w:p>
                    <w:p w14:paraId="4C23CCF4" w14:textId="079C683E" w:rsidR="00B5590A" w:rsidRDefault="00B5590A" w:rsidP="00E517C6">
                      <w:pPr>
                        <w:spacing w:after="0"/>
                      </w:pPr>
                      <w:r>
                        <w:t xml:space="preserve">Mt Isa </w:t>
                      </w:r>
                    </w:p>
                    <w:p w14:paraId="5AA0A44E" w14:textId="005CC3C9" w:rsidR="00B5590A" w:rsidRDefault="00B5590A" w:rsidP="00E517C6">
                      <w:pPr>
                        <w:spacing w:after="0"/>
                      </w:pPr>
                      <w:r>
                        <w:t>Cairns and surrounds</w:t>
                      </w:r>
                    </w:p>
                  </w:txbxContent>
                </v:textbox>
                <w10:wrap type="square" anchorx="margin"/>
              </v:shape>
            </w:pict>
          </mc:Fallback>
        </mc:AlternateContent>
      </w:r>
    </w:p>
    <w:p w14:paraId="501E39B5" w14:textId="4C85F083" w:rsidR="00085D3A" w:rsidRPr="00085D3A" w:rsidRDefault="00085D3A" w:rsidP="00A75186">
      <w:pPr>
        <w:spacing w:line="240" w:lineRule="auto"/>
        <w:rPr>
          <w:rFonts w:cstheme="minorHAnsi"/>
          <w:sz w:val="22"/>
          <w:szCs w:val="22"/>
        </w:rPr>
      </w:pPr>
    </w:p>
    <w:p w14:paraId="3298B410" w14:textId="6C620D7D" w:rsidR="00085D3A" w:rsidRPr="00085D3A" w:rsidRDefault="00E517C6" w:rsidP="00A75186">
      <w:pPr>
        <w:spacing w:line="240" w:lineRule="auto"/>
        <w:rPr>
          <w:rFonts w:cstheme="minorHAnsi"/>
          <w:sz w:val="22"/>
          <w:szCs w:val="22"/>
        </w:rPr>
      </w:pPr>
      <w:r>
        <w:rPr>
          <w:rFonts w:cstheme="minorHAnsi"/>
          <w:noProof/>
          <w:sz w:val="22"/>
          <w:szCs w:val="22"/>
          <w:lang w:eastAsia="en-AU"/>
        </w:rPr>
        <mc:AlternateContent>
          <mc:Choice Requires="wps">
            <w:drawing>
              <wp:anchor distT="0" distB="0" distL="114300" distR="114300" simplePos="0" relativeHeight="251731456" behindDoc="0" locked="0" layoutInCell="1" allowOverlap="1" wp14:anchorId="790C42CC" wp14:editId="5EB0A546">
                <wp:simplePos x="0" y="0"/>
                <wp:positionH relativeFrom="column">
                  <wp:posOffset>1859280</wp:posOffset>
                </wp:positionH>
                <wp:positionV relativeFrom="paragraph">
                  <wp:posOffset>44450</wp:posOffset>
                </wp:positionV>
                <wp:extent cx="2771775" cy="0"/>
                <wp:effectExtent l="0" t="0" r="9525" b="19050"/>
                <wp:wrapNone/>
                <wp:docPr id="255" name="Straight Connector 255"/>
                <wp:cNvGraphicFramePr/>
                <a:graphic xmlns:a="http://schemas.openxmlformats.org/drawingml/2006/main">
                  <a:graphicData uri="http://schemas.microsoft.com/office/word/2010/wordprocessingShape">
                    <wps:wsp>
                      <wps:cNvCnPr/>
                      <wps:spPr>
                        <a:xfrm flipH="1">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03C6B" id="Straight Connector 255" o:spid="_x0000_s1026" style="position:absolute;flip:x;z-index:251731456;visibility:visible;mso-wrap-style:square;mso-wrap-distance-left:9pt;mso-wrap-distance-top:0;mso-wrap-distance-right:9pt;mso-wrap-distance-bottom:0;mso-position-horizontal:absolute;mso-position-horizontal-relative:text;mso-position-vertical:absolute;mso-position-vertical-relative:text" from="146.4pt,3.5pt" to="364.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" strokecolor="#581d6a [3044]"/>
            </w:pict>
          </mc:Fallback>
        </mc:AlternateContent>
      </w:r>
    </w:p>
    <w:p w14:paraId="2740A574" w14:textId="2825E104" w:rsidR="00085D3A" w:rsidRPr="00085D3A" w:rsidRDefault="00085D3A" w:rsidP="00A75186">
      <w:pPr>
        <w:spacing w:line="240" w:lineRule="auto"/>
        <w:rPr>
          <w:rFonts w:cstheme="minorHAnsi"/>
          <w:sz w:val="22"/>
          <w:szCs w:val="22"/>
        </w:rPr>
      </w:pPr>
    </w:p>
    <w:p w14:paraId="76180C3C" w14:textId="7009B76C" w:rsidR="00085D3A" w:rsidRPr="00085D3A" w:rsidRDefault="00085D3A" w:rsidP="00A75186">
      <w:pPr>
        <w:spacing w:line="240" w:lineRule="auto"/>
        <w:rPr>
          <w:rFonts w:cstheme="minorHAnsi"/>
          <w:sz w:val="22"/>
          <w:szCs w:val="22"/>
        </w:rPr>
      </w:pPr>
    </w:p>
    <w:p w14:paraId="139A4360" w14:textId="47B44423" w:rsidR="00085D3A" w:rsidRPr="00085D3A" w:rsidRDefault="00E517C6" w:rsidP="00A75186">
      <w:pPr>
        <w:spacing w:line="240" w:lineRule="auto"/>
        <w:rPr>
          <w:rFonts w:cstheme="minorHAnsi"/>
          <w:sz w:val="22"/>
          <w:szCs w:val="22"/>
        </w:rPr>
      </w:pPr>
      <w:r w:rsidRPr="00E517C6">
        <w:rPr>
          <w:rFonts w:cstheme="minorHAnsi"/>
          <w:sz w:val="22"/>
          <w:szCs w:val="22"/>
        </w:rPr>
        <mc:AlternateContent>
          <mc:Choice Requires="wps">
            <w:drawing>
              <wp:anchor distT="45720" distB="45720" distL="114300" distR="114300" simplePos="0" relativeHeight="251733504" behindDoc="0" locked="0" layoutInCell="1" allowOverlap="1" wp14:anchorId="56088CB7" wp14:editId="00A7658F">
                <wp:simplePos x="0" y="0"/>
                <wp:positionH relativeFrom="page">
                  <wp:posOffset>4418965</wp:posOffset>
                </wp:positionH>
                <wp:positionV relativeFrom="paragraph">
                  <wp:posOffset>191135</wp:posOffset>
                </wp:positionV>
                <wp:extent cx="1924050" cy="1404620"/>
                <wp:effectExtent l="0" t="0" r="0" b="0"/>
                <wp:wrapSquare wrapText="bothSides"/>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noFill/>
                        <a:ln w="9525">
                          <a:noFill/>
                          <a:miter lim="800000"/>
                          <a:headEnd/>
                          <a:tailEnd/>
                        </a:ln>
                      </wps:spPr>
                      <wps:txbx>
                        <w:txbxContent>
                          <w:p w14:paraId="0B8064F0" w14:textId="2257DF88" w:rsidR="00B5590A" w:rsidRDefault="00B5590A" w:rsidP="00E517C6">
                            <w:pPr>
                              <w:pStyle w:val="Heading3"/>
                            </w:pPr>
                            <w:r>
                              <w:t>North Queensland</w:t>
                            </w:r>
                          </w:p>
                          <w:p w14:paraId="57AD0182" w14:textId="77777777" w:rsidR="00B5590A" w:rsidRDefault="00B5590A" w:rsidP="00E517C6">
                            <w:pPr>
                              <w:spacing w:after="0"/>
                            </w:pPr>
                            <w:r>
                              <w:t xml:space="preserve">Bowen </w:t>
                            </w:r>
                          </w:p>
                          <w:p w14:paraId="231FCC84" w14:textId="77777777" w:rsidR="00B5590A" w:rsidRDefault="00B5590A" w:rsidP="00E517C6">
                            <w:pPr>
                              <w:spacing w:after="0"/>
                            </w:pPr>
                            <w:r>
                              <w:t>Glenden</w:t>
                            </w:r>
                          </w:p>
                          <w:p w14:paraId="15F5BA33" w14:textId="77777777" w:rsidR="00B5590A" w:rsidRDefault="00B5590A" w:rsidP="00E517C6">
                            <w:pPr>
                              <w:spacing w:after="0"/>
                            </w:pPr>
                            <w:r>
                              <w:t>Hughenden</w:t>
                            </w:r>
                          </w:p>
                          <w:p w14:paraId="0EF4ECA1" w14:textId="77777777" w:rsidR="00B5590A" w:rsidRDefault="00B5590A" w:rsidP="00E517C6">
                            <w:pPr>
                              <w:spacing w:after="0"/>
                            </w:pPr>
                            <w:r>
                              <w:t>Mackay</w:t>
                            </w:r>
                          </w:p>
                          <w:p w14:paraId="65269582" w14:textId="77777777" w:rsidR="00B5590A" w:rsidRDefault="00B5590A" w:rsidP="00E517C6">
                            <w:pPr>
                              <w:spacing w:after="0"/>
                            </w:pPr>
                            <w:r>
                              <w:t>Townsville and surrounds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88CB7" id="_x0000_s1050" type="#_x0000_t202" style="position:absolute;margin-left:347.95pt;margin-top:15.05pt;width:151.5pt;height:110.6pt;z-index:251733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" filled="f" stroked="f">
                <v:textbox style="mso-fit-shape-to-text:t">
                  <w:txbxContent>
                    <w:p w14:paraId="0B8064F0" w14:textId="2257DF88" w:rsidR="00B5590A" w:rsidRDefault="00B5590A" w:rsidP="00E517C6">
                      <w:pPr>
                        <w:pStyle w:val="Heading3"/>
                      </w:pPr>
                      <w:r>
                        <w:t>North Queensland</w:t>
                      </w:r>
                    </w:p>
                    <w:p w14:paraId="57AD0182" w14:textId="77777777" w:rsidR="00B5590A" w:rsidRDefault="00B5590A" w:rsidP="00E517C6">
                      <w:pPr>
                        <w:spacing w:after="0"/>
                      </w:pPr>
                      <w:r>
                        <w:t xml:space="preserve">Bowen </w:t>
                      </w:r>
                    </w:p>
                    <w:p w14:paraId="231FCC84" w14:textId="77777777" w:rsidR="00B5590A" w:rsidRDefault="00B5590A" w:rsidP="00E517C6">
                      <w:pPr>
                        <w:spacing w:after="0"/>
                      </w:pPr>
                      <w:r>
                        <w:t>Glenden</w:t>
                      </w:r>
                    </w:p>
                    <w:p w14:paraId="15F5BA33" w14:textId="77777777" w:rsidR="00B5590A" w:rsidRDefault="00B5590A" w:rsidP="00E517C6">
                      <w:pPr>
                        <w:spacing w:after="0"/>
                      </w:pPr>
                      <w:r>
                        <w:t>Hughenden</w:t>
                      </w:r>
                    </w:p>
                    <w:p w14:paraId="0EF4ECA1" w14:textId="77777777" w:rsidR="00B5590A" w:rsidRDefault="00B5590A" w:rsidP="00E517C6">
                      <w:pPr>
                        <w:spacing w:after="0"/>
                      </w:pPr>
                      <w:r>
                        <w:t>Mackay</w:t>
                      </w:r>
                    </w:p>
                    <w:p w14:paraId="65269582" w14:textId="77777777" w:rsidR="00B5590A" w:rsidRDefault="00B5590A" w:rsidP="00E517C6">
                      <w:pPr>
                        <w:spacing w:after="0"/>
                      </w:pPr>
                      <w:r>
                        <w:t>Townsville and surrounds</w:t>
                      </w:r>
                    </w:p>
                  </w:txbxContent>
                </v:textbox>
                <w10:wrap type="square" anchorx="page"/>
              </v:shape>
            </w:pict>
          </mc:Fallback>
        </mc:AlternateContent>
      </w:r>
    </w:p>
    <w:p w14:paraId="20176ACE" w14:textId="403B0FA0" w:rsidR="00085D3A" w:rsidRPr="00085D3A" w:rsidRDefault="00085D3A" w:rsidP="00A75186">
      <w:pPr>
        <w:spacing w:line="240" w:lineRule="auto"/>
        <w:rPr>
          <w:rFonts w:cstheme="minorHAnsi"/>
          <w:sz w:val="22"/>
          <w:szCs w:val="22"/>
        </w:rPr>
      </w:pPr>
    </w:p>
    <w:p w14:paraId="3D692BC4" w14:textId="321A7190" w:rsidR="00085D3A" w:rsidRPr="00085D3A" w:rsidRDefault="00E517C6" w:rsidP="00A75186">
      <w:pPr>
        <w:spacing w:line="240" w:lineRule="auto"/>
        <w:rPr>
          <w:rFonts w:cstheme="minorHAnsi"/>
          <w:sz w:val="22"/>
          <w:szCs w:val="22"/>
        </w:rPr>
      </w:pPr>
      <w:r w:rsidRPr="00E517C6">
        <w:rPr>
          <w:rFonts w:cstheme="minorHAnsi"/>
          <w:sz w:val="22"/>
          <w:szCs w:val="22"/>
        </w:rPr>
        <mc:AlternateContent>
          <mc:Choice Requires="wps">
            <w:drawing>
              <wp:anchor distT="0" distB="0" distL="114300" distR="114300" simplePos="0" relativeHeight="251734528" behindDoc="0" locked="0" layoutInCell="1" allowOverlap="1" wp14:anchorId="459A79A8" wp14:editId="574CCB89">
                <wp:simplePos x="0" y="0"/>
                <wp:positionH relativeFrom="column">
                  <wp:posOffset>2420620</wp:posOffset>
                </wp:positionH>
                <wp:positionV relativeFrom="paragraph">
                  <wp:posOffset>38100</wp:posOffset>
                </wp:positionV>
                <wp:extent cx="2771775" cy="0"/>
                <wp:effectExtent l="0" t="0" r="9525" b="19050"/>
                <wp:wrapNone/>
                <wp:docPr id="455" name="Straight Connector 455"/>
                <wp:cNvGraphicFramePr/>
                <a:graphic xmlns:a="http://schemas.openxmlformats.org/drawingml/2006/main">
                  <a:graphicData uri="http://schemas.microsoft.com/office/word/2010/wordprocessingShape">
                    <wps:wsp>
                      <wps:cNvCnPr/>
                      <wps:spPr>
                        <a:xfrm flipH="1">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06C4F" id="Straight Connector 455" o:spid="_x0000_s1026" style="position:absolute;flip:x;z-index:251734528;visibility:visible;mso-wrap-style:square;mso-wrap-distance-left:9pt;mso-wrap-distance-top:0;mso-wrap-distance-right:9pt;mso-wrap-distance-bottom:0;mso-position-horizontal:absolute;mso-position-horizontal-relative:text;mso-position-vertical:absolute;mso-position-vertical-relative:text" from="190.6pt,3pt" to="4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" strokecolor="#581d6a [3044]"/>
            </w:pict>
          </mc:Fallback>
        </mc:AlternateContent>
      </w:r>
    </w:p>
    <w:p w14:paraId="06C0CA42" w14:textId="46E03953" w:rsidR="00085D3A" w:rsidRPr="00085D3A" w:rsidRDefault="00085D3A" w:rsidP="00A75186">
      <w:pPr>
        <w:spacing w:line="240" w:lineRule="auto"/>
        <w:rPr>
          <w:rFonts w:cstheme="minorHAnsi"/>
          <w:sz w:val="22"/>
          <w:szCs w:val="22"/>
        </w:rPr>
      </w:pPr>
    </w:p>
    <w:p w14:paraId="2D1C0777" w14:textId="195E63F8" w:rsidR="00085D3A" w:rsidRPr="00085D3A" w:rsidRDefault="00E517C6" w:rsidP="00A75186">
      <w:pPr>
        <w:spacing w:line="240" w:lineRule="auto"/>
        <w:rPr>
          <w:rFonts w:cstheme="minorHAnsi"/>
          <w:sz w:val="22"/>
          <w:szCs w:val="22"/>
        </w:rPr>
      </w:pPr>
      <w:r w:rsidRPr="00E517C6">
        <w:rPr>
          <w:rFonts w:cstheme="minorHAnsi"/>
          <w:sz w:val="22"/>
          <w:szCs w:val="22"/>
        </w:rPr>
        <mc:AlternateContent>
          <mc:Choice Requires="wps">
            <w:drawing>
              <wp:anchor distT="45720" distB="45720" distL="114300" distR="114300" simplePos="0" relativeHeight="251736576" behindDoc="0" locked="0" layoutInCell="1" allowOverlap="1" wp14:anchorId="0EFC2ED9" wp14:editId="35C2A6CF">
                <wp:simplePos x="0" y="0"/>
                <wp:positionH relativeFrom="page">
                  <wp:posOffset>1880870</wp:posOffset>
                </wp:positionH>
                <wp:positionV relativeFrom="paragraph">
                  <wp:posOffset>234950</wp:posOffset>
                </wp:positionV>
                <wp:extent cx="1924050" cy="140462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noFill/>
                        <a:ln w="9525">
                          <a:noFill/>
                          <a:miter lim="800000"/>
                          <a:headEnd/>
                          <a:tailEnd/>
                        </a:ln>
                      </wps:spPr>
                      <wps:txbx>
                        <w:txbxContent>
                          <w:p w14:paraId="44DD8AF0" w14:textId="2B4EEE73" w:rsidR="00B5590A" w:rsidRDefault="00B5590A" w:rsidP="00E517C6">
                            <w:pPr>
                              <w:pStyle w:val="Heading3"/>
                            </w:pPr>
                            <w:r>
                              <w:t>Central Queensland</w:t>
                            </w:r>
                          </w:p>
                          <w:p w14:paraId="0227F92D" w14:textId="04BCCB49" w:rsidR="00B5590A" w:rsidRDefault="00B5590A" w:rsidP="00E517C6">
                            <w:pPr>
                              <w:spacing w:after="0"/>
                            </w:pPr>
                            <w:r>
                              <w:t>Biloela</w:t>
                            </w:r>
                          </w:p>
                          <w:p w14:paraId="528EDA9C" w14:textId="6637A9E6" w:rsidR="00B5590A" w:rsidRDefault="00B5590A" w:rsidP="00E517C6">
                            <w:pPr>
                              <w:spacing w:after="0"/>
                            </w:pPr>
                            <w:r>
                              <w:t>Bundaberg</w:t>
                            </w:r>
                          </w:p>
                          <w:p w14:paraId="4D657368" w14:textId="5508DBFF" w:rsidR="00B5590A" w:rsidRDefault="00B5590A" w:rsidP="00E517C6">
                            <w:pPr>
                              <w:spacing w:after="0"/>
                            </w:pPr>
                            <w:r>
                              <w:t>Middlemount</w:t>
                            </w:r>
                          </w:p>
                          <w:p w14:paraId="48093A5E" w14:textId="646C8182" w:rsidR="00B5590A" w:rsidRDefault="00B5590A" w:rsidP="00E517C6">
                            <w:pPr>
                              <w:spacing w:after="0"/>
                            </w:pPr>
                            <w:r>
                              <w:t>Tieri</w:t>
                            </w:r>
                          </w:p>
                          <w:p w14:paraId="2510FCF8" w14:textId="7EE82531" w:rsidR="00B5590A" w:rsidRDefault="00B5590A" w:rsidP="00E517C6">
                            <w:pPr>
                              <w:spacing w:after="0"/>
                            </w:pPr>
                            <w:r>
                              <w:t>Rockhampton and surrounds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C2ED9" id="_x0000_s1051" type="#_x0000_t202" style="position:absolute;margin-left:148.1pt;margin-top:18.5pt;width:151.5pt;height:110.6pt;z-index:251736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" filled="f" stroked="f">
                <v:textbox style="mso-fit-shape-to-text:t">
                  <w:txbxContent>
                    <w:p w14:paraId="44DD8AF0" w14:textId="2B4EEE73" w:rsidR="00B5590A" w:rsidRDefault="00B5590A" w:rsidP="00E517C6">
                      <w:pPr>
                        <w:pStyle w:val="Heading3"/>
                      </w:pPr>
                      <w:r>
                        <w:t>Central Queensland</w:t>
                      </w:r>
                    </w:p>
                    <w:p w14:paraId="0227F92D" w14:textId="04BCCB49" w:rsidR="00B5590A" w:rsidRDefault="00B5590A" w:rsidP="00E517C6">
                      <w:pPr>
                        <w:spacing w:after="0"/>
                      </w:pPr>
                      <w:r>
                        <w:t>Biloela</w:t>
                      </w:r>
                    </w:p>
                    <w:p w14:paraId="528EDA9C" w14:textId="6637A9E6" w:rsidR="00B5590A" w:rsidRDefault="00B5590A" w:rsidP="00E517C6">
                      <w:pPr>
                        <w:spacing w:after="0"/>
                      </w:pPr>
                      <w:r>
                        <w:t>Bundaberg</w:t>
                      </w:r>
                    </w:p>
                    <w:p w14:paraId="4D657368" w14:textId="5508DBFF" w:rsidR="00B5590A" w:rsidRDefault="00B5590A" w:rsidP="00E517C6">
                      <w:pPr>
                        <w:spacing w:after="0"/>
                      </w:pPr>
                      <w:r>
                        <w:t>Middlemount</w:t>
                      </w:r>
                    </w:p>
                    <w:p w14:paraId="48093A5E" w14:textId="646C8182" w:rsidR="00B5590A" w:rsidRDefault="00B5590A" w:rsidP="00E517C6">
                      <w:pPr>
                        <w:spacing w:after="0"/>
                      </w:pPr>
                      <w:r>
                        <w:t>Tieri</w:t>
                      </w:r>
                    </w:p>
                    <w:p w14:paraId="2510FCF8" w14:textId="7EE82531" w:rsidR="00B5590A" w:rsidRDefault="00B5590A" w:rsidP="00E517C6">
                      <w:pPr>
                        <w:spacing w:after="0"/>
                      </w:pPr>
                      <w:r>
                        <w:t>Rockhampton and surrounds</w:t>
                      </w:r>
                    </w:p>
                  </w:txbxContent>
                </v:textbox>
                <w10:wrap type="square" anchorx="page"/>
              </v:shape>
            </w:pict>
          </mc:Fallback>
        </mc:AlternateContent>
      </w:r>
    </w:p>
    <w:p w14:paraId="275730A1" w14:textId="07497FC2" w:rsidR="00085D3A" w:rsidRPr="00085D3A" w:rsidRDefault="00085D3A" w:rsidP="00A75186">
      <w:pPr>
        <w:spacing w:line="240" w:lineRule="auto"/>
        <w:rPr>
          <w:rFonts w:cstheme="minorHAnsi"/>
          <w:sz w:val="22"/>
          <w:szCs w:val="22"/>
        </w:rPr>
      </w:pPr>
    </w:p>
    <w:p w14:paraId="56F16681" w14:textId="154094EE" w:rsidR="00085D3A" w:rsidRPr="00085D3A" w:rsidRDefault="00E517C6" w:rsidP="00A75186">
      <w:pPr>
        <w:spacing w:line="240" w:lineRule="auto"/>
        <w:rPr>
          <w:rFonts w:cstheme="minorHAnsi"/>
          <w:sz w:val="22"/>
          <w:szCs w:val="22"/>
        </w:rPr>
      </w:pPr>
      <w:r w:rsidRPr="00E517C6">
        <w:rPr>
          <w:rFonts w:cstheme="minorHAnsi"/>
          <w:sz w:val="22"/>
          <w:szCs w:val="22"/>
        </w:rPr>
        <mc:AlternateContent>
          <mc:Choice Requires="wps">
            <w:drawing>
              <wp:anchor distT="0" distB="0" distL="114300" distR="114300" simplePos="0" relativeHeight="251737600" behindDoc="0" locked="0" layoutInCell="1" allowOverlap="1" wp14:anchorId="750B5B86" wp14:editId="744EF16C">
                <wp:simplePos x="0" y="0"/>
                <wp:positionH relativeFrom="column">
                  <wp:posOffset>1296670</wp:posOffset>
                </wp:positionH>
                <wp:positionV relativeFrom="paragraph">
                  <wp:posOffset>84455</wp:posOffset>
                </wp:positionV>
                <wp:extent cx="2314575" cy="0"/>
                <wp:effectExtent l="0" t="0" r="9525" b="19050"/>
                <wp:wrapNone/>
                <wp:docPr id="48" name="Straight Connector 48"/>
                <wp:cNvGraphicFramePr/>
                <a:graphic xmlns:a="http://schemas.openxmlformats.org/drawingml/2006/main">
                  <a:graphicData uri="http://schemas.microsoft.com/office/word/2010/wordprocessingShape">
                    <wps:wsp>
                      <wps:cNvCnPr/>
                      <wps:spPr>
                        <a:xfrm flipH="1">
                          <a:off x="0" y="0"/>
                          <a:ext cx="231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8E78C" id="Straight Connector 48"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pt,6.65pt" to="28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" strokecolor="#581d6a [3044]"/>
            </w:pict>
          </mc:Fallback>
        </mc:AlternateContent>
      </w:r>
    </w:p>
    <w:p w14:paraId="05F650C9" w14:textId="28301867" w:rsidR="00085D3A" w:rsidRPr="00085D3A" w:rsidRDefault="00085D3A" w:rsidP="00A75186">
      <w:pPr>
        <w:spacing w:line="240" w:lineRule="auto"/>
        <w:rPr>
          <w:rFonts w:cstheme="minorHAnsi"/>
          <w:sz w:val="22"/>
          <w:szCs w:val="22"/>
        </w:rPr>
      </w:pPr>
    </w:p>
    <w:p w14:paraId="5585F467" w14:textId="46024841" w:rsidR="00085D3A" w:rsidRPr="00085D3A" w:rsidRDefault="00F01B10" w:rsidP="00A75186">
      <w:pPr>
        <w:spacing w:line="240" w:lineRule="auto"/>
        <w:rPr>
          <w:rFonts w:cstheme="minorHAnsi"/>
          <w:sz w:val="22"/>
          <w:szCs w:val="22"/>
        </w:rPr>
      </w:pPr>
      <w:r w:rsidRPr="00E517C6">
        <w:rPr>
          <w:rFonts w:cstheme="minorHAnsi"/>
          <w:sz w:val="22"/>
          <w:szCs w:val="22"/>
        </w:rPr>
        <mc:AlternateContent>
          <mc:Choice Requires="wps">
            <w:drawing>
              <wp:anchor distT="45720" distB="45720" distL="114300" distR="114300" simplePos="0" relativeHeight="251739648" behindDoc="0" locked="0" layoutInCell="1" allowOverlap="1" wp14:anchorId="0B491493" wp14:editId="3AE0AD38">
                <wp:simplePos x="0" y="0"/>
                <wp:positionH relativeFrom="margin">
                  <wp:posOffset>4639945</wp:posOffset>
                </wp:positionH>
                <wp:positionV relativeFrom="paragraph">
                  <wp:posOffset>407035</wp:posOffset>
                </wp:positionV>
                <wp:extent cx="1924050" cy="140462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noFill/>
                        <a:ln w="9525">
                          <a:noFill/>
                          <a:miter lim="800000"/>
                          <a:headEnd/>
                          <a:tailEnd/>
                        </a:ln>
                      </wps:spPr>
                      <wps:txbx>
                        <w:txbxContent>
                          <w:p w14:paraId="0FB5016D" w14:textId="17924309" w:rsidR="00B5590A" w:rsidRDefault="00B5590A" w:rsidP="00E517C6">
                            <w:pPr>
                              <w:pStyle w:val="Heading3"/>
                            </w:pPr>
                            <w:r>
                              <w:t>South-east Queensland</w:t>
                            </w:r>
                          </w:p>
                          <w:p w14:paraId="63EF35A8" w14:textId="2F010496" w:rsidR="00B5590A" w:rsidRDefault="00B5590A" w:rsidP="00E517C6">
                            <w:pPr>
                              <w:spacing w:after="0"/>
                            </w:pPr>
                            <w:r>
                              <w:t>Caboolture</w:t>
                            </w:r>
                          </w:p>
                          <w:p w14:paraId="5519C27C" w14:textId="12BB5346" w:rsidR="00B5590A" w:rsidRDefault="00B5590A" w:rsidP="00E517C6">
                            <w:pPr>
                              <w:spacing w:after="0"/>
                            </w:pPr>
                            <w:r>
                              <w:t>Dalby</w:t>
                            </w:r>
                          </w:p>
                          <w:p w14:paraId="377661B9" w14:textId="5F65FD2A" w:rsidR="00B5590A" w:rsidRDefault="00B5590A" w:rsidP="00E517C6">
                            <w:pPr>
                              <w:spacing w:after="0"/>
                            </w:pPr>
                            <w:r>
                              <w:t>Gold Coast</w:t>
                            </w:r>
                          </w:p>
                          <w:p w14:paraId="66AE1716" w14:textId="1455209D" w:rsidR="00B5590A" w:rsidRDefault="00B5590A" w:rsidP="00E517C6">
                            <w:pPr>
                              <w:spacing w:after="0"/>
                            </w:pPr>
                            <w:r>
                              <w:t>Gympie</w:t>
                            </w:r>
                          </w:p>
                          <w:p w14:paraId="20D0E873" w14:textId="3654CD8F" w:rsidR="00B5590A" w:rsidRDefault="00B5590A" w:rsidP="00E517C6">
                            <w:pPr>
                              <w:spacing w:after="0"/>
                            </w:pPr>
                            <w:r>
                              <w:t>Hervey Bay</w:t>
                            </w:r>
                          </w:p>
                          <w:p w14:paraId="6E5ECA9A" w14:textId="431D906B" w:rsidR="00B5590A" w:rsidRDefault="00B5590A" w:rsidP="00E517C6">
                            <w:pPr>
                              <w:spacing w:after="0"/>
                            </w:pPr>
                            <w:r>
                              <w:t>Ipswich</w:t>
                            </w:r>
                          </w:p>
                          <w:p w14:paraId="3B015F18" w14:textId="1C11DA85" w:rsidR="00B5590A" w:rsidRDefault="00B5590A" w:rsidP="00E517C6">
                            <w:pPr>
                              <w:spacing w:after="0"/>
                            </w:pPr>
                            <w:r>
                              <w:t xml:space="preserve">Sunshine Coast </w:t>
                            </w:r>
                          </w:p>
                          <w:p w14:paraId="73F8D417" w14:textId="409ED85E" w:rsidR="00B5590A" w:rsidRDefault="00B5590A" w:rsidP="00E517C6">
                            <w:pPr>
                              <w:spacing w:after="0"/>
                            </w:pPr>
                            <w:r>
                              <w:t>Toowoomba</w:t>
                            </w:r>
                          </w:p>
                          <w:p w14:paraId="6AEA617E" w14:textId="4223FE5E" w:rsidR="00B5590A" w:rsidRDefault="00B5590A" w:rsidP="00E517C6">
                            <w:pPr>
                              <w:spacing w:after="0"/>
                            </w:pPr>
                            <w:r>
                              <w:t>Brisbane and surrounds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91493" id="_x0000_s1052" type="#_x0000_t202" style="position:absolute;margin-left:365.35pt;margin-top:32.05pt;width:151.5pt;height:110.6pt;z-index:251739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" filled="f" stroked="f">
                <v:textbox style="mso-fit-shape-to-text:t">
                  <w:txbxContent>
                    <w:p w14:paraId="0FB5016D" w14:textId="17924309" w:rsidR="00B5590A" w:rsidRDefault="00B5590A" w:rsidP="00E517C6">
                      <w:pPr>
                        <w:pStyle w:val="Heading3"/>
                      </w:pPr>
                      <w:r>
                        <w:t>South-east Queensland</w:t>
                      </w:r>
                    </w:p>
                    <w:p w14:paraId="63EF35A8" w14:textId="2F010496" w:rsidR="00B5590A" w:rsidRDefault="00B5590A" w:rsidP="00E517C6">
                      <w:pPr>
                        <w:spacing w:after="0"/>
                      </w:pPr>
                      <w:r>
                        <w:t>Caboolture</w:t>
                      </w:r>
                    </w:p>
                    <w:p w14:paraId="5519C27C" w14:textId="12BB5346" w:rsidR="00B5590A" w:rsidRDefault="00B5590A" w:rsidP="00E517C6">
                      <w:pPr>
                        <w:spacing w:after="0"/>
                      </w:pPr>
                      <w:r>
                        <w:t>Dalby</w:t>
                      </w:r>
                    </w:p>
                    <w:p w14:paraId="377661B9" w14:textId="5F65FD2A" w:rsidR="00B5590A" w:rsidRDefault="00B5590A" w:rsidP="00E517C6">
                      <w:pPr>
                        <w:spacing w:after="0"/>
                      </w:pPr>
                      <w:r>
                        <w:t>Gold Coast</w:t>
                      </w:r>
                    </w:p>
                    <w:p w14:paraId="66AE1716" w14:textId="1455209D" w:rsidR="00B5590A" w:rsidRDefault="00B5590A" w:rsidP="00E517C6">
                      <w:pPr>
                        <w:spacing w:after="0"/>
                      </w:pPr>
                      <w:r>
                        <w:t>Gympie</w:t>
                      </w:r>
                    </w:p>
                    <w:p w14:paraId="20D0E873" w14:textId="3654CD8F" w:rsidR="00B5590A" w:rsidRDefault="00B5590A" w:rsidP="00E517C6">
                      <w:pPr>
                        <w:spacing w:after="0"/>
                      </w:pPr>
                      <w:r>
                        <w:t>Hervey Bay</w:t>
                      </w:r>
                    </w:p>
                    <w:p w14:paraId="6E5ECA9A" w14:textId="431D906B" w:rsidR="00B5590A" w:rsidRDefault="00B5590A" w:rsidP="00E517C6">
                      <w:pPr>
                        <w:spacing w:after="0"/>
                      </w:pPr>
                      <w:r>
                        <w:t>Ipswich</w:t>
                      </w:r>
                    </w:p>
                    <w:p w14:paraId="3B015F18" w14:textId="1C11DA85" w:rsidR="00B5590A" w:rsidRDefault="00B5590A" w:rsidP="00E517C6">
                      <w:pPr>
                        <w:spacing w:after="0"/>
                      </w:pPr>
                      <w:r>
                        <w:t xml:space="preserve">Sunshine Coast </w:t>
                      </w:r>
                    </w:p>
                    <w:p w14:paraId="73F8D417" w14:textId="409ED85E" w:rsidR="00B5590A" w:rsidRDefault="00B5590A" w:rsidP="00E517C6">
                      <w:pPr>
                        <w:spacing w:after="0"/>
                      </w:pPr>
                      <w:r>
                        <w:t>Toowoomba</w:t>
                      </w:r>
                    </w:p>
                    <w:p w14:paraId="6AEA617E" w14:textId="4223FE5E" w:rsidR="00B5590A" w:rsidRDefault="00B5590A" w:rsidP="00E517C6">
                      <w:pPr>
                        <w:spacing w:after="0"/>
                      </w:pPr>
                      <w:r>
                        <w:t>Brisbane and surrounds</w:t>
                      </w:r>
                    </w:p>
                  </w:txbxContent>
                </v:textbox>
                <w10:wrap type="square" anchorx="margin"/>
              </v:shape>
            </w:pict>
          </mc:Fallback>
        </mc:AlternateContent>
      </w:r>
    </w:p>
    <w:p w14:paraId="0EFDF4E7" w14:textId="526372A3" w:rsidR="00085D3A" w:rsidRPr="00085D3A" w:rsidRDefault="00085D3A" w:rsidP="00A75186">
      <w:pPr>
        <w:spacing w:line="240" w:lineRule="auto"/>
        <w:rPr>
          <w:rFonts w:cstheme="minorHAnsi"/>
          <w:sz w:val="22"/>
          <w:szCs w:val="22"/>
        </w:rPr>
      </w:pPr>
    </w:p>
    <w:p w14:paraId="3FA90175" w14:textId="4C31B493" w:rsidR="00085D3A" w:rsidRPr="00085D3A" w:rsidRDefault="00F01B10" w:rsidP="00A75186">
      <w:pPr>
        <w:spacing w:line="240" w:lineRule="auto"/>
        <w:rPr>
          <w:rFonts w:cstheme="minorHAnsi"/>
          <w:sz w:val="22"/>
          <w:szCs w:val="22"/>
        </w:rPr>
      </w:pPr>
      <w:r w:rsidRPr="00E517C6">
        <w:rPr>
          <w:rFonts w:cstheme="minorHAnsi"/>
          <w:sz w:val="22"/>
          <w:szCs w:val="22"/>
        </w:rPr>
        <mc:AlternateContent>
          <mc:Choice Requires="wps">
            <w:drawing>
              <wp:anchor distT="0" distB="0" distL="114300" distR="114300" simplePos="0" relativeHeight="251741696" behindDoc="0" locked="0" layoutInCell="1" allowOverlap="1" wp14:anchorId="784A1438" wp14:editId="7F263DD6">
                <wp:simplePos x="0" y="0"/>
                <wp:positionH relativeFrom="column">
                  <wp:posOffset>4173220</wp:posOffset>
                </wp:positionH>
                <wp:positionV relativeFrom="paragraph">
                  <wp:posOffset>106680</wp:posOffset>
                </wp:positionV>
                <wp:extent cx="2295525" cy="0"/>
                <wp:effectExtent l="0" t="0" r="9525" b="19050"/>
                <wp:wrapNone/>
                <wp:docPr id="50" name="Straight Connector 50"/>
                <wp:cNvGraphicFramePr/>
                <a:graphic xmlns:a="http://schemas.openxmlformats.org/drawingml/2006/main">
                  <a:graphicData uri="http://schemas.microsoft.com/office/word/2010/wordprocessingShape">
                    <wps:wsp>
                      <wps:cNvCnPr/>
                      <wps:spPr>
                        <a:xfrm flipH="1">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BC282" id="Straight Connector 50"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pt,8.4pt" to="509.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" strokecolor="#581d6a [3044]"/>
            </w:pict>
          </mc:Fallback>
        </mc:AlternateContent>
      </w:r>
    </w:p>
    <w:p w14:paraId="51A9C08B" w14:textId="48784C80" w:rsidR="00085D3A" w:rsidRPr="00085D3A" w:rsidRDefault="00085D3A" w:rsidP="00A75186">
      <w:pPr>
        <w:spacing w:line="240" w:lineRule="auto"/>
        <w:rPr>
          <w:rFonts w:cstheme="minorHAnsi"/>
          <w:sz w:val="22"/>
          <w:szCs w:val="22"/>
        </w:rPr>
      </w:pPr>
    </w:p>
    <w:p w14:paraId="784C6291" w14:textId="1F3D504E" w:rsidR="00085D3A" w:rsidRPr="00085D3A" w:rsidRDefault="00085D3A" w:rsidP="00A75186">
      <w:pPr>
        <w:spacing w:line="240" w:lineRule="auto"/>
        <w:rPr>
          <w:rFonts w:cstheme="minorHAnsi"/>
          <w:sz w:val="22"/>
          <w:szCs w:val="22"/>
        </w:rPr>
      </w:pPr>
    </w:p>
    <w:p w14:paraId="256E5F38" w14:textId="3EDDC3AC" w:rsidR="00085D3A" w:rsidRPr="00085D3A" w:rsidRDefault="00085D3A" w:rsidP="00A75186">
      <w:pPr>
        <w:spacing w:line="240" w:lineRule="auto"/>
        <w:rPr>
          <w:rFonts w:cstheme="minorHAnsi"/>
          <w:sz w:val="22"/>
          <w:szCs w:val="22"/>
        </w:rPr>
      </w:pPr>
    </w:p>
    <w:p w14:paraId="1647BBA4" w14:textId="77777777" w:rsidR="00085D3A" w:rsidRPr="00085D3A" w:rsidRDefault="00085D3A" w:rsidP="00A75186">
      <w:pPr>
        <w:spacing w:line="240" w:lineRule="auto"/>
        <w:rPr>
          <w:rFonts w:cstheme="minorHAnsi"/>
          <w:sz w:val="22"/>
          <w:szCs w:val="22"/>
        </w:rPr>
      </w:pPr>
    </w:p>
    <w:p w14:paraId="58F64351" w14:textId="77777777" w:rsidR="00085D3A" w:rsidRPr="00085D3A" w:rsidRDefault="00085D3A" w:rsidP="00A75186">
      <w:pPr>
        <w:spacing w:line="240" w:lineRule="auto"/>
        <w:rPr>
          <w:rFonts w:cstheme="minorHAnsi"/>
          <w:sz w:val="22"/>
          <w:szCs w:val="22"/>
        </w:rPr>
      </w:pPr>
    </w:p>
    <w:p w14:paraId="7A8151DD" w14:textId="77777777" w:rsidR="00A510E7" w:rsidRDefault="00A510E7" w:rsidP="00A75186">
      <w:pPr>
        <w:spacing w:line="240" w:lineRule="auto"/>
        <w:rPr>
          <w:rFonts w:cstheme="minorHAnsi"/>
          <w:sz w:val="22"/>
          <w:szCs w:val="22"/>
        </w:rPr>
      </w:pPr>
    </w:p>
    <w:p w14:paraId="4E2E8A83" w14:textId="77777777" w:rsidR="00E57381" w:rsidRPr="00A43D75" w:rsidRDefault="00E57381" w:rsidP="00A75186">
      <w:pPr>
        <w:pStyle w:val="Heading1"/>
      </w:pPr>
      <w:bookmarkStart w:id="131" w:name="_Toc16855358"/>
      <w:r w:rsidRPr="00C71F8C">
        <w:lastRenderedPageBreak/>
        <w:t xml:space="preserve">Appendix </w:t>
      </w:r>
      <w:r w:rsidR="00B05F27" w:rsidRPr="00C71F8C">
        <w:t>F</w:t>
      </w:r>
      <w:r w:rsidRPr="00C71F8C">
        <w:t>:</w:t>
      </w:r>
      <w:r w:rsidRPr="00A43D75">
        <w:t xml:space="preserve"> </w:t>
      </w:r>
      <w:r>
        <w:t>Certified financial statements</w:t>
      </w:r>
      <w:bookmarkEnd w:id="131"/>
    </w:p>
    <w:sectPr w:rsidR="00E57381" w:rsidRPr="00A43D75" w:rsidSect="003D06E1">
      <w:pgSz w:w="11906" w:h="16838" w:code="9"/>
      <w:pgMar w:top="851" w:right="1077" w:bottom="902"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F122" w14:textId="77777777" w:rsidR="00B5590A" w:rsidRDefault="00B5590A" w:rsidP="00E12862">
      <w:pPr>
        <w:spacing w:after="0" w:line="240" w:lineRule="auto"/>
      </w:pPr>
      <w:r>
        <w:separator/>
      </w:r>
    </w:p>
    <w:p w14:paraId="4E4E8B7A" w14:textId="77777777" w:rsidR="00B5590A" w:rsidRDefault="00B5590A"/>
  </w:endnote>
  <w:endnote w:type="continuationSeparator" w:id="0">
    <w:p w14:paraId="45086D6A" w14:textId="77777777" w:rsidR="00B5590A" w:rsidRDefault="00B5590A" w:rsidP="00E12862">
      <w:pPr>
        <w:spacing w:after="0" w:line="240" w:lineRule="auto"/>
      </w:pPr>
      <w:r>
        <w:continuationSeparator/>
      </w:r>
    </w:p>
    <w:p w14:paraId="6F5A60CF" w14:textId="77777777" w:rsidR="00B5590A" w:rsidRDefault="00B55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0" w:usb1="00000000" w:usb2="07040407"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10C4" w14:textId="0AAF2EBA" w:rsidR="00B5590A" w:rsidRPr="0067689A" w:rsidRDefault="00B5590A">
    <w:pPr>
      <w:pStyle w:val="Footer"/>
      <w:rPr>
        <w:color w:val="5E1F71" w:themeColor="accent1"/>
        <w:sz w:val="16"/>
        <w:szCs w:val="16"/>
      </w:rPr>
    </w:pPr>
    <w:r w:rsidRPr="0067689A">
      <w:rPr>
        <w:color w:val="5E1F71" w:themeColor="accent1"/>
        <w:sz w:val="16"/>
        <w:szCs w:val="16"/>
      </w:rPr>
      <w:fldChar w:fldCharType="begin"/>
    </w:r>
    <w:r w:rsidRPr="0067689A">
      <w:rPr>
        <w:color w:val="5E1F71" w:themeColor="accent1"/>
        <w:sz w:val="16"/>
        <w:szCs w:val="16"/>
      </w:rPr>
      <w:instrText xml:space="preserve"> PAGE   \* MERGEFORMAT </w:instrText>
    </w:r>
    <w:r w:rsidRPr="0067689A">
      <w:rPr>
        <w:color w:val="5E1F71" w:themeColor="accent1"/>
        <w:sz w:val="16"/>
        <w:szCs w:val="16"/>
      </w:rPr>
      <w:fldChar w:fldCharType="separate"/>
    </w:r>
    <w:r w:rsidR="00B300DF">
      <w:rPr>
        <w:noProof/>
        <w:color w:val="5E1F71" w:themeColor="accent1"/>
        <w:sz w:val="16"/>
        <w:szCs w:val="16"/>
      </w:rPr>
      <w:t>2</w:t>
    </w:r>
    <w:r w:rsidRPr="0067689A">
      <w:rPr>
        <w:noProof/>
        <w:color w:val="5E1F71" w:themeColor="accent1"/>
        <w:sz w:val="16"/>
        <w:szCs w:val="16"/>
      </w:rPr>
      <w:fldChar w:fldCharType="end"/>
    </w:r>
    <w:r w:rsidRPr="0067689A">
      <w:rPr>
        <w:noProof/>
        <w:color w:val="5E1F71" w:themeColor="accent1"/>
        <w:sz w:val="16"/>
        <w:szCs w:val="16"/>
      </w:rPr>
      <w:t xml:space="preserve">  </w:t>
    </w:r>
    <w:r w:rsidRPr="0067689A">
      <w:rPr>
        <w:noProof/>
        <w:color w:val="5E1F71" w:themeColor="accent1"/>
        <w:sz w:val="16"/>
        <w:szCs w:val="16"/>
      </w:rPr>
      <w:tab/>
    </w:r>
    <w:r w:rsidRPr="0067689A">
      <w:rPr>
        <w:noProof/>
        <w:color w:val="5E1F71" w:themeColor="accent1"/>
        <w:sz w:val="16"/>
        <w:szCs w:val="16"/>
      </w:rPr>
      <w:tab/>
      <w:t>Annual Report 2018-19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B928" w14:textId="47866E27" w:rsidR="00B5590A" w:rsidRPr="0067689A" w:rsidRDefault="00B5590A">
    <w:pPr>
      <w:pStyle w:val="Footer"/>
      <w:jc w:val="right"/>
      <w:rPr>
        <w:color w:val="5E1F71" w:themeColor="accent1"/>
        <w:sz w:val="16"/>
        <w:szCs w:val="16"/>
      </w:rPr>
    </w:pPr>
    <w:sdt>
      <w:sdtPr>
        <w:rPr>
          <w:color w:val="5E1F71" w:themeColor="accent1"/>
          <w:sz w:val="16"/>
          <w:szCs w:val="16"/>
        </w:rPr>
        <w:id w:val="-664016140"/>
        <w:docPartObj>
          <w:docPartGallery w:val="Page Numbers (Bottom of Page)"/>
          <w:docPartUnique/>
        </w:docPartObj>
      </w:sdtPr>
      <w:sdtEndPr>
        <w:rPr>
          <w:noProof/>
        </w:rPr>
      </w:sdtEndPr>
      <w:sdtContent>
        <w:r w:rsidRPr="0067689A">
          <w:rPr>
            <w:color w:val="5E1F71" w:themeColor="accent1"/>
            <w:sz w:val="16"/>
            <w:szCs w:val="16"/>
          </w:rPr>
          <w:t xml:space="preserve"> Anti-Discrimination Commission Queensland | </w:t>
        </w:r>
        <w:hyperlink r:id="rId1" w:history="1">
          <w:r w:rsidRPr="0067689A">
            <w:rPr>
              <w:rStyle w:val="Hyperlink"/>
              <w:color w:val="5E1F71" w:themeColor="accent1"/>
              <w:sz w:val="16"/>
              <w:szCs w:val="16"/>
              <w:u w:val="none"/>
            </w:rPr>
            <w:t>www.qhrc.qld.gov.au</w:t>
          </w:r>
        </w:hyperlink>
        <w:r w:rsidRPr="0067689A">
          <w:rPr>
            <w:color w:val="5E1F71" w:themeColor="accent1"/>
            <w:sz w:val="16"/>
            <w:szCs w:val="16"/>
          </w:rPr>
          <w:tab/>
          <w:t xml:space="preserve"> </w:t>
        </w:r>
        <w:r w:rsidRPr="0067689A">
          <w:rPr>
            <w:color w:val="5E1F71" w:themeColor="accent1"/>
            <w:sz w:val="16"/>
            <w:szCs w:val="16"/>
          </w:rPr>
          <w:fldChar w:fldCharType="begin"/>
        </w:r>
        <w:r w:rsidRPr="0067689A">
          <w:rPr>
            <w:color w:val="5E1F71" w:themeColor="accent1"/>
            <w:sz w:val="16"/>
            <w:szCs w:val="16"/>
          </w:rPr>
          <w:instrText xml:space="preserve"> PAGE   \* MERGEFORMAT </w:instrText>
        </w:r>
        <w:r w:rsidRPr="0067689A">
          <w:rPr>
            <w:color w:val="5E1F71" w:themeColor="accent1"/>
            <w:sz w:val="16"/>
            <w:szCs w:val="16"/>
          </w:rPr>
          <w:fldChar w:fldCharType="separate"/>
        </w:r>
        <w:r w:rsidR="00B300DF">
          <w:rPr>
            <w:noProof/>
            <w:color w:val="5E1F71" w:themeColor="accent1"/>
            <w:sz w:val="16"/>
            <w:szCs w:val="16"/>
          </w:rPr>
          <w:t>3</w:t>
        </w:r>
        <w:r w:rsidRPr="0067689A">
          <w:rPr>
            <w:noProof/>
            <w:color w:val="5E1F71" w:themeColor="accent1"/>
            <w:sz w:val="16"/>
            <w:szCs w:val="16"/>
          </w:rPr>
          <w:fldChar w:fldCharType="end"/>
        </w:r>
      </w:sdtContent>
    </w:sdt>
  </w:p>
  <w:p w14:paraId="5261A3E9" w14:textId="1DD16CAF" w:rsidR="00B5590A" w:rsidRPr="0067689A" w:rsidRDefault="00B5590A">
    <w:pPr>
      <w:pStyle w:val="Footer"/>
      <w:rPr>
        <w:color w:val="5E1F71" w:themeColor="accen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CC93" w14:textId="176E2E2B" w:rsidR="00B5590A" w:rsidRPr="0067689A" w:rsidRDefault="00B5590A" w:rsidP="00937186">
    <w:pPr>
      <w:tabs>
        <w:tab w:val="center" w:pos="4680"/>
        <w:tab w:val="right" w:pos="9360"/>
      </w:tabs>
      <w:spacing w:after="0" w:line="240" w:lineRule="auto"/>
      <w:jc w:val="center"/>
      <w:rPr>
        <w:color w:val="5E1F71" w:themeColor="accen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AD37" w14:textId="54E5283B" w:rsidR="00B5590A" w:rsidRPr="0067689A" w:rsidRDefault="00B5590A" w:rsidP="009A150D">
    <w:pPr>
      <w:tabs>
        <w:tab w:val="center" w:pos="4680"/>
        <w:tab w:val="right" w:pos="9360"/>
      </w:tabs>
      <w:spacing w:after="0" w:line="240" w:lineRule="auto"/>
      <w:rPr>
        <w:color w:val="5E1F71" w:themeColor="accent1"/>
        <w:sz w:val="16"/>
        <w:szCs w:val="16"/>
      </w:rPr>
    </w:pPr>
    <w:r w:rsidRPr="0067689A">
      <w:rPr>
        <w:color w:val="5E1F71" w:themeColor="accent1"/>
        <w:sz w:val="16"/>
        <w:szCs w:val="16"/>
      </w:rPr>
      <w:t xml:space="preserve">Anti-Discrimination Commission Queensland | </w:t>
    </w:r>
    <w:hyperlink r:id="rId1" w:history="1">
      <w:r w:rsidRPr="0067689A">
        <w:rPr>
          <w:rStyle w:val="Hyperlink"/>
          <w:color w:val="5E1F71" w:themeColor="accent1"/>
          <w:sz w:val="16"/>
          <w:szCs w:val="16"/>
          <w:u w:val="none"/>
        </w:rPr>
        <w:t>www.qhrc.qld.gov.au</w:t>
      </w:r>
    </w:hyperlink>
    <w:r w:rsidRPr="0067689A">
      <w:rPr>
        <w:color w:val="5E1F71" w:themeColor="accent1"/>
        <w:sz w:val="16"/>
        <w:szCs w:val="16"/>
      </w:rPr>
      <w:t xml:space="preserve"> </w:t>
    </w:r>
    <w:r>
      <w:rPr>
        <w:color w:val="5E1F71" w:themeColor="accent1"/>
        <w:sz w:val="16"/>
        <w:szCs w:val="16"/>
      </w:rPr>
      <w:tab/>
    </w:r>
    <w:r w:rsidRPr="0067689A">
      <w:rPr>
        <w:color w:val="5E1F71" w:themeColor="accent1"/>
        <w:sz w:val="16"/>
        <w:szCs w:val="16"/>
      </w:rPr>
      <w:fldChar w:fldCharType="begin"/>
    </w:r>
    <w:r w:rsidRPr="0067689A">
      <w:rPr>
        <w:color w:val="5E1F71" w:themeColor="accent1"/>
        <w:sz w:val="16"/>
        <w:szCs w:val="16"/>
      </w:rPr>
      <w:instrText xml:space="preserve"> PAGE   \* MERGEFORMAT </w:instrText>
    </w:r>
    <w:r w:rsidRPr="0067689A">
      <w:rPr>
        <w:color w:val="5E1F71" w:themeColor="accent1"/>
        <w:sz w:val="16"/>
        <w:szCs w:val="16"/>
      </w:rPr>
      <w:fldChar w:fldCharType="separate"/>
    </w:r>
    <w:r w:rsidR="00B300DF">
      <w:rPr>
        <w:noProof/>
        <w:color w:val="5E1F71" w:themeColor="accent1"/>
        <w:sz w:val="16"/>
        <w:szCs w:val="16"/>
      </w:rPr>
      <w:t>71</w:t>
    </w:r>
    <w:r w:rsidRPr="0067689A">
      <w:rPr>
        <w:noProof/>
        <w:color w:val="5E1F71" w:themeColor="accent1"/>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4D6A" w14:textId="09B788B4" w:rsidR="00B5590A" w:rsidRPr="009A150D" w:rsidRDefault="00B5590A" w:rsidP="009A150D">
    <w:pPr>
      <w:tabs>
        <w:tab w:val="center" w:pos="4680"/>
        <w:tab w:val="right" w:pos="9360"/>
      </w:tabs>
      <w:spacing w:after="0" w:line="240" w:lineRule="auto"/>
      <w:rPr>
        <w:color w:val="5E1F71" w:themeColor="accent1"/>
        <w:sz w:val="16"/>
      </w:rPr>
    </w:pPr>
    <w:r w:rsidRPr="009A150D">
      <w:rPr>
        <w:color w:val="5E1F71" w:themeColor="accent1"/>
        <w:sz w:val="16"/>
      </w:rPr>
      <w:fldChar w:fldCharType="begin"/>
    </w:r>
    <w:r w:rsidRPr="009A150D">
      <w:rPr>
        <w:color w:val="5E1F71" w:themeColor="accent1"/>
        <w:sz w:val="16"/>
      </w:rPr>
      <w:instrText xml:space="preserve"> PAGE   \* MERGEFORMAT </w:instrText>
    </w:r>
    <w:r w:rsidRPr="009A150D">
      <w:rPr>
        <w:color w:val="5E1F71" w:themeColor="accent1"/>
        <w:sz w:val="16"/>
      </w:rPr>
      <w:fldChar w:fldCharType="separate"/>
    </w:r>
    <w:r w:rsidR="00B300DF">
      <w:rPr>
        <w:noProof/>
        <w:color w:val="5E1F71" w:themeColor="accent1"/>
        <w:sz w:val="16"/>
      </w:rPr>
      <w:t>70</w:t>
    </w:r>
    <w:r w:rsidRPr="009A150D">
      <w:rPr>
        <w:noProof/>
        <w:color w:val="5E1F71" w:themeColor="accent1"/>
        <w:sz w:val="16"/>
      </w:rPr>
      <w:fldChar w:fldCharType="end"/>
    </w:r>
    <w:r w:rsidRPr="009A150D">
      <w:rPr>
        <w:noProof/>
        <w:color w:val="5E1F71" w:themeColor="accent1"/>
        <w:sz w:val="16"/>
      </w:rPr>
      <w:t xml:space="preserve"> </w:t>
    </w:r>
    <w:r>
      <w:rPr>
        <w:noProof/>
        <w:color w:val="5E1F71" w:themeColor="accent1"/>
        <w:sz w:val="16"/>
      </w:rPr>
      <w:tab/>
    </w:r>
    <w:r>
      <w:rPr>
        <w:noProof/>
        <w:color w:val="5E1F71" w:themeColor="accent1"/>
        <w:sz w:val="16"/>
      </w:rPr>
      <w:tab/>
    </w:r>
    <w:r w:rsidRPr="009A150D">
      <w:rPr>
        <w:noProof/>
        <w:color w:val="5E1F71" w:themeColor="accent1"/>
        <w:sz w:val="16"/>
      </w:rPr>
      <w:t>Annual Report 2018-19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99DE" w14:textId="77777777" w:rsidR="00B5590A" w:rsidRDefault="00B5590A" w:rsidP="00E12862">
      <w:pPr>
        <w:spacing w:after="0" w:line="240" w:lineRule="auto"/>
      </w:pPr>
      <w:r>
        <w:separator/>
      </w:r>
    </w:p>
    <w:p w14:paraId="33B5C1E0" w14:textId="77777777" w:rsidR="00B5590A" w:rsidRDefault="00B5590A"/>
  </w:footnote>
  <w:footnote w:type="continuationSeparator" w:id="0">
    <w:p w14:paraId="25170DE6" w14:textId="77777777" w:rsidR="00B5590A" w:rsidRDefault="00B5590A" w:rsidP="00E12862">
      <w:pPr>
        <w:spacing w:after="0" w:line="240" w:lineRule="auto"/>
      </w:pPr>
      <w:r>
        <w:continuationSeparator/>
      </w:r>
    </w:p>
    <w:p w14:paraId="007CF5DE" w14:textId="77777777" w:rsidR="00B5590A" w:rsidRDefault="00B5590A"/>
  </w:footnote>
  <w:footnote w:id="1">
    <w:p w14:paraId="1CF2A3D2" w14:textId="77777777" w:rsidR="00B5590A" w:rsidRPr="0067689A" w:rsidRDefault="00B5590A" w:rsidP="00896B84">
      <w:pPr>
        <w:pStyle w:val="FootnoteText"/>
        <w:rPr>
          <w:rFonts w:asciiTheme="minorHAnsi" w:hAnsiTheme="minorHAnsi" w:cstheme="minorHAnsi"/>
          <w:lang w:val="en-US"/>
        </w:rPr>
      </w:pPr>
      <w:r w:rsidRPr="0067689A">
        <w:rPr>
          <w:rStyle w:val="FootnoteReference"/>
          <w:rFonts w:asciiTheme="minorHAnsi" w:hAnsiTheme="minorHAnsi" w:cstheme="minorHAnsi"/>
        </w:rPr>
        <w:footnoteRef/>
      </w:r>
      <w:r w:rsidRPr="0067689A">
        <w:rPr>
          <w:rFonts w:asciiTheme="minorHAnsi" w:hAnsiTheme="minorHAnsi" w:cstheme="minorHAnsi"/>
        </w:rPr>
        <w:t xml:space="preserve"> </w:t>
      </w:r>
      <w:r w:rsidRPr="0067689A">
        <w:rPr>
          <w:rFonts w:asciiTheme="minorHAnsi" w:hAnsiTheme="minorHAnsi" w:cstheme="minorHAnsi"/>
          <w:i/>
        </w:rPr>
        <w:t>Anti-Discrimination Act 1991</w:t>
      </w:r>
      <w:r w:rsidRPr="0067689A">
        <w:rPr>
          <w:rFonts w:asciiTheme="minorHAnsi" w:hAnsiTheme="minorHAnsi" w:cstheme="minorHAnsi"/>
        </w:rPr>
        <w:t>, section 175</w:t>
      </w:r>
    </w:p>
  </w:footnote>
  <w:footnote w:id="2">
    <w:p w14:paraId="238374C0" w14:textId="77777777" w:rsidR="00B5590A" w:rsidRPr="0067689A" w:rsidRDefault="00B5590A" w:rsidP="00896B84">
      <w:pPr>
        <w:pStyle w:val="FootnoteText"/>
        <w:rPr>
          <w:rFonts w:asciiTheme="minorHAnsi" w:hAnsiTheme="minorHAnsi" w:cstheme="minorHAnsi"/>
          <w:lang w:val="en-US"/>
        </w:rPr>
      </w:pPr>
      <w:r w:rsidRPr="0067689A">
        <w:rPr>
          <w:rStyle w:val="FootnoteReference"/>
          <w:rFonts w:asciiTheme="minorHAnsi" w:hAnsiTheme="minorHAnsi" w:cstheme="minorHAnsi"/>
        </w:rPr>
        <w:footnoteRef/>
      </w:r>
      <w:r w:rsidRPr="0067689A">
        <w:rPr>
          <w:rFonts w:asciiTheme="minorHAnsi" w:hAnsiTheme="minorHAnsi" w:cstheme="minorHAnsi"/>
        </w:rPr>
        <w:t xml:space="preserve"> </w:t>
      </w:r>
      <w:r w:rsidRPr="0067689A">
        <w:rPr>
          <w:rFonts w:asciiTheme="minorHAnsi" w:hAnsiTheme="minorHAnsi" w:cstheme="minorHAnsi"/>
          <w:i/>
        </w:rPr>
        <w:t>Anti-Discrimination Act 1991</w:t>
      </w:r>
      <w:r w:rsidRPr="0067689A">
        <w:rPr>
          <w:rFonts w:asciiTheme="minorHAnsi" w:hAnsiTheme="minorHAnsi" w:cstheme="minorHAnsi"/>
        </w:rPr>
        <w:t>, section 113</w:t>
      </w:r>
    </w:p>
  </w:footnote>
  <w:footnote w:id="3">
    <w:p w14:paraId="0522ABD7" w14:textId="77777777" w:rsidR="00B5590A" w:rsidRPr="0067689A" w:rsidRDefault="00B5590A" w:rsidP="00896B84">
      <w:pPr>
        <w:pStyle w:val="FootnoteText"/>
        <w:rPr>
          <w:rFonts w:asciiTheme="minorHAnsi" w:hAnsiTheme="minorHAnsi" w:cstheme="minorHAnsi"/>
          <w:lang w:val="en-US"/>
        </w:rPr>
      </w:pPr>
      <w:r w:rsidRPr="0067689A">
        <w:rPr>
          <w:rStyle w:val="FootnoteReference"/>
          <w:rFonts w:asciiTheme="minorHAnsi" w:hAnsiTheme="minorHAnsi" w:cstheme="minorHAnsi"/>
        </w:rPr>
        <w:footnoteRef/>
      </w:r>
      <w:r w:rsidRPr="0067689A">
        <w:rPr>
          <w:rFonts w:asciiTheme="minorHAnsi" w:hAnsiTheme="minorHAnsi" w:cstheme="minorHAnsi"/>
        </w:rPr>
        <w:t xml:space="preserve"> </w:t>
      </w:r>
      <w:r w:rsidRPr="0067689A">
        <w:rPr>
          <w:rFonts w:asciiTheme="minorHAnsi" w:hAnsiTheme="minorHAnsi" w:cstheme="minorHAnsi"/>
          <w:i/>
        </w:rPr>
        <w:t>Anti-Discrimination Act 1991</w:t>
      </w:r>
      <w:r w:rsidRPr="0067689A">
        <w:rPr>
          <w:rFonts w:asciiTheme="minorHAnsi" w:hAnsiTheme="minorHAnsi" w:cstheme="minorHAnsi"/>
        </w:rPr>
        <w:t>, section 144</w:t>
      </w:r>
    </w:p>
  </w:footnote>
  <w:footnote w:id="4">
    <w:p w14:paraId="1E271287" w14:textId="77777777" w:rsidR="00B5590A" w:rsidRPr="0067689A" w:rsidRDefault="00B5590A" w:rsidP="00896B84">
      <w:pPr>
        <w:pStyle w:val="FootnoteText"/>
        <w:rPr>
          <w:rFonts w:asciiTheme="minorHAnsi" w:hAnsiTheme="minorHAnsi" w:cstheme="minorHAnsi"/>
          <w:lang w:val="en-US"/>
        </w:rPr>
      </w:pPr>
      <w:r w:rsidRPr="0067689A">
        <w:rPr>
          <w:rStyle w:val="FootnoteReference"/>
          <w:rFonts w:asciiTheme="minorHAnsi" w:hAnsiTheme="minorHAnsi" w:cstheme="minorHAnsi"/>
        </w:rPr>
        <w:footnoteRef/>
      </w:r>
      <w:r w:rsidRPr="0067689A">
        <w:rPr>
          <w:rFonts w:asciiTheme="minorHAnsi" w:hAnsiTheme="minorHAnsi" w:cstheme="minorHAnsi"/>
        </w:rPr>
        <w:t xml:space="preserve"> </w:t>
      </w:r>
      <w:r w:rsidRPr="0067689A">
        <w:rPr>
          <w:rFonts w:asciiTheme="minorHAnsi" w:hAnsiTheme="minorHAnsi" w:cstheme="minorHAnsi"/>
          <w:i/>
        </w:rPr>
        <w:t>Anti-Discrimination Act 1991</w:t>
      </w:r>
      <w:r w:rsidRPr="0067689A">
        <w:rPr>
          <w:rFonts w:asciiTheme="minorHAnsi" w:hAnsiTheme="minorHAnsi" w:cstheme="minorHAnsi"/>
        </w:rPr>
        <w:t>, section 169</w:t>
      </w:r>
    </w:p>
  </w:footnote>
  <w:footnote w:id="5">
    <w:p w14:paraId="5BFE7A17" w14:textId="77777777" w:rsidR="00B5590A" w:rsidRPr="00721149" w:rsidRDefault="00B5590A" w:rsidP="00896B84">
      <w:pPr>
        <w:pStyle w:val="FootnoteText"/>
        <w:rPr>
          <w:lang w:val="en-US"/>
        </w:rPr>
      </w:pPr>
      <w:r w:rsidRPr="0067689A">
        <w:rPr>
          <w:rStyle w:val="FootnoteReference"/>
          <w:rFonts w:asciiTheme="minorHAnsi" w:hAnsiTheme="minorHAnsi" w:cstheme="minorHAnsi"/>
        </w:rPr>
        <w:footnoteRef/>
      </w:r>
      <w:r w:rsidRPr="0067689A">
        <w:rPr>
          <w:rFonts w:asciiTheme="minorHAnsi" w:hAnsiTheme="minorHAnsi" w:cstheme="minorHAnsi"/>
        </w:rPr>
        <w:t xml:space="preserve"> </w:t>
      </w:r>
      <w:r w:rsidRPr="0067689A">
        <w:rPr>
          <w:rFonts w:asciiTheme="minorHAnsi" w:hAnsiTheme="minorHAnsi" w:cstheme="minorHAnsi"/>
          <w:i/>
        </w:rPr>
        <w:t>Anti</w:t>
      </w:r>
      <w:r w:rsidRPr="0067689A">
        <w:rPr>
          <w:rFonts w:ascii="Arial" w:hAnsi="Arial" w:cs="Arial"/>
          <w:i/>
        </w:rPr>
        <w:t>-Discrimination Act 1991</w:t>
      </w:r>
      <w:r w:rsidRPr="00936FF8">
        <w:rPr>
          <w:rFonts w:ascii="Arial" w:hAnsi="Arial" w:cs="Arial"/>
        </w:rPr>
        <w:t xml:space="preserve">, section </w:t>
      </w:r>
      <w:r>
        <w:rPr>
          <w:rFonts w:ascii="Arial" w:hAnsi="Arial" w:cs="Arial"/>
        </w:rPr>
        <w:t>228</w:t>
      </w:r>
    </w:p>
  </w:footnote>
  <w:footnote w:id="6">
    <w:p w14:paraId="4C9EB546" w14:textId="77777777" w:rsidR="00B5590A" w:rsidRPr="00ED25DF" w:rsidRDefault="00B5590A" w:rsidP="00896B84">
      <w:pPr>
        <w:pStyle w:val="FootnoteText"/>
        <w:rPr>
          <w:rFonts w:ascii="Arial" w:hAnsi="Arial" w:cs="Arial"/>
          <w:lang w:val="en-US"/>
        </w:rPr>
      </w:pPr>
      <w:r w:rsidRPr="00ED25DF">
        <w:rPr>
          <w:rStyle w:val="FootnoteReference"/>
          <w:rFonts w:ascii="Arial" w:hAnsi="Arial" w:cs="Arial"/>
        </w:rPr>
        <w:footnoteRef/>
      </w:r>
      <w:r w:rsidRPr="00ED25DF">
        <w:rPr>
          <w:rFonts w:ascii="Arial" w:hAnsi="Arial" w:cs="Arial"/>
        </w:rPr>
        <w:t xml:space="preserve"> </w:t>
      </w:r>
      <w:r>
        <w:rPr>
          <w:rFonts w:ascii="Arial" w:hAnsi="Arial" w:cs="Arial"/>
        </w:rPr>
        <w:t>Re The Women’s Legal Service Inc [2019] QIRC 060</w:t>
      </w:r>
    </w:p>
  </w:footnote>
  <w:footnote w:id="7">
    <w:p w14:paraId="7F9D0E00" w14:textId="77777777" w:rsidR="00B5590A" w:rsidRPr="008E0228" w:rsidRDefault="00B5590A" w:rsidP="00896B84">
      <w:pPr>
        <w:pStyle w:val="FootnoteText"/>
        <w:rPr>
          <w:rFonts w:ascii="Arial" w:hAnsi="Arial" w:cs="Arial"/>
          <w:lang w:val="en-US"/>
        </w:rPr>
      </w:pPr>
      <w:r w:rsidRPr="008E0228">
        <w:rPr>
          <w:rStyle w:val="FootnoteReference"/>
          <w:rFonts w:ascii="Arial" w:hAnsi="Arial" w:cs="Arial"/>
        </w:rPr>
        <w:footnoteRef/>
      </w:r>
      <w:r w:rsidRPr="008E0228">
        <w:rPr>
          <w:rFonts w:ascii="Arial" w:hAnsi="Arial" w:cs="Arial"/>
        </w:rPr>
        <w:t xml:space="preserve"> </w:t>
      </w:r>
      <w:r w:rsidRPr="008E0228">
        <w:rPr>
          <w:rFonts w:ascii="Arial" w:hAnsi="Arial" w:cs="Arial"/>
          <w:lang w:val="en-US"/>
        </w:rPr>
        <w:t>Sundale Limited [2019] QCAT 83</w:t>
      </w:r>
    </w:p>
  </w:footnote>
  <w:footnote w:id="8">
    <w:p w14:paraId="472F1275" w14:textId="77777777" w:rsidR="00B5590A" w:rsidRPr="008E0228" w:rsidRDefault="00B5590A" w:rsidP="00896B84">
      <w:pPr>
        <w:pStyle w:val="FootnoteText"/>
        <w:rPr>
          <w:rFonts w:ascii="Arial" w:hAnsi="Arial" w:cs="Arial"/>
          <w:lang w:val="en-US"/>
        </w:rPr>
      </w:pPr>
      <w:r w:rsidRPr="008E0228">
        <w:rPr>
          <w:rStyle w:val="FootnoteReference"/>
          <w:rFonts w:ascii="Arial" w:hAnsi="Arial" w:cs="Arial"/>
        </w:rPr>
        <w:footnoteRef/>
      </w:r>
      <w:r w:rsidRPr="008E0228">
        <w:rPr>
          <w:rFonts w:ascii="Arial" w:hAnsi="Arial" w:cs="Arial"/>
        </w:rPr>
        <w:t xml:space="preserve"> </w:t>
      </w:r>
      <w:r w:rsidRPr="008E0228">
        <w:rPr>
          <w:rFonts w:ascii="Arial" w:hAnsi="Arial" w:cs="Arial"/>
          <w:lang w:val="en-US"/>
        </w:rPr>
        <w:t>Re Children by Choice Association Inc. [2018] QIRC 153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B766" w14:textId="77777777" w:rsidR="00B5590A" w:rsidRDefault="00B55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A58" w14:textId="77777777" w:rsidR="00B5590A" w:rsidRPr="0067689A" w:rsidRDefault="00B5590A">
    <w:pPr>
      <w:pStyle w:val="Header"/>
      <w:rPr>
        <w:color w:val="5E1F71" w:themeColor="accen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2271" w14:textId="77777777" w:rsidR="00B5590A" w:rsidRPr="0067689A" w:rsidRDefault="00B5590A">
    <w:pPr>
      <w:pStyle w:val="Header"/>
      <w:rPr>
        <w:color w:val="5E1F71" w:themeColor="accen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8943469"/>
    <w:multiLevelType w:val="hybridMultilevel"/>
    <w:tmpl w:val="9C2491D0"/>
    <w:lvl w:ilvl="0" w:tplc="5838DB2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D7C64"/>
    <w:multiLevelType w:val="hybridMultilevel"/>
    <w:tmpl w:val="D262AF86"/>
    <w:lvl w:ilvl="0" w:tplc="5838DB2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144F6"/>
    <w:multiLevelType w:val="hybridMultilevel"/>
    <w:tmpl w:val="9C061232"/>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87063"/>
    <w:multiLevelType w:val="hybridMultilevel"/>
    <w:tmpl w:val="CA26BEB0"/>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05710"/>
    <w:multiLevelType w:val="hybridMultilevel"/>
    <w:tmpl w:val="7F02DA80"/>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57F21"/>
    <w:multiLevelType w:val="hybridMultilevel"/>
    <w:tmpl w:val="D26C357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B207C"/>
    <w:multiLevelType w:val="hybridMultilevel"/>
    <w:tmpl w:val="C442A450"/>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806C9"/>
    <w:multiLevelType w:val="hybridMultilevel"/>
    <w:tmpl w:val="1A8CC202"/>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591EB1"/>
    <w:multiLevelType w:val="hybridMultilevel"/>
    <w:tmpl w:val="759EC574"/>
    <w:lvl w:ilvl="0" w:tplc="9B1AA036">
      <w:start w:val="1"/>
      <w:numFmt w:val="bullet"/>
      <w:pStyle w:val="Heading4"/>
      <w:lvlText w:val=""/>
      <w:lvlJc w:val="left"/>
      <w:pPr>
        <w:ind w:left="806" w:hanging="360"/>
      </w:pPr>
      <w:rPr>
        <w:rFonts w:ascii="Wingdings" w:hAnsi="Wingdings" w:hint="default"/>
        <w:color w:val="63891F" w:themeColor="accent6"/>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10" w15:restartNumberingAfterBreak="0">
    <w:nsid w:val="146A63B2"/>
    <w:multiLevelType w:val="hybridMultilevel"/>
    <w:tmpl w:val="D0BE8D0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17766"/>
    <w:multiLevelType w:val="hybridMultilevel"/>
    <w:tmpl w:val="B5529802"/>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594E72"/>
    <w:multiLevelType w:val="hybridMultilevel"/>
    <w:tmpl w:val="761C819A"/>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00E38"/>
    <w:multiLevelType w:val="hybridMultilevel"/>
    <w:tmpl w:val="689EDA64"/>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D51EEA"/>
    <w:multiLevelType w:val="hybridMultilevel"/>
    <w:tmpl w:val="49D271DE"/>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8295C"/>
    <w:multiLevelType w:val="hybridMultilevel"/>
    <w:tmpl w:val="F5EADE7C"/>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FD2A56"/>
    <w:multiLevelType w:val="hybridMultilevel"/>
    <w:tmpl w:val="9AF2A83C"/>
    <w:lvl w:ilvl="0" w:tplc="986E2EE4">
      <w:start w:val="1"/>
      <w:numFmt w:val="decimal"/>
      <w:lvlText w:val="%1."/>
      <w:lvlJc w:val="left"/>
      <w:pPr>
        <w:tabs>
          <w:tab w:val="num" w:pos="360"/>
        </w:tabs>
        <w:ind w:left="360" w:hanging="360"/>
      </w:pPr>
      <w:rPr>
        <w:rFonts w:ascii="Arial" w:hAnsi="Arial" w:cs="Times New Roman"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FC401F"/>
    <w:multiLevelType w:val="hybridMultilevel"/>
    <w:tmpl w:val="55C01D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0A6441"/>
    <w:multiLevelType w:val="hybridMultilevel"/>
    <w:tmpl w:val="BE88F1DC"/>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291B03"/>
    <w:multiLevelType w:val="hybridMultilevel"/>
    <w:tmpl w:val="10ACD254"/>
    <w:lvl w:ilvl="0" w:tplc="5838DB2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16060A"/>
    <w:multiLevelType w:val="hybridMultilevel"/>
    <w:tmpl w:val="A876617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802654"/>
    <w:multiLevelType w:val="multilevel"/>
    <w:tmpl w:val="0C09001D"/>
    <w:styleLink w:val="DPEstimates"/>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ourier New" w:hAnsi="Courier New" w:hint="default"/>
        <w:sz w:val="32"/>
      </w:rPr>
    </w:lvl>
    <w:lvl w:ilvl="2">
      <w:start w:val="1"/>
      <w:numFmt w:val="bullet"/>
      <w:lvlText w:val=""/>
      <w:lvlJc w:val="left"/>
      <w:pPr>
        <w:tabs>
          <w:tab w:val="num" w:pos="1080"/>
        </w:tabs>
        <w:ind w:left="1080" w:hanging="360"/>
      </w:pPr>
      <w:rPr>
        <w:rFonts w:ascii="Wingdings" w:hAnsi="Wingdings" w:hint="default"/>
        <w:sz w:val="3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33D7A2C"/>
    <w:multiLevelType w:val="hybridMultilevel"/>
    <w:tmpl w:val="83327740"/>
    <w:lvl w:ilvl="0" w:tplc="FC086726">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3" w15:restartNumberingAfterBreak="0">
    <w:nsid w:val="350E28D0"/>
    <w:multiLevelType w:val="hybridMultilevel"/>
    <w:tmpl w:val="DC44CFAA"/>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F53DF1"/>
    <w:multiLevelType w:val="hybridMultilevel"/>
    <w:tmpl w:val="F7306DF6"/>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A4199F"/>
    <w:multiLevelType w:val="hybridMultilevel"/>
    <w:tmpl w:val="4D20201C"/>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460FD"/>
    <w:multiLevelType w:val="hybridMultilevel"/>
    <w:tmpl w:val="47CE08AE"/>
    <w:lvl w:ilvl="0" w:tplc="5838DB2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91160"/>
    <w:multiLevelType w:val="hybridMultilevel"/>
    <w:tmpl w:val="606C6556"/>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035F10"/>
    <w:multiLevelType w:val="hybridMultilevel"/>
    <w:tmpl w:val="73923B58"/>
    <w:lvl w:ilvl="0" w:tplc="0C090001">
      <w:start w:val="1"/>
      <w:numFmt w:val="bullet"/>
      <w:pStyle w:val="tex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ヒラギノ角ゴ Pro W3"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ヒラギノ角ゴ Pro W3"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ヒラギノ角ゴ Pro W3"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C4B7B"/>
    <w:multiLevelType w:val="hybridMultilevel"/>
    <w:tmpl w:val="E76CA392"/>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AB6781"/>
    <w:multiLevelType w:val="hybridMultilevel"/>
    <w:tmpl w:val="1764AA4A"/>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875A3"/>
    <w:multiLevelType w:val="hybridMultilevel"/>
    <w:tmpl w:val="75CECD28"/>
    <w:lvl w:ilvl="0" w:tplc="1C0AF71C">
      <w:start w:val="1"/>
      <w:numFmt w:val="bullet"/>
      <w:lvlText w:val=""/>
      <w:lvlJc w:val="left"/>
      <w:pPr>
        <w:ind w:left="720" w:hanging="360"/>
      </w:pPr>
      <w:rPr>
        <w:rFonts w:ascii="Wingdings 2" w:hAnsi="Wingdings 2" w:hint="default"/>
        <w:color w:val="5E1F7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CE6E5A"/>
    <w:multiLevelType w:val="hybridMultilevel"/>
    <w:tmpl w:val="5DF2AA0A"/>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27806"/>
    <w:multiLevelType w:val="hybridMultilevel"/>
    <w:tmpl w:val="BB68F7C2"/>
    <w:lvl w:ilvl="0" w:tplc="53FAF988">
      <w:start w:val="1"/>
      <w:numFmt w:val="bullet"/>
      <w:lvlText w:val=""/>
      <w:lvlJc w:val="left"/>
      <w:pPr>
        <w:tabs>
          <w:tab w:val="num" w:pos="360"/>
        </w:tabs>
        <w:ind w:left="360" w:hanging="360"/>
      </w:pPr>
      <w:rPr>
        <w:rFonts w:ascii="Symbol" w:hAnsi="Symbol" w:cs="Courier New"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E702B"/>
    <w:multiLevelType w:val="hybridMultilevel"/>
    <w:tmpl w:val="DC68251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662D51"/>
    <w:multiLevelType w:val="hybridMultilevel"/>
    <w:tmpl w:val="5EF0B6FA"/>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D947A1"/>
    <w:multiLevelType w:val="hybridMultilevel"/>
    <w:tmpl w:val="676AD216"/>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F26CDD"/>
    <w:multiLevelType w:val="hybridMultilevel"/>
    <w:tmpl w:val="5148B2E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C3973"/>
    <w:multiLevelType w:val="hybridMultilevel"/>
    <w:tmpl w:val="7714CB72"/>
    <w:lvl w:ilvl="0" w:tplc="1C0AF71C">
      <w:start w:val="1"/>
      <w:numFmt w:val="bullet"/>
      <w:lvlText w:val=""/>
      <w:lvlJc w:val="left"/>
      <w:pPr>
        <w:ind w:left="720" w:hanging="360"/>
      </w:pPr>
      <w:rPr>
        <w:rFonts w:ascii="Wingdings 2" w:hAnsi="Wingdings 2" w:hint="default"/>
        <w:color w:val="5E1F71"/>
      </w:rPr>
    </w:lvl>
    <w:lvl w:ilvl="1" w:tplc="5838DB20">
      <w:start w:val="1"/>
      <w:numFmt w:val="bullet"/>
      <w:lvlText w:val=""/>
      <w:lvlJc w:val="left"/>
      <w:pPr>
        <w:ind w:left="1440" w:hanging="360"/>
      </w:pPr>
      <w:rPr>
        <w:rFonts w:ascii="Wingdings 2" w:hAnsi="Wingdings 2" w:hint="default"/>
        <w:color w:val="347B9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365D36"/>
    <w:multiLevelType w:val="hybridMultilevel"/>
    <w:tmpl w:val="00B0BCA6"/>
    <w:lvl w:ilvl="0" w:tplc="53FAF988">
      <w:start w:val="1"/>
      <w:numFmt w:val="bullet"/>
      <w:lvlText w:val=""/>
      <w:lvlJc w:val="left"/>
      <w:pPr>
        <w:tabs>
          <w:tab w:val="num" w:pos="360"/>
        </w:tabs>
        <w:ind w:left="360" w:hanging="360"/>
      </w:pPr>
      <w:rPr>
        <w:rFonts w:ascii="Symbol" w:hAnsi="Symbol" w:cs="Courier New" w:hint="default"/>
        <w:sz w:val="16"/>
      </w:rPr>
    </w:lvl>
    <w:lvl w:ilvl="1" w:tplc="0C090003" w:tentative="1">
      <w:start w:val="1"/>
      <w:numFmt w:val="bullet"/>
      <w:lvlText w:val="o"/>
      <w:lvlJc w:val="left"/>
      <w:pPr>
        <w:tabs>
          <w:tab w:val="num" w:pos="783"/>
        </w:tabs>
        <w:ind w:left="783" w:hanging="360"/>
      </w:pPr>
      <w:rPr>
        <w:rFonts w:ascii="Courier New" w:hAnsi="Courier New" w:hint="default"/>
      </w:rPr>
    </w:lvl>
    <w:lvl w:ilvl="2" w:tplc="0C090005" w:tentative="1">
      <w:start w:val="1"/>
      <w:numFmt w:val="bullet"/>
      <w:lvlText w:val=""/>
      <w:lvlJc w:val="left"/>
      <w:pPr>
        <w:tabs>
          <w:tab w:val="num" w:pos="1503"/>
        </w:tabs>
        <w:ind w:left="1503" w:hanging="360"/>
      </w:pPr>
      <w:rPr>
        <w:rFonts w:ascii="Wingdings" w:hAnsi="Wingdings" w:hint="default"/>
      </w:rPr>
    </w:lvl>
    <w:lvl w:ilvl="3" w:tplc="0C090001" w:tentative="1">
      <w:start w:val="1"/>
      <w:numFmt w:val="bullet"/>
      <w:lvlText w:val=""/>
      <w:lvlJc w:val="left"/>
      <w:pPr>
        <w:tabs>
          <w:tab w:val="num" w:pos="2223"/>
        </w:tabs>
        <w:ind w:left="2223" w:hanging="360"/>
      </w:pPr>
      <w:rPr>
        <w:rFonts w:ascii="Symbol" w:hAnsi="Symbol" w:hint="default"/>
      </w:rPr>
    </w:lvl>
    <w:lvl w:ilvl="4" w:tplc="0C090003" w:tentative="1">
      <w:start w:val="1"/>
      <w:numFmt w:val="bullet"/>
      <w:lvlText w:val="o"/>
      <w:lvlJc w:val="left"/>
      <w:pPr>
        <w:tabs>
          <w:tab w:val="num" w:pos="2943"/>
        </w:tabs>
        <w:ind w:left="2943" w:hanging="360"/>
      </w:pPr>
      <w:rPr>
        <w:rFonts w:ascii="Courier New" w:hAnsi="Courier New" w:hint="default"/>
      </w:rPr>
    </w:lvl>
    <w:lvl w:ilvl="5" w:tplc="0C090005" w:tentative="1">
      <w:start w:val="1"/>
      <w:numFmt w:val="bullet"/>
      <w:lvlText w:val=""/>
      <w:lvlJc w:val="left"/>
      <w:pPr>
        <w:tabs>
          <w:tab w:val="num" w:pos="3663"/>
        </w:tabs>
        <w:ind w:left="3663" w:hanging="360"/>
      </w:pPr>
      <w:rPr>
        <w:rFonts w:ascii="Wingdings" w:hAnsi="Wingdings" w:hint="default"/>
      </w:rPr>
    </w:lvl>
    <w:lvl w:ilvl="6" w:tplc="0C090001" w:tentative="1">
      <w:start w:val="1"/>
      <w:numFmt w:val="bullet"/>
      <w:lvlText w:val=""/>
      <w:lvlJc w:val="left"/>
      <w:pPr>
        <w:tabs>
          <w:tab w:val="num" w:pos="4383"/>
        </w:tabs>
        <w:ind w:left="4383" w:hanging="360"/>
      </w:pPr>
      <w:rPr>
        <w:rFonts w:ascii="Symbol" w:hAnsi="Symbol" w:hint="default"/>
      </w:rPr>
    </w:lvl>
    <w:lvl w:ilvl="7" w:tplc="0C090003" w:tentative="1">
      <w:start w:val="1"/>
      <w:numFmt w:val="bullet"/>
      <w:lvlText w:val="o"/>
      <w:lvlJc w:val="left"/>
      <w:pPr>
        <w:tabs>
          <w:tab w:val="num" w:pos="5103"/>
        </w:tabs>
        <w:ind w:left="5103" w:hanging="360"/>
      </w:pPr>
      <w:rPr>
        <w:rFonts w:ascii="Courier New" w:hAnsi="Courier New" w:hint="default"/>
      </w:rPr>
    </w:lvl>
    <w:lvl w:ilvl="8" w:tplc="0C090005" w:tentative="1">
      <w:start w:val="1"/>
      <w:numFmt w:val="bullet"/>
      <w:lvlText w:val=""/>
      <w:lvlJc w:val="left"/>
      <w:pPr>
        <w:tabs>
          <w:tab w:val="num" w:pos="5823"/>
        </w:tabs>
        <w:ind w:left="5823" w:hanging="360"/>
      </w:pPr>
      <w:rPr>
        <w:rFonts w:ascii="Wingdings" w:hAnsi="Wingdings" w:hint="default"/>
      </w:rPr>
    </w:lvl>
  </w:abstractNum>
  <w:abstractNum w:abstractNumId="40" w15:restartNumberingAfterBreak="0">
    <w:nsid w:val="78595231"/>
    <w:multiLevelType w:val="hybridMultilevel"/>
    <w:tmpl w:val="DDFC8818"/>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CA61D5"/>
    <w:multiLevelType w:val="hybridMultilevel"/>
    <w:tmpl w:val="F6826594"/>
    <w:lvl w:ilvl="0" w:tplc="1C0AF71C">
      <w:start w:val="1"/>
      <w:numFmt w:val="bullet"/>
      <w:lvlText w:val=""/>
      <w:lvlJc w:val="left"/>
      <w:pPr>
        <w:ind w:left="720" w:hanging="360"/>
      </w:pPr>
      <w:rPr>
        <w:rFonts w:ascii="Wingdings 2" w:hAnsi="Wingdings 2" w:hint="default"/>
        <w:color w:val="5E1F7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39"/>
  </w:num>
  <w:num w:numId="4">
    <w:abstractNumId w:val="16"/>
  </w:num>
  <w:num w:numId="5">
    <w:abstractNumId w:val="28"/>
  </w:num>
  <w:num w:numId="6">
    <w:abstractNumId w:val="21"/>
  </w:num>
  <w:num w:numId="7">
    <w:abstractNumId w:val="9"/>
  </w:num>
  <w:num w:numId="8">
    <w:abstractNumId w:val="22"/>
  </w:num>
  <w:num w:numId="9">
    <w:abstractNumId w:val="25"/>
  </w:num>
  <w:num w:numId="10">
    <w:abstractNumId w:val="11"/>
  </w:num>
  <w:num w:numId="11">
    <w:abstractNumId w:val="32"/>
  </w:num>
  <w:num w:numId="12">
    <w:abstractNumId w:val="12"/>
  </w:num>
  <w:num w:numId="13">
    <w:abstractNumId w:val="10"/>
  </w:num>
  <w:num w:numId="14">
    <w:abstractNumId w:val="30"/>
  </w:num>
  <w:num w:numId="15">
    <w:abstractNumId w:val="23"/>
  </w:num>
  <w:num w:numId="16">
    <w:abstractNumId w:val="40"/>
  </w:num>
  <w:num w:numId="17">
    <w:abstractNumId w:val="5"/>
  </w:num>
  <w:num w:numId="18">
    <w:abstractNumId w:val="20"/>
  </w:num>
  <w:num w:numId="19">
    <w:abstractNumId w:val="15"/>
  </w:num>
  <w:num w:numId="20">
    <w:abstractNumId w:val="35"/>
  </w:num>
  <w:num w:numId="21">
    <w:abstractNumId w:val="34"/>
  </w:num>
  <w:num w:numId="22">
    <w:abstractNumId w:val="29"/>
  </w:num>
  <w:num w:numId="23">
    <w:abstractNumId w:val="7"/>
  </w:num>
  <w:num w:numId="24">
    <w:abstractNumId w:val="27"/>
  </w:num>
  <w:num w:numId="25">
    <w:abstractNumId w:val="31"/>
  </w:num>
  <w:num w:numId="26">
    <w:abstractNumId w:val="38"/>
  </w:num>
  <w:num w:numId="27">
    <w:abstractNumId w:val="1"/>
  </w:num>
  <w:num w:numId="28">
    <w:abstractNumId w:val="19"/>
  </w:num>
  <w:num w:numId="29">
    <w:abstractNumId w:val="17"/>
  </w:num>
  <w:num w:numId="30">
    <w:abstractNumId w:val="2"/>
  </w:num>
  <w:num w:numId="31">
    <w:abstractNumId w:val="26"/>
  </w:num>
  <w:num w:numId="32">
    <w:abstractNumId w:val="3"/>
  </w:num>
  <w:num w:numId="33">
    <w:abstractNumId w:val="14"/>
  </w:num>
  <w:num w:numId="34">
    <w:abstractNumId w:val="13"/>
  </w:num>
  <w:num w:numId="35">
    <w:abstractNumId w:val="4"/>
  </w:num>
  <w:num w:numId="36">
    <w:abstractNumId w:val="18"/>
  </w:num>
  <w:num w:numId="37">
    <w:abstractNumId w:val="37"/>
  </w:num>
  <w:num w:numId="38">
    <w:abstractNumId w:val="8"/>
  </w:num>
  <w:num w:numId="39">
    <w:abstractNumId w:val="24"/>
  </w:num>
  <w:num w:numId="40">
    <w:abstractNumId w:val="6"/>
  </w:num>
  <w:num w:numId="41">
    <w:abstractNumId w:val="41"/>
  </w:num>
  <w:num w:numId="4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fr-FR" w:vendorID="64" w:dllVersion="131078" w:nlCheck="1" w:checkStyle="0"/>
  <w:activeWritingStyle w:appName="MSWord" w:lang="en-AU"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2744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6D5BF0-B8A5-4A34-A02F-D27FBF684B10}"/>
    <w:docVar w:name="dgnword-eventsink" w:val="479855520"/>
    <w:docVar w:name="dgnword-lastRevisionsView" w:val="0"/>
  </w:docVars>
  <w:rsids>
    <w:rsidRoot w:val="006A73AA"/>
    <w:rsid w:val="00001304"/>
    <w:rsid w:val="000013BB"/>
    <w:rsid w:val="000029CC"/>
    <w:rsid w:val="00003394"/>
    <w:rsid w:val="0000430C"/>
    <w:rsid w:val="00005DA9"/>
    <w:rsid w:val="000076EB"/>
    <w:rsid w:val="00010EB9"/>
    <w:rsid w:val="00012727"/>
    <w:rsid w:val="00013D9C"/>
    <w:rsid w:val="000144AC"/>
    <w:rsid w:val="00014F98"/>
    <w:rsid w:val="00016E67"/>
    <w:rsid w:val="000170F8"/>
    <w:rsid w:val="000228C3"/>
    <w:rsid w:val="00022DC2"/>
    <w:rsid w:val="00022E35"/>
    <w:rsid w:val="00025E87"/>
    <w:rsid w:val="00026CD8"/>
    <w:rsid w:val="00030255"/>
    <w:rsid w:val="00033D76"/>
    <w:rsid w:val="00035607"/>
    <w:rsid w:val="00036A65"/>
    <w:rsid w:val="000370BC"/>
    <w:rsid w:val="00037FF6"/>
    <w:rsid w:val="00041B6F"/>
    <w:rsid w:val="000422EB"/>
    <w:rsid w:val="000436D8"/>
    <w:rsid w:val="00043B22"/>
    <w:rsid w:val="00044572"/>
    <w:rsid w:val="000449E7"/>
    <w:rsid w:val="00045BF0"/>
    <w:rsid w:val="00046778"/>
    <w:rsid w:val="00046FB3"/>
    <w:rsid w:val="000479A8"/>
    <w:rsid w:val="000531ED"/>
    <w:rsid w:val="00055C8F"/>
    <w:rsid w:val="00057F9C"/>
    <w:rsid w:val="00060647"/>
    <w:rsid w:val="0006288A"/>
    <w:rsid w:val="00065025"/>
    <w:rsid w:val="00065E07"/>
    <w:rsid w:val="000662E8"/>
    <w:rsid w:val="0006646F"/>
    <w:rsid w:val="00066C45"/>
    <w:rsid w:val="00066FF2"/>
    <w:rsid w:val="000720F5"/>
    <w:rsid w:val="000721D6"/>
    <w:rsid w:val="00072F73"/>
    <w:rsid w:val="00073C40"/>
    <w:rsid w:val="00074908"/>
    <w:rsid w:val="00074B87"/>
    <w:rsid w:val="00074DC5"/>
    <w:rsid w:val="0007682E"/>
    <w:rsid w:val="0008032D"/>
    <w:rsid w:val="00080DE8"/>
    <w:rsid w:val="000820CA"/>
    <w:rsid w:val="00083AA7"/>
    <w:rsid w:val="00085D3A"/>
    <w:rsid w:val="00087773"/>
    <w:rsid w:val="00087C1A"/>
    <w:rsid w:val="00090DC7"/>
    <w:rsid w:val="00090E35"/>
    <w:rsid w:val="00091B39"/>
    <w:rsid w:val="00094515"/>
    <w:rsid w:val="000952B4"/>
    <w:rsid w:val="00095808"/>
    <w:rsid w:val="00096602"/>
    <w:rsid w:val="000A1756"/>
    <w:rsid w:val="000A34F7"/>
    <w:rsid w:val="000A4F5E"/>
    <w:rsid w:val="000A50FD"/>
    <w:rsid w:val="000A5992"/>
    <w:rsid w:val="000A5F68"/>
    <w:rsid w:val="000A6442"/>
    <w:rsid w:val="000A6482"/>
    <w:rsid w:val="000A7904"/>
    <w:rsid w:val="000A7FE7"/>
    <w:rsid w:val="000B0143"/>
    <w:rsid w:val="000B0E26"/>
    <w:rsid w:val="000B21C0"/>
    <w:rsid w:val="000B3ADF"/>
    <w:rsid w:val="000B3FCF"/>
    <w:rsid w:val="000B4646"/>
    <w:rsid w:val="000B6229"/>
    <w:rsid w:val="000B6690"/>
    <w:rsid w:val="000B671E"/>
    <w:rsid w:val="000B696A"/>
    <w:rsid w:val="000C3D67"/>
    <w:rsid w:val="000C4BE3"/>
    <w:rsid w:val="000C4DAE"/>
    <w:rsid w:val="000C507B"/>
    <w:rsid w:val="000C528D"/>
    <w:rsid w:val="000C5F4D"/>
    <w:rsid w:val="000C65AD"/>
    <w:rsid w:val="000C6D03"/>
    <w:rsid w:val="000C7342"/>
    <w:rsid w:val="000D01A3"/>
    <w:rsid w:val="000D0FA6"/>
    <w:rsid w:val="000D1C2A"/>
    <w:rsid w:val="000D36A0"/>
    <w:rsid w:val="000D3BBE"/>
    <w:rsid w:val="000D5291"/>
    <w:rsid w:val="000D5386"/>
    <w:rsid w:val="000D5A6C"/>
    <w:rsid w:val="000D663B"/>
    <w:rsid w:val="000E02B6"/>
    <w:rsid w:val="000E3955"/>
    <w:rsid w:val="000E39D0"/>
    <w:rsid w:val="000E51EC"/>
    <w:rsid w:val="000E55EF"/>
    <w:rsid w:val="000E6AEB"/>
    <w:rsid w:val="000E6D8F"/>
    <w:rsid w:val="000F0A6A"/>
    <w:rsid w:val="000F0A75"/>
    <w:rsid w:val="000F365D"/>
    <w:rsid w:val="000F4578"/>
    <w:rsid w:val="000F45F4"/>
    <w:rsid w:val="000F4C4A"/>
    <w:rsid w:val="000F6946"/>
    <w:rsid w:val="00101719"/>
    <w:rsid w:val="00101BDF"/>
    <w:rsid w:val="00106402"/>
    <w:rsid w:val="00110DEE"/>
    <w:rsid w:val="0011148F"/>
    <w:rsid w:val="00111CB1"/>
    <w:rsid w:val="00111CFF"/>
    <w:rsid w:val="00112C72"/>
    <w:rsid w:val="00112E7F"/>
    <w:rsid w:val="00113415"/>
    <w:rsid w:val="001142C2"/>
    <w:rsid w:val="00116F24"/>
    <w:rsid w:val="0012142A"/>
    <w:rsid w:val="001222B3"/>
    <w:rsid w:val="001253DA"/>
    <w:rsid w:val="00130598"/>
    <w:rsid w:val="00132AC0"/>
    <w:rsid w:val="00132F98"/>
    <w:rsid w:val="00133F24"/>
    <w:rsid w:val="00135021"/>
    <w:rsid w:val="00135431"/>
    <w:rsid w:val="00135540"/>
    <w:rsid w:val="00142421"/>
    <w:rsid w:val="0014267A"/>
    <w:rsid w:val="001434A9"/>
    <w:rsid w:val="00143BCA"/>
    <w:rsid w:val="001440E7"/>
    <w:rsid w:val="001454F5"/>
    <w:rsid w:val="00146733"/>
    <w:rsid w:val="001469A2"/>
    <w:rsid w:val="00147008"/>
    <w:rsid w:val="00150937"/>
    <w:rsid w:val="00151863"/>
    <w:rsid w:val="00152CAF"/>
    <w:rsid w:val="00152E00"/>
    <w:rsid w:val="00153F8A"/>
    <w:rsid w:val="00154298"/>
    <w:rsid w:val="00154973"/>
    <w:rsid w:val="00154A4D"/>
    <w:rsid w:val="00160E72"/>
    <w:rsid w:val="001616D7"/>
    <w:rsid w:val="00164FED"/>
    <w:rsid w:val="001652C8"/>
    <w:rsid w:val="00167728"/>
    <w:rsid w:val="0016782E"/>
    <w:rsid w:val="00167A2C"/>
    <w:rsid w:val="00170A2B"/>
    <w:rsid w:val="00172EC6"/>
    <w:rsid w:val="001744FA"/>
    <w:rsid w:val="0017510D"/>
    <w:rsid w:val="00175735"/>
    <w:rsid w:val="00176ED8"/>
    <w:rsid w:val="00177728"/>
    <w:rsid w:val="001810A6"/>
    <w:rsid w:val="001826BD"/>
    <w:rsid w:val="00182FBF"/>
    <w:rsid w:val="001830E4"/>
    <w:rsid w:val="0018390D"/>
    <w:rsid w:val="00184F4A"/>
    <w:rsid w:val="00186572"/>
    <w:rsid w:val="00186D53"/>
    <w:rsid w:val="00190AE2"/>
    <w:rsid w:val="00192B1A"/>
    <w:rsid w:val="00192B54"/>
    <w:rsid w:val="00192FB0"/>
    <w:rsid w:val="00193378"/>
    <w:rsid w:val="001936E5"/>
    <w:rsid w:val="00193854"/>
    <w:rsid w:val="0019492F"/>
    <w:rsid w:val="001950FF"/>
    <w:rsid w:val="0019540E"/>
    <w:rsid w:val="0019627A"/>
    <w:rsid w:val="00196A87"/>
    <w:rsid w:val="0019753B"/>
    <w:rsid w:val="001A1133"/>
    <w:rsid w:val="001A23E8"/>
    <w:rsid w:val="001A63DA"/>
    <w:rsid w:val="001A73AA"/>
    <w:rsid w:val="001A79C3"/>
    <w:rsid w:val="001B11FE"/>
    <w:rsid w:val="001B3D5C"/>
    <w:rsid w:val="001B6438"/>
    <w:rsid w:val="001C00B9"/>
    <w:rsid w:val="001C0134"/>
    <w:rsid w:val="001C1259"/>
    <w:rsid w:val="001C1CD4"/>
    <w:rsid w:val="001C53F6"/>
    <w:rsid w:val="001C56C1"/>
    <w:rsid w:val="001C6793"/>
    <w:rsid w:val="001D1C78"/>
    <w:rsid w:val="001D5312"/>
    <w:rsid w:val="001D5B69"/>
    <w:rsid w:val="001D5C48"/>
    <w:rsid w:val="001D65BC"/>
    <w:rsid w:val="001D6A41"/>
    <w:rsid w:val="001E51CE"/>
    <w:rsid w:val="001E6626"/>
    <w:rsid w:val="001E71AD"/>
    <w:rsid w:val="001E727E"/>
    <w:rsid w:val="001F2B2C"/>
    <w:rsid w:val="001F5074"/>
    <w:rsid w:val="001F50BA"/>
    <w:rsid w:val="001F5D8E"/>
    <w:rsid w:val="001F7859"/>
    <w:rsid w:val="001F7FE3"/>
    <w:rsid w:val="00200EC1"/>
    <w:rsid w:val="00203714"/>
    <w:rsid w:val="002049F2"/>
    <w:rsid w:val="00206A8B"/>
    <w:rsid w:val="00206F61"/>
    <w:rsid w:val="00210592"/>
    <w:rsid w:val="00211B7B"/>
    <w:rsid w:val="0021204D"/>
    <w:rsid w:val="00213048"/>
    <w:rsid w:val="00215B22"/>
    <w:rsid w:val="00216388"/>
    <w:rsid w:val="00216C79"/>
    <w:rsid w:val="0021773F"/>
    <w:rsid w:val="00217877"/>
    <w:rsid w:val="00221A0E"/>
    <w:rsid w:val="00224E32"/>
    <w:rsid w:val="00230332"/>
    <w:rsid w:val="00230ABC"/>
    <w:rsid w:val="002311D6"/>
    <w:rsid w:val="00231890"/>
    <w:rsid w:val="002349C1"/>
    <w:rsid w:val="002355BE"/>
    <w:rsid w:val="00235BC0"/>
    <w:rsid w:val="002360BE"/>
    <w:rsid w:val="002362C0"/>
    <w:rsid w:val="00237279"/>
    <w:rsid w:val="0023773A"/>
    <w:rsid w:val="0024099F"/>
    <w:rsid w:val="00243246"/>
    <w:rsid w:val="00244458"/>
    <w:rsid w:val="00245A5F"/>
    <w:rsid w:val="002502E9"/>
    <w:rsid w:val="0025037E"/>
    <w:rsid w:val="00251E64"/>
    <w:rsid w:val="00253143"/>
    <w:rsid w:val="00253C71"/>
    <w:rsid w:val="00254304"/>
    <w:rsid w:val="002544A6"/>
    <w:rsid w:val="00254F04"/>
    <w:rsid w:val="00262775"/>
    <w:rsid w:val="00264895"/>
    <w:rsid w:val="002666BA"/>
    <w:rsid w:val="0026698B"/>
    <w:rsid w:val="00274B14"/>
    <w:rsid w:val="00276732"/>
    <w:rsid w:val="00277CFC"/>
    <w:rsid w:val="00280FA6"/>
    <w:rsid w:val="00281685"/>
    <w:rsid w:val="00282AF7"/>
    <w:rsid w:val="00284570"/>
    <w:rsid w:val="00284D78"/>
    <w:rsid w:val="002877CF"/>
    <w:rsid w:val="0028797A"/>
    <w:rsid w:val="00290988"/>
    <w:rsid w:val="002A0F92"/>
    <w:rsid w:val="002A2AC9"/>
    <w:rsid w:val="002A3B9D"/>
    <w:rsid w:val="002A3EB7"/>
    <w:rsid w:val="002A4318"/>
    <w:rsid w:val="002A50D5"/>
    <w:rsid w:val="002A5F14"/>
    <w:rsid w:val="002A7E01"/>
    <w:rsid w:val="002B0721"/>
    <w:rsid w:val="002B29D0"/>
    <w:rsid w:val="002B5C47"/>
    <w:rsid w:val="002B6B3E"/>
    <w:rsid w:val="002B72E0"/>
    <w:rsid w:val="002C10F4"/>
    <w:rsid w:val="002C1131"/>
    <w:rsid w:val="002C2059"/>
    <w:rsid w:val="002C3E0B"/>
    <w:rsid w:val="002C5260"/>
    <w:rsid w:val="002C5502"/>
    <w:rsid w:val="002C5AF9"/>
    <w:rsid w:val="002C68FC"/>
    <w:rsid w:val="002C791C"/>
    <w:rsid w:val="002D29F9"/>
    <w:rsid w:val="002D4598"/>
    <w:rsid w:val="002E182C"/>
    <w:rsid w:val="002E1892"/>
    <w:rsid w:val="002E1A1E"/>
    <w:rsid w:val="002E27F8"/>
    <w:rsid w:val="002E550A"/>
    <w:rsid w:val="002E6C16"/>
    <w:rsid w:val="002E78F6"/>
    <w:rsid w:val="002F01BD"/>
    <w:rsid w:val="002F1222"/>
    <w:rsid w:val="002F3BB0"/>
    <w:rsid w:val="002F51D1"/>
    <w:rsid w:val="00301C4C"/>
    <w:rsid w:val="00303CDD"/>
    <w:rsid w:val="00305882"/>
    <w:rsid w:val="00306487"/>
    <w:rsid w:val="00306717"/>
    <w:rsid w:val="0030686C"/>
    <w:rsid w:val="00306EEB"/>
    <w:rsid w:val="00307EFE"/>
    <w:rsid w:val="00311BB3"/>
    <w:rsid w:val="003126C2"/>
    <w:rsid w:val="0031490F"/>
    <w:rsid w:val="00315AE9"/>
    <w:rsid w:val="0031701D"/>
    <w:rsid w:val="00321242"/>
    <w:rsid w:val="003223BA"/>
    <w:rsid w:val="00323356"/>
    <w:rsid w:val="00324180"/>
    <w:rsid w:val="003243FE"/>
    <w:rsid w:val="00324A5A"/>
    <w:rsid w:val="00325761"/>
    <w:rsid w:val="00325B4C"/>
    <w:rsid w:val="003275D2"/>
    <w:rsid w:val="0033101E"/>
    <w:rsid w:val="00331E2D"/>
    <w:rsid w:val="003327FA"/>
    <w:rsid w:val="00333058"/>
    <w:rsid w:val="00333176"/>
    <w:rsid w:val="003337B3"/>
    <w:rsid w:val="0033521F"/>
    <w:rsid w:val="00336E7E"/>
    <w:rsid w:val="003370F3"/>
    <w:rsid w:val="00343264"/>
    <w:rsid w:val="00345644"/>
    <w:rsid w:val="00346E4B"/>
    <w:rsid w:val="00347951"/>
    <w:rsid w:val="00350EB9"/>
    <w:rsid w:val="00351C20"/>
    <w:rsid w:val="0035281D"/>
    <w:rsid w:val="00356143"/>
    <w:rsid w:val="0035643F"/>
    <w:rsid w:val="003638FA"/>
    <w:rsid w:val="003640E9"/>
    <w:rsid w:val="0036600E"/>
    <w:rsid w:val="0036644B"/>
    <w:rsid w:val="0036691A"/>
    <w:rsid w:val="00367D8E"/>
    <w:rsid w:val="003702EE"/>
    <w:rsid w:val="00371A03"/>
    <w:rsid w:val="00372DB5"/>
    <w:rsid w:val="003735A9"/>
    <w:rsid w:val="00375B91"/>
    <w:rsid w:val="00376BA1"/>
    <w:rsid w:val="003823BE"/>
    <w:rsid w:val="00383D63"/>
    <w:rsid w:val="0038724E"/>
    <w:rsid w:val="00387543"/>
    <w:rsid w:val="0039070A"/>
    <w:rsid w:val="003908D8"/>
    <w:rsid w:val="00390E22"/>
    <w:rsid w:val="00391805"/>
    <w:rsid w:val="003928DB"/>
    <w:rsid w:val="00396184"/>
    <w:rsid w:val="00397C8B"/>
    <w:rsid w:val="003A10BE"/>
    <w:rsid w:val="003A1E1E"/>
    <w:rsid w:val="003A217D"/>
    <w:rsid w:val="003A2DEB"/>
    <w:rsid w:val="003A602A"/>
    <w:rsid w:val="003A6040"/>
    <w:rsid w:val="003A68B3"/>
    <w:rsid w:val="003A7382"/>
    <w:rsid w:val="003B02D6"/>
    <w:rsid w:val="003B4017"/>
    <w:rsid w:val="003B48C9"/>
    <w:rsid w:val="003B7004"/>
    <w:rsid w:val="003C0824"/>
    <w:rsid w:val="003C3A0D"/>
    <w:rsid w:val="003C415D"/>
    <w:rsid w:val="003D06E1"/>
    <w:rsid w:val="003D1DC2"/>
    <w:rsid w:val="003D3038"/>
    <w:rsid w:val="003D3E81"/>
    <w:rsid w:val="003D4AF2"/>
    <w:rsid w:val="003D4E62"/>
    <w:rsid w:val="003D7468"/>
    <w:rsid w:val="003E0126"/>
    <w:rsid w:val="003E019B"/>
    <w:rsid w:val="003E32BB"/>
    <w:rsid w:val="003E4476"/>
    <w:rsid w:val="003E562A"/>
    <w:rsid w:val="003E64E9"/>
    <w:rsid w:val="003E686B"/>
    <w:rsid w:val="003E6A45"/>
    <w:rsid w:val="003E6E01"/>
    <w:rsid w:val="003E7900"/>
    <w:rsid w:val="003E7F73"/>
    <w:rsid w:val="003F690C"/>
    <w:rsid w:val="003F7BBB"/>
    <w:rsid w:val="00400EE1"/>
    <w:rsid w:val="004022D5"/>
    <w:rsid w:val="0040262E"/>
    <w:rsid w:val="00403921"/>
    <w:rsid w:val="00404628"/>
    <w:rsid w:val="00404782"/>
    <w:rsid w:val="00404A82"/>
    <w:rsid w:val="00404B9D"/>
    <w:rsid w:val="004050C9"/>
    <w:rsid w:val="004052EB"/>
    <w:rsid w:val="00406669"/>
    <w:rsid w:val="004107B1"/>
    <w:rsid w:val="00411552"/>
    <w:rsid w:val="00416245"/>
    <w:rsid w:val="00416266"/>
    <w:rsid w:val="0041733A"/>
    <w:rsid w:val="00417402"/>
    <w:rsid w:val="004174D0"/>
    <w:rsid w:val="004178A9"/>
    <w:rsid w:val="004209D7"/>
    <w:rsid w:val="00421E09"/>
    <w:rsid w:val="00423DC2"/>
    <w:rsid w:val="00425BA7"/>
    <w:rsid w:val="00426761"/>
    <w:rsid w:val="0042740B"/>
    <w:rsid w:val="00427CE8"/>
    <w:rsid w:val="00430565"/>
    <w:rsid w:val="00433CA6"/>
    <w:rsid w:val="004352B1"/>
    <w:rsid w:val="0043542A"/>
    <w:rsid w:val="004375FB"/>
    <w:rsid w:val="00437BD9"/>
    <w:rsid w:val="00440A07"/>
    <w:rsid w:val="00440AA6"/>
    <w:rsid w:val="004428AE"/>
    <w:rsid w:val="00445609"/>
    <w:rsid w:val="004475B5"/>
    <w:rsid w:val="00447DE4"/>
    <w:rsid w:val="00450FA3"/>
    <w:rsid w:val="00452F2D"/>
    <w:rsid w:val="0045312A"/>
    <w:rsid w:val="004553A5"/>
    <w:rsid w:val="00457B20"/>
    <w:rsid w:val="004620A7"/>
    <w:rsid w:val="0046371D"/>
    <w:rsid w:val="00465BB2"/>
    <w:rsid w:val="00465EB9"/>
    <w:rsid w:val="00466152"/>
    <w:rsid w:val="0046682F"/>
    <w:rsid w:val="00467231"/>
    <w:rsid w:val="00470CE6"/>
    <w:rsid w:val="00474521"/>
    <w:rsid w:val="00474AE2"/>
    <w:rsid w:val="004774A8"/>
    <w:rsid w:val="00480295"/>
    <w:rsid w:val="004818CE"/>
    <w:rsid w:val="004820D7"/>
    <w:rsid w:val="0048244A"/>
    <w:rsid w:val="00482586"/>
    <w:rsid w:val="00484C62"/>
    <w:rsid w:val="00485866"/>
    <w:rsid w:val="00485BBE"/>
    <w:rsid w:val="0048622E"/>
    <w:rsid w:val="00486FEB"/>
    <w:rsid w:val="0048759D"/>
    <w:rsid w:val="00487E2B"/>
    <w:rsid w:val="00487E8D"/>
    <w:rsid w:val="004919B4"/>
    <w:rsid w:val="00492C5B"/>
    <w:rsid w:val="004932AB"/>
    <w:rsid w:val="004936B8"/>
    <w:rsid w:val="00494700"/>
    <w:rsid w:val="0049591E"/>
    <w:rsid w:val="0049601B"/>
    <w:rsid w:val="004965F5"/>
    <w:rsid w:val="00496EA2"/>
    <w:rsid w:val="004A0247"/>
    <w:rsid w:val="004A1644"/>
    <w:rsid w:val="004A486A"/>
    <w:rsid w:val="004A4A6B"/>
    <w:rsid w:val="004B133D"/>
    <w:rsid w:val="004B15ED"/>
    <w:rsid w:val="004B1EE7"/>
    <w:rsid w:val="004B42DF"/>
    <w:rsid w:val="004B5511"/>
    <w:rsid w:val="004B5B49"/>
    <w:rsid w:val="004B6922"/>
    <w:rsid w:val="004B74DE"/>
    <w:rsid w:val="004B758D"/>
    <w:rsid w:val="004C2DED"/>
    <w:rsid w:val="004C36AB"/>
    <w:rsid w:val="004C3BA4"/>
    <w:rsid w:val="004C3C39"/>
    <w:rsid w:val="004C3D72"/>
    <w:rsid w:val="004C545B"/>
    <w:rsid w:val="004C6CBF"/>
    <w:rsid w:val="004D4981"/>
    <w:rsid w:val="004D5A16"/>
    <w:rsid w:val="004D6BB7"/>
    <w:rsid w:val="004D732A"/>
    <w:rsid w:val="004D7CA5"/>
    <w:rsid w:val="004E0273"/>
    <w:rsid w:val="004E036A"/>
    <w:rsid w:val="004E2CFD"/>
    <w:rsid w:val="004E405B"/>
    <w:rsid w:val="004E7293"/>
    <w:rsid w:val="004F0720"/>
    <w:rsid w:val="004F08FB"/>
    <w:rsid w:val="004F0917"/>
    <w:rsid w:val="004F1B65"/>
    <w:rsid w:val="004F1DA1"/>
    <w:rsid w:val="004F211D"/>
    <w:rsid w:val="004F2FB4"/>
    <w:rsid w:val="004F3EC8"/>
    <w:rsid w:val="004F40E3"/>
    <w:rsid w:val="004F538A"/>
    <w:rsid w:val="004F79D0"/>
    <w:rsid w:val="00502B66"/>
    <w:rsid w:val="005039E8"/>
    <w:rsid w:val="00504D38"/>
    <w:rsid w:val="00505CEC"/>
    <w:rsid w:val="00510A79"/>
    <w:rsid w:val="00511EF9"/>
    <w:rsid w:val="00512F77"/>
    <w:rsid w:val="00513FB9"/>
    <w:rsid w:val="00514A18"/>
    <w:rsid w:val="005168EB"/>
    <w:rsid w:val="0052062B"/>
    <w:rsid w:val="00520C01"/>
    <w:rsid w:val="00522EE6"/>
    <w:rsid w:val="00523BA4"/>
    <w:rsid w:val="00530CDB"/>
    <w:rsid w:val="005318AB"/>
    <w:rsid w:val="0053224F"/>
    <w:rsid w:val="005329BF"/>
    <w:rsid w:val="005366E3"/>
    <w:rsid w:val="00536A94"/>
    <w:rsid w:val="005413BF"/>
    <w:rsid w:val="0054143D"/>
    <w:rsid w:val="00542247"/>
    <w:rsid w:val="00543A97"/>
    <w:rsid w:val="00543B11"/>
    <w:rsid w:val="005475D2"/>
    <w:rsid w:val="0055064A"/>
    <w:rsid w:val="005524D5"/>
    <w:rsid w:val="00553C0A"/>
    <w:rsid w:val="00555854"/>
    <w:rsid w:val="00556384"/>
    <w:rsid w:val="005575D2"/>
    <w:rsid w:val="005638DA"/>
    <w:rsid w:val="00563EDB"/>
    <w:rsid w:val="005644F0"/>
    <w:rsid w:val="00565714"/>
    <w:rsid w:val="00565953"/>
    <w:rsid w:val="00567022"/>
    <w:rsid w:val="00570A6B"/>
    <w:rsid w:val="00570D1C"/>
    <w:rsid w:val="00573FB3"/>
    <w:rsid w:val="00574C5E"/>
    <w:rsid w:val="00576F32"/>
    <w:rsid w:val="0057766C"/>
    <w:rsid w:val="005776AB"/>
    <w:rsid w:val="00580210"/>
    <w:rsid w:val="005812EC"/>
    <w:rsid w:val="005820B8"/>
    <w:rsid w:val="005824F7"/>
    <w:rsid w:val="00583EF4"/>
    <w:rsid w:val="0059146B"/>
    <w:rsid w:val="00591BC7"/>
    <w:rsid w:val="00592035"/>
    <w:rsid w:val="00593868"/>
    <w:rsid w:val="0059575B"/>
    <w:rsid w:val="00597A52"/>
    <w:rsid w:val="00597B2C"/>
    <w:rsid w:val="005A1FCB"/>
    <w:rsid w:val="005A34B5"/>
    <w:rsid w:val="005A47C5"/>
    <w:rsid w:val="005A4AC9"/>
    <w:rsid w:val="005A7C88"/>
    <w:rsid w:val="005B0936"/>
    <w:rsid w:val="005B0A5E"/>
    <w:rsid w:val="005B6927"/>
    <w:rsid w:val="005B7166"/>
    <w:rsid w:val="005B7686"/>
    <w:rsid w:val="005C05B2"/>
    <w:rsid w:val="005C09C2"/>
    <w:rsid w:val="005C3617"/>
    <w:rsid w:val="005C44D1"/>
    <w:rsid w:val="005D00FF"/>
    <w:rsid w:val="005D09BA"/>
    <w:rsid w:val="005D201B"/>
    <w:rsid w:val="005D2585"/>
    <w:rsid w:val="005D2B0A"/>
    <w:rsid w:val="005D461E"/>
    <w:rsid w:val="005D4714"/>
    <w:rsid w:val="005D67F0"/>
    <w:rsid w:val="005E053E"/>
    <w:rsid w:val="005E220F"/>
    <w:rsid w:val="005E23D1"/>
    <w:rsid w:val="005E370F"/>
    <w:rsid w:val="005E6451"/>
    <w:rsid w:val="005F0BC0"/>
    <w:rsid w:val="005F11A4"/>
    <w:rsid w:val="005F186A"/>
    <w:rsid w:val="005F18E1"/>
    <w:rsid w:val="005F1B4A"/>
    <w:rsid w:val="005F25BF"/>
    <w:rsid w:val="005F3972"/>
    <w:rsid w:val="005F399E"/>
    <w:rsid w:val="005F3A41"/>
    <w:rsid w:val="005F4E70"/>
    <w:rsid w:val="00601838"/>
    <w:rsid w:val="00602971"/>
    <w:rsid w:val="00603F35"/>
    <w:rsid w:val="00603FB4"/>
    <w:rsid w:val="00605675"/>
    <w:rsid w:val="00606CD9"/>
    <w:rsid w:val="00607266"/>
    <w:rsid w:val="00607657"/>
    <w:rsid w:val="006105EB"/>
    <w:rsid w:val="00610EDA"/>
    <w:rsid w:val="006110F5"/>
    <w:rsid w:val="006118AF"/>
    <w:rsid w:val="0061211E"/>
    <w:rsid w:val="00613DA4"/>
    <w:rsid w:val="00615C10"/>
    <w:rsid w:val="00615E89"/>
    <w:rsid w:val="0061742A"/>
    <w:rsid w:val="0062061D"/>
    <w:rsid w:val="006213CE"/>
    <w:rsid w:val="0062387A"/>
    <w:rsid w:val="00626AA3"/>
    <w:rsid w:val="00626F26"/>
    <w:rsid w:val="0062717A"/>
    <w:rsid w:val="006279DB"/>
    <w:rsid w:val="006306E4"/>
    <w:rsid w:val="00632756"/>
    <w:rsid w:val="006359EF"/>
    <w:rsid w:val="00635C16"/>
    <w:rsid w:val="00635D13"/>
    <w:rsid w:val="006364ED"/>
    <w:rsid w:val="00640C8E"/>
    <w:rsid w:val="0064130E"/>
    <w:rsid w:val="00642B26"/>
    <w:rsid w:val="00645D53"/>
    <w:rsid w:val="006519B9"/>
    <w:rsid w:val="00655268"/>
    <w:rsid w:val="00661023"/>
    <w:rsid w:val="00662257"/>
    <w:rsid w:val="00663979"/>
    <w:rsid w:val="0066470D"/>
    <w:rsid w:val="00664D17"/>
    <w:rsid w:val="00665820"/>
    <w:rsid w:val="00665E1F"/>
    <w:rsid w:val="00666151"/>
    <w:rsid w:val="0066638D"/>
    <w:rsid w:val="00666D4F"/>
    <w:rsid w:val="00666FA7"/>
    <w:rsid w:val="0067141E"/>
    <w:rsid w:val="00671AA2"/>
    <w:rsid w:val="00675838"/>
    <w:rsid w:val="00676218"/>
    <w:rsid w:val="006762DE"/>
    <w:rsid w:val="0067689A"/>
    <w:rsid w:val="00677CC6"/>
    <w:rsid w:val="00681894"/>
    <w:rsid w:val="00681978"/>
    <w:rsid w:val="00682916"/>
    <w:rsid w:val="0068364E"/>
    <w:rsid w:val="00683F3F"/>
    <w:rsid w:val="00684163"/>
    <w:rsid w:val="0068511B"/>
    <w:rsid w:val="006869D2"/>
    <w:rsid w:val="00692CF7"/>
    <w:rsid w:val="006936A8"/>
    <w:rsid w:val="00693B68"/>
    <w:rsid w:val="00694470"/>
    <w:rsid w:val="006952FF"/>
    <w:rsid w:val="00696C61"/>
    <w:rsid w:val="00697040"/>
    <w:rsid w:val="00697A98"/>
    <w:rsid w:val="00697CA1"/>
    <w:rsid w:val="00697D44"/>
    <w:rsid w:val="006A1401"/>
    <w:rsid w:val="006A3305"/>
    <w:rsid w:val="006A4009"/>
    <w:rsid w:val="006A4B93"/>
    <w:rsid w:val="006A56CE"/>
    <w:rsid w:val="006A6A75"/>
    <w:rsid w:val="006A73AA"/>
    <w:rsid w:val="006A7766"/>
    <w:rsid w:val="006A7E95"/>
    <w:rsid w:val="006B1FCA"/>
    <w:rsid w:val="006C048D"/>
    <w:rsid w:val="006C284F"/>
    <w:rsid w:val="006C592A"/>
    <w:rsid w:val="006C7C26"/>
    <w:rsid w:val="006D0DFB"/>
    <w:rsid w:val="006D1906"/>
    <w:rsid w:val="006D5505"/>
    <w:rsid w:val="006D64D2"/>
    <w:rsid w:val="006D76E7"/>
    <w:rsid w:val="006D7D19"/>
    <w:rsid w:val="006E1848"/>
    <w:rsid w:val="006E2367"/>
    <w:rsid w:val="006E354D"/>
    <w:rsid w:val="006E37BF"/>
    <w:rsid w:val="006E3D4F"/>
    <w:rsid w:val="006E6C7F"/>
    <w:rsid w:val="006F0C54"/>
    <w:rsid w:val="006F10C7"/>
    <w:rsid w:val="006F364D"/>
    <w:rsid w:val="006F4E99"/>
    <w:rsid w:val="00701652"/>
    <w:rsid w:val="007019C8"/>
    <w:rsid w:val="00703CB7"/>
    <w:rsid w:val="0070627C"/>
    <w:rsid w:val="0070696F"/>
    <w:rsid w:val="00706AF0"/>
    <w:rsid w:val="0071026E"/>
    <w:rsid w:val="0071372B"/>
    <w:rsid w:val="0071456F"/>
    <w:rsid w:val="007264EA"/>
    <w:rsid w:val="0073297F"/>
    <w:rsid w:val="007366DB"/>
    <w:rsid w:val="00737679"/>
    <w:rsid w:val="0074046F"/>
    <w:rsid w:val="00742A56"/>
    <w:rsid w:val="007437A6"/>
    <w:rsid w:val="00743D8C"/>
    <w:rsid w:val="00744528"/>
    <w:rsid w:val="00744889"/>
    <w:rsid w:val="0074614F"/>
    <w:rsid w:val="0074784E"/>
    <w:rsid w:val="007527B8"/>
    <w:rsid w:val="0075432A"/>
    <w:rsid w:val="007559F4"/>
    <w:rsid w:val="00761205"/>
    <w:rsid w:val="00761486"/>
    <w:rsid w:val="00762CC9"/>
    <w:rsid w:val="007658B9"/>
    <w:rsid w:val="00765D7C"/>
    <w:rsid w:val="00765EA1"/>
    <w:rsid w:val="00771123"/>
    <w:rsid w:val="007737E3"/>
    <w:rsid w:val="00777A9B"/>
    <w:rsid w:val="007826EB"/>
    <w:rsid w:val="00782B7A"/>
    <w:rsid w:val="00782E88"/>
    <w:rsid w:val="00783567"/>
    <w:rsid w:val="007923D9"/>
    <w:rsid w:val="007927A2"/>
    <w:rsid w:val="00793B20"/>
    <w:rsid w:val="00795677"/>
    <w:rsid w:val="00797077"/>
    <w:rsid w:val="007A2959"/>
    <w:rsid w:val="007A614F"/>
    <w:rsid w:val="007A64CA"/>
    <w:rsid w:val="007A65ED"/>
    <w:rsid w:val="007A7555"/>
    <w:rsid w:val="007B015B"/>
    <w:rsid w:val="007B0DDA"/>
    <w:rsid w:val="007B2774"/>
    <w:rsid w:val="007B37DA"/>
    <w:rsid w:val="007B5B53"/>
    <w:rsid w:val="007B6211"/>
    <w:rsid w:val="007B6AED"/>
    <w:rsid w:val="007B6D97"/>
    <w:rsid w:val="007B72B3"/>
    <w:rsid w:val="007C527E"/>
    <w:rsid w:val="007C6755"/>
    <w:rsid w:val="007D0057"/>
    <w:rsid w:val="007D38AA"/>
    <w:rsid w:val="007D3B43"/>
    <w:rsid w:val="007D4D78"/>
    <w:rsid w:val="007D6B94"/>
    <w:rsid w:val="007D7F51"/>
    <w:rsid w:val="007E041C"/>
    <w:rsid w:val="007E1161"/>
    <w:rsid w:val="007E1B0E"/>
    <w:rsid w:val="007E58DA"/>
    <w:rsid w:val="007F1A9A"/>
    <w:rsid w:val="007F28FB"/>
    <w:rsid w:val="007F3CF5"/>
    <w:rsid w:val="007F3EC5"/>
    <w:rsid w:val="00800AD1"/>
    <w:rsid w:val="0080124D"/>
    <w:rsid w:val="00801C5C"/>
    <w:rsid w:val="00802BE0"/>
    <w:rsid w:val="00803E9C"/>
    <w:rsid w:val="00804B3A"/>
    <w:rsid w:val="00807134"/>
    <w:rsid w:val="00810035"/>
    <w:rsid w:val="00810B1F"/>
    <w:rsid w:val="008119E2"/>
    <w:rsid w:val="00813D3C"/>
    <w:rsid w:val="0081460E"/>
    <w:rsid w:val="00815FFC"/>
    <w:rsid w:val="008171B7"/>
    <w:rsid w:val="008201CD"/>
    <w:rsid w:val="00820E67"/>
    <w:rsid w:val="0082323C"/>
    <w:rsid w:val="00824B21"/>
    <w:rsid w:val="00826AEC"/>
    <w:rsid w:val="00827555"/>
    <w:rsid w:val="00831CB5"/>
    <w:rsid w:val="00831DF6"/>
    <w:rsid w:val="00833226"/>
    <w:rsid w:val="00834A66"/>
    <w:rsid w:val="00842D7C"/>
    <w:rsid w:val="008445E6"/>
    <w:rsid w:val="00844696"/>
    <w:rsid w:val="00853F65"/>
    <w:rsid w:val="00854D19"/>
    <w:rsid w:val="00855288"/>
    <w:rsid w:val="008556CD"/>
    <w:rsid w:val="00860326"/>
    <w:rsid w:val="00860D29"/>
    <w:rsid w:val="00863019"/>
    <w:rsid w:val="00864076"/>
    <w:rsid w:val="008649D2"/>
    <w:rsid w:val="00864F98"/>
    <w:rsid w:val="00867C1E"/>
    <w:rsid w:val="008716A0"/>
    <w:rsid w:val="00873657"/>
    <w:rsid w:val="0087382B"/>
    <w:rsid w:val="00874C54"/>
    <w:rsid w:val="00874E42"/>
    <w:rsid w:val="00874EBE"/>
    <w:rsid w:val="008759A7"/>
    <w:rsid w:val="0088040B"/>
    <w:rsid w:val="00881A5D"/>
    <w:rsid w:val="0088245B"/>
    <w:rsid w:val="00882C93"/>
    <w:rsid w:val="00884580"/>
    <w:rsid w:val="00884BE0"/>
    <w:rsid w:val="0089014B"/>
    <w:rsid w:val="008913B5"/>
    <w:rsid w:val="00892977"/>
    <w:rsid w:val="00893DEF"/>
    <w:rsid w:val="008963F7"/>
    <w:rsid w:val="00896769"/>
    <w:rsid w:val="00896B84"/>
    <w:rsid w:val="00896C6A"/>
    <w:rsid w:val="008A01AF"/>
    <w:rsid w:val="008A0ACC"/>
    <w:rsid w:val="008A30A6"/>
    <w:rsid w:val="008A331A"/>
    <w:rsid w:val="008A4227"/>
    <w:rsid w:val="008A46D4"/>
    <w:rsid w:val="008A4935"/>
    <w:rsid w:val="008A6B0B"/>
    <w:rsid w:val="008A7417"/>
    <w:rsid w:val="008A7C6C"/>
    <w:rsid w:val="008B043E"/>
    <w:rsid w:val="008B2125"/>
    <w:rsid w:val="008B2604"/>
    <w:rsid w:val="008B35A3"/>
    <w:rsid w:val="008B5CC9"/>
    <w:rsid w:val="008B5FD3"/>
    <w:rsid w:val="008C2E5A"/>
    <w:rsid w:val="008C3509"/>
    <w:rsid w:val="008C4811"/>
    <w:rsid w:val="008C6010"/>
    <w:rsid w:val="008C601E"/>
    <w:rsid w:val="008C617D"/>
    <w:rsid w:val="008C7383"/>
    <w:rsid w:val="008D15E2"/>
    <w:rsid w:val="008D2339"/>
    <w:rsid w:val="008D3073"/>
    <w:rsid w:val="008D4B24"/>
    <w:rsid w:val="008D4B3D"/>
    <w:rsid w:val="008D5543"/>
    <w:rsid w:val="008D5B61"/>
    <w:rsid w:val="008D6689"/>
    <w:rsid w:val="008D688E"/>
    <w:rsid w:val="008E2EA3"/>
    <w:rsid w:val="008E4410"/>
    <w:rsid w:val="008E4B6E"/>
    <w:rsid w:val="008E7399"/>
    <w:rsid w:val="008E7C2F"/>
    <w:rsid w:val="008F10BC"/>
    <w:rsid w:val="008F19BA"/>
    <w:rsid w:val="008F42E0"/>
    <w:rsid w:val="008F545E"/>
    <w:rsid w:val="008F5D12"/>
    <w:rsid w:val="00900A82"/>
    <w:rsid w:val="00901C25"/>
    <w:rsid w:val="0090367C"/>
    <w:rsid w:val="009036CC"/>
    <w:rsid w:val="00904632"/>
    <w:rsid w:val="00907A49"/>
    <w:rsid w:val="009111E4"/>
    <w:rsid w:val="00911931"/>
    <w:rsid w:val="0091224B"/>
    <w:rsid w:val="00912626"/>
    <w:rsid w:val="00913774"/>
    <w:rsid w:val="00914657"/>
    <w:rsid w:val="00915132"/>
    <w:rsid w:val="0091691A"/>
    <w:rsid w:val="00920E7C"/>
    <w:rsid w:val="00923F95"/>
    <w:rsid w:val="00924107"/>
    <w:rsid w:val="0092412C"/>
    <w:rsid w:val="009243CD"/>
    <w:rsid w:val="00927120"/>
    <w:rsid w:val="00927332"/>
    <w:rsid w:val="00927A66"/>
    <w:rsid w:val="00927A88"/>
    <w:rsid w:val="00927E99"/>
    <w:rsid w:val="009306D2"/>
    <w:rsid w:val="009317DC"/>
    <w:rsid w:val="00931B9A"/>
    <w:rsid w:val="00933D05"/>
    <w:rsid w:val="0093708D"/>
    <w:rsid w:val="00937186"/>
    <w:rsid w:val="00937DFC"/>
    <w:rsid w:val="009409A4"/>
    <w:rsid w:val="00941011"/>
    <w:rsid w:val="009417CD"/>
    <w:rsid w:val="00941DDE"/>
    <w:rsid w:val="00942AFC"/>
    <w:rsid w:val="00944998"/>
    <w:rsid w:val="00945BE1"/>
    <w:rsid w:val="00953AF2"/>
    <w:rsid w:val="009550C5"/>
    <w:rsid w:val="00955E7E"/>
    <w:rsid w:val="00957D82"/>
    <w:rsid w:val="0096267B"/>
    <w:rsid w:val="00962DE1"/>
    <w:rsid w:val="00963CBC"/>
    <w:rsid w:val="009645D4"/>
    <w:rsid w:val="00970080"/>
    <w:rsid w:val="00970575"/>
    <w:rsid w:val="0097114D"/>
    <w:rsid w:val="00972E56"/>
    <w:rsid w:val="00972FD5"/>
    <w:rsid w:val="00973D95"/>
    <w:rsid w:val="00973E96"/>
    <w:rsid w:val="00974858"/>
    <w:rsid w:val="00974B3C"/>
    <w:rsid w:val="00976A4B"/>
    <w:rsid w:val="009777DE"/>
    <w:rsid w:val="00977D4F"/>
    <w:rsid w:val="00981698"/>
    <w:rsid w:val="0098206F"/>
    <w:rsid w:val="00982CD5"/>
    <w:rsid w:val="0098567F"/>
    <w:rsid w:val="00985EE4"/>
    <w:rsid w:val="009861D0"/>
    <w:rsid w:val="00986403"/>
    <w:rsid w:val="0098735F"/>
    <w:rsid w:val="00987733"/>
    <w:rsid w:val="00987865"/>
    <w:rsid w:val="00990C04"/>
    <w:rsid w:val="00992703"/>
    <w:rsid w:val="00993EB7"/>
    <w:rsid w:val="00994C8B"/>
    <w:rsid w:val="009957C4"/>
    <w:rsid w:val="00996855"/>
    <w:rsid w:val="009A0E40"/>
    <w:rsid w:val="009A150D"/>
    <w:rsid w:val="009A3895"/>
    <w:rsid w:val="009A4581"/>
    <w:rsid w:val="009A7751"/>
    <w:rsid w:val="009A7E8E"/>
    <w:rsid w:val="009B0975"/>
    <w:rsid w:val="009B0CDA"/>
    <w:rsid w:val="009B13AB"/>
    <w:rsid w:val="009B351B"/>
    <w:rsid w:val="009B45C3"/>
    <w:rsid w:val="009B478E"/>
    <w:rsid w:val="009B5692"/>
    <w:rsid w:val="009C1CAA"/>
    <w:rsid w:val="009C2BE6"/>
    <w:rsid w:val="009C47BF"/>
    <w:rsid w:val="009C4CA0"/>
    <w:rsid w:val="009C604E"/>
    <w:rsid w:val="009C6342"/>
    <w:rsid w:val="009D105E"/>
    <w:rsid w:val="009D2112"/>
    <w:rsid w:val="009D28D1"/>
    <w:rsid w:val="009D2CC9"/>
    <w:rsid w:val="009D5BD8"/>
    <w:rsid w:val="009D7699"/>
    <w:rsid w:val="009E070E"/>
    <w:rsid w:val="009E109C"/>
    <w:rsid w:val="009E31F9"/>
    <w:rsid w:val="009E5D78"/>
    <w:rsid w:val="009E6E66"/>
    <w:rsid w:val="009E7E36"/>
    <w:rsid w:val="009F04F5"/>
    <w:rsid w:val="009F09CE"/>
    <w:rsid w:val="009F398E"/>
    <w:rsid w:val="009F3B34"/>
    <w:rsid w:val="009F5B2C"/>
    <w:rsid w:val="009F5F2D"/>
    <w:rsid w:val="009F6076"/>
    <w:rsid w:val="009F6AA8"/>
    <w:rsid w:val="00A03F2D"/>
    <w:rsid w:val="00A0532E"/>
    <w:rsid w:val="00A05380"/>
    <w:rsid w:val="00A06E04"/>
    <w:rsid w:val="00A07042"/>
    <w:rsid w:val="00A10046"/>
    <w:rsid w:val="00A10538"/>
    <w:rsid w:val="00A12584"/>
    <w:rsid w:val="00A151C5"/>
    <w:rsid w:val="00A17E08"/>
    <w:rsid w:val="00A206A9"/>
    <w:rsid w:val="00A20CD6"/>
    <w:rsid w:val="00A2151C"/>
    <w:rsid w:val="00A23358"/>
    <w:rsid w:val="00A24578"/>
    <w:rsid w:val="00A24778"/>
    <w:rsid w:val="00A267CE"/>
    <w:rsid w:val="00A2735D"/>
    <w:rsid w:val="00A31DD2"/>
    <w:rsid w:val="00A3254A"/>
    <w:rsid w:val="00A32B01"/>
    <w:rsid w:val="00A3486E"/>
    <w:rsid w:val="00A42BA8"/>
    <w:rsid w:val="00A42D02"/>
    <w:rsid w:val="00A43D75"/>
    <w:rsid w:val="00A454E6"/>
    <w:rsid w:val="00A45D51"/>
    <w:rsid w:val="00A464AC"/>
    <w:rsid w:val="00A502D1"/>
    <w:rsid w:val="00A510E7"/>
    <w:rsid w:val="00A5281C"/>
    <w:rsid w:val="00A52EC7"/>
    <w:rsid w:val="00A5321B"/>
    <w:rsid w:val="00A545CA"/>
    <w:rsid w:val="00A57616"/>
    <w:rsid w:val="00A57B08"/>
    <w:rsid w:val="00A614E7"/>
    <w:rsid w:val="00A61B0C"/>
    <w:rsid w:val="00A628CF"/>
    <w:rsid w:val="00A63103"/>
    <w:rsid w:val="00A641C4"/>
    <w:rsid w:val="00A6466D"/>
    <w:rsid w:val="00A6655D"/>
    <w:rsid w:val="00A71D5F"/>
    <w:rsid w:val="00A725AE"/>
    <w:rsid w:val="00A75186"/>
    <w:rsid w:val="00A77798"/>
    <w:rsid w:val="00A7780A"/>
    <w:rsid w:val="00A8170D"/>
    <w:rsid w:val="00A817D3"/>
    <w:rsid w:val="00A83182"/>
    <w:rsid w:val="00A837E5"/>
    <w:rsid w:val="00A847D4"/>
    <w:rsid w:val="00A9163C"/>
    <w:rsid w:val="00A92127"/>
    <w:rsid w:val="00A924E1"/>
    <w:rsid w:val="00A95273"/>
    <w:rsid w:val="00AA2042"/>
    <w:rsid w:val="00AA23AF"/>
    <w:rsid w:val="00AA40A2"/>
    <w:rsid w:val="00AA6935"/>
    <w:rsid w:val="00AA7992"/>
    <w:rsid w:val="00AB063A"/>
    <w:rsid w:val="00AB07B2"/>
    <w:rsid w:val="00AB0D30"/>
    <w:rsid w:val="00AB231B"/>
    <w:rsid w:val="00AB2F8B"/>
    <w:rsid w:val="00AB3649"/>
    <w:rsid w:val="00AB399C"/>
    <w:rsid w:val="00AB4B8D"/>
    <w:rsid w:val="00AB5BBA"/>
    <w:rsid w:val="00AB6A32"/>
    <w:rsid w:val="00AB75F0"/>
    <w:rsid w:val="00AB79FD"/>
    <w:rsid w:val="00AC2C32"/>
    <w:rsid w:val="00AC3F10"/>
    <w:rsid w:val="00AC44F3"/>
    <w:rsid w:val="00AC4F1D"/>
    <w:rsid w:val="00AC54F2"/>
    <w:rsid w:val="00AC7375"/>
    <w:rsid w:val="00AC7A2B"/>
    <w:rsid w:val="00AC7F33"/>
    <w:rsid w:val="00AD058E"/>
    <w:rsid w:val="00AD0EA3"/>
    <w:rsid w:val="00AD10BA"/>
    <w:rsid w:val="00AD14C6"/>
    <w:rsid w:val="00AD17A7"/>
    <w:rsid w:val="00AD1A78"/>
    <w:rsid w:val="00AD325E"/>
    <w:rsid w:val="00AD3474"/>
    <w:rsid w:val="00AD4FE0"/>
    <w:rsid w:val="00AD6742"/>
    <w:rsid w:val="00AD7B48"/>
    <w:rsid w:val="00AE06E0"/>
    <w:rsid w:val="00AE35DB"/>
    <w:rsid w:val="00AE4083"/>
    <w:rsid w:val="00AF02CC"/>
    <w:rsid w:val="00AF0607"/>
    <w:rsid w:val="00AF169B"/>
    <w:rsid w:val="00AF181A"/>
    <w:rsid w:val="00AF1AC4"/>
    <w:rsid w:val="00AF1C9D"/>
    <w:rsid w:val="00AF2756"/>
    <w:rsid w:val="00AF30E3"/>
    <w:rsid w:val="00AF5EB0"/>
    <w:rsid w:val="00AF627B"/>
    <w:rsid w:val="00AF6CA3"/>
    <w:rsid w:val="00AF7432"/>
    <w:rsid w:val="00B0045B"/>
    <w:rsid w:val="00B00548"/>
    <w:rsid w:val="00B014D3"/>
    <w:rsid w:val="00B02715"/>
    <w:rsid w:val="00B03091"/>
    <w:rsid w:val="00B03408"/>
    <w:rsid w:val="00B04E14"/>
    <w:rsid w:val="00B05F27"/>
    <w:rsid w:val="00B0793B"/>
    <w:rsid w:val="00B1207F"/>
    <w:rsid w:val="00B13828"/>
    <w:rsid w:val="00B15EF1"/>
    <w:rsid w:val="00B178DC"/>
    <w:rsid w:val="00B17C88"/>
    <w:rsid w:val="00B24249"/>
    <w:rsid w:val="00B24500"/>
    <w:rsid w:val="00B30079"/>
    <w:rsid w:val="00B300DF"/>
    <w:rsid w:val="00B315FD"/>
    <w:rsid w:val="00B31AF6"/>
    <w:rsid w:val="00B31CF0"/>
    <w:rsid w:val="00B32DB1"/>
    <w:rsid w:val="00B34994"/>
    <w:rsid w:val="00B35651"/>
    <w:rsid w:val="00B35E5A"/>
    <w:rsid w:val="00B36319"/>
    <w:rsid w:val="00B36417"/>
    <w:rsid w:val="00B37D7F"/>
    <w:rsid w:val="00B41918"/>
    <w:rsid w:val="00B44CED"/>
    <w:rsid w:val="00B459E0"/>
    <w:rsid w:val="00B46657"/>
    <w:rsid w:val="00B46817"/>
    <w:rsid w:val="00B46A0F"/>
    <w:rsid w:val="00B500B9"/>
    <w:rsid w:val="00B50FEB"/>
    <w:rsid w:val="00B511CA"/>
    <w:rsid w:val="00B538BA"/>
    <w:rsid w:val="00B547D3"/>
    <w:rsid w:val="00B54D79"/>
    <w:rsid w:val="00B5590A"/>
    <w:rsid w:val="00B615A8"/>
    <w:rsid w:val="00B61C82"/>
    <w:rsid w:val="00B651AC"/>
    <w:rsid w:val="00B66847"/>
    <w:rsid w:val="00B66DAB"/>
    <w:rsid w:val="00B70E79"/>
    <w:rsid w:val="00B7245D"/>
    <w:rsid w:val="00B77FF0"/>
    <w:rsid w:val="00B80F76"/>
    <w:rsid w:val="00B81ECD"/>
    <w:rsid w:val="00B844BB"/>
    <w:rsid w:val="00B865AE"/>
    <w:rsid w:val="00B878D0"/>
    <w:rsid w:val="00B90BC7"/>
    <w:rsid w:val="00B91B24"/>
    <w:rsid w:val="00B91B5F"/>
    <w:rsid w:val="00B920EE"/>
    <w:rsid w:val="00B945B1"/>
    <w:rsid w:val="00B9550E"/>
    <w:rsid w:val="00B97D61"/>
    <w:rsid w:val="00BA0CFE"/>
    <w:rsid w:val="00BA37F6"/>
    <w:rsid w:val="00BA3AD4"/>
    <w:rsid w:val="00BA4D78"/>
    <w:rsid w:val="00BA64FD"/>
    <w:rsid w:val="00BA72B9"/>
    <w:rsid w:val="00BB02B6"/>
    <w:rsid w:val="00BB2687"/>
    <w:rsid w:val="00BB27A2"/>
    <w:rsid w:val="00BB4146"/>
    <w:rsid w:val="00BB65E7"/>
    <w:rsid w:val="00BC2397"/>
    <w:rsid w:val="00BC2712"/>
    <w:rsid w:val="00BC2C96"/>
    <w:rsid w:val="00BD056A"/>
    <w:rsid w:val="00BD0BDC"/>
    <w:rsid w:val="00BD357E"/>
    <w:rsid w:val="00BD435E"/>
    <w:rsid w:val="00BD65C6"/>
    <w:rsid w:val="00BD7F0F"/>
    <w:rsid w:val="00BE4079"/>
    <w:rsid w:val="00BE4233"/>
    <w:rsid w:val="00BE5EF8"/>
    <w:rsid w:val="00BE783D"/>
    <w:rsid w:val="00BF0597"/>
    <w:rsid w:val="00BF076D"/>
    <w:rsid w:val="00BF0A7E"/>
    <w:rsid w:val="00BF0ED5"/>
    <w:rsid w:val="00BF1570"/>
    <w:rsid w:val="00BF1A7F"/>
    <w:rsid w:val="00BF5FE5"/>
    <w:rsid w:val="00C00733"/>
    <w:rsid w:val="00C00FBD"/>
    <w:rsid w:val="00C03701"/>
    <w:rsid w:val="00C06D88"/>
    <w:rsid w:val="00C07C95"/>
    <w:rsid w:val="00C11B09"/>
    <w:rsid w:val="00C122B3"/>
    <w:rsid w:val="00C12B51"/>
    <w:rsid w:val="00C13001"/>
    <w:rsid w:val="00C163E5"/>
    <w:rsid w:val="00C169D8"/>
    <w:rsid w:val="00C174C4"/>
    <w:rsid w:val="00C20021"/>
    <w:rsid w:val="00C2040A"/>
    <w:rsid w:val="00C2111B"/>
    <w:rsid w:val="00C22705"/>
    <w:rsid w:val="00C22775"/>
    <w:rsid w:val="00C24911"/>
    <w:rsid w:val="00C258D7"/>
    <w:rsid w:val="00C27625"/>
    <w:rsid w:val="00C277BE"/>
    <w:rsid w:val="00C31626"/>
    <w:rsid w:val="00C33659"/>
    <w:rsid w:val="00C3367F"/>
    <w:rsid w:val="00C33B05"/>
    <w:rsid w:val="00C34C99"/>
    <w:rsid w:val="00C35EE5"/>
    <w:rsid w:val="00C3685D"/>
    <w:rsid w:val="00C36E27"/>
    <w:rsid w:val="00C36E7E"/>
    <w:rsid w:val="00C37B3D"/>
    <w:rsid w:val="00C37BDB"/>
    <w:rsid w:val="00C411A7"/>
    <w:rsid w:val="00C4131F"/>
    <w:rsid w:val="00C424CD"/>
    <w:rsid w:val="00C45499"/>
    <w:rsid w:val="00C4667C"/>
    <w:rsid w:val="00C4732E"/>
    <w:rsid w:val="00C475AA"/>
    <w:rsid w:val="00C511E4"/>
    <w:rsid w:val="00C51D0A"/>
    <w:rsid w:val="00C51E4E"/>
    <w:rsid w:val="00C530DA"/>
    <w:rsid w:val="00C532C6"/>
    <w:rsid w:val="00C56E2C"/>
    <w:rsid w:val="00C575F9"/>
    <w:rsid w:val="00C6095E"/>
    <w:rsid w:val="00C60E0F"/>
    <w:rsid w:val="00C61358"/>
    <w:rsid w:val="00C63922"/>
    <w:rsid w:val="00C63C97"/>
    <w:rsid w:val="00C64471"/>
    <w:rsid w:val="00C65E0F"/>
    <w:rsid w:val="00C662EC"/>
    <w:rsid w:val="00C67013"/>
    <w:rsid w:val="00C70033"/>
    <w:rsid w:val="00C7099C"/>
    <w:rsid w:val="00C71F8C"/>
    <w:rsid w:val="00C72EB9"/>
    <w:rsid w:val="00C74419"/>
    <w:rsid w:val="00C74F57"/>
    <w:rsid w:val="00C76AD4"/>
    <w:rsid w:val="00C76DC1"/>
    <w:rsid w:val="00C77C92"/>
    <w:rsid w:val="00C80268"/>
    <w:rsid w:val="00C80786"/>
    <w:rsid w:val="00C82F89"/>
    <w:rsid w:val="00C830BC"/>
    <w:rsid w:val="00C85125"/>
    <w:rsid w:val="00C85CC8"/>
    <w:rsid w:val="00C860AA"/>
    <w:rsid w:val="00C872D0"/>
    <w:rsid w:val="00C90ADA"/>
    <w:rsid w:val="00C93559"/>
    <w:rsid w:val="00C94A09"/>
    <w:rsid w:val="00C94AA8"/>
    <w:rsid w:val="00C9506D"/>
    <w:rsid w:val="00C954B1"/>
    <w:rsid w:val="00C95E16"/>
    <w:rsid w:val="00C9733D"/>
    <w:rsid w:val="00CA1F8C"/>
    <w:rsid w:val="00CA2CAF"/>
    <w:rsid w:val="00CA33CA"/>
    <w:rsid w:val="00CA3D80"/>
    <w:rsid w:val="00CB0EE0"/>
    <w:rsid w:val="00CB1228"/>
    <w:rsid w:val="00CB225D"/>
    <w:rsid w:val="00CB2F3A"/>
    <w:rsid w:val="00CB35F1"/>
    <w:rsid w:val="00CB415A"/>
    <w:rsid w:val="00CB5799"/>
    <w:rsid w:val="00CB59C9"/>
    <w:rsid w:val="00CB60DB"/>
    <w:rsid w:val="00CB66BF"/>
    <w:rsid w:val="00CB7FA1"/>
    <w:rsid w:val="00CC0A89"/>
    <w:rsid w:val="00CC3686"/>
    <w:rsid w:val="00CC4D8F"/>
    <w:rsid w:val="00CC5A8E"/>
    <w:rsid w:val="00CC5F3A"/>
    <w:rsid w:val="00CC7D34"/>
    <w:rsid w:val="00CC7DF6"/>
    <w:rsid w:val="00CD055A"/>
    <w:rsid w:val="00CD0594"/>
    <w:rsid w:val="00CD08CD"/>
    <w:rsid w:val="00CD15EE"/>
    <w:rsid w:val="00CD36E0"/>
    <w:rsid w:val="00CD3CB5"/>
    <w:rsid w:val="00CD427D"/>
    <w:rsid w:val="00CD56FD"/>
    <w:rsid w:val="00CD76A0"/>
    <w:rsid w:val="00CE04B6"/>
    <w:rsid w:val="00CE0F13"/>
    <w:rsid w:val="00CE1964"/>
    <w:rsid w:val="00CE2018"/>
    <w:rsid w:val="00CE46AA"/>
    <w:rsid w:val="00CE7202"/>
    <w:rsid w:val="00CF013D"/>
    <w:rsid w:val="00CF2782"/>
    <w:rsid w:val="00CF5B7A"/>
    <w:rsid w:val="00CF70CB"/>
    <w:rsid w:val="00CF7CD5"/>
    <w:rsid w:val="00D00FB0"/>
    <w:rsid w:val="00D03DDE"/>
    <w:rsid w:val="00D0567F"/>
    <w:rsid w:val="00D0645D"/>
    <w:rsid w:val="00D0655F"/>
    <w:rsid w:val="00D077FA"/>
    <w:rsid w:val="00D10BB5"/>
    <w:rsid w:val="00D10C76"/>
    <w:rsid w:val="00D1141A"/>
    <w:rsid w:val="00D118B2"/>
    <w:rsid w:val="00D12E54"/>
    <w:rsid w:val="00D13B7C"/>
    <w:rsid w:val="00D15178"/>
    <w:rsid w:val="00D176C1"/>
    <w:rsid w:val="00D178BE"/>
    <w:rsid w:val="00D17CF0"/>
    <w:rsid w:val="00D208BF"/>
    <w:rsid w:val="00D20E15"/>
    <w:rsid w:val="00D2154F"/>
    <w:rsid w:val="00D21577"/>
    <w:rsid w:val="00D220C5"/>
    <w:rsid w:val="00D25DB1"/>
    <w:rsid w:val="00D271CE"/>
    <w:rsid w:val="00D27A67"/>
    <w:rsid w:val="00D27CD8"/>
    <w:rsid w:val="00D31306"/>
    <w:rsid w:val="00D31448"/>
    <w:rsid w:val="00D32225"/>
    <w:rsid w:val="00D32A66"/>
    <w:rsid w:val="00D3612E"/>
    <w:rsid w:val="00D362BE"/>
    <w:rsid w:val="00D367E9"/>
    <w:rsid w:val="00D37A83"/>
    <w:rsid w:val="00D408B3"/>
    <w:rsid w:val="00D44BD6"/>
    <w:rsid w:val="00D454A6"/>
    <w:rsid w:val="00D45C72"/>
    <w:rsid w:val="00D5091B"/>
    <w:rsid w:val="00D50B67"/>
    <w:rsid w:val="00D51198"/>
    <w:rsid w:val="00D525D1"/>
    <w:rsid w:val="00D52E27"/>
    <w:rsid w:val="00D53F63"/>
    <w:rsid w:val="00D5597B"/>
    <w:rsid w:val="00D55F0C"/>
    <w:rsid w:val="00D57882"/>
    <w:rsid w:val="00D60BFD"/>
    <w:rsid w:val="00D63CD6"/>
    <w:rsid w:val="00D66C3C"/>
    <w:rsid w:val="00D70FC6"/>
    <w:rsid w:val="00D72BFE"/>
    <w:rsid w:val="00D735D2"/>
    <w:rsid w:val="00D755DA"/>
    <w:rsid w:val="00D76F5C"/>
    <w:rsid w:val="00D807D1"/>
    <w:rsid w:val="00D81464"/>
    <w:rsid w:val="00D858EA"/>
    <w:rsid w:val="00D85E3B"/>
    <w:rsid w:val="00D861E7"/>
    <w:rsid w:val="00D87368"/>
    <w:rsid w:val="00D87458"/>
    <w:rsid w:val="00D91541"/>
    <w:rsid w:val="00D94999"/>
    <w:rsid w:val="00D95A7A"/>
    <w:rsid w:val="00D96106"/>
    <w:rsid w:val="00DA1438"/>
    <w:rsid w:val="00DA17F4"/>
    <w:rsid w:val="00DA3CA3"/>
    <w:rsid w:val="00DA44ED"/>
    <w:rsid w:val="00DA4D57"/>
    <w:rsid w:val="00DA4ED8"/>
    <w:rsid w:val="00DA5842"/>
    <w:rsid w:val="00DA7768"/>
    <w:rsid w:val="00DB07DB"/>
    <w:rsid w:val="00DB16A8"/>
    <w:rsid w:val="00DB3A0B"/>
    <w:rsid w:val="00DB49A3"/>
    <w:rsid w:val="00DB5C18"/>
    <w:rsid w:val="00DC0B60"/>
    <w:rsid w:val="00DC654C"/>
    <w:rsid w:val="00DC6B6C"/>
    <w:rsid w:val="00DD5BFB"/>
    <w:rsid w:val="00DD7227"/>
    <w:rsid w:val="00DD731C"/>
    <w:rsid w:val="00DE08F3"/>
    <w:rsid w:val="00DE4ED4"/>
    <w:rsid w:val="00DF0E66"/>
    <w:rsid w:val="00DF18AA"/>
    <w:rsid w:val="00DF2432"/>
    <w:rsid w:val="00DF3763"/>
    <w:rsid w:val="00DF3784"/>
    <w:rsid w:val="00DF4341"/>
    <w:rsid w:val="00DF6071"/>
    <w:rsid w:val="00E00A30"/>
    <w:rsid w:val="00E011F5"/>
    <w:rsid w:val="00E014F3"/>
    <w:rsid w:val="00E02E1C"/>
    <w:rsid w:val="00E046CF"/>
    <w:rsid w:val="00E062EB"/>
    <w:rsid w:val="00E10297"/>
    <w:rsid w:val="00E12862"/>
    <w:rsid w:val="00E130ED"/>
    <w:rsid w:val="00E165F6"/>
    <w:rsid w:val="00E1792A"/>
    <w:rsid w:val="00E213A5"/>
    <w:rsid w:val="00E22272"/>
    <w:rsid w:val="00E22489"/>
    <w:rsid w:val="00E22D32"/>
    <w:rsid w:val="00E2384A"/>
    <w:rsid w:val="00E244FB"/>
    <w:rsid w:val="00E2481C"/>
    <w:rsid w:val="00E25E9D"/>
    <w:rsid w:val="00E2789B"/>
    <w:rsid w:val="00E27E30"/>
    <w:rsid w:val="00E30862"/>
    <w:rsid w:val="00E350FD"/>
    <w:rsid w:val="00E371F5"/>
    <w:rsid w:val="00E4151A"/>
    <w:rsid w:val="00E43A78"/>
    <w:rsid w:val="00E43B53"/>
    <w:rsid w:val="00E43EEE"/>
    <w:rsid w:val="00E448B8"/>
    <w:rsid w:val="00E45CAF"/>
    <w:rsid w:val="00E4661C"/>
    <w:rsid w:val="00E517C6"/>
    <w:rsid w:val="00E53895"/>
    <w:rsid w:val="00E55346"/>
    <w:rsid w:val="00E55356"/>
    <w:rsid w:val="00E57381"/>
    <w:rsid w:val="00E61023"/>
    <w:rsid w:val="00E61E7D"/>
    <w:rsid w:val="00E65833"/>
    <w:rsid w:val="00E67E1C"/>
    <w:rsid w:val="00E70BB4"/>
    <w:rsid w:val="00E7148F"/>
    <w:rsid w:val="00E7433A"/>
    <w:rsid w:val="00E75F3E"/>
    <w:rsid w:val="00E776BB"/>
    <w:rsid w:val="00E800F0"/>
    <w:rsid w:val="00E81363"/>
    <w:rsid w:val="00E82742"/>
    <w:rsid w:val="00E82950"/>
    <w:rsid w:val="00E86136"/>
    <w:rsid w:val="00E86596"/>
    <w:rsid w:val="00E86F07"/>
    <w:rsid w:val="00E906DD"/>
    <w:rsid w:val="00E919EC"/>
    <w:rsid w:val="00E93439"/>
    <w:rsid w:val="00E93E73"/>
    <w:rsid w:val="00E9591A"/>
    <w:rsid w:val="00E95958"/>
    <w:rsid w:val="00EA2A9B"/>
    <w:rsid w:val="00EA4252"/>
    <w:rsid w:val="00EA4737"/>
    <w:rsid w:val="00EA6A25"/>
    <w:rsid w:val="00EA6F37"/>
    <w:rsid w:val="00EB19BE"/>
    <w:rsid w:val="00EB326E"/>
    <w:rsid w:val="00EB38EA"/>
    <w:rsid w:val="00EB414D"/>
    <w:rsid w:val="00EB436C"/>
    <w:rsid w:val="00EB4A35"/>
    <w:rsid w:val="00EB4AFA"/>
    <w:rsid w:val="00EB6576"/>
    <w:rsid w:val="00EC00BD"/>
    <w:rsid w:val="00EC15E2"/>
    <w:rsid w:val="00EC2363"/>
    <w:rsid w:val="00EC4389"/>
    <w:rsid w:val="00EC4FA5"/>
    <w:rsid w:val="00EC760B"/>
    <w:rsid w:val="00EC794A"/>
    <w:rsid w:val="00EC7F11"/>
    <w:rsid w:val="00ED3FED"/>
    <w:rsid w:val="00ED48CE"/>
    <w:rsid w:val="00ED561D"/>
    <w:rsid w:val="00ED608A"/>
    <w:rsid w:val="00ED73E6"/>
    <w:rsid w:val="00ED7657"/>
    <w:rsid w:val="00EE1ADC"/>
    <w:rsid w:val="00EE1F1E"/>
    <w:rsid w:val="00EE28A1"/>
    <w:rsid w:val="00EE4EC4"/>
    <w:rsid w:val="00EE52CC"/>
    <w:rsid w:val="00EE5928"/>
    <w:rsid w:val="00EE5A2E"/>
    <w:rsid w:val="00EF0369"/>
    <w:rsid w:val="00EF0653"/>
    <w:rsid w:val="00EF16DE"/>
    <w:rsid w:val="00EF276C"/>
    <w:rsid w:val="00EF2A88"/>
    <w:rsid w:val="00EF490C"/>
    <w:rsid w:val="00EF54E5"/>
    <w:rsid w:val="00EF5CA8"/>
    <w:rsid w:val="00EF62D3"/>
    <w:rsid w:val="00F00398"/>
    <w:rsid w:val="00F01B10"/>
    <w:rsid w:val="00F02B6B"/>
    <w:rsid w:val="00F06866"/>
    <w:rsid w:val="00F10059"/>
    <w:rsid w:val="00F1075F"/>
    <w:rsid w:val="00F11AA6"/>
    <w:rsid w:val="00F121DD"/>
    <w:rsid w:val="00F13574"/>
    <w:rsid w:val="00F135B1"/>
    <w:rsid w:val="00F155D5"/>
    <w:rsid w:val="00F158BB"/>
    <w:rsid w:val="00F16D76"/>
    <w:rsid w:val="00F1724A"/>
    <w:rsid w:val="00F20FE3"/>
    <w:rsid w:val="00F21666"/>
    <w:rsid w:val="00F237AF"/>
    <w:rsid w:val="00F23F37"/>
    <w:rsid w:val="00F24C3C"/>
    <w:rsid w:val="00F300B9"/>
    <w:rsid w:val="00F31031"/>
    <w:rsid w:val="00F32391"/>
    <w:rsid w:val="00F326E3"/>
    <w:rsid w:val="00F32FA4"/>
    <w:rsid w:val="00F346DB"/>
    <w:rsid w:val="00F35C00"/>
    <w:rsid w:val="00F36A7F"/>
    <w:rsid w:val="00F3716E"/>
    <w:rsid w:val="00F37274"/>
    <w:rsid w:val="00F4025D"/>
    <w:rsid w:val="00F422A9"/>
    <w:rsid w:val="00F4325C"/>
    <w:rsid w:val="00F43741"/>
    <w:rsid w:val="00F45DAD"/>
    <w:rsid w:val="00F50DE4"/>
    <w:rsid w:val="00F50E30"/>
    <w:rsid w:val="00F51B11"/>
    <w:rsid w:val="00F531CD"/>
    <w:rsid w:val="00F53901"/>
    <w:rsid w:val="00F55346"/>
    <w:rsid w:val="00F5766D"/>
    <w:rsid w:val="00F603E7"/>
    <w:rsid w:val="00F61F08"/>
    <w:rsid w:val="00F6448B"/>
    <w:rsid w:val="00F64826"/>
    <w:rsid w:val="00F64A53"/>
    <w:rsid w:val="00F6574E"/>
    <w:rsid w:val="00F66757"/>
    <w:rsid w:val="00F66AEA"/>
    <w:rsid w:val="00F70D89"/>
    <w:rsid w:val="00F728F1"/>
    <w:rsid w:val="00F72A7D"/>
    <w:rsid w:val="00F73648"/>
    <w:rsid w:val="00F73EF1"/>
    <w:rsid w:val="00F7797A"/>
    <w:rsid w:val="00F8294A"/>
    <w:rsid w:val="00F829A3"/>
    <w:rsid w:val="00F86390"/>
    <w:rsid w:val="00F90438"/>
    <w:rsid w:val="00F91C2C"/>
    <w:rsid w:val="00F92914"/>
    <w:rsid w:val="00F93ACF"/>
    <w:rsid w:val="00F94066"/>
    <w:rsid w:val="00F947D7"/>
    <w:rsid w:val="00FA3E97"/>
    <w:rsid w:val="00FA40B8"/>
    <w:rsid w:val="00FA4CD5"/>
    <w:rsid w:val="00FA5349"/>
    <w:rsid w:val="00FA7FFB"/>
    <w:rsid w:val="00FB1B2A"/>
    <w:rsid w:val="00FB1B4A"/>
    <w:rsid w:val="00FB1C32"/>
    <w:rsid w:val="00FB2748"/>
    <w:rsid w:val="00FB2C31"/>
    <w:rsid w:val="00FB37F6"/>
    <w:rsid w:val="00FB618E"/>
    <w:rsid w:val="00FB682C"/>
    <w:rsid w:val="00FC0572"/>
    <w:rsid w:val="00FC177C"/>
    <w:rsid w:val="00FC2A63"/>
    <w:rsid w:val="00FC3928"/>
    <w:rsid w:val="00FD0D79"/>
    <w:rsid w:val="00FD3D5A"/>
    <w:rsid w:val="00FD5F14"/>
    <w:rsid w:val="00FD6A09"/>
    <w:rsid w:val="00FD6DA8"/>
    <w:rsid w:val="00FE0103"/>
    <w:rsid w:val="00FE0AE0"/>
    <w:rsid w:val="00FE25B5"/>
    <w:rsid w:val="00FE3111"/>
    <w:rsid w:val="00FE3564"/>
    <w:rsid w:val="00FE4458"/>
    <w:rsid w:val="00FE674A"/>
    <w:rsid w:val="00FE675E"/>
    <w:rsid w:val="00FE70BD"/>
    <w:rsid w:val="00FF15D5"/>
    <w:rsid w:val="00FF18FD"/>
    <w:rsid w:val="00FF1B9D"/>
    <w:rsid w:val="00FF28E1"/>
    <w:rsid w:val="00FF369C"/>
    <w:rsid w:val="00FF5B25"/>
    <w:rsid w:val="00FF7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4450"/>
    <o:shapelayout v:ext="edit">
      <o:idmap v:ext="edit" data="1"/>
    </o:shapelayout>
  </w:shapeDefaults>
  <w:decimalSymbol w:val="."/>
  <w:listSeparator w:val=","/>
  <w14:docId w14:val="1D7E79C6"/>
  <w15:docId w15:val="{F3659D07-A992-4557-8DFE-FCD8F061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4F"/>
    <w:rPr>
      <w:iCs/>
      <w:color w:val="000000" w:themeColor="text1"/>
      <w:sz w:val="20"/>
      <w:szCs w:val="20"/>
    </w:rPr>
  </w:style>
  <w:style w:type="paragraph" w:styleId="Heading1">
    <w:name w:val="heading 1"/>
    <w:basedOn w:val="Normal"/>
    <w:next w:val="Normal"/>
    <w:link w:val="Heading1Char"/>
    <w:uiPriority w:val="9"/>
    <w:qFormat/>
    <w:rsid w:val="00523BA4"/>
    <w:pPr>
      <w:pageBreakBefore/>
      <w:spacing w:after="240" w:line="240" w:lineRule="auto"/>
      <w:outlineLvl w:val="0"/>
    </w:pPr>
    <w:rPr>
      <w:rFonts w:ascii="Century Gothic" w:eastAsiaTheme="majorEastAsia" w:hAnsi="Century Gothic" w:cstheme="majorBidi"/>
      <w:bCs/>
      <w:color w:val="5E1F71" w:themeColor="text2"/>
      <w:sz w:val="48"/>
      <w:szCs w:val="22"/>
    </w:rPr>
  </w:style>
  <w:style w:type="paragraph" w:styleId="Heading2">
    <w:name w:val="heading 2"/>
    <w:basedOn w:val="Normal"/>
    <w:next w:val="Normal"/>
    <w:link w:val="Heading2Char"/>
    <w:uiPriority w:val="9"/>
    <w:unhideWhenUsed/>
    <w:qFormat/>
    <w:rsid w:val="00523BA4"/>
    <w:pPr>
      <w:spacing w:before="360" w:after="120" w:line="240" w:lineRule="auto"/>
      <w:outlineLvl w:val="1"/>
    </w:pPr>
    <w:rPr>
      <w:rFonts w:ascii="Century Gothic" w:hAnsi="Century Gothic" w:cstheme="minorHAnsi"/>
      <w:color w:val="3B4E98"/>
      <w:sz w:val="32"/>
      <w:szCs w:val="22"/>
    </w:rPr>
  </w:style>
  <w:style w:type="paragraph" w:styleId="Heading3">
    <w:name w:val="heading 3"/>
    <w:basedOn w:val="Normal"/>
    <w:next w:val="Normal"/>
    <w:link w:val="Heading3Char"/>
    <w:uiPriority w:val="9"/>
    <w:unhideWhenUsed/>
    <w:qFormat/>
    <w:rsid w:val="00523BA4"/>
    <w:pPr>
      <w:spacing w:before="240" w:after="120" w:line="240" w:lineRule="auto"/>
      <w:outlineLvl w:val="2"/>
    </w:pPr>
    <w:rPr>
      <w:rFonts w:ascii="Century Gothic" w:eastAsiaTheme="majorEastAsia" w:hAnsi="Century Gothic" w:cstheme="majorBidi"/>
      <w:bCs/>
      <w:color w:val="5E1F71" w:themeColor="accent1"/>
      <w:sz w:val="24"/>
      <w:szCs w:val="22"/>
    </w:rPr>
  </w:style>
  <w:style w:type="paragraph" w:styleId="Heading4">
    <w:name w:val="heading 4"/>
    <w:basedOn w:val="Normal"/>
    <w:next w:val="Normal"/>
    <w:link w:val="Heading4Char"/>
    <w:uiPriority w:val="9"/>
    <w:unhideWhenUsed/>
    <w:qFormat/>
    <w:rsid w:val="00BF0ED5"/>
    <w:pPr>
      <w:numPr>
        <w:numId w:val="7"/>
      </w:numPr>
      <w:tabs>
        <w:tab w:val="left" w:pos="426"/>
      </w:tabs>
      <w:spacing w:before="120" w:after="120" w:line="240" w:lineRule="auto"/>
      <w:ind w:left="0" w:firstLine="0"/>
      <w:outlineLvl w:val="3"/>
    </w:pPr>
    <w:rPr>
      <w:rFonts w:asciiTheme="majorHAnsi" w:eastAsiaTheme="majorEastAsia" w:hAnsiTheme="majorHAnsi" w:cstheme="majorBidi"/>
      <w:b/>
      <w:bCs/>
      <w:i/>
      <w:color w:val="63891F" w:themeColor="accent5"/>
      <w:sz w:val="22"/>
      <w:szCs w:val="22"/>
    </w:rPr>
  </w:style>
  <w:style w:type="paragraph" w:styleId="Heading5">
    <w:name w:val="heading 5"/>
    <w:basedOn w:val="Normal"/>
    <w:next w:val="Normal"/>
    <w:link w:val="Heading5Char"/>
    <w:uiPriority w:val="9"/>
    <w:semiHidden/>
    <w:unhideWhenUsed/>
    <w:qFormat/>
    <w:rsid w:val="00B70E79"/>
    <w:pPr>
      <w:pBdr>
        <w:left w:val="dotted" w:sz="4" w:space="2" w:color="8B643B" w:themeColor="accent2"/>
        <w:bottom w:val="dotted" w:sz="4" w:space="2" w:color="8B643B" w:themeColor="accent2"/>
      </w:pBdr>
      <w:spacing w:before="200" w:after="100" w:line="240" w:lineRule="auto"/>
      <w:ind w:left="86"/>
      <w:contextualSpacing/>
      <w:outlineLvl w:val="4"/>
    </w:pPr>
    <w:rPr>
      <w:rFonts w:asciiTheme="majorHAnsi" w:eastAsiaTheme="majorEastAsia" w:hAnsiTheme="majorHAnsi" w:cstheme="majorBidi"/>
      <w:b/>
      <w:bCs/>
      <w:color w:val="674A2C" w:themeColor="accent2" w:themeShade="BF"/>
      <w:sz w:val="22"/>
      <w:szCs w:val="22"/>
    </w:rPr>
  </w:style>
  <w:style w:type="paragraph" w:styleId="Heading6">
    <w:name w:val="heading 6"/>
    <w:basedOn w:val="Normal"/>
    <w:next w:val="Normal"/>
    <w:link w:val="Heading6Char"/>
    <w:uiPriority w:val="9"/>
    <w:semiHidden/>
    <w:unhideWhenUsed/>
    <w:qFormat/>
    <w:rsid w:val="00B70E79"/>
    <w:pPr>
      <w:pBdr>
        <w:bottom w:val="single" w:sz="4" w:space="2" w:color="D9C0A7" w:themeColor="accent2" w:themeTint="66"/>
      </w:pBdr>
      <w:spacing w:before="200" w:after="100" w:line="240" w:lineRule="auto"/>
      <w:contextualSpacing/>
      <w:outlineLvl w:val="5"/>
    </w:pPr>
    <w:rPr>
      <w:rFonts w:asciiTheme="majorHAnsi" w:eastAsiaTheme="majorEastAsia" w:hAnsiTheme="majorHAnsi" w:cstheme="majorBidi"/>
      <w:color w:val="674A2C" w:themeColor="accent2" w:themeShade="BF"/>
      <w:sz w:val="22"/>
      <w:szCs w:val="22"/>
    </w:rPr>
  </w:style>
  <w:style w:type="paragraph" w:styleId="Heading7">
    <w:name w:val="heading 7"/>
    <w:basedOn w:val="Normal"/>
    <w:next w:val="Normal"/>
    <w:link w:val="Heading7Char"/>
    <w:uiPriority w:val="9"/>
    <w:semiHidden/>
    <w:unhideWhenUsed/>
    <w:qFormat/>
    <w:rsid w:val="00B70E79"/>
    <w:pPr>
      <w:pBdr>
        <w:bottom w:val="dotted" w:sz="4" w:space="2" w:color="C7A27B" w:themeColor="accent2" w:themeTint="99"/>
      </w:pBdr>
      <w:spacing w:before="200" w:after="100" w:line="240" w:lineRule="auto"/>
      <w:contextualSpacing/>
      <w:outlineLvl w:val="6"/>
    </w:pPr>
    <w:rPr>
      <w:rFonts w:asciiTheme="majorHAnsi" w:eastAsiaTheme="majorEastAsia" w:hAnsiTheme="majorHAnsi" w:cstheme="majorBidi"/>
      <w:color w:val="674A2C" w:themeColor="accent2" w:themeShade="BF"/>
      <w:sz w:val="22"/>
      <w:szCs w:val="22"/>
    </w:rPr>
  </w:style>
  <w:style w:type="paragraph" w:styleId="Heading8">
    <w:name w:val="heading 8"/>
    <w:basedOn w:val="Normal"/>
    <w:next w:val="Normal"/>
    <w:link w:val="Heading8Char"/>
    <w:uiPriority w:val="9"/>
    <w:semiHidden/>
    <w:unhideWhenUsed/>
    <w:qFormat/>
    <w:rsid w:val="00B70E79"/>
    <w:pPr>
      <w:spacing w:before="200" w:after="100" w:line="240" w:lineRule="auto"/>
      <w:contextualSpacing/>
      <w:outlineLvl w:val="7"/>
    </w:pPr>
    <w:rPr>
      <w:rFonts w:asciiTheme="majorHAnsi" w:eastAsiaTheme="majorEastAsia" w:hAnsiTheme="majorHAnsi" w:cstheme="majorBidi"/>
      <w:color w:val="8B643B" w:themeColor="accent2"/>
      <w:sz w:val="22"/>
      <w:szCs w:val="22"/>
    </w:rPr>
  </w:style>
  <w:style w:type="paragraph" w:styleId="Heading9">
    <w:name w:val="heading 9"/>
    <w:basedOn w:val="Normal"/>
    <w:next w:val="Normal"/>
    <w:link w:val="Heading9Char"/>
    <w:uiPriority w:val="9"/>
    <w:semiHidden/>
    <w:unhideWhenUsed/>
    <w:qFormat/>
    <w:rsid w:val="00B70E79"/>
    <w:pPr>
      <w:spacing w:before="200" w:after="100" w:line="240" w:lineRule="auto"/>
      <w:contextualSpacing/>
      <w:outlineLvl w:val="8"/>
    </w:pPr>
    <w:rPr>
      <w:rFonts w:asciiTheme="majorHAnsi" w:eastAsiaTheme="majorEastAsia" w:hAnsiTheme="majorHAnsi" w:cstheme="majorBidi"/>
      <w:color w:val="8B643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E79"/>
    <w:pPr>
      <w:ind w:left="720"/>
      <w:contextualSpacing/>
    </w:pPr>
  </w:style>
  <w:style w:type="paragraph" w:styleId="BalloonText">
    <w:name w:val="Balloon Text"/>
    <w:basedOn w:val="Normal"/>
    <w:link w:val="BalloonTextChar"/>
    <w:uiPriority w:val="99"/>
    <w:semiHidden/>
    <w:unhideWhenUsed/>
    <w:rsid w:val="00DD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227"/>
    <w:rPr>
      <w:rFonts w:ascii="Tahoma" w:hAnsi="Tahoma" w:cs="Tahoma"/>
      <w:sz w:val="16"/>
      <w:szCs w:val="16"/>
    </w:rPr>
  </w:style>
  <w:style w:type="paragraph" w:styleId="NoSpacing">
    <w:name w:val="No Spacing"/>
    <w:basedOn w:val="Normal"/>
    <w:link w:val="NoSpacingChar"/>
    <w:uiPriority w:val="1"/>
    <w:qFormat/>
    <w:rsid w:val="00B70E79"/>
    <w:pPr>
      <w:spacing w:after="0" w:line="240" w:lineRule="auto"/>
    </w:pPr>
  </w:style>
  <w:style w:type="character" w:customStyle="1" w:styleId="NoSpacingChar">
    <w:name w:val="No Spacing Char"/>
    <w:basedOn w:val="DefaultParagraphFont"/>
    <w:link w:val="NoSpacing"/>
    <w:uiPriority w:val="1"/>
    <w:rsid w:val="00FE0AE0"/>
    <w:rPr>
      <w:i/>
      <w:iCs/>
      <w:sz w:val="20"/>
      <w:szCs w:val="20"/>
    </w:rPr>
  </w:style>
  <w:style w:type="paragraph" w:styleId="Header">
    <w:name w:val="header"/>
    <w:basedOn w:val="Normal"/>
    <w:link w:val="HeaderChar"/>
    <w:uiPriority w:val="99"/>
    <w:unhideWhenUsed/>
    <w:rsid w:val="00E1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62"/>
  </w:style>
  <w:style w:type="paragraph" w:styleId="Footer">
    <w:name w:val="footer"/>
    <w:basedOn w:val="Normal"/>
    <w:link w:val="FooterChar"/>
    <w:uiPriority w:val="99"/>
    <w:unhideWhenUsed/>
    <w:rsid w:val="00E1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862"/>
  </w:style>
  <w:style w:type="paragraph" w:customStyle="1" w:styleId="Subheading">
    <w:name w:val="Subheading"/>
    <w:basedOn w:val="Normal"/>
    <w:uiPriority w:val="99"/>
    <w:rsid w:val="008913B5"/>
    <w:pPr>
      <w:numPr>
        <w:numId w:val="1"/>
      </w:numPr>
      <w:spacing w:before="120" w:after="120" w:line="240" w:lineRule="auto"/>
    </w:pPr>
    <w:rPr>
      <w:rFonts w:ascii="Arial" w:eastAsia="Times New Roman" w:hAnsi="Arial" w:cs="Times New Roman"/>
      <w:b/>
      <w:szCs w:val="24"/>
      <w:lang w:eastAsia="en-AU"/>
    </w:rPr>
  </w:style>
  <w:style w:type="paragraph" w:customStyle="1" w:styleId="Text0">
    <w:name w:val="Text"/>
    <w:basedOn w:val="Subheading"/>
    <w:uiPriority w:val="99"/>
    <w:rsid w:val="008913B5"/>
    <w:rPr>
      <w:b w:val="0"/>
    </w:rPr>
  </w:style>
  <w:style w:type="character" w:styleId="Hyperlink">
    <w:name w:val="Hyperlink"/>
    <w:basedOn w:val="DefaultParagraphFont"/>
    <w:uiPriority w:val="99"/>
    <w:unhideWhenUsed/>
    <w:rsid w:val="008913B5"/>
    <w:rPr>
      <w:color w:val="3399FF" w:themeColor="hyperlink"/>
      <w:u w:val="single"/>
    </w:rPr>
  </w:style>
  <w:style w:type="paragraph" w:styleId="FootnoteText">
    <w:name w:val="footnote text"/>
    <w:basedOn w:val="Normal"/>
    <w:link w:val="FootnoteTextChar"/>
    <w:rsid w:val="00D66C3C"/>
    <w:pPr>
      <w:spacing w:after="0" w:line="240" w:lineRule="auto"/>
    </w:pPr>
    <w:rPr>
      <w:rFonts w:ascii="Times New Roman" w:eastAsia="Times New Roman" w:hAnsi="Times New Roman" w:cs="Times New Roman"/>
      <w:lang w:eastAsia="en-AU"/>
    </w:rPr>
  </w:style>
  <w:style w:type="character" w:customStyle="1" w:styleId="FootnoteTextChar">
    <w:name w:val="Footnote Text Char"/>
    <w:basedOn w:val="DefaultParagraphFont"/>
    <w:link w:val="FootnoteText"/>
    <w:rsid w:val="00D66C3C"/>
    <w:rPr>
      <w:rFonts w:ascii="Times New Roman" w:eastAsia="Times New Roman" w:hAnsi="Times New Roman" w:cs="Times New Roman"/>
      <w:sz w:val="20"/>
      <w:szCs w:val="20"/>
      <w:lang w:eastAsia="en-AU"/>
    </w:rPr>
  </w:style>
  <w:style w:type="character" w:styleId="FootnoteReference">
    <w:name w:val="footnote reference"/>
    <w:rsid w:val="00D66C3C"/>
    <w:rPr>
      <w:vertAlign w:val="superscript"/>
    </w:rPr>
  </w:style>
  <w:style w:type="paragraph" w:customStyle="1" w:styleId="Default">
    <w:name w:val="Default"/>
    <w:rsid w:val="004107B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3007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14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A06E04"/>
    <w:rPr>
      <w:color w:val="000000"/>
      <w:sz w:val="21"/>
      <w:szCs w:val="21"/>
    </w:rPr>
  </w:style>
  <w:style w:type="paragraph" w:customStyle="1" w:styleId="Pa3">
    <w:name w:val="Pa3"/>
    <w:basedOn w:val="Default"/>
    <w:next w:val="Default"/>
    <w:uiPriority w:val="99"/>
    <w:rsid w:val="00A06E04"/>
    <w:pPr>
      <w:spacing w:line="241" w:lineRule="atLeast"/>
    </w:pPr>
    <w:rPr>
      <w:color w:val="auto"/>
    </w:rPr>
  </w:style>
  <w:style w:type="paragraph" w:styleId="Quote">
    <w:name w:val="Quote"/>
    <w:basedOn w:val="Normal"/>
    <w:next w:val="Normal"/>
    <w:link w:val="QuoteChar"/>
    <w:uiPriority w:val="29"/>
    <w:qFormat/>
    <w:rsid w:val="006E3D4F"/>
    <w:pPr>
      <w:jc w:val="right"/>
    </w:pPr>
    <w:rPr>
      <w:rFonts w:ascii="Century Gothic" w:hAnsi="Century Gothic"/>
      <w:i/>
      <w:iCs w:val="0"/>
      <w:color w:val="5E1F71" w:themeColor="accent1"/>
      <w:sz w:val="24"/>
    </w:rPr>
  </w:style>
  <w:style w:type="character" w:customStyle="1" w:styleId="QuoteChar">
    <w:name w:val="Quote Char"/>
    <w:basedOn w:val="DefaultParagraphFont"/>
    <w:link w:val="Quote"/>
    <w:uiPriority w:val="29"/>
    <w:rsid w:val="006E3D4F"/>
    <w:rPr>
      <w:rFonts w:ascii="Century Gothic" w:hAnsi="Century Gothic"/>
      <w:i/>
      <w:color w:val="5E1F71" w:themeColor="accent1"/>
      <w:sz w:val="24"/>
      <w:szCs w:val="20"/>
    </w:rPr>
  </w:style>
  <w:style w:type="character" w:styleId="PlaceholderText">
    <w:name w:val="Placeholder Text"/>
    <w:basedOn w:val="DefaultParagraphFont"/>
    <w:uiPriority w:val="99"/>
    <w:semiHidden/>
    <w:rsid w:val="00E43A78"/>
    <w:rPr>
      <w:color w:val="808080"/>
    </w:rPr>
  </w:style>
  <w:style w:type="paragraph" w:customStyle="1" w:styleId="text">
    <w:name w:val="text"/>
    <w:basedOn w:val="Normal"/>
    <w:rsid w:val="0062717A"/>
    <w:pPr>
      <w:numPr>
        <w:numId w:val="5"/>
      </w:numPr>
      <w:spacing w:before="120" w:after="120" w:line="240" w:lineRule="auto"/>
    </w:pPr>
    <w:rPr>
      <w:rFonts w:ascii="Arial" w:eastAsia="Calibri" w:hAnsi="Arial" w:cs="Arial"/>
      <w:lang w:eastAsia="en-AU"/>
    </w:rPr>
  </w:style>
  <w:style w:type="character" w:styleId="CommentReference">
    <w:name w:val="annotation reference"/>
    <w:basedOn w:val="DefaultParagraphFont"/>
    <w:uiPriority w:val="99"/>
    <w:semiHidden/>
    <w:unhideWhenUsed/>
    <w:rsid w:val="00697A98"/>
    <w:rPr>
      <w:sz w:val="16"/>
      <w:szCs w:val="16"/>
    </w:rPr>
  </w:style>
  <w:style w:type="paragraph" w:styleId="CommentText">
    <w:name w:val="annotation text"/>
    <w:basedOn w:val="Normal"/>
    <w:link w:val="CommentTextChar"/>
    <w:uiPriority w:val="99"/>
    <w:unhideWhenUsed/>
    <w:rsid w:val="00697A98"/>
    <w:pPr>
      <w:spacing w:line="240" w:lineRule="auto"/>
    </w:pPr>
  </w:style>
  <w:style w:type="character" w:customStyle="1" w:styleId="CommentTextChar">
    <w:name w:val="Comment Text Char"/>
    <w:basedOn w:val="DefaultParagraphFont"/>
    <w:link w:val="CommentText"/>
    <w:uiPriority w:val="99"/>
    <w:rsid w:val="00697A98"/>
    <w:rPr>
      <w:sz w:val="20"/>
      <w:szCs w:val="20"/>
    </w:rPr>
  </w:style>
  <w:style w:type="paragraph" w:styleId="CommentSubject">
    <w:name w:val="annotation subject"/>
    <w:basedOn w:val="CommentText"/>
    <w:next w:val="CommentText"/>
    <w:link w:val="CommentSubjectChar"/>
    <w:uiPriority w:val="99"/>
    <w:semiHidden/>
    <w:unhideWhenUsed/>
    <w:rsid w:val="00697A98"/>
    <w:rPr>
      <w:b/>
      <w:bCs/>
    </w:rPr>
  </w:style>
  <w:style w:type="character" w:customStyle="1" w:styleId="CommentSubjectChar">
    <w:name w:val="Comment Subject Char"/>
    <w:basedOn w:val="CommentTextChar"/>
    <w:link w:val="CommentSubject"/>
    <w:uiPriority w:val="99"/>
    <w:semiHidden/>
    <w:rsid w:val="00697A98"/>
    <w:rPr>
      <w:b/>
      <w:bCs/>
      <w:sz w:val="20"/>
      <w:szCs w:val="20"/>
    </w:rPr>
  </w:style>
  <w:style w:type="character" w:styleId="FollowedHyperlink">
    <w:name w:val="FollowedHyperlink"/>
    <w:basedOn w:val="DefaultParagraphFont"/>
    <w:uiPriority w:val="99"/>
    <w:semiHidden/>
    <w:unhideWhenUsed/>
    <w:rsid w:val="00A5321B"/>
    <w:rPr>
      <w:color w:val="B2B2B2" w:themeColor="followedHyperlink"/>
      <w:u w:val="single"/>
    </w:rPr>
  </w:style>
  <w:style w:type="character" w:customStyle="1" w:styleId="Heading1Char">
    <w:name w:val="Heading 1 Char"/>
    <w:basedOn w:val="DefaultParagraphFont"/>
    <w:link w:val="Heading1"/>
    <w:uiPriority w:val="9"/>
    <w:rsid w:val="00523BA4"/>
    <w:rPr>
      <w:rFonts w:ascii="Century Gothic" w:eastAsiaTheme="majorEastAsia" w:hAnsi="Century Gothic" w:cstheme="majorBidi"/>
      <w:bCs/>
      <w:iCs/>
      <w:color w:val="5E1F71" w:themeColor="text2"/>
      <w:sz w:val="48"/>
    </w:rPr>
  </w:style>
  <w:style w:type="character" w:customStyle="1" w:styleId="Heading2Char">
    <w:name w:val="Heading 2 Char"/>
    <w:basedOn w:val="DefaultParagraphFont"/>
    <w:link w:val="Heading2"/>
    <w:uiPriority w:val="9"/>
    <w:rsid w:val="00523BA4"/>
    <w:rPr>
      <w:rFonts w:ascii="Century Gothic" w:hAnsi="Century Gothic" w:cstheme="minorHAnsi"/>
      <w:iCs/>
      <w:color w:val="3B4E98"/>
      <w:sz w:val="32"/>
    </w:rPr>
  </w:style>
  <w:style w:type="character" w:customStyle="1" w:styleId="Heading3Char">
    <w:name w:val="Heading 3 Char"/>
    <w:basedOn w:val="DefaultParagraphFont"/>
    <w:link w:val="Heading3"/>
    <w:uiPriority w:val="9"/>
    <w:rsid w:val="00523BA4"/>
    <w:rPr>
      <w:rFonts w:ascii="Century Gothic" w:eastAsiaTheme="majorEastAsia" w:hAnsi="Century Gothic" w:cstheme="majorBidi"/>
      <w:bCs/>
      <w:iCs/>
      <w:color w:val="5E1F71" w:themeColor="accent1"/>
      <w:sz w:val="24"/>
    </w:rPr>
  </w:style>
  <w:style w:type="character" w:customStyle="1" w:styleId="Heading4Char">
    <w:name w:val="Heading 4 Char"/>
    <w:basedOn w:val="DefaultParagraphFont"/>
    <w:link w:val="Heading4"/>
    <w:uiPriority w:val="9"/>
    <w:rsid w:val="00BF0ED5"/>
    <w:rPr>
      <w:rFonts w:asciiTheme="majorHAnsi" w:eastAsiaTheme="majorEastAsia" w:hAnsiTheme="majorHAnsi" w:cstheme="majorBidi"/>
      <w:b/>
      <w:bCs/>
      <w:i/>
      <w:iCs/>
      <w:color w:val="63891F" w:themeColor="accent5"/>
    </w:rPr>
  </w:style>
  <w:style w:type="character" w:customStyle="1" w:styleId="Heading5Char">
    <w:name w:val="Heading 5 Char"/>
    <w:basedOn w:val="DefaultParagraphFont"/>
    <w:link w:val="Heading5"/>
    <w:uiPriority w:val="9"/>
    <w:semiHidden/>
    <w:rsid w:val="00B70E79"/>
    <w:rPr>
      <w:rFonts w:asciiTheme="majorHAnsi" w:eastAsiaTheme="majorEastAsia" w:hAnsiTheme="majorHAnsi" w:cstheme="majorBidi"/>
      <w:b/>
      <w:bCs/>
      <w:i/>
      <w:iCs/>
      <w:color w:val="674A2C" w:themeColor="accent2" w:themeShade="BF"/>
    </w:rPr>
  </w:style>
  <w:style w:type="character" w:customStyle="1" w:styleId="Heading6Char">
    <w:name w:val="Heading 6 Char"/>
    <w:basedOn w:val="DefaultParagraphFont"/>
    <w:link w:val="Heading6"/>
    <w:uiPriority w:val="9"/>
    <w:semiHidden/>
    <w:rsid w:val="00B70E79"/>
    <w:rPr>
      <w:rFonts w:asciiTheme="majorHAnsi" w:eastAsiaTheme="majorEastAsia" w:hAnsiTheme="majorHAnsi" w:cstheme="majorBidi"/>
      <w:i/>
      <w:iCs/>
      <w:color w:val="674A2C" w:themeColor="accent2" w:themeShade="BF"/>
    </w:rPr>
  </w:style>
  <w:style w:type="character" w:customStyle="1" w:styleId="Heading7Char">
    <w:name w:val="Heading 7 Char"/>
    <w:basedOn w:val="DefaultParagraphFont"/>
    <w:link w:val="Heading7"/>
    <w:uiPriority w:val="9"/>
    <w:semiHidden/>
    <w:rsid w:val="00B70E79"/>
    <w:rPr>
      <w:rFonts w:asciiTheme="majorHAnsi" w:eastAsiaTheme="majorEastAsia" w:hAnsiTheme="majorHAnsi" w:cstheme="majorBidi"/>
      <w:i/>
      <w:iCs/>
      <w:color w:val="674A2C" w:themeColor="accent2" w:themeShade="BF"/>
    </w:rPr>
  </w:style>
  <w:style w:type="character" w:customStyle="1" w:styleId="Heading8Char">
    <w:name w:val="Heading 8 Char"/>
    <w:basedOn w:val="DefaultParagraphFont"/>
    <w:link w:val="Heading8"/>
    <w:uiPriority w:val="9"/>
    <w:semiHidden/>
    <w:rsid w:val="00B70E79"/>
    <w:rPr>
      <w:rFonts w:asciiTheme="majorHAnsi" w:eastAsiaTheme="majorEastAsia" w:hAnsiTheme="majorHAnsi" w:cstheme="majorBidi"/>
      <w:i/>
      <w:iCs/>
      <w:color w:val="8B643B" w:themeColor="accent2"/>
    </w:rPr>
  </w:style>
  <w:style w:type="character" w:customStyle="1" w:styleId="Heading9Char">
    <w:name w:val="Heading 9 Char"/>
    <w:basedOn w:val="DefaultParagraphFont"/>
    <w:link w:val="Heading9"/>
    <w:uiPriority w:val="9"/>
    <w:semiHidden/>
    <w:rsid w:val="00B70E79"/>
    <w:rPr>
      <w:rFonts w:asciiTheme="majorHAnsi" w:eastAsiaTheme="majorEastAsia" w:hAnsiTheme="majorHAnsi" w:cstheme="majorBidi"/>
      <w:i/>
      <w:iCs/>
      <w:color w:val="8B643B" w:themeColor="accent2"/>
      <w:sz w:val="20"/>
      <w:szCs w:val="20"/>
    </w:rPr>
  </w:style>
  <w:style w:type="paragraph" w:styleId="Caption">
    <w:name w:val="caption"/>
    <w:basedOn w:val="Normal"/>
    <w:next w:val="Normal"/>
    <w:unhideWhenUsed/>
    <w:qFormat/>
    <w:rsid w:val="00696C61"/>
    <w:rPr>
      <w:b/>
      <w:bCs/>
      <w:i/>
      <w:color w:val="3B4E98"/>
      <w:sz w:val="18"/>
      <w:szCs w:val="18"/>
    </w:rPr>
  </w:style>
  <w:style w:type="character" w:styleId="Strong">
    <w:name w:val="Strong"/>
    <w:uiPriority w:val="22"/>
    <w:qFormat/>
    <w:rsid w:val="00B70E79"/>
    <w:rPr>
      <w:b/>
      <w:bCs/>
      <w:spacing w:val="0"/>
    </w:rPr>
  </w:style>
  <w:style w:type="paragraph" w:styleId="Title">
    <w:name w:val="Title"/>
    <w:basedOn w:val="Normal"/>
    <w:next w:val="Normal"/>
    <w:link w:val="TitleChar"/>
    <w:qFormat/>
    <w:rsid w:val="00B70E79"/>
    <w:pPr>
      <w:pBdr>
        <w:top w:val="single" w:sz="48" w:space="0" w:color="8B643B" w:themeColor="accent2"/>
        <w:bottom w:val="single" w:sz="48" w:space="0" w:color="8B643B" w:themeColor="accent2"/>
      </w:pBdr>
      <w:shd w:val="clear" w:color="auto" w:fill="8B643B"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rsid w:val="00B70E79"/>
    <w:rPr>
      <w:rFonts w:asciiTheme="majorHAnsi" w:eastAsiaTheme="majorEastAsia" w:hAnsiTheme="majorHAnsi" w:cstheme="majorBidi"/>
      <w:i/>
      <w:iCs/>
      <w:color w:val="FFFFFF" w:themeColor="background1"/>
      <w:spacing w:val="10"/>
      <w:sz w:val="48"/>
      <w:szCs w:val="48"/>
      <w:shd w:val="clear" w:color="auto" w:fill="8B643B" w:themeFill="accent2"/>
    </w:rPr>
  </w:style>
  <w:style w:type="paragraph" w:styleId="Subtitle">
    <w:name w:val="Subtitle"/>
    <w:basedOn w:val="Normal"/>
    <w:next w:val="Normal"/>
    <w:link w:val="SubtitleChar"/>
    <w:uiPriority w:val="11"/>
    <w:qFormat/>
    <w:rsid w:val="00B70E79"/>
    <w:pPr>
      <w:pBdr>
        <w:bottom w:val="dotted" w:sz="8" w:space="10" w:color="8B643B" w:themeColor="accent2"/>
      </w:pBdr>
      <w:spacing w:before="200" w:after="900" w:line="240" w:lineRule="auto"/>
      <w:jc w:val="center"/>
    </w:pPr>
    <w:rPr>
      <w:rFonts w:asciiTheme="majorHAnsi" w:eastAsiaTheme="majorEastAsia" w:hAnsiTheme="majorHAnsi" w:cstheme="majorBidi"/>
      <w:color w:val="45311D" w:themeColor="accent2" w:themeShade="7F"/>
      <w:sz w:val="24"/>
      <w:szCs w:val="24"/>
    </w:rPr>
  </w:style>
  <w:style w:type="character" w:customStyle="1" w:styleId="SubtitleChar">
    <w:name w:val="Subtitle Char"/>
    <w:basedOn w:val="DefaultParagraphFont"/>
    <w:link w:val="Subtitle"/>
    <w:uiPriority w:val="11"/>
    <w:rsid w:val="00B70E79"/>
    <w:rPr>
      <w:rFonts w:asciiTheme="majorHAnsi" w:eastAsiaTheme="majorEastAsia" w:hAnsiTheme="majorHAnsi" w:cstheme="majorBidi"/>
      <w:i/>
      <w:iCs/>
      <w:color w:val="45311D" w:themeColor="accent2" w:themeShade="7F"/>
      <w:sz w:val="24"/>
      <w:szCs w:val="24"/>
    </w:rPr>
  </w:style>
  <w:style w:type="character" w:styleId="Emphasis">
    <w:name w:val="Emphasis"/>
    <w:uiPriority w:val="20"/>
    <w:qFormat/>
    <w:rsid w:val="00B70E79"/>
    <w:rPr>
      <w:rFonts w:asciiTheme="majorHAnsi" w:eastAsiaTheme="majorEastAsia" w:hAnsiTheme="majorHAnsi" w:cstheme="majorBidi"/>
      <w:b/>
      <w:bCs/>
      <w:i/>
      <w:iCs/>
      <w:color w:val="8B643B" w:themeColor="accent2"/>
      <w:bdr w:val="single" w:sz="18" w:space="0" w:color="ECDFD3" w:themeColor="accent2" w:themeTint="33"/>
      <w:shd w:val="clear" w:color="auto" w:fill="ECDFD3" w:themeFill="accent2" w:themeFillTint="33"/>
    </w:rPr>
  </w:style>
  <w:style w:type="paragraph" w:styleId="IntenseQuote">
    <w:name w:val="Intense Quote"/>
    <w:basedOn w:val="Normal"/>
    <w:next w:val="Normal"/>
    <w:link w:val="IntenseQuoteChar"/>
    <w:uiPriority w:val="30"/>
    <w:qFormat/>
    <w:rsid w:val="00B70E79"/>
    <w:pPr>
      <w:pBdr>
        <w:top w:val="dotted" w:sz="8" w:space="10" w:color="8B643B" w:themeColor="accent2"/>
        <w:bottom w:val="dotted" w:sz="8" w:space="10" w:color="8B643B" w:themeColor="accent2"/>
      </w:pBdr>
      <w:spacing w:line="300" w:lineRule="auto"/>
      <w:ind w:left="2160" w:right="2160"/>
      <w:jc w:val="center"/>
    </w:pPr>
    <w:rPr>
      <w:rFonts w:asciiTheme="majorHAnsi" w:eastAsiaTheme="majorEastAsia" w:hAnsiTheme="majorHAnsi" w:cstheme="majorBidi"/>
      <w:b/>
      <w:bCs/>
      <w:color w:val="8B643B" w:themeColor="accent2"/>
    </w:rPr>
  </w:style>
  <w:style w:type="character" w:customStyle="1" w:styleId="IntenseQuoteChar">
    <w:name w:val="Intense Quote Char"/>
    <w:basedOn w:val="DefaultParagraphFont"/>
    <w:link w:val="IntenseQuote"/>
    <w:uiPriority w:val="30"/>
    <w:rsid w:val="00B70E79"/>
    <w:rPr>
      <w:rFonts w:asciiTheme="majorHAnsi" w:eastAsiaTheme="majorEastAsia" w:hAnsiTheme="majorHAnsi" w:cstheme="majorBidi"/>
      <w:b/>
      <w:bCs/>
      <w:i/>
      <w:iCs/>
      <w:color w:val="8B643B" w:themeColor="accent2"/>
      <w:sz w:val="20"/>
      <w:szCs w:val="20"/>
    </w:rPr>
  </w:style>
  <w:style w:type="character" w:styleId="SubtleEmphasis">
    <w:name w:val="Subtle Emphasis"/>
    <w:uiPriority w:val="19"/>
    <w:qFormat/>
    <w:rsid w:val="0055064A"/>
    <w:rPr>
      <w:rFonts w:ascii="Century Gothic" w:hAnsi="Century Gothic" w:cstheme="majorBidi"/>
      <w:i/>
      <w:iCs/>
      <w:color w:val="5E1F71" w:themeColor="accent1"/>
      <w:sz w:val="24"/>
    </w:rPr>
  </w:style>
  <w:style w:type="character" w:styleId="IntenseEmphasis">
    <w:name w:val="Intense Emphasis"/>
    <w:uiPriority w:val="21"/>
    <w:qFormat/>
    <w:rsid w:val="00B70E79"/>
    <w:rPr>
      <w:rFonts w:asciiTheme="majorHAnsi" w:eastAsiaTheme="majorEastAsia" w:hAnsiTheme="majorHAnsi" w:cstheme="majorBidi"/>
      <w:b/>
      <w:bCs/>
      <w:i/>
      <w:iCs/>
      <w:dstrike w:val="0"/>
      <w:color w:val="FFFFFF" w:themeColor="background1"/>
      <w:bdr w:val="single" w:sz="18" w:space="0" w:color="8B643B" w:themeColor="accent2"/>
      <w:shd w:val="clear" w:color="auto" w:fill="8B643B" w:themeFill="accent2"/>
      <w:vertAlign w:val="baseline"/>
    </w:rPr>
  </w:style>
  <w:style w:type="character" w:styleId="SubtleReference">
    <w:name w:val="Subtle Reference"/>
    <w:uiPriority w:val="31"/>
    <w:qFormat/>
    <w:rsid w:val="00B70E79"/>
    <w:rPr>
      <w:i/>
      <w:iCs/>
      <w:smallCaps/>
      <w:color w:val="8B643B" w:themeColor="accent2"/>
      <w:u w:color="8B643B" w:themeColor="accent2"/>
    </w:rPr>
  </w:style>
  <w:style w:type="character" w:styleId="IntenseReference">
    <w:name w:val="Intense Reference"/>
    <w:uiPriority w:val="32"/>
    <w:qFormat/>
    <w:rsid w:val="00B70E79"/>
    <w:rPr>
      <w:b/>
      <w:bCs/>
      <w:i/>
      <w:iCs/>
      <w:smallCaps/>
      <w:color w:val="8B643B" w:themeColor="accent2"/>
      <w:u w:color="8B643B" w:themeColor="accent2"/>
    </w:rPr>
  </w:style>
  <w:style w:type="character" w:styleId="BookTitle">
    <w:name w:val="Book Title"/>
    <w:uiPriority w:val="33"/>
    <w:qFormat/>
    <w:rsid w:val="00B70E79"/>
    <w:rPr>
      <w:rFonts w:asciiTheme="majorHAnsi" w:eastAsiaTheme="majorEastAsia" w:hAnsiTheme="majorHAnsi" w:cstheme="majorBidi"/>
      <w:b/>
      <w:bCs/>
      <w:i/>
      <w:iCs/>
      <w:smallCaps/>
      <w:color w:val="674A2C" w:themeColor="accent2" w:themeShade="BF"/>
      <w:u w:val="single"/>
    </w:rPr>
  </w:style>
  <w:style w:type="paragraph" w:styleId="TOCHeading">
    <w:name w:val="TOC Heading"/>
    <w:basedOn w:val="Heading1"/>
    <w:next w:val="Normal"/>
    <w:uiPriority w:val="39"/>
    <w:semiHidden/>
    <w:unhideWhenUsed/>
    <w:qFormat/>
    <w:rsid w:val="00B70E79"/>
    <w:pPr>
      <w:outlineLvl w:val="9"/>
    </w:pPr>
    <w:rPr>
      <w:lang w:bidi="en-US"/>
    </w:rPr>
  </w:style>
  <w:style w:type="paragraph" w:styleId="TOC1">
    <w:name w:val="toc 1"/>
    <w:basedOn w:val="Normal"/>
    <w:next w:val="Normal"/>
    <w:autoRedefine/>
    <w:uiPriority w:val="39"/>
    <w:unhideWhenUsed/>
    <w:rsid w:val="00F21666"/>
    <w:pPr>
      <w:tabs>
        <w:tab w:val="right" w:leader="dot" w:pos="9742"/>
      </w:tabs>
      <w:spacing w:after="100"/>
    </w:pPr>
    <w:rPr>
      <w:rFonts w:ascii="Arial" w:hAnsi="Arial" w:cstheme="minorHAnsi"/>
      <w:i/>
      <w:noProof/>
      <w:sz w:val="24"/>
      <w:shd w:val="clear" w:color="auto" w:fill="ECDFD3" w:themeFill="accent2" w:themeFillTint="33"/>
    </w:rPr>
  </w:style>
  <w:style w:type="paragraph" w:styleId="TOC2">
    <w:name w:val="toc 2"/>
    <w:basedOn w:val="Normal"/>
    <w:next w:val="Normal"/>
    <w:autoRedefine/>
    <w:uiPriority w:val="39"/>
    <w:unhideWhenUsed/>
    <w:rsid w:val="00874EBE"/>
    <w:pPr>
      <w:spacing w:after="100"/>
      <w:ind w:left="200"/>
    </w:pPr>
  </w:style>
  <w:style w:type="paragraph" w:styleId="TOC3">
    <w:name w:val="toc 3"/>
    <w:basedOn w:val="Normal"/>
    <w:next w:val="Normal"/>
    <w:autoRedefine/>
    <w:uiPriority w:val="39"/>
    <w:unhideWhenUsed/>
    <w:rsid w:val="00874EBE"/>
    <w:pPr>
      <w:spacing w:after="100"/>
      <w:ind w:left="400"/>
    </w:pPr>
  </w:style>
  <w:style w:type="paragraph" w:customStyle="1" w:styleId="StoryBodytext">
    <w:name w:val="Story Body text"/>
    <w:basedOn w:val="Normal"/>
    <w:link w:val="StoryBodytextChar"/>
    <w:rsid w:val="00FF1B9D"/>
    <w:pPr>
      <w:spacing w:before="40" w:after="180"/>
    </w:pPr>
    <w:rPr>
      <w:rFonts w:cs="Calibri"/>
      <w:lang w:eastAsia="en-AU"/>
    </w:rPr>
  </w:style>
  <w:style w:type="character" w:customStyle="1" w:styleId="StoryBodytextChar">
    <w:name w:val="Story Body text Char"/>
    <w:basedOn w:val="DefaultParagraphFont"/>
    <w:link w:val="StoryBodytext"/>
    <w:rsid w:val="00FF1B9D"/>
    <w:rPr>
      <w:rFonts w:cs="Calibri"/>
      <w:sz w:val="20"/>
      <w:szCs w:val="20"/>
      <w:lang w:eastAsia="en-AU"/>
    </w:rPr>
  </w:style>
  <w:style w:type="paragraph" w:styleId="TableofFigures">
    <w:name w:val="table of figures"/>
    <w:basedOn w:val="Normal"/>
    <w:next w:val="Normal"/>
    <w:uiPriority w:val="99"/>
    <w:unhideWhenUsed/>
    <w:rsid w:val="00855288"/>
    <w:pPr>
      <w:spacing w:after="0" w:line="276" w:lineRule="auto"/>
    </w:pPr>
    <w:rPr>
      <w:rFonts w:eastAsia="Times New Roman"/>
      <w:i/>
      <w:iCs w:val="0"/>
      <w:sz w:val="22"/>
      <w:szCs w:val="22"/>
      <w:lang w:val="en-US"/>
    </w:rPr>
  </w:style>
  <w:style w:type="numbering" w:customStyle="1" w:styleId="DPEstimates">
    <w:name w:val="DP Estimates"/>
    <w:rsid w:val="005575D2"/>
    <w:pPr>
      <w:numPr>
        <w:numId w:val="6"/>
      </w:numPr>
    </w:pPr>
  </w:style>
  <w:style w:type="paragraph" w:styleId="Revision">
    <w:name w:val="Revision"/>
    <w:hidden/>
    <w:uiPriority w:val="99"/>
    <w:semiHidden/>
    <w:rsid w:val="000E51EC"/>
    <w:pPr>
      <w:spacing w:after="0" w:line="240" w:lineRule="auto"/>
    </w:pPr>
    <w:rPr>
      <w:i/>
      <w:iCs/>
      <w:sz w:val="20"/>
      <w:szCs w:val="20"/>
    </w:rPr>
  </w:style>
  <w:style w:type="character" w:customStyle="1" w:styleId="apple-converted-space">
    <w:name w:val="apple-converted-space"/>
    <w:basedOn w:val="DefaultParagraphFont"/>
    <w:rsid w:val="00C63C97"/>
  </w:style>
  <w:style w:type="character" w:styleId="HTMLCite">
    <w:name w:val="HTML Cite"/>
    <w:basedOn w:val="DefaultParagraphFont"/>
    <w:uiPriority w:val="99"/>
    <w:semiHidden/>
    <w:unhideWhenUsed/>
    <w:rsid w:val="00C63C97"/>
    <w:rPr>
      <w:i/>
      <w:iCs/>
    </w:rPr>
  </w:style>
  <w:style w:type="paragraph" w:styleId="PlainText">
    <w:name w:val="Plain Text"/>
    <w:basedOn w:val="Normal"/>
    <w:link w:val="PlainTextChar"/>
    <w:uiPriority w:val="99"/>
    <w:unhideWhenUsed/>
    <w:rsid w:val="000A34F7"/>
    <w:pPr>
      <w:spacing w:after="0" w:line="240" w:lineRule="auto"/>
    </w:pPr>
    <w:rPr>
      <w:rFonts w:ascii="Arial" w:eastAsiaTheme="minorHAnsi" w:hAnsi="Arial" w:cs="Arial"/>
      <w:i/>
      <w:iCs w:val="0"/>
      <w:sz w:val="24"/>
      <w:szCs w:val="24"/>
    </w:rPr>
  </w:style>
  <w:style w:type="character" w:customStyle="1" w:styleId="PlainTextChar">
    <w:name w:val="Plain Text Char"/>
    <w:basedOn w:val="DefaultParagraphFont"/>
    <w:link w:val="PlainText"/>
    <w:uiPriority w:val="99"/>
    <w:rsid w:val="000A34F7"/>
    <w:rPr>
      <w:rFonts w:ascii="Arial" w:eastAsiaTheme="minorHAnsi" w:hAnsi="Arial" w:cs="Arial"/>
      <w:sz w:val="24"/>
      <w:szCs w:val="24"/>
    </w:rPr>
  </w:style>
  <w:style w:type="table" w:customStyle="1" w:styleId="TableGrid1">
    <w:name w:val="Table Grid1"/>
    <w:basedOn w:val="TableNormal"/>
    <w:next w:val="TableGrid"/>
    <w:rsid w:val="004E405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AD17A7"/>
    <w:pPr>
      <w:spacing w:after="0" w:line="240" w:lineRule="auto"/>
    </w:pPr>
    <w:tblPr>
      <w:tblStyleRowBandSize w:val="1"/>
      <w:tblStyleColBandSize w:val="1"/>
      <w:tblBorders>
        <w:top w:val="single" w:sz="4" w:space="0" w:color="8B643B" w:themeColor="accent2"/>
        <w:left w:val="single" w:sz="4" w:space="0" w:color="8B643B" w:themeColor="accent2"/>
        <w:bottom w:val="single" w:sz="4" w:space="0" w:color="8B643B" w:themeColor="accent2"/>
        <w:right w:val="single" w:sz="4" w:space="0" w:color="8B643B" w:themeColor="accent2"/>
      </w:tblBorders>
    </w:tblPr>
    <w:tblStylePr w:type="firstRow">
      <w:rPr>
        <w:b/>
        <w:bCs/>
        <w:color w:val="FFFFFF" w:themeColor="background1"/>
      </w:rPr>
      <w:tblPr/>
      <w:tcPr>
        <w:shd w:val="clear" w:color="auto" w:fill="8B643B" w:themeFill="accent2"/>
      </w:tcPr>
    </w:tblStylePr>
    <w:tblStylePr w:type="lastRow">
      <w:rPr>
        <w:b/>
        <w:bCs/>
      </w:rPr>
      <w:tblPr/>
      <w:tcPr>
        <w:tcBorders>
          <w:top w:val="double" w:sz="4" w:space="0" w:color="8B64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643B" w:themeColor="accent2"/>
          <w:right w:val="single" w:sz="4" w:space="0" w:color="8B643B" w:themeColor="accent2"/>
        </w:tcBorders>
      </w:tcPr>
    </w:tblStylePr>
    <w:tblStylePr w:type="band1Horz">
      <w:tblPr/>
      <w:tcPr>
        <w:tcBorders>
          <w:top w:val="single" w:sz="4" w:space="0" w:color="8B643B" w:themeColor="accent2"/>
          <w:bottom w:val="single" w:sz="4" w:space="0" w:color="8B64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43B" w:themeColor="accent2"/>
          <w:left w:val="nil"/>
        </w:tcBorders>
      </w:tcPr>
    </w:tblStylePr>
    <w:tblStylePr w:type="swCell">
      <w:tblPr/>
      <w:tcPr>
        <w:tcBorders>
          <w:top w:val="double" w:sz="4" w:space="0" w:color="8B643B" w:themeColor="accent2"/>
          <w:right w:val="nil"/>
        </w:tcBorders>
      </w:tcPr>
    </w:tblStylePr>
  </w:style>
  <w:style w:type="table" w:styleId="ListTable3-Accent1">
    <w:name w:val="List Table 3 Accent 1"/>
    <w:basedOn w:val="TableNormal"/>
    <w:uiPriority w:val="48"/>
    <w:rsid w:val="00AD17A7"/>
    <w:pPr>
      <w:spacing w:after="0" w:line="240" w:lineRule="auto"/>
    </w:pPr>
    <w:tblPr>
      <w:tblStyleRowBandSize w:val="1"/>
      <w:tblStyleColBandSize w:val="1"/>
      <w:tblBorders>
        <w:top w:val="single" w:sz="4" w:space="0" w:color="5E1F71" w:themeColor="accent1"/>
        <w:left w:val="single" w:sz="4" w:space="0" w:color="5E1F71" w:themeColor="accent1"/>
        <w:bottom w:val="single" w:sz="4" w:space="0" w:color="5E1F71" w:themeColor="accent1"/>
        <w:right w:val="single" w:sz="4" w:space="0" w:color="5E1F71" w:themeColor="accent1"/>
      </w:tblBorders>
    </w:tblPr>
    <w:tblStylePr w:type="firstRow">
      <w:rPr>
        <w:b/>
        <w:bCs/>
        <w:color w:val="FFFFFF" w:themeColor="background1"/>
      </w:rPr>
      <w:tblPr/>
      <w:tcPr>
        <w:shd w:val="clear" w:color="auto" w:fill="5E1F71" w:themeFill="accent1"/>
      </w:tcPr>
    </w:tblStylePr>
    <w:tblStylePr w:type="lastRow">
      <w:rPr>
        <w:b/>
        <w:bCs/>
      </w:rPr>
      <w:tblPr/>
      <w:tcPr>
        <w:tcBorders>
          <w:top w:val="double" w:sz="4" w:space="0" w:color="5E1F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1F71" w:themeColor="accent1"/>
          <w:right w:val="single" w:sz="4" w:space="0" w:color="5E1F71" w:themeColor="accent1"/>
        </w:tcBorders>
      </w:tcPr>
    </w:tblStylePr>
    <w:tblStylePr w:type="band1Horz">
      <w:tblPr/>
      <w:tcPr>
        <w:tcBorders>
          <w:top w:val="single" w:sz="4" w:space="0" w:color="5E1F71" w:themeColor="accent1"/>
          <w:bottom w:val="single" w:sz="4" w:space="0" w:color="5E1F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1F71" w:themeColor="accent1"/>
          <w:left w:val="nil"/>
        </w:tcBorders>
      </w:tcPr>
    </w:tblStylePr>
    <w:tblStylePr w:type="swCell">
      <w:tblPr/>
      <w:tcPr>
        <w:tcBorders>
          <w:top w:val="double" w:sz="4" w:space="0" w:color="5E1F71" w:themeColor="accent1"/>
          <w:right w:val="nil"/>
        </w:tcBorders>
      </w:tcPr>
    </w:tblStylePr>
  </w:style>
  <w:style w:type="table" w:styleId="TableGridLight">
    <w:name w:val="Grid Table Light"/>
    <w:basedOn w:val="TableNormal"/>
    <w:uiPriority w:val="40"/>
    <w:rsid w:val="00212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7Colorful-Accent1">
    <w:name w:val="Grid Table 7 Colorful Accent 1"/>
    <w:basedOn w:val="TableNormal"/>
    <w:uiPriority w:val="52"/>
    <w:rsid w:val="0021204D"/>
    <w:pPr>
      <w:spacing w:after="0" w:line="240" w:lineRule="auto"/>
    </w:pPr>
    <w:rPr>
      <w:color w:val="451754" w:themeColor="accent1" w:themeShade="BF"/>
    </w:rPr>
    <w:tblPr>
      <w:tblStyleRowBandSize w:val="1"/>
      <w:tblStyleColBandSize w:val="1"/>
      <w:tblBorders>
        <w:top w:val="single" w:sz="4" w:space="0" w:color="B252CF" w:themeColor="accent1" w:themeTint="99"/>
        <w:left w:val="single" w:sz="4" w:space="0" w:color="B252CF" w:themeColor="accent1" w:themeTint="99"/>
        <w:bottom w:val="single" w:sz="4" w:space="0" w:color="B252CF" w:themeColor="accent1" w:themeTint="99"/>
        <w:right w:val="single" w:sz="4" w:space="0" w:color="B252CF" w:themeColor="accent1" w:themeTint="99"/>
        <w:insideH w:val="single" w:sz="4" w:space="0" w:color="B252CF" w:themeColor="accent1" w:themeTint="99"/>
        <w:insideV w:val="single" w:sz="4" w:space="0" w:color="B252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5EF" w:themeFill="accent1" w:themeFillTint="33"/>
      </w:tcPr>
    </w:tblStylePr>
    <w:tblStylePr w:type="band1Horz">
      <w:tblPr/>
      <w:tcPr>
        <w:shd w:val="clear" w:color="auto" w:fill="E5C5EF" w:themeFill="accent1" w:themeFillTint="33"/>
      </w:tcPr>
    </w:tblStylePr>
    <w:tblStylePr w:type="neCell">
      <w:tblPr/>
      <w:tcPr>
        <w:tcBorders>
          <w:bottom w:val="single" w:sz="4" w:space="0" w:color="B252CF" w:themeColor="accent1" w:themeTint="99"/>
        </w:tcBorders>
      </w:tcPr>
    </w:tblStylePr>
    <w:tblStylePr w:type="nwCell">
      <w:tblPr/>
      <w:tcPr>
        <w:tcBorders>
          <w:bottom w:val="single" w:sz="4" w:space="0" w:color="B252CF" w:themeColor="accent1" w:themeTint="99"/>
        </w:tcBorders>
      </w:tcPr>
    </w:tblStylePr>
    <w:tblStylePr w:type="seCell">
      <w:tblPr/>
      <w:tcPr>
        <w:tcBorders>
          <w:top w:val="single" w:sz="4" w:space="0" w:color="B252CF" w:themeColor="accent1" w:themeTint="99"/>
        </w:tcBorders>
      </w:tcPr>
    </w:tblStylePr>
    <w:tblStylePr w:type="swCell">
      <w:tblPr/>
      <w:tcPr>
        <w:tcBorders>
          <w:top w:val="single" w:sz="4" w:space="0" w:color="B252CF" w:themeColor="accent1" w:themeTint="99"/>
        </w:tcBorders>
      </w:tcPr>
    </w:tblStylePr>
  </w:style>
  <w:style w:type="table" w:styleId="PlainTable2">
    <w:name w:val="Plain Table 2"/>
    <w:basedOn w:val="TableNormal"/>
    <w:uiPriority w:val="42"/>
    <w:rsid w:val="001F50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7360">
      <w:bodyDiv w:val="1"/>
      <w:marLeft w:val="0"/>
      <w:marRight w:val="0"/>
      <w:marTop w:val="0"/>
      <w:marBottom w:val="0"/>
      <w:divBdr>
        <w:top w:val="none" w:sz="0" w:space="0" w:color="auto"/>
        <w:left w:val="none" w:sz="0" w:space="0" w:color="auto"/>
        <w:bottom w:val="none" w:sz="0" w:space="0" w:color="auto"/>
        <w:right w:val="none" w:sz="0" w:space="0" w:color="auto"/>
      </w:divBdr>
    </w:div>
    <w:div w:id="131290951">
      <w:bodyDiv w:val="1"/>
      <w:marLeft w:val="0"/>
      <w:marRight w:val="0"/>
      <w:marTop w:val="0"/>
      <w:marBottom w:val="0"/>
      <w:divBdr>
        <w:top w:val="none" w:sz="0" w:space="0" w:color="auto"/>
        <w:left w:val="none" w:sz="0" w:space="0" w:color="auto"/>
        <w:bottom w:val="none" w:sz="0" w:space="0" w:color="auto"/>
        <w:right w:val="none" w:sz="0" w:space="0" w:color="auto"/>
      </w:divBdr>
    </w:div>
    <w:div w:id="152918032">
      <w:bodyDiv w:val="1"/>
      <w:marLeft w:val="0"/>
      <w:marRight w:val="0"/>
      <w:marTop w:val="0"/>
      <w:marBottom w:val="0"/>
      <w:divBdr>
        <w:top w:val="none" w:sz="0" w:space="0" w:color="auto"/>
        <w:left w:val="none" w:sz="0" w:space="0" w:color="auto"/>
        <w:bottom w:val="none" w:sz="0" w:space="0" w:color="auto"/>
        <w:right w:val="none" w:sz="0" w:space="0" w:color="auto"/>
      </w:divBdr>
    </w:div>
    <w:div w:id="176162025">
      <w:bodyDiv w:val="1"/>
      <w:marLeft w:val="0"/>
      <w:marRight w:val="0"/>
      <w:marTop w:val="0"/>
      <w:marBottom w:val="0"/>
      <w:divBdr>
        <w:top w:val="none" w:sz="0" w:space="0" w:color="auto"/>
        <w:left w:val="none" w:sz="0" w:space="0" w:color="auto"/>
        <w:bottom w:val="none" w:sz="0" w:space="0" w:color="auto"/>
        <w:right w:val="none" w:sz="0" w:space="0" w:color="auto"/>
      </w:divBdr>
    </w:div>
    <w:div w:id="259917284">
      <w:bodyDiv w:val="1"/>
      <w:marLeft w:val="0"/>
      <w:marRight w:val="0"/>
      <w:marTop w:val="0"/>
      <w:marBottom w:val="0"/>
      <w:divBdr>
        <w:top w:val="none" w:sz="0" w:space="0" w:color="auto"/>
        <w:left w:val="none" w:sz="0" w:space="0" w:color="auto"/>
        <w:bottom w:val="none" w:sz="0" w:space="0" w:color="auto"/>
        <w:right w:val="none" w:sz="0" w:space="0" w:color="auto"/>
      </w:divBdr>
    </w:div>
    <w:div w:id="285356329">
      <w:bodyDiv w:val="1"/>
      <w:marLeft w:val="0"/>
      <w:marRight w:val="0"/>
      <w:marTop w:val="0"/>
      <w:marBottom w:val="0"/>
      <w:divBdr>
        <w:top w:val="none" w:sz="0" w:space="0" w:color="auto"/>
        <w:left w:val="none" w:sz="0" w:space="0" w:color="auto"/>
        <w:bottom w:val="none" w:sz="0" w:space="0" w:color="auto"/>
        <w:right w:val="none" w:sz="0" w:space="0" w:color="auto"/>
      </w:divBdr>
      <w:divsChild>
        <w:div w:id="916020326">
          <w:marLeft w:val="0"/>
          <w:marRight w:val="0"/>
          <w:marTop w:val="0"/>
          <w:marBottom w:val="0"/>
          <w:divBdr>
            <w:top w:val="none" w:sz="0" w:space="0" w:color="auto"/>
            <w:left w:val="single" w:sz="8" w:space="15" w:color="000099"/>
            <w:bottom w:val="none" w:sz="0" w:space="0" w:color="auto"/>
            <w:right w:val="none" w:sz="0" w:space="0" w:color="auto"/>
          </w:divBdr>
        </w:div>
      </w:divsChild>
    </w:div>
    <w:div w:id="314995684">
      <w:bodyDiv w:val="1"/>
      <w:marLeft w:val="0"/>
      <w:marRight w:val="0"/>
      <w:marTop w:val="0"/>
      <w:marBottom w:val="0"/>
      <w:divBdr>
        <w:top w:val="none" w:sz="0" w:space="0" w:color="auto"/>
        <w:left w:val="none" w:sz="0" w:space="0" w:color="auto"/>
        <w:bottom w:val="none" w:sz="0" w:space="0" w:color="auto"/>
        <w:right w:val="none" w:sz="0" w:space="0" w:color="auto"/>
      </w:divBdr>
    </w:div>
    <w:div w:id="315767533">
      <w:bodyDiv w:val="1"/>
      <w:marLeft w:val="0"/>
      <w:marRight w:val="0"/>
      <w:marTop w:val="0"/>
      <w:marBottom w:val="0"/>
      <w:divBdr>
        <w:top w:val="none" w:sz="0" w:space="0" w:color="auto"/>
        <w:left w:val="none" w:sz="0" w:space="0" w:color="auto"/>
        <w:bottom w:val="none" w:sz="0" w:space="0" w:color="auto"/>
        <w:right w:val="none" w:sz="0" w:space="0" w:color="auto"/>
      </w:divBdr>
    </w:div>
    <w:div w:id="388725786">
      <w:bodyDiv w:val="1"/>
      <w:marLeft w:val="0"/>
      <w:marRight w:val="0"/>
      <w:marTop w:val="0"/>
      <w:marBottom w:val="0"/>
      <w:divBdr>
        <w:top w:val="none" w:sz="0" w:space="0" w:color="auto"/>
        <w:left w:val="none" w:sz="0" w:space="0" w:color="auto"/>
        <w:bottom w:val="none" w:sz="0" w:space="0" w:color="auto"/>
        <w:right w:val="none" w:sz="0" w:space="0" w:color="auto"/>
      </w:divBdr>
    </w:div>
    <w:div w:id="431247212">
      <w:bodyDiv w:val="1"/>
      <w:marLeft w:val="0"/>
      <w:marRight w:val="0"/>
      <w:marTop w:val="0"/>
      <w:marBottom w:val="0"/>
      <w:divBdr>
        <w:top w:val="none" w:sz="0" w:space="0" w:color="auto"/>
        <w:left w:val="none" w:sz="0" w:space="0" w:color="auto"/>
        <w:bottom w:val="none" w:sz="0" w:space="0" w:color="auto"/>
        <w:right w:val="none" w:sz="0" w:space="0" w:color="auto"/>
      </w:divBdr>
    </w:div>
    <w:div w:id="460533339">
      <w:bodyDiv w:val="1"/>
      <w:marLeft w:val="0"/>
      <w:marRight w:val="0"/>
      <w:marTop w:val="0"/>
      <w:marBottom w:val="0"/>
      <w:divBdr>
        <w:top w:val="none" w:sz="0" w:space="0" w:color="auto"/>
        <w:left w:val="none" w:sz="0" w:space="0" w:color="auto"/>
        <w:bottom w:val="none" w:sz="0" w:space="0" w:color="auto"/>
        <w:right w:val="none" w:sz="0" w:space="0" w:color="auto"/>
      </w:divBdr>
    </w:div>
    <w:div w:id="496386972">
      <w:bodyDiv w:val="1"/>
      <w:marLeft w:val="0"/>
      <w:marRight w:val="0"/>
      <w:marTop w:val="0"/>
      <w:marBottom w:val="0"/>
      <w:divBdr>
        <w:top w:val="none" w:sz="0" w:space="0" w:color="auto"/>
        <w:left w:val="none" w:sz="0" w:space="0" w:color="auto"/>
        <w:bottom w:val="none" w:sz="0" w:space="0" w:color="auto"/>
        <w:right w:val="none" w:sz="0" w:space="0" w:color="auto"/>
      </w:divBdr>
    </w:div>
    <w:div w:id="514854921">
      <w:bodyDiv w:val="1"/>
      <w:marLeft w:val="0"/>
      <w:marRight w:val="0"/>
      <w:marTop w:val="0"/>
      <w:marBottom w:val="0"/>
      <w:divBdr>
        <w:top w:val="none" w:sz="0" w:space="0" w:color="auto"/>
        <w:left w:val="none" w:sz="0" w:space="0" w:color="auto"/>
        <w:bottom w:val="none" w:sz="0" w:space="0" w:color="auto"/>
        <w:right w:val="none" w:sz="0" w:space="0" w:color="auto"/>
      </w:divBdr>
    </w:div>
    <w:div w:id="516576633">
      <w:bodyDiv w:val="1"/>
      <w:marLeft w:val="0"/>
      <w:marRight w:val="0"/>
      <w:marTop w:val="0"/>
      <w:marBottom w:val="0"/>
      <w:divBdr>
        <w:top w:val="none" w:sz="0" w:space="0" w:color="auto"/>
        <w:left w:val="none" w:sz="0" w:space="0" w:color="auto"/>
        <w:bottom w:val="none" w:sz="0" w:space="0" w:color="auto"/>
        <w:right w:val="none" w:sz="0" w:space="0" w:color="auto"/>
      </w:divBdr>
    </w:div>
    <w:div w:id="546994159">
      <w:bodyDiv w:val="1"/>
      <w:marLeft w:val="0"/>
      <w:marRight w:val="0"/>
      <w:marTop w:val="0"/>
      <w:marBottom w:val="0"/>
      <w:divBdr>
        <w:top w:val="none" w:sz="0" w:space="0" w:color="auto"/>
        <w:left w:val="none" w:sz="0" w:space="0" w:color="auto"/>
        <w:bottom w:val="none" w:sz="0" w:space="0" w:color="auto"/>
        <w:right w:val="none" w:sz="0" w:space="0" w:color="auto"/>
      </w:divBdr>
    </w:div>
    <w:div w:id="548148221">
      <w:bodyDiv w:val="1"/>
      <w:marLeft w:val="0"/>
      <w:marRight w:val="0"/>
      <w:marTop w:val="0"/>
      <w:marBottom w:val="0"/>
      <w:divBdr>
        <w:top w:val="none" w:sz="0" w:space="0" w:color="auto"/>
        <w:left w:val="none" w:sz="0" w:space="0" w:color="auto"/>
        <w:bottom w:val="none" w:sz="0" w:space="0" w:color="auto"/>
        <w:right w:val="none" w:sz="0" w:space="0" w:color="auto"/>
      </w:divBdr>
    </w:div>
    <w:div w:id="566839270">
      <w:bodyDiv w:val="1"/>
      <w:marLeft w:val="0"/>
      <w:marRight w:val="0"/>
      <w:marTop w:val="0"/>
      <w:marBottom w:val="0"/>
      <w:divBdr>
        <w:top w:val="none" w:sz="0" w:space="0" w:color="auto"/>
        <w:left w:val="none" w:sz="0" w:space="0" w:color="auto"/>
        <w:bottom w:val="none" w:sz="0" w:space="0" w:color="auto"/>
        <w:right w:val="none" w:sz="0" w:space="0" w:color="auto"/>
      </w:divBdr>
    </w:div>
    <w:div w:id="726532570">
      <w:bodyDiv w:val="1"/>
      <w:marLeft w:val="0"/>
      <w:marRight w:val="0"/>
      <w:marTop w:val="0"/>
      <w:marBottom w:val="0"/>
      <w:divBdr>
        <w:top w:val="none" w:sz="0" w:space="0" w:color="auto"/>
        <w:left w:val="none" w:sz="0" w:space="0" w:color="auto"/>
        <w:bottom w:val="none" w:sz="0" w:space="0" w:color="auto"/>
        <w:right w:val="none" w:sz="0" w:space="0" w:color="auto"/>
      </w:divBdr>
    </w:div>
    <w:div w:id="740176416">
      <w:bodyDiv w:val="1"/>
      <w:marLeft w:val="0"/>
      <w:marRight w:val="0"/>
      <w:marTop w:val="0"/>
      <w:marBottom w:val="0"/>
      <w:divBdr>
        <w:top w:val="none" w:sz="0" w:space="0" w:color="auto"/>
        <w:left w:val="none" w:sz="0" w:space="0" w:color="auto"/>
        <w:bottom w:val="none" w:sz="0" w:space="0" w:color="auto"/>
        <w:right w:val="none" w:sz="0" w:space="0" w:color="auto"/>
      </w:divBdr>
    </w:div>
    <w:div w:id="752510401">
      <w:bodyDiv w:val="1"/>
      <w:marLeft w:val="0"/>
      <w:marRight w:val="0"/>
      <w:marTop w:val="0"/>
      <w:marBottom w:val="0"/>
      <w:divBdr>
        <w:top w:val="none" w:sz="0" w:space="0" w:color="auto"/>
        <w:left w:val="none" w:sz="0" w:space="0" w:color="auto"/>
        <w:bottom w:val="none" w:sz="0" w:space="0" w:color="auto"/>
        <w:right w:val="none" w:sz="0" w:space="0" w:color="auto"/>
      </w:divBdr>
    </w:div>
    <w:div w:id="855727868">
      <w:bodyDiv w:val="1"/>
      <w:marLeft w:val="0"/>
      <w:marRight w:val="0"/>
      <w:marTop w:val="0"/>
      <w:marBottom w:val="0"/>
      <w:divBdr>
        <w:top w:val="none" w:sz="0" w:space="0" w:color="auto"/>
        <w:left w:val="none" w:sz="0" w:space="0" w:color="auto"/>
        <w:bottom w:val="none" w:sz="0" w:space="0" w:color="auto"/>
        <w:right w:val="none" w:sz="0" w:space="0" w:color="auto"/>
      </w:divBdr>
    </w:div>
    <w:div w:id="972904358">
      <w:bodyDiv w:val="1"/>
      <w:marLeft w:val="0"/>
      <w:marRight w:val="0"/>
      <w:marTop w:val="0"/>
      <w:marBottom w:val="0"/>
      <w:divBdr>
        <w:top w:val="none" w:sz="0" w:space="0" w:color="auto"/>
        <w:left w:val="none" w:sz="0" w:space="0" w:color="auto"/>
        <w:bottom w:val="none" w:sz="0" w:space="0" w:color="auto"/>
        <w:right w:val="none" w:sz="0" w:space="0" w:color="auto"/>
      </w:divBdr>
    </w:div>
    <w:div w:id="1060205409">
      <w:bodyDiv w:val="1"/>
      <w:marLeft w:val="0"/>
      <w:marRight w:val="0"/>
      <w:marTop w:val="0"/>
      <w:marBottom w:val="0"/>
      <w:divBdr>
        <w:top w:val="none" w:sz="0" w:space="0" w:color="auto"/>
        <w:left w:val="none" w:sz="0" w:space="0" w:color="auto"/>
        <w:bottom w:val="none" w:sz="0" w:space="0" w:color="auto"/>
        <w:right w:val="none" w:sz="0" w:space="0" w:color="auto"/>
      </w:divBdr>
    </w:div>
    <w:div w:id="1071928459">
      <w:bodyDiv w:val="1"/>
      <w:marLeft w:val="0"/>
      <w:marRight w:val="0"/>
      <w:marTop w:val="0"/>
      <w:marBottom w:val="0"/>
      <w:divBdr>
        <w:top w:val="none" w:sz="0" w:space="0" w:color="auto"/>
        <w:left w:val="none" w:sz="0" w:space="0" w:color="auto"/>
        <w:bottom w:val="none" w:sz="0" w:space="0" w:color="auto"/>
        <w:right w:val="none" w:sz="0" w:space="0" w:color="auto"/>
      </w:divBdr>
    </w:div>
    <w:div w:id="1224831687">
      <w:bodyDiv w:val="1"/>
      <w:marLeft w:val="0"/>
      <w:marRight w:val="0"/>
      <w:marTop w:val="0"/>
      <w:marBottom w:val="0"/>
      <w:divBdr>
        <w:top w:val="none" w:sz="0" w:space="0" w:color="auto"/>
        <w:left w:val="none" w:sz="0" w:space="0" w:color="auto"/>
        <w:bottom w:val="none" w:sz="0" w:space="0" w:color="auto"/>
        <w:right w:val="none" w:sz="0" w:space="0" w:color="auto"/>
      </w:divBdr>
      <w:divsChild>
        <w:div w:id="1544243366">
          <w:marLeft w:val="0"/>
          <w:marRight w:val="0"/>
          <w:marTop w:val="0"/>
          <w:marBottom w:val="0"/>
          <w:divBdr>
            <w:top w:val="none" w:sz="0" w:space="0" w:color="auto"/>
            <w:left w:val="single" w:sz="8" w:space="15" w:color="000099"/>
            <w:bottom w:val="none" w:sz="0" w:space="0" w:color="auto"/>
            <w:right w:val="none" w:sz="0" w:space="0" w:color="auto"/>
          </w:divBdr>
        </w:div>
      </w:divsChild>
    </w:div>
    <w:div w:id="1304580043">
      <w:bodyDiv w:val="1"/>
      <w:marLeft w:val="0"/>
      <w:marRight w:val="0"/>
      <w:marTop w:val="0"/>
      <w:marBottom w:val="0"/>
      <w:divBdr>
        <w:top w:val="none" w:sz="0" w:space="0" w:color="auto"/>
        <w:left w:val="none" w:sz="0" w:space="0" w:color="auto"/>
        <w:bottom w:val="none" w:sz="0" w:space="0" w:color="auto"/>
        <w:right w:val="none" w:sz="0" w:space="0" w:color="auto"/>
      </w:divBdr>
    </w:div>
    <w:div w:id="1446265755">
      <w:bodyDiv w:val="1"/>
      <w:marLeft w:val="0"/>
      <w:marRight w:val="0"/>
      <w:marTop w:val="0"/>
      <w:marBottom w:val="0"/>
      <w:divBdr>
        <w:top w:val="none" w:sz="0" w:space="0" w:color="auto"/>
        <w:left w:val="none" w:sz="0" w:space="0" w:color="auto"/>
        <w:bottom w:val="none" w:sz="0" w:space="0" w:color="auto"/>
        <w:right w:val="none" w:sz="0" w:space="0" w:color="auto"/>
      </w:divBdr>
    </w:div>
    <w:div w:id="1452045217">
      <w:bodyDiv w:val="1"/>
      <w:marLeft w:val="0"/>
      <w:marRight w:val="0"/>
      <w:marTop w:val="0"/>
      <w:marBottom w:val="0"/>
      <w:divBdr>
        <w:top w:val="none" w:sz="0" w:space="0" w:color="auto"/>
        <w:left w:val="none" w:sz="0" w:space="0" w:color="auto"/>
        <w:bottom w:val="none" w:sz="0" w:space="0" w:color="auto"/>
        <w:right w:val="none" w:sz="0" w:space="0" w:color="auto"/>
      </w:divBdr>
    </w:div>
    <w:div w:id="1497651970">
      <w:bodyDiv w:val="1"/>
      <w:marLeft w:val="0"/>
      <w:marRight w:val="0"/>
      <w:marTop w:val="0"/>
      <w:marBottom w:val="0"/>
      <w:divBdr>
        <w:top w:val="none" w:sz="0" w:space="0" w:color="auto"/>
        <w:left w:val="none" w:sz="0" w:space="0" w:color="auto"/>
        <w:bottom w:val="none" w:sz="0" w:space="0" w:color="auto"/>
        <w:right w:val="none" w:sz="0" w:space="0" w:color="auto"/>
      </w:divBdr>
    </w:div>
    <w:div w:id="1538353894">
      <w:bodyDiv w:val="1"/>
      <w:marLeft w:val="0"/>
      <w:marRight w:val="0"/>
      <w:marTop w:val="0"/>
      <w:marBottom w:val="0"/>
      <w:divBdr>
        <w:top w:val="none" w:sz="0" w:space="0" w:color="auto"/>
        <w:left w:val="none" w:sz="0" w:space="0" w:color="auto"/>
        <w:bottom w:val="none" w:sz="0" w:space="0" w:color="auto"/>
        <w:right w:val="none" w:sz="0" w:space="0" w:color="auto"/>
      </w:divBdr>
    </w:div>
    <w:div w:id="1603758646">
      <w:bodyDiv w:val="1"/>
      <w:marLeft w:val="0"/>
      <w:marRight w:val="0"/>
      <w:marTop w:val="0"/>
      <w:marBottom w:val="0"/>
      <w:divBdr>
        <w:top w:val="none" w:sz="0" w:space="0" w:color="auto"/>
        <w:left w:val="none" w:sz="0" w:space="0" w:color="auto"/>
        <w:bottom w:val="none" w:sz="0" w:space="0" w:color="auto"/>
        <w:right w:val="none" w:sz="0" w:space="0" w:color="auto"/>
      </w:divBdr>
    </w:div>
    <w:div w:id="1608150166">
      <w:bodyDiv w:val="1"/>
      <w:marLeft w:val="0"/>
      <w:marRight w:val="0"/>
      <w:marTop w:val="0"/>
      <w:marBottom w:val="0"/>
      <w:divBdr>
        <w:top w:val="none" w:sz="0" w:space="0" w:color="auto"/>
        <w:left w:val="none" w:sz="0" w:space="0" w:color="auto"/>
        <w:bottom w:val="none" w:sz="0" w:space="0" w:color="auto"/>
        <w:right w:val="none" w:sz="0" w:space="0" w:color="auto"/>
      </w:divBdr>
    </w:div>
    <w:div w:id="1774478361">
      <w:bodyDiv w:val="1"/>
      <w:marLeft w:val="0"/>
      <w:marRight w:val="0"/>
      <w:marTop w:val="0"/>
      <w:marBottom w:val="0"/>
      <w:divBdr>
        <w:top w:val="none" w:sz="0" w:space="0" w:color="auto"/>
        <w:left w:val="none" w:sz="0" w:space="0" w:color="auto"/>
        <w:bottom w:val="none" w:sz="0" w:space="0" w:color="auto"/>
        <w:right w:val="none" w:sz="0" w:space="0" w:color="auto"/>
      </w:divBdr>
      <w:divsChild>
        <w:div w:id="2030718073">
          <w:marLeft w:val="0"/>
          <w:marRight w:val="0"/>
          <w:marTop w:val="0"/>
          <w:marBottom w:val="0"/>
          <w:divBdr>
            <w:top w:val="none" w:sz="0" w:space="0" w:color="auto"/>
            <w:left w:val="none" w:sz="0" w:space="0" w:color="auto"/>
            <w:bottom w:val="none" w:sz="0" w:space="0" w:color="auto"/>
            <w:right w:val="none" w:sz="0" w:space="0" w:color="auto"/>
          </w:divBdr>
          <w:divsChild>
            <w:div w:id="258485227">
              <w:marLeft w:val="0"/>
              <w:marRight w:val="0"/>
              <w:marTop w:val="0"/>
              <w:marBottom w:val="0"/>
              <w:divBdr>
                <w:top w:val="none" w:sz="0" w:space="0" w:color="auto"/>
                <w:left w:val="none" w:sz="0" w:space="0" w:color="auto"/>
                <w:bottom w:val="none" w:sz="0" w:space="0" w:color="auto"/>
                <w:right w:val="none" w:sz="0" w:space="0" w:color="auto"/>
              </w:divBdr>
              <w:divsChild>
                <w:div w:id="2041201752">
                  <w:marLeft w:val="900"/>
                  <w:marRight w:val="0"/>
                  <w:marTop w:val="375"/>
                  <w:marBottom w:val="600"/>
                  <w:divBdr>
                    <w:top w:val="none" w:sz="0" w:space="0" w:color="auto"/>
                    <w:left w:val="none" w:sz="0" w:space="0" w:color="auto"/>
                    <w:bottom w:val="none" w:sz="0" w:space="0" w:color="auto"/>
                    <w:right w:val="none" w:sz="0" w:space="0" w:color="auto"/>
                  </w:divBdr>
                </w:div>
              </w:divsChild>
            </w:div>
          </w:divsChild>
        </w:div>
      </w:divsChild>
    </w:div>
    <w:div w:id="1841891927">
      <w:bodyDiv w:val="1"/>
      <w:marLeft w:val="0"/>
      <w:marRight w:val="0"/>
      <w:marTop w:val="0"/>
      <w:marBottom w:val="0"/>
      <w:divBdr>
        <w:top w:val="none" w:sz="0" w:space="0" w:color="auto"/>
        <w:left w:val="none" w:sz="0" w:space="0" w:color="auto"/>
        <w:bottom w:val="none" w:sz="0" w:space="0" w:color="auto"/>
        <w:right w:val="none" w:sz="0" w:space="0" w:color="auto"/>
      </w:divBdr>
    </w:div>
    <w:div w:id="1863470234">
      <w:bodyDiv w:val="1"/>
      <w:marLeft w:val="0"/>
      <w:marRight w:val="0"/>
      <w:marTop w:val="0"/>
      <w:marBottom w:val="0"/>
      <w:divBdr>
        <w:top w:val="none" w:sz="0" w:space="0" w:color="auto"/>
        <w:left w:val="none" w:sz="0" w:space="0" w:color="auto"/>
        <w:bottom w:val="none" w:sz="0" w:space="0" w:color="auto"/>
        <w:right w:val="none" w:sz="0" w:space="0" w:color="auto"/>
      </w:divBdr>
    </w:div>
    <w:div w:id="1869751952">
      <w:bodyDiv w:val="1"/>
      <w:marLeft w:val="0"/>
      <w:marRight w:val="0"/>
      <w:marTop w:val="0"/>
      <w:marBottom w:val="0"/>
      <w:divBdr>
        <w:top w:val="none" w:sz="0" w:space="0" w:color="auto"/>
        <w:left w:val="none" w:sz="0" w:space="0" w:color="auto"/>
        <w:bottom w:val="none" w:sz="0" w:space="0" w:color="auto"/>
        <w:right w:val="none" w:sz="0" w:space="0" w:color="auto"/>
      </w:divBdr>
    </w:div>
    <w:div w:id="1914390207">
      <w:bodyDiv w:val="1"/>
      <w:marLeft w:val="0"/>
      <w:marRight w:val="0"/>
      <w:marTop w:val="0"/>
      <w:marBottom w:val="0"/>
      <w:divBdr>
        <w:top w:val="none" w:sz="0" w:space="0" w:color="auto"/>
        <w:left w:val="none" w:sz="0" w:space="0" w:color="auto"/>
        <w:bottom w:val="none" w:sz="0" w:space="0" w:color="auto"/>
        <w:right w:val="none" w:sz="0" w:space="0" w:color="auto"/>
      </w:divBdr>
    </w:div>
    <w:div w:id="201857590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hrc.qld.gov.au" TargetMode="External"/><Relationship Id="rId18" Type="http://schemas.openxmlformats.org/officeDocument/2006/relationships/footer" Target="footer2.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ata.qld.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chart" Target="charts/chart5.xml"/><Relationship Id="rId10" Type="http://schemas.microsoft.com/office/2007/relationships/hdphoto" Target="media/hdphoto1.wdp"/><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chart" Target="charts/chart4.xml"/><Relationship Id="rId30" Type="http://schemas.openxmlformats.org/officeDocument/2006/relationships/hyperlink" Target="http://www.qhrc.qld.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qhrc.qld.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qhrc.qld.gov.a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49164677804295"/>
          <c:y val="9.6153846153846159E-2"/>
          <c:w val="0.72792362768496421"/>
          <c:h val="0.68846153846153846"/>
        </c:manualLayout>
      </c:layout>
      <c:barChart>
        <c:barDir val="col"/>
        <c:grouping val="clustered"/>
        <c:varyColors val="0"/>
        <c:ser>
          <c:idx val="0"/>
          <c:order val="0"/>
          <c:tx>
            <c:strRef>
              <c:f>Analysis!$I$125</c:f>
              <c:strCache>
                <c:ptCount val="1"/>
                <c:pt idx="0">
                  <c:v>2018</c:v>
                </c:pt>
              </c:strCache>
            </c:strRef>
          </c:tx>
          <c:spPr>
            <a:solidFill>
              <a:schemeClr val="accent1"/>
            </a:solidFill>
            <a:ln>
              <a:noFill/>
            </a:ln>
            <a:effectLst/>
          </c:spPr>
          <c:invertIfNegative val="0"/>
          <c:cat>
            <c:strRef>
              <c:f>Analysis!$G$126:$H$130</c:f>
              <c:strCache>
                <c:ptCount val="5"/>
                <c:pt idx="0">
                  <c:v>Permanent</c:v>
                </c:pt>
                <c:pt idx="1">
                  <c:v>Temporary and casual</c:v>
                </c:pt>
                <c:pt idx="2">
                  <c:v>Full-time</c:v>
                </c:pt>
                <c:pt idx="3">
                  <c:v>Female</c:v>
                </c:pt>
                <c:pt idx="4">
                  <c:v>Male</c:v>
                </c:pt>
              </c:strCache>
            </c:strRef>
          </c:cat>
          <c:val>
            <c:numRef>
              <c:f>Analysis!$I$126:$I$130</c:f>
              <c:numCache>
                <c:formatCode>0%</c:formatCode>
                <c:ptCount val="5"/>
                <c:pt idx="0">
                  <c:v>0.88</c:v>
                </c:pt>
                <c:pt idx="1">
                  <c:v>0.12</c:v>
                </c:pt>
                <c:pt idx="2">
                  <c:v>0.82</c:v>
                </c:pt>
                <c:pt idx="3">
                  <c:v>0.81</c:v>
                </c:pt>
                <c:pt idx="4">
                  <c:v>0.19</c:v>
                </c:pt>
              </c:numCache>
            </c:numRef>
          </c:val>
          <c:extLst>
            <c:ext xmlns:c16="http://schemas.microsoft.com/office/drawing/2014/chart" uri="{C3380CC4-5D6E-409C-BE32-E72D297353CC}">
              <c16:uniqueId val="{00000000-91CA-4828-BF1D-1584DC4ACF9F}"/>
            </c:ext>
          </c:extLst>
        </c:ser>
        <c:ser>
          <c:idx val="1"/>
          <c:order val="1"/>
          <c:tx>
            <c:strRef>
              <c:f>Analysis!$J$125</c:f>
              <c:strCache>
                <c:ptCount val="1"/>
                <c:pt idx="0">
                  <c:v>2019</c:v>
                </c:pt>
              </c:strCache>
            </c:strRef>
          </c:tx>
          <c:spPr>
            <a:solidFill>
              <a:srgbClr val="3B4E98"/>
            </a:solidFill>
            <a:ln>
              <a:noFill/>
            </a:ln>
            <a:effectLst/>
          </c:spPr>
          <c:invertIfNegative val="0"/>
          <c:cat>
            <c:strRef>
              <c:f>Analysis!$G$126:$H$130</c:f>
              <c:strCache>
                <c:ptCount val="5"/>
                <c:pt idx="0">
                  <c:v>Permanent</c:v>
                </c:pt>
                <c:pt idx="1">
                  <c:v>Temporary and casual</c:v>
                </c:pt>
                <c:pt idx="2">
                  <c:v>Full-time</c:v>
                </c:pt>
                <c:pt idx="3">
                  <c:v>Female</c:v>
                </c:pt>
                <c:pt idx="4">
                  <c:v>Male</c:v>
                </c:pt>
              </c:strCache>
            </c:strRef>
          </c:cat>
          <c:val>
            <c:numRef>
              <c:f>Analysis!$J$126:$J$130</c:f>
              <c:numCache>
                <c:formatCode>0%</c:formatCode>
                <c:ptCount val="5"/>
                <c:pt idx="0">
                  <c:v>0.89</c:v>
                </c:pt>
                <c:pt idx="1">
                  <c:v>0.11</c:v>
                </c:pt>
                <c:pt idx="2">
                  <c:v>0.81</c:v>
                </c:pt>
                <c:pt idx="3">
                  <c:v>0.8</c:v>
                </c:pt>
                <c:pt idx="4">
                  <c:v>0.2</c:v>
                </c:pt>
              </c:numCache>
            </c:numRef>
          </c:val>
          <c:extLst>
            <c:ext xmlns:c16="http://schemas.microsoft.com/office/drawing/2014/chart" uri="{C3380CC4-5D6E-409C-BE32-E72D297353CC}">
              <c16:uniqueId val="{00000001-91CA-4828-BF1D-1584DC4ACF9F}"/>
            </c:ext>
          </c:extLst>
        </c:ser>
        <c:dLbls>
          <c:showLegendKey val="0"/>
          <c:showVal val="0"/>
          <c:showCatName val="0"/>
          <c:showSerName val="0"/>
          <c:showPercent val="0"/>
          <c:showBubbleSize val="0"/>
        </c:dLbls>
        <c:gapWidth val="219"/>
        <c:overlap val="-27"/>
        <c:axId val="100701312"/>
        <c:axId val="100702848"/>
      </c:barChart>
      <c:catAx>
        <c:axId val="10070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02848"/>
        <c:crosses val="autoZero"/>
        <c:auto val="1"/>
        <c:lblAlgn val="ctr"/>
        <c:lblOffset val="100"/>
        <c:tickLblSkip val="1"/>
        <c:tickMarkSkip val="1"/>
        <c:noMultiLvlLbl val="0"/>
      </c:catAx>
      <c:valAx>
        <c:axId val="100702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01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
          <c:y val="0.22633835816276912"/>
          <c:w val="0.72836538461538458"/>
          <c:h val="0.51440535946083887"/>
        </c:manualLayout>
      </c:layout>
      <c:barChart>
        <c:barDir val="col"/>
        <c:grouping val="clustered"/>
        <c:varyColors val="0"/>
        <c:ser>
          <c:idx val="0"/>
          <c:order val="0"/>
          <c:tx>
            <c:strRef>
              <c:f>'Balance Sheet'!$S$4</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'Balance Sheet'!$R$5:$R$7</c:f>
              <c:strCache>
                <c:ptCount val="3"/>
                <c:pt idx="0">
                  <c:v>Assets</c:v>
                </c:pt>
                <c:pt idx="1">
                  <c:v>Liabilities</c:v>
                </c:pt>
                <c:pt idx="2">
                  <c:v>Net Worth</c:v>
                </c:pt>
              </c:strCache>
            </c:strRef>
          </c:cat>
          <c:val>
            <c:numRef>
              <c:f>'Balance Sheet'!$S$5:$S$7</c:f>
              <c:numCache>
                <c:formatCode>#,##0</c:formatCode>
                <c:ptCount val="3"/>
                <c:pt idx="0">
                  <c:v>1611</c:v>
                </c:pt>
                <c:pt idx="1">
                  <c:v>499</c:v>
                </c:pt>
                <c:pt idx="2">
                  <c:v>1112</c:v>
                </c:pt>
              </c:numCache>
            </c:numRef>
          </c:val>
          <c:extLst>
            <c:ext xmlns:c16="http://schemas.microsoft.com/office/drawing/2014/chart" uri="{C3380CC4-5D6E-409C-BE32-E72D297353CC}">
              <c16:uniqueId val="{00000000-7FCC-4ECF-B3FF-A2C400581E27}"/>
            </c:ext>
          </c:extLst>
        </c:ser>
        <c:ser>
          <c:idx val="1"/>
          <c:order val="1"/>
          <c:tx>
            <c:strRef>
              <c:f>'Balance Sheet'!$T$4</c:f>
              <c:strCache>
                <c:ptCount val="1"/>
                <c:pt idx="0">
                  <c:v>2018</c:v>
                </c:pt>
              </c:strCache>
            </c:strRef>
          </c:tx>
          <c:spPr>
            <a:solidFill>
              <a:srgbClr val="3B4E9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'Balance Sheet'!$R$5:$R$7</c:f>
              <c:strCache>
                <c:ptCount val="3"/>
                <c:pt idx="0">
                  <c:v>Assets</c:v>
                </c:pt>
                <c:pt idx="1">
                  <c:v>Liabilities</c:v>
                </c:pt>
                <c:pt idx="2">
                  <c:v>Net Worth</c:v>
                </c:pt>
              </c:strCache>
            </c:strRef>
          </c:cat>
          <c:val>
            <c:numRef>
              <c:f>'Balance Sheet'!$T$5:$T$7</c:f>
              <c:numCache>
                <c:formatCode>#,##0</c:formatCode>
                <c:ptCount val="3"/>
                <c:pt idx="0">
                  <c:v>1332</c:v>
                </c:pt>
                <c:pt idx="1">
                  <c:v>480</c:v>
                </c:pt>
                <c:pt idx="2">
                  <c:v>852</c:v>
                </c:pt>
              </c:numCache>
            </c:numRef>
          </c:val>
          <c:extLst>
            <c:ext xmlns:c16="http://schemas.microsoft.com/office/drawing/2014/chart" uri="{C3380CC4-5D6E-409C-BE32-E72D297353CC}">
              <c16:uniqueId val="{00000001-7FCC-4ECF-B3FF-A2C400581E27}"/>
            </c:ext>
          </c:extLst>
        </c:ser>
        <c:dLbls>
          <c:dLblPos val="outEnd"/>
          <c:showLegendKey val="0"/>
          <c:showVal val="1"/>
          <c:showCatName val="0"/>
          <c:showSerName val="0"/>
          <c:showPercent val="0"/>
          <c:showBubbleSize val="0"/>
        </c:dLbls>
        <c:gapWidth val="219"/>
        <c:overlap val="-27"/>
        <c:axId val="342879048"/>
        <c:axId val="1"/>
      </c:barChart>
      <c:catAx>
        <c:axId val="34287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$'000</a:t>
                </a:r>
              </a:p>
            </c:rich>
          </c:tx>
          <c:layout>
            <c:manualLayout>
              <c:xMode val="edge"/>
              <c:yMode val="edge"/>
              <c:x val="0.45192307692307693"/>
              <c:y val="0.851855326594813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879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0441934734549"/>
          <c:y val="0.17676811268967185"/>
          <c:w val="0.72815649043741537"/>
          <c:h val="0.66666831071533383"/>
        </c:manualLayout>
      </c:layout>
      <c:barChart>
        <c:barDir val="col"/>
        <c:grouping val="clustered"/>
        <c:varyColors val="0"/>
        <c:ser>
          <c:idx val="0"/>
          <c:order val="0"/>
          <c:tx>
            <c:strRef>
              <c:f>'Operating Statement'!$B$8</c:f>
              <c:strCache>
                <c:ptCount val="1"/>
                <c:pt idx="0">
                  <c:v>2018/19</c:v>
                </c:pt>
              </c:strCache>
            </c:strRef>
          </c:tx>
          <c:spPr>
            <a:solidFill>
              <a:schemeClr val="accent1"/>
            </a:solidFill>
            <a:ln>
              <a:noFill/>
            </a:ln>
            <a:effectLst/>
          </c:spPr>
          <c:invertIfNegative val="0"/>
          <c:cat>
            <c:strRef>
              <c:f>'Operating Statement'!$A$9:$A$12</c:f>
              <c:strCache>
                <c:ptCount val="4"/>
                <c:pt idx="0">
                  <c:v>User charges</c:v>
                </c:pt>
                <c:pt idx="1">
                  <c:v>Grants</c:v>
                </c:pt>
                <c:pt idx="2">
                  <c:v>Other revenues</c:v>
                </c:pt>
                <c:pt idx="3">
                  <c:v>Total Income</c:v>
                </c:pt>
              </c:strCache>
            </c:strRef>
          </c:cat>
          <c:val>
            <c:numRef>
              <c:f>'Operating Statement'!$B$9:$B$12</c:f>
              <c:numCache>
                <c:formatCode>#,##0</c:formatCode>
                <c:ptCount val="4"/>
                <c:pt idx="0">
                  <c:v>190</c:v>
                </c:pt>
                <c:pt idx="1">
                  <c:v>5872</c:v>
                </c:pt>
                <c:pt idx="2">
                  <c:v>20</c:v>
                </c:pt>
                <c:pt idx="3">
                  <c:v>6082</c:v>
                </c:pt>
              </c:numCache>
            </c:numRef>
          </c:val>
          <c:extLst>
            <c:ext xmlns:c16="http://schemas.microsoft.com/office/drawing/2014/chart" uri="{C3380CC4-5D6E-409C-BE32-E72D297353CC}">
              <c16:uniqueId val="{00000000-E918-4103-AD6B-45E980103ED4}"/>
            </c:ext>
          </c:extLst>
        </c:ser>
        <c:ser>
          <c:idx val="1"/>
          <c:order val="1"/>
          <c:tx>
            <c:strRef>
              <c:f>'Operating Statement'!$C$8</c:f>
              <c:strCache>
                <c:ptCount val="1"/>
                <c:pt idx="0">
                  <c:v>2017/18</c:v>
                </c:pt>
              </c:strCache>
            </c:strRef>
          </c:tx>
          <c:spPr>
            <a:solidFill>
              <a:srgbClr val="3B4E98"/>
            </a:solidFill>
            <a:ln>
              <a:noFill/>
            </a:ln>
            <a:effectLst/>
          </c:spPr>
          <c:invertIfNegative val="0"/>
          <c:cat>
            <c:strRef>
              <c:f>'Operating Statement'!$A$9:$A$12</c:f>
              <c:strCache>
                <c:ptCount val="4"/>
                <c:pt idx="0">
                  <c:v>User charges</c:v>
                </c:pt>
                <c:pt idx="1">
                  <c:v>Grants</c:v>
                </c:pt>
                <c:pt idx="2">
                  <c:v>Other revenues</c:v>
                </c:pt>
                <c:pt idx="3">
                  <c:v>Total Income</c:v>
                </c:pt>
              </c:strCache>
            </c:strRef>
          </c:cat>
          <c:val>
            <c:numRef>
              <c:f>'Operating Statement'!$C$9:$C$12</c:f>
              <c:numCache>
                <c:formatCode>#,##0</c:formatCode>
                <c:ptCount val="4"/>
                <c:pt idx="0">
                  <c:v>205</c:v>
                </c:pt>
                <c:pt idx="1">
                  <c:v>5323</c:v>
                </c:pt>
                <c:pt idx="2">
                  <c:v>28</c:v>
                </c:pt>
                <c:pt idx="3">
                  <c:v>5556</c:v>
                </c:pt>
              </c:numCache>
            </c:numRef>
          </c:val>
          <c:extLst>
            <c:ext xmlns:c16="http://schemas.microsoft.com/office/drawing/2014/chart" uri="{C3380CC4-5D6E-409C-BE32-E72D297353CC}">
              <c16:uniqueId val="{00000001-E918-4103-AD6B-45E980103ED4}"/>
            </c:ext>
          </c:extLst>
        </c:ser>
        <c:dLbls>
          <c:showLegendKey val="0"/>
          <c:showVal val="0"/>
          <c:showCatName val="0"/>
          <c:showSerName val="0"/>
          <c:showPercent val="0"/>
          <c:showBubbleSize val="0"/>
        </c:dLbls>
        <c:gapWidth val="219"/>
        <c:overlap val="-27"/>
        <c:axId val="522189992"/>
        <c:axId val="1"/>
      </c:barChart>
      <c:catAx>
        <c:axId val="52218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$'000</a:t>
                </a:r>
              </a:p>
            </c:rich>
          </c:tx>
          <c:layout>
            <c:manualLayout>
              <c:xMode val="edge"/>
              <c:yMode val="edge"/>
              <c:x val="2.3711169574330911E-3"/>
              <c:y val="0.467172756556256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189992"/>
        <c:crosses val="autoZero"/>
        <c:crossBetween val="between"/>
      </c:valAx>
      <c:spPr>
        <a:noFill/>
        <a:ln>
          <a:noFill/>
        </a:ln>
        <a:effectLst/>
      </c:spPr>
    </c:plotArea>
    <c:legend>
      <c:legendPos val="b"/>
      <c:layout>
        <c:manualLayout>
          <c:xMode val="edge"/>
          <c:yMode val="edge"/>
          <c:x val="0.35332837180447257"/>
          <c:y val="0.91761607665777312"/>
          <c:w val="0.29334302490448283"/>
          <c:h val="8.23839233422268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5"/>
      <c:rotY val="0"/>
      <c:rAngAx val="0"/>
      <c:perspective val="0"/>
    </c:view3D>
    <c:floor>
      <c:thickness val="0"/>
    </c:floor>
    <c:sideWall>
      <c:thickness val="0"/>
    </c:sideWall>
    <c:backWall>
      <c:thickness val="0"/>
    </c:backWall>
    <c:plotArea>
      <c:layout>
        <c:manualLayout>
          <c:layoutTarget val="inner"/>
          <c:xMode val="edge"/>
          <c:yMode val="edge"/>
          <c:x val="5.5290017131564208E-2"/>
          <c:y val="0.15627363373471445"/>
          <c:w val="0.41868478660929531"/>
          <c:h val="0.57555462055792639"/>
        </c:manualLayout>
      </c:layout>
      <c:pie3DChart>
        <c:varyColors val="1"/>
        <c:ser>
          <c:idx val="0"/>
          <c:order val="0"/>
          <c:spPr>
            <a:solidFill>
              <a:srgbClr val="9999FF"/>
            </a:solidFill>
            <a:ln w="12700">
              <a:solidFill>
                <a:srgbClr val="000000"/>
              </a:solidFill>
              <a:prstDash val="solid"/>
            </a:ln>
          </c:spPr>
          <c:explosion val="25"/>
          <c:dPt>
            <c:idx val="0"/>
            <c:bubble3D val="0"/>
            <c:spPr>
              <a:solidFill>
                <a:schemeClr val="tx2"/>
              </a:solidFill>
              <a:ln w="12700">
                <a:solidFill>
                  <a:srgbClr val="000000"/>
                </a:solidFill>
                <a:prstDash val="solid"/>
              </a:ln>
            </c:spPr>
            <c:extLst>
              <c:ext xmlns:c16="http://schemas.microsoft.com/office/drawing/2014/chart" uri="{C3380CC4-5D6E-409C-BE32-E72D297353CC}">
                <c16:uniqueId val="{00000000-165E-466A-909A-542CCFDFE248}"/>
              </c:ext>
            </c:extLst>
          </c:dPt>
          <c:dPt>
            <c:idx val="1"/>
            <c:bubble3D val="0"/>
            <c:spPr>
              <a:solidFill>
                <a:srgbClr val="3B4E98"/>
              </a:solidFill>
              <a:ln w="12700">
                <a:solidFill>
                  <a:srgbClr val="000000"/>
                </a:solidFill>
                <a:prstDash val="solid"/>
              </a:ln>
            </c:spPr>
            <c:extLst>
              <c:ext xmlns:c16="http://schemas.microsoft.com/office/drawing/2014/chart" uri="{C3380CC4-5D6E-409C-BE32-E72D297353CC}">
                <c16:uniqueId val="{00000002-165E-466A-909A-542CCFDFE248}"/>
              </c:ext>
            </c:extLst>
          </c:dPt>
          <c:dPt>
            <c:idx val="2"/>
            <c:bubble3D val="0"/>
            <c:spPr>
              <a:solidFill>
                <a:srgbClr val="0070C0"/>
              </a:solidFill>
              <a:ln w="12700">
                <a:solidFill>
                  <a:srgbClr val="000000"/>
                </a:solidFill>
                <a:prstDash val="solid"/>
              </a:ln>
            </c:spPr>
            <c:extLst>
              <c:ext xmlns:c16="http://schemas.microsoft.com/office/drawing/2014/chart" uri="{C3380CC4-5D6E-409C-BE32-E72D297353CC}">
                <c16:uniqueId val="{00000004-165E-466A-909A-542CCFDFE248}"/>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165E-466A-909A-542CCFDFE248}"/>
              </c:ext>
            </c:extLst>
          </c:dPt>
          <c:dLbls>
            <c:dLbl>
              <c:idx val="0"/>
              <c:layout>
                <c:manualLayout>
                  <c:x val="7.2724957529859385E-2"/>
                  <c:y val="3.496596228755261E-2"/>
                </c:manualLayout>
              </c:layout>
              <c:numFmt formatCode="0.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165E-466A-909A-542CCFDFE248}"/>
                </c:ext>
              </c:extLst>
            </c:dLbl>
            <c:dLbl>
              <c:idx val="1"/>
              <c:layout>
                <c:manualLayout>
                  <c:x val="-4.6788386011538313E-2"/>
                  <c:y val="9.9349642363406862E-2"/>
                </c:manualLayout>
              </c:layout>
              <c:numFmt formatCode="0.0%" sourceLinked="0"/>
              <c:spPr>
                <a:noFill/>
                <a:ln w="25400">
                  <a:noFill/>
                </a:ln>
              </c:spPr>
              <c:txPr>
                <a:bodyPr wrap="square" lIns="38100" tIns="19050" rIns="38100" bIns="19050" anchor="ctr">
                  <a:noAutofit/>
                </a:bodyPr>
                <a:lstStyle/>
                <a:p>
                  <a:pPr>
                    <a:defRPr sz="800"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9.3532871465968184E-2"/>
                      <c:h val="0.14720949957591178"/>
                    </c:manualLayout>
                  </c15:layout>
                </c:ext>
                <c:ext xmlns:c16="http://schemas.microsoft.com/office/drawing/2014/chart" uri="{C3380CC4-5D6E-409C-BE32-E72D297353CC}">
                  <c16:uniqueId val="{00000002-165E-466A-909A-542CCFDFE248}"/>
                </c:ext>
              </c:extLst>
            </c:dLbl>
            <c:dLbl>
              <c:idx val="2"/>
              <c:layout>
                <c:manualLayout>
                  <c:x val="-0.12765645325008271"/>
                  <c:y val="-1.9385932998890999E-2"/>
                </c:manualLayout>
              </c:layout>
              <c:numFmt formatCode="0.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165E-466A-909A-542CCFDFE248}"/>
                </c:ext>
              </c:extLst>
            </c:dLbl>
            <c:dLbl>
              <c:idx val="3"/>
              <c:layout>
                <c:manualLayout>
                  <c:x val="0.23528314255963845"/>
                  <c:y val="-7.4483672246742863E-2"/>
                </c:manualLayout>
              </c:layout>
              <c:numFmt formatCode="0.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165E-466A-909A-542CCFDFE248}"/>
                </c:ext>
              </c:extLst>
            </c:dLbl>
            <c:numFmt formatCode="0.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'Operating Statement'!$A$16:$A$19</c:f>
              <c:strCache>
                <c:ptCount val="4"/>
                <c:pt idx="0">
                  <c:v>Employee expenses</c:v>
                </c:pt>
                <c:pt idx="1">
                  <c:v>Supplies and services</c:v>
                </c:pt>
                <c:pt idx="2">
                  <c:v>Depreciation</c:v>
                </c:pt>
                <c:pt idx="3">
                  <c:v>Other expenses</c:v>
                </c:pt>
              </c:strCache>
            </c:strRef>
          </c:cat>
          <c:val>
            <c:numRef>
              <c:f>'Operating Statement'!$B$16:$B$19</c:f>
              <c:numCache>
                <c:formatCode>#,##0</c:formatCode>
                <c:ptCount val="4"/>
                <c:pt idx="0">
                  <c:v>4082</c:v>
                </c:pt>
                <c:pt idx="1">
                  <c:v>1746</c:v>
                </c:pt>
                <c:pt idx="2">
                  <c:v>161</c:v>
                </c:pt>
                <c:pt idx="3">
                  <c:v>33</c:v>
                </c:pt>
              </c:numCache>
            </c:numRef>
          </c:val>
          <c:extLst>
            <c:ext xmlns:c16="http://schemas.microsoft.com/office/drawing/2014/chart" uri="{C3380CC4-5D6E-409C-BE32-E72D297353CC}">
              <c16:uniqueId val="{00000007-165E-466A-909A-542CCFDFE248}"/>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2494526737073633"/>
          <c:y val="8.7622251102107376E-2"/>
          <c:w val="0.6603333074308142"/>
          <c:h val="0.41573185763349146"/>
        </c:manualLayout>
      </c:layout>
      <c:pie3DChart>
        <c:varyColors val="1"/>
        <c:ser>
          <c:idx val="0"/>
          <c:order val="0"/>
          <c:spPr>
            <a:solidFill>
              <a:srgbClr val="9999FF"/>
            </a:solidFill>
            <a:ln w="12700">
              <a:solidFill>
                <a:srgbClr val="000000"/>
              </a:solidFill>
              <a:prstDash val="solid"/>
            </a:ln>
          </c:spPr>
          <c:explosion val="20"/>
          <c:dPt>
            <c:idx val="0"/>
            <c:bubble3D val="0"/>
            <c:extLst>
              <c:ext xmlns:c16="http://schemas.microsoft.com/office/drawing/2014/chart" uri="{C3380CC4-5D6E-409C-BE32-E72D297353CC}">
                <c16:uniqueId val="{00000000-9B44-4982-A838-30BDF0660284}"/>
              </c:ext>
            </c:extLst>
          </c:dPt>
          <c:dPt>
            <c:idx val="1"/>
            <c:bubble3D val="0"/>
            <c:spPr>
              <a:solidFill>
                <a:schemeClr val="accent1"/>
              </a:solidFill>
              <a:ln w="12700">
                <a:solidFill>
                  <a:srgbClr val="000000"/>
                </a:solidFill>
                <a:prstDash val="solid"/>
              </a:ln>
            </c:spPr>
            <c:extLst>
              <c:ext xmlns:c16="http://schemas.microsoft.com/office/drawing/2014/chart" uri="{C3380CC4-5D6E-409C-BE32-E72D297353CC}">
                <c16:uniqueId val="{00000002-9B44-4982-A838-30BDF0660284}"/>
              </c:ext>
            </c:extLst>
          </c:dPt>
          <c:dPt>
            <c:idx val="2"/>
            <c:bubble3D val="0"/>
            <c:spPr>
              <a:solidFill>
                <a:srgbClr val="3B4E98"/>
              </a:solidFill>
              <a:ln w="12700">
                <a:solidFill>
                  <a:srgbClr val="000000"/>
                </a:solidFill>
                <a:prstDash val="solid"/>
              </a:ln>
            </c:spPr>
            <c:extLst>
              <c:ext xmlns:c16="http://schemas.microsoft.com/office/drawing/2014/chart" uri="{C3380CC4-5D6E-409C-BE32-E72D297353CC}">
                <c16:uniqueId val="{00000004-9B44-4982-A838-30BDF066028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9B44-4982-A838-30BDF0660284}"/>
              </c:ext>
            </c:extLst>
          </c:dPt>
          <c:dPt>
            <c:idx val="4"/>
            <c:bubble3D val="0"/>
            <c:spPr>
              <a:solidFill>
                <a:srgbClr val="0070C0"/>
              </a:solidFill>
              <a:ln w="12700">
                <a:solidFill>
                  <a:srgbClr val="000000"/>
                </a:solidFill>
                <a:prstDash val="solid"/>
              </a:ln>
            </c:spPr>
            <c:extLst>
              <c:ext xmlns:c16="http://schemas.microsoft.com/office/drawing/2014/chart" uri="{C3380CC4-5D6E-409C-BE32-E72D297353CC}">
                <c16:uniqueId val="{00000008-9B44-4982-A838-30BDF0660284}"/>
              </c:ext>
            </c:extLst>
          </c:dPt>
          <c:dLbls>
            <c:dLbl>
              <c:idx val="0"/>
              <c:layout>
                <c:manualLayout>
                  <c:x val="-6.684472041944875E-2"/>
                  <c:y val="-0.10461411424695509"/>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9B44-4982-A838-30BDF0660284}"/>
                </c:ext>
              </c:extLst>
            </c:dLbl>
            <c:dLbl>
              <c:idx val="1"/>
              <c:layout>
                <c:manualLayout>
                  <c:x val="0.11700575432821492"/>
                  <c:y val="7.5428942168745766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9B44-4982-A838-30BDF0660284}"/>
                </c:ext>
              </c:extLst>
            </c:dLbl>
            <c:dLbl>
              <c:idx val="2"/>
              <c:layout>
                <c:manualLayout>
                  <c:x val="-3.5834822345826224E-2"/>
                  <c:y val="-1.8972401003599863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092141290114113"/>
                      <c:h val="0.17859762675296656"/>
                    </c:manualLayout>
                  </c15:layout>
                </c:ext>
                <c:ext xmlns:c16="http://schemas.microsoft.com/office/drawing/2014/chart" uri="{C3380CC4-5D6E-409C-BE32-E72D297353CC}">
                  <c16:uniqueId val="{00000004-9B44-4982-A838-30BDF0660284}"/>
                </c:ext>
              </c:extLst>
            </c:dLbl>
            <c:dLbl>
              <c:idx val="4"/>
              <c:layout>
                <c:manualLayout>
                  <c:x val="4.7276263863691624E-2"/>
                  <c:y val="-4.1815447226400071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8-9B44-4982-A838-30BDF0660284}"/>
                </c:ext>
              </c:extLst>
            </c:dLbl>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'Balance Sheet'!$F$5:$F$9</c:f>
              <c:strCache>
                <c:ptCount val="5"/>
                <c:pt idx="0">
                  <c:v>Cash</c:v>
                </c:pt>
                <c:pt idx="1">
                  <c:v>Plant &amp; Equipment</c:v>
                </c:pt>
                <c:pt idx="2">
                  <c:v>Intangible Assets</c:v>
                </c:pt>
                <c:pt idx="3">
                  <c:v>Receivables</c:v>
                </c:pt>
                <c:pt idx="4">
                  <c:v>Other</c:v>
                </c:pt>
              </c:strCache>
            </c:strRef>
          </c:cat>
          <c:val>
            <c:numRef>
              <c:f>'Balance Sheet'!$G$5:$G$9</c:f>
              <c:numCache>
                <c:formatCode>#,##0</c:formatCode>
                <c:ptCount val="5"/>
                <c:pt idx="0">
                  <c:v>400</c:v>
                </c:pt>
                <c:pt idx="1">
                  <c:v>502</c:v>
                </c:pt>
                <c:pt idx="2">
                  <c:v>591</c:v>
                </c:pt>
                <c:pt idx="3">
                  <c:v>21</c:v>
                </c:pt>
                <c:pt idx="4">
                  <c:v>97</c:v>
                </c:pt>
              </c:numCache>
            </c:numRef>
          </c:val>
          <c:extLst>
            <c:ext xmlns:c16="http://schemas.microsoft.com/office/drawing/2014/chart" uri="{C3380CC4-5D6E-409C-BE32-E72D297353CC}">
              <c16:uniqueId val="{00000009-9B44-4982-A838-30BDF0660284}"/>
            </c:ext>
          </c:extLst>
        </c:ser>
        <c:ser>
          <c:idx val="1"/>
          <c:order val="1"/>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B-9B44-4982-A838-30BDF0660284}"/>
              </c:ext>
            </c:extLst>
          </c:dPt>
          <c:dPt>
            <c:idx val="1"/>
            <c:bubble3D val="0"/>
            <c:extLst>
              <c:ext xmlns:c16="http://schemas.microsoft.com/office/drawing/2014/chart" uri="{C3380CC4-5D6E-409C-BE32-E72D297353CC}">
                <c16:uniqueId val="{0000000C-9B44-4982-A838-30BDF066028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E-9B44-4982-A838-30BDF066028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0-9B44-4982-A838-30BDF066028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2-9B44-4982-A838-30BDF0660284}"/>
              </c:ext>
            </c:extLst>
          </c:dPt>
          <c:dLbls>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'Balance Sheet'!$F$5:$F$9</c:f>
              <c:strCache>
                <c:ptCount val="5"/>
                <c:pt idx="0">
                  <c:v>Cash</c:v>
                </c:pt>
                <c:pt idx="1">
                  <c:v>Plant &amp; Equipment</c:v>
                </c:pt>
                <c:pt idx="2">
                  <c:v>Intangible Assets</c:v>
                </c:pt>
                <c:pt idx="3">
                  <c:v>Receivables</c:v>
                </c:pt>
                <c:pt idx="4">
                  <c:v>Other</c:v>
                </c:pt>
              </c:strCache>
            </c:strRef>
          </c:cat>
          <c:val>
            <c:numRef>
              <c:f>'Balance Sheet'!$H$5:$H$9</c:f>
              <c:numCache>
                <c:formatCode>#,##0</c:formatCode>
                <c:ptCount val="5"/>
                <c:pt idx="0">
                  <c:v>223</c:v>
                </c:pt>
                <c:pt idx="1">
                  <c:v>468</c:v>
                </c:pt>
                <c:pt idx="2">
                  <c:v>432</c:v>
                </c:pt>
                <c:pt idx="3">
                  <c:v>88</c:v>
                </c:pt>
                <c:pt idx="4">
                  <c:v>121</c:v>
                </c:pt>
              </c:numCache>
            </c:numRef>
          </c:val>
          <c:extLst>
            <c:ext xmlns:c16="http://schemas.microsoft.com/office/drawing/2014/chart" uri="{C3380CC4-5D6E-409C-BE32-E72D297353CC}">
              <c16:uniqueId val="{00000013-9B44-4982-A838-30BDF0660284}"/>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4.9875000777125231E-7"/>
          <c:y val="1.098626716604239E-3"/>
          <c:w val="0.90419660725307194"/>
          <c:h val="0.96394506866416974"/>
        </c:manualLayout>
      </c:layout>
      <c:pie3DChart>
        <c:varyColors val="1"/>
        <c:ser>
          <c:idx val="0"/>
          <c:order val="0"/>
          <c:explosion val="19"/>
          <c:dPt>
            <c:idx val="0"/>
            <c:bubble3D val="0"/>
            <c:spPr>
              <a:solidFill>
                <a:srgbClr val="8B643B"/>
              </a:solidFill>
            </c:spPr>
            <c:extLst>
              <c:ext xmlns:c16="http://schemas.microsoft.com/office/drawing/2014/chart" uri="{C3380CC4-5D6E-409C-BE32-E72D297353CC}">
                <c16:uniqueId val="{00000000-702F-40D8-9AEE-57A9589D5F6E}"/>
              </c:ext>
            </c:extLst>
          </c:dPt>
          <c:dPt>
            <c:idx val="1"/>
            <c:bubble3D val="0"/>
            <c:spPr>
              <a:solidFill>
                <a:srgbClr val="5E1F71"/>
              </a:solidFill>
            </c:spPr>
            <c:extLst>
              <c:ext xmlns:c16="http://schemas.microsoft.com/office/drawing/2014/chart" uri="{C3380CC4-5D6E-409C-BE32-E72D297353CC}">
                <c16:uniqueId val="{00000001-702F-40D8-9AEE-57A9589D5F6E}"/>
              </c:ext>
            </c:extLst>
          </c:dPt>
          <c:dPt>
            <c:idx val="2"/>
            <c:bubble3D val="0"/>
            <c:spPr>
              <a:solidFill>
                <a:srgbClr val="0070C0"/>
              </a:solidFill>
            </c:spPr>
            <c:extLst>
              <c:ext xmlns:c16="http://schemas.microsoft.com/office/drawing/2014/chart" uri="{C3380CC4-5D6E-409C-BE32-E72D297353CC}">
                <c16:uniqueId val="{00000002-702F-40D8-9AEE-57A9589D5F6E}"/>
              </c:ext>
            </c:extLst>
          </c:dPt>
          <c:dLbls>
            <c:dLbl>
              <c:idx val="0"/>
              <c:layout>
                <c:manualLayout>
                  <c:x val="-2.8490720132667503E-2"/>
                  <c:y val="-3.0515005848987978E-2"/>
                </c:manualLayout>
              </c:layout>
              <c:tx>
                <c:rich>
                  <a:bodyPr/>
                  <a:lstStyle/>
                  <a:p>
                    <a:fld id="{10EB42E5-CF28-4C2C-9E0D-F212A8FE725B}"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a:t>
                    </a:r>
                    <a:fld id="{9FFD5616-4916-446B-98D2-3CEABB083A49}" type="PERCENTAGE">
                      <a:rPr lang="en-US" sz="800" baseline="0">
                        <a:latin typeface="Arial" panose="020B0604020202020204" pitchFamily="34" charset="0"/>
                        <a:cs typeface="Arial" panose="020B0604020202020204" pitchFamily="34" charset="0"/>
                      </a:rPr>
                      <a:pPr/>
                      <a:t>[PERCENTAGE]</a:t>
                    </a:fld>
                    <a:endParaRPr lang="en-US" sz="800" baseline="0">
                      <a:latin typeface="Arial" panose="020B0604020202020204" pitchFamily="34" charset="0"/>
                      <a:cs typeface="Arial" panose="020B0604020202020204" pitchFamily="34" charset="0"/>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702F-40D8-9AEE-57A9589D5F6E}"/>
                </c:ext>
              </c:extLst>
            </c:dLbl>
            <c:dLbl>
              <c:idx val="1"/>
              <c:layout/>
              <c:tx>
                <c:rich>
                  <a:bodyPr/>
                  <a:lstStyle/>
                  <a:p>
                    <a:fld id="{BD780EF1-2E85-4095-95DD-4F3FBF227319}" type="CATEGORYNAME">
                      <a:rPr lang="en-US" sz="800">
                        <a:latin typeface="Arial" panose="020B0604020202020204" pitchFamily="34" charset="0"/>
                        <a:cs typeface="Arial" panose="020B0604020202020204" pitchFamily="34" charset="0"/>
                      </a:rPr>
                      <a:pPr/>
                      <a:t>[CATEGORY NAME]</a:t>
                    </a:fld>
                    <a:r>
                      <a:rPr lang="en-US" sz="800" baseline="0"/>
                      <a:t>
</a:t>
                    </a:r>
                    <a:fld id="{83670823-2EE4-46F0-B703-21E9513FCA2C}" type="PERCENTAGE">
                      <a:rPr lang="en-US" sz="800" baseline="0">
                        <a:latin typeface="Arial" panose="020B0604020202020204" pitchFamily="34" charset="0"/>
                        <a:cs typeface="Arial" panose="020B0604020202020204" pitchFamily="34" charset="0"/>
                      </a:rPr>
                      <a:pPr/>
                      <a:t>[PERCENTAGE]</a:t>
                    </a:fld>
                    <a:endParaRPr lang="en-US" sz="800"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702F-40D8-9AEE-57A9589D5F6E}"/>
                </c:ext>
              </c:extLst>
            </c:dLbl>
            <c:dLbl>
              <c:idx val="2"/>
              <c:layout/>
              <c:tx>
                <c:rich>
                  <a:bodyPr/>
                  <a:lstStyle/>
                  <a:p>
                    <a:fld id="{892D36B7-D9DD-4E45-97BB-8D3A919C215B}"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a:t>
                    </a:r>
                    <a:fld id="{D517185B-29FD-400D-B9DB-A389C966AD8F}" type="PERCENTAGE">
                      <a:rPr lang="en-US" sz="800" baseline="0">
                        <a:latin typeface="Arial" panose="020B0604020202020204" pitchFamily="34" charset="0"/>
                        <a:cs typeface="Arial" panose="020B0604020202020204" pitchFamily="34" charset="0"/>
                      </a:rPr>
                      <a:pPr/>
                      <a:t>[PERCENTAGE]</a:t>
                    </a:fld>
                    <a:endParaRPr lang="en-US" sz="800" baseline="0">
                      <a:latin typeface="Arial" panose="020B0604020202020204" pitchFamily="34" charset="0"/>
                      <a:cs typeface="Arial" panose="020B0604020202020204" pitchFamily="34" charset="0"/>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702F-40D8-9AEE-57A9589D5F6E}"/>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mn-lt"/>
                    <a:ea typeface="Calibri"/>
                    <a:cs typeface="Calibri"/>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'Balance Sheet'!$J$5:$J$7</c:f>
              <c:strCache>
                <c:ptCount val="3"/>
                <c:pt idx="0">
                  <c:v>Payables</c:v>
                </c:pt>
                <c:pt idx="1">
                  <c:v>Employee benefits</c:v>
                </c:pt>
                <c:pt idx="2">
                  <c:v>Other</c:v>
                </c:pt>
              </c:strCache>
            </c:strRef>
          </c:cat>
          <c:val>
            <c:numRef>
              <c:f>'Balance Sheet'!$K$5:$K$7</c:f>
              <c:numCache>
                <c:formatCode>#,##0</c:formatCode>
                <c:ptCount val="3"/>
                <c:pt idx="0">
                  <c:v>67</c:v>
                </c:pt>
                <c:pt idx="1">
                  <c:v>423</c:v>
                </c:pt>
                <c:pt idx="2">
                  <c:v>9</c:v>
                </c:pt>
              </c:numCache>
            </c:numRef>
          </c:val>
          <c:extLst>
            <c:ext xmlns:c16="http://schemas.microsoft.com/office/drawing/2014/chart" uri="{C3380CC4-5D6E-409C-BE32-E72D297353CC}">
              <c16:uniqueId val="{00000003-702F-40D8-9AEE-57A9589D5F6E}"/>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dcq">
      <a:dk1>
        <a:sysClr val="windowText" lastClr="000000"/>
      </a:dk1>
      <a:lt1>
        <a:sysClr val="window" lastClr="FFFFFF"/>
      </a:lt1>
      <a:dk2>
        <a:srgbClr val="5E1F71"/>
      </a:dk2>
      <a:lt2>
        <a:srgbClr val="FFFFFF"/>
      </a:lt2>
      <a:accent1>
        <a:srgbClr val="5E1F71"/>
      </a:accent1>
      <a:accent2>
        <a:srgbClr val="8B643B"/>
      </a:accent2>
      <a:accent3>
        <a:srgbClr val="E68422"/>
      </a:accent3>
      <a:accent4>
        <a:srgbClr val="008BC6"/>
      </a:accent4>
      <a:accent5>
        <a:srgbClr val="63891F"/>
      </a:accent5>
      <a:accent6>
        <a:srgbClr val="63891F"/>
      </a:accent6>
      <a:hlink>
        <a:srgbClr val="3399FF"/>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0758-4CB6-4AFC-861F-5D907AF8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8A663089</Template>
  <TotalTime>53</TotalTime>
  <Pages>72</Pages>
  <Words>19664</Words>
  <Characters>112089</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Anti-Discrimination Commission Queensland annual report 2013-2014</vt:lpstr>
    </vt:vector>
  </TitlesOfParts>
  <Company>Anti-Discrimination Commission Queensland</Company>
  <LinksUpToDate>false</LinksUpToDate>
  <CharactersWithSpaces>131491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Anti-Discrimination Commission Queensland annual report 2013-2014</dc:title>
  <dc:creator>jeffrimx</dc:creator>
  <dc:description>annual report, discrimination, complaints, community engagement</dc:description>
  <cp:lastModifiedBy>Kate Marsh</cp:lastModifiedBy>
  <cp:revision>3</cp:revision>
  <cp:lastPrinted>2019-08-29T06:19:00Z</cp:lastPrinted>
  <dcterms:created xsi:type="dcterms:W3CDTF">2019-08-29T06:09:00Z</dcterms:created>
  <dcterms:modified xsi:type="dcterms:W3CDTF">2019-08-29T07:02:00Z</dcterms:modified>
  <cp:category>annual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