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AB890" w14:textId="14F43173" w:rsidR="00C54D07" w:rsidRPr="00A21D7D" w:rsidRDefault="00C71D43">
      <w:pPr>
        <w:rPr>
          <w:rFonts w:cs="Arial"/>
        </w:rPr>
      </w:pPr>
      <w:r>
        <w:rPr>
          <w:rFonts w:cs="Arial"/>
          <w:noProof/>
          <w:lang w:eastAsia="en-AU"/>
        </w:rPr>
        <w:drawing>
          <wp:anchor distT="0" distB="0" distL="114300" distR="114300" simplePos="0" relativeHeight="251676672" behindDoc="1" locked="0" layoutInCell="1" allowOverlap="1" wp14:anchorId="24EA4693" wp14:editId="551FEA80">
            <wp:simplePos x="0" y="0"/>
            <wp:positionH relativeFrom="margin">
              <wp:posOffset>-693420</wp:posOffset>
            </wp:positionH>
            <wp:positionV relativeFrom="paragraph">
              <wp:posOffset>-654685</wp:posOffset>
            </wp:positionV>
            <wp:extent cx="7629091" cy="10791190"/>
            <wp:effectExtent l="0" t="0" r="0" b="0"/>
            <wp:wrapNone/>
            <wp:docPr id="1" name="Picture 1" descr="Cover artwork is part of 'Guided Protection', an artwork by Quandamooka Nunukal woman Casey Coolwell, commissioned by the QHRC last year. This section of the work is a combination of overlapping protection shields filled with geometric patterns in black and white. A black triangle sits in the bottom right hand corner of the cover, with 'Annual Report 2019-20' in white text and the white QHRC logo inside it." title="QHRC Annual Report 2019-20 co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HRC_AnnualReport201920_frontcov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9091" cy="10791190"/>
                    </a:xfrm>
                    <a:prstGeom prst="rect">
                      <a:avLst/>
                    </a:prstGeom>
                  </pic:spPr>
                </pic:pic>
              </a:graphicData>
            </a:graphic>
            <wp14:sizeRelH relativeFrom="page">
              <wp14:pctWidth>0</wp14:pctWidth>
            </wp14:sizeRelH>
            <wp14:sizeRelV relativeFrom="page">
              <wp14:pctHeight>0</wp14:pctHeight>
            </wp14:sizeRelV>
          </wp:anchor>
        </w:drawing>
      </w:r>
    </w:p>
    <w:p w14:paraId="7B774087" w14:textId="77777777" w:rsidR="006F5840" w:rsidRPr="00A21D7D" w:rsidRDefault="006F5840">
      <w:pPr>
        <w:rPr>
          <w:rFonts w:cs="Arial"/>
        </w:rPr>
      </w:pPr>
    </w:p>
    <w:p w14:paraId="28F3818A" w14:textId="77777777" w:rsidR="006F5840" w:rsidRPr="00A21D7D" w:rsidRDefault="006F5840">
      <w:pPr>
        <w:rPr>
          <w:rFonts w:cs="Arial"/>
          <w:noProof/>
          <w:lang w:eastAsia="en-AU"/>
        </w:rPr>
      </w:pPr>
    </w:p>
    <w:p w14:paraId="21481DD7" w14:textId="6FB885DC" w:rsidR="006F5840" w:rsidRPr="00A21D7D" w:rsidRDefault="006F5840">
      <w:pPr>
        <w:rPr>
          <w:rFonts w:cs="Arial"/>
        </w:rPr>
      </w:pPr>
      <w:r w:rsidRPr="00A21D7D">
        <w:rPr>
          <w:rFonts w:cs="Arial"/>
        </w:rPr>
        <w:br w:type="page"/>
      </w:r>
    </w:p>
    <w:p w14:paraId="66AD9147" w14:textId="77777777" w:rsidR="006F5840" w:rsidRPr="00A21D7D" w:rsidRDefault="006F5840" w:rsidP="006860E4">
      <w:pPr>
        <w:pStyle w:val="Heading1"/>
      </w:pPr>
      <w:bookmarkStart w:id="0" w:name="_Toc49508848"/>
      <w:r w:rsidRPr="00A21D7D">
        <w:lastRenderedPageBreak/>
        <w:t>Annual report 2019-20</w:t>
      </w:r>
      <w:bookmarkEnd w:id="0"/>
    </w:p>
    <w:p w14:paraId="2BAB3845" w14:textId="77777777" w:rsidR="006F5840" w:rsidRPr="00A21D7D" w:rsidRDefault="006F5840" w:rsidP="006F5840">
      <w:pPr>
        <w:spacing w:before="360" w:after="120" w:line="240" w:lineRule="auto"/>
        <w:rPr>
          <w:rFonts w:cs="Arial"/>
          <w:i/>
          <w:sz w:val="18"/>
          <w:szCs w:val="18"/>
        </w:rPr>
      </w:pPr>
      <w:r w:rsidRPr="00A21D7D">
        <w:rPr>
          <w:rFonts w:cs="Arial"/>
          <w:sz w:val="18"/>
          <w:szCs w:val="18"/>
        </w:rPr>
        <w:t xml:space="preserve">The Queensland Human Rights Commission is committed to providing accessible services to Queenslanders from all culturally and linguistically diverse backgrounds. If you have difficulty in understanding the annual report, you can contact us on toll free 1300 130 670 and we will arrange an interpreter to effectively communicate the report to you. </w:t>
      </w:r>
    </w:p>
    <w:p w14:paraId="629A82FC" w14:textId="77777777" w:rsidR="006F5840" w:rsidRPr="00A21D7D" w:rsidRDefault="006F5840" w:rsidP="006F5840">
      <w:pPr>
        <w:spacing w:line="240" w:lineRule="auto"/>
        <w:rPr>
          <w:rFonts w:cs="Arial"/>
          <w:i/>
          <w:noProof/>
          <w:sz w:val="18"/>
          <w:szCs w:val="18"/>
          <w:lang w:eastAsia="en-AU"/>
        </w:rPr>
      </w:pPr>
      <w:r w:rsidRPr="00A21D7D">
        <w:rPr>
          <w:rFonts w:cs="Arial"/>
          <w:i/>
          <w:noProof/>
          <w:sz w:val="18"/>
          <w:szCs w:val="18"/>
          <w:lang w:eastAsia="en-AU"/>
        </w:rPr>
        <w:drawing>
          <wp:inline distT="0" distB="0" distL="0" distR="0" wp14:anchorId="0066A5C8" wp14:editId="7CF29F74">
            <wp:extent cx="581025" cy="581025"/>
            <wp:effectExtent l="0" t="0" r="9525" b="9525"/>
            <wp:docPr id="3" name="Picture 3" descr="http://www.immi.gov.au/living-in-australia/help-with-english/NIS/interpreter_symbol_text.jpg" title="Interprete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mmi.gov.au/living-in-australia/help-with-english/NIS/interpreter_symbol_text.jp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14:paraId="5C9FE82B" w14:textId="77777777" w:rsidR="006F5840" w:rsidRPr="00A21D7D" w:rsidRDefault="006F5840" w:rsidP="006F5840">
      <w:pPr>
        <w:spacing w:line="240" w:lineRule="auto"/>
        <w:rPr>
          <w:rFonts w:cs="Arial"/>
          <w:i/>
          <w:noProof/>
          <w:sz w:val="18"/>
          <w:szCs w:val="18"/>
          <w:lang w:eastAsia="en-AU"/>
        </w:rPr>
      </w:pPr>
      <w:r w:rsidRPr="00A21D7D">
        <w:rPr>
          <w:rFonts w:cs="Arial"/>
          <w:noProof/>
          <w:sz w:val="18"/>
          <w:szCs w:val="18"/>
          <w:lang w:eastAsia="en-AU"/>
        </w:rPr>
        <w:t>English: If you’d like us to arrange an interpreter for this report, please call us on 1300 130 670.</w:t>
      </w:r>
    </w:p>
    <w:p w14:paraId="7D9AA5AA" w14:textId="77777777" w:rsidR="006F5840" w:rsidRPr="00A21D7D" w:rsidRDefault="006F5840" w:rsidP="006F5840">
      <w:pPr>
        <w:spacing w:line="240" w:lineRule="auto"/>
        <w:rPr>
          <w:rFonts w:cs="Arial"/>
          <w:i/>
          <w:noProof/>
          <w:sz w:val="18"/>
          <w:szCs w:val="18"/>
          <w:lang w:val="es-ES" w:eastAsia="en-AU"/>
        </w:rPr>
      </w:pPr>
      <w:r w:rsidRPr="00A21D7D">
        <w:rPr>
          <w:rFonts w:cs="Arial"/>
          <w:noProof/>
          <w:sz w:val="18"/>
          <w:szCs w:val="18"/>
          <w:lang w:val="es-ES" w:eastAsia="en-AU"/>
        </w:rPr>
        <w:t>Spanish: Si desea que nosotros para solicitar un intérprete de este informe, por favor llámenos en 1300 130 670</w:t>
      </w:r>
    </w:p>
    <w:p w14:paraId="30D2681D" w14:textId="77777777" w:rsidR="006F5840" w:rsidRPr="00A21D7D" w:rsidRDefault="006F5840" w:rsidP="006F5840">
      <w:pPr>
        <w:spacing w:line="240" w:lineRule="auto"/>
        <w:rPr>
          <w:rFonts w:cs="Arial"/>
          <w:i/>
          <w:noProof/>
          <w:sz w:val="18"/>
          <w:szCs w:val="18"/>
          <w:lang w:val="es-ES" w:eastAsia="en-AU"/>
        </w:rPr>
      </w:pPr>
      <w:r w:rsidRPr="00A21D7D">
        <w:rPr>
          <w:rFonts w:cs="Arial"/>
          <w:noProof/>
          <w:sz w:val="18"/>
          <w:szCs w:val="18"/>
          <w:lang w:val="es-ES" w:eastAsia="en-AU"/>
        </w:rPr>
        <w:t>French: Si vous souhaitez organiser un interprète pour ce rapport, veuillez nous appeler au 1300 130 670</w:t>
      </w:r>
    </w:p>
    <w:p w14:paraId="12F0F608" w14:textId="77777777" w:rsidR="006F5840" w:rsidRPr="00A21D7D" w:rsidRDefault="006F5840" w:rsidP="006F5840">
      <w:pPr>
        <w:spacing w:line="240" w:lineRule="auto"/>
        <w:rPr>
          <w:rFonts w:cs="Arial"/>
          <w:i/>
          <w:noProof/>
          <w:sz w:val="18"/>
          <w:szCs w:val="18"/>
          <w:lang w:val="es-ES" w:eastAsia="en-AU"/>
        </w:rPr>
      </w:pPr>
      <w:r w:rsidRPr="00A21D7D">
        <w:rPr>
          <w:rFonts w:cs="Arial"/>
          <w:noProof/>
          <w:sz w:val="18"/>
          <w:szCs w:val="18"/>
          <w:lang w:val="es-ES" w:eastAsia="en-AU"/>
        </w:rPr>
        <w:t xml:space="preserve">Chinese: </w:t>
      </w:r>
      <w:r w:rsidRPr="00A21D7D">
        <w:rPr>
          <w:rFonts w:eastAsia="MS Gothic" w:cs="Arial"/>
          <w:noProof/>
          <w:sz w:val="18"/>
          <w:szCs w:val="18"/>
          <w:lang w:eastAsia="en-AU"/>
        </w:rPr>
        <w:t>如果您想</w:t>
      </w:r>
      <w:r w:rsidRPr="00A21D7D">
        <w:rPr>
          <w:rFonts w:eastAsia="MingLiU" w:cs="Arial"/>
          <w:noProof/>
          <w:sz w:val="18"/>
          <w:szCs w:val="18"/>
          <w:lang w:eastAsia="en-AU"/>
        </w:rPr>
        <w:t>让</w:t>
      </w:r>
      <w:r w:rsidRPr="00A21D7D">
        <w:rPr>
          <w:rFonts w:eastAsia="MS Mincho" w:cs="Arial"/>
          <w:noProof/>
          <w:sz w:val="18"/>
          <w:szCs w:val="18"/>
          <w:lang w:eastAsia="en-AU"/>
        </w:rPr>
        <w:t>我</w:t>
      </w:r>
      <w:r w:rsidRPr="00A21D7D">
        <w:rPr>
          <w:rFonts w:eastAsia="MingLiU" w:cs="Arial"/>
          <w:noProof/>
          <w:sz w:val="18"/>
          <w:szCs w:val="18"/>
          <w:lang w:eastAsia="en-AU"/>
        </w:rPr>
        <w:t>们为</w:t>
      </w:r>
      <w:r w:rsidRPr="00A21D7D">
        <w:rPr>
          <w:rFonts w:eastAsia="MS Mincho" w:cs="Arial"/>
          <w:noProof/>
          <w:sz w:val="18"/>
          <w:szCs w:val="18"/>
          <w:lang w:eastAsia="en-AU"/>
        </w:rPr>
        <w:t>此</w:t>
      </w:r>
      <w:r w:rsidRPr="00A21D7D">
        <w:rPr>
          <w:rFonts w:eastAsia="MingLiU" w:cs="Arial"/>
          <w:noProof/>
          <w:sz w:val="18"/>
          <w:szCs w:val="18"/>
          <w:lang w:eastAsia="en-AU"/>
        </w:rPr>
        <w:t>报</w:t>
      </w:r>
      <w:r w:rsidRPr="00A21D7D">
        <w:rPr>
          <w:rFonts w:eastAsia="MS Mincho" w:cs="Arial"/>
          <w:noProof/>
          <w:sz w:val="18"/>
          <w:szCs w:val="18"/>
          <w:lang w:eastAsia="en-AU"/>
        </w:rPr>
        <w:t>告安排</w:t>
      </w:r>
      <w:r w:rsidRPr="00A21D7D">
        <w:rPr>
          <w:rFonts w:eastAsia="MingLiU" w:cs="Arial"/>
          <w:noProof/>
          <w:sz w:val="18"/>
          <w:szCs w:val="18"/>
          <w:lang w:eastAsia="en-AU"/>
        </w:rPr>
        <w:t>传译员</w:t>
      </w:r>
      <w:r w:rsidRPr="00A21D7D">
        <w:rPr>
          <w:rFonts w:eastAsia="MS Mincho" w:cs="Arial"/>
          <w:noProof/>
          <w:sz w:val="18"/>
          <w:szCs w:val="18"/>
          <w:lang w:val="es-ES" w:eastAsia="en-AU"/>
        </w:rPr>
        <w:t>，</w:t>
      </w:r>
      <w:r w:rsidRPr="00A21D7D">
        <w:rPr>
          <w:rFonts w:eastAsia="MingLiU" w:cs="Arial"/>
          <w:noProof/>
          <w:sz w:val="18"/>
          <w:szCs w:val="18"/>
          <w:lang w:eastAsia="en-AU"/>
        </w:rPr>
        <w:t>请</w:t>
      </w:r>
      <w:r w:rsidRPr="00A21D7D">
        <w:rPr>
          <w:rFonts w:eastAsia="MS Mincho" w:cs="Arial"/>
          <w:noProof/>
          <w:sz w:val="18"/>
          <w:szCs w:val="18"/>
          <w:lang w:eastAsia="en-AU"/>
        </w:rPr>
        <w:t>致</w:t>
      </w:r>
      <w:r w:rsidRPr="00A21D7D">
        <w:rPr>
          <w:rFonts w:eastAsia="MingLiU" w:cs="Arial"/>
          <w:noProof/>
          <w:sz w:val="18"/>
          <w:szCs w:val="18"/>
          <w:lang w:eastAsia="en-AU"/>
        </w:rPr>
        <w:t>电</w:t>
      </w:r>
      <w:r w:rsidRPr="00A21D7D">
        <w:rPr>
          <w:rFonts w:eastAsia="MS Mincho" w:cs="Arial"/>
          <w:noProof/>
          <w:sz w:val="18"/>
          <w:szCs w:val="18"/>
          <w:lang w:eastAsia="en-AU"/>
        </w:rPr>
        <w:t>我</w:t>
      </w:r>
      <w:r w:rsidRPr="00A21D7D">
        <w:rPr>
          <w:rFonts w:eastAsia="MingLiU" w:cs="Arial"/>
          <w:noProof/>
          <w:sz w:val="18"/>
          <w:szCs w:val="18"/>
          <w:lang w:eastAsia="en-AU"/>
        </w:rPr>
        <w:t>们</w:t>
      </w:r>
      <w:r w:rsidRPr="00A21D7D">
        <w:rPr>
          <w:rFonts w:cs="Arial"/>
          <w:noProof/>
          <w:sz w:val="18"/>
          <w:szCs w:val="18"/>
          <w:lang w:val="es-ES" w:eastAsia="en-AU"/>
        </w:rPr>
        <w:t xml:space="preserve"> 1300</w:t>
      </w:r>
      <w:r w:rsidRPr="00A21D7D">
        <w:rPr>
          <w:rFonts w:eastAsia="MS Gothic" w:cs="Arial"/>
          <w:noProof/>
          <w:sz w:val="18"/>
          <w:szCs w:val="18"/>
          <w:lang w:eastAsia="en-AU"/>
        </w:rPr>
        <w:t>年</w:t>
      </w:r>
      <w:r w:rsidRPr="00A21D7D">
        <w:rPr>
          <w:rFonts w:cs="Arial"/>
          <w:noProof/>
          <w:sz w:val="18"/>
          <w:szCs w:val="18"/>
          <w:lang w:val="es-ES" w:eastAsia="en-AU"/>
        </w:rPr>
        <w:t xml:space="preserve"> 130 670</w:t>
      </w:r>
    </w:p>
    <w:p w14:paraId="411B4E0C" w14:textId="77777777" w:rsidR="006F5840" w:rsidRPr="00A21D7D" w:rsidRDefault="006F5840" w:rsidP="006F5840">
      <w:pPr>
        <w:spacing w:line="240" w:lineRule="auto"/>
        <w:rPr>
          <w:rFonts w:cs="Arial"/>
          <w:i/>
          <w:noProof/>
          <w:sz w:val="18"/>
          <w:szCs w:val="18"/>
          <w:lang w:val="es-ES" w:eastAsia="en-AU"/>
        </w:rPr>
      </w:pPr>
      <w:r w:rsidRPr="00A21D7D">
        <w:rPr>
          <w:rFonts w:cs="Arial"/>
          <w:noProof/>
          <w:sz w:val="18"/>
          <w:szCs w:val="18"/>
          <w:lang w:val="es-ES" w:eastAsia="en-AU"/>
        </w:rPr>
        <w:t xml:space="preserve">Arabic: </w:t>
      </w:r>
      <w:r w:rsidRPr="00A21D7D">
        <w:rPr>
          <w:rFonts w:cs="Arial"/>
          <w:noProof/>
          <w:sz w:val="18"/>
          <w:szCs w:val="18"/>
          <w:lang w:eastAsia="en-AU"/>
        </w:rPr>
        <w:t>إذا</w:t>
      </w:r>
      <w:r w:rsidRPr="00A21D7D">
        <w:rPr>
          <w:rFonts w:cs="Arial"/>
          <w:noProof/>
          <w:sz w:val="18"/>
          <w:szCs w:val="18"/>
          <w:lang w:val="es-ES" w:eastAsia="en-AU"/>
        </w:rPr>
        <w:t xml:space="preserve"> </w:t>
      </w:r>
      <w:r w:rsidRPr="00A21D7D">
        <w:rPr>
          <w:rFonts w:cs="Arial"/>
          <w:noProof/>
          <w:sz w:val="18"/>
          <w:szCs w:val="18"/>
          <w:lang w:eastAsia="en-AU"/>
        </w:rPr>
        <w:t>كنت</w:t>
      </w:r>
      <w:r w:rsidRPr="00A21D7D">
        <w:rPr>
          <w:rFonts w:cs="Arial"/>
          <w:noProof/>
          <w:sz w:val="18"/>
          <w:szCs w:val="18"/>
          <w:lang w:val="es-ES" w:eastAsia="en-AU"/>
        </w:rPr>
        <w:t xml:space="preserve"> </w:t>
      </w:r>
      <w:r w:rsidRPr="00A21D7D">
        <w:rPr>
          <w:rFonts w:cs="Arial"/>
          <w:noProof/>
          <w:sz w:val="18"/>
          <w:szCs w:val="18"/>
          <w:lang w:eastAsia="en-AU"/>
        </w:rPr>
        <w:t>تريد</w:t>
      </w:r>
      <w:r w:rsidRPr="00A21D7D">
        <w:rPr>
          <w:rFonts w:cs="Arial"/>
          <w:noProof/>
          <w:sz w:val="18"/>
          <w:szCs w:val="18"/>
          <w:lang w:val="es-ES" w:eastAsia="en-AU"/>
        </w:rPr>
        <w:t xml:space="preserve"> </w:t>
      </w:r>
      <w:r w:rsidRPr="00A21D7D">
        <w:rPr>
          <w:rFonts w:cs="Arial"/>
          <w:noProof/>
          <w:sz w:val="18"/>
          <w:szCs w:val="18"/>
          <w:lang w:eastAsia="en-AU"/>
        </w:rPr>
        <w:t>منا</w:t>
      </w:r>
      <w:r w:rsidRPr="00A21D7D">
        <w:rPr>
          <w:rFonts w:cs="Arial"/>
          <w:noProof/>
          <w:sz w:val="18"/>
          <w:szCs w:val="18"/>
          <w:lang w:val="es-ES" w:eastAsia="en-AU"/>
        </w:rPr>
        <w:t xml:space="preserve"> </w:t>
      </w:r>
      <w:r w:rsidRPr="00A21D7D">
        <w:rPr>
          <w:rFonts w:cs="Arial"/>
          <w:noProof/>
          <w:sz w:val="18"/>
          <w:szCs w:val="18"/>
          <w:lang w:eastAsia="en-AU"/>
        </w:rPr>
        <w:t>أن</w:t>
      </w:r>
      <w:r w:rsidRPr="00A21D7D">
        <w:rPr>
          <w:rFonts w:cs="Arial"/>
          <w:noProof/>
          <w:sz w:val="18"/>
          <w:szCs w:val="18"/>
          <w:lang w:val="es-ES" w:eastAsia="en-AU"/>
        </w:rPr>
        <w:t xml:space="preserve"> </w:t>
      </w:r>
      <w:r w:rsidRPr="00A21D7D">
        <w:rPr>
          <w:rFonts w:cs="Arial"/>
          <w:noProof/>
          <w:sz w:val="18"/>
          <w:szCs w:val="18"/>
          <w:lang w:eastAsia="en-AU"/>
        </w:rPr>
        <w:t>يرتب</w:t>
      </w:r>
      <w:r w:rsidRPr="00A21D7D">
        <w:rPr>
          <w:rFonts w:cs="Arial"/>
          <w:noProof/>
          <w:sz w:val="18"/>
          <w:szCs w:val="18"/>
          <w:lang w:val="es-ES" w:eastAsia="en-AU"/>
        </w:rPr>
        <w:t xml:space="preserve"> </w:t>
      </w:r>
      <w:r w:rsidRPr="00A21D7D">
        <w:rPr>
          <w:rFonts w:cs="Arial"/>
          <w:noProof/>
          <w:sz w:val="18"/>
          <w:szCs w:val="18"/>
          <w:lang w:eastAsia="en-AU"/>
        </w:rPr>
        <w:t>مترجما</w:t>
      </w:r>
      <w:r w:rsidRPr="00A21D7D">
        <w:rPr>
          <w:rFonts w:cs="Arial"/>
          <w:noProof/>
          <w:sz w:val="18"/>
          <w:szCs w:val="18"/>
          <w:lang w:val="es-ES" w:eastAsia="en-AU"/>
        </w:rPr>
        <w:t xml:space="preserve"> </w:t>
      </w:r>
      <w:r w:rsidRPr="00A21D7D">
        <w:rPr>
          <w:rFonts w:cs="Arial"/>
          <w:noProof/>
          <w:sz w:val="18"/>
          <w:szCs w:val="18"/>
          <w:lang w:eastAsia="en-AU"/>
        </w:rPr>
        <w:t>لهذا</w:t>
      </w:r>
      <w:r w:rsidRPr="00A21D7D">
        <w:rPr>
          <w:rFonts w:cs="Arial"/>
          <w:noProof/>
          <w:sz w:val="18"/>
          <w:szCs w:val="18"/>
          <w:lang w:val="es-ES" w:eastAsia="en-AU"/>
        </w:rPr>
        <w:t xml:space="preserve"> </w:t>
      </w:r>
      <w:r w:rsidRPr="00A21D7D">
        <w:rPr>
          <w:rFonts w:cs="Arial"/>
          <w:noProof/>
          <w:sz w:val="18"/>
          <w:szCs w:val="18"/>
          <w:lang w:eastAsia="en-AU"/>
        </w:rPr>
        <w:t>التقرير،</w:t>
      </w:r>
      <w:r w:rsidRPr="00A21D7D">
        <w:rPr>
          <w:rFonts w:cs="Arial"/>
          <w:noProof/>
          <w:sz w:val="18"/>
          <w:szCs w:val="18"/>
          <w:lang w:val="es-ES" w:eastAsia="en-AU"/>
        </w:rPr>
        <w:t xml:space="preserve"> </w:t>
      </w:r>
      <w:r w:rsidRPr="00A21D7D">
        <w:rPr>
          <w:rFonts w:cs="Arial"/>
          <w:noProof/>
          <w:sz w:val="18"/>
          <w:szCs w:val="18"/>
          <w:lang w:eastAsia="en-AU"/>
        </w:rPr>
        <w:t>يرجى</w:t>
      </w:r>
      <w:r w:rsidRPr="00A21D7D">
        <w:rPr>
          <w:rFonts w:cs="Arial"/>
          <w:noProof/>
          <w:sz w:val="18"/>
          <w:szCs w:val="18"/>
          <w:lang w:val="es-ES" w:eastAsia="en-AU"/>
        </w:rPr>
        <w:t xml:space="preserve"> </w:t>
      </w:r>
      <w:r w:rsidRPr="00A21D7D">
        <w:rPr>
          <w:rFonts w:cs="Arial"/>
          <w:noProof/>
          <w:sz w:val="18"/>
          <w:szCs w:val="18"/>
          <w:lang w:eastAsia="en-AU"/>
        </w:rPr>
        <w:t>الاتصال</w:t>
      </w:r>
      <w:r w:rsidRPr="00A21D7D">
        <w:rPr>
          <w:rFonts w:cs="Arial"/>
          <w:noProof/>
          <w:sz w:val="18"/>
          <w:szCs w:val="18"/>
          <w:lang w:val="es-ES" w:eastAsia="en-AU"/>
        </w:rPr>
        <w:t xml:space="preserve"> </w:t>
      </w:r>
      <w:r w:rsidRPr="00A21D7D">
        <w:rPr>
          <w:rFonts w:cs="Arial"/>
          <w:noProof/>
          <w:sz w:val="18"/>
          <w:szCs w:val="18"/>
          <w:lang w:eastAsia="en-AU"/>
        </w:rPr>
        <w:t>بنا</w:t>
      </w:r>
      <w:r w:rsidRPr="00A21D7D">
        <w:rPr>
          <w:rFonts w:cs="Arial"/>
          <w:noProof/>
          <w:sz w:val="18"/>
          <w:szCs w:val="18"/>
          <w:lang w:val="es-ES" w:eastAsia="en-AU"/>
        </w:rPr>
        <w:t xml:space="preserve"> </w:t>
      </w:r>
      <w:r w:rsidRPr="00A21D7D">
        <w:rPr>
          <w:rFonts w:cs="Arial"/>
          <w:noProof/>
          <w:sz w:val="18"/>
          <w:szCs w:val="18"/>
          <w:lang w:eastAsia="en-AU"/>
        </w:rPr>
        <w:t>على</w:t>
      </w:r>
      <w:r w:rsidRPr="00A21D7D">
        <w:rPr>
          <w:rFonts w:cs="Arial"/>
          <w:noProof/>
          <w:sz w:val="18"/>
          <w:szCs w:val="18"/>
          <w:lang w:val="es-ES" w:eastAsia="en-AU"/>
        </w:rPr>
        <w:t xml:space="preserve"> 1300 130 670</w:t>
      </w:r>
    </w:p>
    <w:p w14:paraId="4F8E0497" w14:textId="77777777" w:rsidR="006F5840" w:rsidRPr="00A21D7D" w:rsidRDefault="006F5840" w:rsidP="006F5840">
      <w:pPr>
        <w:spacing w:line="240" w:lineRule="auto"/>
        <w:rPr>
          <w:rFonts w:cs="Arial"/>
          <w:i/>
          <w:noProof/>
          <w:sz w:val="18"/>
          <w:szCs w:val="18"/>
          <w:lang w:eastAsia="en-AU"/>
        </w:rPr>
      </w:pPr>
      <w:r w:rsidRPr="00A21D7D">
        <w:rPr>
          <w:rFonts w:cs="Arial"/>
          <w:noProof/>
          <w:sz w:val="18"/>
          <w:szCs w:val="18"/>
          <w:lang w:eastAsia="en-AU"/>
        </w:rPr>
        <w:t>German: Wenn Sie uns einen Dolmetscher für diesen Bericht anordnen möchten, rufen Sie uns bitte auf 1300 130 670</w:t>
      </w:r>
    </w:p>
    <w:p w14:paraId="1652F3B8" w14:textId="77777777" w:rsidR="006F5840" w:rsidRPr="00A21D7D" w:rsidRDefault="006F5840" w:rsidP="006F5840">
      <w:pPr>
        <w:spacing w:line="240" w:lineRule="auto"/>
        <w:rPr>
          <w:rFonts w:cs="Arial"/>
          <w:i/>
          <w:noProof/>
          <w:sz w:val="18"/>
          <w:szCs w:val="18"/>
          <w:lang w:eastAsia="en-AU"/>
        </w:rPr>
      </w:pPr>
      <w:r w:rsidRPr="00A21D7D">
        <w:rPr>
          <w:rFonts w:cs="Arial"/>
          <w:noProof/>
          <w:sz w:val="18"/>
          <w:szCs w:val="18"/>
          <w:lang w:eastAsia="en-AU"/>
        </w:rPr>
        <w:t>Turkish: Lütfen bizi arayın 1300 130 670 bizimle bu rapor için bir tercüman istiyorsanız,</w:t>
      </w:r>
    </w:p>
    <w:p w14:paraId="075C8BAD" w14:textId="77777777" w:rsidR="006F5840" w:rsidRPr="00A21D7D" w:rsidRDefault="006F5840" w:rsidP="006F5840">
      <w:pPr>
        <w:spacing w:line="240" w:lineRule="auto"/>
        <w:rPr>
          <w:rFonts w:cs="Arial"/>
          <w:i/>
          <w:noProof/>
          <w:sz w:val="18"/>
          <w:szCs w:val="18"/>
          <w:lang w:eastAsia="en-AU"/>
        </w:rPr>
      </w:pPr>
      <w:r w:rsidRPr="00A21D7D">
        <w:rPr>
          <w:rFonts w:cs="Arial"/>
          <w:noProof/>
          <w:sz w:val="18"/>
          <w:szCs w:val="18"/>
          <w:lang w:eastAsia="en-AU"/>
        </w:rPr>
        <w:t xml:space="preserve">Japanese: </w:t>
      </w:r>
      <w:r w:rsidRPr="00A21D7D">
        <w:rPr>
          <w:rFonts w:eastAsia="MS Gothic" w:cs="Arial"/>
          <w:noProof/>
          <w:sz w:val="18"/>
          <w:szCs w:val="18"/>
          <w:lang w:eastAsia="en-AU"/>
        </w:rPr>
        <w:t>このレポートのための通訳の手配を希望する場合は、</w:t>
      </w:r>
      <w:r w:rsidRPr="00A21D7D">
        <w:rPr>
          <w:rFonts w:cs="Arial"/>
          <w:noProof/>
          <w:sz w:val="18"/>
          <w:szCs w:val="18"/>
          <w:lang w:eastAsia="en-AU"/>
        </w:rPr>
        <w:t>1300</w:t>
      </w:r>
      <w:r w:rsidRPr="00A21D7D">
        <w:rPr>
          <w:rFonts w:eastAsia="MS Gothic" w:cs="Arial"/>
          <w:noProof/>
          <w:sz w:val="18"/>
          <w:szCs w:val="18"/>
          <w:lang w:eastAsia="en-AU"/>
        </w:rPr>
        <w:t>年</w:t>
      </w:r>
      <w:r w:rsidRPr="00A21D7D">
        <w:rPr>
          <w:rFonts w:cs="Arial"/>
          <w:noProof/>
          <w:sz w:val="18"/>
          <w:szCs w:val="18"/>
          <w:lang w:eastAsia="en-AU"/>
        </w:rPr>
        <w:t xml:space="preserve"> 130 670 </w:t>
      </w:r>
      <w:r w:rsidRPr="00A21D7D">
        <w:rPr>
          <w:rFonts w:eastAsia="MS Gothic" w:cs="Arial"/>
          <w:noProof/>
          <w:sz w:val="18"/>
          <w:szCs w:val="18"/>
          <w:lang w:eastAsia="en-AU"/>
        </w:rPr>
        <w:t>に問い合わせください。</w:t>
      </w:r>
    </w:p>
    <w:p w14:paraId="0467174F" w14:textId="77777777" w:rsidR="006F5840" w:rsidRPr="00A21D7D" w:rsidRDefault="006F5840" w:rsidP="006F5840">
      <w:pPr>
        <w:spacing w:line="240" w:lineRule="auto"/>
        <w:rPr>
          <w:rFonts w:cs="Arial"/>
          <w:i/>
          <w:noProof/>
          <w:sz w:val="18"/>
          <w:szCs w:val="18"/>
          <w:lang w:eastAsia="en-AU"/>
        </w:rPr>
      </w:pPr>
      <w:r w:rsidRPr="00A21D7D">
        <w:rPr>
          <w:rFonts w:cs="Arial"/>
          <w:noProof/>
          <w:sz w:val="18"/>
          <w:szCs w:val="18"/>
          <w:lang w:eastAsia="en-AU"/>
        </w:rPr>
        <w:t>Dutch: Als u wij dat wilt te regelen een tolk voor dit verslag, bel ons op 1300 130 670</w:t>
      </w:r>
    </w:p>
    <w:p w14:paraId="01F5F2AB" w14:textId="77777777" w:rsidR="006F5840" w:rsidRPr="00A21D7D" w:rsidRDefault="006F5840" w:rsidP="006F5840">
      <w:pPr>
        <w:spacing w:line="240" w:lineRule="auto"/>
        <w:rPr>
          <w:rFonts w:cs="Arial"/>
          <w:i/>
          <w:noProof/>
          <w:sz w:val="18"/>
          <w:szCs w:val="18"/>
          <w:lang w:eastAsia="en-AU"/>
        </w:rPr>
      </w:pPr>
      <w:r w:rsidRPr="00A21D7D">
        <w:rPr>
          <w:rFonts w:cs="Arial"/>
          <w:noProof/>
          <w:sz w:val="18"/>
          <w:szCs w:val="18"/>
          <w:lang w:eastAsia="en-AU"/>
        </w:rPr>
        <w:t xml:space="preserve">Korean: </w:t>
      </w:r>
      <w:r w:rsidRPr="00A21D7D">
        <w:rPr>
          <w:rFonts w:eastAsia="Batang" w:cs="Arial"/>
          <w:noProof/>
          <w:sz w:val="18"/>
          <w:szCs w:val="18"/>
          <w:lang w:eastAsia="en-AU"/>
        </w:rPr>
        <w:t>우리가이</w:t>
      </w:r>
      <w:r w:rsidRPr="00A21D7D">
        <w:rPr>
          <w:rFonts w:cs="Arial"/>
          <w:noProof/>
          <w:sz w:val="18"/>
          <w:szCs w:val="18"/>
          <w:lang w:eastAsia="en-AU"/>
        </w:rPr>
        <w:t xml:space="preserve"> </w:t>
      </w:r>
      <w:r w:rsidRPr="00A21D7D">
        <w:rPr>
          <w:rFonts w:eastAsia="Batang" w:cs="Arial"/>
          <w:noProof/>
          <w:sz w:val="18"/>
          <w:szCs w:val="18"/>
          <w:lang w:eastAsia="en-AU"/>
        </w:rPr>
        <w:t>보고서에</w:t>
      </w:r>
      <w:r w:rsidRPr="00A21D7D">
        <w:rPr>
          <w:rFonts w:cs="Arial"/>
          <w:noProof/>
          <w:sz w:val="18"/>
          <w:szCs w:val="18"/>
          <w:lang w:eastAsia="en-AU"/>
        </w:rPr>
        <w:t xml:space="preserve"> </w:t>
      </w:r>
      <w:r w:rsidRPr="00A21D7D">
        <w:rPr>
          <w:rFonts w:eastAsia="Batang" w:cs="Arial"/>
          <w:noProof/>
          <w:sz w:val="18"/>
          <w:szCs w:val="18"/>
          <w:lang w:eastAsia="en-AU"/>
        </w:rPr>
        <w:t>대</w:t>
      </w:r>
      <w:r w:rsidRPr="00A21D7D">
        <w:rPr>
          <w:rFonts w:cs="Arial"/>
          <w:noProof/>
          <w:sz w:val="18"/>
          <w:szCs w:val="18"/>
          <w:lang w:eastAsia="en-AU"/>
        </w:rPr>
        <w:t xml:space="preserve"> </w:t>
      </w:r>
      <w:r w:rsidRPr="00A21D7D">
        <w:rPr>
          <w:rFonts w:eastAsia="Batang" w:cs="Arial"/>
          <w:noProof/>
          <w:sz w:val="18"/>
          <w:szCs w:val="18"/>
          <w:lang w:eastAsia="en-AU"/>
        </w:rPr>
        <w:t>한</w:t>
      </w:r>
      <w:r w:rsidRPr="00A21D7D">
        <w:rPr>
          <w:rFonts w:cs="Arial"/>
          <w:noProof/>
          <w:sz w:val="18"/>
          <w:szCs w:val="18"/>
          <w:lang w:eastAsia="en-AU"/>
        </w:rPr>
        <w:t xml:space="preserve"> </w:t>
      </w:r>
      <w:r w:rsidRPr="00A21D7D">
        <w:rPr>
          <w:rFonts w:eastAsia="Batang" w:cs="Arial"/>
          <w:noProof/>
          <w:sz w:val="18"/>
          <w:szCs w:val="18"/>
          <w:lang w:eastAsia="en-AU"/>
        </w:rPr>
        <w:t>해석자를</w:t>
      </w:r>
      <w:r w:rsidRPr="00A21D7D">
        <w:rPr>
          <w:rFonts w:cs="Arial"/>
          <w:noProof/>
          <w:sz w:val="18"/>
          <w:szCs w:val="18"/>
          <w:lang w:eastAsia="en-AU"/>
        </w:rPr>
        <w:t xml:space="preserve"> </w:t>
      </w:r>
      <w:r w:rsidRPr="00A21D7D">
        <w:rPr>
          <w:rFonts w:eastAsia="Batang" w:cs="Arial"/>
          <w:noProof/>
          <w:sz w:val="18"/>
          <w:szCs w:val="18"/>
          <w:lang w:eastAsia="en-AU"/>
        </w:rPr>
        <w:t>정렬</w:t>
      </w:r>
      <w:r w:rsidRPr="00A21D7D">
        <w:rPr>
          <w:rFonts w:cs="Arial"/>
          <w:noProof/>
          <w:sz w:val="18"/>
          <w:szCs w:val="18"/>
          <w:lang w:eastAsia="en-AU"/>
        </w:rPr>
        <w:t xml:space="preserve"> </w:t>
      </w:r>
      <w:r w:rsidRPr="00A21D7D">
        <w:rPr>
          <w:rFonts w:eastAsia="Batang" w:cs="Arial"/>
          <w:noProof/>
          <w:sz w:val="18"/>
          <w:szCs w:val="18"/>
          <w:lang w:eastAsia="en-AU"/>
        </w:rPr>
        <w:t>작업을</w:t>
      </w:r>
      <w:r w:rsidRPr="00A21D7D">
        <w:rPr>
          <w:rFonts w:cs="Arial"/>
          <w:noProof/>
          <w:sz w:val="18"/>
          <w:szCs w:val="18"/>
          <w:lang w:eastAsia="en-AU"/>
        </w:rPr>
        <w:t xml:space="preserve"> </w:t>
      </w:r>
      <w:r w:rsidRPr="00A21D7D">
        <w:rPr>
          <w:rFonts w:eastAsia="Batang" w:cs="Arial"/>
          <w:noProof/>
          <w:sz w:val="18"/>
          <w:szCs w:val="18"/>
          <w:lang w:eastAsia="en-AU"/>
        </w:rPr>
        <w:t>원하시면</w:t>
      </w:r>
      <w:r w:rsidRPr="00A21D7D">
        <w:rPr>
          <w:rFonts w:cs="Arial"/>
          <w:noProof/>
          <w:sz w:val="18"/>
          <w:szCs w:val="18"/>
          <w:lang w:eastAsia="en-AU"/>
        </w:rPr>
        <w:t xml:space="preserve"> </w:t>
      </w:r>
      <w:r w:rsidRPr="00A21D7D">
        <w:rPr>
          <w:rFonts w:eastAsia="Batang" w:cs="Arial"/>
          <w:noProof/>
          <w:sz w:val="18"/>
          <w:szCs w:val="18"/>
          <w:lang w:eastAsia="en-AU"/>
        </w:rPr>
        <w:t>전화</w:t>
      </w:r>
      <w:r w:rsidRPr="00A21D7D">
        <w:rPr>
          <w:rFonts w:cs="Arial"/>
          <w:noProof/>
          <w:sz w:val="18"/>
          <w:szCs w:val="18"/>
          <w:lang w:eastAsia="en-AU"/>
        </w:rPr>
        <w:t xml:space="preserve"> </w:t>
      </w:r>
      <w:r w:rsidRPr="00A21D7D">
        <w:rPr>
          <w:rFonts w:eastAsia="Batang" w:cs="Arial"/>
          <w:noProof/>
          <w:sz w:val="18"/>
          <w:szCs w:val="18"/>
          <w:lang w:eastAsia="en-AU"/>
        </w:rPr>
        <w:t>주시기</w:t>
      </w:r>
      <w:r w:rsidRPr="00A21D7D">
        <w:rPr>
          <w:rFonts w:cs="Arial"/>
          <w:noProof/>
          <w:sz w:val="18"/>
          <w:szCs w:val="18"/>
          <w:lang w:eastAsia="en-AU"/>
        </w:rPr>
        <w:t xml:space="preserve"> </w:t>
      </w:r>
      <w:r w:rsidRPr="00A21D7D">
        <w:rPr>
          <w:rFonts w:eastAsia="Batang" w:cs="Arial"/>
          <w:noProof/>
          <w:sz w:val="18"/>
          <w:szCs w:val="18"/>
          <w:lang w:eastAsia="en-AU"/>
        </w:rPr>
        <w:t>바랍니다에</w:t>
      </w:r>
      <w:r w:rsidRPr="00A21D7D">
        <w:rPr>
          <w:rFonts w:cs="Arial"/>
          <w:noProof/>
          <w:sz w:val="18"/>
          <w:szCs w:val="18"/>
          <w:lang w:eastAsia="en-AU"/>
        </w:rPr>
        <w:t xml:space="preserve"> 1300 130 670</w:t>
      </w:r>
    </w:p>
    <w:p w14:paraId="558EA8AF" w14:textId="77777777" w:rsidR="006860E4" w:rsidRDefault="006860E4" w:rsidP="006F5840">
      <w:pPr>
        <w:spacing w:line="240" w:lineRule="auto"/>
        <w:rPr>
          <w:rFonts w:cs="Arial"/>
          <w:sz w:val="18"/>
          <w:szCs w:val="18"/>
        </w:rPr>
      </w:pPr>
    </w:p>
    <w:p w14:paraId="337AD6BB" w14:textId="77777777" w:rsidR="006860E4" w:rsidRDefault="006860E4" w:rsidP="006F5840">
      <w:pPr>
        <w:spacing w:line="240" w:lineRule="auto"/>
        <w:rPr>
          <w:rFonts w:cs="Arial"/>
          <w:sz w:val="18"/>
          <w:szCs w:val="18"/>
        </w:rPr>
      </w:pPr>
    </w:p>
    <w:p w14:paraId="536B29BD" w14:textId="529EDC6B" w:rsidR="006F5840" w:rsidRPr="00A21D7D" w:rsidRDefault="006F5840" w:rsidP="006F5840">
      <w:pPr>
        <w:spacing w:line="240" w:lineRule="auto"/>
        <w:rPr>
          <w:rFonts w:cs="Arial"/>
          <w:i/>
          <w:sz w:val="18"/>
          <w:szCs w:val="18"/>
        </w:rPr>
      </w:pPr>
      <w:r w:rsidRPr="00A21D7D">
        <w:rPr>
          <w:rFonts w:cs="Arial"/>
          <w:sz w:val="18"/>
          <w:szCs w:val="18"/>
        </w:rPr>
        <w:t>© Queensland Human Rights Commission 2020</w:t>
      </w:r>
    </w:p>
    <w:p w14:paraId="512D2A87" w14:textId="77777777" w:rsidR="006F5840" w:rsidRPr="00A21D7D" w:rsidRDefault="006F5840" w:rsidP="006F5840">
      <w:pPr>
        <w:spacing w:line="240" w:lineRule="auto"/>
        <w:rPr>
          <w:rFonts w:cs="Arial"/>
          <w:i/>
          <w:sz w:val="18"/>
          <w:szCs w:val="18"/>
        </w:rPr>
      </w:pPr>
      <w:r w:rsidRPr="00A21D7D">
        <w:rPr>
          <w:rFonts w:cs="Arial"/>
          <w:sz w:val="18"/>
          <w:szCs w:val="18"/>
        </w:rPr>
        <w:t>ISSN 1441-5747 (print)</w:t>
      </w:r>
      <w:r w:rsidRPr="00A21D7D">
        <w:rPr>
          <w:rFonts w:cs="Arial"/>
          <w:sz w:val="18"/>
          <w:szCs w:val="18"/>
        </w:rPr>
        <w:tab/>
      </w:r>
      <w:r w:rsidRPr="00A21D7D">
        <w:rPr>
          <w:rFonts w:cs="Arial"/>
          <w:sz w:val="18"/>
          <w:szCs w:val="18"/>
        </w:rPr>
        <w:tab/>
        <w:t>ISSN 1837-0640 (online)</w:t>
      </w:r>
    </w:p>
    <w:p w14:paraId="44BF0925" w14:textId="77777777" w:rsidR="006860E4" w:rsidRDefault="006860E4" w:rsidP="007A7861">
      <w:pPr>
        <w:autoSpaceDE w:val="0"/>
        <w:autoSpaceDN w:val="0"/>
        <w:spacing w:after="0" w:line="276" w:lineRule="auto"/>
        <w:rPr>
          <w:rFonts w:cs="Arial"/>
          <w:b/>
          <w:bCs/>
          <w:sz w:val="18"/>
          <w:lang w:eastAsia="en-AU"/>
        </w:rPr>
      </w:pPr>
    </w:p>
    <w:p w14:paraId="7FC44936" w14:textId="77777777" w:rsidR="00A244E6" w:rsidRDefault="007A7861" w:rsidP="007A7861">
      <w:pPr>
        <w:autoSpaceDE w:val="0"/>
        <w:autoSpaceDN w:val="0"/>
        <w:spacing w:after="0" w:line="276" w:lineRule="auto"/>
        <w:rPr>
          <w:rFonts w:cs="Arial"/>
          <w:sz w:val="18"/>
          <w:lang w:eastAsia="en-AU"/>
        </w:rPr>
      </w:pPr>
      <w:r w:rsidRPr="007A7861">
        <w:rPr>
          <w:rFonts w:cs="Arial"/>
          <w:b/>
          <w:bCs/>
          <w:sz w:val="18"/>
          <w:lang w:eastAsia="en-AU"/>
        </w:rPr>
        <w:t>Licence</w:t>
      </w:r>
      <w:r w:rsidRPr="007A7861">
        <w:rPr>
          <w:rFonts w:cs="Arial"/>
          <w:sz w:val="18"/>
          <w:lang w:eastAsia="en-AU"/>
        </w:rPr>
        <w:t>:</w:t>
      </w:r>
      <w:r w:rsidR="006860E4">
        <w:rPr>
          <w:rFonts w:cs="Arial"/>
          <w:sz w:val="18"/>
          <w:lang w:eastAsia="en-AU"/>
        </w:rPr>
        <w:t xml:space="preserve"> </w:t>
      </w:r>
    </w:p>
    <w:p w14:paraId="5BCDECD0" w14:textId="24F306E9" w:rsidR="00A244E6" w:rsidRDefault="00A244E6" w:rsidP="007A7861">
      <w:pPr>
        <w:autoSpaceDE w:val="0"/>
        <w:autoSpaceDN w:val="0"/>
        <w:spacing w:after="0" w:line="276" w:lineRule="auto"/>
        <w:rPr>
          <w:rFonts w:cs="Arial"/>
          <w:sz w:val="18"/>
          <w:lang w:eastAsia="en-AU"/>
        </w:rPr>
      </w:pPr>
      <w:r w:rsidRPr="00A21D7D">
        <w:rPr>
          <w:rFonts w:cs="Arial"/>
          <w:i/>
          <w:noProof/>
          <w:sz w:val="18"/>
          <w:szCs w:val="18"/>
          <w:lang w:eastAsia="en-AU"/>
        </w:rPr>
        <w:drawing>
          <wp:inline distT="0" distB="0" distL="0" distR="0" wp14:anchorId="1A5CD843" wp14:editId="76E13DFB">
            <wp:extent cx="781050" cy="266700"/>
            <wp:effectExtent l="0" t="0" r="0" b="0"/>
            <wp:docPr id="2" name="Picture 2" descr="Creative Commons license, attribution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747" b="6666"/>
                    <a:stretch/>
                  </pic:blipFill>
                  <pic:spPr bwMode="auto">
                    <a:xfrm>
                      <a:off x="0" y="0"/>
                      <a:ext cx="781050" cy="266700"/>
                    </a:xfrm>
                    <a:prstGeom prst="rect">
                      <a:avLst/>
                    </a:prstGeom>
                    <a:noFill/>
                    <a:ln>
                      <a:noFill/>
                    </a:ln>
                    <a:extLst>
                      <a:ext uri="{53640926-AAD7-44D8-BBD7-CCE9431645EC}">
                        <a14:shadowObscured xmlns:a14="http://schemas.microsoft.com/office/drawing/2010/main"/>
                      </a:ext>
                    </a:extLst>
                  </pic:spPr>
                </pic:pic>
              </a:graphicData>
            </a:graphic>
          </wp:inline>
        </w:drawing>
      </w:r>
    </w:p>
    <w:p w14:paraId="684D5CE5" w14:textId="0DE9C241" w:rsidR="007A7861" w:rsidRPr="007A7861" w:rsidRDefault="007A7861" w:rsidP="007A7861">
      <w:pPr>
        <w:autoSpaceDE w:val="0"/>
        <w:autoSpaceDN w:val="0"/>
        <w:spacing w:after="0" w:line="276" w:lineRule="auto"/>
        <w:rPr>
          <w:rFonts w:cs="Arial"/>
          <w:sz w:val="18"/>
          <w:lang w:eastAsia="en-AU"/>
        </w:rPr>
      </w:pPr>
      <w:r w:rsidRPr="007A7861">
        <w:rPr>
          <w:rFonts w:cs="Arial"/>
          <w:sz w:val="18"/>
          <w:lang w:eastAsia="en-AU"/>
        </w:rPr>
        <w:t xml:space="preserve">This annual report is licensed by </w:t>
      </w:r>
      <w:r>
        <w:rPr>
          <w:rFonts w:cs="Arial"/>
          <w:sz w:val="18"/>
          <w:lang w:eastAsia="en-AU"/>
        </w:rPr>
        <w:t>Queensland Human Rights Commission</w:t>
      </w:r>
      <w:r w:rsidRPr="007A7861">
        <w:rPr>
          <w:rFonts w:cs="Arial"/>
          <w:sz w:val="18"/>
          <w:lang w:eastAsia="en-AU"/>
        </w:rPr>
        <w:t xml:space="preserve"> under a Creative Commons Attribution</w:t>
      </w:r>
    </w:p>
    <w:p w14:paraId="1A3C3343" w14:textId="6A8BF7AB" w:rsidR="006F5840" w:rsidRPr="00A21D7D" w:rsidRDefault="007A7861" w:rsidP="00A244E6">
      <w:pPr>
        <w:autoSpaceDE w:val="0"/>
        <w:autoSpaceDN w:val="0"/>
        <w:spacing w:after="0" w:line="276" w:lineRule="auto"/>
        <w:rPr>
          <w:rFonts w:cs="Arial"/>
          <w:iCs/>
          <w:sz w:val="18"/>
          <w:szCs w:val="18"/>
        </w:rPr>
      </w:pPr>
      <w:r w:rsidRPr="007A7861">
        <w:rPr>
          <w:rFonts w:cs="Arial"/>
          <w:sz w:val="18"/>
          <w:lang w:eastAsia="en-AU"/>
        </w:rPr>
        <w:t>(CC BY) 4</w:t>
      </w:r>
      <w:r w:rsidRPr="007A7861">
        <w:rPr>
          <w:rFonts w:cs="Arial"/>
          <w:i/>
          <w:iCs/>
          <w:sz w:val="18"/>
          <w:lang w:eastAsia="en-AU"/>
        </w:rPr>
        <w:t>.0 International licence</w:t>
      </w:r>
      <w:r w:rsidRPr="007A7861">
        <w:rPr>
          <w:rFonts w:cs="Arial"/>
          <w:sz w:val="18"/>
          <w:lang w:eastAsia="en-AU"/>
        </w:rPr>
        <w:t>.</w:t>
      </w:r>
      <w:r w:rsidR="00A244E6">
        <w:rPr>
          <w:rFonts w:cs="Arial"/>
          <w:sz w:val="18"/>
          <w:lang w:eastAsia="en-AU"/>
        </w:rPr>
        <w:t xml:space="preserve"> </w:t>
      </w:r>
      <w:r w:rsidR="006F5840" w:rsidRPr="00A21D7D">
        <w:rPr>
          <w:rFonts w:cs="Arial"/>
          <w:sz w:val="18"/>
          <w:szCs w:val="18"/>
        </w:rPr>
        <w:t xml:space="preserve">To view a copy of this licence, visit: </w:t>
      </w:r>
      <w:hyperlink r:id="rId12" w:history="1">
        <w:r w:rsidR="006F5840" w:rsidRPr="00A21D7D">
          <w:rPr>
            <w:rStyle w:val="Hyperlink"/>
            <w:rFonts w:cs="Arial"/>
            <w:color w:val="auto"/>
            <w:sz w:val="18"/>
            <w:szCs w:val="18"/>
          </w:rPr>
          <w:t>http://creativecommons.org/licenses/by/4.0/</w:t>
        </w:r>
      </w:hyperlink>
    </w:p>
    <w:p w14:paraId="677CFBE4" w14:textId="77777777" w:rsidR="00A244E6" w:rsidRDefault="00A244E6" w:rsidP="007A7861">
      <w:pPr>
        <w:autoSpaceDE w:val="0"/>
        <w:autoSpaceDN w:val="0"/>
        <w:spacing w:after="0" w:line="276" w:lineRule="auto"/>
        <w:rPr>
          <w:rFonts w:cs="Arial"/>
          <w:b/>
          <w:bCs/>
          <w:sz w:val="18"/>
          <w:lang w:eastAsia="en-AU"/>
        </w:rPr>
      </w:pPr>
    </w:p>
    <w:p w14:paraId="52235C35" w14:textId="77777777" w:rsidR="00A244E6" w:rsidRDefault="007A7861" w:rsidP="007A7861">
      <w:pPr>
        <w:autoSpaceDE w:val="0"/>
        <w:autoSpaceDN w:val="0"/>
        <w:spacing w:after="0" w:line="276" w:lineRule="auto"/>
        <w:rPr>
          <w:rFonts w:cs="Arial"/>
          <w:b/>
          <w:bCs/>
          <w:sz w:val="18"/>
          <w:lang w:eastAsia="en-AU"/>
        </w:rPr>
      </w:pPr>
      <w:r w:rsidRPr="007A7861">
        <w:rPr>
          <w:rFonts w:cs="Arial"/>
          <w:b/>
          <w:bCs/>
          <w:sz w:val="18"/>
          <w:lang w:eastAsia="en-AU"/>
        </w:rPr>
        <w:t xml:space="preserve">CC BY Licence Summary Statement: </w:t>
      </w:r>
    </w:p>
    <w:p w14:paraId="249039AF" w14:textId="1C1E5158" w:rsidR="007A7861" w:rsidRDefault="007A7861" w:rsidP="007A7861">
      <w:pPr>
        <w:autoSpaceDE w:val="0"/>
        <w:autoSpaceDN w:val="0"/>
        <w:spacing w:after="0" w:line="276" w:lineRule="auto"/>
        <w:rPr>
          <w:rFonts w:cs="Arial"/>
          <w:sz w:val="18"/>
          <w:lang w:eastAsia="en-AU"/>
        </w:rPr>
      </w:pPr>
      <w:r w:rsidRPr="007A7861">
        <w:rPr>
          <w:rFonts w:cs="Arial"/>
          <w:sz w:val="18"/>
          <w:lang w:eastAsia="en-AU"/>
        </w:rPr>
        <w:t>In essence, you are free to copy,</w:t>
      </w:r>
      <w:r>
        <w:rPr>
          <w:rFonts w:cs="Arial"/>
          <w:sz w:val="18"/>
          <w:lang w:eastAsia="en-AU"/>
        </w:rPr>
        <w:t xml:space="preserve"> </w:t>
      </w:r>
      <w:r w:rsidRPr="007A7861">
        <w:rPr>
          <w:rFonts w:cs="Arial"/>
          <w:sz w:val="18"/>
          <w:lang w:eastAsia="en-AU"/>
        </w:rPr>
        <w:t>communicate and adapt this annual report, as long as you attribute</w:t>
      </w:r>
      <w:r>
        <w:rPr>
          <w:rFonts w:cs="Arial"/>
          <w:sz w:val="18"/>
          <w:lang w:eastAsia="en-AU"/>
        </w:rPr>
        <w:t xml:space="preserve"> </w:t>
      </w:r>
      <w:r w:rsidRPr="007A7861">
        <w:rPr>
          <w:rFonts w:cs="Arial"/>
          <w:sz w:val="18"/>
          <w:lang w:eastAsia="en-AU"/>
        </w:rPr>
        <w:t xml:space="preserve">the work to the </w:t>
      </w:r>
      <w:r>
        <w:rPr>
          <w:rFonts w:cs="Arial"/>
          <w:sz w:val="18"/>
          <w:lang w:eastAsia="en-AU"/>
        </w:rPr>
        <w:t>Queensland Human Rights Commission</w:t>
      </w:r>
      <w:r w:rsidRPr="007A7861">
        <w:rPr>
          <w:rFonts w:cs="Arial"/>
          <w:sz w:val="18"/>
          <w:lang w:eastAsia="en-AU"/>
        </w:rPr>
        <w:t xml:space="preserve">. </w:t>
      </w:r>
    </w:p>
    <w:p w14:paraId="7A72B01D" w14:textId="77777777" w:rsidR="007A7861" w:rsidRDefault="007A7861" w:rsidP="007A7861">
      <w:pPr>
        <w:autoSpaceDE w:val="0"/>
        <w:autoSpaceDN w:val="0"/>
        <w:spacing w:after="0" w:line="276" w:lineRule="auto"/>
        <w:rPr>
          <w:rFonts w:cs="Arial"/>
          <w:sz w:val="18"/>
          <w:lang w:eastAsia="en-AU"/>
        </w:rPr>
      </w:pPr>
    </w:p>
    <w:p w14:paraId="46EB78B9" w14:textId="77777777" w:rsidR="00A244E6" w:rsidRDefault="007A7861" w:rsidP="007A7861">
      <w:pPr>
        <w:autoSpaceDE w:val="0"/>
        <w:autoSpaceDN w:val="0"/>
        <w:spacing w:after="0" w:line="276" w:lineRule="auto"/>
        <w:rPr>
          <w:rFonts w:cs="Arial"/>
          <w:sz w:val="18"/>
          <w:lang w:eastAsia="en-AU"/>
        </w:rPr>
      </w:pPr>
      <w:r w:rsidRPr="007A7861">
        <w:rPr>
          <w:rFonts w:cs="Arial"/>
          <w:b/>
          <w:bCs/>
          <w:sz w:val="18"/>
          <w:lang w:eastAsia="en-AU"/>
        </w:rPr>
        <w:t>Attribution</w:t>
      </w:r>
      <w:r w:rsidRPr="007A7861">
        <w:rPr>
          <w:rFonts w:cs="Arial"/>
          <w:sz w:val="18"/>
          <w:lang w:eastAsia="en-AU"/>
        </w:rPr>
        <w:t xml:space="preserve">: </w:t>
      </w:r>
    </w:p>
    <w:p w14:paraId="4219D2E2" w14:textId="4421273F" w:rsidR="007A7861" w:rsidRDefault="007A7861" w:rsidP="007A7861">
      <w:pPr>
        <w:autoSpaceDE w:val="0"/>
        <w:autoSpaceDN w:val="0"/>
        <w:spacing w:after="0" w:line="276" w:lineRule="auto"/>
        <w:rPr>
          <w:rFonts w:cs="Arial"/>
          <w:sz w:val="18"/>
          <w:lang w:eastAsia="en-AU"/>
        </w:rPr>
      </w:pPr>
      <w:r w:rsidRPr="007A7861">
        <w:rPr>
          <w:rFonts w:cs="Arial"/>
          <w:sz w:val="18"/>
          <w:lang w:eastAsia="en-AU"/>
        </w:rPr>
        <w:t>Content from this annual report should be attributed as:</w:t>
      </w:r>
      <w:r>
        <w:rPr>
          <w:rFonts w:cs="Arial"/>
          <w:sz w:val="18"/>
          <w:lang w:eastAsia="en-AU"/>
        </w:rPr>
        <w:t xml:space="preserve"> Queensland Human Rights Commission</w:t>
      </w:r>
      <w:r w:rsidRPr="007A7861">
        <w:rPr>
          <w:rFonts w:cs="Arial"/>
          <w:sz w:val="18"/>
          <w:lang w:eastAsia="en-AU"/>
        </w:rPr>
        <w:t xml:space="preserve"> Annual Report 201</w:t>
      </w:r>
      <w:r>
        <w:rPr>
          <w:rFonts w:cs="Arial"/>
          <w:sz w:val="18"/>
          <w:lang w:eastAsia="en-AU"/>
        </w:rPr>
        <w:t>9</w:t>
      </w:r>
      <w:r w:rsidRPr="007A7861">
        <w:rPr>
          <w:rFonts w:cs="Arial"/>
          <w:sz w:val="18"/>
          <w:lang w:eastAsia="en-AU"/>
        </w:rPr>
        <w:t>–</w:t>
      </w:r>
      <w:r>
        <w:rPr>
          <w:rFonts w:cs="Arial"/>
          <w:sz w:val="18"/>
          <w:lang w:eastAsia="en-AU"/>
        </w:rPr>
        <w:t>20</w:t>
      </w:r>
      <w:r w:rsidRPr="007A7861">
        <w:rPr>
          <w:rFonts w:cs="Arial"/>
          <w:sz w:val="18"/>
          <w:lang w:eastAsia="en-AU"/>
        </w:rPr>
        <w:t>.</w:t>
      </w:r>
    </w:p>
    <w:p w14:paraId="6AB2B891" w14:textId="77777777" w:rsidR="007A7861" w:rsidRPr="007A7861" w:rsidRDefault="007A7861" w:rsidP="007A7861">
      <w:pPr>
        <w:autoSpaceDE w:val="0"/>
        <w:autoSpaceDN w:val="0"/>
        <w:spacing w:after="0" w:line="276" w:lineRule="auto"/>
        <w:rPr>
          <w:rFonts w:cs="Arial"/>
          <w:color w:val="1F497D"/>
          <w:sz w:val="18"/>
        </w:rPr>
      </w:pPr>
    </w:p>
    <w:p w14:paraId="128743B2" w14:textId="18E6EBB5" w:rsidR="006F5840" w:rsidRPr="00A21D7D" w:rsidRDefault="006F5840" w:rsidP="006F5840">
      <w:pPr>
        <w:spacing w:line="240" w:lineRule="auto"/>
        <w:rPr>
          <w:rFonts w:cs="Arial"/>
          <w:i/>
          <w:sz w:val="18"/>
          <w:szCs w:val="18"/>
        </w:rPr>
      </w:pPr>
      <w:r w:rsidRPr="00A21D7D">
        <w:rPr>
          <w:rFonts w:cs="Arial"/>
          <w:sz w:val="18"/>
          <w:szCs w:val="18"/>
        </w:rPr>
        <w:t>This publication is available</w:t>
      </w:r>
      <w:r w:rsidR="007A7861">
        <w:rPr>
          <w:rFonts w:cs="Arial"/>
          <w:sz w:val="18"/>
          <w:szCs w:val="18"/>
        </w:rPr>
        <w:t xml:space="preserve"> in print from the </w:t>
      </w:r>
      <w:r w:rsidRPr="00A21D7D">
        <w:rPr>
          <w:rFonts w:cs="Arial"/>
          <w:sz w:val="18"/>
          <w:szCs w:val="18"/>
        </w:rPr>
        <w:t xml:space="preserve">Queensland Human Rights Commission’s </w:t>
      </w:r>
      <w:r w:rsidR="007A7861">
        <w:rPr>
          <w:rFonts w:cs="Arial"/>
          <w:sz w:val="18"/>
          <w:szCs w:val="18"/>
        </w:rPr>
        <w:t>Brisbane office, or</w:t>
      </w:r>
      <w:r w:rsidR="007A7861" w:rsidRPr="00A21D7D">
        <w:rPr>
          <w:rFonts w:cs="Arial"/>
          <w:sz w:val="18"/>
          <w:szCs w:val="18"/>
        </w:rPr>
        <w:t xml:space="preserve"> in electronic format on the </w:t>
      </w:r>
      <w:r w:rsidR="007A7861">
        <w:rPr>
          <w:rFonts w:cs="Arial"/>
          <w:sz w:val="18"/>
          <w:szCs w:val="18"/>
        </w:rPr>
        <w:t xml:space="preserve">Commission’s </w:t>
      </w:r>
      <w:r w:rsidRPr="00A21D7D">
        <w:rPr>
          <w:rFonts w:cs="Arial"/>
          <w:sz w:val="18"/>
          <w:szCs w:val="18"/>
        </w:rPr>
        <w:t xml:space="preserve">website at: </w:t>
      </w:r>
      <w:hyperlink r:id="rId13" w:history="1">
        <w:r w:rsidRPr="00A21D7D">
          <w:rPr>
            <w:rStyle w:val="Hyperlink"/>
            <w:rFonts w:cs="Arial"/>
            <w:color w:val="auto"/>
            <w:sz w:val="18"/>
            <w:szCs w:val="18"/>
          </w:rPr>
          <w:t>www.qhrc.qld.gov.au</w:t>
        </w:r>
      </w:hyperlink>
      <w:r w:rsidRPr="00A21D7D">
        <w:rPr>
          <w:rFonts w:cs="Arial"/>
          <w:sz w:val="18"/>
          <w:szCs w:val="18"/>
        </w:rPr>
        <w:t>.</w:t>
      </w:r>
    </w:p>
    <w:p w14:paraId="6A3CB989" w14:textId="77777777" w:rsidR="006F5840" w:rsidRPr="00A21D7D" w:rsidRDefault="006F5840">
      <w:pPr>
        <w:rPr>
          <w:rFonts w:cs="Arial"/>
        </w:rPr>
      </w:pPr>
      <w:r w:rsidRPr="00A21D7D">
        <w:rPr>
          <w:rFonts w:cs="Arial"/>
        </w:rPr>
        <w:br w:type="page"/>
      </w:r>
    </w:p>
    <w:p w14:paraId="36A6AD9D" w14:textId="77777777" w:rsidR="006F5840" w:rsidRPr="00A21D7D" w:rsidRDefault="006F5840" w:rsidP="006860E4">
      <w:pPr>
        <w:pStyle w:val="Heading1"/>
      </w:pPr>
      <w:bookmarkStart w:id="1" w:name="_Toc49508849"/>
      <w:r w:rsidRPr="009158BB">
        <w:lastRenderedPageBreak/>
        <w:t>Contents</w:t>
      </w:r>
      <w:bookmarkEnd w:id="1"/>
    </w:p>
    <w:sdt>
      <w:sdtPr>
        <w:rPr>
          <w:rFonts w:ascii="Arial" w:eastAsiaTheme="minorHAnsi" w:hAnsi="Arial" w:cstheme="minorBidi"/>
          <w:color w:val="auto"/>
          <w:sz w:val="22"/>
          <w:szCs w:val="24"/>
          <w:lang w:val="en-AU"/>
        </w:rPr>
        <w:id w:val="1706521987"/>
        <w:docPartObj>
          <w:docPartGallery w:val="Table of Contents"/>
          <w:docPartUnique/>
        </w:docPartObj>
      </w:sdtPr>
      <w:sdtEndPr>
        <w:rPr>
          <w:b/>
          <w:bCs/>
          <w:noProof/>
        </w:rPr>
      </w:sdtEndPr>
      <w:sdtContent>
        <w:p w14:paraId="6A11477C" w14:textId="667D46AF" w:rsidR="003D1036" w:rsidRDefault="003D1036" w:rsidP="003D1036">
          <w:pPr>
            <w:pStyle w:val="TOCHeading"/>
            <w:rPr>
              <w:noProof/>
            </w:rPr>
          </w:pPr>
          <w:r>
            <w:fldChar w:fldCharType="begin"/>
          </w:r>
          <w:r>
            <w:instrText xml:space="preserve"> TOC \o "1-3" \h \z \u </w:instrText>
          </w:r>
          <w:r>
            <w:fldChar w:fldCharType="separate"/>
          </w:r>
        </w:p>
        <w:p w14:paraId="33F05144" w14:textId="48EE8B2E" w:rsidR="003D1036" w:rsidRDefault="003B066D">
          <w:pPr>
            <w:pStyle w:val="TOC1"/>
            <w:tabs>
              <w:tab w:val="right" w:leader="dot" w:pos="9742"/>
            </w:tabs>
            <w:rPr>
              <w:noProof/>
            </w:rPr>
          </w:pPr>
          <w:hyperlink w:anchor="_Toc49508850" w:history="1">
            <w:r w:rsidR="003D1036" w:rsidRPr="008B113B">
              <w:rPr>
                <w:rStyle w:val="Hyperlink"/>
                <w:noProof/>
              </w:rPr>
              <w:t>Letter of compliance</w:t>
            </w:r>
            <w:r w:rsidR="003D1036">
              <w:rPr>
                <w:noProof/>
                <w:webHidden/>
              </w:rPr>
              <w:tab/>
            </w:r>
            <w:r w:rsidR="003D1036">
              <w:rPr>
                <w:noProof/>
                <w:webHidden/>
              </w:rPr>
              <w:fldChar w:fldCharType="begin"/>
            </w:r>
            <w:r w:rsidR="003D1036">
              <w:rPr>
                <w:noProof/>
                <w:webHidden/>
              </w:rPr>
              <w:instrText xml:space="preserve"> PAGEREF _Toc49508850 \h </w:instrText>
            </w:r>
            <w:r w:rsidR="003D1036">
              <w:rPr>
                <w:noProof/>
                <w:webHidden/>
              </w:rPr>
            </w:r>
            <w:r w:rsidR="003D1036">
              <w:rPr>
                <w:noProof/>
                <w:webHidden/>
              </w:rPr>
              <w:fldChar w:fldCharType="separate"/>
            </w:r>
            <w:r>
              <w:rPr>
                <w:noProof/>
                <w:webHidden/>
              </w:rPr>
              <w:t>4</w:t>
            </w:r>
            <w:r w:rsidR="003D1036">
              <w:rPr>
                <w:noProof/>
                <w:webHidden/>
              </w:rPr>
              <w:fldChar w:fldCharType="end"/>
            </w:r>
          </w:hyperlink>
        </w:p>
        <w:p w14:paraId="256A62CA" w14:textId="32DCAB1E" w:rsidR="003D1036" w:rsidRDefault="003B066D">
          <w:pPr>
            <w:pStyle w:val="TOC1"/>
            <w:tabs>
              <w:tab w:val="right" w:leader="dot" w:pos="9742"/>
            </w:tabs>
            <w:rPr>
              <w:noProof/>
            </w:rPr>
          </w:pPr>
          <w:hyperlink w:anchor="_Toc49508851" w:history="1">
            <w:r w:rsidR="003D1036" w:rsidRPr="008B113B">
              <w:rPr>
                <w:rStyle w:val="Hyperlink"/>
                <w:noProof/>
              </w:rPr>
              <w:t>Commissioner’s foreword</w:t>
            </w:r>
            <w:r w:rsidR="003D1036">
              <w:rPr>
                <w:noProof/>
                <w:webHidden/>
              </w:rPr>
              <w:tab/>
            </w:r>
            <w:r w:rsidR="003D1036">
              <w:rPr>
                <w:noProof/>
                <w:webHidden/>
              </w:rPr>
              <w:fldChar w:fldCharType="begin"/>
            </w:r>
            <w:r w:rsidR="003D1036">
              <w:rPr>
                <w:noProof/>
                <w:webHidden/>
              </w:rPr>
              <w:instrText xml:space="preserve"> PAGEREF _Toc49508851 \h </w:instrText>
            </w:r>
            <w:r w:rsidR="003D1036">
              <w:rPr>
                <w:noProof/>
                <w:webHidden/>
              </w:rPr>
            </w:r>
            <w:r w:rsidR="003D1036">
              <w:rPr>
                <w:noProof/>
                <w:webHidden/>
              </w:rPr>
              <w:fldChar w:fldCharType="separate"/>
            </w:r>
            <w:r>
              <w:rPr>
                <w:noProof/>
                <w:webHidden/>
              </w:rPr>
              <w:t>5</w:t>
            </w:r>
            <w:r w:rsidR="003D1036">
              <w:rPr>
                <w:noProof/>
                <w:webHidden/>
              </w:rPr>
              <w:fldChar w:fldCharType="end"/>
            </w:r>
          </w:hyperlink>
        </w:p>
        <w:p w14:paraId="7D5CA4FD" w14:textId="71A2C3DB" w:rsidR="003D1036" w:rsidRDefault="003B066D">
          <w:pPr>
            <w:pStyle w:val="TOC1"/>
            <w:tabs>
              <w:tab w:val="right" w:leader="dot" w:pos="9742"/>
            </w:tabs>
            <w:rPr>
              <w:noProof/>
            </w:rPr>
          </w:pPr>
          <w:hyperlink w:anchor="_Toc49508852" w:history="1">
            <w:r w:rsidR="003D1036" w:rsidRPr="008B113B">
              <w:rPr>
                <w:rStyle w:val="Hyperlink"/>
                <w:noProof/>
              </w:rPr>
              <w:t>About the Queensland Human Rights Commission</w:t>
            </w:r>
            <w:r w:rsidR="003D1036">
              <w:rPr>
                <w:noProof/>
                <w:webHidden/>
              </w:rPr>
              <w:tab/>
            </w:r>
            <w:r w:rsidR="003D1036">
              <w:rPr>
                <w:noProof/>
                <w:webHidden/>
              </w:rPr>
              <w:fldChar w:fldCharType="begin"/>
            </w:r>
            <w:r w:rsidR="003D1036">
              <w:rPr>
                <w:noProof/>
                <w:webHidden/>
              </w:rPr>
              <w:instrText xml:space="preserve"> PAGEREF _Toc49508852 \h </w:instrText>
            </w:r>
            <w:r w:rsidR="003D1036">
              <w:rPr>
                <w:noProof/>
                <w:webHidden/>
              </w:rPr>
            </w:r>
            <w:r w:rsidR="003D1036">
              <w:rPr>
                <w:noProof/>
                <w:webHidden/>
              </w:rPr>
              <w:fldChar w:fldCharType="separate"/>
            </w:r>
            <w:r>
              <w:rPr>
                <w:noProof/>
                <w:webHidden/>
              </w:rPr>
              <w:t>8</w:t>
            </w:r>
            <w:r w:rsidR="003D1036">
              <w:rPr>
                <w:noProof/>
                <w:webHidden/>
              </w:rPr>
              <w:fldChar w:fldCharType="end"/>
            </w:r>
          </w:hyperlink>
        </w:p>
        <w:p w14:paraId="6632744B" w14:textId="26244359" w:rsidR="003D1036" w:rsidRDefault="003B066D">
          <w:pPr>
            <w:pStyle w:val="TOC2"/>
            <w:tabs>
              <w:tab w:val="right" w:leader="dot" w:pos="9742"/>
            </w:tabs>
            <w:rPr>
              <w:noProof/>
            </w:rPr>
          </w:pPr>
          <w:hyperlink w:anchor="_Toc49508853" w:history="1">
            <w:r w:rsidR="003D1036" w:rsidRPr="008B113B">
              <w:rPr>
                <w:rStyle w:val="Hyperlink"/>
                <w:noProof/>
              </w:rPr>
              <w:t>Our functions</w:t>
            </w:r>
            <w:r w:rsidR="003D1036">
              <w:rPr>
                <w:noProof/>
                <w:webHidden/>
              </w:rPr>
              <w:tab/>
            </w:r>
            <w:r w:rsidR="003D1036">
              <w:rPr>
                <w:noProof/>
                <w:webHidden/>
              </w:rPr>
              <w:fldChar w:fldCharType="begin"/>
            </w:r>
            <w:r w:rsidR="003D1036">
              <w:rPr>
                <w:noProof/>
                <w:webHidden/>
              </w:rPr>
              <w:instrText xml:space="preserve"> PAGEREF _Toc49508853 \h </w:instrText>
            </w:r>
            <w:r w:rsidR="003D1036">
              <w:rPr>
                <w:noProof/>
                <w:webHidden/>
              </w:rPr>
            </w:r>
            <w:r w:rsidR="003D1036">
              <w:rPr>
                <w:noProof/>
                <w:webHidden/>
              </w:rPr>
              <w:fldChar w:fldCharType="separate"/>
            </w:r>
            <w:r>
              <w:rPr>
                <w:noProof/>
                <w:webHidden/>
              </w:rPr>
              <w:t>8</w:t>
            </w:r>
            <w:r w:rsidR="003D1036">
              <w:rPr>
                <w:noProof/>
                <w:webHidden/>
              </w:rPr>
              <w:fldChar w:fldCharType="end"/>
            </w:r>
          </w:hyperlink>
        </w:p>
        <w:p w14:paraId="38A46126" w14:textId="071A4909" w:rsidR="003D1036" w:rsidRDefault="003B066D">
          <w:pPr>
            <w:pStyle w:val="TOC2"/>
            <w:tabs>
              <w:tab w:val="right" w:leader="dot" w:pos="9742"/>
            </w:tabs>
            <w:rPr>
              <w:noProof/>
            </w:rPr>
          </w:pPr>
          <w:hyperlink w:anchor="_Toc49508854" w:history="1">
            <w:r w:rsidR="003D1036" w:rsidRPr="008B113B">
              <w:rPr>
                <w:rStyle w:val="Hyperlink"/>
                <w:noProof/>
              </w:rPr>
              <w:t>Our vision</w:t>
            </w:r>
            <w:r w:rsidR="003D1036">
              <w:rPr>
                <w:noProof/>
                <w:webHidden/>
              </w:rPr>
              <w:tab/>
            </w:r>
            <w:r w:rsidR="003D1036">
              <w:rPr>
                <w:noProof/>
                <w:webHidden/>
              </w:rPr>
              <w:fldChar w:fldCharType="begin"/>
            </w:r>
            <w:r w:rsidR="003D1036">
              <w:rPr>
                <w:noProof/>
                <w:webHidden/>
              </w:rPr>
              <w:instrText xml:space="preserve"> PAGEREF _Toc49508854 \h </w:instrText>
            </w:r>
            <w:r w:rsidR="003D1036">
              <w:rPr>
                <w:noProof/>
                <w:webHidden/>
              </w:rPr>
            </w:r>
            <w:r w:rsidR="003D1036">
              <w:rPr>
                <w:noProof/>
                <w:webHidden/>
              </w:rPr>
              <w:fldChar w:fldCharType="separate"/>
            </w:r>
            <w:r>
              <w:rPr>
                <w:noProof/>
                <w:webHidden/>
              </w:rPr>
              <w:t>9</w:t>
            </w:r>
            <w:r w:rsidR="003D1036">
              <w:rPr>
                <w:noProof/>
                <w:webHidden/>
              </w:rPr>
              <w:fldChar w:fldCharType="end"/>
            </w:r>
          </w:hyperlink>
        </w:p>
        <w:p w14:paraId="152FCAF8" w14:textId="7A6B5D56" w:rsidR="003D1036" w:rsidRDefault="003B066D">
          <w:pPr>
            <w:pStyle w:val="TOC2"/>
            <w:tabs>
              <w:tab w:val="right" w:leader="dot" w:pos="9742"/>
            </w:tabs>
            <w:rPr>
              <w:noProof/>
            </w:rPr>
          </w:pPr>
          <w:hyperlink w:anchor="_Toc49508855" w:history="1">
            <w:r w:rsidR="003D1036" w:rsidRPr="008B113B">
              <w:rPr>
                <w:rStyle w:val="Hyperlink"/>
                <w:noProof/>
              </w:rPr>
              <w:t>Our purpose</w:t>
            </w:r>
            <w:r w:rsidR="003D1036">
              <w:rPr>
                <w:noProof/>
                <w:webHidden/>
              </w:rPr>
              <w:tab/>
            </w:r>
            <w:r w:rsidR="003D1036">
              <w:rPr>
                <w:noProof/>
                <w:webHidden/>
              </w:rPr>
              <w:fldChar w:fldCharType="begin"/>
            </w:r>
            <w:r w:rsidR="003D1036">
              <w:rPr>
                <w:noProof/>
                <w:webHidden/>
              </w:rPr>
              <w:instrText xml:space="preserve"> PAGEREF _Toc49508855 \h </w:instrText>
            </w:r>
            <w:r w:rsidR="003D1036">
              <w:rPr>
                <w:noProof/>
                <w:webHidden/>
              </w:rPr>
            </w:r>
            <w:r w:rsidR="003D1036">
              <w:rPr>
                <w:noProof/>
                <w:webHidden/>
              </w:rPr>
              <w:fldChar w:fldCharType="separate"/>
            </w:r>
            <w:r>
              <w:rPr>
                <w:noProof/>
                <w:webHidden/>
              </w:rPr>
              <w:t>9</w:t>
            </w:r>
            <w:r w:rsidR="003D1036">
              <w:rPr>
                <w:noProof/>
                <w:webHidden/>
              </w:rPr>
              <w:fldChar w:fldCharType="end"/>
            </w:r>
          </w:hyperlink>
        </w:p>
        <w:p w14:paraId="658A4F9A" w14:textId="0F158FC9" w:rsidR="003D1036" w:rsidRDefault="003B066D">
          <w:pPr>
            <w:pStyle w:val="TOC2"/>
            <w:tabs>
              <w:tab w:val="right" w:leader="dot" w:pos="9742"/>
            </w:tabs>
            <w:rPr>
              <w:noProof/>
            </w:rPr>
          </w:pPr>
          <w:hyperlink w:anchor="_Toc49508856" w:history="1">
            <w:r w:rsidR="003D1036" w:rsidRPr="008B113B">
              <w:rPr>
                <w:rStyle w:val="Hyperlink"/>
                <w:noProof/>
              </w:rPr>
              <w:t>Our Strategic Plan 2020-2024</w:t>
            </w:r>
            <w:r w:rsidR="003D1036">
              <w:rPr>
                <w:noProof/>
                <w:webHidden/>
              </w:rPr>
              <w:tab/>
            </w:r>
            <w:r w:rsidR="003D1036">
              <w:rPr>
                <w:noProof/>
                <w:webHidden/>
              </w:rPr>
              <w:fldChar w:fldCharType="begin"/>
            </w:r>
            <w:r w:rsidR="003D1036">
              <w:rPr>
                <w:noProof/>
                <w:webHidden/>
              </w:rPr>
              <w:instrText xml:space="preserve"> PAGEREF _Toc49508856 \h </w:instrText>
            </w:r>
            <w:r w:rsidR="003D1036">
              <w:rPr>
                <w:noProof/>
                <w:webHidden/>
              </w:rPr>
            </w:r>
            <w:r w:rsidR="003D1036">
              <w:rPr>
                <w:noProof/>
                <w:webHidden/>
              </w:rPr>
              <w:fldChar w:fldCharType="separate"/>
            </w:r>
            <w:r>
              <w:rPr>
                <w:noProof/>
                <w:webHidden/>
              </w:rPr>
              <w:t>9</w:t>
            </w:r>
            <w:r w:rsidR="003D1036">
              <w:rPr>
                <w:noProof/>
                <w:webHidden/>
              </w:rPr>
              <w:fldChar w:fldCharType="end"/>
            </w:r>
          </w:hyperlink>
        </w:p>
        <w:p w14:paraId="061CBA0A" w14:textId="470A19F1" w:rsidR="003D1036" w:rsidRDefault="003B066D">
          <w:pPr>
            <w:pStyle w:val="TOC2"/>
            <w:tabs>
              <w:tab w:val="right" w:leader="dot" w:pos="9742"/>
            </w:tabs>
            <w:rPr>
              <w:noProof/>
            </w:rPr>
          </w:pPr>
          <w:hyperlink w:anchor="_Toc49508857" w:history="1">
            <w:r w:rsidR="003D1036" w:rsidRPr="008B113B">
              <w:rPr>
                <w:rStyle w:val="Hyperlink"/>
                <w:noProof/>
              </w:rPr>
              <w:t>Our objectives</w:t>
            </w:r>
            <w:r w:rsidR="003D1036">
              <w:rPr>
                <w:noProof/>
                <w:webHidden/>
              </w:rPr>
              <w:tab/>
            </w:r>
            <w:r w:rsidR="003D1036">
              <w:rPr>
                <w:noProof/>
                <w:webHidden/>
              </w:rPr>
              <w:fldChar w:fldCharType="begin"/>
            </w:r>
            <w:r w:rsidR="003D1036">
              <w:rPr>
                <w:noProof/>
                <w:webHidden/>
              </w:rPr>
              <w:instrText xml:space="preserve"> PAGEREF _Toc49508857 \h </w:instrText>
            </w:r>
            <w:r w:rsidR="003D1036">
              <w:rPr>
                <w:noProof/>
                <w:webHidden/>
              </w:rPr>
            </w:r>
            <w:r w:rsidR="003D1036">
              <w:rPr>
                <w:noProof/>
                <w:webHidden/>
              </w:rPr>
              <w:fldChar w:fldCharType="separate"/>
            </w:r>
            <w:r>
              <w:rPr>
                <w:noProof/>
                <w:webHidden/>
              </w:rPr>
              <w:t>9</w:t>
            </w:r>
            <w:r w:rsidR="003D1036">
              <w:rPr>
                <w:noProof/>
                <w:webHidden/>
              </w:rPr>
              <w:fldChar w:fldCharType="end"/>
            </w:r>
          </w:hyperlink>
        </w:p>
        <w:p w14:paraId="2C2C7E8F" w14:textId="2065A75C" w:rsidR="003D1036" w:rsidRDefault="003B066D">
          <w:pPr>
            <w:pStyle w:val="TOC2"/>
            <w:tabs>
              <w:tab w:val="right" w:leader="dot" w:pos="9742"/>
            </w:tabs>
            <w:rPr>
              <w:noProof/>
            </w:rPr>
          </w:pPr>
          <w:hyperlink w:anchor="_Toc49508862" w:history="1">
            <w:r w:rsidR="003D1036" w:rsidRPr="008B113B">
              <w:rPr>
                <w:rStyle w:val="Hyperlink"/>
                <w:noProof/>
              </w:rPr>
              <w:t>Our values</w:t>
            </w:r>
            <w:r w:rsidR="003D1036">
              <w:rPr>
                <w:noProof/>
                <w:webHidden/>
              </w:rPr>
              <w:tab/>
            </w:r>
            <w:r w:rsidR="003D1036">
              <w:rPr>
                <w:noProof/>
                <w:webHidden/>
              </w:rPr>
              <w:fldChar w:fldCharType="begin"/>
            </w:r>
            <w:r w:rsidR="003D1036">
              <w:rPr>
                <w:noProof/>
                <w:webHidden/>
              </w:rPr>
              <w:instrText xml:space="preserve"> PAGEREF _Toc49508862 \h </w:instrText>
            </w:r>
            <w:r w:rsidR="003D1036">
              <w:rPr>
                <w:noProof/>
                <w:webHidden/>
              </w:rPr>
            </w:r>
            <w:r w:rsidR="003D1036">
              <w:rPr>
                <w:noProof/>
                <w:webHidden/>
              </w:rPr>
              <w:fldChar w:fldCharType="separate"/>
            </w:r>
            <w:r>
              <w:rPr>
                <w:noProof/>
                <w:webHidden/>
              </w:rPr>
              <w:t>10</w:t>
            </w:r>
            <w:r w:rsidR="003D1036">
              <w:rPr>
                <w:noProof/>
                <w:webHidden/>
              </w:rPr>
              <w:fldChar w:fldCharType="end"/>
            </w:r>
          </w:hyperlink>
        </w:p>
        <w:p w14:paraId="41FFFFED" w14:textId="79767B86" w:rsidR="003D1036" w:rsidRDefault="003B066D">
          <w:pPr>
            <w:pStyle w:val="TOC2"/>
            <w:tabs>
              <w:tab w:val="right" w:leader="dot" w:pos="9742"/>
            </w:tabs>
            <w:rPr>
              <w:noProof/>
            </w:rPr>
          </w:pPr>
          <w:hyperlink w:anchor="_Toc49508863" w:history="1">
            <w:r w:rsidR="003D1036" w:rsidRPr="008B113B">
              <w:rPr>
                <w:rStyle w:val="Hyperlink"/>
                <w:noProof/>
              </w:rPr>
              <w:t>Our services</w:t>
            </w:r>
            <w:r w:rsidR="003D1036">
              <w:rPr>
                <w:noProof/>
                <w:webHidden/>
              </w:rPr>
              <w:tab/>
            </w:r>
            <w:r w:rsidR="003D1036">
              <w:rPr>
                <w:noProof/>
                <w:webHidden/>
              </w:rPr>
              <w:fldChar w:fldCharType="begin"/>
            </w:r>
            <w:r w:rsidR="003D1036">
              <w:rPr>
                <w:noProof/>
                <w:webHidden/>
              </w:rPr>
              <w:instrText xml:space="preserve"> PAGEREF _Toc49508863 \h </w:instrText>
            </w:r>
            <w:r w:rsidR="003D1036">
              <w:rPr>
                <w:noProof/>
                <w:webHidden/>
              </w:rPr>
            </w:r>
            <w:r w:rsidR="003D1036">
              <w:rPr>
                <w:noProof/>
                <w:webHidden/>
              </w:rPr>
              <w:fldChar w:fldCharType="separate"/>
            </w:r>
            <w:r>
              <w:rPr>
                <w:noProof/>
                <w:webHidden/>
              </w:rPr>
              <w:t>11</w:t>
            </w:r>
            <w:r w:rsidR="003D1036">
              <w:rPr>
                <w:noProof/>
                <w:webHidden/>
              </w:rPr>
              <w:fldChar w:fldCharType="end"/>
            </w:r>
          </w:hyperlink>
        </w:p>
        <w:p w14:paraId="150A07FC" w14:textId="77F869C3" w:rsidR="003D1036" w:rsidRDefault="003B066D">
          <w:pPr>
            <w:pStyle w:val="TOC2"/>
            <w:tabs>
              <w:tab w:val="right" w:leader="dot" w:pos="9742"/>
            </w:tabs>
            <w:rPr>
              <w:noProof/>
            </w:rPr>
          </w:pPr>
          <w:hyperlink w:anchor="_Toc49508864" w:history="1">
            <w:r w:rsidR="003D1036" w:rsidRPr="008B113B">
              <w:rPr>
                <w:rStyle w:val="Hyperlink"/>
                <w:noProof/>
              </w:rPr>
              <w:t>Our people</w:t>
            </w:r>
            <w:r w:rsidR="003D1036">
              <w:rPr>
                <w:noProof/>
                <w:webHidden/>
              </w:rPr>
              <w:tab/>
            </w:r>
            <w:r w:rsidR="003D1036">
              <w:rPr>
                <w:noProof/>
                <w:webHidden/>
              </w:rPr>
              <w:fldChar w:fldCharType="begin"/>
            </w:r>
            <w:r w:rsidR="003D1036">
              <w:rPr>
                <w:noProof/>
                <w:webHidden/>
              </w:rPr>
              <w:instrText xml:space="preserve"> PAGEREF _Toc49508864 \h </w:instrText>
            </w:r>
            <w:r w:rsidR="003D1036">
              <w:rPr>
                <w:noProof/>
                <w:webHidden/>
              </w:rPr>
            </w:r>
            <w:r w:rsidR="003D1036">
              <w:rPr>
                <w:noProof/>
                <w:webHidden/>
              </w:rPr>
              <w:fldChar w:fldCharType="separate"/>
            </w:r>
            <w:r>
              <w:rPr>
                <w:noProof/>
                <w:webHidden/>
              </w:rPr>
              <w:t>11</w:t>
            </w:r>
            <w:r w:rsidR="003D1036">
              <w:rPr>
                <w:noProof/>
                <w:webHidden/>
              </w:rPr>
              <w:fldChar w:fldCharType="end"/>
            </w:r>
          </w:hyperlink>
        </w:p>
        <w:p w14:paraId="3CE0FCB4" w14:textId="2D6A7229" w:rsidR="003D1036" w:rsidRDefault="003B066D">
          <w:pPr>
            <w:pStyle w:val="TOC1"/>
            <w:tabs>
              <w:tab w:val="right" w:leader="dot" w:pos="9742"/>
            </w:tabs>
            <w:rPr>
              <w:noProof/>
            </w:rPr>
          </w:pPr>
          <w:hyperlink w:anchor="_Toc49508865" w:history="1">
            <w:r w:rsidR="003D1036" w:rsidRPr="008B113B">
              <w:rPr>
                <w:rStyle w:val="Hyperlink"/>
                <w:rFonts w:cs="Arial"/>
                <w:noProof/>
              </w:rPr>
              <w:t>Impact of COVID-19 pandemic</w:t>
            </w:r>
            <w:r w:rsidR="003D1036">
              <w:rPr>
                <w:noProof/>
                <w:webHidden/>
              </w:rPr>
              <w:tab/>
            </w:r>
            <w:r w:rsidR="003D1036">
              <w:rPr>
                <w:noProof/>
                <w:webHidden/>
              </w:rPr>
              <w:fldChar w:fldCharType="begin"/>
            </w:r>
            <w:r w:rsidR="003D1036">
              <w:rPr>
                <w:noProof/>
                <w:webHidden/>
              </w:rPr>
              <w:instrText xml:space="preserve"> PAGEREF _Toc49508865 \h </w:instrText>
            </w:r>
            <w:r w:rsidR="003D1036">
              <w:rPr>
                <w:noProof/>
                <w:webHidden/>
              </w:rPr>
            </w:r>
            <w:r w:rsidR="003D1036">
              <w:rPr>
                <w:noProof/>
                <w:webHidden/>
              </w:rPr>
              <w:fldChar w:fldCharType="separate"/>
            </w:r>
            <w:r>
              <w:rPr>
                <w:noProof/>
                <w:webHidden/>
              </w:rPr>
              <w:t>13</w:t>
            </w:r>
            <w:r w:rsidR="003D1036">
              <w:rPr>
                <w:noProof/>
                <w:webHidden/>
              </w:rPr>
              <w:fldChar w:fldCharType="end"/>
            </w:r>
          </w:hyperlink>
        </w:p>
        <w:p w14:paraId="1E4B5B09" w14:textId="0C368BDD" w:rsidR="003D1036" w:rsidRDefault="003B066D">
          <w:pPr>
            <w:pStyle w:val="TOC1"/>
            <w:tabs>
              <w:tab w:val="right" w:leader="dot" w:pos="9742"/>
            </w:tabs>
            <w:rPr>
              <w:noProof/>
            </w:rPr>
          </w:pPr>
          <w:hyperlink w:anchor="_Toc49508866" w:history="1">
            <w:r w:rsidR="003D1036" w:rsidRPr="008B113B">
              <w:rPr>
                <w:rStyle w:val="Hyperlink"/>
                <w:noProof/>
              </w:rPr>
              <w:t>Performance statement 2019-20</w:t>
            </w:r>
            <w:r w:rsidR="003D1036">
              <w:rPr>
                <w:noProof/>
                <w:webHidden/>
              </w:rPr>
              <w:tab/>
            </w:r>
            <w:r w:rsidR="003D1036">
              <w:rPr>
                <w:noProof/>
                <w:webHidden/>
              </w:rPr>
              <w:fldChar w:fldCharType="begin"/>
            </w:r>
            <w:r w:rsidR="003D1036">
              <w:rPr>
                <w:noProof/>
                <w:webHidden/>
              </w:rPr>
              <w:instrText xml:space="preserve"> PAGEREF _Toc49508866 \h </w:instrText>
            </w:r>
            <w:r w:rsidR="003D1036">
              <w:rPr>
                <w:noProof/>
                <w:webHidden/>
              </w:rPr>
            </w:r>
            <w:r w:rsidR="003D1036">
              <w:rPr>
                <w:noProof/>
                <w:webHidden/>
              </w:rPr>
              <w:fldChar w:fldCharType="separate"/>
            </w:r>
            <w:r>
              <w:rPr>
                <w:noProof/>
                <w:webHidden/>
              </w:rPr>
              <w:t>14</w:t>
            </w:r>
            <w:r w:rsidR="003D1036">
              <w:rPr>
                <w:noProof/>
                <w:webHidden/>
              </w:rPr>
              <w:fldChar w:fldCharType="end"/>
            </w:r>
          </w:hyperlink>
        </w:p>
        <w:p w14:paraId="4BF03359" w14:textId="5AF05BDC" w:rsidR="003D1036" w:rsidRDefault="003B066D">
          <w:pPr>
            <w:pStyle w:val="TOC2"/>
            <w:tabs>
              <w:tab w:val="right" w:leader="dot" w:pos="9742"/>
            </w:tabs>
            <w:rPr>
              <w:noProof/>
            </w:rPr>
          </w:pPr>
          <w:hyperlink w:anchor="_Toc49508867" w:history="1">
            <w:r w:rsidR="003D1036" w:rsidRPr="008B113B">
              <w:rPr>
                <w:rStyle w:val="Hyperlink"/>
                <w:noProof/>
              </w:rPr>
              <w:t>Service area objective</w:t>
            </w:r>
            <w:r w:rsidR="003D1036">
              <w:rPr>
                <w:noProof/>
                <w:webHidden/>
              </w:rPr>
              <w:tab/>
            </w:r>
            <w:r w:rsidR="003D1036">
              <w:rPr>
                <w:noProof/>
                <w:webHidden/>
              </w:rPr>
              <w:fldChar w:fldCharType="begin"/>
            </w:r>
            <w:r w:rsidR="003D1036">
              <w:rPr>
                <w:noProof/>
                <w:webHidden/>
              </w:rPr>
              <w:instrText xml:space="preserve"> PAGEREF _Toc49508867 \h </w:instrText>
            </w:r>
            <w:r w:rsidR="003D1036">
              <w:rPr>
                <w:noProof/>
                <w:webHidden/>
              </w:rPr>
            </w:r>
            <w:r w:rsidR="003D1036">
              <w:rPr>
                <w:noProof/>
                <w:webHidden/>
              </w:rPr>
              <w:fldChar w:fldCharType="separate"/>
            </w:r>
            <w:r>
              <w:rPr>
                <w:noProof/>
                <w:webHidden/>
              </w:rPr>
              <w:t>14</w:t>
            </w:r>
            <w:r w:rsidR="003D1036">
              <w:rPr>
                <w:noProof/>
                <w:webHidden/>
              </w:rPr>
              <w:fldChar w:fldCharType="end"/>
            </w:r>
          </w:hyperlink>
        </w:p>
        <w:p w14:paraId="58EEB752" w14:textId="09C66778" w:rsidR="003D1036" w:rsidRDefault="003B066D">
          <w:pPr>
            <w:pStyle w:val="TOC2"/>
            <w:tabs>
              <w:tab w:val="right" w:leader="dot" w:pos="9742"/>
            </w:tabs>
            <w:rPr>
              <w:noProof/>
            </w:rPr>
          </w:pPr>
          <w:hyperlink w:anchor="_Toc49508868" w:history="1">
            <w:r w:rsidR="003D1036" w:rsidRPr="008B113B">
              <w:rPr>
                <w:rStyle w:val="Hyperlink"/>
                <w:noProof/>
              </w:rPr>
              <w:t>Description</w:t>
            </w:r>
            <w:r w:rsidR="003D1036">
              <w:rPr>
                <w:noProof/>
                <w:webHidden/>
              </w:rPr>
              <w:tab/>
            </w:r>
            <w:r w:rsidR="003D1036">
              <w:rPr>
                <w:noProof/>
                <w:webHidden/>
              </w:rPr>
              <w:fldChar w:fldCharType="begin"/>
            </w:r>
            <w:r w:rsidR="003D1036">
              <w:rPr>
                <w:noProof/>
                <w:webHidden/>
              </w:rPr>
              <w:instrText xml:space="preserve"> PAGEREF _Toc49508868 \h </w:instrText>
            </w:r>
            <w:r w:rsidR="003D1036">
              <w:rPr>
                <w:noProof/>
                <w:webHidden/>
              </w:rPr>
            </w:r>
            <w:r w:rsidR="003D1036">
              <w:rPr>
                <w:noProof/>
                <w:webHidden/>
              </w:rPr>
              <w:fldChar w:fldCharType="separate"/>
            </w:r>
            <w:r>
              <w:rPr>
                <w:noProof/>
                <w:webHidden/>
              </w:rPr>
              <w:t>14</w:t>
            </w:r>
            <w:r w:rsidR="003D1036">
              <w:rPr>
                <w:noProof/>
                <w:webHidden/>
              </w:rPr>
              <w:fldChar w:fldCharType="end"/>
            </w:r>
          </w:hyperlink>
        </w:p>
        <w:p w14:paraId="58FBA465" w14:textId="024BDE5D" w:rsidR="003D1036" w:rsidRDefault="003B066D">
          <w:pPr>
            <w:pStyle w:val="TOC1"/>
            <w:tabs>
              <w:tab w:val="right" w:leader="dot" w:pos="9742"/>
            </w:tabs>
            <w:rPr>
              <w:noProof/>
            </w:rPr>
          </w:pPr>
          <w:hyperlink w:anchor="_Toc49508869" w:history="1">
            <w:r w:rsidR="003D1036" w:rsidRPr="008B113B">
              <w:rPr>
                <w:rStyle w:val="Hyperlink"/>
                <w:rFonts w:cs="Arial"/>
                <w:noProof/>
              </w:rPr>
              <w:t>Engagement and education</w:t>
            </w:r>
            <w:r w:rsidR="003D1036">
              <w:rPr>
                <w:noProof/>
                <w:webHidden/>
              </w:rPr>
              <w:tab/>
            </w:r>
            <w:r w:rsidR="003D1036">
              <w:rPr>
                <w:noProof/>
                <w:webHidden/>
              </w:rPr>
              <w:fldChar w:fldCharType="begin"/>
            </w:r>
            <w:r w:rsidR="003D1036">
              <w:rPr>
                <w:noProof/>
                <w:webHidden/>
              </w:rPr>
              <w:instrText xml:space="preserve"> PAGEREF _Toc49508869 \h </w:instrText>
            </w:r>
            <w:r w:rsidR="003D1036">
              <w:rPr>
                <w:noProof/>
                <w:webHidden/>
              </w:rPr>
            </w:r>
            <w:r w:rsidR="003D1036">
              <w:rPr>
                <w:noProof/>
                <w:webHidden/>
              </w:rPr>
              <w:fldChar w:fldCharType="separate"/>
            </w:r>
            <w:r>
              <w:rPr>
                <w:noProof/>
                <w:webHidden/>
              </w:rPr>
              <w:t>15</w:t>
            </w:r>
            <w:r w:rsidR="003D1036">
              <w:rPr>
                <w:noProof/>
                <w:webHidden/>
              </w:rPr>
              <w:fldChar w:fldCharType="end"/>
            </w:r>
          </w:hyperlink>
        </w:p>
        <w:p w14:paraId="48DEAE34" w14:textId="5906112E" w:rsidR="003D1036" w:rsidRDefault="003B066D">
          <w:pPr>
            <w:pStyle w:val="TOC2"/>
            <w:tabs>
              <w:tab w:val="right" w:leader="dot" w:pos="9742"/>
            </w:tabs>
            <w:rPr>
              <w:noProof/>
            </w:rPr>
          </w:pPr>
          <w:hyperlink w:anchor="_Toc49508870" w:history="1">
            <w:r w:rsidR="003D1036" w:rsidRPr="008B113B">
              <w:rPr>
                <w:rStyle w:val="Hyperlink"/>
                <w:noProof/>
              </w:rPr>
              <w:t>Events</w:t>
            </w:r>
            <w:r w:rsidR="003D1036">
              <w:rPr>
                <w:noProof/>
                <w:webHidden/>
              </w:rPr>
              <w:tab/>
            </w:r>
            <w:r w:rsidR="003D1036">
              <w:rPr>
                <w:noProof/>
                <w:webHidden/>
              </w:rPr>
              <w:fldChar w:fldCharType="begin"/>
            </w:r>
            <w:r w:rsidR="003D1036">
              <w:rPr>
                <w:noProof/>
                <w:webHidden/>
              </w:rPr>
              <w:instrText xml:space="preserve"> PAGEREF _Toc49508870 \h </w:instrText>
            </w:r>
            <w:r w:rsidR="003D1036">
              <w:rPr>
                <w:noProof/>
                <w:webHidden/>
              </w:rPr>
            </w:r>
            <w:r w:rsidR="003D1036">
              <w:rPr>
                <w:noProof/>
                <w:webHidden/>
              </w:rPr>
              <w:fldChar w:fldCharType="separate"/>
            </w:r>
            <w:r>
              <w:rPr>
                <w:noProof/>
                <w:webHidden/>
              </w:rPr>
              <w:t>15</w:t>
            </w:r>
            <w:r w:rsidR="003D1036">
              <w:rPr>
                <w:noProof/>
                <w:webHidden/>
              </w:rPr>
              <w:fldChar w:fldCharType="end"/>
            </w:r>
          </w:hyperlink>
        </w:p>
        <w:p w14:paraId="21CDCFDE" w14:textId="6EE950DB" w:rsidR="003D1036" w:rsidRDefault="003B066D">
          <w:pPr>
            <w:pStyle w:val="TOC2"/>
            <w:tabs>
              <w:tab w:val="right" w:leader="dot" w:pos="9742"/>
            </w:tabs>
            <w:rPr>
              <w:noProof/>
            </w:rPr>
          </w:pPr>
          <w:hyperlink w:anchor="_Toc49508871" w:history="1">
            <w:r w:rsidR="003D1036" w:rsidRPr="008B113B">
              <w:rPr>
                <w:rStyle w:val="Hyperlink"/>
                <w:noProof/>
              </w:rPr>
              <w:t>Human Rights Month</w:t>
            </w:r>
            <w:r w:rsidR="003D1036">
              <w:rPr>
                <w:noProof/>
                <w:webHidden/>
              </w:rPr>
              <w:tab/>
            </w:r>
            <w:r w:rsidR="003D1036">
              <w:rPr>
                <w:noProof/>
                <w:webHidden/>
              </w:rPr>
              <w:fldChar w:fldCharType="begin"/>
            </w:r>
            <w:r w:rsidR="003D1036">
              <w:rPr>
                <w:noProof/>
                <w:webHidden/>
              </w:rPr>
              <w:instrText xml:space="preserve"> PAGEREF _Toc49508871 \h </w:instrText>
            </w:r>
            <w:r w:rsidR="003D1036">
              <w:rPr>
                <w:noProof/>
                <w:webHidden/>
              </w:rPr>
            </w:r>
            <w:r w:rsidR="003D1036">
              <w:rPr>
                <w:noProof/>
                <w:webHidden/>
              </w:rPr>
              <w:fldChar w:fldCharType="separate"/>
            </w:r>
            <w:r>
              <w:rPr>
                <w:noProof/>
                <w:webHidden/>
              </w:rPr>
              <w:t>16</w:t>
            </w:r>
            <w:r w:rsidR="003D1036">
              <w:rPr>
                <w:noProof/>
                <w:webHidden/>
              </w:rPr>
              <w:fldChar w:fldCharType="end"/>
            </w:r>
          </w:hyperlink>
        </w:p>
        <w:p w14:paraId="6FAC3C5B" w14:textId="4DD27F0D" w:rsidR="003D1036" w:rsidRDefault="003B066D">
          <w:pPr>
            <w:pStyle w:val="TOC2"/>
            <w:tabs>
              <w:tab w:val="right" w:leader="dot" w:pos="9742"/>
            </w:tabs>
            <w:rPr>
              <w:noProof/>
            </w:rPr>
          </w:pPr>
          <w:hyperlink w:anchor="_Toc49508872" w:history="1">
            <w:r w:rsidR="003D1036" w:rsidRPr="008B113B">
              <w:rPr>
                <w:rStyle w:val="Hyperlink"/>
                <w:noProof/>
              </w:rPr>
              <w:t>Speaking engagements</w:t>
            </w:r>
            <w:r w:rsidR="003D1036">
              <w:rPr>
                <w:noProof/>
                <w:webHidden/>
              </w:rPr>
              <w:tab/>
            </w:r>
            <w:r w:rsidR="003D1036">
              <w:rPr>
                <w:noProof/>
                <w:webHidden/>
              </w:rPr>
              <w:fldChar w:fldCharType="begin"/>
            </w:r>
            <w:r w:rsidR="003D1036">
              <w:rPr>
                <w:noProof/>
                <w:webHidden/>
              </w:rPr>
              <w:instrText xml:space="preserve"> PAGEREF _Toc49508872 \h </w:instrText>
            </w:r>
            <w:r w:rsidR="003D1036">
              <w:rPr>
                <w:noProof/>
                <w:webHidden/>
              </w:rPr>
            </w:r>
            <w:r w:rsidR="003D1036">
              <w:rPr>
                <w:noProof/>
                <w:webHidden/>
              </w:rPr>
              <w:fldChar w:fldCharType="separate"/>
            </w:r>
            <w:r>
              <w:rPr>
                <w:noProof/>
                <w:webHidden/>
              </w:rPr>
              <w:t>16</w:t>
            </w:r>
            <w:r w:rsidR="003D1036">
              <w:rPr>
                <w:noProof/>
                <w:webHidden/>
              </w:rPr>
              <w:fldChar w:fldCharType="end"/>
            </w:r>
          </w:hyperlink>
        </w:p>
        <w:p w14:paraId="3D945E8D" w14:textId="654913AE" w:rsidR="003D1036" w:rsidRDefault="003B066D">
          <w:pPr>
            <w:pStyle w:val="TOC2"/>
            <w:tabs>
              <w:tab w:val="right" w:leader="dot" w:pos="9742"/>
            </w:tabs>
            <w:rPr>
              <w:noProof/>
            </w:rPr>
          </w:pPr>
          <w:hyperlink w:anchor="_Toc49508873" w:history="1">
            <w:r w:rsidR="003D1036" w:rsidRPr="008B113B">
              <w:rPr>
                <w:rStyle w:val="Hyperlink"/>
                <w:noProof/>
              </w:rPr>
              <w:t>Web and social media</w:t>
            </w:r>
            <w:r w:rsidR="003D1036">
              <w:rPr>
                <w:noProof/>
                <w:webHidden/>
              </w:rPr>
              <w:tab/>
            </w:r>
            <w:r w:rsidR="003D1036">
              <w:rPr>
                <w:noProof/>
                <w:webHidden/>
              </w:rPr>
              <w:fldChar w:fldCharType="begin"/>
            </w:r>
            <w:r w:rsidR="003D1036">
              <w:rPr>
                <w:noProof/>
                <w:webHidden/>
              </w:rPr>
              <w:instrText xml:space="preserve"> PAGEREF _Toc49508873 \h </w:instrText>
            </w:r>
            <w:r w:rsidR="003D1036">
              <w:rPr>
                <w:noProof/>
                <w:webHidden/>
              </w:rPr>
            </w:r>
            <w:r w:rsidR="003D1036">
              <w:rPr>
                <w:noProof/>
                <w:webHidden/>
              </w:rPr>
              <w:fldChar w:fldCharType="separate"/>
            </w:r>
            <w:r>
              <w:rPr>
                <w:noProof/>
                <w:webHidden/>
              </w:rPr>
              <w:t>16</w:t>
            </w:r>
            <w:r w:rsidR="003D1036">
              <w:rPr>
                <w:noProof/>
                <w:webHidden/>
              </w:rPr>
              <w:fldChar w:fldCharType="end"/>
            </w:r>
          </w:hyperlink>
        </w:p>
        <w:p w14:paraId="7FFC2BD9" w14:textId="692341B9" w:rsidR="003D1036" w:rsidRDefault="003B066D">
          <w:pPr>
            <w:pStyle w:val="TOC2"/>
            <w:tabs>
              <w:tab w:val="right" w:leader="dot" w:pos="9742"/>
            </w:tabs>
            <w:rPr>
              <w:noProof/>
            </w:rPr>
          </w:pPr>
          <w:hyperlink w:anchor="_Toc49508874" w:history="1">
            <w:r w:rsidR="003D1036" w:rsidRPr="008B113B">
              <w:rPr>
                <w:rStyle w:val="Hyperlink"/>
                <w:noProof/>
              </w:rPr>
              <w:t>Partnerships and networks</w:t>
            </w:r>
            <w:r w:rsidR="003D1036">
              <w:rPr>
                <w:noProof/>
                <w:webHidden/>
              </w:rPr>
              <w:tab/>
            </w:r>
            <w:r w:rsidR="003D1036">
              <w:rPr>
                <w:noProof/>
                <w:webHidden/>
              </w:rPr>
              <w:fldChar w:fldCharType="begin"/>
            </w:r>
            <w:r w:rsidR="003D1036">
              <w:rPr>
                <w:noProof/>
                <w:webHidden/>
              </w:rPr>
              <w:instrText xml:space="preserve"> PAGEREF _Toc49508874 \h </w:instrText>
            </w:r>
            <w:r w:rsidR="003D1036">
              <w:rPr>
                <w:noProof/>
                <w:webHidden/>
              </w:rPr>
            </w:r>
            <w:r w:rsidR="003D1036">
              <w:rPr>
                <w:noProof/>
                <w:webHidden/>
              </w:rPr>
              <w:fldChar w:fldCharType="separate"/>
            </w:r>
            <w:r>
              <w:rPr>
                <w:noProof/>
                <w:webHidden/>
              </w:rPr>
              <w:t>18</w:t>
            </w:r>
            <w:r w:rsidR="003D1036">
              <w:rPr>
                <w:noProof/>
                <w:webHidden/>
              </w:rPr>
              <w:fldChar w:fldCharType="end"/>
            </w:r>
          </w:hyperlink>
        </w:p>
        <w:p w14:paraId="7A1ADD9A" w14:textId="1648347C" w:rsidR="003D1036" w:rsidRDefault="003B066D">
          <w:pPr>
            <w:pStyle w:val="TOC2"/>
            <w:tabs>
              <w:tab w:val="right" w:leader="dot" w:pos="9742"/>
            </w:tabs>
            <w:rPr>
              <w:noProof/>
            </w:rPr>
          </w:pPr>
          <w:hyperlink w:anchor="_Toc49508883" w:history="1">
            <w:r w:rsidR="003D1036" w:rsidRPr="008B113B">
              <w:rPr>
                <w:rStyle w:val="Hyperlink"/>
                <w:noProof/>
              </w:rPr>
              <w:t>Whole-of-government plans</w:t>
            </w:r>
            <w:r w:rsidR="003D1036">
              <w:rPr>
                <w:noProof/>
                <w:webHidden/>
              </w:rPr>
              <w:tab/>
            </w:r>
            <w:r w:rsidR="003D1036">
              <w:rPr>
                <w:noProof/>
                <w:webHidden/>
              </w:rPr>
              <w:fldChar w:fldCharType="begin"/>
            </w:r>
            <w:r w:rsidR="003D1036">
              <w:rPr>
                <w:noProof/>
                <w:webHidden/>
              </w:rPr>
              <w:instrText xml:space="preserve"> PAGEREF _Toc49508883 \h </w:instrText>
            </w:r>
            <w:r w:rsidR="003D1036">
              <w:rPr>
                <w:noProof/>
                <w:webHidden/>
              </w:rPr>
            </w:r>
            <w:r w:rsidR="003D1036">
              <w:rPr>
                <w:noProof/>
                <w:webHidden/>
              </w:rPr>
              <w:fldChar w:fldCharType="separate"/>
            </w:r>
            <w:r>
              <w:rPr>
                <w:noProof/>
                <w:webHidden/>
              </w:rPr>
              <w:t>20</w:t>
            </w:r>
            <w:r w:rsidR="003D1036">
              <w:rPr>
                <w:noProof/>
                <w:webHidden/>
              </w:rPr>
              <w:fldChar w:fldCharType="end"/>
            </w:r>
          </w:hyperlink>
        </w:p>
        <w:p w14:paraId="3806025A" w14:textId="3453F611" w:rsidR="003D1036" w:rsidRDefault="003B066D">
          <w:pPr>
            <w:pStyle w:val="TOC2"/>
            <w:tabs>
              <w:tab w:val="right" w:leader="dot" w:pos="9742"/>
            </w:tabs>
            <w:rPr>
              <w:noProof/>
            </w:rPr>
          </w:pPr>
          <w:hyperlink w:anchor="_Toc49508887" w:history="1">
            <w:r w:rsidR="003D1036" w:rsidRPr="008B113B">
              <w:rPr>
                <w:rStyle w:val="Hyperlink"/>
                <w:noProof/>
              </w:rPr>
              <w:t>Information products and services</w:t>
            </w:r>
            <w:r w:rsidR="003D1036">
              <w:rPr>
                <w:noProof/>
                <w:webHidden/>
              </w:rPr>
              <w:tab/>
            </w:r>
            <w:r w:rsidR="003D1036">
              <w:rPr>
                <w:noProof/>
                <w:webHidden/>
              </w:rPr>
              <w:fldChar w:fldCharType="begin"/>
            </w:r>
            <w:r w:rsidR="003D1036">
              <w:rPr>
                <w:noProof/>
                <w:webHidden/>
              </w:rPr>
              <w:instrText xml:space="preserve"> PAGEREF _Toc49508887 \h </w:instrText>
            </w:r>
            <w:r w:rsidR="003D1036">
              <w:rPr>
                <w:noProof/>
                <w:webHidden/>
              </w:rPr>
            </w:r>
            <w:r w:rsidR="003D1036">
              <w:rPr>
                <w:noProof/>
                <w:webHidden/>
              </w:rPr>
              <w:fldChar w:fldCharType="separate"/>
            </w:r>
            <w:r>
              <w:rPr>
                <w:noProof/>
                <w:webHidden/>
              </w:rPr>
              <w:t>22</w:t>
            </w:r>
            <w:r w:rsidR="003D1036">
              <w:rPr>
                <w:noProof/>
                <w:webHidden/>
              </w:rPr>
              <w:fldChar w:fldCharType="end"/>
            </w:r>
          </w:hyperlink>
        </w:p>
        <w:p w14:paraId="700D0021" w14:textId="54176D5A" w:rsidR="003D1036" w:rsidRDefault="003B066D">
          <w:pPr>
            <w:pStyle w:val="TOC2"/>
            <w:tabs>
              <w:tab w:val="right" w:leader="dot" w:pos="9742"/>
            </w:tabs>
            <w:rPr>
              <w:noProof/>
            </w:rPr>
          </w:pPr>
          <w:hyperlink w:anchor="_Toc49508890" w:history="1">
            <w:r w:rsidR="003D1036" w:rsidRPr="008B113B">
              <w:rPr>
                <w:rStyle w:val="Hyperlink"/>
                <w:noProof/>
              </w:rPr>
              <w:t>Aboriginal and Torres Strait Islander engagement</w:t>
            </w:r>
            <w:r w:rsidR="003D1036">
              <w:rPr>
                <w:noProof/>
                <w:webHidden/>
              </w:rPr>
              <w:tab/>
            </w:r>
            <w:r w:rsidR="003D1036">
              <w:rPr>
                <w:noProof/>
                <w:webHidden/>
              </w:rPr>
              <w:fldChar w:fldCharType="begin"/>
            </w:r>
            <w:r w:rsidR="003D1036">
              <w:rPr>
                <w:noProof/>
                <w:webHidden/>
              </w:rPr>
              <w:instrText xml:space="preserve"> PAGEREF _Toc49508890 \h </w:instrText>
            </w:r>
            <w:r w:rsidR="003D1036">
              <w:rPr>
                <w:noProof/>
                <w:webHidden/>
              </w:rPr>
            </w:r>
            <w:r w:rsidR="003D1036">
              <w:rPr>
                <w:noProof/>
                <w:webHidden/>
              </w:rPr>
              <w:fldChar w:fldCharType="separate"/>
            </w:r>
            <w:r>
              <w:rPr>
                <w:noProof/>
                <w:webHidden/>
              </w:rPr>
              <w:t>24</w:t>
            </w:r>
            <w:r w:rsidR="003D1036">
              <w:rPr>
                <w:noProof/>
                <w:webHidden/>
              </w:rPr>
              <w:fldChar w:fldCharType="end"/>
            </w:r>
          </w:hyperlink>
        </w:p>
        <w:p w14:paraId="3DCAE9A6" w14:textId="0034B961" w:rsidR="003D1036" w:rsidRDefault="003B066D">
          <w:pPr>
            <w:pStyle w:val="TOC2"/>
            <w:tabs>
              <w:tab w:val="right" w:leader="dot" w:pos="9742"/>
            </w:tabs>
            <w:rPr>
              <w:noProof/>
            </w:rPr>
          </w:pPr>
          <w:hyperlink w:anchor="_Toc49508891" w:history="1">
            <w:r w:rsidR="003D1036" w:rsidRPr="008B113B">
              <w:rPr>
                <w:rStyle w:val="Hyperlink"/>
                <w:noProof/>
              </w:rPr>
              <w:t>Education</w:t>
            </w:r>
            <w:r w:rsidR="003D1036">
              <w:rPr>
                <w:noProof/>
                <w:webHidden/>
              </w:rPr>
              <w:tab/>
            </w:r>
            <w:r w:rsidR="003D1036">
              <w:rPr>
                <w:noProof/>
                <w:webHidden/>
              </w:rPr>
              <w:fldChar w:fldCharType="begin"/>
            </w:r>
            <w:r w:rsidR="003D1036">
              <w:rPr>
                <w:noProof/>
                <w:webHidden/>
              </w:rPr>
              <w:instrText xml:space="preserve"> PAGEREF _Toc49508891 \h </w:instrText>
            </w:r>
            <w:r w:rsidR="003D1036">
              <w:rPr>
                <w:noProof/>
                <w:webHidden/>
              </w:rPr>
            </w:r>
            <w:r w:rsidR="003D1036">
              <w:rPr>
                <w:noProof/>
                <w:webHidden/>
              </w:rPr>
              <w:fldChar w:fldCharType="separate"/>
            </w:r>
            <w:r>
              <w:rPr>
                <w:noProof/>
                <w:webHidden/>
              </w:rPr>
              <w:t>25</w:t>
            </w:r>
            <w:r w:rsidR="003D1036">
              <w:rPr>
                <w:noProof/>
                <w:webHidden/>
              </w:rPr>
              <w:fldChar w:fldCharType="end"/>
            </w:r>
          </w:hyperlink>
        </w:p>
        <w:p w14:paraId="7907F154" w14:textId="1A629D01" w:rsidR="003D1036" w:rsidRDefault="003B066D">
          <w:pPr>
            <w:pStyle w:val="TOC1"/>
            <w:tabs>
              <w:tab w:val="right" w:leader="dot" w:pos="9742"/>
            </w:tabs>
            <w:rPr>
              <w:noProof/>
            </w:rPr>
          </w:pPr>
          <w:hyperlink w:anchor="_Toc49508894" w:history="1">
            <w:r w:rsidR="003D1036" w:rsidRPr="008B113B">
              <w:rPr>
                <w:rStyle w:val="Hyperlink"/>
                <w:noProof/>
              </w:rPr>
              <w:t>Complaint management</w:t>
            </w:r>
            <w:r w:rsidR="003D1036">
              <w:rPr>
                <w:noProof/>
                <w:webHidden/>
              </w:rPr>
              <w:tab/>
            </w:r>
            <w:r w:rsidR="003D1036">
              <w:rPr>
                <w:noProof/>
                <w:webHidden/>
              </w:rPr>
              <w:fldChar w:fldCharType="begin"/>
            </w:r>
            <w:r w:rsidR="003D1036">
              <w:rPr>
                <w:noProof/>
                <w:webHidden/>
              </w:rPr>
              <w:instrText xml:space="preserve"> PAGEREF _Toc49508894 \h </w:instrText>
            </w:r>
            <w:r w:rsidR="003D1036">
              <w:rPr>
                <w:noProof/>
                <w:webHidden/>
              </w:rPr>
            </w:r>
            <w:r w:rsidR="003D1036">
              <w:rPr>
                <w:noProof/>
                <w:webHidden/>
              </w:rPr>
              <w:fldChar w:fldCharType="separate"/>
            </w:r>
            <w:r>
              <w:rPr>
                <w:noProof/>
                <w:webHidden/>
              </w:rPr>
              <w:t>30</w:t>
            </w:r>
            <w:r w:rsidR="003D1036">
              <w:rPr>
                <w:noProof/>
                <w:webHidden/>
              </w:rPr>
              <w:fldChar w:fldCharType="end"/>
            </w:r>
          </w:hyperlink>
        </w:p>
        <w:p w14:paraId="40C227D7" w14:textId="0077A464" w:rsidR="003D1036" w:rsidRDefault="003B066D">
          <w:pPr>
            <w:pStyle w:val="TOC2"/>
            <w:tabs>
              <w:tab w:val="right" w:leader="dot" w:pos="9742"/>
            </w:tabs>
            <w:rPr>
              <w:noProof/>
            </w:rPr>
          </w:pPr>
          <w:hyperlink w:anchor="_Toc49508895" w:history="1">
            <w:r w:rsidR="003D1036" w:rsidRPr="008B113B">
              <w:rPr>
                <w:rStyle w:val="Hyperlink"/>
                <w:noProof/>
              </w:rPr>
              <w:t>Complaint management summary</w:t>
            </w:r>
            <w:r w:rsidR="003D1036">
              <w:rPr>
                <w:noProof/>
                <w:webHidden/>
              </w:rPr>
              <w:tab/>
            </w:r>
            <w:r w:rsidR="003D1036">
              <w:rPr>
                <w:noProof/>
                <w:webHidden/>
              </w:rPr>
              <w:fldChar w:fldCharType="begin"/>
            </w:r>
            <w:r w:rsidR="003D1036">
              <w:rPr>
                <w:noProof/>
                <w:webHidden/>
              </w:rPr>
              <w:instrText xml:space="preserve"> PAGEREF _Toc49508895 \h </w:instrText>
            </w:r>
            <w:r w:rsidR="003D1036">
              <w:rPr>
                <w:noProof/>
                <w:webHidden/>
              </w:rPr>
            </w:r>
            <w:r w:rsidR="003D1036">
              <w:rPr>
                <w:noProof/>
                <w:webHidden/>
              </w:rPr>
              <w:fldChar w:fldCharType="separate"/>
            </w:r>
            <w:r>
              <w:rPr>
                <w:noProof/>
                <w:webHidden/>
              </w:rPr>
              <w:t>30</w:t>
            </w:r>
            <w:r w:rsidR="003D1036">
              <w:rPr>
                <w:noProof/>
                <w:webHidden/>
              </w:rPr>
              <w:fldChar w:fldCharType="end"/>
            </w:r>
          </w:hyperlink>
        </w:p>
        <w:p w14:paraId="737F348D" w14:textId="1B0A8C1C" w:rsidR="003D1036" w:rsidRDefault="003B066D">
          <w:pPr>
            <w:pStyle w:val="TOC2"/>
            <w:tabs>
              <w:tab w:val="right" w:leader="dot" w:pos="9742"/>
            </w:tabs>
            <w:rPr>
              <w:noProof/>
            </w:rPr>
          </w:pPr>
          <w:hyperlink w:anchor="_Toc49508896" w:history="1">
            <w:r w:rsidR="003D1036" w:rsidRPr="008B113B">
              <w:rPr>
                <w:rStyle w:val="Hyperlink"/>
                <w:noProof/>
              </w:rPr>
              <w:t>State-wide complaint trends</w:t>
            </w:r>
            <w:r w:rsidR="003D1036">
              <w:rPr>
                <w:noProof/>
                <w:webHidden/>
              </w:rPr>
              <w:tab/>
            </w:r>
            <w:r w:rsidR="003D1036">
              <w:rPr>
                <w:noProof/>
                <w:webHidden/>
              </w:rPr>
              <w:fldChar w:fldCharType="begin"/>
            </w:r>
            <w:r w:rsidR="003D1036">
              <w:rPr>
                <w:noProof/>
                <w:webHidden/>
              </w:rPr>
              <w:instrText xml:space="preserve"> PAGEREF _Toc49508896 \h </w:instrText>
            </w:r>
            <w:r w:rsidR="003D1036">
              <w:rPr>
                <w:noProof/>
                <w:webHidden/>
              </w:rPr>
            </w:r>
            <w:r w:rsidR="003D1036">
              <w:rPr>
                <w:noProof/>
                <w:webHidden/>
              </w:rPr>
              <w:fldChar w:fldCharType="separate"/>
            </w:r>
            <w:r>
              <w:rPr>
                <w:noProof/>
                <w:webHidden/>
              </w:rPr>
              <w:t>31</w:t>
            </w:r>
            <w:r w:rsidR="003D1036">
              <w:rPr>
                <w:noProof/>
                <w:webHidden/>
              </w:rPr>
              <w:fldChar w:fldCharType="end"/>
            </w:r>
          </w:hyperlink>
        </w:p>
        <w:p w14:paraId="720FF011" w14:textId="6EE01163" w:rsidR="003D1036" w:rsidRDefault="003B066D">
          <w:pPr>
            <w:pStyle w:val="TOC2"/>
            <w:tabs>
              <w:tab w:val="right" w:leader="dot" w:pos="9742"/>
            </w:tabs>
            <w:rPr>
              <w:noProof/>
            </w:rPr>
          </w:pPr>
          <w:hyperlink w:anchor="_Toc49508897" w:history="1">
            <w:r w:rsidR="003D1036" w:rsidRPr="008B113B">
              <w:rPr>
                <w:rStyle w:val="Hyperlink"/>
                <w:noProof/>
              </w:rPr>
              <w:t>Settlement of complaints</w:t>
            </w:r>
            <w:r w:rsidR="003D1036">
              <w:rPr>
                <w:noProof/>
                <w:webHidden/>
              </w:rPr>
              <w:tab/>
            </w:r>
            <w:r w:rsidR="003D1036">
              <w:rPr>
                <w:noProof/>
                <w:webHidden/>
              </w:rPr>
              <w:fldChar w:fldCharType="begin"/>
            </w:r>
            <w:r w:rsidR="003D1036">
              <w:rPr>
                <w:noProof/>
                <w:webHidden/>
              </w:rPr>
              <w:instrText xml:space="preserve"> PAGEREF _Toc49508897 \h </w:instrText>
            </w:r>
            <w:r w:rsidR="003D1036">
              <w:rPr>
                <w:noProof/>
                <w:webHidden/>
              </w:rPr>
            </w:r>
            <w:r w:rsidR="003D1036">
              <w:rPr>
                <w:noProof/>
                <w:webHidden/>
              </w:rPr>
              <w:fldChar w:fldCharType="separate"/>
            </w:r>
            <w:r>
              <w:rPr>
                <w:noProof/>
                <w:webHidden/>
              </w:rPr>
              <w:t>41</w:t>
            </w:r>
            <w:r w:rsidR="003D1036">
              <w:rPr>
                <w:noProof/>
                <w:webHidden/>
              </w:rPr>
              <w:fldChar w:fldCharType="end"/>
            </w:r>
          </w:hyperlink>
        </w:p>
        <w:p w14:paraId="6879BD46" w14:textId="3D467333" w:rsidR="003D1036" w:rsidRDefault="003B066D">
          <w:pPr>
            <w:pStyle w:val="TOC2"/>
            <w:tabs>
              <w:tab w:val="right" w:leader="dot" w:pos="9742"/>
            </w:tabs>
            <w:rPr>
              <w:noProof/>
            </w:rPr>
          </w:pPr>
          <w:hyperlink w:anchor="_Toc49508898" w:history="1">
            <w:r w:rsidR="003D1036" w:rsidRPr="008B113B">
              <w:rPr>
                <w:rStyle w:val="Hyperlink"/>
                <w:noProof/>
                <w:lang w:val="en-US"/>
              </w:rPr>
              <w:t>Improving complaint processes</w:t>
            </w:r>
            <w:r w:rsidR="003D1036">
              <w:rPr>
                <w:noProof/>
                <w:webHidden/>
              </w:rPr>
              <w:tab/>
            </w:r>
            <w:r w:rsidR="003D1036">
              <w:rPr>
                <w:noProof/>
                <w:webHidden/>
              </w:rPr>
              <w:fldChar w:fldCharType="begin"/>
            </w:r>
            <w:r w:rsidR="003D1036">
              <w:rPr>
                <w:noProof/>
                <w:webHidden/>
              </w:rPr>
              <w:instrText xml:space="preserve"> PAGEREF _Toc49508898 \h </w:instrText>
            </w:r>
            <w:r w:rsidR="003D1036">
              <w:rPr>
                <w:noProof/>
                <w:webHidden/>
              </w:rPr>
            </w:r>
            <w:r w:rsidR="003D1036">
              <w:rPr>
                <w:noProof/>
                <w:webHidden/>
              </w:rPr>
              <w:fldChar w:fldCharType="separate"/>
            </w:r>
            <w:r>
              <w:rPr>
                <w:noProof/>
                <w:webHidden/>
              </w:rPr>
              <w:t>42</w:t>
            </w:r>
            <w:r w:rsidR="003D1036">
              <w:rPr>
                <w:noProof/>
                <w:webHidden/>
              </w:rPr>
              <w:fldChar w:fldCharType="end"/>
            </w:r>
          </w:hyperlink>
        </w:p>
        <w:p w14:paraId="215F256F" w14:textId="674A2666" w:rsidR="003D1036" w:rsidRDefault="003B066D">
          <w:pPr>
            <w:pStyle w:val="TOC2"/>
            <w:tabs>
              <w:tab w:val="right" w:leader="dot" w:pos="9742"/>
            </w:tabs>
            <w:rPr>
              <w:noProof/>
            </w:rPr>
          </w:pPr>
          <w:hyperlink w:anchor="_Toc49508899" w:history="1">
            <w:r w:rsidR="003D1036" w:rsidRPr="008B113B">
              <w:rPr>
                <w:rStyle w:val="Hyperlink"/>
                <w:noProof/>
              </w:rPr>
              <w:t>Administrative decisions</w:t>
            </w:r>
            <w:r w:rsidR="003D1036">
              <w:rPr>
                <w:noProof/>
                <w:webHidden/>
              </w:rPr>
              <w:tab/>
            </w:r>
            <w:r w:rsidR="003D1036">
              <w:rPr>
                <w:noProof/>
                <w:webHidden/>
              </w:rPr>
              <w:fldChar w:fldCharType="begin"/>
            </w:r>
            <w:r w:rsidR="003D1036">
              <w:rPr>
                <w:noProof/>
                <w:webHidden/>
              </w:rPr>
              <w:instrText xml:space="preserve"> PAGEREF _Toc49508899 \h </w:instrText>
            </w:r>
            <w:r w:rsidR="003D1036">
              <w:rPr>
                <w:noProof/>
                <w:webHidden/>
              </w:rPr>
            </w:r>
            <w:r w:rsidR="003D1036">
              <w:rPr>
                <w:noProof/>
                <w:webHidden/>
              </w:rPr>
              <w:fldChar w:fldCharType="separate"/>
            </w:r>
            <w:r>
              <w:rPr>
                <w:noProof/>
                <w:webHidden/>
              </w:rPr>
              <w:t>43</w:t>
            </w:r>
            <w:r w:rsidR="003D1036">
              <w:rPr>
                <w:noProof/>
                <w:webHidden/>
              </w:rPr>
              <w:fldChar w:fldCharType="end"/>
            </w:r>
          </w:hyperlink>
        </w:p>
        <w:p w14:paraId="5A2BE897" w14:textId="54432125" w:rsidR="003D1036" w:rsidRDefault="003B066D">
          <w:pPr>
            <w:pStyle w:val="TOC2"/>
            <w:tabs>
              <w:tab w:val="right" w:leader="dot" w:pos="9742"/>
            </w:tabs>
            <w:rPr>
              <w:noProof/>
            </w:rPr>
          </w:pPr>
          <w:hyperlink w:anchor="_Toc49508900" w:history="1">
            <w:r w:rsidR="003D1036" w:rsidRPr="008B113B">
              <w:rPr>
                <w:rStyle w:val="Hyperlink"/>
                <w:noProof/>
              </w:rPr>
              <w:t>Timeliness</w:t>
            </w:r>
            <w:r w:rsidR="003D1036">
              <w:rPr>
                <w:noProof/>
                <w:webHidden/>
              </w:rPr>
              <w:tab/>
            </w:r>
            <w:r w:rsidR="003D1036">
              <w:rPr>
                <w:noProof/>
                <w:webHidden/>
              </w:rPr>
              <w:fldChar w:fldCharType="begin"/>
            </w:r>
            <w:r w:rsidR="003D1036">
              <w:rPr>
                <w:noProof/>
                <w:webHidden/>
              </w:rPr>
              <w:instrText xml:space="preserve"> PAGEREF _Toc49508900 \h </w:instrText>
            </w:r>
            <w:r w:rsidR="003D1036">
              <w:rPr>
                <w:noProof/>
                <w:webHidden/>
              </w:rPr>
            </w:r>
            <w:r w:rsidR="003D1036">
              <w:rPr>
                <w:noProof/>
                <w:webHidden/>
              </w:rPr>
              <w:fldChar w:fldCharType="separate"/>
            </w:r>
            <w:r>
              <w:rPr>
                <w:noProof/>
                <w:webHidden/>
              </w:rPr>
              <w:t>44</w:t>
            </w:r>
            <w:r w:rsidR="003D1036">
              <w:rPr>
                <w:noProof/>
                <w:webHidden/>
              </w:rPr>
              <w:fldChar w:fldCharType="end"/>
            </w:r>
          </w:hyperlink>
        </w:p>
        <w:p w14:paraId="6186DDD1" w14:textId="0465C3DB" w:rsidR="003D1036" w:rsidRDefault="003B066D">
          <w:pPr>
            <w:pStyle w:val="TOC2"/>
            <w:tabs>
              <w:tab w:val="right" w:leader="dot" w:pos="9742"/>
            </w:tabs>
            <w:rPr>
              <w:noProof/>
            </w:rPr>
          </w:pPr>
          <w:hyperlink w:anchor="_Toc49508901" w:history="1">
            <w:r w:rsidR="003D1036" w:rsidRPr="008B113B">
              <w:rPr>
                <w:rStyle w:val="Hyperlink"/>
                <w:noProof/>
              </w:rPr>
              <w:t>Conciliated outcomes</w:t>
            </w:r>
            <w:r w:rsidR="003D1036">
              <w:rPr>
                <w:noProof/>
                <w:webHidden/>
              </w:rPr>
              <w:tab/>
            </w:r>
            <w:r w:rsidR="003D1036">
              <w:rPr>
                <w:noProof/>
                <w:webHidden/>
              </w:rPr>
              <w:fldChar w:fldCharType="begin"/>
            </w:r>
            <w:r w:rsidR="003D1036">
              <w:rPr>
                <w:noProof/>
                <w:webHidden/>
              </w:rPr>
              <w:instrText xml:space="preserve"> PAGEREF _Toc49508901 \h </w:instrText>
            </w:r>
            <w:r w:rsidR="003D1036">
              <w:rPr>
                <w:noProof/>
                <w:webHidden/>
              </w:rPr>
            </w:r>
            <w:r w:rsidR="003D1036">
              <w:rPr>
                <w:noProof/>
                <w:webHidden/>
              </w:rPr>
              <w:fldChar w:fldCharType="separate"/>
            </w:r>
            <w:r>
              <w:rPr>
                <w:noProof/>
                <w:webHidden/>
              </w:rPr>
              <w:t>44</w:t>
            </w:r>
            <w:r w:rsidR="003D1036">
              <w:rPr>
                <w:noProof/>
                <w:webHidden/>
              </w:rPr>
              <w:fldChar w:fldCharType="end"/>
            </w:r>
          </w:hyperlink>
        </w:p>
        <w:p w14:paraId="042A6F45" w14:textId="4E85F331" w:rsidR="003D1036" w:rsidRDefault="003B066D">
          <w:pPr>
            <w:pStyle w:val="TOC2"/>
            <w:tabs>
              <w:tab w:val="right" w:leader="dot" w:pos="9742"/>
            </w:tabs>
            <w:rPr>
              <w:noProof/>
            </w:rPr>
          </w:pPr>
          <w:hyperlink w:anchor="_Toc49508911" w:history="1">
            <w:r w:rsidR="003D1036" w:rsidRPr="008B113B">
              <w:rPr>
                <w:rStyle w:val="Hyperlink"/>
                <w:noProof/>
              </w:rPr>
              <w:t>Evaluation</w:t>
            </w:r>
            <w:r w:rsidR="003D1036">
              <w:rPr>
                <w:noProof/>
                <w:webHidden/>
              </w:rPr>
              <w:tab/>
            </w:r>
            <w:r w:rsidR="003D1036">
              <w:rPr>
                <w:noProof/>
                <w:webHidden/>
              </w:rPr>
              <w:fldChar w:fldCharType="begin"/>
            </w:r>
            <w:r w:rsidR="003D1036">
              <w:rPr>
                <w:noProof/>
                <w:webHidden/>
              </w:rPr>
              <w:instrText xml:space="preserve"> PAGEREF _Toc49508911 \h </w:instrText>
            </w:r>
            <w:r w:rsidR="003D1036">
              <w:rPr>
                <w:noProof/>
                <w:webHidden/>
              </w:rPr>
            </w:r>
            <w:r w:rsidR="003D1036">
              <w:rPr>
                <w:noProof/>
                <w:webHidden/>
              </w:rPr>
              <w:fldChar w:fldCharType="separate"/>
            </w:r>
            <w:r>
              <w:rPr>
                <w:noProof/>
                <w:webHidden/>
              </w:rPr>
              <w:t>48</w:t>
            </w:r>
            <w:r w:rsidR="003D1036">
              <w:rPr>
                <w:noProof/>
                <w:webHidden/>
              </w:rPr>
              <w:fldChar w:fldCharType="end"/>
            </w:r>
          </w:hyperlink>
        </w:p>
        <w:p w14:paraId="6AFB5A65" w14:textId="489925A8" w:rsidR="003D1036" w:rsidRDefault="003B066D">
          <w:pPr>
            <w:pStyle w:val="TOC1"/>
            <w:tabs>
              <w:tab w:val="right" w:leader="dot" w:pos="9742"/>
            </w:tabs>
            <w:rPr>
              <w:noProof/>
            </w:rPr>
          </w:pPr>
          <w:hyperlink w:anchor="_Toc49508912" w:history="1">
            <w:r w:rsidR="003D1036" w:rsidRPr="008B113B">
              <w:rPr>
                <w:rStyle w:val="Hyperlink"/>
                <w:noProof/>
              </w:rPr>
              <w:t>Influencing government policy and legislation</w:t>
            </w:r>
            <w:r w:rsidR="003D1036">
              <w:rPr>
                <w:noProof/>
                <w:webHidden/>
              </w:rPr>
              <w:tab/>
            </w:r>
            <w:r w:rsidR="003D1036">
              <w:rPr>
                <w:noProof/>
                <w:webHidden/>
              </w:rPr>
              <w:fldChar w:fldCharType="begin"/>
            </w:r>
            <w:r w:rsidR="003D1036">
              <w:rPr>
                <w:noProof/>
                <w:webHidden/>
              </w:rPr>
              <w:instrText xml:space="preserve"> PAGEREF _Toc49508912 \h </w:instrText>
            </w:r>
            <w:r w:rsidR="003D1036">
              <w:rPr>
                <w:noProof/>
                <w:webHidden/>
              </w:rPr>
            </w:r>
            <w:r w:rsidR="003D1036">
              <w:rPr>
                <w:noProof/>
                <w:webHidden/>
              </w:rPr>
              <w:fldChar w:fldCharType="separate"/>
            </w:r>
            <w:r>
              <w:rPr>
                <w:noProof/>
                <w:webHidden/>
              </w:rPr>
              <w:t>50</w:t>
            </w:r>
            <w:r w:rsidR="003D1036">
              <w:rPr>
                <w:noProof/>
                <w:webHidden/>
              </w:rPr>
              <w:fldChar w:fldCharType="end"/>
            </w:r>
          </w:hyperlink>
        </w:p>
        <w:p w14:paraId="47C7CB98" w14:textId="484659A0" w:rsidR="003D1036" w:rsidRDefault="003B066D">
          <w:pPr>
            <w:pStyle w:val="TOC1"/>
            <w:tabs>
              <w:tab w:val="right" w:leader="dot" w:pos="9742"/>
            </w:tabs>
            <w:rPr>
              <w:noProof/>
            </w:rPr>
          </w:pPr>
          <w:hyperlink w:anchor="_Toc49508913" w:history="1">
            <w:r w:rsidR="003D1036" w:rsidRPr="008B113B">
              <w:rPr>
                <w:rStyle w:val="Hyperlink"/>
                <w:noProof/>
              </w:rPr>
              <w:t>Legal information</w:t>
            </w:r>
            <w:r w:rsidR="003D1036">
              <w:rPr>
                <w:noProof/>
                <w:webHidden/>
              </w:rPr>
              <w:tab/>
            </w:r>
            <w:r w:rsidR="003D1036">
              <w:rPr>
                <w:noProof/>
                <w:webHidden/>
              </w:rPr>
              <w:fldChar w:fldCharType="begin"/>
            </w:r>
            <w:r w:rsidR="003D1036">
              <w:rPr>
                <w:noProof/>
                <w:webHidden/>
              </w:rPr>
              <w:instrText xml:space="preserve"> PAGEREF _Toc49508913 \h </w:instrText>
            </w:r>
            <w:r w:rsidR="003D1036">
              <w:rPr>
                <w:noProof/>
                <w:webHidden/>
              </w:rPr>
            </w:r>
            <w:r w:rsidR="003D1036">
              <w:rPr>
                <w:noProof/>
                <w:webHidden/>
              </w:rPr>
              <w:fldChar w:fldCharType="separate"/>
            </w:r>
            <w:r>
              <w:rPr>
                <w:noProof/>
                <w:webHidden/>
              </w:rPr>
              <w:t>56</w:t>
            </w:r>
            <w:r w:rsidR="003D1036">
              <w:rPr>
                <w:noProof/>
                <w:webHidden/>
              </w:rPr>
              <w:fldChar w:fldCharType="end"/>
            </w:r>
          </w:hyperlink>
        </w:p>
        <w:p w14:paraId="56DA5AF6" w14:textId="028817EB" w:rsidR="003D1036" w:rsidRDefault="003B066D">
          <w:pPr>
            <w:pStyle w:val="TOC2"/>
            <w:tabs>
              <w:tab w:val="right" w:leader="dot" w:pos="9742"/>
            </w:tabs>
            <w:rPr>
              <w:noProof/>
            </w:rPr>
          </w:pPr>
          <w:hyperlink w:anchor="_Toc49508914" w:history="1">
            <w:r w:rsidR="003D1036" w:rsidRPr="008B113B">
              <w:rPr>
                <w:rStyle w:val="Hyperlink"/>
                <w:noProof/>
              </w:rPr>
              <w:t>Applications to the Tribunal for review</w:t>
            </w:r>
            <w:r w:rsidR="003D1036">
              <w:rPr>
                <w:noProof/>
                <w:webHidden/>
              </w:rPr>
              <w:tab/>
            </w:r>
            <w:r w:rsidR="003D1036">
              <w:rPr>
                <w:noProof/>
                <w:webHidden/>
              </w:rPr>
              <w:fldChar w:fldCharType="begin"/>
            </w:r>
            <w:r w:rsidR="003D1036">
              <w:rPr>
                <w:noProof/>
                <w:webHidden/>
              </w:rPr>
              <w:instrText xml:space="preserve"> PAGEREF _Toc49508914 \h </w:instrText>
            </w:r>
            <w:r w:rsidR="003D1036">
              <w:rPr>
                <w:noProof/>
                <w:webHidden/>
              </w:rPr>
            </w:r>
            <w:r w:rsidR="003D1036">
              <w:rPr>
                <w:noProof/>
                <w:webHidden/>
              </w:rPr>
              <w:fldChar w:fldCharType="separate"/>
            </w:r>
            <w:r>
              <w:rPr>
                <w:noProof/>
                <w:webHidden/>
              </w:rPr>
              <w:t>56</w:t>
            </w:r>
            <w:r w:rsidR="003D1036">
              <w:rPr>
                <w:noProof/>
                <w:webHidden/>
              </w:rPr>
              <w:fldChar w:fldCharType="end"/>
            </w:r>
          </w:hyperlink>
        </w:p>
        <w:p w14:paraId="11E079EB" w14:textId="3734C6DC" w:rsidR="003D1036" w:rsidRDefault="003B066D">
          <w:pPr>
            <w:pStyle w:val="TOC2"/>
            <w:tabs>
              <w:tab w:val="right" w:leader="dot" w:pos="9742"/>
            </w:tabs>
            <w:rPr>
              <w:noProof/>
            </w:rPr>
          </w:pPr>
          <w:hyperlink w:anchor="_Toc49508915" w:history="1">
            <w:r w:rsidR="003D1036" w:rsidRPr="008B113B">
              <w:rPr>
                <w:rStyle w:val="Hyperlink"/>
                <w:noProof/>
              </w:rPr>
              <w:t>Judicial review of decisions</w:t>
            </w:r>
            <w:r w:rsidR="003D1036">
              <w:rPr>
                <w:noProof/>
                <w:webHidden/>
              </w:rPr>
              <w:tab/>
            </w:r>
            <w:r w:rsidR="003D1036">
              <w:rPr>
                <w:noProof/>
                <w:webHidden/>
              </w:rPr>
              <w:fldChar w:fldCharType="begin"/>
            </w:r>
            <w:r w:rsidR="003D1036">
              <w:rPr>
                <w:noProof/>
                <w:webHidden/>
              </w:rPr>
              <w:instrText xml:space="preserve"> PAGEREF _Toc49508915 \h </w:instrText>
            </w:r>
            <w:r w:rsidR="003D1036">
              <w:rPr>
                <w:noProof/>
                <w:webHidden/>
              </w:rPr>
            </w:r>
            <w:r w:rsidR="003D1036">
              <w:rPr>
                <w:noProof/>
                <w:webHidden/>
              </w:rPr>
              <w:fldChar w:fldCharType="separate"/>
            </w:r>
            <w:r>
              <w:rPr>
                <w:noProof/>
                <w:webHidden/>
              </w:rPr>
              <w:t>56</w:t>
            </w:r>
            <w:r w:rsidR="003D1036">
              <w:rPr>
                <w:noProof/>
                <w:webHidden/>
              </w:rPr>
              <w:fldChar w:fldCharType="end"/>
            </w:r>
          </w:hyperlink>
        </w:p>
        <w:p w14:paraId="6BB1EB15" w14:textId="50BD2A26" w:rsidR="003D1036" w:rsidRDefault="003B066D">
          <w:pPr>
            <w:pStyle w:val="TOC2"/>
            <w:tabs>
              <w:tab w:val="right" w:leader="dot" w:pos="9742"/>
            </w:tabs>
            <w:rPr>
              <w:noProof/>
            </w:rPr>
          </w:pPr>
          <w:hyperlink w:anchor="_Toc49508916" w:history="1">
            <w:r w:rsidR="003D1036" w:rsidRPr="008B113B">
              <w:rPr>
                <w:rStyle w:val="Hyperlink"/>
                <w:noProof/>
              </w:rPr>
              <w:t>Intervention in proceedings</w:t>
            </w:r>
            <w:r w:rsidR="003D1036">
              <w:rPr>
                <w:noProof/>
                <w:webHidden/>
              </w:rPr>
              <w:tab/>
            </w:r>
            <w:r w:rsidR="003D1036">
              <w:rPr>
                <w:noProof/>
                <w:webHidden/>
              </w:rPr>
              <w:fldChar w:fldCharType="begin"/>
            </w:r>
            <w:r w:rsidR="003D1036">
              <w:rPr>
                <w:noProof/>
                <w:webHidden/>
              </w:rPr>
              <w:instrText xml:space="preserve"> PAGEREF _Toc49508916 \h </w:instrText>
            </w:r>
            <w:r w:rsidR="003D1036">
              <w:rPr>
                <w:noProof/>
                <w:webHidden/>
              </w:rPr>
            </w:r>
            <w:r w:rsidR="003D1036">
              <w:rPr>
                <w:noProof/>
                <w:webHidden/>
              </w:rPr>
              <w:fldChar w:fldCharType="separate"/>
            </w:r>
            <w:r>
              <w:rPr>
                <w:noProof/>
                <w:webHidden/>
              </w:rPr>
              <w:t>56</w:t>
            </w:r>
            <w:r w:rsidR="003D1036">
              <w:rPr>
                <w:noProof/>
                <w:webHidden/>
              </w:rPr>
              <w:fldChar w:fldCharType="end"/>
            </w:r>
          </w:hyperlink>
        </w:p>
        <w:p w14:paraId="2394861B" w14:textId="152B77AF" w:rsidR="003D1036" w:rsidRDefault="003B066D">
          <w:pPr>
            <w:pStyle w:val="TOC2"/>
            <w:tabs>
              <w:tab w:val="right" w:leader="dot" w:pos="9742"/>
            </w:tabs>
            <w:rPr>
              <w:noProof/>
            </w:rPr>
          </w:pPr>
          <w:hyperlink w:anchor="_Toc49508917" w:history="1">
            <w:r w:rsidR="003D1036" w:rsidRPr="008B113B">
              <w:rPr>
                <w:rStyle w:val="Hyperlink"/>
                <w:noProof/>
              </w:rPr>
              <w:t>Exemption applications</w:t>
            </w:r>
            <w:r w:rsidR="003D1036">
              <w:rPr>
                <w:noProof/>
                <w:webHidden/>
              </w:rPr>
              <w:tab/>
            </w:r>
            <w:r w:rsidR="003D1036">
              <w:rPr>
                <w:noProof/>
                <w:webHidden/>
              </w:rPr>
              <w:fldChar w:fldCharType="begin"/>
            </w:r>
            <w:r w:rsidR="003D1036">
              <w:rPr>
                <w:noProof/>
                <w:webHidden/>
              </w:rPr>
              <w:instrText xml:space="preserve"> PAGEREF _Toc49508917 \h </w:instrText>
            </w:r>
            <w:r w:rsidR="003D1036">
              <w:rPr>
                <w:noProof/>
                <w:webHidden/>
              </w:rPr>
            </w:r>
            <w:r w:rsidR="003D1036">
              <w:rPr>
                <w:noProof/>
                <w:webHidden/>
              </w:rPr>
              <w:fldChar w:fldCharType="separate"/>
            </w:r>
            <w:r>
              <w:rPr>
                <w:noProof/>
                <w:webHidden/>
              </w:rPr>
              <w:t>57</w:t>
            </w:r>
            <w:r w:rsidR="003D1036">
              <w:rPr>
                <w:noProof/>
                <w:webHidden/>
              </w:rPr>
              <w:fldChar w:fldCharType="end"/>
            </w:r>
          </w:hyperlink>
        </w:p>
        <w:p w14:paraId="13E98EDB" w14:textId="3FC67C1A" w:rsidR="003D1036" w:rsidRDefault="003B066D">
          <w:pPr>
            <w:pStyle w:val="TOC2"/>
            <w:tabs>
              <w:tab w:val="right" w:leader="dot" w:pos="9742"/>
            </w:tabs>
            <w:rPr>
              <w:noProof/>
            </w:rPr>
          </w:pPr>
          <w:hyperlink w:anchor="_Toc49508918" w:history="1">
            <w:r w:rsidR="003D1036" w:rsidRPr="008B113B">
              <w:rPr>
                <w:rStyle w:val="Hyperlink"/>
                <w:noProof/>
              </w:rPr>
              <w:t>Tribunal and court decisions</w:t>
            </w:r>
            <w:r w:rsidR="003D1036">
              <w:rPr>
                <w:noProof/>
                <w:webHidden/>
              </w:rPr>
              <w:tab/>
            </w:r>
            <w:r w:rsidR="003D1036">
              <w:rPr>
                <w:noProof/>
                <w:webHidden/>
              </w:rPr>
              <w:fldChar w:fldCharType="begin"/>
            </w:r>
            <w:r w:rsidR="003D1036">
              <w:rPr>
                <w:noProof/>
                <w:webHidden/>
              </w:rPr>
              <w:instrText xml:space="preserve"> PAGEREF _Toc49508918 \h </w:instrText>
            </w:r>
            <w:r w:rsidR="003D1036">
              <w:rPr>
                <w:noProof/>
                <w:webHidden/>
              </w:rPr>
            </w:r>
            <w:r w:rsidR="003D1036">
              <w:rPr>
                <w:noProof/>
                <w:webHidden/>
              </w:rPr>
              <w:fldChar w:fldCharType="separate"/>
            </w:r>
            <w:r>
              <w:rPr>
                <w:noProof/>
                <w:webHidden/>
              </w:rPr>
              <w:t>57</w:t>
            </w:r>
            <w:r w:rsidR="003D1036">
              <w:rPr>
                <w:noProof/>
                <w:webHidden/>
              </w:rPr>
              <w:fldChar w:fldCharType="end"/>
            </w:r>
          </w:hyperlink>
        </w:p>
        <w:p w14:paraId="5BD4C0DE" w14:textId="09C5A568" w:rsidR="003D1036" w:rsidRDefault="003B066D">
          <w:pPr>
            <w:pStyle w:val="TOC2"/>
            <w:tabs>
              <w:tab w:val="right" w:leader="dot" w:pos="9742"/>
            </w:tabs>
            <w:rPr>
              <w:noProof/>
            </w:rPr>
          </w:pPr>
          <w:hyperlink w:anchor="_Toc49508921" w:history="1">
            <w:r w:rsidR="003D1036" w:rsidRPr="008B113B">
              <w:rPr>
                <w:rStyle w:val="Hyperlink"/>
                <w:noProof/>
              </w:rPr>
              <w:t>QCAT Appeal Tribunal</w:t>
            </w:r>
            <w:r w:rsidR="003D1036">
              <w:rPr>
                <w:noProof/>
                <w:webHidden/>
              </w:rPr>
              <w:tab/>
            </w:r>
            <w:r w:rsidR="003D1036">
              <w:rPr>
                <w:noProof/>
                <w:webHidden/>
              </w:rPr>
              <w:fldChar w:fldCharType="begin"/>
            </w:r>
            <w:r w:rsidR="003D1036">
              <w:rPr>
                <w:noProof/>
                <w:webHidden/>
              </w:rPr>
              <w:instrText xml:space="preserve"> PAGEREF _Toc49508921 \h </w:instrText>
            </w:r>
            <w:r w:rsidR="003D1036">
              <w:rPr>
                <w:noProof/>
                <w:webHidden/>
              </w:rPr>
            </w:r>
            <w:r w:rsidR="003D1036">
              <w:rPr>
                <w:noProof/>
                <w:webHidden/>
              </w:rPr>
              <w:fldChar w:fldCharType="separate"/>
            </w:r>
            <w:r>
              <w:rPr>
                <w:noProof/>
                <w:webHidden/>
              </w:rPr>
              <w:t>63</w:t>
            </w:r>
            <w:r w:rsidR="003D1036">
              <w:rPr>
                <w:noProof/>
                <w:webHidden/>
              </w:rPr>
              <w:fldChar w:fldCharType="end"/>
            </w:r>
          </w:hyperlink>
        </w:p>
        <w:p w14:paraId="0BF7E29D" w14:textId="59948340" w:rsidR="003D1036" w:rsidRDefault="003B066D">
          <w:pPr>
            <w:pStyle w:val="TOC1"/>
            <w:tabs>
              <w:tab w:val="right" w:leader="dot" w:pos="9742"/>
            </w:tabs>
            <w:rPr>
              <w:noProof/>
            </w:rPr>
          </w:pPr>
          <w:hyperlink w:anchor="_Toc49508922" w:history="1">
            <w:r w:rsidR="003D1036" w:rsidRPr="008B113B">
              <w:rPr>
                <w:rStyle w:val="Hyperlink"/>
                <w:noProof/>
              </w:rPr>
              <w:t>Corporate governance</w:t>
            </w:r>
            <w:r w:rsidR="003D1036">
              <w:rPr>
                <w:noProof/>
                <w:webHidden/>
              </w:rPr>
              <w:tab/>
            </w:r>
            <w:r w:rsidR="003D1036">
              <w:rPr>
                <w:noProof/>
                <w:webHidden/>
              </w:rPr>
              <w:fldChar w:fldCharType="begin"/>
            </w:r>
            <w:r w:rsidR="003D1036">
              <w:rPr>
                <w:noProof/>
                <w:webHidden/>
              </w:rPr>
              <w:instrText xml:space="preserve"> PAGEREF _Toc49508922 \h </w:instrText>
            </w:r>
            <w:r w:rsidR="003D1036">
              <w:rPr>
                <w:noProof/>
                <w:webHidden/>
              </w:rPr>
            </w:r>
            <w:r w:rsidR="003D1036">
              <w:rPr>
                <w:noProof/>
                <w:webHidden/>
              </w:rPr>
              <w:fldChar w:fldCharType="separate"/>
            </w:r>
            <w:r>
              <w:rPr>
                <w:noProof/>
                <w:webHidden/>
              </w:rPr>
              <w:t>65</w:t>
            </w:r>
            <w:r w:rsidR="003D1036">
              <w:rPr>
                <w:noProof/>
                <w:webHidden/>
              </w:rPr>
              <w:fldChar w:fldCharType="end"/>
            </w:r>
          </w:hyperlink>
        </w:p>
        <w:p w14:paraId="3FBD4BF8" w14:textId="003D95CA" w:rsidR="003D1036" w:rsidRDefault="003B066D">
          <w:pPr>
            <w:pStyle w:val="TOC2"/>
            <w:tabs>
              <w:tab w:val="right" w:leader="dot" w:pos="9742"/>
            </w:tabs>
            <w:rPr>
              <w:noProof/>
            </w:rPr>
          </w:pPr>
          <w:hyperlink w:anchor="_Toc49508923" w:history="1">
            <w:r w:rsidR="003D1036" w:rsidRPr="008B113B">
              <w:rPr>
                <w:rStyle w:val="Hyperlink"/>
                <w:noProof/>
              </w:rPr>
              <w:t>Governance framework</w:t>
            </w:r>
            <w:r w:rsidR="003D1036">
              <w:rPr>
                <w:noProof/>
                <w:webHidden/>
              </w:rPr>
              <w:tab/>
            </w:r>
            <w:r w:rsidR="003D1036">
              <w:rPr>
                <w:noProof/>
                <w:webHidden/>
              </w:rPr>
              <w:fldChar w:fldCharType="begin"/>
            </w:r>
            <w:r w:rsidR="003D1036">
              <w:rPr>
                <w:noProof/>
                <w:webHidden/>
              </w:rPr>
              <w:instrText xml:space="preserve"> PAGEREF _Toc49508923 \h </w:instrText>
            </w:r>
            <w:r w:rsidR="003D1036">
              <w:rPr>
                <w:noProof/>
                <w:webHidden/>
              </w:rPr>
            </w:r>
            <w:r w:rsidR="003D1036">
              <w:rPr>
                <w:noProof/>
                <w:webHidden/>
              </w:rPr>
              <w:fldChar w:fldCharType="separate"/>
            </w:r>
            <w:r>
              <w:rPr>
                <w:noProof/>
                <w:webHidden/>
              </w:rPr>
              <w:t>65</w:t>
            </w:r>
            <w:r w:rsidR="003D1036">
              <w:rPr>
                <w:noProof/>
                <w:webHidden/>
              </w:rPr>
              <w:fldChar w:fldCharType="end"/>
            </w:r>
          </w:hyperlink>
        </w:p>
        <w:p w14:paraId="5C184601" w14:textId="2A263EEE" w:rsidR="003D1036" w:rsidRDefault="003B066D">
          <w:pPr>
            <w:pStyle w:val="TOC2"/>
            <w:tabs>
              <w:tab w:val="right" w:leader="dot" w:pos="9742"/>
            </w:tabs>
            <w:rPr>
              <w:noProof/>
            </w:rPr>
          </w:pPr>
          <w:hyperlink w:anchor="_Toc49508924" w:history="1">
            <w:r w:rsidR="003D1036" w:rsidRPr="008B113B">
              <w:rPr>
                <w:rStyle w:val="Hyperlink"/>
                <w:noProof/>
              </w:rPr>
              <w:t>Executive management</w:t>
            </w:r>
            <w:r w:rsidR="003D1036">
              <w:rPr>
                <w:noProof/>
                <w:webHidden/>
              </w:rPr>
              <w:tab/>
            </w:r>
            <w:r w:rsidR="003D1036">
              <w:rPr>
                <w:noProof/>
                <w:webHidden/>
              </w:rPr>
              <w:fldChar w:fldCharType="begin"/>
            </w:r>
            <w:r w:rsidR="003D1036">
              <w:rPr>
                <w:noProof/>
                <w:webHidden/>
              </w:rPr>
              <w:instrText xml:space="preserve"> PAGEREF _Toc49508924 \h </w:instrText>
            </w:r>
            <w:r w:rsidR="003D1036">
              <w:rPr>
                <w:noProof/>
                <w:webHidden/>
              </w:rPr>
            </w:r>
            <w:r w:rsidR="003D1036">
              <w:rPr>
                <w:noProof/>
                <w:webHidden/>
              </w:rPr>
              <w:fldChar w:fldCharType="separate"/>
            </w:r>
            <w:r>
              <w:rPr>
                <w:noProof/>
                <w:webHidden/>
              </w:rPr>
              <w:t>65</w:t>
            </w:r>
            <w:r w:rsidR="003D1036">
              <w:rPr>
                <w:noProof/>
                <w:webHidden/>
              </w:rPr>
              <w:fldChar w:fldCharType="end"/>
            </w:r>
          </w:hyperlink>
        </w:p>
        <w:p w14:paraId="2A427732" w14:textId="409F3160" w:rsidR="003D1036" w:rsidRDefault="003B066D">
          <w:pPr>
            <w:pStyle w:val="TOC2"/>
            <w:tabs>
              <w:tab w:val="right" w:leader="dot" w:pos="9742"/>
            </w:tabs>
            <w:rPr>
              <w:noProof/>
            </w:rPr>
          </w:pPr>
          <w:hyperlink w:anchor="_Toc49508925" w:history="1">
            <w:r w:rsidR="003D1036" w:rsidRPr="008B113B">
              <w:rPr>
                <w:rStyle w:val="Hyperlink"/>
                <w:noProof/>
              </w:rPr>
              <w:t>Our staff</w:t>
            </w:r>
            <w:r w:rsidR="003D1036">
              <w:rPr>
                <w:noProof/>
                <w:webHidden/>
              </w:rPr>
              <w:tab/>
            </w:r>
            <w:r w:rsidR="003D1036">
              <w:rPr>
                <w:noProof/>
                <w:webHidden/>
              </w:rPr>
              <w:fldChar w:fldCharType="begin"/>
            </w:r>
            <w:r w:rsidR="003D1036">
              <w:rPr>
                <w:noProof/>
                <w:webHidden/>
              </w:rPr>
              <w:instrText xml:space="preserve"> PAGEREF _Toc49508925 \h </w:instrText>
            </w:r>
            <w:r w:rsidR="003D1036">
              <w:rPr>
                <w:noProof/>
                <w:webHidden/>
              </w:rPr>
            </w:r>
            <w:r w:rsidR="003D1036">
              <w:rPr>
                <w:noProof/>
                <w:webHidden/>
              </w:rPr>
              <w:fldChar w:fldCharType="separate"/>
            </w:r>
            <w:r>
              <w:rPr>
                <w:noProof/>
                <w:webHidden/>
              </w:rPr>
              <w:t>67</w:t>
            </w:r>
            <w:r w:rsidR="003D1036">
              <w:rPr>
                <w:noProof/>
                <w:webHidden/>
              </w:rPr>
              <w:fldChar w:fldCharType="end"/>
            </w:r>
          </w:hyperlink>
        </w:p>
        <w:p w14:paraId="52E3830B" w14:textId="51E045FF" w:rsidR="003D1036" w:rsidRDefault="003B066D">
          <w:pPr>
            <w:pStyle w:val="TOC2"/>
            <w:tabs>
              <w:tab w:val="right" w:leader="dot" w:pos="9742"/>
            </w:tabs>
            <w:rPr>
              <w:noProof/>
            </w:rPr>
          </w:pPr>
          <w:hyperlink w:anchor="_Toc49508926" w:history="1">
            <w:r w:rsidR="003D1036" w:rsidRPr="008B113B">
              <w:rPr>
                <w:rStyle w:val="Hyperlink"/>
                <w:noProof/>
              </w:rPr>
              <w:t>Corporate services</w:t>
            </w:r>
            <w:r w:rsidR="003D1036">
              <w:rPr>
                <w:noProof/>
                <w:webHidden/>
              </w:rPr>
              <w:tab/>
            </w:r>
            <w:r w:rsidR="003D1036">
              <w:rPr>
                <w:noProof/>
                <w:webHidden/>
              </w:rPr>
              <w:fldChar w:fldCharType="begin"/>
            </w:r>
            <w:r w:rsidR="003D1036">
              <w:rPr>
                <w:noProof/>
                <w:webHidden/>
              </w:rPr>
              <w:instrText xml:space="preserve"> PAGEREF _Toc49508926 \h </w:instrText>
            </w:r>
            <w:r w:rsidR="003D1036">
              <w:rPr>
                <w:noProof/>
                <w:webHidden/>
              </w:rPr>
            </w:r>
            <w:r w:rsidR="003D1036">
              <w:rPr>
                <w:noProof/>
                <w:webHidden/>
              </w:rPr>
              <w:fldChar w:fldCharType="separate"/>
            </w:r>
            <w:r>
              <w:rPr>
                <w:noProof/>
                <w:webHidden/>
              </w:rPr>
              <w:t>67</w:t>
            </w:r>
            <w:r w:rsidR="003D1036">
              <w:rPr>
                <w:noProof/>
                <w:webHidden/>
              </w:rPr>
              <w:fldChar w:fldCharType="end"/>
            </w:r>
          </w:hyperlink>
        </w:p>
        <w:p w14:paraId="7D271A94" w14:textId="6A187FB6" w:rsidR="003D1036" w:rsidRDefault="003B066D">
          <w:pPr>
            <w:pStyle w:val="TOC2"/>
            <w:tabs>
              <w:tab w:val="right" w:leader="dot" w:pos="9742"/>
            </w:tabs>
            <w:rPr>
              <w:noProof/>
            </w:rPr>
          </w:pPr>
          <w:hyperlink w:anchor="_Toc49508927" w:history="1">
            <w:r w:rsidR="003D1036" w:rsidRPr="008B113B">
              <w:rPr>
                <w:rStyle w:val="Hyperlink"/>
                <w:noProof/>
              </w:rPr>
              <w:t>Information and communications technology (ICT)</w:t>
            </w:r>
            <w:r w:rsidR="003D1036">
              <w:rPr>
                <w:noProof/>
                <w:webHidden/>
              </w:rPr>
              <w:tab/>
            </w:r>
            <w:r w:rsidR="003D1036">
              <w:rPr>
                <w:noProof/>
                <w:webHidden/>
              </w:rPr>
              <w:fldChar w:fldCharType="begin"/>
            </w:r>
            <w:r w:rsidR="003D1036">
              <w:rPr>
                <w:noProof/>
                <w:webHidden/>
              </w:rPr>
              <w:instrText xml:space="preserve"> PAGEREF _Toc49508927 \h </w:instrText>
            </w:r>
            <w:r w:rsidR="003D1036">
              <w:rPr>
                <w:noProof/>
                <w:webHidden/>
              </w:rPr>
            </w:r>
            <w:r w:rsidR="003D1036">
              <w:rPr>
                <w:noProof/>
                <w:webHidden/>
              </w:rPr>
              <w:fldChar w:fldCharType="separate"/>
            </w:r>
            <w:r>
              <w:rPr>
                <w:noProof/>
                <w:webHidden/>
              </w:rPr>
              <w:t>68</w:t>
            </w:r>
            <w:r w:rsidR="003D1036">
              <w:rPr>
                <w:noProof/>
                <w:webHidden/>
              </w:rPr>
              <w:fldChar w:fldCharType="end"/>
            </w:r>
          </w:hyperlink>
        </w:p>
        <w:p w14:paraId="60339AF2" w14:textId="151D977C" w:rsidR="003D1036" w:rsidRDefault="003B066D">
          <w:pPr>
            <w:pStyle w:val="TOC2"/>
            <w:tabs>
              <w:tab w:val="right" w:leader="dot" w:pos="9742"/>
            </w:tabs>
            <w:rPr>
              <w:noProof/>
            </w:rPr>
          </w:pPr>
          <w:hyperlink w:anchor="_Toc49508928" w:history="1">
            <w:r w:rsidR="003D1036" w:rsidRPr="008B113B">
              <w:rPr>
                <w:rStyle w:val="Hyperlink"/>
                <w:noProof/>
              </w:rPr>
              <w:t>Statutory obligations</w:t>
            </w:r>
            <w:r w:rsidR="003D1036">
              <w:rPr>
                <w:noProof/>
                <w:webHidden/>
              </w:rPr>
              <w:tab/>
            </w:r>
            <w:r w:rsidR="003D1036">
              <w:rPr>
                <w:noProof/>
                <w:webHidden/>
              </w:rPr>
              <w:fldChar w:fldCharType="begin"/>
            </w:r>
            <w:r w:rsidR="003D1036">
              <w:rPr>
                <w:noProof/>
                <w:webHidden/>
              </w:rPr>
              <w:instrText xml:space="preserve"> PAGEREF _Toc49508928 \h </w:instrText>
            </w:r>
            <w:r w:rsidR="003D1036">
              <w:rPr>
                <w:noProof/>
                <w:webHidden/>
              </w:rPr>
            </w:r>
            <w:r w:rsidR="003D1036">
              <w:rPr>
                <w:noProof/>
                <w:webHidden/>
              </w:rPr>
              <w:fldChar w:fldCharType="separate"/>
            </w:r>
            <w:r>
              <w:rPr>
                <w:noProof/>
                <w:webHidden/>
              </w:rPr>
              <w:t>68</w:t>
            </w:r>
            <w:r w:rsidR="003D1036">
              <w:rPr>
                <w:noProof/>
                <w:webHidden/>
              </w:rPr>
              <w:fldChar w:fldCharType="end"/>
            </w:r>
          </w:hyperlink>
        </w:p>
        <w:p w14:paraId="00BC7D20" w14:textId="3085961C" w:rsidR="003D1036" w:rsidRDefault="003B066D">
          <w:pPr>
            <w:pStyle w:val="TOC1"/>
            <w:tabs>
              <w:tab w:val="right" w:leader="dot" w:pos="9742"/>
            </w:tabs>
            <w:rPr>
              <w:noProof/>
            </w:rPr>
          </w:pPr>
          <w:hyperlink w:anchor="_Toc49508937" w:history="1">
            <w:r w:rsidR="003D1036" w:rsidRPr="008B113B">
              <w:rPr>
                <w:rStyle w:val="Hyperlink"/>
                <w:rFonts w:cs="Arial"/>
                <w:noProof/>
              </w:rPr>
              <w:t>Summary of financial performance</w:t>
            </w:r>
            <w:r w:rsidR="003D1036">
              <w:rPr>
                <w:noProof/>
                <w:webHidden/>
              </w:rPr>
              <w:tab/>
            </w:r>
            <w:r w:rsidR="003D1036">
              <w:rPr>
                <w:noProof/>
                <w:webHidden/>
              </w:rPr>
              <w:fldChar w:fldCharType="begin"/>
            </w:r>
            <w:r w:rsidR="003D1036">
              <w:rPr>
                <w:noProof/>
                <w:webHidden/>
              </w:rPr>
              <w:instrText xml:space="preserve"> PAGEREF _Toc49508937 \h </w:instrText>
            </w:r>
            <w:r w:rsidR="003D1036">
              <w:rPr>
                <w:noProof/>
                <w:webHidden/>
              </w:rPr>
            </w:r>
            <w:r w:rsidR="003D1036">
              <w:rPr>
                <w:noProof/>
                <w:webHidden/>
              </w:rPr>
              <w:fldChar w:fldCharType="separate"/>
            </w:r>
            <w:r>
              <w:rPr>
                <w:noProof/>
                <w:webHidden/>
              </w:rPr>
              <w:t>72</w:t>
            </w:r>
            <w:r w:rsidR="003D1036">
              <w:rPr>
                <w:noProof/>
                <w:webHidden/>
              </w:rPr>
              <w:fldChar w:fldCharType="end"/>
            </w:r>
          </w:hyperlink>
        </w:p>
        <w:p w14:paraId="5A18DB83" w14:textId="1A7F2893" w:rsidR="003D1036" w:rsidRDefault="003B066D">
          <w:pPr>
            <w:pStyle w:val="TOC2"/>
            <w:tabs>
              <w:tab w:val="right" w:leader="dot" w:pos="9742"/>
            </w:tabs>
            <w:rPr>
              <w:noProof/>
            </w:rPr>
          </w:pPr>
          <w:hyperlink w:anchor="_Toc49508938" w:history="1">
            <w:r w:rsidR="003D1036" w:rsidRPr="008B113B">
              <w:rPr>
                <w:rStyle w:val="Hyperlink"/>
                <w:noProof/>
              </w:rPr>
              <w:t>Financial governance</w:t>
            </w:r>
            <w:r w:rsidR="003D1036">
              <w:rPr>
                <w:noProof/>
                <w:webHidden/>
              </w:rPr>
              <w:tab/>
            </w:r>
            <w:r w:rsidR="003D1036">
              <w:rPr>
                <w:noProof/>
                <w:webHidden/>
              </w:rPr>
              <w:fldChar w:fldCharType="begin"/>
            </w:r>
            <w:r w:rsidR="003D1036">
              <w:rPr>
                <w:noProof/>
                <w:webHidden/>
              </w:rPr>
              <w:instrText xml:space="preserve"> PAGEREF _Toc49508938 \h </w:instrText>
            </w:r>
            <w:r w:rsidR="003D1036">
              <w:rPr>
                <w:noProof/>
                <w:webHidden/>
              </w:rPr>
            </w:r>
            <w:r w:rsidR="003D1036">
              <w:rPr>
                <w:noProof/>
                <w:webHidden/>
              </w:rPr>
              <w:fldChar w:fldCharType="separate"/>
            </w:r>
            <w:r>
              <w:rPr>
                <w:noProof/>
                <w:webHidden/>
              </w:rPr>
              <w:t>72</w:t>
            </w:r>
            <w:r w:rsidR="003D1036">
              <w:rPr>
                <w:noProof/>
                <w:webHidden/>
              </w:rPr>
              <w:fldChar w:fldCharType="end"/>
            </w:r>
          </w:hyperlink>
        </w:p>
        <w:p w14:paraId="06AA14D9" w14:textId="279AE2D2" w:rsidR="003D1036" w:rsidRDefault="003B066D">
          <w:pPr>
            <w:pStyle w:val="TOC2"/>
            <w:tabs>
              <w:tab w:val="right" w:leader="dot" w:pos="9742"/>
            </w:tabs>
            <w:rPr>
              <w:noProof/>
            </w:rPr>
          </w:pPr>
          <w:hyperlink w:anchor="_Toc49508939" w:history="1">
            <w:r w:rsidR="003D1036" w:rsidRPr="008B113B">
              <w:rPr>
                <w:rStyle w:val="Hyperlink"/>
                <w:noProof/>
              </w:rPr>
              <w:t>Financial summary 2019-20</w:t>
            </w:r>
            <w:r w:rsidR="003D1036">
              <w:rPr>
                <w:noProof/>
                <w:webHidden/>
              </w:rPr>
              <w:tab/>
            </w:r>
            <w:r w:rsidR="003D1036">
              <w:rPr>
                <w:noProof/>
                <w:webHidden/>
              </w:rPr>
              <w:fldChar w:fldCharType="begin"/>
            </w:r>
            <w:r w:rsidR="003D1036">
              <w:rPr>
                <w:noProof/>
                <w:webHidden/>
              </w:rPr>
              <w:instrText xml:space="preserve"> PAGEREF _Toc49508939 \h </w:instrText>
            </w:r>
            <w:r w:rsidR="003D1036">
              <w:rPr>
                <w:noProof/>
                <w:webHidden/>
              </w:rPr>
            </w:r>
            <w:r w:rsidR="003D1036">
              <w:rPr>
                <w:noProof/>
                <w:webHidden/>
              </w:rPr>
              <w:fldChar w:fldCharType="separate"/>
            </w:r>
            <w:r>
              <w:rPr>
                <w:noProof/>
                <w:webHidden/>
              </w:rPr>
              <w:t>72</w:t>
            </w:r>
            <w:r w:rsidR="003D1036">
              <w:rPr>
                <w:noProof/>
                <w:webHidden/>
              </w:rPr>
              <w:fldChar w:fldCharType="end"/>
            </w:r>
          </w:hyperlink>
        </w:p>
        <w:p w14:paraId="45EE891F" w14:textId="1D544518" w:rsidR="003D1036" w:rsidRDefault="003B066D">
          <w:pPr>
            <w:pStyle w:val="TOC2"/>
            <w:tabs>
              <w:tab w:val="right" w:leader="dot" w:pos="9742"/>
            </w:tabs>
            <w:rPr>
              <w:noProof/>
            </w:rPr>
          </w:pPr>
          <w:hyperlink w:anchor="_Toc49508940" w:history="1">
            <w:r w:rsidR="003D1036" w:rsidRPr="008B113B">
              <w:rPr>
                <w:rStyle w:val="Hyperlink"/>
                <w:noProof/>
              </w:rPr>
              <w:t>Income</w:t>
            </w:r>
            <w:r w:rsidR="003D1036">
              <w:rPr>
                <w:noProof/>
                <w:webHidden/>
              </w:rPr>
              <w:tab/>
            </w:r>
            <w:r w:rsidR="003D1036">
              <w:rPr>
                <w:noProof/>
                <w:webHidden/>
              </w:rPr>
              <w:fldChar w:fldCharType="begin"/>
            </w:r>
            <w:r w:rsidR="003D1036">
              <w:rPr>
                <w:noProof/>
                <w:webHidden/>
              </w:rPr>
              <w:instrText xml:space="preserve"> PAGEREF _Toc49508940 \h </w:instrText>
            </w:r>
            <w:r w:rsidR="003D1036">
              <w:rPr>
                <w:noProof/>
                <w:webHidden/>
              </w:rPr>
            </w:r>
            <w:r w:rsidR="003D1036">
              <w:rPr>
                <w:noProof/>
                <w:webHidden/>
              </w:rPr>
              <w:fldChar w:fldCharType="separate"/>
            </w:r>
            <w:r>
              <w:rPr>
                <w:noProof/>
                <w:webHidden/>
              </w:rPr>
              <w:t>73</w:t>
            </w:r>
            <w:r w:rsidR="003D1036">
              <w:rPr>
                <w:noProof/>
                <w:webHidden/>
              </w:rPr>
              <w:fldChar w:fldCharType="end"/>
            </w:r>
          </w:hyperlink>
        </w:p>
        <w:p w14:paraId="6B0F3E41" w14:textId="1742F7BB" w:rsidR="003D1036" w:rsidRDefault="003B066D">
          <w:pPr>
            <w:pStyle w:val="TOC2"/>
            <w:tabs>
              <w:tab w:val="right" w:leader="dot" w:pos="9742"/>
            </w:tabs>
            <w:rPr>
              <w:noProof/>
            </w:rPr>
          </w:pPr>
          <w:hyperlink w:anchor="_Toc49508941" w:history="1">
            <w:r w:rsidR="003D1036" w:rsidRPr="008B113B">
              <w:rPr>
                <w:rStyle w:val="Hyperlink"/>
                <w:noProof/>
              </w:rPr>
              <w:t>Expenditure</w:t>
            </w:r>
            <w:r w:rsidR="003D1036">
              <w:rPr>
                <w:noProof/>
                <w:webHidden/>
              </w:rPr>
              <w:tab/>
            </w:r>
            <w:r w:rsidR="003D1036">
              <w:rPr>
                <w:noProof/>
                <w:webHidden/>
              </w:rPr>
              <w:fldChar w:fldCharType="begin"/>
            </w:r>
            <w:r w:rsidR="003D1036">
              <w:rPr>
                <w:noProof/>
                <w:webHidden/>
              </w:rPr>
              <w:instrText xml:space="preserve"> PAGEREF _Toc49508941 \h </w:instrText>
            </w:r>
            <w:r w:rsidR="003D1036">
              <w:rPr>
                <w:noProof/>
                <w:webHidden/>
              </w:rPr>
            </w:r>
            <w:r w:rsidR="003D1036">
              <w:rPr>
                <w:noProof/>
                <w:webHidden/>
              </w:rPr>
              <w:fldChar w:fldCharType="separate"/>
            </w:r>
            <w:r>
              <w:rPr>
                <w:noProof/>
                <w:webHidden/>
              </w:rPr>
              <w:t>74</w:t>
            </w:r>
            <w:r w:rsidR="003D1036">
              <w:rPr>
                <w:noProof/>
                <w:webHidden/>
              </w:rPr>
              <w:fldChar w:fldCharType="end"/>
            </w:r>
          </w:hyperlink>
        </w:p>
        <w:p w14:paraId="42D43534" w14:textId="041B517D" w:rsidR="003D1036" w:rsidRDefault="003B066D">
          <w:pPr>
            <w:pStyle w:val="TOC2"/>
            <w:tabs>
              <w:tab w:val="right" w:leader="dot" w:pos="9742"/>
            </w:tabs>
            <w:rPr>
              <w:noProof/>
            </w:rPr>
          </w:pPr>
          <w:hyperlink w:anchor="_Toc49508942" w:history="1">
            <w:r w:rsidR="003D1036" w:rsidRPr="008B113B">
              <w:rPr>
                <w:rStyle w:val="Hyperlink"/>
                <w:noProof/>
              </w:rPr>
              <w:t>Comparison to the 2019-20 Budget</w:t>
            </w:r>
            <w:r w:rsidR="003D1036">
              <w:rPr>
                <w:noProof/>
                <w:webHidden/>
              </w:rPr>
              <w:tab/>
            </w:r>
            <w:r w:rsidR="003D1036">
              <w:rPr>
                <w:noProof/>
                <w:webHidden/>
              </w:rPr>
              <w:fldChar w:fldCharType="begin"/>
            </w:r>
            <w:r w:rsidR="003D1036">
              <w:rPr>
                <w:noProof/>
                <w:webHidden/>
              </w:rPr>
              <w:instrText xml:space="preserve"> PAGEREF _Toc49508942 \h </w:instrText>
            </w:r>
            <w:r w:rsidR="003D1036">
              <w:rPr>
                <w:noProof/>
                <w:webHidden/>
              </w:rPr>
            </w:r>
            <w:r w:rsidR="003D1036">
              <w:rPr>
                <w:noProof/>
                <w:webHidden/>
              </w:rPr>
              <w:fldChar w:fldCharType="separate"/>
            </w:r>
            <w:r>
              <w:rPr>
                <w:noProof/>
                <w:webHidden/>
              </w:rPr>
              <w:t>75</w:t>
            </w:r>
            <w:r w:rsidR="003D1036">
              <w:rPr>
                <w:noProof/>
                <w:webHidden/>
              </w:rPr>
              <w:fldChar w:fldCharType="end"/>
            </w:r>
          </w:hyperlink>
        </w:p>
        <w:p w14:paraId="6209F3D0" w14:textId="73F0DC57" w:rsidR="003D1036" w:rsidRDefault="003B066D">
          <w:pPr>
            <w:pStyle w:val="TOC2"/>
            <w:tabs>
              <w:tab w:val="right" w:leader="dot" w:pos="9742"/>
            </w:tabs>
            <w:rPr>
              <w:noProof/>
            </w:rPr>
          </w:pPr>
          <w:hyperlink w:anchor="_Toc49508943" w:history="1">
            <w:r w:rsidR="003D1036" w:rsidRPr="008B113B">
              <w:rPr>
                <w:rStyle w:val="Hyperlink"/>
                <w:noProof/>
              </w:rPr>
              <w:t>Certification of financial statements</w:t>
            </w:r>
            <w:r w:rsidR="003D1036">
              <w:rPr>
                <w:noProof/>
                <w:webHidden/>
              </w:rPr>
              <w:tab/>
            </w:r>
            <w:r w:rsidR="003D1036">
              <w:rPr>
                <w:noProof/>
                <w:webHidden/>
              </w:rPr>
              <w:fldChar w:fldCharType="begin"/>
            </w:r>
            <w:r w:rsidR="003D1036">
              <w:rPr>
                <w:noProof/>
                <w:webHidden/>
              </w:rPr>
              <w:instrText xml:space="preserve"> PAGEREF _Toc49508943 \h </w:instrText>
            </w:r>
            <w:r w:rsidR="003D1036">
              <w:rPr>
                <w:noProof/>
                <w:webHidden/>
              </w:rPr>
            </w:r>
            <w:r w:rsidR="003D1036">
              <w:rPr>
                <w:noProof/>
                <w:webHidden/>
              </w:rPr>
              <w:fldChar w:fldCharType="separate"/>
            </w:r>
            <w:r>
              <w:rPr>
                <w:noProof/>
                <w:webHidden/>
              </w:rPr>
              <w:t>75</w:t>
            </w:r>
            <w:r w:rsidR="003D1036">
              <w:rPr>
                <w:noProof/>
                <w:webHidden/>
              </w:rPr>
              <w:fldChar w:fldCharType="end"/>
            </w:r>
          </w:hyperlink>
        </w:p>
        <w:p w14:paraId="32DB704B" w14:textId="4DAE2CE5" w:rsidR="003D1036" w:rsidRDefault="003B066D">
          <w:pPr>
            <w:pStyle w:val="TOC2"/>
            <w:tabs>
              <w:tab w:val="right" w:leader="dot" w:pos="9742"/>
            </w:tabs>
            <w:rPr>
              <w:noProof/>
            </w:rPr>
          </w:pPr>
          <w:hyperlink w:anchor="_Toc49508944" w:history="1">
            <w:r w:rsidR="003D1036" w:rsidRPr="008B113B">
              <w:rPr>
                <w:rStyle w:val="Hyperlink"/>
                <w:noProof/>
              </w:rPr>
              <w:t>Independent auditor’s report</w:t>
            </w:r>
            <w:r w:rsidR="003D1036">
              <w:rPr>
                <w:noProof/>
                <w:webHidden/>
              </w:rPr>
              <w:tab/>
            </w:r>
            <w:r w:rsidR="003D1036">
              <w:rPr>
                <w:noProof/>
                <w:webHidden/>
              </w:rPr>
              <w:fldChar w:fldCharType="begin"/>
            </w:r>
            <w:r w:rsidR="003D1036">
              <w:rPr>
                <w:noProof/>
                <w:webHidden/>
              </w:rPr>
              <w:instrText xml:space="preserve"> PAGEREF _Toc49508944 \h </w:instrText>
            </w:r>
            <w:r w:rsidR="003D1036">
              <w:rPr>
                <w:noProof/>
                <w:webHidden/>
              </w:rPr>
            </w:r>
            <w:r w:rsidR="003D1036">
              <w:rPr>
                <w:noProof/>
                <w:webHidden/>
              </w:rPr>
              <w:fldChar w:fldCharType="separate"/>
            </w:r>
            <w:r>
              <w:rPr>
                <w:noProof/>
                <w:webHidden/>
              </w:rPr>
              <w:t>75</w:t>
            </w:r>
            <w:r w:rsidR="003D1036">
              <w:rPr>
                <w:noProof/>
                <w:webHidden/>
              </w:rPr>
              <w:fldChar w:fldCharType="end"/>
            </w:r>
          </w:hyperlink>
        </w:p>
        <w:p w14:paraId="276FBF25" w14:textId="671C498E" w:rsidR="003D1036" w:rsidRDefault="003B066D">
          <w:pPr>
            <w:pStyle w:val="TOC1"/>
            <w:tabs>
              <w:tab w:val="right" w:leader="dot" w:pos="9742"/>
            </w:tabs>
            <w:rPr>
              <w:noProof/>
            </w:rPr>
          </w:pPr>
          <w:hyperlink w:anchor="_Toc49508945" w:history="1">
            <w:r w:rsidR="003D1036" w:rsidRPr="008A602B">
              <w:rPr>
                <w:rStyle w:val="Hyperlink"/>
                <w:noProof/>
              </w:rPr>
              <w:t>Appendix A: Compliance checklist</w:t>
            </w:r>
            <w:r w:rsidR="003D1036">
              <w:rPr>
                <w:noProof/>
                <w:webHidden/>
              </w:rPr>
              <w:tab/>
            </w:r>
            <w:r w:rsidR="003D1036">
              <w:rPr>
                <w:noProof/>
                <w:webHidden/>
              </w:rPr>
              <w:fldChar w:fldCharType="begin"/>
            </w:r>
            <w:r w:rsidR="003D1036">
              <w:rPr>
                <w:noProof/>
                <w:webHidden/>
              </w:rPr>
              <w:instrText xml:space="preserve"> PAGEREF _Toc49508945 \h </w:instrText>
            </w:r>
            <w:r w:rsidR="003D1036">
              <w:rPr>
                <w:noProof/>
                <w:webHidden/>
              </w:rPr>
            </w:r>
            <w:r w:rsidR="003D1036">
              <w:rPr>
                <w:noProof/>
                <w:webHidden/>
              </w:rPr>
              <w:fldChar w:fldCharType="separate"/>
            </w:r>
            <w:r>
              <w:rPr>
                <w:noProof/>
                <w:webHidden/>
              </w:rPr>
              <w:t>76</w:t>
            </w:r>
            <w:r w:rsidR="003D1036">
              <w:rPr>
                <w:noProof/>
                <w:webHidden/>
              </w:rPr>
              <w:fldChar w:fldCharType="end"/>
            </w:r>
          </w:hyperlink>
        </w:p>
        <w:p w14:paraId="0504B660" w14:textId="57D95A5E" w:rsidR="003D1036" w:rsidRDefault="003B066D">
          <w:pPr>
            <w:pStyle w:val="TOC1"/>
            <w:tabs>
              <w:tab w:val="right" w:leader="dot" w:pos="9742"/>
            </w:tabs>
            <w:rPr>
              <w:noProof/>
            </w:rPr>
          </w:pPr>
          <w:hyperlink w:anchor="_Toc49508946" w:history="1">
            <w:r w:rsidR="003D1036" w:rsidRPr="008B113B">
              <w:rPr>
                <w:rStyle w:val="Hyperlink"/>
                <w:noProof/>
              </w:rPr>
              <w:t>Appendix B: Glossary of terms</w:t>
            </w:r>
            <w:r w:rsidR="003D1036">
              <w:rPr>
                <w:noProof/>
                <w:webHidden/>
              </w:rPr>
              <w:tab/>
            </w:r>
            <w:r w:rsidR="003D1036">
              <w:rPr>
                <w:noProof/>
                <w:webHidden/>
              </w:rPr>
              <w:fldChar w:fldCharType="begin"/>
            </w:r>
            <w:r w:rsidR="003D1036">
              <w:rPr>
                <w:noProof/>
                <w:webHidden/>
              </w:rPr>
              <w:instrText xml:space="preserve"> PAGEREF _Toc49508946 \h </w:instrText>
            </w:r>
            <w:r w:rsidR="003D1036">
              <w:rPr>
                <w:noProof/>
                <w:webHidden/>
              </w:rPr>
            </w:r>
            <w:r w:rsidR="003D1036">
              <w:rPr>
                <w:noProof/>
                <w:webHidden/>
              </w:rPr>
              <w:fldChar w:fldCharType="separate"/>
            </w:r>
            <w:r>
              <w:rPr>
                <w:noProof/>
                <w:webHidden/>
              </w:rPr>
              <w:t>78</w:t>
            </w:r>
            <w:r w:rsidR="003D1036">
              <w:rPr>
                <w:noProof/>
                <w:webHidden/>
              </w:rPr>
              <w:fldChar w:fldCharType="end"/>
            </w:r>
          </w:hyperlink>
        </w:p>
        <w:p w14:paraId="20D542BD" w14:textId="0E43CDE8" w:rsidR="003D1036" w:rsidRDefault="003B066D">
          <w:pPr>
            <w:pStyle w:val="TOC1"/>
            <w:tabs>
              <w:tab w:val="right" w:leader="dot" w:pos="9742"/>
            </w:tabs>
            <w:rPr>
              <w:noProof/>
            </w:rPr>
          </w:pPr>
          <w:hyperlink w:anchor="_Toc49508947" w:history="1">
            <w:r w:rsidR="003D1036" w:rsidRPr="008B113B">
              <w:rPr>
                <w:rStyle w:val="Hyperlink"/>
                <w:noProof/>
              </w:rPr>
              <w:t>Appendix C: Organisational structure</w:t>
            </w:r>
            <w:r w:rsidR="003D1036">
              <w:rPr>
                <w:noProof/>
                <w:webHidden/>
              </w:rPr>
              <w:tab/>
            </w:r>
            <w:r w:rsidR="003D1036">
              <w:rPr>
                <w:noProof/>
                <w:webHidden/>
              </w:rPr>
              <w:fldChar w:fldCharType="begin"/>
            </w:r>
            <w:r w:rsidR="003D1036">
              <w:rPr>
                <w:noProof/>
                <w:webHidden/>
              </w:rPr>
              <w:instrText xml:space="preserve"> PAGEREF _Toc49508947 \h </w:instrText>
            </w:r>
            <w:r w:rsidR="003D1036">
              <w:rPr>
                <w:noProof/>
                <w:webHidden/>
              </w:rPr>
            </w:r>
            <w:r w:rsidR="003D1036">
              <w:rPr>
                <w:noProof/>
                <w:webHidden/>
              </w:rPr>
              <w:fldChar w:fldCharType="separate"/>
            </w:r>
            <w:r>
              <w:rPr>
                <w:noProof/>
                <w:webHidden/>
              </w:rPr>
              <w:t>79</w:t>
            </w:r>
            <w:r w:rsidR="003D1036">
              <w:rPr>
                <w:noProof/>
                <w:webHidden/>
              </w:rPr>
              <w:fldChar w:fldCharType="end"/>
            </w:r>
          </w:hyperlink>
        </w:p>
        <w:p w14:paraId="306E198A" w14:textId="3EC07074" w:rsidR="003D1036" w:rsidRDefault="003B066D">
          <w:pPr>
            <w:pStyle w:val="TOC1"/>
            <w:tabs>
              <w:tab w:val="right" w:leader="dot" w:pos="9742"/>
            </w:tabs>
            <w:rPr>
              <w:noProof/>
            </w:rPr>
          </w:pPr>
          <w:hyperlink w:anchor="_Toc49508948" w:history="1">
            <w:r w:rsidR="003D1036" w:rsidRPr="00250534">
              <w:rPr>
                <w:rStyle w:val="Hyperlink"/>
                <w:noProof/>
              </w:rPr>
              <w:t>Appendix D:</w:t>
            </w:r>
            <w:r w:rsidR="003D1036" w:rsidRPr="008B113B">
              <w:rPr>
                <w:rStyle w:val="Hyperlink"/>
                <w:noProof/>
              </w:rPr>
              <w:t xml:space="preserve"> Certified financial statements</w:t>
            </w:r>
            <w:r w:rsidR="003D1036">
              <w:rPr>
                <w:noProof/>
                <w:webHidden/>
              </w:rPr>
              <w:tab/>
            </w:r>
            <w:r w:rsidR="003D1036">
              <w:rPr>
                <w:noProof/>
                <w:webHidden/>
              </w:rPr>
              <w:fldChar w:fldCharType="begin"/>
            </w:r>
            <w:r w:rsidR="003D1036">
              <w:rPr>
                <w:noProof/>
                <w:webHidden/>
              </w:rPr>
              <w:instrText xml:space="preserve"> PAGEREF _Toc49508948 \h </w:instrText>
            </w:r>
            <w:r w:rsidR="003D1036">
              <w:rPr>
                <w:noProof/>
                <w:webHidden/>
              </w:rPr>
            </w:r>
            <w:r w:rsidR="003D1036">
              <w:rPr>
                <w:noProof/>
                <w:webHidden/>
              </w:rPr>
              <w:fldChar w:fldCharType="separate"/>
            </w:r>
            <w:r>
              <w:rPr>
                <w:noProof/>
                <w:webHidden/>
              </w:rPr>
              <w:t>80</w:t>
            </w:r>
            <w:r w:rsidR="003D1036">
              <w:rPr>
                <w:noProof/>
                <w:webHidden/>
              </w:rPr>
              <w:fldChar w:fldCharType="end"/>
            </w:r>
          </w:hyperlink>
        </w:p>
        <w:p w14:paraId="3EE09A11" w14:textId="6852B6CD" w:rsidR="003D1036" w:rsidRDefault="003D1036">
          <w:r>
            <w:rPr>
              <w:b/>
              <w:bCs/>
              <w:noProof/>
            </w:rPr>
            <w:fldChar w:fldCharType="end"/>
          </w:r>
        </w:p>
      </w:sdtContent>
    </w:sdt>
    <w:p w14:paraId="335F28A4" w14:textId="77777777" w:rsidR="006F5840" w:rsidRPr="00A21D7D" w:rsidRDefault="006F5840">
      <w:pPr>
        <w:rPr>
          <w:rFonts w:cs="Arial"/>
        </w:rPr>
      </w:pPr>
      <w:r w:rsidRPr="00A21D7D">
        <w:rPr>
          <w:rFonts w:cs="Arial"/>
        </w:rPr>
        <w:br w:type="page"/>
      </w:r>
    </w:p>
    <w:p w14:paraId="64A6F5CA" w14:textId="77777777" w:rsidR="006F5840" w:rsidRPr="00A21D7D" w:rsidRDefault="006F5840" w:rsidP="006860E4">
      <w:pPr>
        <w:pStyle w:val="Heading1"/>
      </w:pPr>
      <w:bookmarkStart w:id="2" w:name="_Toc49508850"/>
      <w:r w:rsidRPr="00A21D7D">
        <w:lastRenderedPageBreak/>
        <w:t>Letter of compliance</w:t>
      </w:r>
      <w:bookmarkEnd w:id="2"/>
      <w:r w:rsidRPr="00A21D7D">
        <w:t xml:space="preserve"> </w:t>
      </w:r>
    </w:p>
    <w:p w14:paraId="74303AE5" w14:textId="1F60A28B" w:rsidR="006F5840" w:rsidRPr="00A21D7D" w:rsidRDefault="006F5840" w:rsidP="006F5840">
      <w:pPr>
        <w:rPr>
          <w:rFonts w:eastAsia="Times New Roman" w:cs="Arial"/>
          <w:i/>
          <w:lang w:eastAsia="en-AU"/>
        </w:rPr>
      </w:pPr>
      <w:r w:rsidRPr="00A21D7D">
        <w:rPr>
          <w:rFonts w:eastAsia="Times New Roman" w:cs="Arial"/>
          <w:lang w:eastAsia="en-AU"/>
        </w:rPr>
        <w:t>3</w:t>
      </w:r>
      <w:r w:rsidR="006220A4" w:rsidRPr="00A21D7D">
        <w:rPr>
          <w:rFonts w:eastAsia="Times New Roman" w:cs="Arial"/>
          <w:lang w:eastAsia="en-AU"/>
        </w:rPr>
        <w:t>1</w:t>
      </w:r>
      <w:r w:rsidRPr="00A21D7D">
        <w:rPr>
          <w:rFonts w:eastAsia="Times New Roman" w:cs="Arial"/>
          <w:lang w:eastAsia="en-AU"/>
        </w:rPr>
        <w:t xml:space="preserve"> August 2020</w:t>
      </w:r>
    </w:p>
    <w:p w14:paraId="79504E56" w14:textId="77777777" w:rsidR="006F5840" w:rsidRPr="00A21D7D" w:rsidRDefault="006F5840" w:rsidP="006F5840">
      <w:pPr>
        <w:rPr>
          <w:rFonts w:eastAsia="Times New Roman" w:cs="Arial"/>
          <w:lang w:eastAsia="en-AU"/>
        </w:rPr>
      </w:pPr>
    </w:p>
    <w:p w14:paraId="18DA2FDB" w14:textId="77777777" w:rsidR="006F5840" w:rsidRPr="00A21D7D" w:rsidRDefault="006F5840" w:rsidP="006F5840">
      <w:pPr>
        <w:spacing w:after="0"/>
        <w:rPr>
          <w:rFonts w:eastAsia="Times New Roman" w:cs="Arial"/>
          <w:i/>
          <w:lang w:eastAsia="en-AU"/>
        </w:rPr>
      </w:pPr>
      <w:r w:rsidRPr="00A21D7D">
        <w:rPr>
          <w:rFonts w:eastAsia="Times New Roman" w:cs="Arial"/>
          <w:lang w:eastAsia="en-AU"/>
        </w:rPr>
        <w:t>The Honourable Yvette D’Ath MP</w:t>
      </w:r>
    </w:p>
    <w:p w14:paraId="65DB6DC3" w14:textId="77777777" w:rsidR="007B56F8" w:rsidRDefault="006F5840" w:rsidP="006F5840">
      <w:pPr>
        <w:spacing w:after="0"/>
        <w:rPr>
          <w:rFonts w:eastAsia="Times New Roman" w:cs="Arial"/>
          <w:lang w:eastAsia="en-AU"/>
        </w:rPr>
      </w:pPr>
      <w:r w:rsidRPr="00A21D7D">
        <w:rPr>
          <w:rFonts w:eastAsia="Times New Roman" w:cs="Arial"/>
          <w:lang w:eastAsia="en-AU"/>
        </w:rPr>
        <w:t>Attorney-Ge</w:t>
      </w:r>
      <w:r w:rsidR="008A602B">
        <w:rPr>
          <w:rFonts w:eastAsia="Times New Roman" w:cs="Arial"/>
          <w:lang w:eastAsia="en-AU"/>
        </w:rPr>
        <w:t>neral and Minister for Justice</w:t>
      </w:r>
    </w:p>
    <w:p w14:paraId="056AACB8" w14:textId="2CFDC1CA" w:rsidR="006F5840" w:rsidRPr="00A21D7D" w:rsidRDefault="007B56F8" w:rsidP="006F5840">
      <w:pPr>
        <w:spacing w:after="0"/>
        <w:rPr>
          <w:rFonts w:eastAsia="Times New Roman" w:cs="Arial"/>
          <w:i/>
          <w:lang w:eastAsia="en-AU"/>
        </w:rPr>
      </w:pPr>
      <w:r>
        <w:rPr>
          <w:rFonts w:eastAsia="Times New Roman" w:cs="Arial"/>
          <w:lang w:eastAsia="en-AU"/>
        </w:rPr>
        <w:t>Leader of the House</w:t>
      </w:r>
      <w:r w:rsidR="008A602B">
        <w:rPr>
          <w:rFonts w:eastAsia="Times New Roman" w:cs="Arial"/>
          <w:lang w:eastAsia="en-AU"/>
        </w:rPr>
        <w:t xml:space="preserve"> </w:t>
      </w:r>
    </w:p>
    <w:p w14:paraId="6870BF3F" w14:textId="77777777" w:rsidR="006F5840" w:rsidRPr="00A21D7D" w:rsidRDefault="006F5840" w:rsidP="006F5840">
      <w:pPr>
        <w:spacing w:after="0"/>
        <w:rPr>
          <w:rFonts w:eastAsia="Times New Roman" w:cs="Arial"/>
          <w:i/>
          <w:lang w:eastAsia="en-AU"/>
        </w:rPr>
      </w:pPr>
      <w:r w:rsidRPr="00A21D7D">
        <w:rPr>
          <w:rFonts w:eastAsia="Times New Roman" w:cs="Arial"/>
          <w:lang w:eastAsia="en-AU"/>
        </w:rPr>
        <w:t>1 William Street</w:t>
      </w:r>
    </w:p>
    <w:p w14:paraId="4865BAC3" w14:textId="77777777" w:rsidR="006F5840" w:rsidRPr="00A21D7D" w:rsidRDefault="006F5840" w:rsidP="006F5840">
      <w:pPr>
        <w:spacing w:after="0"/>
        <w:rPr>
          <w:rFonts w:eastAsia="Times New Roman" w:cs="Arial"/>
          <w:i/>
          <w:lang w:eastAsia="en-AU"/>
        </w:rPr>
      </w:pPr>
      <w:r w:rsidRPr="00A21D7D">
        <w:rPr>
          <w:rFonts w:eastAsia="Times New Roman" w:cs="Arial"/>
          <w:lang w:eastAsia="en-AU"/>
        </w:rPr>
        <w:t>Brisbane Qld 4000</w:t>
      </w:r>
    </w:p>
    <w:p w14:paraId="01BAB3BE" w14:textId="77777777" w:rsidR="006F5840" w:rsidRPr="00A21D7D" w:rsidRDefault="006F5840" w:rsidP="006F5840">
      <w:pPr>
        <w:rPr>
          <w:rFonts w:eastAsia="Times New Roman" w:cs="Arial"/>
          <w:lang w:eastAsia="en-AU"/>
        </w:rPr>
      </w:pPr>
    </w:p>
    <w:p w14:paraId="728E3EE3" w14:textId="2E13CFC9" w:rsidR="006F5840" w:rsidRPr="00A21D7D" w:rsidRDefault="006F5840" w:rsidP="006F5840">
      <w:pPr>
        <w:rPr>
          <w:rFonts w:eastAsia="Times New Roman" w:cs="Arial"/>
          <w:i/>
          <w:lang w:eastAsia="en-AU"/>
        </w:rPr>
      </w:pPr>
      <w:r w:rsidRPr="00A21D7D">
        <w:rPr>
          <w:rFonts w:eastAsia="Times New Roman" w:cs="Arial"/>
          <w:lang w:eastAsia="en-AU"/>
        </w:rPr>
        <w:t>Dear Attorney-General</w:t>
      </w:r>
      <w:r w:rsidR="007560AF">
        <w:rPr>
          <w:rFonts w:eastAsia="Times New Roman" w:cs="Arial"/>
          <w:lang w:eastAsia="en-AU"/>
        </w:rPr>
        <w:t>,</w:t>
      </w:r>
    </w:p>
    <w:p w14:paraId="560F7384" w14:textId="77777777" w:rsidR="006F5840" w:rsidRPr="00A21D7D" w:rsidRDefault="006F5840" w:rsidP="006F5840">
      <w:pPr>
        <w:rPr>
          <w:rFonts w:eastAsia="Times New Roman" w:cs="Arial"/>
          <w:i/>
          <w:lang w:eastAsia="en-AU"/>
        </w:rPr>
      </w:pPr>
      <w:r w:rsidRPr="00A21D7D">
        <w:rPr>
          <w:rFonts w:eastAsia="Times New Roman" w:cs="Arial"/>
          <w:lang w:eastAsia="en-AU"/>
        </w:rPr>
        <w:t xml:space="preserve">I am pleased to present the Annual Report 2019-2020 and financial statements for </w:t>
      </w:r>
      <w:bookmarkStart w:id="3" w:name="OLE_LINK40"/>
      <w:bookmarkStart w:id="4" w:name="OLE_LINK41"/>
      <w:r w:rsidRPr="00A21D7D">
        <w:rPr>
          <w:rFonts w:eastAsia="Times New Roman" w:cs="Arial"/>
          <w:lang w:eastAsia="en-AU"/>
        </w:rPr>
        <w:t>the Queensland Human Rights Commission.</w:t>
      </w:r>
      <w:bookmarkEnd w:id="3"/>
      <w:bookmarkEnd w:id="4"/>
    </w:p>
    <w:p w14:paraId="29CF72D6" w14:textId="77777777" w:rsidR="006F5840" w:rsidRPr="00A21D7D" w:rsidRDefault="006F5840" w:rsidP="006F5840">
      <w:pPr>
        <w:rPr>
          <w:rFonts w:eastAsia="Times New Roman" w:cs="Arial"/>
          <w:i/>
          <w:lang w:eastAsia="en-AU"/>
        </w:rPr>
      </w:pPr>
      <w:r w:rsidRPr="00A21D7D">
        <w:rPr>
          <w:rFonts w:eastAsia="Times New Roman" w:cs="Arial"/>
          <w:lang w:eastAsia="en-AU"/>
        </w:rPr>
        <w:t>I certify that this Annual Report complies with:</w:t>
      </w:r>
    </w:p>
    <w:p w14:paraId="295C209C" w14:textId="09C1EF5B" w:rsidR="006F5840" w:rsidRPr="002E0EBF" w:rsidRDefault="006F5840" w:rsidP="00227095">
      <w:pPr>
        <w:pStyle w:val="ListParagraph"/>
        <w:numPr>
          <w:ilvl w:val="0"/>
          <w:numId w:val="30"/>
        </w:numPr>
        <w:rPr>
          <w:rFonts w:eastAsia="Times New Roman"/>
          <w:i/>
          <w:lang w:eastAsia="en-AU"/>
        </w:rPr>
      </w:pPr>
      <w:r w:rsidRPr="00A21D7D">
        <w:rPr>
          <w:rFonts w:eastAsia="Times New Roman"/>
          <w:lang w:eastAsia="en-AU"/>
        </w:rPr>
        <w:t xml:space="preserve">the prescribed requirements of the </w:t>
      </w:r>
      <w:r w:rsidRPr="008A602B">
        <w:rPr>
          <w:rFonts w:eastAsia="Times New Roman"/>
          <w:i/>
          <w:lang w:eastAsia="en-AU"/>
        </w:rPr>
        <w:t>Financial Accountability Act 2009</w:t>
      </w:r>
      <w:r w:rsidRPr="00A21D7D">
        <w:rPr>
          <w:rFonts w:eastAsia="Times New Roman"/>
          <w:lang w:eastAsia="en-AU"/>
        </w:rPr>
        <w:t xml:space="preserve"> and the </w:t>
      </w:r>
      <w:r w:rsidRPr="008A602B">
        <w:rPr>
          <w:rFonts w:eastAsia="Times New Roman"/>
          <w:i/>
          <w:lang w:eastAsia="en-AU"/>
        </w:rPr>
        <w:t>Financial and Per</w:t>
      </w:r>
      <w:r w:rsidR="003905AE" w:rsidRPr="008A602B">
        <w:rPr>
          <w:rFonts w:eastAsia="Times New Roman"/>
          <w:i/>
          <w:lang w:eastAsia="en-AU"/>
        </w:rPr>
        <w:t>formance Management Standard 201</w:t>
      </w:r>
      <w:r w:rsidRPr="008A602B">
        <w:rPr>
          <w:rFonts w:eastAsia="Times New Roman"/>
          <w:i/>
          <w:lang w:eastAsia="en-AU"/>
        </w:rPr>
        <w:t>9</w:t>
      </w:r>
      <w:r w:rsidRPr="00A21D7D">
        <w:rPr>
          <w:rFonts w:eastAsia="Times New Roman"/>
          <w:lang w:eastAsia="en-AU"/>
        </w:rPr>
        <w:t>, and</w:t>
      </w:r>
      <w:r w:rsidR="006220A4" w:rsidRPr="00A21D7D">
        <w:rPr>
          <w:rFonts w:eastAsia="Times New Roman"/>
          <w:lang w:eastAsia="en-AU"/>
        </w:rPr>
        <w:t xml:space="preserve"> </w:t>
      </w:r>
      <w:r w:rsidRPr="00A21D7D">
        <w:rPr>
          <w:rFonts w:eastAsia="Times New Roman"/>
          <w:lang w:eastAsia="en-AU"/>
        </w:rPr>
        <w:t>the detailed requirements set out in the Annual report requirements for Queensland Government agencies.</w:t>
      </w:r>
    </w:p>
    <w:p w14:paraId="4E5BDABC" w14:textId="77777777" w:rsidR="006F5840" w:rsidRPr="00A21D7D" w:rsidRDefault="006F5840" w:rsidP="006F5840">
      <w:pPr>
        <w:rPr>
          <w:rFonts w:eastAsia="Times New Roman" w:cs="Arial"/>
          <w:i/>
          <w:lang w:eastAsia="en-AU"/>
        </w:rPr>
      </w:pPr>
      <w:r w:rsidRPr="00A21D7D">
        <w:rPr>
          <w:rFonts w:eastAsia="Times New Roman" w:cs="Arial"/>
          <w:lang w:eastAsia="en-AU"/>
        </w:rPr>
        <w:t>A checklist outlining the annual reporting requirements can be found at Appendix A of this annual report or accessed at www.qhrc.qld.gov.au.</w:t>
      </w:r>
    </w:p>
    <w:p w14:paraId="34E344E0" w14:textId="77777777" w:rsidR="006F5840" w:rsidRPr="00A21D7D" w:rsidRDefault="006F5840" w:rsidP="006F5840">
      <w:pPr>
        <w:rPr>
          <w:rFonts w:eastAsia="Times New Roman" w:cs="Arial"/>
          <w:i/>
          <w:lang w:eastAsia="en-AU"/>
        </w:rPr>
      </w:pPr>
      <w:r w:rsidRPr="00A21D7D">
        <w:rPr>
          <w:rFonts w:eastAsia="Times New Roman" w:cs="Arial"/>
          <w:lang w:eastAsia="en-AU"/>
        </w:rPr>
        <w:t>Yours sincerely</w:t>
      </w:r>
    </w:p>
    <w:p w14:paraId="0DD61268" w14:textId="77777777" w:rsidR="006F5840" w:rsidRPr="00A21D7D" w:rsidRDefault="006F5840" w:rsidP="006F5840">
      <w:pPr>
        <w:rPr>
          <w:rFonts w:eastAsia="Times New Roman" w:cs="Arial"/>
          <w:i/>
          <w:lang w:eastAsia="en-AU"/>
        </w:rPr>
      </w:pPr>
      <w:r w:rsidRPr="00A21D7D">
        <w:rPr>
          <w:rFonts w:eastAsia="Times New Roman" w:cs="Arial"/>
          <w:i/>
          <w:noProof/>
          <w:lang w:eastAsia="en-AU"/>
        </w:rPr>
        <w:drawing>
          <wp:inline distT="0" distB="0" distL="0" distR="0" wp14:anchorId="551B5A97" wp14:editId="440A5B51">
            <wp:extent cx="1652159" cy="664522"/>
            <wp:effectExtent l="0" t="0" r="5715" b="2540"/>
            <wp:docPr id="18" name="Picture 18" descr="Signature of Scott McDougall, Queensland Human RIghts Commissioner" title="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ignature_SM.png"/>
                    <pic:cNvPicPr/>
                  </pic:nvPicPr>
                  <pic:blipFill>
                    <a:blip r:embed="rId14">
                      <a:extLst>
                        <a:ext uri="{28A0092B-C50C-407E-A947-70E740481C1C}">
                          <a14:useLocalDpi xmlns:a14="http://schemas.microsoft.com/office/drawing/2010/main" val="0"/>
                        </a:ext>
                      </a:extLst>
                    </a:blip>
                    <a:stretch>
                      <a:fillRect/>
                    </a:stretch>
                  </pic:blipFill>
                  <pic:spPr>
                    <a:xfrm>
                      <a:off x="0" y="0"/>
                      <a:ext cx="1652159" cy="664522"/>
                    </a:xfrm>
                    <a:prstGeom prst="rect">
                      <a:avLst/>
                    </a:prstGeom>
                  </pic:spPr>
                </pic:pic>
              </a:graphicData>
            </a:graphic>
          </wp:inline>
        </w:drawing>
      </w:r>
    </w:p>
    <w:p w14:paraId="688CC8C4" w14:textId="77777777" w:rsidR="006F5840" w:rsidRPr="00A21D7D" w:rsidRDefault="006F5840" w:rsidP="006F5840">
      <w:pPr>
        <w:spacing w:after="0"/>
        <w:rPr>
          <w:rFonts w:eastAsia="Times New Roman" w:cs="Arial"/>
          <w:b/>
          <w:i/>
          <w:lang w:eastAsia="en-AU"/>
        </w:rPr>
      </w:pPr>
      <w:r w:rsidRPr="00A21D7D">
        <w:rPr>
          <w:rFonts w:eastAsia="Times New Roman" w:cs="Arial"/>
          <w:b/>
          <w:lang w:eastAsia="en-AU"/>
        </w:rPr>
        <w:t>Scott McDougall</w:t>
      </w:r>
    </w:p>
    <w:p w14:paraId="7BFEEEC0" w14:textId="77777777" w:rsidR="006F5840" w:rsidRPr="00A21D7D" w:rsidRDefault="006F5840" w:rsidP="006F5840">
      <w:pPr>
        <w:spacing w:after="0"/>
        <w:rPr>
          <w:rFonts w:eastAsia="Times New Roman" w:cs="Arial"/>
          <w:b/>
          <w:lang w:eastAsia="en-AU"/>
        </w:rPr>
      </w:pPr>
      <w:r w:rsidRPr="00A21D7D">
        <w:rPr>
          <w:rFonts w:eastAsia="Times New Roman" w:cs="Arial"/>
          <w:b/>
          <w:lang w:eastAsia="en-AU"/>
        </w:rPr>
        <w:t>Commissioner</w:t>
      </w:r>
    </w:p>
    <w:p w14:paraId="7E1A3CFF" w14:textId="77777777" w:rsidR="006F5840" w:rsidRPr="00A21D7D" w:rsidRDefault="006F5840" w:rsidP="006F5840">
      <w:pPr>
        <w:spacing w:after="0"/>
        <w:rPr>
          <w:rFonts w:eastAsia="Times New Roman" w:cs="Arial"/>
          <w:b/>
          <w:i/>
          <w:lang w:eastAsia="en-AU"/>
        </w:rPr>
      </w:pPr>
      <w:r w:rsidRPr="00A21D7D">
        <w:rPr>
          <w:rFonts w:eastAsia="Times New Roman" w:cs="Arial"/>
          <w:b/>
          <w:lang w:eastAsia="en-AU"/>
        </w:rPr>
        <w:t>Queensland Human Rights Commission</w:t>
      </w:r>
    </w:p>
    <w:p w14:paraId="4FA30F94" w14:textId="77777777" w:rsidR="006F5840" w:rsidRPr="00A21D7D" w:rsidRDefault="006F5840">
      <w:pPr>
        <w:rPr>
          <w:rFonts w:cs="Arial"/>
        </w:rPr>
      </w:pPr>
    </w:p>
    <w:p w14:paraId="3D996DDE" w14:textId="77777777" w:rsidR="006F5840" w:rsidRPr="00A21D7D" w:rsidRDefault="006F5840">
      <w:pPr>
        <w:rPr>
          <w:rFonts w:cs="Arial"/>
        </w:rPr>
      </w:pPr>
      <w:r w:rsidRPr="00A21D7D">
        <w:rPr>
          <w:rFonts w:cs="Arial"/>
        </w:rPr>
        <w:br w:type="page"/>
      </w:r>
    </w:p>
    <w:p w14:paraId="4218B3F7" w14:textId="77777777" w:rsidR="006F5840" w:rsidRPr="00A21D7D" w:rsidRDefault="006F5840" w:rsidP="006860E4">
      <w:pPr>
        <w:pStyle w:val="Heading1"/>
      </w:pPr>
      <w:bookmarkStart w:id="5" w:name="_Toc49508851"/>
      <w:r w:rsidRPr="006860E4">
        <w:lastRenderedPageBreak/>
        <w:t>Commissioner’s foreword</w:t>
      </w:r>
      <w:bookmarkEnd w:id="5"/>
      <w:r w:rsidRPr="00A21D7D">
        <w:t xml:space="preserve"> </w:t>
      </w:r>
    </w:p>
    <w:p w14:paraId="57F8C425" w14:textId="77777777" w:rsidR="007A7861" w:rsidRDefault="007A7861" w:rsidP="007A7861">
      <w:pPr>
        <w:spacing w:line="240" w:lineRule="auto"/>
      </w:pPr>
      <w:r>
        <w:t>On 1 July 2019 the Commission commenced its new role as the Queensland Human Rights Commission.</w:t>
      </w:r>
    </w:p>
    <w:p w14:paraId="7D89AB8F" w14:textId="77777777" w:rsidR="007A7861" w:rsidRDefault="007A7861" w:rsidP="007A7861">
      <w:pPr>
        <w:spacing w:line="240" w:lineRule="auto"/>
      </w:pPr>
      <w:r>
        <w:t xml:space="preserve">The shift from a body focussed on the prevention and elimination of unfair discrimination to one concerned with the broader objectives of respecting, protecting and promoting human rights in Queensland, is of profound significance. Twelve months on from our transition from the Anti-Discrimination Commission Queensland, I am pleased to report that the shift has been a successful one. </w:t>
      </w:r>
    </w:p>
    <w:p w14:paraId="25879146" w14:textId="08B4DABF" w:rsidR="007A7861" w:rsidRPr="002A5E29" w:rsidRDefault="002A5E29" w:rsidP="002A5E29">
      <w:pPr>
        <w:rPr>
          <w:i/>
        </w:rPr>
      </w:pPr>
      <w:r w:rsidRPr="002A5E29">
        <w:rPr>
          <w:i/>
        </w:rPr>
        <w:t>Our n</w:t>
      </w:r>
      <w:r w:rsidR="007A7861" w:rsidRPr="002A5E29">
        <w:rPr>
          <w:i/>
        </w:rPr>
        <w:t>ew strategic direction</w:t>
      </w:r>
    </w:p>
    <w:p w14:paraId="5CDCFBE0" w14:textId="77777777" w:rsidR="007A7861" w:rsidRDefault="007A7861" w:rsidP="007A7861">
      <w:pPr>
        <w:spacing w:line="240" w:lineRule="auto"/>
      </w:pPr>
      <w:r>
        <w:t>In October the Commission staff from across all four of our offices came together for strategic planning and to identify the core values that would underpin the Commission’s performance of its new functions.  We established a new vision - of a Queensland where human rights are real for everyone.</w:t>
      </w:r>
    </w:p>
    <w:p w14:paraId="24B7AB3A" w14:textId="352543C0" w:rsidR="007A7861" w:rsidRDefault="007A7861" w:rsidP="007A7861">
      <w:pPr>
        <w:spacing w:line="240" w:lineRule="auto"/>
      </w:pPr>
      <w:r>
        <w:t>As the year progressed we made steady progress toward our four key strategic objectives to guide the Commission’s work over a four year period:</w:t>
      </w:r>
    </w:p>
    <w:p w14:paraId="3530844C" w14:textId="77777777" w:rsidR="007A7861" w:rsidRPr="00A72450" w:rsidRDefault="007A7861" w:rsidP="00A72450">
      <w:pPr>
        <w:rPr>
          <w:rStyle w:val="Strong"/>
        </w:rPr>
      </w:pPr>
      <w:r w:rsidRPr="00A72450">
        <w:rPr>
          <w:rStyle w:val="Strong"/>
        </w:rPr>
        <w:t>Supporting justice and self-determination for Aboriginal peoples and Torres Strait Islander peoples</w:t>
      </w:r>
    </w:p>
    <w:p w14:paraId="2150223D" w14:textId="2AB03A83" w:rsidR="007A7861" w:rsidRDefault="007A7861" w:rsidP="007A7861">
      <w:pPr>
        <w:spacing w:line="240" w:lineRule="auto"/>
      </w:pPr>
      <w:r w:rsidRPr="003B5EA0">
        <w:rPr>
          <w:rFonts w:cs="Arial"/>
        </w:rPr>
        <w:t xml:space="preserve">We established an Aboriginal peoples and Torres Strait Islander peoples’ Advisory Group comprised of highly respected leaders throughout Queensland. </w:t>
      </w:r>
      <w:r w:rsidRPr="0093414C">
        <w:rPr>
          <w:rFonts w:cs="Arial"/>
          <w:color w:val="050505"/>
          <w:shd w:val="clear" w:color="auto" w:fill="FFFFFF"/>
        </w:rPr>
        <w:t>Chaired by Uncle Mick Gooda and made up of members from the Torres Strait to southwest Queensland, the group is able to share with us the experiences of a wide range of First Nations communities, to support our Aboriginal and Torres Strait Islander Unit within the Commission, and to help guide our work to make it as real and relevant to First Nations Queenslanders as possible.</w:t>
      </w:r>
      <w:r w:rsidR="00A57CB2">
        <w:rPr>
          <w:rFonts w:cs="Arial"/>
          <w:color w:val="050505"/>
          <w:shd w:val="clear" w:color="auto" w:fill="FFFFFF"/>
        </w:rPr>
        <w:t xml:space="preserve"> </w:t>
      </w:r>
      <w:r>
        <w:t xml:space="preserve">We also started work on a project to ensure a culturally safe commission experience for all First Nations people connecting with the Commission. </w:t>
      </w:r>
    </w:p>
    <w:p w14:paraId="1A3E54B4" w14:textId="77777777" w:rsidR="007A7861" w:rsidRPr="002A5E29" w:rsidRDefault="007A7861" w:rsidP="002A5E29">
      <w:pPr>
        <w:rPr>
          <w:b/>
        </w:rPr>
      </w:pPr>
      <w:r w:rsidRPr="002A5E29">
        <w:rPr>
          <w:b/>
        </w:rPr>
        <w:t xml:space="preserve">Working toward </w:t>
      </w:r>
      <w:r w:rsidRPr="00A72450">
        <w:rPr>
          <w:rStyle w:val="Strong"/>
        </w:rPr>
        <w:t>safer</w:t>
      </w:r>
      <w:r w:rsidRPr="002A5E29">
        <w:rPr>
          <w:b/>
        </w:rPr>
        <w:t xml:space="preserve"> communities</w:t>
      </w:r>
    </w:p>
    <w:p w14:paraId="64444F5C" w14:textId="77777777" w:rsidR="007A7861" w:rsidRDefault="007A7861" w:rsidP="007A7861">
      <w:r>
        <w:t>Following the tragedy of the 2019 Christchurch massacre and the increasing reports of racist abuse and harassment of Chinese and Asian communities during the coronavirus pandemic in the first half of this year – as well as the experiences of many of Queensland’s diverse ethnic and religious communities over many years – a community leaders’ Advisory Group was formed to collaborate with the Commission to consider ways for strengthening protections against hate crimes.</w:t>
      </w:r>
    </w:p>
    <w:p w14:paraId="2BA571B0" w14:textId="77777777" w:rsidR="007A7861" w:rsidRPr="002A5E29" w:rsidRDefault="007A7861" w:rsidP="002A5E29">
      <w:pPr>
        <w:rPr>
          <w:b/>
        </w:rPr>
      </w:pPr>
      <w:r w:rsidRPr="002A5E29">
        <w:rPr>
          <w:b/>
        </w:rPr>
        <w:t xml:space="preserve">Promoting </w:t>
      </w:r>
      <w:r w:rsidRPr="00A72450">
        <w:rPr>
          <w:rStyle w:val="Strong"/>
        </w:rPr>
        <w:t>access</w:t>
      </w:r>
      <w:r w:rsidRPr="002A5E29">
        <w:rPr>
          <w:b/>
        </w:rPr>
        <w:t xml:space="preserve"> and inclusion</w:t>
      </w:r>
    </w:p>
    <w:p w14:paraId="05072AAF" w14:textId="6F121556" w:rsidR="007A7861" w:rsidRDefault="007A7861" w:rsidP="007A7861">
      <w:pPr>
        <w:spacing w:line="240" w:lineRule="auto"/>
        <w:rPr>
          <w:shd w:val="clear" w:color="auto" w:fill="FFFFFF"/>
        </w:rPr>
      </w:pPr>
      <w:r>
        <w:t xml:space="preserve">We launched the Trans@School resources, developed </w:t>
      </w:r>
      <w:r w:rsidRPr="0093414C">
        <w:rPr>
          <w:shd w:val="clear" w:color="auto" w:fill="FFFFFF"/>
        </w:rPr>
        <w:t xml:space="preserve">in partnership with the LGBTI Legal Service and Legal Aid Queensland, in consultation with schools, students, and parents of trans and gender diverse young people. </w:t>
      </w:r>
      <w:r w:rsidR="008A602B">
        <w:rPr>
          <w:shd w:val="clear" w:color="auto" w:fill="FFFFFF"/>
        </w:rPr>
        <w:t xml:space="preserve">The </w:t>
      </w:r>
      <w:r w:rsidRPr="0093414C">
        <w:rPr>
          <w:shd w:val="clear" w:color="auto" w:fill="FFFFFF"/>
        </w:rPr>
        <w:t xml:space="preserve">resources are aimed at helping schools, students, and families understand the obligations of schools under the Anti-Discrimination Act and the legal aspects of the issues impacting on trans and gender diverse students. Feedback on the resources has been overwhelmingly positive and it is our hope that they lead to better </w:t>
      </w:r>
      <w:r w:rsidRPr="0093414C">
        <w:rPr>
          <w:shd w:val="clear" w:color="auto" w:fill="FFFFFF"/>
        </w:rPr>
        <w:lastRenderedPageBreak/>
        <w:t>outcomes for st</w:t>
      </w:r>
      <w:r w:rsidR="008A602B">
        <w:rPr>
          <w:shd w:val="clear" w:color="auto" w:fill="FFFFFF"/>
        </w:rPr>
        <w:t>udents and a safe and supportive</w:t>
      </w:r>
      <w:r w:rsidRPr="0093414C">
        <w:rPr>
          <w:shd w:val="clear" w:color="auto" w:fill="FFFFFF"/>
        </w:rPr>
        <w:t xml:space="preserve"> learning environment for the whole school body.</w:t>
      </w:r>
    </w:p>
    <w:p w14:paraId="7EFD2275" w14:textId="77777777" w:rsidR="007A7861" w:rsidRPr="002A5E29" w:rsidRDefault="007A7861" w:rsidP="002A5E29">
      <w:pPr>
        <w:rPr>
          <w:b/>
        </w:rPr>
      </w:pPr>
      <w:r w:rsidRPr="002A5E29">
        <w:rPr>
          <w:b/>
        </w:rPr>
        <w:t xml:space="preserve">Increasing institutional </w:t>
      </w:r>
      <w:r w:rsidRPr="00A72450">
        <w:rPr>
          <w:rStyle w:val="Strong"/>
        </w:rPr>
        <w:t>transparency</w:t>
      </w:r>
    </w:p>
    <w:p w14:paraId="501FED1F" w14:textId="77777777" w:rsidR="007A7861" w:rsidRDefault="007A7861" w:rsidP="007A7861">
      <w:pPr>
        <w:spacing w:line="240" w:lineRule="auto"/>
      </w:pPr>
      <w:r>
        <w:t>Youth Justice and the issue of children being detained in Queensland watch houses remains an issue of ongoing concern for the Commission. This year we continued our work in this space through submissions to policy and legislative reviews at state and federal levels, advocating for raising the age of criminal responsibility and securing a statutory review of the use of body-worn cameras in youth detention centres.</w:t>
      </w:r>
    </w:p>
    <w:p w14:paraId="73D89999" w14:textId="77777777" w:rsidR="007A7861" w:rsidRPr="008673D1" w:rsidRDefault="007A7861" w:rsidP="007A7861">
      <w:pPr>
        <w:spacing w:line="240" w:lineRule="auto"/>
      </w:pPr>
      <w:r>
        <w:t xml:space="preserve">We also began work on resources for young people in detention, in collaboration with a range of community stakeholders, to explain their rights while they are detained.  </w:t>
      </w:r>
    </w:p>
    <w:p w14:paraId="57896C88" w14:textId="77777777" w:rsidR="007A7861" w:rsidRPr="002A5E29" w:rsidRDefault="007A7861" w:rsidP="002A5E29">
      <w:pPr>
        <w:rPr>
          <w:i/>
        </w:rPr>
      </w:pPr>
      <w:r w:rsidRPr="002A5E29">
        <w:rPr>
          <w:i/>
        </w:rPr>
        <w:t>Snapshot of achievements</w:t>
      </w:r>
    </w:p>
    <w:p w14:paraId="4E157140" w14:textId="77777777" w:rsidR="007A7861" w:rsidRDefault="007A7861" w:rsidP="007A7861">
      <w:pPr>
        <w:spacing w:line="240" w:lineRule="auto"/>
      </w:pPr>
      <w:r>
        <w:t>The Commission is very proud of our achievements in this year of transition, including:</w:t>
      </w:r>
    </w:p>
    <w:p w14:paraId="27A687E8" w14:textId="77777777" w:rsidR="007A7861" w:rsidRDefault="007A7861" w:rsidP="00227095">
      <w:pPr>
        <w:pStyle w:val="ListParagraph"/>
        <w:numPr>
          <w:ilvl w:val="0"/>
          <w:numId w:val="30"/>
        </w:numPr>
      </w:pPr>
      <w:r>
        <w:t>Responding to 3947 enquiries (an increase of just under 50% from last year’s 2637);</w:t>
      </w:r>
    </w:p>
    <w:p w14:paraId="3AB89916" w14:textId="464E1EB4" w:rsidR="007A7861" w:rsidRDefault="007A7861" w:rsidP="00227095">
      <w:pPr>
        <w:pStyle w:val="ListParagraph"/>
        <w:numPr>
          <w:ilvl w:val="0"/>
          <w:numId w:val="30"/>
        </w:numPr>
      </w:pPr>
      <w:r>
        <w:t>Handling 1093 received complaints (a</w:t>
      </w:r>
      <w:r w:rsidR="003D1036">
        <w:t xml:space="preserve"> </w:t>
      </w:r>
      <w:r>
        <w:t>13% increase from last year’s 961, and a 52% increase from 2016-17's 716 complaints);</w:t>
      </w:r>
    </w:p>
    <w:p w14:paraId="56D5B79C" w14:textId="77777777" w:rsidR="007A7861" w:rsidRDefault="007A7861" w:rsidP="00227095">
      <w:pPr>
        <w:pStyle w:val="ListParagraph"/>
        <w:numPr>
          <w:ilvl w:val="0"/>
          <w:numId w:val="30"/>
        </w:numPr>
      </w:pPr>
      <w:r>
        <w:t>Delivering 376 training sessions to almost 7000 participants across business, government and the community sector (a 35% increase in sessions and 55% increase in participants from last year), and an additional 36,000 enrolments in our online training modules;</w:t>
      </w:r>
    </w:p>
    <w:p w14:paraId="5FF1B49C" w14:textId="7E4A780E" w:rsidR="007A7861" w:rsidRDefault="007A7861" w:rsidP="00227095">
      <w:pPr>
        <w:pStyle w:val="ListParagraph"/>
        <w:numPr>
          <w:ilvl w:val="0"/>
          <w:numId w:val="30"/>
        </w:numPr>
      </w:pPr>
      <w:r>
        <w:t xml:space="preserve">Making 21 public submissions to influence government policy and </w:t>
      </w:r>
      <w:r w:rsidR="00A57CB2">
        <w:t>legislation;</w:t>
      </w:r>
      <w:r>
        <w:t xml:space="preserve"> </w:t>
      </w:r>
      <w:r w:rsidR="00A57CB2">
        <w:t>and</w:t>
      </w:r>
    </w:p>
    <w:p w14:paraId="56AAB5D0" w14:textId="77777777" w:rsidR="007A7861" w:rsidRDefault="007A7861" w:rsidP="00227095">
      <w:pPr>
        <w:pStyle w:val="ListParagraph"/>
        <w:numPr>
          <w:ilvl w:val="0"/>
          <w:numId w:val="30"/>
        </w:numPr>
      </w:pPr>
      <w:r>
        <w:t xml:space="preserve">Conducting our first intervention involving the interpretation of the </w:t>
      </w:r>
      <w:r w:rsidRPr="002E0EBF">
        <w:rPr>
          <w:i/>
        </w:rPr>
        <w:t>Human Rights Act 2019</w:t>
      </w:r>
      <w:r>
        <w:t xml:space="preserve"> in Supreme Court.</w:t>
      </w:r>
    </w:p>
    <w:p w14:paraId="6E0DD10A" w14:textId="77777777" w:rsidR="007A7861" w:rsidRPr="002A5E29" w:rsidRDefault="007A7861" w:rsidP="002A5E29">
      <w:pPr>
        <w:rPr>
          <w:i/>
        </w:rPr>
      </w:pPr>
      <w:r w:rsidRPr="002A5E29">
        <w:rPr>
          <w:i/>
        </w:rPr>
        <w:t>Building a human rights culture</w:t>
      </w:r>
    </w:p>
    <w:p w14:paraId="23195CBA" w14:textId="52485FA5" w:rsidR="007A7861" w:rsidRDefault="007A7861" w:rsidP="007A7861">
      <w:pPr>
        <w:spacing w:line="240" w:lineRule="auto"/>
      </w:pPr>
      <w:r>
        <w:t>Queensland’s public sector has responded well to the challenge of developing a human rights culture</w:t>
      </w:r>
      <w:r w:rsidR="008A602B">
        <w:t>,</w:t>
      </w:r>
      <w:r>
        <w:t xml:space="preserve"> reflected through improved decision making that is compatible with human rights. Over 18,000 participants have completed our online training for public entities about their obligations under the Human Rights Act, and </w:t>
      </w:r>
      <w:r w:rsidR="00BB36AB">
        <w:t xml:space="preserve">the </w:t>
      </w:r>
      <w:r w:rsidR="00BB36AB" w:rsidRPr="00A21D7D">
        <w:rPr>
          <w:rFonts w:cs="Arial"/>
        </w:rPr>
        <w:t xml:space="preserve">greatest increase in demand </w:t>
      </w:r>
      <w:r w:rsidR="00BB36AB">
        <w:rPr>
          <w:rFonts w:cs="Arial"/>
        </w:rPr>
        <w:t xml:space="preserve">for our training during 2019-20 </w:t>
      </w:r>
      <w:r w:rsidR="00BB36AB" w:rsidRPr="00A21D7D">
        <w:rPr>
          <w:rFonts w:cs="Arial"/>
        </w:rPr>
        <w:t>came from the public sector</w:t>
      </w:r>
      <w:r w:rsidR="00BB36AB">
        <w:rPr>
          <w:rFonts w:cs="Arial"/>
        </w:rPr>
        <w:t xml:space="preserve">. </w:t>
      </w:r>
      <w:r w:rsidR="00BB36AB">
        <w:t>W</w:t>
      </w:r>
      <w:r>
        <w:t xml:space="preserve">e are </w:t>
      </w:r>
      <w:r w:rsidR="00BB36AB">
        <w:t xml:space="preserve">also </w:t>
      </w:r>
      <w:r>
        <w:t xml:space="preserve">aware of a number of entities who have developed their own staff training about the Act or ensured their teams have access to our resources. </w:t>
      </w:r>
    </w:p>
    <w:p w14:paraId="1F071B39" w14:textId="77777777" w:rsidR="007A7861" w:rsidRPr="002A5E29" w:rsidRDefault="007A7861" w:rsidP="002A5E29">
      <w:pPr>
        <w:rPr>
          <w:i/>
        </w:rPr>
      </w:pPr>
      <w:r w:rsidRPr="002A5E29">
        <w:rPr>
          <w:i/>
        </w:rPr>
        <w:t>Influencing legislation and policy</w:t>
      </w:r>
    </w:p>
    <w:p w14:paraId="6EAC1067" w14:textId="47CB7937" w:rsidR="007A7861" w:rsidRDefault="007A7861" w:rsidP="007A7861">
      <w:pPr>
        <w:spacing w:line="240" w:lineRule="auto"/>
      </w:pPr>
      <w:r>
        <w:t>An import</w:t>
      </w:r>
      <w:r w:rsidR="002A5E29">
        <w:t>ant component of last year’s re</w:t>
      </w:r>
      <w:r>
        <w:t>structure of the Commission was the establishment of a L</w:t>
      </w:r>
      <w:r w:rsidR="006503DE">
        <w:t xml:space="preserve">egal Research and Policy Team. </w:t>
      </w:r>
      <w:r>
        <w:t>With additional funding received from the 2019 Budget, the Commission was able to bolster our capacity by the addition of two Principal Lawyer</w:t>
      </w:r>
      <w:r w:rsidR="006503DE">
        <w:t xml:space="preserve">s and a Senior Policy Officer. </w:t>
      </w:r>
      <w:r>
        <w:t>This has resulted in a significant increased output of high quality submissions to parliamentary committees and other reform processes.</w:t>
      </w:r>
    </w:p>
    <w:p w14:paraId="59FE302F" w14:textId="77777777" w:rsidR="007A7861" w:rsidRPr="002A5E29" w:rsidRDefault="007A7861" w:rsidP="002A5E29">
      <w:pPr>
        <w:rPr>
          <w:i/>
        </w:rPr>
      </w:pPr>
      <w:r w:rsidRPr="002A5E29">
        <w:rPr>
          <w:i/>
        </w:rPr>
        <w:lastRenderedPageBreak/>
        <w:t>Human rights complaints</w:t>
      </w:r>
    </w:p>
    <w:p w14:paraId="078B6327" w14:textId="77777777" w:rsidR="007A7861" w:rsidRPr="00FC4074" w:rsidRDefault="007A7861" w:rsidP="007A7861">
      <w:pPr>
        <w:spacing w:line="240" w:lineRule="auto"/>
      </w:pPr>
      <w:r>
        <w:t>A unique feature of Queensland’s human rights framework is the availability of an alternative dispute resolution via the Commission’s complaint and conciliation services.  A person who is aggrieved by an alleged unlawful limitation of a human right by a public entity may make a complaint to the Commission.  This avenue of redress has already delivered several successful outcomes to complainants and shows promising signs of positively incentivising public entities to act compatibly with human rights.</w:t>
      </w:r>
    </w:p>
    <w:p w14:paraId="09678E1D" w14:textId="77777777" w:rsidR="007A7861" w:rsidRPr="002A5E29" w:rsidRDefault="007A7861" w:rsidP="002A5E29">
      <w:pPr>
        <w:rPr>
          <w:i/>
        </w:rPr>
      </w:pPr>
      <w:r w:rsidRPr="002A5E29">
        <w:rPr>
          <w:i/>
        </w:rPr>
        <w:t>Impact of COVID-19</w:t>
      </w:r>
    </w:p>
    <w:p w14:paraId="64C391D3" w14:textId="65D34F2D" w:rsidR="007A7861" w:rsidRDefault="007A7861" w:rsidP="007A7861">
      <w:pPr>
        <w:spacing w:line="240" w:lineRule="auto"/>
      </w:pPr>
      <w:r>
        <w:t>The implementation of a human rights</w:t>
      </w:r>
      <w:r w:rsidRPr="003E19E6">
        <w:t xml:space="preserve"> </w:t>
      </w:r>
      <w:r>
        <w:t>protection regime in Queensland might be considered an arduous task at the best of</w:t>
      </w:r>
      <w:r w:rsidR="008A602B">
        <w:t xml:space="preserve"> times.  The advent of the COVID</w:t>
      </w:r>
      <w:r>
        <w:t xml:space="preserve">-19 pandemic certainly added to both the complexity and importance of upholding human rights.  </w:t>
      </w:r>
    </w:p>
    <w:p w14:paraId="3DBE3AB2" w14:textId="77777777" w:rsidR="007A7861" w:rsidRDefault="007A7861" w:rsidP="007A7861">
      <w:pPr>
        <w:spacing w:line="240" w:lineRule="auto"/>
      </w:pPr>
      <w:r>
        <w:t xml:space="preserve">Indeed, there is never a more important time to remain resolute in upholding fundamental democratic principles, human rights and the rule of law, than amidst a global health and economic crisis.  To this end, the </w:t>
      </w:r>
      <w:r w:rsidRPr="00D1452E">
        <w:rPr>
          <w:i/>
        </w:rPr>
        <w:t>Human Rights Act 2019</w:t>
      </w:r>
      <w:r>
        <w:t xml:space="preserve"> has played a key role in ensuring that personal freedoms and liberties have not been arbitrarily or disproportionately restricted as a result of the necessary and decisive action of Queensland’s public health officials.</w:t>
      </w:r>
    </w:p>
    <w:p w14:paraId="45DE9FD9" w14:textId="2ADE3043" w:rsidR="007A7861" w:rsidRPr="003E19E6" w:rsidRDefault="007A7861" w:rsidP="007A7861">
      <w:pPr>
        <w:spacing w:line="240" w:lineRule="auto"/>
      </w:pPr>
      <w:r>
        <w:t>Creating a human rights culture can be challenging for all concerned. The Commission is fortunate to have dedicated</w:t>
      </w:r>
      <w:r w:rsidR="008A602B">
        <w:t>,</w:t>
      </w:r>
      <w:r>
        <w:t xml:space="preserve"> professional staff, who through their words and deeds, demonstrate their commitment to freedom, respect, equality and dignity.</w:t>
      </w:r>
    </w:p>
    <w:p w14:paraId="6D06BF82" w14:textId="77777777" w:rsidR="00075C64" w:rsidRPr="00A21D7D" w:rsidRDefault="00075C64" w:rsidP="00075C64">
      <w:pPr>
        <w:rPr>
          <w:rFonts w:eastAsia="Times New Roman" w:cs="Arial"/>
          <w:i/>
          <w:lang w:eastAsia="en-AU"/>
        </w:rPr>
      </w:pPr>
      <w:r w:rsidRPr="00A21D7D">
        <w:rPr>
          <w:rFonts w:eastAsia="Times New Roman" w:cs="Arial"/>
          <w:i/>
          <w:noProof/>
          <w:lang w:eastAsia="en-AU"/>
        </w:rPr>
        <w:drawing>
          <wp:inline distT="0" distB="0" distL="0" distR="0" wp14:anchorId="68D56F02" wp14:editId="7E444DFF">
            <wp:extent cx="1652159" cy="664522"/>
            <wp:effectExtent l="0" t="0" r="5715" b="2540"/>
            <wp:docPr id="4" name="Picture 4" descr="Signature of Scott McDougall, Queensland Human Rights Commissioner "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ignature_SM.png"/>
                    <pic:cNvPicPr/>
                  </pic:nvPicPr>
                  <pic:blipFill>
                    <a:blip r:embed="rId14">
                      <a:extLst>
                        <a:ext uri="{28A0092B-C50C-407E-A947-70E740481C1C}">
                          <a14:useLocalDpi xmlns:a14="http://schemas.microsoft.com/office/drawing/2010/main" val="0"/>
                        </a:ext>
                      </a:extLst>
                    </a:blip>
                    <a:stretch>
                      <a:fillRect/>
                    </a:stretch>
                  </pic:blipFill>
                  <pic:spPr>
                    <a:xfrm>
                      <a:off x="0" y="0"/>
                      <a:ext cx="1652159" cy="664522"/>
                    </a:xfrm>
                    <a:prstGeom prst="rect">
                      <a:avLst/>
                    </a:prstGeom>
                  </pic:spPr>
                </pic:pic>
              </a:graphicData>
            </a:graphic>
          </wp:inline>
        </w:drawing>
      </w:r>
    </w:p>
    <w:p w14:paraId="36EDDC68" w14:textId="77777777" w:rsidR="00075C64" w:rsidRPr="00A21D7D" w:rsidRDefault="00075C64" w:rsidP="00075C64">
      <w:pPr>
        <w:spacing w:after="0"/>
        <w:rPr>
          <w:rFonts w:eastAsia="Times New Roman" w:cs="Arial"/>
          <w:b/>
          <w:i/>
          <w:lang w:eastAsia="en-AU"/>
        </w:rPr>
      </w:pPr>
      <w:r w:rsidRPr="00A21D7D">
        <w:rPr>
          <w:rFonts w:eastAsia="Times New Roman" w:cs="Arial"/>
          <w:b/>
          <w:lang w:eastAsia="en-AU"/>
        </w:rPr>
        <w:t>Scott McDougall</w:t>
      </w:r>
    </w:p>
    <w:p w14:paraId="5E2D5720" w14:textId="77777777" w:rsidR="00075C64" w:rsidRPr="00A21D7D" w:rsidRDefault="00075C64" w:rsidP="00075C64">
      <w:pPr>
        <w:spacing w:after="0"/>
        <w:rPr>
          <w:rFonts w:eastAsia="Times New Roman" w:cs="Arial"/>
          <w:b/>
          <w:lang w:eastAsia="en-AU"/>
        </w:rPr>
      </w:pPr>
      <w:r w:rsidRPr="00A21D7D">
        <w:rPr>
          <w:rFonts w:eastAsia="Times New Roman" w:cs="Arial"/>
          <w:b/>
          <w:lang w:eastAsia="en-AU"/>
        </w:rPr>
        <w:t>Commissioner</w:t>
      </w:r>
    </w:p>
    <w:p w14:paraId="0C743C32" w14:textId="77777777" w:rsidR="00075C64" w:rsidRPr="00A21D7D" w:rsidRDefault="00075C64" w:rsidP="00075C64">
      <w:pPr>
        <w:spacing w:after="0"/>
        <w:rPr>
          <w:rFonts w:eastAsia="Times New Roman" w:cs="Arial"/>
          <w:b/>
          <w:i/>
          <w:lang w:eastAsia="en-AU"/>
        </w:rPr>
      </w:pPr>
      <w:r w:rsidRPr="00A21D7D">
        <w:rPr>
          <w:rFonts w:eastAsia="Times New Roman" w:cs="Arial"/>
          <w:b/>
          <w:lang w:eastAsia="en-AU"/>
        </w:rPr>
        <w:t>Queensland Human Rights Commission</w:t>
      </w:r>
    </w:p>
    <w:p w14:paraId="4ECE718A" w14:textId="4B1C0832" w:rsidR="006F5840" w:rsidRPr="00A21D7D" w:rsidRDefault="006F5840" w:rsidP="002E0EBF">
      <w:pPr>
        <w:pStyle w:val="Heading1"/>
      </w:pPr>
      <w:r w:rsidRPr="00A21D7D">
        <w:rPr>
          <w:rFonts w:cs="Arial"/>
        </w:rPr>
        <w:br w:type="page"/>
      </w:r>
      <w:bookmarkStart w:id="6" w:name="_Toc49508852"/>
      <w:r w:rsidRPr="00A21D7D">
        <w:lastRenderedPageBreak/>
        <w:t>About the Queensland Human Rights Commission</w:t>
      </w:r>
      <w:bookmarkEnd w:id="6"/>
      <w:r w:rsidRPr="00A21D7D">
        <w:t xml:space="preserve"> </w:t>
      </w:r>
    </w:p>
    <w:p w14:paraId="6EC71D0C" w14:textId="209EAF26" w:rsidR="00894CC2" w:rsidRPr="00A21D7D" w:rsidRDefault="006860E4" w:rsidP="00894CC2">
      <w:pPr>
        <w:rPr>
          <w:rFonts w:cs="Arial"/>
        </w:rPr>
      </w:pPr>
      <w:r>
        <w:rPr>
          <w:rFonts w:cs="Arial"/>
        </w:rPr>
        <w:t xml:space="preserve">The </w:t>
      </w:r>
      <w:r w:rsidR="00894CC2" w:rsidRPr="00A21D7D">
        <w:rPr>
          <w:rFonts w:cs="Arial"/>
        </w:rPr>
        <w:t xml:space="preserve">Queensland Human Rights Commission (QHRC) is an independent statutory body established under the </w:t>
      </w:r>
      <w:r w:rsidR="00FC6699" w:rsidRPr="00FC6699">
        <w:rPr>
          <w:rFonts w:cs="Arial"/>
          <w:i/>
        </w:rPr>
        <w:t>Anti-Discrimination Act 1991</w:t>
      </w:r>
      <w:r w:rsidR="00894CC2" w:rsidRPr="00A21D7D">
        <w:rPr>
          <w:rFonts w:cs="Arial"/>
          <w:i/>
        </w:rPr>
        <w:t>.</w:t>
      </w:r>
      <w:r w:rsidR="00894CC2" w:rsidRPr="00A21D7D">
        <w:rPr>
          <w:rFonts w:cs="Arial"/>
        </w:rPr>
        <w:t xml:space="preserve"> We are accountable to Parliament through the Attorney-General and Minister for Justice. Our operational objectives are directly aligned to the objectives of our governing legislation. Through our work we contribute to the whole-of government objectives of ‘be a responsive government’ and ‘keep communities safe’, while also delivering on our independent objectives</w:t>
      </w:r>
      <w:r w:rsidR="008A602B">
        <w:rPr>
          <w:rFonts w:cs="Arial"/>
        </w:rPr>
        <w:t>.</w:t>
      </w:r>
    </w:p>
    <w:p w14:paraId="38062DF0" w14:textId="77777777" w:rsidR="00894CC2" w:rsidRPr="00A21D7D" w:rsidRDefault="00894CC2" w:rsidP="006860E4">
      <w:pPr>
        <w:pStyle w:val="Heading2"/>
      </w:pPr>
      <w:bookmarkStart w:id="7" w:name="_Toc49508853"/>
      <w:r w:rsidRPr="00A21D7D">
        <w:t>Our functions</w:t>
      </w:r>
      <w:bookmarkEnd w:id="7"/>
    </w:p>
    <w:p w14:paraId="601D2887" w14:textId="0290E75E" w:rsidR="00894CC2" w:rsidRPr="00A21D7D" w:rsidRDefault="007A7861" w:rsidP="00894CC2">
      <w:pPr>
        <w:rPr>
          <w:rFonts w:cs="Arial"/>
        </w:rPr>
      </w:pPr>
      <w:r>
        <w:rPr>
          <w:rFonts w:cs="Arial"/>
        </w:rPr>
        <w:t>We have</w:t>
      </w:r>
      <w:r w:rsidR="00894CC2" w:rsidRPr="00A21D7D">
        <w:rPr>
          <w:rFonts w:cs="Arial"/>
        </w:rPr>
        <w:t xml:space="preserve"> legislated functions under the </w:t>
      </w:r>
      <w:r w:rsidR="00FC6699" w:rsidRPr="00FC6699">
        <w:rPr>
          <w:rFonts w:cs="Arial"/>
          <w:i/>
        </w:rPr>
        <w:t>Anti-Discrimination Act 1991</w:t>
      </w:r>
      <w:r w:rsidR="00894CC2" w:rsidRPr="00A21D7D">
        <w:rPr>
          <w:rFonts w:cs="Arial"/>
          <w:i/>
        </w:rPr>
        <w:t xml:space="preserve"> </w:t>
      </w:r>
      <w:r w:rsidR="00894CC2" w:rsidRPr="00A21D7D">
        <w:rPr>
          <w:rFonts w:cs="Arial"/>
        </w:rPr>
        <w:t>and</w:t>
      </w:r>
      <w:r w:rsidR="00894CC2" w:rsidRPr="00A21D7D">
        <w:rPr>
          <w:rFonts w:cs="Arial"/>
          <w:i/>
        </w:rPr>
        <w:t xml:space="preserve"> </w:t>
      </w:r>
      <w:r w:rsidR="00FC6699" w:rsidRPr="00FC6699">
        <w:rPr>
          <w:rFonts w:cs="Arial"/>
          <w:i/>
        </w:rPr>
        <w:t>Human Rights Act 2019</w:t>
      </w:r>
      <w:r w:rsidR="00894CC2" w:rsidRPr="00A21D7D">
        <w:rPr>
          <w:rFonts w:cs="Arial"/>
          <w:i/>
        </w:rPr>
        <w:t xml:space="preserve">. </w:t>
      </w:r>
      <w:r>
        <w:rPr>
          <w:rFonts w:cs="Arial"/>
        </w:rPr>
        <w:t>Our p</w:t>
      </w:r>
      <w:r w:rsidR="00894CC2" w:rsidRPr="00A21D7D">
        <w:rPr>
          <w:rFonts w:cs="Arial"/>
        </w:rPr>
        <w:t>rimary functions under each Act are</w:t>
      </w:r>
      <w:r w:rsidR="00894CC2" w:rsidRPr="00A21D7D">
        <w:rPr>
          <w:rFonts w:cs="Arial"/>
          <w:i/>
        </w:rPr>
        <w:t xml:space="preserve"> </w:t>
      </w:r>
      <w:r w:rsidR="00894CC2" w:rsidRPr="00A21D7D">
        <w:rPr>
          <w:rFonts w:cs="Arial"/>
        </w:rPr>
        <w:t>as follows</w:t>
      </w:r>
      <w:r w:rsidR="00894CC2" w:rsidRPr="00A21D7D">
        <w:rPr>
          <w:rFonts w:cs="Arial"/>
          <w:i/>
        </w:rPr>
        <w:t>.</w:t>
      </w:r>
      <w:r w:rsidR="00894CC2" w:rsidRPr="00A21D7D">
        <w:rPr>
          <w:rFonts w:cs="Arial"/>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3969"/>
      </w:tblGrid>
      <w:tr w:rsidR="00894CC2" w:rsidRPr="002E0EBF" w14:paraId="356341AF" w14:textId="77777777" w:rsidTr="003D1036">
        <w:tc>
          <w:tcPr>
            <w:tcW w:w="4248" w:type="dxa"/>
          </w:tcPr>
          <w:p w14:paraId="59A8A2CD" w14:textId="04ED2734" w:rsidR="00894CC2" w:rsidRPr="002E0EBF" w:rsidRDefault="00FC6699" w:rsidP="002E0EBF">
            <w:pPr>
              <w:pStyle w:val="TableTextHeading"/>
              <w:rPr>
                <w:i/>
              </w:rPr>
            </w:pPr>
            <w:r w:rsidRPr="002E0EBF">
              <w:rPr>
                <w:i/>
              </w:rPr>
              <w:t>Anti-Discrimination Act 1991</w:t>
            </w:r>
          </w:p>
        </w:tc>
        <w:tc>
          <w:tcPr>
            <w:tcW w:w="3969" w:type="dxa"/>
          </w:tcPr>
          <w:p w14:paraId="357A718F" w14:textId="6C9C9E07" w:rsidR="00894CC2" w:rsidRPr="002E0EBF" w:rsidRDefault="00FC6699" w:rsidP="002E0EBF">
            <w:pPr>
              <w:pStyle w:val="TableTextHeading"/>
              <w:rPr>
                <w:i/>
              </w:rPr>
            </w:pPr>
            <w:r w:rsidRPr="002E0EBF">
              <w:rPr>
                <w:i/>
              </w:rPr>
              <w:t>Human Rights Act 2019</w:t>
            </w:r>
          </w:p>
        </w:tc>
      </w:tr>
      <w:tr w:rsidR="00894CC2" w:rsidRPr="00A21D7D" w14:paraId="0CD5CFD8" w14:textId="77777777" w:rsidTr="003D1036">
        <w:tc>
          <w:tcPr>
            <w:tcW w:w="4248" w:type="dxa"/>
          </w:tcPr>
          <w:p w14:paraId="3BDB9C09" w14:textId="77777777" w:rsidR="00894CC2" w:rsidRPr="00A21D7D" w:rsidRDefault="00894CC2" w:rsidP="00227095">
            <w:pPr>
              <w:pStyle w:val="TableTextBody"/>
            </w:pPr>
            <w:r w:rsidRPr="00A21D7D">
              <w:t xml:space="preserve">Inquire into complaints and, where possible, to effect conciliation and carry out investigations relating to contraventions of the Act. </w:t>
            </w:r>
          </w:p>
        </w:tc>
        <w:tc>
          <w:tcPr>
            <w:tcW w:w="3969" w:type="dxa"/>
          </w:tcPr>
          <w:p w14:paraId="72FDC75A" w14:textId="222A4D67" w:rsidR="00894CC2" w:rsidRPr="00A21D7D" w:rsidRDefault="00894CC2" w:rsidP="00227095">
            <w:pPr>
              <w:pStyle w:val="TableTextBody"/>
            </w:pPr>
            <w:r w:rsidRPr="00A21D7D">
              <w:rPr>
                <w:color w:val="000000"/>
              </w:rPr>
              <w:t>Deal with human rights complaints</w:t>
            </w:r>
            <w:r w:rsidR="006C056C">
              <w:rPr>
                <w:color w:val="000000"/>
              </w:rPr>
              <w:t>.</w:t>
            </w:r>
          </w:p>
        </w:tc>
      </w:tr>
      <w:tr w:rsidR="00894CC2" w:rsidRPr="00A21D7D" w14:paraId="0518B493" w14:textId="77777777" w:rsidTr="003D1036">
        <w:tc>
          <w:tcPr>
            <w:tcW w:w="4248" w:type="dxa"/>
          </w:tcPr>
          <w:p w14:paraId="01934699" w14:textId="30C3B249" w:rsidR="00894CC2" w:rsidRPr="00A21D7D" w:rsidRDefault="00894CC2" w:rsidP="00227095">
            <w:pPr>
              <w:pStyle w:val="TableTextBody"/>
            </w:pPr>
            <w:r w:rsidRPr="00A21D7D">
              <w:t>Undertake research and educational programs to promote the purposes of the Act, and to coordinate programs undertaken by other people or authorities on behalf of the State</w:t>
            </w:r>
            <w:r w:rsidR="006C056C">
              <w:t>.</w:t>
            </w:r>
          </w:p>
        </w:tc>
        <w:tc>
          <w:tcPr>
            <w:tcW w:w="3969" w:type="dxa"/>
          </w:tcPr>
          <w:p w14:paraId="0A0806BF" w14:textId="125FE423" w:rsidR="00894CC2" w:rsidRPr="00A21D7D" w:rsidRDefault="00894CC2" w:rsidP="00227095">
            <w:pPr>
              <w:pStyle w:val="TableTextBody"/>
              <w:rPr>
                <w:color w:val="000000"/>
              </w:rPr>
            </w:pPr>
            <w:r w:rsidRPr="00A21D7D">
              <w:rPr>
                <w:color w:val="000000"/>
              </w:rPr>
              <w:t>Provide education about human rights and this Act</w:t>
            </w:r>
            <w:r w:rsidR="006C056C">
              <w:rPr>
                <w:color w:val="000000"/>
              </w:rPr>
              <w:t>.</w:t>
            </w:r>
          </w:p>
          <w:p w14:paraId="5FEF944A" w14:textId="600D0D02" w:rsidR="00894CC2" w:rsidRPr="00A21D7D" w:rsidRDefault="00894CC2" w:rsidP="00227095">
            <w:pPr>
              <w:pStyle w:val="TableTextBody"/>
            </w:pPr>
            <w:r w:rsidRPr="00A21D7D">
              <w:rPr>
                <w:color w:val="000000"/>
              </w:rPr>
              <w:t>Make information about human rights available to the community</w:t>
            </w:r>
            <w:r w:rsidR="006C056C">
              <w:rPr>
                <w:color w:val="000000"/>
              </w:rPr>
              <w:t>.</w:t>
            </w:r>
          </w:p>
        </w:tc>
      </w:tr>
      <w:tr w:rsidR="00894CC2" w:rsidRPr="00A21D7D" w14:paraId="56BBAACF" w14:textId="77777777" w:rsidTr="003D1036">
        <w:tc>
          <w:tcPr>
            <w:tcW w:w="4248" w:type="dxa"/>
          </w:tcPr>
          <w:p w14:paraId="1FD42F24" w14:textId="1BCB3123" w:rsidR="00894CC2" w:rsidRPr="00A21D7D" w:rsidRDefault="00894CC2" w:rsidP="00227095">
            <w:pPr>
              <w:pStyle w:val="TableTextBody"/>
            </w:pPr>
            <w:r w:rsidRPr="00A21D7D">
              <w:t>Consult with various organisations to ascertain means of improving services and conditions affecting groups that are subjected to contraventions of the Act</w:t>
            </w:r>
            <w:r w:rsidR="006C056C">
              <w:t>.</w:t>
            </w:r>
          </w:p>
        </w:tc>
        <w:tc>
          <w:tcPr>
            <w:tcW w:w="3969" w:type="dxa"/>
          </w:tcPr>
          <w:p w14:paraId="2A213359" w14:textId="44A38F3C" w:rsidR="00894CC2" w:rsidRPr="00A21D7D" w:rsidRDefault="00894CC2" w:rsidP="00227095">
            <w:pPr>
              <w:pStyle w:val="TableTextBody"/>
            </w:pPr>
            <w:r w:rsidRPr="00A21D7D">
              <w:rPr>
                <w:color w:val="000000"/>
              </w:rPr>
              <w:t>Review public entities’ policies, programs, procedures, practices and services in relation to their compatibility with human rights</w:t>
            </w:r>
            <w:r w:rsidR="006C056C">
              <w:rPr>
                <w:color w:val="000000"/>
              </w:rPr>
              <w:t>.</w:t>
            </w:r>
          </w:p>
        </w:tc>
      </w:tr>
      <w:tr w:rsidR="00894CC2" w:rsidRPr="00A21D7D" w14:paraId="18067E01" w14:textId="77777777" w:rsidTr="003D1036">
        <w:tc>
          <w:tcPr>
            <w:tcW w:w="4248" w:type="dxa"/>
          </w:tcPr>
          <w:p w14:paraId="789499FE" w14:textId="0EDAF3E5" w:rsidR="00894CC2" w:rsidRPr="00A21D7D" w:rsidRDefault="00894CC2" w:rsidP="00227095">
            <w:pPr>
              <w:pStyle w:val="TableTextBody"/>
            </w:pPr>
            <w:r w:rsidRPr="00A21D7D">
              <w:t>Examine Acts and, when requested by the Minister, proposed Acts, to determine whether they are, or would be, inconsistent with the purposes of the Act, and to report to the Minister the results of the examination</w:t>
            </w:r>
            <w:r w:rsidR="006C056C">
              <w:t>.</w:t>
            </w:r>
          </w:p>
        </w:tc>
        <w:tc>
          <w:tcPr>
            <w:tcW w:w="3969" w:type="dxa"/>
          </w:tcPr>
          <w:p w14:paraId="77E49A75" w14:textId="5B1F533B" w:rsidR="00894CC2" w:rsidRPr="00A21D7D" w:rsidRDefault="00894CC2" w:rsidP="00227095">
            <w:pPr>
              <w:pStyle w:val="TableTextBody"/>
            </w:pPr>
            <w:r w:rsidRPr="00A21D7D">
              <w:rPr>
                <w:color w:val="000000"/>
              </w:rPr>
              <w:t>If asked by the Attorney-General, to review the effect of Acts, statutory instruments and the common law on human rights and give the Attorney-General a written report about the outcome of the review</w:t>
            </w:r>
            <w:r w:rsidR="006C056C">
              <w:rPr>
                <w:color w:val="000000"/>
              </w:rPr>
              <w:t>.</w:t>
            </w:r>
          </w:p>
        </w:tc>
      </w:tr>
      <w:tr w:rsidR="00894CC2" w:rsidRPr="00A21D7D" w14:paraId="7CBE3BF2" w14:textId="77777777" w:rsidTr="003D1036">
        <w:tc>
          <w:tcPr>
            <w:tcW w:w="4248" w:type="dxa"/>
          </w:tcPr>
          <w:p w14:paraId="4C1CBDCF" w14:textId="77FF8F93" w:rsidR="00894CC2" w:rsidRPr="00A21D7D" w:rsidRDefault="00894CC2" w:rsidP="00227095">
            <w:pPr>
              <w:pStyle w:val="TableTextBody"/>
            </w:pPr>
            <w:r w:rsidRPr="00A21D7D">
              <w:t>When requested by the Minister, to research and develop additional grounds of discrimination and to make recommendations for the inclusion of such grounds in the Act</w:t>
            </w:r>
            <w:r w:rsidR="006C056C">
              <w:t>.</w:t>
            </w:r>
          </w:p>
        </w:tc>
        <w:tc>
          <w:tcPr>
            <w:tcW w:w="3969" w:type="dxa"/>
          </w:tcPr>
          <w:p w14:paraId="05AA990D" w14:textId="73FAC207" w:rsidR="00894CC2" w:rsidRPr="00A21D7D" w:rsidRDefault="00894CC2" w:rsidP="00227095">
            <w:pPr>
              <w:pStyle w:val="TableTextBody"/>
            </w:pPr>
            <w:r w:rsidRPr="00A21D7D">
              <w:rPr>
                <w:color w:val="000000"/>
              </w:rPr>
              <w:t>Assist the Attorney-General in reviews of this Act under </w:t>
            </w:r>
            <w:r w:rsidRPr="00A21D7D">
              <w:t>sections 95</w:t>
            </w:r>
            <w:r w:rsidRPr="00A21D7D">
              <w:rPr>
                <w:color w:val="000000"/>
              </w:rPr>
              <w:t> and </w:t>
            </w:r>
            <w:r w:rsidRPr="00A21D7D">
              <w:t>9</w:t>
            </w:r>
            <w:r w:rsidR="006C056C">
              <w:t>6.</w:t>
            </w:r>
          </w:p>
        </w:tc>
      </w:tr>
      <w:tr w:rsidR="00894CC2" w:rsidRPr="00A21D7D" w14:paraId="0B9C9207" w14:textId="77777777" w:rsidTr="003D1036">
        <w:tc>
          <w:tcPr>
            <w:tcW w:w="4248" w:type="dxa"/>
          </w:tcPr>
          <w:p w14:paraId="31B2D1D3" w14:textId="19740C8F" w:rsidR="00894CC2" w:rsidRPr="00A21D7D" w:rsidRDefault="00894CC2" w:rsidP="00227095">
            <w:pPr>
              <w:pStyle w:val="TableTextBody"/>
            </w:pPr>
            <w:r w:rsidRPr="00A21D7D">
              <w:t>If the commission considers it appropriate to do so—to intervene in a proceeding that involves human rights issues with the leave of the court hearing the proceeding and subject to any c</w:t>
            </w:r>
            <w:r w:rsidR="006C056C">
              <w:t>onditions imposed by the court.</w:t>
            </w:r>
          </w:p>
        </w:tc>
        <w:tc>
          <w:tcPr>
            <w:tcW w:w="3969" w:type="dxa"/>
          </w:tcPr>
          <w:p w14:paraId="34285DA0" w14:textId="2342FF12" w:rsidR="00894CC2" w:rsidRPr="00A21D7D" w:rsidRDefault="00894CC2" w:rsidP="00227095">
            <w:pPr>
              <w:pStyle w:val="TableTextBody"/>
            </w:pPr>
            <w:r w:rsidRPr="00A21D7D">
              <w:rPr>
                <w:color w:val="000000"/>
              </w:rPr>
              <w:t>Advise the Attorney-General about matters relevant to the operation of this Act</w:t>
            </w:r>
            <w:r w:rsidR="006C056C">
              <w:rPr>
                <w:color w:val="000000"/>
              </w:rPr>
              <w:t>.</w:t>
            </w:r>
          </w:p>
        </w:tc>
      </w:tr>
      <w:tr w:rsidR="00894CC2" w:rsidRPr="00A21D7D" w14:paraId="1ECEC1C6" w14:textId="77777777" w:rsidTr="003D1036">
        <w:tc>
          <w:tcPr>
            <w:tcW w:w="8217" w:type="dxa"/>
            <w:gridSpan w:val="2"/>
          </w:tcPr>
          <w:p w14:paraId="109AD449" w14:textId="77777777" w:rsidR="00894CC2" w:rsidRPr="00A21D7D" w:rsidRDefault="00894CC2" w:rsidP="00227095">
            <w:pPr>
              <w:pStyle w:val="TableTextBody"/>
            </w:pPr>
            <w:r w:rsidRPr="00A21D7D">
              <w:rPr>
                <w:color w:val="000000"/>
              </w:rPr>
              <w:t>Promote an understanding and acceptance, and the public discussion, of human rights in Queensland.</w:t>
            </w:r>
          </w:p>
        </w:tc>
      </w:tr>
    </w:tbl>
    <w:p w14:paraId="60E69A5D" w14:textId="77777777" w:rsidR="006F5840" w:rsidRPr="00A21D7D" w:rsidRDefault="006F5840" w:rsidP="006860E4">
      <w:pPr>
        <w:pStyle w:val="Heading2"/>
      </w:pPr>
      <w:bookmarkStart w:id="8" w:name="_Toc49508854"/>
      <w:r w:rsidRPr="00A21D7D">
        <w:lastRenderedPageBreak/>
        <w:t>Our vision</w:t>
      </w:r>
      <w:bookmarkEnd w:id="8"/>
    </w:p>
    <w:p w14:paraId="09BCDCD2" w14:textId="77777777" w:rsidR="006F5840" w:rsidRPr="00A21D7D" w:rsidRDefault="006F5840" w:rsidP="006F5840">
      <w:pPr>
        <w:rPr>
          <w:rFonts w:cs="Arial"/>
          <w:lang w:eastAsia="en-AU"/>
        </w:rPr>
      </w:pPr>
      <w:r w:rsidRPr="00A21D7D">
        <w:rPr>
          <w:rFonts w:cs="Arial"/>
          <w:lang w:eastAsia="en-AU"/>
        </w:rPr>
        <w:t>A Queensland where human rights are real for everyone.</w:t>
      </w:r>
    </w:p>
    <w:p w14:paraId="2D702182" w14:textId="77777777" w:rsidR="006F5840" w:rsidRPr="00A21D7D" w:rsidRDefault="006F5840" w:rsidP="006860E4">
      <w:pPr>
        <w:pStyle w:val="Heading2"/>
      </w:pPr>
      <w:bookmarkStart w:id="9" w:name="_Toc49508855"/>
      <w:r w:rsidRPr="00A21D7D">
        <w:t>Our purpose</w:t>
      </w:r>
      <w:bookmarkEnd w:id="9"/>
    </w:p>
    <w:p w14:paraId="41C23B10" w14:textId="20EEA187" w:rsidR="006F5840" w:rsidRPr="00A21D7D" w:rsidRDefault="006F5840" w:rsidP="006F5840">
      <w:pPr>
        <w:rPr>
          <w:rFonts w:cs="Arial"/>
          <w:lang w:eastAsia="en-AU"/>
        </w:rPr>
      </w:pPr>
      <w:r w:rsidRPr="00A21D7D">
        <w:rPr>
          <w:rFonts w:cs="Arial"/>
          <w:lang w:eastAsia="en-AU"/>
        </w:rPr>
        <w:t>To protect and promote freedom, respect, equality and dignity.</w:t>
      </w:r>
    </w:p>
    <w:p w14:paraId="648248B8" w14:textId="77777777" w:rsidR="00894CC2" w:rsidRPr="00A21D7D" w:rsidRDefault="00894CC2" w:rsidP="006860E4">
      <w:pPr>
        <w:pStyle w:val="Heading2"/>
      </w:pPr>
      <w:bookmarkStart w:id="10" w:name="_Toc49508856"/>
      <w:r w:rsidRPr="00A21D7D">
        <w:t>Our Strategic Plan 2020-2024</w:t>
      </w:r>
      <w:bookmarkEnd w:id="10"/>
    </w:p>
    <w:p w14:paraId="752CADC8" w14:textId="28F45AE7" w:rsidR="00894CC2" w:rsidRPr="00A21D7D" w:rsidRDefault="00894CC2" w:rsidP="00227095">
      <w:r w:rsidRPr="00A21D7D">
        <w:t xml:space="preserve">In </w:t>
      </w:r>
      <w:r w:rsidR="00C7717C" w:rsidRPr="00A21D7D">
        <w:t>March</w:t>
      </w:r>
      <w:r w:rsidRPr="00A21D7D">
        <w:t xml:space="preserve"> 2020 the Commission published a revised four-year strategic plan which will guide our work from 2020-2024 to achieve our vision for a Queensland where human rights are real for everyone. The plan was developed through a two-day planning workshop in October 2019 involving all staff of the Commission. </w:t>
      </w:r>
    </w:p>
    <w:p w14:paraId="4E13C3EC" w14:textId="5140C8D4" w:rsidR="00894CC2" w:rsidRPr="00A21D7D" w:rsidRDefault="00894CC2" w:rsidP="00227095">
      <w:r w:rsidRPr="00A21D7D">
        <w:t xml:space="preserve">The plan outlines the strategic direction for the Queensland Human Rights Commission </w:t>
      </w:r>
      <w:r w:rsidR="00B05D91" w:rsidRPr="00A21D7D">
        <w:t>over the coming four years</w:t>
      </w:r>
      <w:r w:rsidRPr="00A21D7D">
        <w:t xml:space="preserve">. It provides the framework for operational planning and actions to ensure the Commission delivers services in an efficient, effective and accountable manner, prioritizing those whose human rights are most at risk. The implementation of this strategic plan will be reported publicly through </w:t>
      </w:r>
      <w:r w:rsidR="007A7861">
        <w:t xml:space="preserve">our </w:t>
      </w:r>
      <w:r w:rsidRPr="00A21D7D">
        <w:t>Annual Report</w:t>
      </w:r>
      <w:r w:rsidR="00B05D91" w:rsidRPr="00A21D7D">
        <w:t>.</w:t>
      </w:r>
    </w:p>
    <w:p w14:paraId="5360AF8D" w14:textId="77777777" w:rsidR="006F5840" w:rsidRPr="00A21D7D" w:rsidRDefault="006F5840" w:rsidP="006860E4">
      <w:pPr>
        <w:pStyle w:val="Heading2"/>
      </w:pPr>
      <w:bookmarkStart w:id="11" w:name="_Toc49508857"/>
      <w:r w:rsidRPr="00A21D7D">
        <w:t>Our objectives</w:t>
      </w:r>
      <w:bookmarkEnd w:id="11"/>
    </w:p>
    <w:p w14:paraId="029C36FD" w14:textId="044A8704" w:rsidR="00C44AA0" w:rsidRPr="00A21D7D" w:rsidRDefault="00C44AA0" w:rsidP="00C44AA0">
      <w:pPr>
        <w:rPr>
          <w:rFonts w:cs="Arial"/>
        </w:rPr>
      </w:pPr>
      <w:r w:rsidRPr="00A21D7D">
        <w:rPr>
          <w:rFonts w:cs="Arial"/>
        </w:rPr>
        <w:t xml:space="preserve">Over the next four years </w:t>
      </w:r>
      <w:r w:rsidR="007A7861">
        <w:rPr>
          <w:rFonts w:cs="Arial"/>
        </w:rPr>
        <w:t xml:space="preserve">our </w:t>
      </w:r>
      <w:r w:rsidRPr="00A21D7D">
        <w:rPr>
          <w:rFonts w:cs="Arial"/>
        </w:rPr>
        <w:t>work will focus on the four key objectives identified in our strategic plan. With the scope of our functions and the breadth of existing and emerging human rights issues in Queensland</w:t>
      </w:r>
      <w:r w:rsidR="00B05D91" w:rsidRPr="00A21D7D">
        <w:rPr>
          <w:rFonts w:cs="Arial"/>
        </w:rPr>
        <w:t>,</w:t>
      </w:r>
      <w:r w:rsidRPr="00A21D7D">
        <w:rPr>
          <w:rFonts w:cs="Arial"/>
        </w:rPr>
        <w:t xml:space="preserve"> it is imperative for us to establish clear priorities where we can best contribute our expertise and achieve quality outcomes for the people of Queensland. Based on these considerations we have established the following key objectives for 2020-24: </w:t>
      </w:r>
    </w:p>
    <w:p w14:paraId="6A94EFAE" w14:textId="57CC6C41" w:rsidR="006F5840" w:rsidRPr="00A21D7D" w:rsidRDefault="00C44AA0" w:rsidP="006860E4">
      <w:pPr>
        <w:pStyle w:val="Heading3"/>
        <w:rPr>
          <w:rFonts w:eastAsia="Times New Roman"/>
          <w:lang w:eastAsia="en-AU"/>
        </w:rPr>
      </w:pPr>
      <w:bookmarkStart w:id="12" w:name="_Toc49508858"/>
      <w:r w:rsidRPr="00A21D7D">
        <w:rPr>
          <w:rFonts w:eastAsia="Times New Roman"/>
          <w:lang w:eastAsia="en-AU"/>
        </w:rPr>
        <w:t>S</w:t>
      </w:r>
      <w:r w:rsidR="006F5840" w:rsidRPr="00A21D7D">
        <w:rPr>
          <w:rFonts w:eastAsia="Times New Roman"/>
          <w:lang w:eastAsia="en-AU"/>
        </w:rPr>
        <w:t>upport justice and self-determination for Aboriginal peoples and</w:t>
      </w:r>
      <w:r w:rsidRPr="00A21D7D">
        <w:rPr>
          <w:rFonts w:eastAsia="Times New Roman"/>
          <w:lang w:eastAsia="en-AU"/>
        </w:rPr>
        <w:t xml:space="preserve"> Torres Strait Islander peoples</w:t>
      </w:r>
      <w:bookmarkEnd w:id="12"/>
    </w:p>
    <w:p w14:paraId="5861CB49" w14:textId="72B4DEDF" w:rsidR="00C44AA0" w:rsidRPr="00A21D7D" w:rsidRDefault="00C44AA0" w:rsidP="00227095">
      <w:pPr>
        <w:pStyle w:val="ListParagraph"/>
        <w:numPr>
          <w:ilvl w:val="0"/>
          <w:numId w:val="31"/>
        </w:numPr>
        <w:rPr>
          <w:rFonts w:eastAsia="Times New Roman"/>
          <w:lang w:eastAsia="en-AU"/>
        </w:rPr>
      </w:pPr>
      <w:r w:rsidRPr="00A21D7D">
        <w:rPr>
          <w:rFonts w:eastAsia="Times New Roman"/>
          <w:lang w:eastAsia="en-AU"/>
        </w:rPr>
        <w:t>Provide a culturally appropriate Commission experience;</w:t>
      </w:r>
    </w:p>
    <w:p w14:paraId="09FDF162" w14:textId="0B61270C" w:rsidR="00C44AA0" w:rsidRPr="00A21D7D" w:rsidRDefault="00C44AA0" w:rsidP="00227095">
      <w:pPr>
        <w:pStyle w:val="ListParagraph"/>
        <w:numPr>
          <w:ilvl w:val="0"/>
          <w:numId w:val="31"/>
        </w:numPr>
        <w:rPr>
          <w:rFonts w:eastAsia="Times New Roman"/>
          <w:lang w:eastAsia="en-AU"/>
        </w:rPr>
      </w:pPr>
      <w:r w:rsidRPr="00A21D7D">
        <w:rPr>
          <w:rFonts w:eastAsia="Times New Roman"/>
          <w:lang w:eastAsia="en-AU"/>
        </w:rPr>
        <w:t xml:space="preserve">Work with Aboriginal and Torres Strait Islander communities to strengthen understanding of rights and remedies; </w:t>
      </w:r>
    </w:p>
    <w:p w14:paraId="2923AC09" w14:textId="118D9F9D" w:rsidR="00C44AA0" w:rsidRPr="00A21D7D" w:rsidRDefault="00C44AA0" w:rsidP="00227095">
      <w:pPr>
        <w:pStyle w:val="ListParagraph"/>
        <w:numPr>
          <w:ilvl w:val="0"/>
          <w:numId w:val="31"/>
        </w:numPr>
        <w:rPr>
          <w:rFonts w:eastAsia="Times New Roman"/>
          <w:lang w:eastAsia="en-AU"/>
        </w:rPr>
      </w:pPr>
      <w:r w:rsidRPr="00A21D7D">
        <w:rPr>
          <w:rFonts w:eastAsia="Times New Roman"/>
          <w:lang w:eastAsia="en-AU"/>
        </w:rPr>
        <w:t xml:space="preserve">Support the establishment of formal dialogue arrangements to advance human rights for Aboriginal peoples and Torres Strait Islander peoples; </w:t>
      </w:r>
    </w:p>
    <w:p w14:paraId="24D793C7" w14:textId="33516539" w:rsidR="00C44AA0" w:rsidRPr="00A21D7D" w:rsidRDefault="00C44AA0" w:rsidP="00227095">
      <w:pPr>
        <w:pStyle w:val="ListParagraph"/>
        <w:numPr>
          <w:ilvl w:val="0"/>
          <w:numId w:val="31"/>
        </w:numPr>
        <w:rPr>
          <w:rFonts w:eastAsia="Times New Roman"/>
          <w:lang w:eastAsia="en-AU"/>
        </w:rPr>
      </w:pPr>
      <w:r w:rsidRPr="00A21D7D">
        <w:rPr>
          <w:rFonts w:eastAsia="Times New Roman"/>
          <w:lang w:eastAsia="en-AU"/>
        </w:rPr>
        <w:t xml:space="preserve">Work collaboratively to identify and dismantle structural barriers to equality for Aboriginal peoples and Torres Strait Islander peoples. </w:t>
      </w:r>
    </w:p>
    <w:p w14:paraId="15B2171C" w14:textId="77777777" w:rsidR="00A72450" w:rsidRDefault="00A72450">
      <w:pPr>
        <w:ind w:right="0"/>
        <w:rPr>
          <w:rFonts w:eastAsia="Times New Roman" w:cstheme="majorBidi"/>
          <w:color w:val="000000" w:themeColor="text1"/>
          <w:sz w:val="28"/>
          <w:lang w:eastAsia="en-AU"/>
        </w:rPr>
      </w:pPr>
      <w:bookmarkStart w:id="13" w:name="_Toc49508859"/>
      <w:r>
        <w:rPr>
          <w:rFonts w:eastAsia="Times New Roman"/>
          <w:lang w:eastAsia="en-AU"/>
        </w:rPr>
        <w:br w:type="page"/>
      </w:r>
    </w:p>
    <w:p w14:paraId="54A51698" w14:textId="445F43A0" w:rsidR="00C44AA0" w:rsidRPr="00A21D7D" w:rsidRDefault="00C44AA0" w:rsidP="006860E4">
      <w:pPr>
        <w:pStyle w:val="Heading3"/>
        <w:rPr>
          <w:rFonts w:eastAsia="Times New Roman"/>
          <w:lang w:eastAsia="en-AU"/>
        </w:rPr>
      </w:pPr>
      <w:r w:rsidRPr="00A21D7D">
        <w:rPr>
          <w:rFonts w:eastAsia="Times New Roman"/>
          <w:lang w:eastAsia="en-AU"/>
        </w:rPr>
        <w:lastRenderedPageBreak/>
        <w:t>Working towards safer communities</w:t>
      </w:r>
      <w:bookmarkEnd w:id="13"/>
    </w:p>
    <w:p w14:paraId="7E500376" w14:textId="6E61D663" w:rsidR="00C44AA0" w:rsidRPr="00A21D7D" w:rsidRDefault="00C44AA0" w:rsidP="00227095">
      <w:pPr>
        <w:pStyle w:val="ListParagraph"/>
        <w:numPr>
          <w:ilvl w:val="0"/>
          <w:numId w:val="32"/>
        </w:numPr>
        <w:rPr>
          <w:rFonts w:eastAsia="Times New Roman"/>
          <w:lang w:eastAsia="en-AU"/>
        </w:rPr>
      </w:pPr>
      <w:r w:rsidRPr="00A21D7D">
        <w:rPr>
          <w:rFonts w:eastAsia="Times New Roman"/>
          <w:lang w:eastAsia="en-AU"/>
        </w:rPr>
        <w:t xml:space="preserve">Develop effective responses to hate speech and vilification; </w:t>
      </w:r>
    </w:p>
    <w:p w14:paraId="3A6A8C60" w14:textId="31863D27" w:rsidR="00C44AA0" w:rsidRPr="00A21D7D" w:rsidRDefault="00C44AA0" w:rsidP="00227095">
      <w:pPr>
        <w:pStyle w:val="ListParagraph"/>
        <w:numPr>
          <w:ilvl w:val="0"/>
          <w:numId w:val="32"/>
        </w:numPr>
        <w:rPr>
          <w:rFonts w:eastAsia="Times New Roman"/>
          <w:lang w:eastAsia="en-AU"/>
        </w:rPr>
      </w:pPr>
      <w:r w:rsidRPr="00A21D7D">
        <w:rPr>
          <w:rFonts w:eastAsia="Times New Roman"/>
          <w:lang w:eastAsia="en-AU"/>
        </w:rPr>
        <w:t>Work with agencies to support an appropriate balancing of rights when ensuring safety in public spaces;</w:t>
      </w:r>
    </w:p>
    <w:p w14:paraId="05E4C9DA" w14:textId="3374B819" w:rsidR="00C44AA0" w:rsidRPr="00A21D7D" w:rsidRDefault="00C44AA0" w:rsidP="00227095">
      <w:pPr>
        <w:pStyle w:val="ListParagraph"/>
        <w:numPr>
          <w:ilvl w:val="0"/>
          <w:numId w:val="32"/>
        </w:numPr>
        <w:rPr>
          <w:rFonts w:eastAsia="Times New Roman"/>
          <w:lang w:eastAsia="en-AU"/>
        </w:rPr>
      </w:pPr>
      <w:r w:rsidRPr="00A21D7D">
        <w:rPr>
          <w:rFonts w:eastAsia="Times New Roman"/>
          <w:lang w:eastAsia="en-AU"/>
        </w:rPr>
        <w:t xml:space="preserve">Make human rights protections more accessible to children in care and detention; </w:t>
      </w:r>
    </w:p>
    <w:p w14:paraId="1FC76B01" w14:textId="56B05E20" w:rsidR="00C44AA0" w:rsidRPr="00A21D7D" w:rsidRDefault="00C44AA0" w:rsidP="00227095">
      <w:pPr>
        <w:pStyle w:val="ListParagraph"/>
        <w:numPr>
          <w:ilvl w:val="0"/>
          <w:numId w:val="32"/>
        </w:numPr>
        <w:rPr>
          <w:rFonts w:eastAsia="Times New Roman"/>
          <w:lang w:eastAsia="en-AU"/>
        </w:rPr>
      </w:pPr>
      <w:r w:rsidRPr="00A21D7D">
        <w:rPr>
          <w:rFonts w:eastAsia="Times New Roman"/>
          <w:lang w:eastAsia="en-AU"/>
        </w:rPr>
        <w:t xml:space="preserve">Promote public discussion about how climate change impacts human rights. </w:t>
      </w:r>
    </w:p>
    <w:p w14:paraId="4717E70A" w14:textId="2C7CCF1C" w:rsidR="00C44AA0" w:rsidRPr="00A21D7D" w:rsidRDefault="00C44AA0" w:rsidP="006860E4">
      <w:pPr>
        <w:pStyle w:val="Heading3"/>
        <w:rPr>
          <w:rFonts w:eastAsia="Times New Roman"/>
          <w:lang w:eastAsia="en-AU"/>
        </w:rPr>
      </w:pPr>
      <w:bookmarkStart w:id="14" w:name="_Toc49508860"/>
      <w:r w:rsidRPr="00A21D7D">
        <w:rPr>
          <w:rFonts w:eastAsia="Times New Roman"/>
          <w:lang w:eastAsia="en-AU"/>
        </w:rPr>
        <w:t>Promoting access and inclusion</w:t>
      </w:r>
      <w:bookmarkEnd w:id="14"/>
    </w:p>
    <w:p w14:paraId="4B2240E2" w14:textId="15D949EA" w:rsidR="00C44AA0" w:rsidRPr="00A21D7D" w:rsidRDefault="00C44AA0" w:rsidP="00227095">
      <w:pPr>
        <w:pStyle w:val="ListParagraph"/>
        <w:numPr>
          <w:ilvl w:val="0"/>
          <w:numId w:val="33"/>
        </w:numPr>
        <w:rPr>
          <w:rFonts w:eastAsia="Times New Roman"/>
          <w:lang w:eastAsia="en-AU"/>
        </w:rPr>
      </w:pPr>
      <w:r w:rsidRPr="00A21D7D">
        <w:rPr>
          <w:rFonts w:eastAsia="Times New Roman"/>
          <w:lang w:eastAsia="en-AU"/>
        </w:rPr>
        <w:t xml:space="preserve">Maintain a lead agency role in eliminating all forms of discrimination and promoting inclusion for diverse populations; </w:t>
      </w:r>
    </w:p>
    <w:p w14:paraId="4BF54FED" w14:textId="1584BC3C" w:rsidR="00C44AA0" w:rsidRPr="00A21D7D" w:rsidRDefault="00C44AA0" w:rsidP="00227095">
      <w:pPr>
        <w:pStyle w:val="ListParagraph"/>
        <w:numPr>
          <w:ilvl w:val="0"/>
          <w:numId w:val="33"/>
        </w:numPr>
        <w:rPr>
          <w:rFonts w:eastAsia="Times New Roman"/>
          <w:lang w:eastAsia="en-AU"/>
        </w:rPr>
      </w:pPr>
      <w:r w:rsidRPr="00A21D7D">
        <w:rPr>
          <w:rFonts w:eastAsia="Times New Roman"/>
          <w:lang w:eastAsia="en-AU"/>
        </w:rPr>
        <w:t>Promote the principles of human rights in</w:t>
      </w:r>
      <w:r w:rsidR="00A051CF" w:rsidRPr="00A21D7D">
        <w:rPr>
          <w:rFonts w:eastAsia="Times New Roman"/>
          <w:lang w:eastAsia="en-AU"/>
        </w:rPr>
        <w:t xml:space="preserve"> </w:t>
      </w:r>
      <w:r w:rsidRPr="00A21D7D">
        <w:rPr>
          <w:rFonts w:eastAsia="Times New Roman"/>
          <w:lang w:eastAsia="en-AU"/>
        </w:rPr>
        <w:t xml:space="preserve">addressing access to health and education for all people in Queensland; </w:t>
      </w:r>
    </w:p>
    <w:p w14:paraId="31279656" w14:textId="21F796E6" w:rsidR="00C44AA0" w:rsidRPr="00A21D7D" w:rsidRDefault="00C44AA0" w:rsidP="00227095">
      <w:pPr>
        <w:pStyle w:val="ListParagraph"/>
        <w:numPr>
          <w:ilvl w:val="0"/>
          <w:numId w:val="33"/>
        </w:numPr>
        <w:rPr>
          <w:rFonts w:eastAsia="Times New Roman"/>
          <w:lang w:eastAsia="en-AU"/>
        </w:rPr>
      </w:pPr>
      <w:r w:rsidRPr="00A21D7D">
        <w:rPr>
          <w:rFonts w:eastAsia="Times New Roman"/>
          <w:lang w:eastAsia="en-AU"/>
        </w:rPr>
        <w:t xml:space="preserve">Promote the advancement of equal access to services for people in regional and remote Queensland. </w:t>
      </w:r>
    </w:p>
    <w:p w14:paraId="3264A895" w14:textId="3334ADB9" w:rsidR="00C44AA0" w:rsidRPr="00A21D7D" w:rsidRDefault="00C44AA0" w:rsidP="006860E4">
      <w:pPr>
        <w:pStyle w:val="Heading3"/>
        <w:rPr>
          <w:rFonts w:eastAsia="Times New Roman"/>
          <w:lang w:eastAsia="en-AU"/>
        </w:rPr>
      </w:pPr>
      <w:bookmarkStart w:id="15" w:name="_Toc49508861"/>
      <w:r w:rsidRPr="00A21D7D">
        <w:rPr>
          <w:rFonts w:eastAsia="Times New Roman"/>
          <w:lang w:eastAsia="en-AU"/>
        </w:rPr>
        <w:t>Increasing institutional transparency</w:t>
      </w:r>
      <w:bookmarkEnd w:id="15"/>
    </w:p>
    <w:p w14:paraId="06F95B57" w14:textId="20BE5A06" w:rsidR="00C44AA0" w:rsidRPr="00A21D7D" w:rsidRDefault="00A051CF" w:rsidP="00227095">
      <w:pPr>
        <w:pStyle w:val="ListParagraph"/>
        <w:numPr>
          <w:ilvl w:val="0"/>
          <w:numId w:val="34"/>
        </w:numPr>
        <w:rPr>
          <w:rFonts w:eastAsia="Times New Roman"/>
          <w:lang w:eastAsia="en-AU"/>
        </w:rPr>
      </w:pPr>
      <w:r w:rsidRPr="00A21D7D">
        <w:rPr>
          <w:rFonts w:eastAsia="Times New Roman"/>
          <w:lang w:eastAsia="en-AU"/>
        </w:rPr>
        <w:t xml:space="preserve">Support pathways for people in closed facilities to understand their rights and access QHRC services; </w:t>
      </w:r>
    </w:p>
    <w:p w14:paraId="41904A28" w14:textId="22FCB967" w:rsidR="00A051CF" w:rsidRPr="00A21D7D" w:rsidRDefault="00A051CF" w:rsidP="00227095">
      <w:pPr>
        <w:pStyle w:val="ListParagraph"/>
        <w:numPr>
          <w:ilvl w:val="0"/>
          <w:numId w:val="34"/>
        </w:numPr>
        <w:rPr>
          <w:rFonts w:eastAsia="Times New Roman"/>
          <w:lang w:eastAsia="en-AU"/>
        </w:rPr>
      </w:pPr>
      <w:r w:rsidRPr="00A21D7D">
        <w:rPr>
          <w:rFonts w:eastAsia="Times New Roman"/>
          <w:lang w:eastAsia="en-AU"/>
        </w:rPr>
        <w:t xml:space="preserve">Use reporting, review and communication functions to encourage transparency and promote best practice. </w:t>
      </w:r>
    </w:p>
    <w:p w14:paraId="73EAA847" w14:textId="77777777" w:rsidR="006F5840" w:rsidRPr="00A21D7D" w:rsidRDefault="006F5840" w:rsidP="006860E4">
      <w:pPr>
        <w:pStyle w:val="Heading2"/>
      </w:pPr>
      <w:bookmarkStart w:id="16" w:name="_Toc49508862"/>
      <w:r w:rsidRPr="00A21D7D">
        <w:t>Our values</w:t>
      </w:r>
      <w:bookmarkEnd w:id="16"/>
      <w:r w:rsidRPr="00A21D7D">
        <w:t xml:space="preserve"> </w:t>
      </w:r>
    </w:p>
    <w:p w14:paraId="0C468F14" w14:textId="2281B0A9" w:rsidR="006F5840" w:rsidRDefault="006F5840" w:rsidP="006F5840">
      <w:pPr>
        <w:rPr>
          <w:rFonts w:cs="Arial"/>
        </w:rPr>
      </w:pPr>
      <w:r w:rsidRPr="00A21D7D">
        <w:rPr>
          <w:rFonts w:cs="Arial"/>
        </w:rPr>
        <w:t xml:space="preserve">In delivering services to achieve our objectives, we are committed to: </w:t>
      </w:r>
    </w:p>
    <w:p w14:paraId="6463075A" w14:textId="48F475A4" w:rsidR="00B10E8B" w:rsidRDefault="00B10E8B" w:rsidP="00227095">
      <w:pPr>
        <w:pStyle w:val="ListParagraph"/>
        <w:numPr>
          <w:ilvl w:val="0"/>
          <w:numId w:val="35"/>
        </w:numPr>
      </w:pPr>
      <w:r w:rsidRPr="00227095">
        <w:rPr>
          <w:b/>
        </w:rPr>
        <w:t>Independence:</w:t>
      </w:r>
      <w:r>
        <w:t xml:space="preserve"> we value our independence and the rule of law.</w:t>
      </w:r>
    </w:p>
    <w:p w14:paraId="665B703D" w14:textId="55E2562D" w:rsidR="00B10E8B" w:rsidRDefault="00B10E8B" w:rsidP="00227095">
      <w:pPr>
        <w:pStyle w:val="ListParagraph"/>
        <w:numPr>
          <w:ilvl w:val="0"/>
          <w:numId w:val="35"/>
        </w:numPr>
      </w:pPr>
      <w:r w:rsidRPr="00227095">
        <w:rPr>
          <w:b/>
        </w:rPr>
        <w:t>Respect:</w:t>
      </w:r>
      <w:r>
        <w:t xml:space="preserve"> we treat everyone with respect and dignity and acknowledge fundamental human rights.</w:t>
      </w:r>
    </w:p>
    <w:p w14:paraId="6710E9BE" w14:textId="6957E521" w:rsidR="00B10E8B" w:rsidRDefault="00B10E8B" w:rsidP="00227095">
      <w:pPr>
        <w:pStyle w:val="ListParagraph"/>
        <w:numPr>
          <w:ilvl w:val="0"/>
          <w:numId w:val="35"/>
        </w:numPr>
      </w:pPr>
      <w:r w:rsidRPr="00227095">
        <w:rPr>
          <w:b/>
        </w:rPr>
        <w:t>Inclusion:</w:t>
      </w:r>
      <w:r>
        <w:t xml:space="preserve"> we foster collaboration among diverse staff and stakeholders, learn from each other and share what we know, and prioritise accessibility of our services and communications. </w:t>
      </w:r>
    </w:p>
    <w:p w14:paraId="6BFE08D0" w14:textId="796640B0" w:rsidR="00B10E8B" w:rsidRDefault="00B10E8B" w:rsidP="00227095">
      <w:pPr>
        <w:pStyle w:val="ListParagraph"/>
        <w:numPr>
          <w:ilvl w:val="0"/>
          <w:numId w:val="35"/>
        </w:numPr>
      </w:pPr>
      <w:r w:rsidRPr="00227095">
        <w:rPr>
          <w:b/>
        </w:rPr>
        <w:t>Diversity:</w:t>
      </w:r>
      <w:r>
        <w:t xml:space="preserve"> we support a workplace culture that encourages diversity and we are responsive to the diverse needs of our clients. </w:t>
      </w:r>
    </w:p>
    <w:p w14:paraId="21C89CDD" w14:textId="77777777" w:rsidR="00452AA3" w:rsidRPr="00452AA3" w:rsidRDefault="00B10E8B" w:rsidP="00227095">
      <w:pPr>
        <w:pStyle w:val="ListParagraph"/>
        <w:numPr>
          <w:ilvl w:val="0"/>
          <w:numId w:val="35"/>
        </w:numPr>
        <w:rPr>
          <w:rFonts w:eastAsia="Times New Roman"/>
          <w:lang w:eastAsia="en-AU"/>
        </w:rPr>
      </w:pPr>
      <w:r w:rsidRPr="00227095">
        <w:rPr>
          <w:b/>
        </w:rPr>
        <w:t>Integrity:</w:t>
      </w:r>
      <w:r>
        <w:t xml:space="preserve"> we are ethical and honest in our work; we make decisions that can withstand scrutiny and we are accountable for our actions and decisions. </w:t>
      </w:r>
    </w:p>
    <w:p w14:paraId="53ABEA70" w14:textId="5DE7D44E" w:rsidR="00B10E8B" w:rsidRPr="00452AA3" w:rsidRDefault="00B10E8B" w:rsidP="00452AA3">
      <w:pPr>
        <w:ind w:left="360"/>
        <w:rPr>
          <w:rFonts w:eastAsia="Times New Roman"/>
          <w:lang w:eastAsia="en-AU"/>
        </w:rPr>
      </w:pPr>
      <w:r>
        <w:t xml:space="preserve">The way in which the Commission delivers services, develops and supports staff and engages with the community also reflects the Queensland public service values of putting customers first, translating ideas into action, unleashing potential, being courageous, and empowering people. </w:t>
      </w:r>
    </w:p>
    <w:p w14:paraId="00617B70" w14:textId="7763D43E" w:rsidR="006F5840" w:rsidRPr="00A21D7D" w:rsidRDefault="006F5840" w:rsidP="006860E4">
      <w:pPr>
        <w:pStyle w:val="Heading2"/>
      </w:pPr>
      <w:bookmarkStart w:id="17" w:name="_Toc49508863"/>
      <w:r w:rsidRPr="00A21D7D">
        <w:lastRenderedPageBreak/>
        <w:t>Our services</w:t>
      </w:r>
      <w:bookmarkEnd w:id="17"/>
      <w:r w:rsidRPr="00A21D7D">
        <w:t xml:space="preserve"> </w:t>
      </w:r>
    </w:p>
    <w:p w14:paraId="36C91878" w14:textId="77777777" w:rsidR="006F5840" w:rsidRPr="00A21D7D" w:rsidRDefault="006F5840" w:rsidP="006F5840">
      <w:pPr>
        <w:rPr>
          <w:rFonts w:cs="Arial"/>
          <w:i/>
        </w:rPr>
      </w:pPr>
      <w:r w:rsidRPr="00A21D7D">
        <w:rPr>
          <w:rFonts w:cs="Arial"/>
        </w:rPr>
        <w:t xml:space="preserve">The Commission delivers frontline services to the Queensland community, including businesses, state and local government, the community sector, and people throughout the state. </w:t>
      </w:r>
    </w:p>
    <w:p w14:paraId="252FC13D" w14:textId="77777777" w:rsidR="009553F4" w:rsidRDefault="009553F4" w:rsidP="006F5840">
      <w:pPr>
        <w:rPr>
          <w:rFonts w:cs="Arial"/>
        </w:rPr>
      </w:pPr>
    </w:p>
    <w:p w14:paraId="5BBC8C32" w14:textId="1B12395F" w:rsidR="006F5840" w:rsidRDefault="006F5840" w:rsidP="006F5840">
      <w:pPr>
        <w:rPr>
          <w:rFonts w:cs="Arial"/>
        </w:rPr>
      </w:pPr>
      <w:r w:rsidRPr="00A21D7D">
        <w:rPr>
          <w:rFonts w:cs="Arial"/>
        </w:rPr>
        <w:t xml:space="preserve">Our services include: </w:t>
      </w:r>
    </w:p>
    <w:p w14:paraId="212C835F" w14:textId="5203ACFC" w:rsidR="00B10E8B" w:rsidRPr="00227095" w:rsidRDefault="00B10E8B" w:rsidP="00227095">
      <w:pPr>
        <w:pStyle w:val="ListParagraph"/>
        <w:numPr>
          <w:ilvl w:val="0"/>
          <w:numId w:val="36"/>
        </w:numPr>
        <w:rPr>
          <w:i/>
        </w:rPr>
      </w:pPr>
      <w:r>
        <w:t>resolving discrimination and human rights complaints;</w:t>
      </w:r>
    </w:p>
    <w:p w14:paraId="72101B55" w14:textId="6BF7D74E" w:rsidR="00B10E8B" w:rsidRPr="00227095" w:rsidRDefault="00B10E8B" w:rsidP="00227095">
      <w:pPr>
        <w:pStyle w:val="ListParagraph"/>
        <w:numPr>
          <w:ilvl w:val="0"/>
          <w:numId w:val="36"/>
        </w:numPr>
        <w:rPr>
          <w:i/>
        </w:rPr>
      </w:pPr>
      <w:r>
        <w:t>delivering training to business, government, and the community on discrimination and human rights;</w:t>
      </w:r>
    </w:p>
    <w:p w14:paraId="1E0BBC2E" w14:textId="34C9691B" w:rsidR="00B10E8B" w:rsidRPr="00227095" w:rsidRDefault="00B10E8B" w:rsidP="00227095">
      <w:pPr>
        <w:pStyle w:val="ListParagraph"/>
        <w:numPr>
          <w:ilvl w:val="0"/>
          <w:numId w:val="36"/>
        </w:numPr>
        <w:rPr>
          <w:i/>
        </w:rPr>
      </w:pPr>
      <w:r>
        <w:t xml:space="preserve">providing information products and services, and responding to enquiries about the Commission’s services and guiding legislation; </w:t>
      </w:r>
    </w:p>
    <w:p w14:paraId="2DD20255" w14:textId="42EBB16B" w:rsidR="00B10E8B" w:rsidRPr="00227095" w:rsidRDefault="00B10E8B" w:rsidP="00227095">
      <w:pPr>
        <w:pStyle w:val="ListParagraph"/>
        <w:numPr>
          <w:ilvl w:val="0"/>
          <w:numId w:val="36"/>
        </w:numPr>
        <w:rPr>
          <w:i/>
        </w:rPr>
      </w:pPr>
      <w:r>
        <w:t xml:space="preserve">influencing government policy and legislation through legal submissions; and </w:t>
      </w:r>
    </w:p>
    <w:p w14:paraId="67023B79" w14:textId="4A732C17" w:rsidR="00B10E8B" w:rsidRPr="00227095" w:rsidRDefault="00B10E8B" w:rsidP="00227095">
      <w:pPr>
        <w:pStyle w:val="ListParagraph"/>
        <w:numPr>
          <w:ilvl w:val="0"/>
          <w:numId w:val="36"/>
        </w:numPr>
        <w:rPr>
          <w:i/>
        </w:rPr>
      </w:pPr>
      <w:r>
        <w:t xml:space="preserve">promoting public discussion of human rights through a variety of community engagement and communication strategies. </w:t>
      </w:r>
    </w:p>
    <w:p w14:paraId="79C94C4C" w14:textId="77777777" w:rsidR="006F5840" w:rsidRPr="00A21D7D" w:rsidRDefault="006F5840" w:rsidP="006F5840">
      <w:pPr>
        <w:rPr>
          <w:rFonts w:cs="Arial"/>
          <w:i/>
        </w:rPr>
      </w:pPr>
      <w:r w:rsidRPr="00A21D7D">
        <w:rPr>
          <w:rFonts w:cs="Arial"/>
        </w:rPr>
        <w:t>More detail about how these services are delivered is available in the relevant sections of this annual report.</w:t>
      </w:r>
    </w:p>
    <w:p w14:paraId="3A8107C1" w14:textId="77777777" w:rsidR="006F5840" w:rsidRPr="00A21D7D" w:rsidRDefault="006F5840" w:rsidP="006860E4">
      <w:pPr>
        <w:pStyle w:val="Heading2"/>
      </w:pPr>
      <w:bookmarkStart w:id="18" w:name="_Toc49508864"/>
      <w:r w:rsidRPr="00A21D7D">
        <w:t>Our people</w:t>
      </w:r>
      <w:bookmarkEnd w:id="18"/>
      <w:r w:rsidRPr="00A21D7D">
        <w:t xml:space="preserve"> </w:t>
      </w:r>
    </w:p>
    <w:p w14:paraId="2E876EFA" w14:textId="0D8370E8" w:rsidR="00456816" w:rsidRPr="00A21D7D" w:rsidRDefault="007A7861" w:rsidP="00456816">
      <w:pPr>
        <w:rPr>
          <w:rFonts w:cs="Arial"/>
          <w:i/>
        </w:rPr>
      </w:pPr>
      <w:bookmarkStart w:id="19" w:name="_Toc366482367"/>
      <w:bookmarkStart w:id="20" w:name="_Toc366487297"/>
      <w:r>
        <w:rPr>
          <w:rFonts w:cs="Arial"/>
        </w:rPr>
        <w:t>We are</w:t>
      </w:r>
      <w:r w:rsidR="00456816" w:rsidRPr="00A21D7D">
        <w:rPr>
          <w:rFonts w:cs="Arial"/>
        </w:rPr>
        <w:t xml:space="preserve"> led by the Human Rights Commissioner who is appointed by the Governor in Council, and reports to the Queensland Parliament through the Attorney-General and Minister for Justice. Although overall accountability for </w:t>
      </w:r>
      <w:r>
        <w:rPr>
          <w:rFonts w:cs="Arial"/>
        </w:rPr>
        <w:t>our</w:t>
      </w:r>
      <w:r w:rsidR="00456816" w:rsidRPr="00A21D7D">
        <w:rPr>
          <w:rFonts w:cs="Arial"/>
        </w:rPr>
        <w:t xml:space="preserve"> services rests with the Commissioner, direct management responsibility of the various teams within the Commission is shared between the Commissioner and the Deputy Commissioner.</w:t>
      </w:r>
      <w:bookmarkEnd w:id="19"/>
      <w:bookmarkEnd w:id="20"/>
    </w:p>
    <w:p w14:paraId="1CB930DC" w14:textId="78853686" w:rsidR="00456816" w:rsidRPr="00A21D7D" w:rsidRDefault="00456816" w:rsidP="00456816">
      <w:pPr>
        <w:rPr>
          <w:rFonts w:eastAsia="Times New Roman" w:cs="Arial"/>
          <w:i/>
          <w:lang w:eastAsia="en-AU"/>
        </w:rPr>
      </w:pPr>
      <w:r w:rsidRPr="00A21D7D">
        <w:rPr>
          <w:rFonts w:eastAsia="Times New Roman" w:cs="Arial"/>
          <w:lang w:eastAsia="en-AU"/>
        </w:rPr>
        <w:t>An organisational restructure was implemented in March 2019 and recruitment activities relating to this restructure continued into 2019-20. The current organisational stru</w:t>
      </w:r>
      <w:r w:rsidR="00D06997" w:rsidRPr="00A21D7D">
        <w:rPr>
          <w:rFonts w:eastAsia="Times New Roman" w:cs="Arial"/>
          <w:lang w:eastAsia="en-AU"/>
        </w:rPr>
        <w:t>cture is available in Appendix C</w:t>
      </w:r>
      <w:r w:rsidRPr="00A21D7D">
        <w:rPr>
          <w:rFonts w:eastAsia="Times New Roman" w:cs="Arial"/>
          <w:lang w:eastAsia="en-AU"/>
        </w:rPr>
        <w:t xml:space="preserve">. </w:t>
      </w:r>
    </w:p>
    <w:p w14:paraId="079418B4" w14:textId="2292F7CF" w:rsidR="00456816" w:rsidRPr="00A21D7D" w:rsidRDefault="00456816" w:rsidP="00456816">
      <w:pPr>
        <w:rPr>
          <w:rFonts w:cs="Arial"/>
          <w:i/>
        </w:rPr>
      </w:pPr>
      <w:r w:rsidRPr="00A21D7D">
        <w:rPr>
          <w:rFonts w:cs="Arial"/>
        </w:rPr>
        <w:t xml:space="preserve">The Commission has four offices located in Brisbane, Rockhampton, Townsville and Cairns which deliver services to the Queensland community. Each regional office performs a variety of functions including complaint management, training, community engagement and provision of information services directly to the public. The Brisbane office is responsible for executive, legal and corporate services. </w:t>
      </w:r>
    </w:p>
    <w:p w14:paraId="57846E62" w14:textId="77777777" w:rsidR="00456816" w:rsidRPr="00A21D7D" w:rsidRDefault="00456816" w:rsidP="00456816">
      <w:pPr>
        <w:rPr>
          <w:rFonts w:eastAsia="Times New Roman" w:cs="Arial"/>
          <w:i/>
          <w:lang w:eastAsia="en-AU"/>
        </w:rPr>
      </w:pPr>
      <w:r w:rsidRPr="00A21D7D">
        <w:rPr>
          <w:rFonts w:eastAsia="Times New Roman" w:cs="Arial"/>
          <w:lang w:eastAsia="en-AU"/>
        </w:rPr>
        <w:t xml:space="preserve">The Director, Complaint Management has program responsibility for the provision of complaint management services throughout the state and supervision of the regional offices. </w:t>
      </w:r>
    </w:p>
    <w:p w14:paraId="7C8AD1CD" w14:textId="643BB772" w:rsidR="00456816" w:rsidRPr="00755C62" w:rsidRDefault="00456816" w:rsidP="00755C62">
      <w:pPr>
        <w:rPr>
          <w:rFonts w:eastAsia="Times New Roman"/>
          <w:i/>
          <w:lang w:eastAsia="en-AU"/>
        </w:rPr>
      </w:pPr>
      <w:r w:rsidRPr="00A21D7D">
        <w:rPr>
          <w:rFonts w:eastAsia="Times New Roman" w:cs="Arial"/>
          <w:lang w:eastAsia="en-AU"/>
        </w:rPr>
        <w:t>The Brisbane Complaint Management team</w:t>
      </w:r>
      <w:r w:rsidR="00755C62">
        <w:rPr>
          <w:rFonts w:eastAsia="Times New Roman" w:cs="Arial"/>
          <w:lang w:eastAsia="en-AU"/>
        </w:rPr>
        <w:t xml:space="preserve"> </w:t>
      </w:r>
      <w:r w:rsidRPr="00A21D7D">
        <w:rPr>
          <w:rFonts w:eastAsia="Times New Roman"/>
          <w:lang w:eastAsia="en-AU"/>
        </w:rPr>
        <w:t>manages the majority of complaints arising in South-East Queensland</w:t>
      </w:r>
      <w:r w:rsidR="00755C62">
        <w:rPr>
          <w:rFonts w:eastAsia="Times New Roman"/>
          <w:lang w:eastAsia="en-AU"/>
        </w:rPr>
        <w:t xml:space="preserve"> and </w:t>
      </w:r>
      <w:r w:rsidRPr="00755C62">
        <w:rPr>
          <w:rFonts w:eastAsia="Times New Roman"/>
          <w:lang w:eastAsia="en-AU"/>
        </w:rPr>
        <w:t>provides information services to clients</w:t>
      </w:r>
      <w:r w:rsidR="00755C62" w:rsidRPr="00755C62">
        <w:rPr>
          <w:rFonts w:eastAsia="Times New Roman"/>
          <w:lang w:eastAsia="en-AU"/>
        </w:rPr>
        <w:t>.</w:t>
      </w:r>
    </w:p>
    <w:p w14:paraId="07DD21EB" w14:textId="77777777" w:rsidR="00755C62" w:rsidRDefault="00755C62" w:rsidP="00456816">
      <w:pPr>
        <w:rPr>
          <w:rFonts w:eastAsia="Times New Roman" w:cs="Arial"/>
          <w:lang w:eastAsia="en-AU"/>
        </w:rPr>
      </w:pPr>
    </w:p>
    <w:p w14:paraId="2856959E" w14:textId="1A63F5E5" w:rsidR="00456816" w:rsidRPr="00A21D7D" w:rsidRDefault="00456816" w:rsidP="00456816">
      <w:pPr>
        <w:rPr>
          <w:rFonts w:eastAsia="Times New Roman" w:cs="Arial"/>
          <w:i/>
          <w:lang w:eastAsia="en-AU"/>
        </w:rPr>
      </w:pPr>
      <w:r w:rsidRPr="00A21D7D">
        <w:rPr>
          <w:rFonts w:eastAsia="Times New Roman" w:cs="Arial"/>
          <w:lang w:eastAsia="en-AU"/>
        </w:rPr>
        <w:lastRenderedPageBreak/>
        <w:t>The Director, Engagement and Corporate Services has program responsibility for the provision of training and engagement activities, marketing and communications</w:t>
      </w:r>
      <w:r w:rsidR="007A7861">
        <w:rPr>
          <w:rFonts w:eastAsia="Times New Roman" w:cs="Arial"/>
          <w:lang w:eastAsia="en-AU"/>
        </w:rPr>
        <w:t xml:space="preserve">, </w:t>
      </w:r>
      <w:r w:rsidRPr="00A21D7D">
        <w:rPr>
          <w:rFonts w:eastAsia="Times New Roman" w:cs="Arial"/>
          <w:lang w:eastAsia="en-AU"/>
        </w:rPr>
        <w:t>and</w:t>
      </w:r>
      <w:r w:rsidR="007A7861">
        <w:rPr>
          <w:rFonts w:eastAsia="Times New Roman" w:cs="Arial"/>
          <w:lang w:eastAsia="en-AU"/>
        </w:rPr>
        <w:t xml:space="preserve"> our</w:t>
      </w:r>
      <w:r w:rsidRPr="00A21D7D">
        <w:rPr>
          <w:rFonts w:eastAsia="Times New Roman" w:cs="Arial"/>
          <w:lang w:eastAsia="en-AU"/>
        </w:rPr>
        <w:t xml:space="preserve"> administrative, financial, human resource, information technology, facilities and governance services.</w:t>
      </w:r>
      <w:r w:rsidR="00B10E8B">
        <w:rPr>
          <w:rFonts w:eastAsia="Times New Roman" w:cs="Arial"/>
          <w:lang w:eastAsia="en-AU"/>
        </w:rPr>
        <w:t xml:space="preserve"> </w:t>
      </w:r>
    </w:p>
    <w:p w14:paraId="1CB69ECD" w14:textId="3BD410CB" w:rsidR="00456816" w:rsidRPr="00A21D7D" w:rsidRDefault="00456816" w:rsidP="00456816">
      <w:pPr>
        <w:rPr>
          <w:rFonts w:eastAsia="Times New Roman" w:cs="Arial"/>
          <w:i/>
          <w:lang w:eastAsia="en-AU"/>
        </w:rPr>
      </w:pPr>
      <w:bookmarkStart w:id="21" w:name="_Toc366482368"/>
      <w:bookmarkStart w:id="22" w:name="_Toc366487298"/>
      <w:r w:rsidRPr="00A21D7D">
        <w:rPr>
          <w:rFonts w:eastAsia="Times New Roman" w:cs="Arial"/>
          <w:lang w:eastAsia="en-AU"/>
        </w:rPr>
        <w:t>The Legal, Research and Policy team is based in the Brisbane office and reports to the Deputy Commissioner. It provides executive support and legal services</w:t>
      </w:r>
      <w:r w:rsidR="00194101">
        <w:rPr>
          <w:rFonts w:eastAsia="Times New Roman" w:cs="Arial"/>
          <w:lang w:eastAsia="en-AU"/>
        </w:rPr>
        <w:t>,</w:t>
      </w:r>
      <w:r w:rsidRPr="00A21D7D">
        <w:rPr>
          <w:rFonts w:eastAsia="Times New Roman" w:cs="Arial"/>
          <w:lang w:eastAsia="en-AU"/>
        </w:rPr>
        <w:t xml:space="preserve"> develops human rights policy</w:t>
      </w:r>
      <w:r w:rsidR="00194101">
        <w:rPr>
          <w:rFonts w:eastAsia="Times New Roman" w:cs="Arial"/>
          <w:lang w:eastAsia="en-AU"/>
        </w:rPr>
        <w:t>,</w:t>
      </w:r>
      <w:r w:rsidRPr="00A21D7D">
        <w:rPr>
          <w:rFonts w:eastAsia="Times New Roman" w:cs="Arial"/>
          <w:lang w:eastAsia="en-AU"/>
        </w:rPr>
        <w:t xml:space="preserve"> and undertakes research on human rights issues. </w:t>
      </w:r>
      <w:bookmarkEnd w:id="21"/>
      <w:bookmarkEnd w:id="22"/>
    </w:p>
    <w:p w14:paraId="55BB2E9E" w14:textId="77777777" w:rsidR="006860E4" w:rsidRDefault="006860E4">
      <w:pPr>
        <w:rPr>
          <w:rFonts w:eastAsia="Times New Roman" w:cs="Arial"/>
          <w:bCs/>
          <w:color w:val="000000" w:themeColor="text1"/>
          <w:kern w:val="36"/>
          <w:sz w:val="48"/>
          <w:szCs w:val="48"/>
          <w:lang w:eastAsia="en-AU"/>
        </w:rPr>
      </w:pPr>
      <w:r>
        <w:rPr>
          <w:rFonts w:cs="Arial"/>
        </w:rPr>
        <w:br w:type="page"/>
      </w:r>
    </w:p>
    <w:p w14:paraId="1A8187DF" w14:textId="122FFAF4" w:rsidR="00637445" w:rsidRPr="00A21D7D" w:rsidRDefault="0013641C" w:rsidP="0013641C">
      <w:pPr>
        <w:pStyle w:val="Heading1"/>
        <w:rPr>
          <w:rFonts w:cs="Arial"/>
        </w:rPr>
      </w:pPr>
      <w:bookmarkStart w:id="23" w:name="_Toc49508865"/>
      <w:r w:rsidRPr="00A21D7D">
        <w:rPr>
          <w:rFonts w:cs="Arial"/>
        </w:rPr>
        <w:lastRenderedPageBreak/>
        <w:t>Impact of COVID-19 pandemic</w:t>
      </w:r>
      <w:bookmarkEnd w:id="23"/>
    </w:p>
    <w:p w14:paraId="53EE222B" w14:textId="58CE092F" w:rsidR="0042466B" w:rsidRPr="00A21D7D" w:rsidRDefault="0042466B" w:rsidP="00A244E6">
      <w:r w:rsidRPr="00A21D7D">
        <w:t xml:space="preserve">On 11 March 2020, the World Health Organisation (WHO) declared that COVID-19 was a global pandemic. Following this declaration, the Australian Government started placing restrictions on people’s freedom of movement and actions to help protect the most vulnerable and most at risk. </w:t>
      </w:r>
    </w:p>
    <w:p w14:paraId="166FE557" w14:textId="358404F3" w:rsidR="0042466B" w:rsidRPr="00A21D7D" w:rsidRDefault="0042466B" w:rsidP="00A244E6">
      <w:r w:rsidRPr="00A21D7D">
        <w:t xml:space="preserve">To protect the health and wellbeing of </w:t>
      </w:r>
      <w:r w:rsidR="007A7861">
        <w:t>our</w:t>
      </w:r>
      <w:r w:rsidRPr="00A21D7D">
        <w:t xml:space="preserve"> staff and stakeholders, a decision was made to transition to remote working arrangements from 16 March 2020 and all </w:t>
      </w:r>
      <w:r w:rsidR="007A7861">
        <w:t xml:space="preserve">our </w:t>
      </w:r>
      <w:r w:rsidRPr="00A21D7D">
        <w:t>face-to-face training, conciliation and engagement activities were suspended</w:t>
      </w:r>
      <w:r w:rsidR="00780EFC" w:rsidRPr="00A21D7D">
        <w:t xml:space="preserve"> until 30 June 2020</w:t>
      </w:r>
      <w:r w:rsidRPr="00A21D7D">
        <w:t xml:space="preserve">. </w:t>
      </w:r>
    </w:p>
    <w:p w14:paraId="0762C29F" w14:textId="0226CFED" w:rsidR="002A5BD6" w:rsidRPr="00A21D7D" w:rsidRDefault="00B37973" w:rsidP="00A244E6">
      <w:r w:rsidRPr="00A21D7D">
        <w:t xml:space="preserve">During the COVID-19 pandemic, </w:t>
      </w:r>
      <w:r w:rsidR="007A7861">
        <w:t>we</w:t>
      </w:r>
      <w:r w:rsidRPr="00A21D7D">
        <w:t xml:space="preserve"> continued to deliver frontline services and legislated functions by optimising flexible and remote working arrangements. </w:t>
      </w:r>
      <w:r w:rsidR="002A5BD6" w:rsidRPr="00A21D7D">
        <w:t xml:space="preserve">The IT equipment and systems available within the Commission enabled a prompt transition </w:t>
      </w:r>
      <w:r w:rsidRPr="00A21D7D">
        <w:t xml:space="preserve">from office-based </w:t>
      </w:r>
      <w:r w:rsidR="002A5BD6" w:rsidRPr="00A21D7D">
        <w:t>to remote working</w:t>
      </w:r>
      <w:r w:rsidRPr="00A21D7D">
        <w:t xml:space="preserve"> for all positions</w:t>
      </w:r>
      <w:r w:rsidR="002A5BD6" w:rsidRPr="00A21D7D">
        <w:t xml:space="preserve">. </w:t>
      </w:r>
      <w:r w:rsidR="007A7861">
        <w:t>Our i</w:t>
      </w:r>
      <w:r w:rsidRPr="00A21D7D">
        <w:t>nformation and complaint management services were</w:t>
      </w:r>
      <w:r w:rsidR="002A5BD6" w:rsidRPr="00A21D7D">
        <w:t xml:space="preserve"> maintained with conciliation conferences and enquiry services</w:t>
      </w:r>
      <w:r w:rsidR="007A7861">
        <w:t xml:space="preserve"> being conducted by telephone. Our t</w:t>
      </w:r>
      <w:r w:rsidR="002A5BD6" w:rsidRPr="00A21D7D">
        <w:t>raining deliver</w:t>
      </w:r>
      <w:r w:rsidR="007654EB" w:rsidRPr="00A21D7D">
        <w:t xml:space="preserve">y was impacted to the extent that face-to-face training was not delivered for the final 3.5 months of the financial year. </w:t>
      </w:r>
      <w:r w:rsidR="00194101">
        <w:t>For c</w:t>
      </w:r>
      <w:r w:rsidR="007654EB" w:rsidRPr="00A21D7D">
        <w:t>lients who had paid in advanc</w:t>
      </w:r>
      <w:r w:rsidR="00194101">
        <w:t xml:space="preserve">e of training being delivered, </w:t>
      </w:r>
      <w:r w:rsidR="007654EB" w:rsidRPr="00A21D7D">
        <w:t>funds were either refunded or held as unearned revenue until 2020-21 when sessions would be rescheduled based on a review of the COVID-19 situation. F</w:t>
      </w:r>
      <w:r w:rsidR="002A5BD6" w:rsidRPr="00A21D7D">
        <w:t xml:space="preserve">ace-to-face training </w:t>
      </w:r>
      <w:r w:rsidR="007654EB" w:rsidRPr="00A21D7D">
        <w:t xml:space="preserve">was </w:t>
      </w:r>
      <w:r w:rsidR="002A5BD6" w:rsidRPr="00A21D7D">
        <w:t xml:space="preserve">replaced by </w:t>
      </w:r>
      <w:r w:rsidR="007654EB" w:rsidRPr="00A21D7D">
        <w:t xml:space="preserve">a series of free </w:t>
      </w:r>
      <w:r w:rsidR="002A5BD6" w:rsidRPr="00A21D7D">
        <w:t>webinars</w:t>
      </w:r>
      <w:r w:rsidR="007654EB" w:rsidRPr="00A21D7D">
        <w:t xml:space="preserve"> on the </w:t>
      </w:r>
      <w:r w:rsidR="00FC6699" w:rsidRPr="00FC6699">
        <w:rPr>
          <w:i/>
        </w:rPr>
        <w:t>Anti-Discrimination Act 1991</w:t>
      </w:r>
      <w:r w:rsidR="007654EB" w:rsidRPr="00A21D7D">
        <w:t xml:space="preserve"> and </w:t>
      </w:r>
      <w:r w:rsidR="00FC6699" w:rsidRPr="00FC6699">
        <w:rPr>
          <w:i/>
        </w:rPr>
        <w:t>Human Rights Act 2019</w:t>
      </w:r>
      <w:r w:rsidR="007654EB" w:rsidRPr="00A21D7D">
        <w:t xml:space="preserve"> which were delivered weekly from April to June. A small number of clients chose to continue with their booked private training sessions and these were delivered using Microsoft Teams or Zoom video conferencing technology. </w:t>
      </w:r>
    </w:p>
    <w:p w14:paraId="142895D5" w14:textId="77777777" w:rsidR="002A5BD6" w:rsidRPr="00A21D7D" w:rsidRDefault="002A5BD6" w:rsidP="0042466B">
      <w:pPr>
        <w:autoSpaceDE w:val="0"/>
        <w:autoSpaceDN w:val="0"/>
        <w:adjustRightInd w:val="0"/>
        <w:spacing w:after="0" w:line="240" w:lineRule="auto"/>
        <w:rPr>
          <w:rFonts w:cs="Arial"/>
        </w:rPr>
      </w:pPr>
    </w:p>
    <w:p w14:paraId="72A9C3C8" w14:textId="1A98F37A" w:rsidR="007654EB" w:rsidRPr="00A21D7D" w:rsidRDefault="007654EB" w:rsidP="007654EB">
      <w:pPr>
        <w:autoSpaceDE w:val="0"/>
        <w:autoSpaceDN w:val="0"/>
        <w:adjustRightInd w:val="0"/>
        <w:spacing w:after="0" w:line="240" w:lineRule="auto"/>
        <w:rPr>
          <w:rFonts w:cs="Arial"/>
          <w:color w:val="000000"/>
        </w:rPr>
      </w:pPr>
      <w:r w:rsidRPr="00A21D7D">
        <w:rPr>
          <w:rFonts w:cs="Arial"/>
        </w:rPr>
        <w:t>Due to a high demand for</w:t>
      </w:r>
      <w:r w:rsidR="00EF465D">
        <w:rPr>
          <w:rFonts w:cs="Arial"/>
        </w:rPr>
        <w:t xml:space="preserve"> our</w:t>
      </w:r>
      <w:r w:rsidRPr="00A21D7D">
        <w:rPr>
          <w:rFonts w:cs="Arial"/>
        </w:rPr>
        <w:t xml:space="preserve"> training in the first three quarters of 2019-20, training revenue targets had been met ahead of schedule and as such the loss of income from suspended training had no material impact. </w:t>
      </w:r>
    </w:p>
    <w:p w14:paraId="28F6E4FC" w14:textId="721D7470" w:rsidR="0042466B" w:rsidRPr="00A21D7D" w:rsidRDefault="0042466B" w:rsidP="0042466B">
      <w:pPr>
        <w:autoSpaceDE w:val="0"/>
        <w:autoSpaceDN w:val="0"/>
        <w:adjustRightInd w:val="0"/>
        <w:spacing w:after="0" w:line="240" w:lineRule="auto"/>
        <w:rPr>
          <w:rFonts w:cs="Arial"/>
          <w:color w:val="000000"/>
        </w:rPr>
      </w:pPr>
    </w:p>
    <w:p w14:paraId="1754AF78" w14:textId="34B72803" w:rsidR="00075C64" w:rsidRPr="00A21D7D" w:rsidRDefault="00075C64" w:rsidP="00D21E10">
      <w:pPr>
        <w:rPr>
          <w:rFonts w:cs="Arial"/>
        </w:rPr>
      </w:pPr>
      <w:r w:rsidRPr="00A21D7D">
        <w:rPr>
          <w:rFonts w:cs="Arial"/>
        </w:rPr>
        <w:br w:type="page"/>
      </w:r>
    </w:p>
    <w:p w14:paraId="26DC5A0D" w14:textId="77777777" w:rsidR="006F5840" w:rsidRPr="00A21D7D" w:rsidRDefault="006F5840" w:rsidP="006860E4">
      <w:pPr>
        <w:pStyle w:val="Heading1"/>
      </w:pPr>
      <w:bookmarkStart w:id="24" w:name="_Toc49508866"/>
      <w:r w:rsidRPr="00A21D7D">
        <w:lastRenderedPageBreak/>
        <w:t>Performance statement 2019-20</w:t>
      </w:r>
      <w:bookmarkEnd w:id="24"/>
    </w:p>
    <w:p w14:paraId="6E776BD4" w14:textId="19D128EE" w:rsidR="008B0B5F" w:rsidRPr="00A21D7D" w:rsidRDefault="00194101" w:rsidP="006860E4">
      <w:pPr>
        <w:pStyle w:val="Heading2"/>
      </w:pPr>
      <w:bookmarkStart w:id="25" w:name="_Toc49508867"/>
      <w:r>
        <w:t>Service area o</w:t>
      </w:r>
      <w:r w:rsidR="008B0B5F" w:rsidRPr="00A21D7D">
        <w:t>bjective</w:t>
      </w:r>
      <w:bookmarkEnd w:id="25"/>
    </w:p>
    <w:p w14:paraId="76708C50" w14:textId="77777777" w:rsidR="008B0B5F" w:rsidRPr="00A21D7D" w:rsidRDefault="008B0B5F" w:rsidP="006860E4">
      <w:r w:rsidRPr="00A21D7D">
        <w:t xml:space="preserve">To strengthen the understanding, promotion and protection of human rights in Queensland. </w:t>
      </w:r>
    </w:p>
    <w:p w14:paraId="56C3D345" w14:textId="77777777" w:rsidR="008B0B5F" w:rsidRPr="00A21D7D" w:rsidRDefault="008B0B5F" w:rsidP="006860E4">
      <w:pPr>
        <w:pStyle w:val="Heading2"/>
      </w:pPr>
      <w:bookmarkStart w:id="26" w:name="_Toc49508868"/>
      <w:r w:rsidRPr="00A21D7D">
        <w:t>Description</w:t>
      </w:r>
      <w:bookmarkEnd w:id="26"/>
    </w:p>
    <w:p w14:paraId="318CE1CC" w14:textId="24B3241E" w:rsidR="008B0B5F" w:rsidRPr="00A21D7D" w:rsidRDefault="008B0B5F" w:rsidP="006860E4">
      <w:r w:rsidRPr="00A21D7D">
        <w:t xml:space="preserve">This service area manages complaints received under the </w:t>
      </w:r>
      <w:r w:rsidR="00FC6699" w:rsidRPr="00FC6699">
        <w:rPr>
          <w:i/>
        </w:rPr>
        <w:t>Anti-Discrimination Act 1991</w:t>
      </w:r>
      <w:r w:rsidRPr="00A21D7D">
        <w:t xml:space="preserve"> (ADA) and the </w:t>
      </w:r>
      <w:r w:rsidR="00FC6699" w:rsidRPr="00FC6699">
        <w:rPr>
          <w:i/>
        </w:rPr>
        <w:t>Human Rights Act 2019</w:t>
      </w:r>
      <w:r w:rsidRPr="00A21D7D">
        <w:rPr>
          <w:i/>
        </w:rPr>
        <w:t xml:space="preserve"> (HRA)</w:t>
      </w:r>
      <w:r w:rsidRPr="00A21D7D">
        <w:t>, delivers training to business, government and the community and promotes public discussion on human rights.</w:t>
      </w:r>
      <w:r w:rsidR="00B10E8B">
        <w:t xml:space="preserve"> </w:t>
      </w:r>
    </w:p>
    <w:p w14:paraId="04BF1FE3" w14:textId="77777777" w:rsidR="008B0B5F" w:rsidRPr="00A21D7D" w:rsidRDefault="008B0B5F" w:rsidP="008B0B5F">
      <w:pPr>
        <w:pStyle w:val="ListBullet"/>
        <w:numPr>
          <w:ilvl w:val="0"/>
          <w:numId w:val="0"/>
        </w:numPr>
        <w:ind w:left="357" w:hanging="357"/>
        <w:rPr>
          <w:rFonts w:cs="Arial"/>
        </w:rPr>
      </w:pPr>
    </w:p>
    <w:tbl>
      <w:tblPr>
        <w:tblW w:w="8222" w:type="dxa"/>
        <w:tblInd w:w="-5"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1E0" w:firstRow="1" w:lastRow="1" w:firstColumn="1" w:lastColumn="1" w:noHBand="0" w:noVBand="0"/>
      </w:tblPr>
      <w:tblGrid>
        <w:gridCol w:w="4395"/>
        <w:gridCol w:w="1275"/>
        <w:gridCol w:w="1276"/>
        <w:gridCol w:w="1276"/>
      </w:tblGrid>
      <w:tr w:rsidR="008D18D0" w:rsidRPr="00A21D7D" w14:paraId="5A62EFB6" w14:textId="77777777" w:rsidTr="00411815">
        <w:trPr>
          <w:tblHeader/>
        </w:trPr>
        <w:tc>
          <w:tcPr>
            <w:tcW w:w="4395" w:type="dxa"/>
            <w:shd w:val="clear" w:color="auto" w:fill="auto"/>
            <w:vAlign w:val="center"/>
            <w:hideMark/>
          </w:tcPr>
          <w:p w14:paraId="3336F399" w14:textId="77777777" w:rsidR="008B0B5F" w:rsidRPr="00A21D7D" w:rsidRDefault="008B0B5F" w:rsidP="00411815">
            <w:pPr>
              <w:pStyle w:val="TableTextHeading"/>
            </w:pPr>
            <w:r w:rsidRPr="00A21D7D">
              <w:t>Human Rights</w:t>
            </w:r>
          </w:p>
        </w:tc>
        <w:tc>
          <w:tcPr>
            <w:tcW w:w="1275" w:type="dxa"/>
            <w:shd w:val="clear" w:color="auto" w:fill="auto"/>
            <w:vAlign w:val="center"/>
            <w:hideMark/>
          </w:tcPr>
          <w:p w14:paraId="5E2C0DE5" w14:textId="77777777" w:rsidR="008B0B5F" w:rsidRPr="00A21D7D" w:rsidRDefault="008B0B5F" w:rsidP="00411815">
            <w:pPr>
              <w:pStyle w:val="TableTextHeading"/>
            </w:pPr>
            <w:r w:rsidRPr="00A21D7D">
              <w:t>2019-20</w:t>
            </w:r>
          </w:p>
          <w:p w14:paraId="5B1DF7CF" w14:textId="77777777" w:rsidR="008B0B5F" w:rsidRPr="00A21D7D" w:rsidRDefault="008B0B5F" w:rsidP="00411815">
            <w:pPr>
              <w:pStyle w:val="TableTextHeading"/>
            </w:pPr>
            <w:r w:rsidRPr="00A21D7D">
              <w:t>Target/Est</w:t>
            </w:r>
          </w:p>
        </w:tc>
        <w:tc>
          <w:tcPr>
            <w:tcW w:w="1276" w:type="dxa"/>
            <w:shd w:val="clear" w:color="auto" w:fill="auto"/>
            <w:vAlign w:val="center"/>
            <w:hideMark/>
          </w:tcPr>
          <w:p w14:paraId="27B8B670" w14:textId="77777777" w:rsidR="008B0B5F" w:rsidRPr="00A21D7D" w:rsidRDefault="008B0B5F" w:rsidP="00411815">
            <w:pPr>
              <w:pStyle w:val="TableTextHeading"/>
            </w:pPr>
            <w:r w:rsidRPr="00A21D7D">
              <w:t>2019-20</w:t>
            </w:r>
          </w:p>
          <w:p w14:paraId="743BB24A" w14:textId="77777777" w:rsidR="008B0B5F" w:rsidRPr="00A21D7D" w:rsidRDefault="008B0B5F" w:rsidP="00411815">
            <w:pPr>
              <w:pStyle w:val="TableTextHeading"/>
            </w:pPr>
            <w:r w:rsidRPr="00A21D7D">
              <w:t>Est Actual</w:t>
            </w:r>
          </w:p>
        </w:tc>
        <w:tc>
          <w:tcPr>
            <w:tcW w:w="1276" w:type="dxa"/>
            <w:shd w:val="clear" w:color="auto" w:fill="auto"/>
            <w:vAlign w:val="center"/>
            <w:hideMark/>
          </w:tcPr>
          <w:p w14:paraId="3133A54A" w14:textId="77777777" w:rsidR="008B0B5F" w:rsidRPr="00A21D7D" w:rsidRDefault="008B0B5F" w:rsidP="00411815">
            <w:pPr>
              <w:pStyle w:val="TableTextHeading"/>
            </w:pPr>
            <w:r w:rsidRPr="00A21D7D">
              <w:t>2020-21</w:t>
            </w:r>
          </w:p>
          <w:p w14:paraId="2558CAA5" w14:textId="77777777" w:rsidR="008B0B5F" w:rsidRPr="00A21D7D" w:rsidRDefault="008B0B5F" w:rsidP="00411815">
            <w:pPr>
              <w:pStyle w:val="TableTextHeading"/>
            </w:pPr>
            <w:r w:rsidRPr="00A21D7D">
              <w:t>Target/Est</w:t>
            </w:r>
          </w:p>
        </w:tc>
      </w:tr>
      <w:tr w:rsidR="008D18D0" w:rsidRPr="00A21D7D" w14:paraId="79F1666C" w14:textId="77777777" w:rsidTr="00411815">
        <w:tc>
          <w:tcPr>
            <w:tcW w:w="4395" w:type="dxa"/>
            <w:shd w:val="clear" w:color="auto" w:fill="auto"/>
            <w:vAlign w:val="bottom"/>
            <w:hideMark/>
          </w:tcPr>
          <w:p w14:paraId="2092F5CE" w14:textId="77777777" w:rsidR="008B0B5F" w:rsidRPr="00411815" w:rsidRDefault="008B0B5F" w:rsidP="00411815">
            <w:pPr>
              <w:pStyle w:val="TableTextBody"/>
              <w:rPr>
                <w:b/>
              </w:rPr>
            </w:pPr>
            <w:r w:rsidRPr="00411815">
              <w:rPr>
                <w:b/>
              </w:rPr>
              <w:t>Service standards</w:t>
            </w:r>
          </w:p>
          <w:p w14:paraId="40ECADC3" w14:textId="77777777" w:rsidR="008B0B5F" w:rsidRPr="00411815" w:rsidRDefault="008B0B5F" w:rsidP="00411815">
            <w:pPr>
              <w:pStyle w:val="TableTextBody"/>
              <w:rPr>
                <w:i/>
              </w:rPr>
            </w:pPr>
            <w:r w:rsidRPr="00411815">
              <w:rPr>
                <w:i/>
              </w:rPr>
              <w:t>Effectiveness measures</w:t>
            </w:r>
          </w:p>
          <w:p w14:paraId="52D2E815" w14:textId="77777777" w:rsidR="008B0B5F" w:rsidRPr="00A21D7D" w:rsidRDefault="008B0B5F" w:rsidP="00411815">
            <w:pPr>
              <w:pStyle w:val="TableTextBody"/>
            </w:pPr>
            <w:r w:rsidRPr="00A21D7D">
              <w:t>Percentage of accepted ADA complaints resolved by conciliation</w:t>
            </w:r>
            <w:r w:rsidRPr="00A21D7D">
              <w:rPr>
                <w:vertAlign w:val="superscript"/>
              </w:rPr>
              <w:t>1</w:t>
            </w:r>
          </w:p>
        </w:tc>
        <w:tc>
          <w:tcPr>
            <w:tcW w:w="1275" w:type="dxa"/>
            <w:shd w:val="clear" w:color="auto" w:fill="auto"/>
            <w:vAlign w:val="bottom"/>
          </w:tcPr>
          <w:p w14:paraId="001E4A18" w14:textId="77777777" w:rsidR="008B0B5F" w:rsidRPr="00A21D7D" w:rsidRDefault="008B0B5F" w:rsidP="00411815">
            <w:pPr>
              <w:pStyle w:val="TableTextBody"/>
            </w:pPr>
            <w:r w:rsidRPr="00A21D7D">
              <w:t>55%</w:t>
            </w:r>
          </w:p>
        </w:tc>
        <w:tc>
          <w:tcPr>
            <w:tcW w:w="1276" w:type="dxa"/>
            <w:shd w:val="clear" w:color="auto" w:fill="auto"/>
            <w:vAlign w:val="bottom"/>
          </w:tcPr>
          <w:p w14:paraId="250D33BE" w14:textId="738E5D66" w:rsidR="008B0B5F" w:rsidRPr="00A21D7D" w:rsidRDefault="009C6263" w:rsidP="00411815">
            <w:pPr>
              <w:pStyle w:val="TableTextBody"/>
            </w:pPr>
            <w:r>
              <w:t>48</w:t>
            </w:r>
            <w:r w:rsidR="008B0B5F" w:rsidRPr="00A21D7D">
              <w:t>%</w:t>
            </w:r>
          </w:p>
        </w:tc>
        <w:tc>
          <w:tcPr>
            <w:tcW w:w="1276" w:type="dxa"/>
            <w:shd w:val="clear" w:color="auto" w:fill="auto"/>
            <w:vAlign w:val="bottom"/>
          </w:tcPr>
          <w:p w14:paraId="0686BC45" w14:textId="77777777" w:rsidR="008B0B5F" w:rsidRPr="00A21D7D" w:rsidRDefault="008B0B5F" w:rsidP="00411815">
            <w:pPr>
              <w:pStyle w:val="TableTextBody"/>
            </w:pPr>
            <w:r w:rsidRPr="00A21D7D">
              <w:t>55%</w:t>
            </w:r>
          </w:p>
        </w:tc>
      </w:tr>
      <w:tr w:rsidR="008D18D0" w:rsidRPr="00A21D7D" w14:paraId="16193043" w14:textId="77777777" w:rsidTr="00411815">
        <w:tc>
          <w:tcPr>
            <w:tcW w:w="4395" w:type="dxa"/>
            <w:shd w:val="clear" w:color="auto" w:fill="auto"/>
            <w:vAlign w:val="bottom"/>
          </w:tcPr>
          <w:p w14:paraId="3CF348C0" w14:textId="77777777" w:rsidR="008B0B5F" w:rsidRPr="00411815" w:rsidRDefault="008B0B5F" w:rsidP="00411815">
            <w:pPr>
              <w:pStyle w:val="TableTextBody"/>
            </w:pPr>
            <w:r w:rsidRPr="00411815">
              <w:t>Percentage of clients satisfied with complaint handling service measured via client survey</w:t>
            </w:r>
            <w:r w:rsidRPr="00411815">
              <w:rPr>
                <w:vertAlign w:val="superscript"/>
              </w:rPr>
              <w:t>2</w:t>
            </w:r>
          </w:p>
        </w:tc>
        <w:tc>
          <w:tcPr>
            <w:tcW w:w="1275" w:type="dxa"/>
            <w:shd w:val="clear" w:color="auto" w:fill="auto"/>
            <w:vAlign w:val="bottom"/>
          </w:tcPr>
          <w:p w14:paraId="5C3ACFFB" w14:textId="77777777" w:rsidR="008B0B5F" w:rsidRPr="00A21D7D" w:rsidRDefault="008B0B5F" w:rsidP="00411815">
            <w:pPr>
              <w:pStyle w:val="TableTextBody"/>
            </w:pPr>
            <w:r w:rsidRPr="00A21D7D">
              <w:t>85%</w:t>
            </w:r>
          </w:p>
        </w:tc>
        <w:tc>
          <w:tcPr>
            <w:tcW w:w="1276" w:type="dxa"/>
            <w:shd w:val="clear" w:color="auto" w:fill="auto"/>
            <w:vAlign w:val="bottom"/>
          </w:tcPr>
          <w:p w14:paraId="5749AF0B" w14:textId="6B68B892" w:rsidR="008B0B5F" w:rsidRPr="00A21D7D" w:rsidRDefault="006D0E37" w:rsidP="00411815">
            <w:pPr>
              <w:pStyle w:val="TableTextBody"/>
            </w:pPr>
            <w:r w:rsidRPr="006D0E37">
              <w:t>81</w:t>
            </w:r>
            <w:r w:rsidR="008B0B5F" w:rsidRPr="006D0E37">
              <w:t>%</w:t>
            </w:r>
            <w:r w:rsidR="008B0B5F" w:rsidRPr="00A21D7D">
              <w:rPr>
                <w:lang w:eastAsia="en-AU"/>
              </w:rPr>
              <w:t xml:space="preserve"> </w:t>
            </w:r>
          </w:p>
        </w:tc>
        <w:tc>
          <w:tcPr>
            <w:tcW w:w="1276" w:type="dxa"/>
            <w:shd w:val="clear" w:color="auto" w:fill="auto"/>
            <w:vAlign w:val="bottom"/>
          </w:tcPr>
          <w:p w14:paraId="40CD1130" w14:textId="77777777" w:rsidR="008B0B5F" w:rsidRPr="00A21D7D" w:rsidRDefault="008B0B5F" w:rsidP="00411815">
            <w:pPr>
              <w:pStyle w:val="TableTextBody"/>
            </w:pPr>
            <w:r w:rsidRPr="00A21D7D">
              <w:t>85%</w:t>
            </w:r>
          </w:p>
        </w:tc>
      </w:tr>
      <w:tr w:rsidR="008D18D0" w:rsidRPr="00A21D7D" w14:paraId="5C8D3BBF" w14:textId="77777777" w:rsidTr="00411815">
        <w:tc>
          <w:tcPr>
            <w:tcW w:w="4395" w:type="dxa"/>
            <w:shd w:val="clear" w:color="auto" w:fill="auto"/>
            <w:vAlign w:val="bottom"/>
          </w:tcPr>
          <w:p w14:paraId="5F5D3B4D" w14:textId="77777777" w:rsidR="008B0B5F" w:rsidRPr="00411815" w:rsidRDefault="008B0B5F" w:rsidP="00411815">
            <w:pPr>
              <w:pStyle w:val="TableTextBody"/>
            </w:pPr>
            <w:r w:rsidRPr="00411815">
              <w:t>Percentage of clients satisfied with training sessions measured via client survey</w:t>
            </w:r>
            <w:r w:rsidRPr="00411815">
              <w:rPr>
                <w:rStyle w:val="SubtleReference"/>
                <w:rFonts w:cs="Arial"/>
                <w:color w:val="auto"/>
                <w:sz w:val="22"/>
                <w:szCs w:val="22"/>
                <w:vertAlign w:val="superscript"/>
              </w:rPr>
              <w:t>2</w:t>
            </w:r>
          </w:p>
        </w:tc>
        <w:tc>
          <w:tcPr>
            <w:tcW w:w="1275" w:type="dxa"/>
            <w:shd w:val="clear" w:color="auto" w:fill="auto"/>
            <w:vAlign w:val="bottom"/>
          </w:tcPr>
          <w:p w14:paraId="16B8E552" w14:textId="77777777" w:rsidR="008B0B5F" w:rsidRPr="00A21D7D" w:rsidRDefault="008B0B5F" w:rsidP="00411815">
            <w:pPr>
              <w:pStyle w:val="TableTextBody"/>
            </w:pPr>
            <w:r w:rsidRPr="00A21D7D">
              <w:t>95%</w:t>
            </w:r>
          </w:p>
        </w:tc>
        <w:tc>
          <w:tcPr>
            <w:tcW w:w="1276" w:type="dxa"/>
            <w:shd w:val="clear" w:color="auto" w:fill="auto"/>
            <w:vAlign w:val="bottom"/>
          </w:tcPr>
          <w:p w14:paraId="4E42474A" w14:textId="77777777" w:rsidR="008B0B5F" w:rsidRPr="00A21D7D" w:rsidRDefault="008B0B5F" w:rsidP="00411815">
            <w:pPr>
              <w:pStyle w:val="TableTextBody"/>
            </w:pPr>
            <w:r w:rsidRPr="00A21D7D">
              <w:t>96%</w:t>
            </w:r>
          </w:p>
        </w:tc>
        <w:tc>
          <w:tcPr>
            <w:tcW w:w="1276" w:type="dxa"/>
            <w:shd w:val="clear" w:color="auto" w:fill="auto"/>
            <w:vAlign w:val="bottom"/>
          </w:tcPr>
          <w:p w14:paraId="5FB5CD2E" w14:textId="77777777" w:rsidR="008B0B5F" w:rsidRPr="00A21D7D" w:rsidRDefault="008B0B5F" w:rsidP="00411815">
            <w:pPr>
              <w:pStyle w:val="TableTextBody"/>
            </w:pPr>
            <w:r w:rsidRPr="00A21D7D">
              <w:t>95%</w:t>
            </w:r>
          </w:p>
        </w:tc>
      </w:tr>
      <w:tr w:rsidR="008D18D0" w:rsidRPr="00A21D7D" w14:paraId="2618914D" w14:textId="77777777" w:rsidTr="00411815">
        <w:tc>
          <w:tcPr>
            <w:tcW w:w="4395" w:type="dxa"/>
            <w:shd w:val="clear" w:color="auto" w:fill="auto"/>
            <w:vAlign w:val="bottom"/>
            <w:hideMark/>
          </w:tcPr>
          <w:p w14:paraId="3139E6A7" w14:textId="77777777" w:rsidR="008B0B5F" w:rsidRPr="00A21D7D" w:rsidRDefault="008B0B5F" w:rsidP="00411815">
            <w:pPr>
              <w:pStyle w:val="TableTextBody"/>
              <w:rPr>
                <w:vertAlign w:val="superscript"/>
              </w:rPr>
            </w:pPr>
            <w:r w:rsidRPr="00A21D7D">
              <w:t>Percentage of accepted ADA complaints finalised within the Commission</w:t>
            </w:r>
            <w:r w:rsidRPr="00A21D7D">
              <w:rPr>
                <w:vertAlign w:val="superscript"/>
              </w:rPr>
              <w:t>3</w:t>
            </w:r>
          </w:p>
        </w:tc>
        <w:tc>
          <w:tcPr>
            <w:tcW w:w="1275" w:type="dxa"/>
            <w:shd w:val="clear" w:color="auto" w:fill="auto"/>
            <w:vAlign w:val="bottom"/>
          </w:tcPr>
          <w:p w14:paraId="15526D76" w14:textId="77777777" w:rsidR="008B0B5F" w:rsidRPr="00A21D7D" w:rsidRDefault="008B0B5F" w:rsidP="00411815">
            <w:pPr>
              <w:pStyle w:val="TableTextBody"/>
            </w:pPr>
            <w:r w:rsidRPr="00A21D7D">
              <w:t>70%</w:t>
            </w:r>
          </w:p>
        </w:tc>
        <w:tc>
          <w:tcPr>
            <w:tcW w:w="1276" w:type="dxa"/>
            <w:shd w:val="clear" w:color="auto" w:fill="auto"/>
            <w:vAlign w:val="bottom"/>
          </w:tcPr>
          <w:p w14:paraId="163E04B6" w14:textId="77777777" w:rsidR="008B0B5F" w:rsidRPr="00A21D7D" w:rsidRDefault="008B0B5F" w:rsidP="00411815">
            <w:pPr>
              <w:pStyle w:val="TableTextBody"/>
            </w:pPr>
            <w:r w:rsidRPr="00A21D7D">
              <w:t>68%</w:t>
            </w:r>
          </w:p>
        </w:tc>
        <w:tc>
          <w:tcPr>
            <w:tcW w:w="1276" w:type="dxa"/>
            <w:shd w:val="clear" w:color="auto" w:fill="auto"/>
            <w:vAlign w:val="bottom"/>
          </w:tcPr>
          <w:p w14:paraId="64478079" w14:textId="77777777" w:rsidR="008B0B5F" w:rsidRPr="00A21D7D" w:rsidRDefault="008B0B5F" w:rsidP="00411815">
            <w:pPr>
              <w:pStyle w:val="TableTextBody"/>
            </w:pPr>
            <w:r w:rsidRPr="00A21D7D">
              <w:t>70%</w:t>
            </w:r>
          </w:p>
        </w:tc>
      </w:tr>
      <w:tr w:rsidR="008D18D0" w:rsidRPr="00A21D7D" w14:paraId="260C56FF" w14:textId="77777777" w:rsidTr="00411815">
        <w:tc>
          <w:tcPr>
            <w:tcW w:w="4395" w:type="dxa"/>
            <w:shd w:val="clear" w:color="auto" w:fill="auto"/>
            <w:vAlign w:val="bottom"/>
            <w:hideMark/>
          </w:tcPr>
          <w:p w14:paraId="178B0DAB" w14:textId="77777777" w:rsidR="008B0B5F" w:rsidRPr="00411815" w:rsidRDefault="008B0B5F" w:rsidP="00411815">
            <w:pPr>
              <w:pStyle w:val="TableTextBody"/>
              <w:rPr>
                <w:i/>
              </w:rPr>
            </w:pPr>
            <w:r w:rsidRPr="00411815">
              <w:rPr>
                <w:i/>
              </w:rPr>
              <w:t>Efficiency measure</w:t>
            </w:r>
          </w:p>
          <w:p w14:paraId="4C9812AA" w14:textId="77777777" w:rsidR="008B0B5F" w:rsidRPr="00A21D7D" w:rsidRDefault="008B0B5F" w:rsidP="00411815">
            <w:pPr>
              <w:pStyle w:val="TableTextBody"/>
            </w:pPr>
            <w:r w:rsidRPr="00A21D7D">
              <w:t>Clearance rate for accepted complaints dealt with under the ADA</w:t>
            </w:r>
            <w:r w:rsidRPr="00A21D7D">
              <w:rPr>
                <w:vertAlign w:val="superscript"/>
              </w:rPr>
              <w:t>4</w:t>
            </w:r>
          </w:p>
        </w:tc>
        <w:tc>
          <w:tcPr>
            <w:tcW w:w="1275" w:type="dxa"/>
            <w:shd w:val="clear" w:color="auto" w:fill="auto"/>
            <w:vAlign w:val="bottom"/>
          </w:tcPr>
          <w:p w14:paraId="0110F0C8" w14:textId="77777777" w:rsidR="008B0B5F" w:rsidRPr="00A21D7D" w:rsidRDefault="008B0B5F" w:rsidP="00411815">
            <w:pPr>
              <w:pStyle w:val="TableTextBody"/>
            </w:pPr>
            <w:r w:rsidRPr="00A21D7D">
              <w:t>100%</w:t>
            </w:r>
          </w:p>
        </w:tc>
        <w:tc>
          <w:tcPr>
            <w:tcW w:w="1276" w:type="dxa"/>
            <w:shd w:val="clear" w:color="auto" w:fill="auto"/>
            <w:vAlign w:val="bottom"/>
          </w:tcPr>
          <w:p w14:paraId="01F1E727" w14:textId="5A7F23C5" w:rsidR="008B0B5F" w:rsidRPr="00A21D7D" w:rsidRDefault="006D0E37" w:rsidP="00411815">
            <w:pPr>
              <w:pStyle w:val="TableTextBody"/>
            </w:pPr>
            <w:r>
              <w:t>94</w:t>
            </w:r>
            <w:r w:rsidR="008B0B5F" w:rsidRPr="00A21D7D">
              <w:t>%</w:t>
            </w:r>
          </w:p>
        </w:tc>
        <w:tc>
          <w:tcPr>
            <w:tcW w:w="1276" w:type="dxa"/>
            <w:shd w:val="clear" w:color="auto" w:fill="auto"/>
            <w:vAlign w:val="bottom"/>
          </w:tcPr>
          <w:p w14:paraId="383D6304" w14:textId="77777777" w:rsidR="008B0B5F" w:rsidRPr="00A21D7D" w:rsidRDefault="008B0B5F" w:rsidP="00411815">
            <w:pPr>
              <w:pStyle w:val="TableTextBody"/>
            </w:pPr>
            <w:r w:rsidRPr="00A21D7D">
              <w:t>100%</w:t>
            </w:r>
          </w:p>
        </w:tc>
      </w:tr>
    </w:tbl>
    <w:p w14:paraId="42724B41" w14:textId="77777777" w:rsidR="008B0B5F" w:rsidRPr="00A21D7D" w:rsidRDefault="008B0B5F" w:rsidP="008B0B5F">
      <w:pPr>
        <w:pStyle w:val="Note"/>
        <w:rPr>
          <w:rFonts w:cs="Arial"/>
        </w:rPr>
      </w:pPr>
      <w:r w:rsidRPr="00A21D7D">
        <w:rPr>
          <w:rFonts w:cs="Arial"/>
        </w:rPr>
        <w:t>Notes:</w:t>
      </w:r>
    </w:p>
    <w:p w14:paraId="35BDD58E" w14:textId="77777777" w:rsidR="008B0B5F" w:rsidRPr="00A21D7D" w:rsidRDefault="008B0B5F" w:rsidP="00411815">
      <w:pPr>
        <w:pStyle w:val="NoteIndent"/>
      </w:pPr>
      <w:r w:rsidRPr="00A21D7D">
        <w:t>This measure is used to show how many accepted ADA complaints are resolved by the QHRC, rather than being referred to a tribunal hearing. The target/estimate represents historical conciliation success rate.</w:t>
      </w:r>
    </w:p>
    <w:p w14:paraId="4EB6735D" w14:textId="77777777" w:rsidR="008B0B5F" w:rsidRPr="00A21D7D" w:rsidRDefault="008B0B5F" w:rsidP="00411815">
      <w:pPr>
        <w:pStyle w:val="NoteIndent"/>
      </w:pPr>
      <w:r w:rsidRPr="00A21D7D">
        <w:t>This is a measure of overall satisfaction with the services provided by the QHRC. Complaint parties and training clients are surveyed to determine their satisfaction with the services they receive including, for example, relevance, impartiality, content and professionalism. The measure is calculated by dividing responses where clients indicate they are neutral to very satisfied by total responses and then expressing the result as a percentage.</w:t>
      </w:r>
    </w:p>
    <w:p w14:paraId="48749B44" w14:textId="6C635E26" w:rsidR="008B0B5F" w:rsidRPr="00A21D7D" w:rsidRDefault="008B0B5F" w:rsidP="00411815">
      <w:pPr>
        <w:pStyle w:val="NoteIndent"/>
      </w:pPr>
      <w:r w:rsidRPr="00A21D7D">
        <w:t>This measure is only relevant to complaints made under the ADA as complaints made under the HRA are unable to be referred to a tribunal hearing.</w:t>
      </w:r>
      <w:r w:rsidR="00B10E8B">
        <w:t xml:space="preserve"> </w:t>
      </w:r>
    </w:p>
    <w:p w14:paraId="3C75496F" w14:textId="10A20C13" w:rsidR="00F87EB0" w:rsidRDefault="008B0B5F" w:rsidP="00F87EB0">
      <w:pPr>
        <w:pStyle w:val="NoteIndent"/>
        <w:rPr>
          <w:rFonts w:eastAsia="Times New Roman" w:cs="Arial"/>
          <w:bCs/>
          <w:color w:val="000000" w:themeColor="text1"/>
          <w:kern w:val="36"/>
          <w:sz w:val="48"/>
          <w:szCs w:val="48"/>
          <w:lang w:eastAsia="en-AU"/>
        </w:rPr>
      </w:pPr>
      <w:r w:rsidRPr="00A21D7D">
        <w:t xml:space="preserve">This service standard is a proxy measure of efficiency which compares the number of complaints finalised with the number of complaints accepted in the reporting period. The measure is affected by both the number and timing of new matters and closures. A number below 100 per cent does not necessarily indicate an increasing backlog, but may be the result of increased numbers of new and recent matters. The measure demonstrates QHRC's efficiency by finalising complaints received in a timely manner within existing resource levels. </w:t>
      </w:r>
    </w:p>
    <w:p w14:paraId="18BB1141" w14:textId="0DD9E91D" w:rsidR="006860E4" w:rsidRDefault="006860E4">
      <w:pPr>
        <w:rPr>
          <w:rFonts w:eastAsia="Times New Roman" w:cs="Arial"/>
          <w:bCs/>
          <w:color w:val="000000" w:themeColor="text1"/>
          <w:kern w:val="36"/>
          <w:sz w:val="48"/>
          <w:szCs w:val="48"/>
          <w:lang w:eastAsia="en-AU"/>
        </w:rPr>
      </w:pPr>
    </w:p>
    <w:p w14:paraId="2D1E0F37" w14:textId="77777777" w:rsidR="00F87EB0" w:rsidRDefault="00F87EB0">
      <w:pPr>
        <w:ind w:right="0"/>
        <w:rPr>
          <w:rFonts w:eastAsia="Times New Roman" w:cs="Arial"/>
          <w:bCs/>
          <w:color w:val="000000" w:themeColor="text1"/>
          <w:kern w:val="36"/>
          <w:sz w:val="48"/>
          <w:szCs w:val="48"/>
          <w:lang w:eastAsia="en-AU"/>
        </w:rPr>
      </w:pPr>
      <w:bookmarkStart w:id="27" w:name="_Toc49508869"/>
      <w:r>
        <w:rPr>
          <w:rFonts w:cs="Arial"/>
        </w:rPr>
        <w:br w:type="page"/>
      </w:r>
    </w:p>
    <w:p w14:paraId="3EE637DF" w14:textId="1C7AC681" w:rsidR="006F5840" w:rsidRPr="00A21D7D" w:rsidRDefault="00292A6B" w:rsidP="00525468">
      <w:pPr>
        <w:pStyle w:val="Heading1"/>
        <w:rPr>
          <w:rFonts w:cs="Arial"/>
        </w:rPr>
      </w:pPr>
      <w:r w:rsidRPr="00A21D7D">
        <w:rPr>
          <w:rFonts w:cs="Arial"/>
        </w:rPr>
        <w:lastRenderedPageBreak/>
        <w:t>E</w:t>
      </w:r>
      <w:r w:rsidR="006F5840" w:rsidRPr="00A21D7D">
        <w:rPr>
          <w:rFonts w:cs="Arial"/>
        </w:rPr>
        <w:t>ngagement and education</w:t>
      </w:r>
      <w:bookmarkEnd w:id="27"/>
      <w:r w:rsidR="006F5840" w:rsidRPr="00A21D7D">
        <w:rPr>
          <w:rFonts w:cs="Arial"/>
        </w:rPr>
        <w:t xml:space="preserve"> </w:t>
      </w:r>
    </w:p>
    <w:p w14:paraId="2AA364DD" w14:textId="64BA2FCD" w:rsidR="00292A6B" w:rsidRPr="00A21D7D" w:rsidRDefault="00EF465D" w:rsidP="00A244E6">
      <w:pPr>
        <w:rPr>
          <w:lang w:val="en-US"/>
        </w:rPr>
      </w:pPr>
      <w:r>
        <w:rPr>
          <w:lang w:val="en-US"/>
        </w:rPr>
        <w:t>We</w:t>
      </w:r>
      <w:r w:rsidR="00292A6B" w:rsidRPr="00A21D7D">
        <w:rPr>
          <w:lang w:val="en-US"/>
        </w:rPr>
        <w:t xml:space="preserve"> undertake a variety of engagement and education activities to connect with different audiences, and help all people in Queensland understand and exercise their rights. </w:t>
      </w:r>
      <w:r w:rsidR="009807D1" w:rsidRPr="00A21D7D">
        <w:rPr>
          <w:lang w:val="en-US"/>
        </w:rPr>
        <w:t xml:space="preserve">With the introduction of the </w:t>
      </w:r>
      <w:r w:rsidR="00FC6699" w:rsidRPr="00FC6699">
        <w:rPr>
          <w:i/>
          <w:lang w:val="en-US"/>
        </w:rPr>
        <w:t>Human Rights Act 2019</w:t>
      </w:r>
      <w:r w:rsidR="009807D1" w:rsidRPr="00A21D7D">
        <w:rPr>
          <w:lang w:val="en-US"/>
        </w:rPr>
        <w:t xml:space="preserve"> during this period, a key focus of our engagement activities was acquainting audiences with the Commission’s change of name and additional functions, as well as raising awareness of new rights and obligations created by the Act. </w:t>
      </w:r>
    </w:p>
    <w:p w14:paraId="2AE17CC5" w14:textId="77777777" w:rsidR="006860E4" w:rsidRDefault="000B332C" w:rsidP="006860E4">
      <w:pPr>
        <w:pStyle w:val="Heading2"/>
      </w:pPr>
      <w:bookmarkStart w:id="28" w:name="_Toc49508870"/>
      <w:r w:rsidRPr="00A21D7D">
        <w:t>Events</w:t>
      </w:r>
      <w:bookmarkEnd w:id="28"/>
    </w:p>
    <w:p w14:paraId="027AE8E9" w14:textId="6FE5CB8A" w:rsidR="009553F4" w:rsidRDefault="00C46C3F" w:rsidP="00A244E6">
      <w:r w:rsidRPr="00A21D7D">
        <w:t>Participating in community events is</w:t>
      </w:r>
      <w:r w:rsidR="00A72450">
        <w:t xml:space="preserve"> one strategy for increasing</w:t>
      </w:r>
      <w:r w:rsidRPr="00A21D7D">
        <w:t xml:space="preserve"> </w:t>
      </w:r>
      <w:r w:rsidR="00EF465D">
        <w:t xml:space="preserve">our </w:t>
      </w:r>
      <w:r w:rsidRPr="00A21D7D">
        <w:t xml:space="preserve">visibility as well as making information and services accessible to a broad range of audiences. </w:t>
      </w:r>
      <w:r w:rsidR="00B5358E" w:rsidRPr="00A21D7D">
        <w:t xml:space="preserve">Our involvement can range from holding an information stall at a community event to being a </w:t>
      </w:r>
      <w:r w:rsidR="004557AF" w:rsidRPr="00A21D7D">
        <w:t>host, co-host or</w:t>
      </w:r>
      <w:r w:rsidR="00B5358E" w:rsidRPr="00A21D7D">
        <w:t xml:space="preserve"> organising partner for major initiatives. Events are particularly important in our regional locations to facilitate connection between local communities and our regional offices. </w:t>
      </w:r>
    </w:p>
    <w:p w14:paraId="69F5AEFA" w14:textId="2DD3FE83" w:rsidR="009553F4" w:rsidRDefault="00B75430" w:rsidP="009553F4">
      <w:pPr>
        <w:pStyle w:val="Keystatistics"/>
      </w:pPr>
      <w:r w:rsidRPr="00A21D7D">
        <w:t xml:space="preserve">We were involved in </w:t>
      </w:r>
      <w:r w:rsidR="009553F4">
        <w:t xml:space="preserve">almost </w:t>
      </w:r>
      <w:r w:rsidR="009553F4" w:rsidRPr="009553F4">
        <w:rPr>
          <w:sz w:val="36"/>
          <w:szCs w:val="36"/>
        </w:rPr>
        <w:t>60</w:t>
      </w:r>
      <w:r w:rsidRPr="00A21D7D">
        <w:t xml:space="preserve"> events in 2019-20</w:t>
      </w:r>
      <w:r w:rsidR="009553F4">
        <w:t xml:space="preserve">. </w:t>
      </w:r>
    </w:p>
    <w:p w14:paraId="2084F182" w14:textId="2039F195" w:rsidR="000B332C" w:rsidRPr="00A21D7D" w:rsidRDefault="009553F4" w:rsidP="00A244E6">
      <w:r>
        <w:t>These</w:t>
      </w:r>
      <w:r w:rsidR="00B75430" w:rsidRPr="00A21D7D">
        <w:t xml:space="preserve"> includ</w:t>
      </w:r>
      <w:r>
        <w:t>ed</w:t>
      </w:r>
      <w:r w:rsidR="00B75430" w:rsidRPr="00A21D7D">
        <w:t>:</w:t>
      </w:r>
      <w:r w:rsidR="00B10E8B">
        <w:t xml:space="preserve"> </w:t>
      </w:r>
    </w:p>
    <w:p w14:paraId="4AA8874E" w14:textId="4CFBA824" w:rsidR="00B5358E" w:rsidRPr="00A21D7D" w:rsidRDefault="00B5358E" w:rsidP="00411815">
      <w:pPr>
        <w:pStyle w:val="ListParagraph"/>
        <w:numPr>
          <w:ilvl w:val="0"/>
          <w:numId w:val="38"/>
        </w:numPr>
      </w:pPr>
      <w:r w:rsidRPr="00A21D7D">
        <w:t>2019 AFL citizenship ceremony</w:t>
      </w:r>
      <w:r w:rsidR="00BD16B7">
        <w:t>;</w:t>
      </w:r>
    </w:p>
    <w:p w14:paraId="3D9B82CB" w14:textId="15E0A4B5" w:rsidR="004557AF" w:rsidRPr="00A21D7D" w:rsidRDefault="004557AF" w:rsidP="00411815">
      <w:pPr>
        <w:pStyle w:val="ListParagraph"/>
        <w:numPr>
          <w:ilvl w:val="0"/>
          <w:numId w:val="38"/>
        </w:numPr>
      </w:pPr>
      <w:r w:rsidRPr="00A21D7D">
        <w:t>Fifth annual International Women’s Day event hosted by QHRC Townsville office</w:t>
      </w:r>
      <w:r w:rsidR="00BD16B7">
        <w:t>;</w:t>
      </w:r>
    </w:p>
    <w:p w14:paraId="7D2510AB" w14:textId="25E0A750" w:rsidR="00B5358E" w:rsidRPr="00A21D7D" w:rsidRDefault="00B5358E" w:rsidP="00411815">
      <w:pPr>
        <w:pStyle w:val="ListParagraph"/>
        <w:numPr>
          <w:ilvl w:val="0"/>
          <w:numId w:val="38"/>
        </w:numPr>
      </w:pPr>
      <w:r w:rsidRPr="00A21D7D">
        <w:t>Townsville racism and employment community forum</w:t>
      </w:r>
      <w:r w:rsidR="00BD16B7">
        <w:t>;</w:t>
      </w:r>
    </w:p>
    <w:p w14:paraId="3679161B" w14:textId="06C929FA" w:rsidR="00B75430" w:rsidRPr="00A21D7D" w:rsidRDefault="004557AF" w:rsidP="00411815">
      <w:pPr>
        <w:pStyle w:val="ListParagraph"/>
        <w:numPr>
          <w:ilvl w:val="0"/>
          <w:numId w:val="38"/>
        </w:numPr>
      </w:pPr>
      <w:r w:rsidRPr="00A21D7D">
        <w:t xml:space="preserve">Changing Lives, Changing Communities – community conversations in </w:t>
      </w:r>
      <w:r w:rsidR="00525468" w:rsidRPr="00A21D7D">
        <w:t xml:space="preserve">Mackay, Brisbane, </w:t>
      </w:r>
      <w:r w:rsidR="00B75430" w:rsidRPr="00A21D7D">
        <w:t>Caboolture and Gold Coast</w:t>
      </w:r>
      <w:r w:rsidR="00BD16B7">
        <w:t>;</w:t>
      </w:r>
    </w:p>
    <w:p w14:paraId="0A974388" w14:textId="714CB104" w:rsidR="004557AF" w:rsidRPr="00A21D7D" w:rsidRDefault="004557AF" w:rsidP="00411815">
      <w:pPr>
        <w:pStyle w:val="ListParagraph"/>
        <w:numPr>
          <w:ilvl w:val="0"/>
          <w:numId w:val="38"/>
        </w:numPr>
      </w:pPr>
      <w:r w:rsidRPr="00A21D7D">
        <w:t>NAIDOC week events in Rockhampton, Townsville, Cairns and South-East Queensland</w:t>
      </w:r>
      <w:r w:rsidR="00BD16B7">
        <w:t>;</w:t>
      </w:r>
    </w:p>
    <w:p w14:paraId="4B8287EA" w14:textId="24A105FA" w:rsidR="004557AF" w:rsidRPr="00A21D7D" w:rsidRDefault="004557AF" w:rsidP="00411815">
      <w:pPr>
        <w:pStyle w:val="ListParagraph"/>
        <w:numPr>
          <w:ilvl w:val="0"/>
          <w:numId w:val="38"/>
        </w:numPr>
      </w:pPr>
      <w:r w:rsidRPr="00A21D7D">
        <w:t>Pride Fair Day events in Brisbane</w:t>
      </w:r>
      <w:r w:rsidR="00B42AA8" w:rsidRPr="00A21D7D">
        <w:t xml:space="preserve"> and Rockhampton</w:t>
      </w:r>
      <w:r w:rsidR="00BD16B7">
        <w:t>;</w:t>
      </w:r>
    </w:p>
    <w:p w14:paraId="3AED57BE" w14:textId="57150B8A" w:rsidR="004557AF" w:rsidRPr="00A21D7D" w:rsidRDefault="004557AF" w:rsidP="00411815">
      <w:pPr>
        <w:pStyle w:val="ListParagraph"/>
        <w:numPr>
          <w:ilvl w:val="0"/>
          <w:numId w:val="38"/>
        </w:numPr>
      </w:pPr>
      <w:r w:rsidRPr="00A21D7D">
        <w:t>University orientation week events in Townsville and Cairns</w:t>
      </w:r>
      <w:r w:rsidR="00BD16B7">
        <w:t>;</w:t>
      </w:r>
    </w:p>
    <w:p w14:paraId="3EBEA843" w14:textId="36457725" w:rsidR="004557AF" w:rsidRPr="00A21D7D" w:rsidRDefault="004557AF" w:rsidP="00411815">
      <w:pPr>
        <w:pStyle w:val="ListParagraph"/>
        <w:numPr>
          <w:ilvl w:val="0"/>
          <w:numId w:val="38"/>
        </w:numPr>
      </w:pPr>
      <w:r w:rsidRPr="00A21D7D">
        <w:t>Disability action and inclusion events including contributing to local council access and inclusion advisory committees</w:t>
      </w:r>
      <w:r w:rsidR="00BD16B7">
        <w:t>;</w:t>
      </w:r>
    </w:p>
    <w:p w14:paraId="2F625A19" w14:textId="620505CB" w:rsidR="004557AF" w:rsidRPr="00A21D7D" w:rsidRDefault="004557AF" w:rsidP="00411815">
      <w:pPr>
        <w:pStyle w:val="ListParagraph"/>
        <w:numPr>
          <w:ilvl w:val="0"/>
          <w:numId w:val="38"/>
        </w:numPr>
      </w:pPr>
      <w:r w:rsidRPr="00A21D7D">
        <w:t xml:space="preserve">Multicultural and multi-faith events including Rockhampton multi-faith dinner and Queensland Multicultural Awards. </w:t>
      </w:r>
    </w:p>
    <w:p w14:paraId="0795C3EC" w14:textId="77777777" w:rsidR="00A72450" w:rsidRDefault="00A72450">
      <w:pPr>
        <w:ind w:right="0"/>
        <w:rPr>
          <w:rFonts w:eastAsiaTheme="majorEastAsia" w:cstheme="majorBidi"/>
          <w:color w:val="000000" w:themeColor="text1"/>
          <w:sz w:val="36"/>
          <w:szCs w:val="26"/>
        </w:rPr>
      </w:pPr>
      <w:bookmarkStart w:id="29" w:name="_Toc49508871"/>
      <w:r>
        <w:br w:type="page"/>
      </w:r>
    </w:p>
    <w:p w14:paraId="39E69196" w14:textId="42B72867" w:rsidR="009965C8" w:rsidRPr="00A21D7D" w:rsidRDefault="009965C8" w:rsidP="006860E4">
      <w:pPr>
        <w:pStyle w:val="Heading2"/>
      </w:pPr>
      <w:r w:rsidRPr="00A21D7D">
        <w:lastRenderedPageBreak/>
        <w:t>Human Rights Month</w:t>
      </w:r>
      <w:bookmarkEnd w:id="29"/>
    </w:p>
    <w:p w14:paraId="41B3B349" w14:textId="25DEBD6A" w:rsidR="003D1036" w:rsidRDefault="009965C8" w:rsidP="00A244E6">
      <w:pPr>
        <w:rPr>
          <w:bCs/>
          <w:i/>
          <w:lang w:val="en-US"/>
        </w:rPr>
      </w:pPr>
      <w:r w:rsidRPr="00A21D7D">
        <w:rPr>
          <w:rFonts w:cs="Arial"/>
        </w:rPr>
        <w:t xml:space="preserve">For the fifth </w:t>
      </w:r>
      <w:r w:rsidR="00EF465D">
        <w:rPr>
          <w:rFonts w:cs="Arial"/>
        </w:rPr>
        <w:t xml:space="preserve">consecutive </w:t>
      </w:r>
      <w:r w:rsidRPr="00A21D7D">
        <w:rPr>
          <w:rFonts w:cs="Arial"/>
        </w:rPr>
        <w:t xml:space="preserve">year, </w:t>
      </w:r>
      <w:r w:rsidR="00EF465D">
        <w:rPr>
          <w:rFonts w:cs="Arial"/>
        </w:rPr>
        <w:t>we</w:t>
      </w:r>
      <w:r w:rsidRPr="00A21D7D">
        <w:rPr>
          <w:rFonts w:cs="Arial"/>
        </w:rPr>
        <w:t xml:space="preserve"> ran </w:t>
      </w:r>
      <w:r w:rsidR="00EF465D">
        <w:rPr>
          <w:rFonts w:cs="Arial"/>
        </w:rPr>
        <w:t>our</w:t>
      </w:r>
      <w:r w:rsidRPr="00A21D7D">
        <w:rPr>
          <w:rFonts w:cs="Arial"/>
        </w:rPr>
        <w:t xml:space="preserve"> Human Rights Month campaign from 10 November to 10 December 201</w:t>
      </w:r>
      <w:r w:rsidR="0006467F" w:rsidRPr="00A21D7D">
        <w:rPr>
          <w:rFonts w:cs="Arial"/>
        </w:rPr>
        <w:t>9</w:t>
      </w:r>
      <w:r w:rsidRPr="00A21D7D">
        <w:rPr>
          <w:rFonts w:cs="Arial"/>
        </w:rPr>
        <w:t xml:space="preserve">. The focus of the 2019 campaign was Queensland’s </w:t>
      </w:r>
      <w:r w:rsidR="00FC6699" w:rsidRPr="00FC6699">
        <w:rPr>
          <w:rFonts w:cs="Arial"/>
          <w:i/>
        </w:rPr>
        <w:t>Human Rights Act 2019</w:t>
      </w:r>
      <w:r w:rsidRPr="00A21D7D">
        <w:rPr>
          <w:rFonts w:cs="Arial"/>
        </w:rPr>
        <w:t xml:space="preserve">. </w:t>
      </w:r>
      <w:r w:rsidRPr="00A21D7D">
        <w:t>The campaign utilised a multi-platform approac</w:t>
      </w:r>
      <w:r w:rsidR="00510398">
        <w:softHyphen/>
      </w:r>
      <w:r w:rsidR="00510398">
        <w:softHyphen/>
      </w:r>
      <w:r w:rsidR="00510398">
        <w:softHyphen/>
      </w:r>
      <w:r w:rsidRPr="00A21D7D">
        <w:t>h to provide information and resources about the incoming Act, and included a Speaker Series held in conjunction with D</w:t>
      </w:r>
      <w:r w:rsidR="0006467F" w:rsidRPr="00A21D7D">
        <w:t xml:space="preserve">epartment of </w:t>
      </w:r>
      <w:r w:rsidRPr="00A21D7D">
        <w:t>J</w:t>
      </w:r>
      <w:r w:rsidR="0006467F" w:rsidRPr="00A21D7D">
        <w:t xml:space="preserve">ustice and </w:t>
      </w:r>
      <w:r w:rsidRPr="00A21D7D">
        <w:t>A</w:t>
      </w:r>
      <w:r w:rsidR="0006467F" w:rsidRPr="00A21D7D">
        <w:t xml:space="preserve">ttorney-General’s </w:t>
      </w:r>
      <w:r w:rsidRPr="00A21D7D">
        <w:t>Human Rights Unit</w:t>
      </w:r>
      <w:r w:rsidR="00293135">
        <w:t>;</w:t>
      </w:r>
      <w:r w:rsidRPr="00A21D7D">
        <w:t xml:space="preserve"> a video series featuring human rights champions from a variety of sectors and backgrounds</w:t>
      </w:r>
      <w:r w:rsidR="00293135">
        <w:t>;</w:t>
      </w:r>
      <w:r w:rsidRPr="00A21D7D">
        <w:t xml:space="preserve"> daily social media content on various aspects of the Act</w:t>
      </w:r>
      <w:r w:rsidR="00293135">
        <w:t>;</w:t>
      </w:r>
      <w:r w:rsidRPr="00A21D7D">
        <w:t xml:space="preserve"> and a supporter kit developed for stakeholders. </w:t>
      </w:r>
      <w:r w:rsidR="00C46C3F" w:rsidRPr="00A21D7D">
        <w:t xml:space="preserve">Additionally, a community conversation was facilitated in partnership with the Sunshine Coast Art of Hosting community of practice to discuss the question, </w:t>
      </w:r>
      <w:r w:rsidR="00C46C3F" w:rsidRPr="00A21D7D">
        <w:rPr>
          <w:bCs/>
          <w:i/>
          <w:lang w:val="en-US"/>
        </w:rPr>
        <w:t xml:space="preserve">How can we play our part to protect the human rights of all members in our community? </w:t>
      </w:r>
    </w:p>
    <w:p w14:paraId="11C9DF15" w14:textId="2F610863" w:rsidR="009965C8" w:rsidRPr="007E402E" w:rsidRDefault="00EF465D" w:rsidP="007E402E">
      <w:pPr>
        <w:pStyle w:val="Keystatistics"/>
        <w:rPr>
          <w:rStyle w:val="Emphasis"/>
        </w:rPr>
      </w:pPr>
      <w:r w:rsidRPr="007E402E">
        <w:rPr>
          <w:rStyle w:val="Emphasis"/>
          <w:i/>
        </w:rPr>
        <w:t>Our</w:t>
      </w:r>
      <w:r w:rsidR="009965C8" w:rsidRPr="007E402E">
        <w:rPr>
          <w:rStyle w:val="Emphasis"/>
          <w:i/>
        </w:rPr>
        <w:t xml:space="preserve"> 2019 </w:t>
      </w:r>
      <w:r w:rsidR="003D1036" w:rsidRPr="007E402E">
        <w:rPr>
          <w:rStyle w:val="Emphasis"/>
          <w:i/>
        </w:rPr>
        <w:t xml:space="preserve">Human Rights Month </w:t>
      </w:r>
      <w:r w:rsidR="009965C8" w:rsidRPr="007E402E">
        <w:rPr>
          <w:rStyle w:val="Emphasis"/>
          <w:i/>
        </w:rPr>
        <w:t>campaign</w:t>
      </w:r>
      <w:r w:rsidR="009553F4">
        <w:rPr>
          <w:rStyle w:val="Emphasis"/>
          <w:i/>
        </w:rPr>
        <w:t xml:space="preserve"> </w:t>
      </w:r>
      <w:r w:rsidR="009965C8" w:rsidRPr="007E402E">
        <w:rPr>
          <w:rStyle w:val="Emphasis"/>
          <w:i/>
        </w:rPr>
        <w:t>reached over</w:t>
      </w:r>
      <w:r w:rsidR="009553F4">
        <w:rPr>
          <w:rStyle w:val="Emphasis"/>
          <w:i/>
        </w:rPr>
        <w:t xml:space="preserve"> </w:t>
      </w:r>
      <w:r w:rsidR="009553F4">
        <w:rPr>
          <w:rStyle w:val="Emphasis"/>
          <w:i/>
          <w:sz w:val="36"/>
          <w:szCs w:val="36"/>
        </w:rPr>
        <w:t>92</w:t>
      </w:r>
      <w:r w:rsidR="009965C8" w:rsidRPr="007E402E">
        <w:rPr>
          <w:rStyle w:val="Emphasis"/>
          <w:i/>
          <w:sz w:val="36"/>
          <w:szCs w:val="36"/>
        </w:rPr>
        <w:t xml:space="preserve">,000 </w:t>
      </w:r>
      <w:r w:rsidR="009965C8" w:rsidRPr="007E402E">
        <w:rPr>
          <w:rStyle w:val="Emphasis"/>
          <w:i/>
        </w:rPr>
        <w:t>people</w:t>
      </w:r>
      <w:r w:rsidR="009965C8" w:rsidRPr="007E402E">
        <w:rPr>
          <w:rStyle w:val="Emphasis"/>
        </w:rPr>
        <w:t>.</w:t>
      </w:r>
    </w:p>
    <w:p w14:paraId="1DF3AB2D" w14:textId="77777777" w:rsidR="006F5840" w:rsidRPr="00A21D7D" w:rsidRDefault="006F5840" w:rsidP="006860E4">
      <w:pPr>
        <w:pStyle w:val="Heading2"/>
      </w:pPr>
      <w:bookmarkStart w:id="30" w:name="_Toc49508872"/>
      <w:r w:rsidRPr="00A21D7D">
        <w:t>Speaking engagements</w:t>
      </w:r>
      <w:bookmarkEnd w:id="30"/>
      <w:r w:rsidRPr="00A21D7D">
        <w:t xml:space="preserve"> </w:t>
      </w:r>
    </w:p>
    <w:p w14:paraId="080C66B5" w14:textId="7037719E" w:rsidR="007B563C" w:rsidRPr="00A21D7D" w:rsidRDefault="009F4D0C" w:rsidP="00A244E6">
      <w:r w:rsidRPr="00A21D7D">
        <w:t xml:space="preserve">The Commissioner and other </w:t>
      </w:r>
      <w:r w:rsidR="00BD16B7">
        <w:t>QHRC staff members</w:t>
      </w:r>
      <w:r w:rsidRPr="00A21D7D">
        <w:t xml:space="preserve"> regularly accept invitations to speak to students, community groups, lawyers, employee and employer groups, and at community events. Speaking topics range from specific issues in human rights and anti-discrimination law to broader topics of diversity and inclusion. With the introduction of the </w:t>
      </w:r>
      <w:r w:rsidR="00FC6699" w:rsidRPr="00FC6699">
        <w:rPr>
          <w:i/>
        </w:rPr>
        <w:t>Human Rights Act 2019</w:t>
      </w:r>
      <w:r w:rsidRPr="00A21D7D">
        <w:t xml:space="preserve"> this financial year there was a higher than usual demand for speakers from the Commission. A total of 78 formal speaking engagements were conducted, compared to 28 in 2018-19. </w:t>
      </w:r>
    </w:p>
    <w:p w14:paraId="55C5FB77" w14:textId="77777777" w:rsidR="006F5840" w:rsidRPr="00A21D7D" w:rsidRDefault="006F5840" w:rsidP="006860E4">
      <w:pPr>
        <w:pStyle w:val="Heading2"/>
      </w:pPr>
      <w:bookmarkStart w:id="31" w:name="_Toc49508873"/>
      <w:r w:rsidRPr="00A21D7D">
        <w:t>Web and social media</w:t>
      </w:r>
      <w:bookmarkEnd w:id="31"/>
      <w:r w:rsidRPr="00A21D7D">
        <w:t xml:space="preserve"> </w:t>
      </w:r>
    </w:p>
    <w:p w14:paraId="274CEC62" w14:textId="56730DBD" w:rsidR="009965C8" w:rsidRPr="00A21D7D" w:rsidRDefault="009965C8" w:rsidP="009965C8">
      <w:pPr>
        <w:rPr>
          <w:rFonts w:cs="Arial"/>
        </w:rPr>
      </w:pPr>
      <w:r w:rsidRPr="00A21D7D">
        <w:rPr>
          <w:rFonts w:cs="Arial"/>
        </w:rPr>
        <w:t>Effective use o</w:t>
      </w:r>
      <w:r w:rsidR="00BF78C7">
        <w:rPr>
          <w:rFonts w:cs="Arial"/>
        </w:rPr>
        <w:t xml:space="preserve">f online platforms supports </w:t>
      </w:r>
      <w:r w:rsidR="00EF465D">
        <w:rPr>
          <w:rFonts w:cs="Arial"/>
        </w:rPr>
        <w:t>our</w:t>
      </w:r>
      <w:r w:rsidRPr="00A21D7D">
        <w:rPr>
          <w:rFonts w:cs="Arial"/>
        </w:rPr>
        <w:t xml:space="preserve"> engagement with the community, provides digital means of access and service delivery, and connects </w:t>
      </w:r>
      <w:r w:rsidR="00EF465D">
        <w:rPr>
          <w:rFonts w:cs="Arial"/>
        </w:rPr>
        <w:t>us</w:t>
      </w:r>
      <w:r w:rsidRPr="00A21D7D">
        <w:rPr>
          <w:rFonts w:cs="Arial"/>
        </w:rPr>
        <w:t xml:space="preserve"> with a wide range of clients. </w:t>
      </w:r>
    </w:p>
    <w:p w14:paraId="41193420" w14:textId="472BD120" w:rsidR="009965C8" w:rsidRPr="00A21D7D" w:rsidRDefault="00EF465D" w:rsidP="009965C8">
      <w:pPr>
        <w:rPr>
          <w:rFonts w:cs="Arial"/>
          <w:i/>
        </w:rPr>
      </w:pPr>
      <w:r>
        <w:rPr>
          <w:rFonts w:cs="Arial"/>
        </w:rPr>
        <w:t>Our</w:t>
      </w:r>
      <w:r w:rsidR="009965C8" w:rsidRPr="00A21D7D">
        <w:rPr>
          <w:rFonts w:cs="Arial"/>
        </w:rPr>
        <w:t xml:space="preserve"> website is AA compliant with the W3C (World Wide Web Consortium) Guidelines, and in some areas is AAA compliant. This enables people with visual and motor impairments, as well as people from non-English speaking backgrounds, to access the site. The website is accessible for users with assistive technologies.</w:t>
      </w:r>
      <w:r w:rsidR="009553F4">
        <w:rPr>
          <w:rFonts w:cs="Arial"/>
        </w:rPr>
        <w:t xml:space="preserve"> </w:t>
      </w:r>
      <w:r>
        <w:rPr>
          <w:rFonts w:cs="Arial"/>
        </w:rPr>
        <w:t>We are</w:t>
      </w:r>
      <w:r w:rsidR="009965C8" w:rsidRPr="00A21D7D">
        <w:rPr>
          <w:rFonts w:cs="Arial"/>
        </w:rPr>
        <w:t xml:space="preserve"> aware of the importance of making information and services accessible to all Queenslanders and </w:t>
      </w:r>
      <w:r>
        <w:rPr>
          <w:rFonts w:cs="Arial"/>
        </w:rPr>
        <w:t>are</w:t>
      </w:r>
      <w:r w:rsidR="009965C8" w:rsidRPr="00A21D7D">
        <w:rPr>
          <w:rFonts w:cs="Arial"/>
        </w:rPr>
        <w:t xml:space="preserve"> committed to working on continuous improvement in this area.</w:t>
      </w:r>
    </w:p>
    <w:p w14:paraId="4E042B39" w14:textId="77777777" w:rsidR="007E402E" w:rsidRDefault="00EF465D" w:rsidP="009965C8">
      <w:pPr>
        <w:rPr>
          <w:rFonts w:eastAsia="Times New Roman" w:cs="Arial"/>
          <w:bCs/>
          <w:lang w:eastAsia="en-AU"/>
        </w:rPr>
      </w:pPr>
      <w:r>
        <w:rPr>
          <w:rFonts w:cs="Arial"/>
        </w:rPr>
        <w:t>Our</w:t>
      </w:r>
      <w:r w:rsidR="009965C8" w:rsidRPr="00A21D7D">
        <w:rPr>
          <w:rFonts w:cs="Arial"/>
        </w:rPr>
        <w:t xml:space="preserve"> website was relaunched on 1 July 2019 following our name change, and remains a popular means for Queenslanders to access information about</w:t>
      </w:r>
      <w:r w:rsidR="009965C8" w:rsidRPr="00A21D7D">
        <w:rPr>
          <w:rFonts w:eastAsia="Times New Roman" w:cs="Arial"/>
          <w:bCs/>
          <w:lang w:eastAsia="en-AU"/>
        </w:rPr>
        <w:t xml:space="preserve"> human rights and discrimination law and the services of the </w:t>
      </w:r>
      <w:r>
        <w:rPr>
          <w:rFonts w:eastAsia="Times New Roman" w:cs="Arial"/>
          <w:bCs/>
          <w:lang w:eastAsia="en-AU"/>
        </w:rPr>
        <w:t>Commission</w:t>
      </w:r>
      <w:r w:rsidR="009965C8" w:rsidRPr="00A21D7D">
        <w:rPr>
          <w:rFonts w:eastAsia="Times New Roman" w:cs="Arial"/>
          <w:bCs/>
          <w:lang w:eastAsia="en-AU"/>
        </w:rPr>
        <w:t xml:space="preserve">. </w:t>
      </w:r>
    </w:p>
    <w:p w14:paraId="25EAC3B6" w14:textId="77777777" w:rsidR="007E402E" w:rsidRDefault="009965C8" w:rsidP="007E402E">
      <w:pPr>
        <w:pStyle w:val="Keystatistics"/>
        <w:rPr>
          <w:lang w:eastAsia="en-AU"/>
        </w:rPr>
      </w:pPr>
      <w:r w:rsidRPr="00A21D7D">
        <w:rPr>
          <w:lang w:eastAsia="en-AU"/>
        </w:rPr>
        <w:lastRenderedPageBreak/>
        <w:t xml:space="preserve">In 2019-20 </w:t>
      </w:r>
      <w:r w:rsidR="00EF465D">
        <w:rPr>
          <w:lang w:eastAsia="en-AU"/>
        </w:rPr>
        <w:t xml:space="preserve">there were </w:t>
      </w:r>
      <w:r w:rsidR="00EF465D" w:rsidRPr="009553F4">
        <w:rPr>
          <w:sz w:val="36"/>
          <w:szCs w:val="36"/>
          <w:lang w:eastAsia="en-AU"/>
        </w:rPr>
        <w:t>170,555</w:t>
      </w:r>
      <w:r w:rsidR="00EF465D">
        <w:rPr>
          <w:lang w:eastAsia="en-AU"/>
        </w:rPr>
        <w:t xml:space="preserve"> users of our</w:t>
      </w:r>
      <w:r w:rsidRPr="00A21D7D">
        <w:rPr>
          <w:lang w:eastAsia="en-AU"/>
        </w:rPr>
        <w:t xml:space="preserve"> website. </w:t>
      </w:r>
    </w:p>
    <w:p w14:paraId="7EF178AD" w14:textId="56701BE3" w:rsidR="009965C8" w:rsidRPr="00A21D7D" w:rsidRDefault="009965C8" w:rsidP="009965C8">
      <w:pPr>
        <w:rPr>
          <w:rFonts w:eastAsia="Times New Roman" w:cs="Arial"/>
          <w:bCs/>
          <w:i/>
          <w:highlight w:val="yellow"/>
          <w:lang w:eastAsia="en-AU"/>
        </w:rPr>
      </w:pPr>
      <w:r w:rsidRPr="00A21D7D">
        <w:rPr>
          <w:rFonts w:eastAsia="Times New Roman" w:cs="Arial"/>
          <w:bCs/>
          <w:lang w:eastAsia="en-AU"/>
        </w:rPr>
        <w:t xml:space="preserve">Compared to 2018-19, users are staying on the site longer and viewing more pages while they are there. </w:t>
      </w:r>
      <w:r w:rsidR="00EF465D">
        <w:rPr>
          <w:rFonts w:eastAsia="Times New Roman" w:cs="Arial"/>
          <w:bCs/>
          <w:lang w:eastAsia="en-AU"/>
        </w:rPr>
        <w:t>Our</w:t>
      </w:r>
      <w:r w:rsidRPr="00A21D7D">
        <w:rPr>
          <w:rFonts w:eastAsia="Times New Roman" w:cs="Arial"/>
          <w:bCs/>
          <w:lang w:eastAsia="en-AU"/>
        </w:rPr>
        <w:t xml:space="preserve"> </w:t>
      </w:r>
      <w:r w:rsidR="00BD16B7">
        <w:rPr>
          <w:rFonts w:eastAsia="Times New Roman" w:cs="Arial"/>
          <w:bCs/>
          <w:lang w:eastAsia="en-AU"/>
        </w:rPr>
        <w:t xml:space="preserve">new </w:t>
      </w:r>
      <w:r w:rsidRPr="00A21D7D">
        <w:rPr>
          <w:rFonts w:eastAsia="Times New Roman" w:cs="Arial"/>
          <w:bCs/>
          <w:lang w:eastAsia="en-AU"/>
        </w:rPr>
        <w:t xml:space="preserve">site </w:t>
      </w:r>
      <w:r w:rsidR="00BD16B7">
        <w:rPr>
          <w:rFonts w:eastAsia="Times New Roman" w:cs="Arial"/>
          <w:bCs/>
          <w:lang w:eastAsia="en-AU"/>
        </w:rPr>
        <w:t xml:space="preserve">has </w:t>
      </w:r>
      <w:r w:rsidRPr="00A21D7D">
        <w:rPr>
          <w:rFonts w:eastAsia="Times New Roman" w:cs="Arial"/>
          <w:bCs/>
          <w:lang w:eastAsia="en-AU"/>
        </w:rPr>
        <w:t>also seen a 10% decrease in the bounce rate. New visitors made up 86.6% of all website visits this financial year.</w:t>
      </w:r>
    </w:p>
    <w:p w14:paraId="10AF88E0" w14:textId="016927EE" w:rsidR="009965C8" w:rsidRPr="00A21D7D" w:rsidRDefault="009965C8" w:rsidP="009965C8">
      <w:pPr>
        <w:rPr>
          <w:rFonts w:eastAsia="Times New Roman" w:cs="Arial"/>
          <w:bCs/>
          <w:lang w:eastAsia="en-AU"/>
        </w:rPr>
      </w:pPr>
      <w:r w:rsidRPr="00A21D7D">
        <w:rPr>
          <w:rFonts w:eastAsia="Times New Roman" w:cs="Arial"/>
          <w:bCs/>
          <w:lang w:eastAsia="en-AU"/>
        </w:rPr>
        <w:t xml:space="preserve">Table </w:t>
      </w:r>
      <w:r w:rsidR="00A72450">
        <w:rPr>
          <w:rFonts w:eastAsia="Times New Roman" w:cs="Arial"/>
          <w:bCs/>
          <w:lang w:eastAsia="en-AU"/>
        </w:rPr>
        <w:t>1</w:t>
      </w:r>
      <w:r w:rsidRPr="00A21D7D">
        <w:rPr>
          <w:rFonts w:eastAsia="Times New Roman" w:cs="Arial"/>
          <w:bCs/>
          <w:lang w:eastAsia="en-AU"/>
        </w:rPr>
        <w:t xml:space="preserve"> shows the top twen</w:t>
      </w:r>
      <w:r w:rsidR="009553F4">
        <w:rPr>
          <w:rFonts w:eastAsia="Times New Roman" w:cs="Arial"/>
          <w:bCs/>
          <w:lang w:eastAsia="en-AU"/>
        </w:rPr>
        <w:t>ty most visited pages on</w:t>
      </w:r>
      <w:r w:rsidRPr="00A21D7D">
        <w:rPr>
          <w:rFonts w:eastAsia="Times New Roman" w:cs="Arial"/>
          <w:bCs/>
          <w:lang w:eastAsia="en-AU"/>
        </w:rPr>
        <w:t xml:space="preserve"> </w:t>
      </w:r>
      <w:r w:rsidR="00EF465D">
        <w:rPr>
          <w:rFonts w:eastAsia="Times New Roman" w:cs="Arial"/>
          <w:bCs/>
          <w:lang w:eastAsia="en-AU"/>
        </w:rPr>
        <w:t>our</w:t>
      </w:r>
      <w:r w:rsidRPr="00A21D7D">
        <w:rPr>
          <w:rFonts w:eastAsia="Times New Roman" w:cs="Arial"/>
          <w:bCs/>
          <w:lang w:eastAsia="en-AU"/>
        </w:rPr>
        <w:t xml:space="preserve"> website in 2019-20. This list shows that visitors to the site are continuing to locate general information products and resources developed by the Commission as well as information on the law and making a complaint. This year new information about the </w:t>
      </w:r>
      <w:r w:rsidR="00FC6699" w:rsidRPr="00FC6699">
        <w:rPr>
          <w:rFonts w:eastAsia="Times New Roman" w:cs="Arial"/>
          <w:bCs/>
          <w:i/>
          <w:lang w:eastAsia="en-AU"/>
        </w:rPr>
        <w:t>Human Rights Act 2019</w:t>
      </w:r>
      <w:r w:rsidRPr="00A21D7D">
        <w:rPr>
          <w:rFonts w:eastAsia="Times New Roman" w:cs="Arial"/>
          <w:bCs/>
          <w:lang w:eastAsia="en-AU"/>
        </w:rPr>
        <w:t xml:space="preserve"> was readily accessed by web visitors. Of particular note was the high traffic to our online complaint lodgement form, reflected in the increase in complaints received during 2019-20. The high demand for </w:t>
      </w:r>
      <w:r w:rsidR="00EF465D">
        <w:rPr>
          <w:rFonts w:eastAsia="Times New Roman" w:cs="Arial"/>
          <w:bCs/>
          <w:lang w:eastAsia="en-AU"/>
        </w:rPr>
        <w:t xml:space="preserve">our </w:t>
      </w:r>
      <w:r w:rsidRPr="00A21D7D">
        <w:rPr>
          <w:rFonts w:eastAsia="Times New Roman" w:cs="Arial"/>
          <w:bCs/>
          <w:lang w:eastAsia="en-AU"/>
        </w:rPr>
        <w:t xml:space="preserve">information on responsibilities for public entities and employers, along with online training information, may also partly reflect the introduction of the </w:t>
      </w:r>
      <w:r w:rsidR="00FC6699" w:rsidRPr="00FC6699">
        <w:rPr>
          <w:rFonts w:eastAsia="Times New Roman" w:cs="Arial"/>
          <w:bCs/>
          <w:i/>
          <w:lang w:eastAsia="en-AU"/>
        </w:rPr>
        <w:t>Human Rights Act 2019</w:t>
      </w:r>
      <w:r w:rsidRPr="00A21D7D">
        <w:rPr>
          <w:rFonts w:eastAsia="Times New Roman" w:cs="Arial"/>
          <w:bCs/>
          <w:lang w:eastAsia="en-AU"/>
        </w:rPr>
        <w:t xml:space="preserve"> and the </w:t>
      </w:r>
      <w:r w:rsidR="0006467F" w:rsidRPr="00A21D7D">
        <w:rPr>
          <w:rFonts w:eastAsia="Times New Roman" w:cs="Arial"/>
          <w:bCs/>
          <w:lang w:eastAsia="en-AU"/>
        </w:rPr>
        <w:t>reduced</w:t>
      </w:r>
      <w:r w:rsidRPr="00A21D7D">
        <w:rPr>
          <w:rFonts w:eastAsia="Times New Roman" w:cs="Arial"/>
          <w:bCs/>
          <w:lang w:eastAsia="en-AU"/>
        </w:rPr>
        <w:t xml:space="preserve"> face</w:t>
      </w:r>
      <w:r w:rsidR="0006467F" w:rsidRPr="00A21D7D">
        <w:rPr>
          <w:rFonts w:eastAsia="Times New Roman" w:cs="Arial"/>
          <w:bCs/>
          <w:lang w:eastAsia="en-AU"/>
        </w:rPr>
        <w:t>-</w:t>
      </w:r>
      <w:r w:rsidRPr="00A21D7D">
        <w:rPr>
          <w:rFonts w:eastAsia="Times New Roman" w:cs="Arial"/>
          <w:bCs/>
          <w:lang w:eastAsia="en-AU"/>
        </w:rPr>
        <w:t>to</w:t>
      </w:r>
      <w:r w:rsidR="0006467F" w:rsidRPr="00A21D7D">
        <w:rPr>
          <w:rFonts w:eastAsia="Times New Roman" w:cs="Arial"/>
          <w:bCs/>
          <w:lang w:eastAsia="en-AU"/>
        </w:rPr>
        <w:t>-f</w:t>
      </w:r>
      <w:r w:rsidRPr="00A21D7D">
        <w:rPr>
          <w:rFonts w:eastAsia="Times New Roman" w:cs="Arial"/>
          <w:bCs/>
          <w:lang w:eastAsia="en-AU"/>
        </w:rPr>
        <w:t xml:space="preserve">ace training options due to pandemic restrictions. </w:t>
      </w:r>
    </w:p>
    <w:p w14:paraId="029E7540" w14:textId="5D05657A" w:rsidR="009965C8" w:rsidRPr="00FC6699" w:rsidRDefault="009965C8" w:rsidP="009965C8">
      <w:pPr>
        <w:pStyle w:val="Caption"/>
        <w:rPr>
          <w:rFonts w:cs="Arial"/>
          <w:color w:val="auto"/>
          <w:szCs w:val="24"/>
        </w:rPr>
      </w:pPr>
      <w:r w:rsidRPr="00FC6699">
        <w:rPr>
          <w:rFonts w:cs="Arial"/>
          <w:color w:val="auto"/>
          <w:szCs w:val="24"/>
        </w:rPr>
        <w:t xml:space="preserve">Table </w:t>
      </w:r>
      <w:r w:rsidRPr="00FC6699">
        <w:rPr>
          <w:rFonts w:cs="Arial"/>
          <w:color w:val="auto"/>
          <w:szCs w:val="24"/>
        </w:rPr>
        <w:fldChar w:fldCharType="begin"/>
      </w:r>
      <w:r w:rsidRPr="00FC6699">
        <w:rPr>
          <w:rFonts w:cs="Arial"/>
          <w:color w:val="auto"/>
          <w:szCs w:val="24"/>
        </w:rPr>
        <w:instrText xml:space="preserve"> SEQ Table \* ARABIC </w:instrText>
      </w:r>
      <w:r w:rsidRPr="00FC6699">
        <w:rPr>
          <w:rFonts w:cs="Arial"/>
          <w:color w:val="auto"/>
          <w:szCs w:val="24"/>
        </w:rPr>
        <w:fldChar w:fldCharType="separate"/>
      </w:r>
      <w:r w:rsidR="003B066D">
        <w:rPr>
          <w:rFonts w:cs="Arial"/>
          <w:noProof/>
          <w:color w:val="auto"/>
          <w:szCs w:val="24"/>
        </w:rPr>
        <w:t>1</w:t>
      </w:r>
      <w:r w:rsidRPr="00FC6699">
        <w:rPr>
          <w:rFonts w:cs="Arial"/>
          <w:color w:val="auto"/>
          <w:szCs w:val="24"/>
        </w:rPr>
        <w:fldChar w:fldCharType="end"/>
      </w:r>
      <w:r w:rsidRPr="00FC6699">
        <w:rPr>
          <w:rFonts w:cs="Arial"/>
          <w:color w:val="auto"/>
          <w:szCs w:val="24"/>
        </w:rPr>
        <w:t>: Top 20 most visited website pages</w:t>
      </w:r>
    </w:p>
    <w:tbl>
      <w:tblPr>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Caption w:val="Top 20 most visited website pages"/>
        <w:tblDescription w:val="A list of the 20 most visited ADCQ website pages"/>
      </w:tblPr>
      <w:tblGrid>
        <w:gridCol w:w="562"/>
        <w:gridCol w:w="3686"/>
        <w:gridCol w:w="567"/>
        <w:gridCol w:w="3544"/>
      </w:tblGrid>
      <w:tr w:rsidR="009965C8" w:rsidRPr="00A21D7D" w14:paraId="269F0A5F" w14:textId="77777777" w:rsidTr="00411815">
        <w:trPr>
          <w:trHeight w:val="318"/>
        </w:trPr>
        <w:tc>
          <w:tcPr>
            <w:tcW w:w="562" w:type="dxa"/>
          </w:tcPr>
          <w:p w14:paraId="1404CAFB" w14:textId="77777777" w:rsidR="009965C8" w:rsidRPr="00A21D7D" w:rsidRDefault="009965C8" w:rsidP="00411815">
            <w:pPr>
              <w:pStyle w:val="TableTextBody"/>
            </w:pPr>
            <w:r w:rsidRPr="00A21D7D">
              <w:t>1</w:t>
            </w:r>
          </w:p>
        </w:tc>
        <w:tc>
          <w:tcPr>
            <w:tcW w:w="3686" w:type="dxa"/>
          </w:tcPr>
          <w:p w14:paraId="16EBB18A" w14:textId="77777777" w:rsidR="009965C8" w:rsidRPr="00A21D7D" w:rsidRDefault="009965C8" w:rsidP="00411815">
            <w:pPr>
              <w:pStyle w:val="TableTextBody"/>
            </w:pPr>
            <w:r w:rsidRPr="00A21D7D">
              <w:t>Case studies - sexual harassment</w:t>
            </w:r>
          </w:p>
        </w:tc>
        <w:tc>
          <w:tcPr>
            <w:tcW w:w="567" w:type="dxa"/>
          </w:tcPr>
          <w:p w14:paraId="6B06C802" w14:textId="77777777" w:rsidR="009965C8" w:rsidRPr="00A21D7D" w:rsidRDefault="009965C8" w:rsidP="00411815">
            <w:pPr>
              <w:pStyle w:val="TableTextBody"/>
            </w:pPr>
            <w:r w:rsidRPr="00A21D7D">
              <w:t>11</w:t>
            </w:r>
          </w:p>
        </w:tc>
        <w:tc>
          <w:tcPr>
            <w:tcW w:w="3544" w:type="dxa"/>
          </w:tcPr>
          <w:p w14:paraId="7E33DC80" w14:textId="77777777" w:rsidR="009965C8" w:rsidRPr="00A21D7D" w:rsidRDefault="009965C8" w:rsidP="00411815">
            <w:pPr>
              <w:pStyle w:val="TableTextBody"/>
            </w:pPr>
            <w:r w:rsidRPr="00A21D7D">
              <w:t>Complaints – making a complaint</w:t>
            </w:r>
          </w:p>
        </w:tc>
      </w:tr>
      <w:tr w:rsidR="009965C8" w:rsidRPr="00A21D7D" w14:paraId="3027BB90" w14:textId="77777777" w:rsidTr="00411815">
        <w:trPr>
          <w:trHeight w:val="318"/>
        </w:trPr>
        <w:tc>
          <w:tcPr>
            <w:tcW w:w="562" w:type="dxa"/>
          </w:tcPr>
          <w:p w14:paraId="3E5D9955" w14:textId="77777777" w:rsidR="009965C8" w:rsidRPr="00A21D7D" w:rsidRDefault="009965C8" w:rsidP="00411815">
            <w:pPr>
              <w:pStyle w:val="TableTextBody"/>
            </w:pPr>
            <w:r w:rsidRPr="00A21D7D">
              <w:t>2</w:t>
            </w:r>
          </w:p>
        </w:tc>
        <w:tc>
          <w:tcPr>
            <w:tcW w:w="3686" w:type="dxa"/>
          </w:tcPr>
          <w:p w14:paraId="27D01BE9" w14:textId="77777777" w:rsidR="009965C8" w:rsidRPr="00A21D7D" w:rsidRDefault="009965C8" w:rsidP="00411815">
            <w:pPr>
              <w:pStyle w:val="TableTextBody"/>
            </w:pPr>
            <w:r w:rsidRPr="00A21D7D">
              <w:t xml:space="preserve">Your rights – human rights law </w:t>
            </w:r>
          </w:p>
        </w:tc>
        <w:tc>
          <w:tcPr>
            <w:tcW w:w="567" w:type="dxa"/>
          </w:tcPr>
          <w:p w14:paraId="75CB7ECD" w14:textId="77777777" w:rsidR="009965C8" w:rsidRPr="00A21D7D" w:rsidRDefault="009965C8" w:rsidP="00411815">
            <w:pPr>
              <w:pStyle w:val="TableTextBody"/>
            </w:pPr>
            <w:r w:rsidRPr="00A21D7D">
              <w:t>12</w:t>
            </w:r>
          </w:p>
        </w:tc>
        <w:tc>
          <w:tcPr>
            <w:tcW w:w="3544" w:type="dxa"/>
          </w:tcPr>
          <w:p w14:paraId="1ACC716A" w14:textId="77777777" w:rsidR="009965C8" w:rsidRPr="00A21D7D" w:rsidRDefault="009965C8" w:rsidP="00411815">
            <w:pPr>
              <w:pStyle w:val="TableTextBody"/>
            </w:pPr>
            <w:r w:rsidRPr="00A21D7D">
              <w:t>Training – our training courses</w:t>
            </w:r>
          </w:p>
        </w:tc>
      </w:tr>
      <w:tr w:rsidR="009965C8" w:rsidRPr="00A21D7D" w14:paraId="02530B82" w14:textId="77777777" w:rsidTr="00411815">
        <w:trPr>
          <w:trHeight w:val="318"/>
        </w:trPr>
        <w:tc>
          <w:tcPr>
            <w:tcW w:w="562" w:type="dxa"/>
          </w:tcPr>
          <w:p w14:paraId="7F5344CC" w14:textId="77777777" w:rsidR="009965C8" w:rsidRPr="00A21D7D" w:rsidRDefault="009965C8" w:rsidP="00411815">
            <w:pPr>
              <w:pStyle w:val="TableTextBody"/>
            </w:pPr>
            <w:r w:rsidRPr="00A21D7D">
              <w:t>3</w:t>
            </w:r>
          </w:p>
        </w:tc>
        <w:tc>
          <w:tcPr>
            <w:tcW w:w="3686" w:type="dxa"/>
          </w:tcPr>
          <w:p w14:paraId="38833CDF" w14:textId="77777777" w:rsidR="009965C8" w:rsidRPr="00A21D7D" w:rsidRDefault="009965C8" w:rsidP="00411815">
            <w:pPr>
              <w:pStyle w:val="TableTextBody"/>
            </w:pPr>
            <w:r w:rsidRPr="00A21D7D">
              <w:t xml:space="preserve">Your rights – discrimination law </w:t>
            </w:r>
          </w:p>
        </w:tc>
        <w:tc>
          <w:tcPr>
            <w:tcW w:w="567" w:type="dxa"/>
          </w:tcPr>
          <w:p w14:paraId="1DC30D1B" w14:textId="77777777" w:rsidR="009965C8" w:rsidRPr="00A21D7D" w:rsidRDefault="009965C8" w:rsidP="00411815">
            <w:pPr>
              <w:pStyle w:val="TableTextBody"/>
            </w:pPr>
            <w:r w:rsidRPr="00A21D7D">
              <w:t>13</w:t>
            </w:r>
          </w:p>
        </w:tc>
        <w:tc>
          <w:tcPr>
            <w:tcW w:w="3544" w:type="dxa"/>
          </w:tcPr>
          <w:p w14:paraId="5EDA9355" w14:textId="77777777" w:rsidR="009965C8" w:rsidRPr="00A21D7D" w:rsidRDefault="009965C8" w:rsidP="00411815">
            <w:pPr>
              <w:pStyle w:val="TableTextBody"/>
            </w:pPr>
            <w:r w:rsidRPr="00A21D7D">
              <w:t>Resources – for employers</w:t>
            </w:r>
          </w:p>
        </w:tc>
      </w:tr>
      <w:tr w:rsidR="009965C8" w:rsidRPr="00A21D7D" w14:paraId="69850B91" w14:textId="77777777" w:rsidTr="00411815">
        <w:trPr>
          <w:trHeight w:val="318"/>
        </w:trPr>
        <w:tc>
          <w:tcPr>
            <w:tcW w:w="562" w:type="dxa"/>
          </w:tcPr>
          <w:p w14:paraId="46ED35B8" w14:textId="77777777" w:rsidR="009965C8" w:rsidRPr="00A21D7D" w:rsidRDefault="009965C8" w:rsidP="00411815">
            <w:pPr>
              <w:pStyle w:val="TableTextBody"/>
            </w:pPr>
            <w:r w:rsidRPr="00A21D7D">
              <w:t>4</w:t>
            </w:r>
          </w:p>
        </w:tc>
        <w:tc>
          <w:tcPr>
            <w:tcW w:w="3686" w:type="dxa"/>
          </w:tcPr>
          <w:p w14:paraId="1532B63B" w14:textId="77777777" w:rsidR="009965C8" w:rsidRPr="00A21D7D" w:rsidRDefault="009965C8" w:rsidP="00411815">
            <w:pPr>
              <w:pStyle w:val="TableTextBody"/>
            </w:pPr>
            <w:r w:rsidRPr="00A21D7D">
              <w:t>Complaints – lodge your complaint online</w:t>
            </w:r>
          </w:p>
        </w:tc>
        <w:tc>
          <w:tcPr>
            <w:tcW w:w="567" w:type="dxa"/>
          </w:tcPr>
          <w:p w14:paraId="5585AC81" w14:textId="77777777" w:rsidR="009965C8" w:rsidRPr="00A21D7D" w:rsidRDefault="009965C8" w:rsidP="00411815">
            <w:pPr>
              <w:pStyle w:val="TableTextBody"/>
            </w:pPr>
            <w:r w:rsidRPr="00A21D7D">
              <w:t>14</w:t>
            </w:r>
          </w:p>
        </w:tc>
        <w:tc>
          <w:tcPr>
            <w:tcW w:w="3544" w:type="dxa"/>
          </w:tcPr>
          <w:p w14:paraId="0437BE1D" w14:textId="77777777" w:rsidR="009965C8" w:rsidRPr="00A21D7D" w:rsidRDefault="009965C8" w:rsidP="00411815">
            <w:pPr>
              <w:pStyle w:val="TableTextBody"/>
            </w:pPr>
            <w:r w:rsidRPr="00A21D7D">
              <w:t>Contact us</w:t>
            </w:r>
          </w:p>
        </w:tc>
      </w:tr>
      <w:tr w:rsidR="009965C8" w:rsidRPr="00A21D7D" w14:paraId="75775BD3" w14:textId="77777777" w:rsidTr="00411815">
        <w:trPr>
          <w:trHeight w:val="318"/>
        </w:trPr>
        <w:tc>
          <w:tcPr>
            <w:tcW w:w="562" w:type="dxa"/>
          </w:tcPr>
          <w:p w14:paraId="301999E3" w14:textId="77777777" w:rsidR="009965C8" w:rsidRPr="00A21D7D" w:rsidRDefault="009965C8" w:rsidP="00411815">
            <w:pPr>
              <w:pStyle w:val="TableTextBody"/>
            </w:pPr>
            <w:r w:rsidRPr="00A21D7D">
              <w:t>5</w:t>
            </w:r>
          </w:p>
        </w:tc>
        <w:tc>
          <w:tcPr>
            <w:tcW w:w="3686" w:type="dxa"/>
          </w:tcPr>
          <w:p w14:paraId="613155A1" w14:textId="77777777" w:rsidR="009965C8" w:rsidRPr="00A21D7D" w:rsidRDefault="009965C8" w:rsidP="00411815">
            <w:pPr>
              <w:pStyle w:val="TableTextBody"/>
            </w:pPr>
            <w:r w:rsidRPr="00A21D7D">
              <w:t xml:space="preserve">Resources – case studies </w:t>
            </w:r>
          </w:p>
        </w:tc>
        <w:tc>
          <w:tcPr>
            <w:tcW w:w="567" w:type="dxa"/>
          </w:tcPr>
          <w:p w14:paraId="3CAEFC39" w14:textId="77777777" w:rsidR="009965C8" w:rsidRPr="00A21D7D" w:rsidRDefault="009965C8" w:rsidP="00411815">
            <w:pPr>
              <w:pStyle w:val="TableTextBody"/>
            </w:pPr>
            <w:r w:rsidRPr="00A21D7D">
              <w:t>15</w:t>
            </w:r>
          </w:p>
        </w:tc>
        <w:tc>
          <w:tcPr>
            <w:tcW w:w="3544" w:type="dxa"/>
          </w:tcPr>
          <w:p w14:paraId="200EDE6A" w14:textId="77777777" w:rsidR="009965C8" w:rsidRPr="00A21D7D" w:rsidRDefault="009965C8" w:rsidP="00411815">
            <w:pPr>
              <w:pStyle w:val="TableTextBody"/>
            </w:pPr>
            <w:r w:rsidRPr="00A21D7D">
              <w:t>Complaints – our complaints process</w:t>
            </w:r>
          </w:p>
        </w:tc>
      </w:tr>
      <w:tr w:rsidR="009965C8" w:rsidRPr="00A21D7D" w14:paraId="116B5AA3" w14:textId="77777777" w:rsidTr="00411815">
        <w:trPr>
          <w:trHeight w:val="318"/>
        </w:trPr>
        <w:tc>
          <w:tcPr>
            <w:tcW w:w="562" w:type="dxa"/>
          </w:tcPr>
          <w:p w14:paraId="7F0AAD40" w14:textId="77777777" w:rsidR="009965C8" w:rsidRPr="00A21D7D" w:rsidRDefault="009965C8" w:rsidP="00411815">
            <w:pPr>
              <w:pStyle w:val="TableTextBody"/>
            </w:pPr>
            <w:r w:rsidRPr="00A21D7D">
              <w:t>6</w:t>
            </w:r>
          </w:p>
        </w:tc>
        <w:tc>
          <w:tcPr>
            <w:tcW w:w="3686" w:type="dxa"/>
          </w:tcPr>
          <w:p w14:paraId="57A57D57" w14:textId="77777777" w:rsidR="009965C8" w:rsidRPr="00A21D7D" w:rsidRDefault="009965C8" w:rsidP="00411815">
            <w:pPr>
              <w:pStyle w:val="TableTextBody"/>
            </w:pPr>
            <w:r w:rsidRPr="00A21D7D">
              <w:t xml:space="preserve">Complaints </w:t>
            </w:r>
          </w:p>
        </w:tc>
        <w:tc>
          <w:tcPr>
            <w:tcW w:w="567" w:type="dxa"/>
          </w:tcPr>
          <w:p w14:paraId="02C64DA6" w14:textId="77777777" w:rsidR="009965C8" w:rsidRPr="00A21D7D" w:rsidRDefault="009965C8" w:rsidP="00411815">
            <w:pPr>
              <w:pStyle w:val="TableTextBody"/>
            </w:pPr>
            <w:r w:rsidRPr="00A21D7D">
              <w:t>16</w:t>
            </w:r>
          </w:p>
        </w:tc>
        <w:tc>
          <w:tcPr>
            <w:tcW w:w="3544" w:type="dxa"/>
          </w:tcPr>
          <w:p w14:paraId="0C9D8105" w14:textId="77777777" w:rsidR="009965C8" w:rsidRPr="00A21D7D" w:rsidRDefault="009965C8" w:rsidP="00411815">
            <w:pPr>
              <w:pStyle w:val="TableTextBody"/>
            </w:pPr>
            <w:r w:rsidRPr="00A21D7D">
              <w:t xml:space="preserve">Resources – legal information </w:t>
            </w:r>
          </w:p>
        </w:tc>
      </w:tr>
      <w:tr w:rsidR="009965C8" w:rsidRPr="00A21D7D" w14:paraId="0B6159DD" w14:textId="77777777" w:rsidTr="00411815">
        <w:trPr>
          <w:trHeight w:val="318"/>
        </w:trPr>
        <w:tc>
          <w:tcPr>
            <w:tcW w:w="562" w:type="dxa"/>
          </w:tcPr>
          <w:p w14:paraId="5E80E410" w14:textId="77777777" w:rsidR="009965C8" w:rsidRPr="00A21D7D" w:rsidRDefault="009965C8" w:rsidP="00411815">
            <w:pPr>
              <w:pStyle w:val="TableTextBody"/>
            </w:pPr>
            <w:r w:rsidRPr="00A21D7D">
              <w:t>7</w:t>
            </w:r>
          </w:p>
        </w:tc>
        <w:tc>
          <w:tcPr>
            <w:tcW w:w="3686" w:type="dxa"/>
          </w:tcPr>
          <w:p w14:paraId="11BA27FF" w14:textId="0D1FE898" w:rsidR="009965C8" w:rsidRPr="00A21D7D" w:rsidRDefault="009965C8" w:rsidP="00411815">
            <w:pPr>
              <w:pStyle w:val="TableTextBody"/>
            </w:pPr>
            <w:r w:rsidRPr="00A21D7D">
              <w:t>Legal information – legislation</w:t>
            </w:r>
            <w:r w:rsidR="00B10E8B">
              <w:t xml:space="preserve"> </w:t>
            </w:r>
          </w:p>
        </w:tc>
        <w:tc>
          <w:tcPr>
            <w:tcW w:w="567" w:type="dxa"/>
          </w:tcPr>
          <w:p w14:paraId="2D9D2C44" w14:textId="77777777" w:rsidR="009965C8" w:rsidRPr="00A21D7D" w:rsidRDefault="009965C8" w:rsidP="00411815">
            <w:pPr>
              <w:pStyle w:val="TableTextBody"/>
            </w:pPr>
            <w:r w:rsidRPr="00A21D7D">
              <w:t>17</w:t>
            </w:r>
          </w:p>
        </w:tc>
        <w:tc>
          <w:tcPr>
            <w:tcW w:w="3544" w:type="dxa"/>
          </w:tcPr>
          <w:p w14:paraId="01B80340" w14:textId="77777777" w:rsidR="009965C8" w:rsidRPr="00A21D7D" w:rsidRDefault="009965C8" w:rsidP="00411815">
            <w:pPr>
              <w:pStyle w:val="TableTextBody"/>
            </w:pPr>
            <w:r w:rsidRPr="00A21D7D">
              <w:t xml:space="preserve">Training </w:t>
            </w:r>
          </w:p>
        </w:tc>
      </w:tr>
      <w:tr w:rsidR="009965C8" w:rsidRPr="00A21D7D" w14:paraId="10AA564B" w14:textId="77777777" w:rsidTr="00411815">
        <w:trPr>
          <w:trHeight w:val="318"/>
        </w:trPr>
        <w:tc>
          <w:tcPr>
            <w:tcW w:w="562" w:type="dxa"/>
          </w:tcPr>
          <w:p w14:paraId="30C11BD3" w14:textId="77777777" w:rsidR="009965C8" w:rsidRPr="00A21D7D" w:rsidRDefault="009965C8" w:rsidP="00411815">
            <w:pPr>
              <w:pStyle w:val="TableTextBody"/>
            </w:pPr>
            <w:r w:rsidRPr="00A21D7D">
              <w:t>8</w:t>
            </w:r>
          </w:p>
        </w:tc>
        <w:tc>
          <w:tcPr>
            <w:tcW w:w="3686" w:type="dxa"/>
          </w:tcPr>
          <w:p w14:paraId="7B554262" w14:textId="77777777" w:rsidR="009965C8" w:rsidRPr="00A21D7D" w:rsidRDefault="009965C8" w:rsidP="00411815">
            <w:pPr>
              <w:pStyle w:val="TableTextBody"/>
            </w:pPr>
            <w:r w:rsidRPr="00A21D7D">
              <w:t xml:space="preserve">Training – online training </w:t>
            </w:r>
          </w:p>
        </w:tc>
        <w:tc>
          <w:tcPr>
            <w:tcW w:w="567" w:type="dxa"/>
          </w:tcPr>
          <w:p w14:paraId="10E0AB45" w14:textId="77777777" w:rsidR="009965C8" w:rsidRPr="00A21D7D" w:rsidRDefault="009965C8" w:rsidP="00411815">
            <w:pPr>
              <w:pStyle w:val="TableTextBody"/>
            </w:pPr>
            <w:r w:rsidRPr="00A21D7D">
              <w:t>18</w:t>
            </w:r>
          </w:p>
        </w:tc>
        <w:tc>
          <w:tcPr>
            <w:tcW w:w="3544" w:type="dxa"/>
          </w:tcPr>
          <w:p w14:paraId="1617231A" w14:textId="77777777" w:rsidR="009965C8" w:rsidRPr="00A21D7D" w:rsidRDefault="009965C8" w:rsidP="00411815">
            <w:pPr>
              <w:pStyle w:val="TableTextBody"/>
            </w:pPr>
            <w:r w:rsidRPr="00A21D7D">
              <w:t xml:space="preserve">About us </w:t>
            </w:r>
          </w:p>
        </w:tc>
      </w:tr>
      <w:tr w:rsidR="009965C8" w:rsidRPr="00A21D7D" w14:paraId="02A26453" w14:textId="77777777" w:rsidTr="00411815">
        <w:trPr>
          <w:trHeight w:val="318"/>
        </w:trPr>
        <w:tc>
          <w:tcPr>
            <w:tcW w:w="562" w:type="dxa"/>
          </w:tcPr>
          <w:p w14:paraId="71BD3769" w14:textId="77777777" w:rsidR="009965C8" w:rsidRPr="00A21D7D" w:rsidRDefault="009965C8" w:rsidP="00411815">
            <w:pPr>
              <w:pStyle w:val="TableTextBody"/>
            </w:pPr>
            <w:r w:rsidRPr="00A21D7D">
              <w:t>9</w:t>
            </w:r>
          </w:p>
        </w:tc>
        <w:tc>
          <w:tcPr>
            <w:tcW w:w="3686" w:type="dxa"/>
          </w:tcPr>
          <w:p w14:paraId="0303B1E2" w14:textId="77777777" w:rsidR="009965C8" w:rsidRPr="00A21D7D" w:rsidRDefault="009965C8" w:rsidP="00411815">
            <w:pPr>
              <w:pStyle w:val="TableTextBody"/>
            </w:pPr>
            <w:r w:rsidRPr="00A21D7D">
              <w:t>Your responsibilities – for public entities</w:t>
            </w:r>
          </w:p>
        </w:tc>
        <w:tc>
          <w:tcPr>
            <w:tcW w:w="567" w:type="dxa"/>
          </w:tcPr>
          <w:p w14:paraId="3FCBCC98" w14:textId="77777777" w:rsidR="009965C8" w:rsidRPr="00A21D7D" w:rsidRDefault="009965C8" w:rsidP="00411815">
            <w:pPr>
              <w:pStyle w:val="TableTextBody"/>
            </w:pPr>
            <w:r w:rsidRPr="00A21D7D">
              <w:t>19</w:t>
            </w:r>
          </w:p>
        </w:tc>
        <w:tc>
          <w:tcPr>
            <w:tcW w:w="3544" w:type="dxa"/>
          </w:tcPr>
          <w:p w14:paraId="0874C47B" w14:textId="77777777" w:rsidR="009965C8" w:rsidRPr="00A21D7D" w:rsidRDefault="009965C8" w:rsidP="00411815">
            <w:pPr>
              <w:pStyle w:val="TableTextBody"/>
            </w:pPr>
            <w:r w:rsidRPr="00A21D7D">
              <w:t>Resources – for employers – employer rights &amp; responsibilities</w:t>
            </w:r>
          </w:p>
        </w:tc>
      </w:tr>
      <w:tr w:rsidR="009965C8" w:rsidRPr="00A21D7D" w14:paraId="2FBA36B7" w14:textId="77777777" w:rsidTr="00411815">
        <w:trPr>
          <w:trHeight w:val="318"/>
        </w:trPr>
        <w:tc>
          <w:tcPr>
            <w:tcW w:w="562" w:type="dxa"/>
          </w:tcPr>
          <w:p w14:paraId="2AEF7C20" w14:textId="77777777" w:rsidR="009965C8" w:rsidRPr="00A21D7D" w:rsidRDefault="009965C8" w:rsidP="00411815">
            <w:pPr>
              <w:pStyle w:val="TableTextBody"/>
            </w:pPr>
            <w:r w:rsidRPr="00A21D7D">
              <w:t>10</w:t>
            </w:r>
          </w:p>
        </w:tc>
        <w:tc>
          <w:tcPr>
            <w:tcW w:w="3686" w:type="dxa"/>
          </w:tcPr>
          <w:p w14:paraId="4079A567" w14:textId="77777777" w:rsidR="009965C8" w:rsidRPr="00A21D7D" w:rsidRDefault="009965C8" w:rsidP="00411815">
            <w:pPr>
              <w:pStyle w:val="TableTextBody"/>
            </w:pPr>
            <w:r w:rsidRPr="00A21D7D">
              <w:t xml:space="preserve">Case studies – sex discrimination </w:t>
            </w:r>
          </w:p>
        </w:tc>
        <w:tc>
          <w:tcPr>
            <w:tcW w:w="567" w:type="dxa"/>
          </w:tcPr>
          <w:p w14:paraId="15CB3FBB" w14:textId="77777777" w:rsidR="009965C8" w:rsidRPr="00A21D7D" w:rsidRDefault="009965C8" w:rsidP="00411815">
            <w:pPr>
              <w:pStyle w:val="TableTextBody"/>
            </w:pPr>
            <w:r w:rsidRPr="00A21D7D">
              <w:t>20</w:t>
            </w:r>
          </w:p>
        </w:tc>
        <w:tc>
          <w:tcPr>
            <w:tcW w:w="3544" w:type="dxa"/>
          </w:tcPr>
          <w:p w14:paraId="31589E35" w14:textId="77777777" w:rsidR="009965C8" w:rsidRPr="00A21D7D" w:rsidRDefault="009965C8" w:rsidP="00411815">
            <w:pPr>
              <w:pStyle w:val="TableTextBody"/>
            </w:pPr>
            <w:r w:rsidRPr="00A21D7D">
              <w:t xml:space="preserve">Training – webinars </w:t>
            </w:r>
          </w:p>
        </w:tc>
      </w:tr>
    </w:tbl>
    <w:p w14:paraId="15D1CDB2" w14:textId="77777777" w:rsidR="009965C8" w:rsidRPr="00A21D7D" w:rsidRDefault="009965C8" w:rsidP="009965C8">
      <w:pPr>
        <w:rPr>
          <w:rFonts w:cs="Arial"/>
        </w:rPr>
      </w:pPr>
    </w:p>
    <w:p w14:paraId="4351C907" w14:textId="109B34A7" w:rsidR="007E402E" w:rsidRDefault="00EF465D" w:rsidP="009965C8">
      <w:pPr>
        <w:rPr>
          <w:rFonts w:cs="Arial"/>
        </w:rPr>
      </w:pPr>
      <w:r>
        <w:rPr>
          <w:rFonts w:cs="Arial"/>
        </w:rPr>
        <w:t>We</w:t>
      </w:r>
      <w:r w:rsidR="009965C8" w:rsidRPr="00A21D7D">
        <w:rPr>
          <w:rFonts w:cs="Arial"/>
        </w:rPr>
        <w:t xml:space="preserve"> maintain a social media presence through Facebook, YouTube, Instagram and Twitter accounts. These platforms enable real-time dissemination of information, promotion of activities and events, and two-way e</w:t>
      </w:r>
      <w:r w:rsidR="00456816" w:rsidRPr="00A21D7D">
        <w:rPr>
          <w:rFonts w:cs="Arial"/>
        </w:rPr>
        <w:t xml:space="preserve">ngagement with stakeholders. </w:t>
      </w:r>
      <w:r w:rsidR="009553F4">
        <w:rPr>
          <w:rFonts w:cs="Arial"/>
        </w:rPr>
        <w:t>Our</w:t>
      </w:r>
      <w:r w:rsidR="009553F4" w:rsidRPr="00A21D7D">
        <w:rPr>
          <w:rFonts w:cs="Arial"/>
        </w:rPr>
        <w:t xml:space="preserve"> social media engagement is managed by the Engagement and Corporate Services team in the Brisbane office, and is guided by a</w:t>
      </w:r>
      <w:r w:rsidR="009553F4">
        <w:rPr>
          <w:rFonts w:cs="Arial"/>
        </w:rPr>
        <w:t>n internal social media policy.</w:t>
      </w:r>
    </w:p>
    <w:p w14:paraId="30AEB9E2" w14:textId="7E3A24D7" w:rsidR="007E402E" w:rsidRDefault="00EF465D" w:rsidP="007E402E">
      <w:pPr>
        <w:pStyle w:val="Keystatistics"/>
      </w:pPr>
      <w:r>
        <w:t>Our</w:t>
      </w:r>
      <w:r w:rsidR="009965C8" w:rsidRPr="00A21D7D">
        <w:t xml:space="preserve"> social media reach grew by over </w:t>
      </w:r>
      <w:r w:rsidR="009965C8" w:rsidRPr="009553F4">
        <w:rPr>
          <w:sz w:val="36"/>
          <w:szCs w:val="36"/>
        </w:rPr>
        <w:t>65%</w:t>
      </w:r>
      <w:r w:rsidR="009965C8" w:rsidRPr="00A21D7D">
        <w:t xml:space="preserve"> during 2019-20, and followers have almost doubled since </w:t>
      </w:r>
      <w:r w:rsidR="009553F4">
        <w:t>our</w:t>
      </w:r>
      <w:r w:rsidR="009965C8" w:rsidRPr="00A21D7D">
        <w:t xml:space="preserve"> relaunch as QHRC on 1 July 2019. </w:t>
      </w:r>
    </w:p>
    <w:p w14:paraId="4D719F2C" w14:textId="509B7446" w:rsidR="006F5840" w:rsidRPr="00A21D7D" w:rsidRDefault="006F5840" w:rsidP="007D0F77">
      <w:pPr>
        <w:pStyle w:val="Heading2"/>
      </w:pPr>
      <w:bookmarkStart w:id="32" w:name="_Toc49508874"/>
      <w:r w:rsidRPr="00A21D7D">
        <w:lastRenderedPageBreak/>
        <w:t>Partnerships and networks</w:t>
      </w:r>
      <w:bookmarkEnd w:id="32"/>
      <w:r w:rsidRPr="00A21D7D">
        <w:t xml:space="preserve"> </w:t>
      </w:r>
    </w:p>
    <w:p w14:paraId="363A2578" w14:textId="1C6F8376" w:rsidR="008A7B25" w:rsidRPr="00A21D7D" w:rsidRDefault="008A7B25" w:rsidP="008A7B25">
      <w:pPr>
        <w:spacing w:before="120" w:after="240"/>
        <w:rPr>
          <w:rFonts w:cs="Arial"/>
          <w:lang w:val="en-US"/>
        </w:rPr>
      </w:pPr>
      <w:r w:rsidRPr="00A21D7D">
        <w:rPr>
          <w:rFonts w:cs="Arial"/>
          <w:lang w:val="en-US"/>
        </w:rPr>
        <w:t xml:space="preserve">As part </w:t>
      </w:r>
      <w:r w:rsidR="00EF465D">
        <w:rPr>
          <w:rFonts w:cs="Arial"/>
          <w:lang w:val="en-US"/>
        </w:rPr>
        <w:t>of our</w:t>
      </w:r>
      <w:r w:rsidRPr="00A21D7D">
        <w:rPr>
          <w:rFonts w:cs="Arial"/>
          <w:lang w:val="en-US"/>
        </w:rPr>
        <w:t xml:space="preserve"> functions to promote an understanding, acceptance, and public discussion of human rights, </w:t>
      </w:r>
      <w:r w:rsidR="00EF465D">
        <w:rPr>
          <w:rFonts w:cs="Arial"/>
          <w:lang w:val="en-US"/>
        </w:rPr>
        <w:t>we are</w:t>
      </w:r>
      <w:r w:rsidR="00DC5801" w:rsidRPr="00A21D7D">
        <w:rPr>
          <w:rFonts w:cs="Arial"/>
          <w:lang w:val="en-US"/>
        </w:rPr>
        <w:t xml:space="preserve"> involved in a range of issue and location based advisory groups and networks across Queensland. These include multicultural and multi-faith networks; disability networks; access and inclusion advisory groups and </w:t>
      </w:r>
      <w:r w:rsidR="00020E6D" w:rsidRPr="00A21D7D">
        <w:rPr>
          <w:rFonts w:cs="Arial"/>
          <w:lang w:val="en-US"/>
        </w:rPr>
        <w:t xml:space="preserve">public sector interagency networks. </w:t>
      </w:r>
      <w:r w:rsidR="00DC5801" w:rsidRPr="00A21D7D">
        <w:rPr>
          <w:rFonts w:cs="Arial"/>
          <w:lang w:val="en-US"/>
        </w:rPr>
        <w:t xml:space="preserve">Additionally, </w:t>
      </w:r>
      <w:r w:rsidR="00EF465D">
        <w:rPr>
          <w:rFonts w:cs="Arial"/>
          <w:lang w:val="en-US"/>
        </w:rPr>
        <w:t>we</w:t>
      </w:r>
      <w:r w:rsidRPr="00A21D7D">
        <w:rPr>
          <w:rFonts w:cs="Arial"/>
          <w:lang w:val="en-US"/>
        </w:rPr>
        <w:t xml:space="preserve"> ha</w:t>
      </w:r>
      <w:r w:rsidR="00EF465D">
        <w:rPr>
          <w:rFonts w:cs="Arial"/>
          <w:lang w:val="en-US"/>
        </w:rPr>
        <w:t>ve</w:t>
      </w:r>
      <w:r w:rsidRPr="00A21D7D">
        <w:rPr>
          <w:rFonts w:cs="Arial"/>
          <w:lang w:val="en-US"/>
        </w:rPr>
        <w:t xml:space="preserve"> initiated </w:t>
      </w:r>
      <w:r w:rsidR="00020E6D" w:rsidRPr="00A21D7D">
        <w:rPr>
          <w:rFonts w:cs="Arial"/>
          <w:lang w:val="en-US"/>
        </w:rPr>
        <w:t xml:space="preserve">and/or contribute to </w:t>
      </w:r>
      <w:r w:rsidRPr="00A21D7D">
        <w:rPr>
          <w:rFonts w:cs="Arial"/>
          <w:lang w:val="en-US"/>
        </w:rPr>
        <w:t>vario</w:t>
      </w:r>
      <w:r w:rsidR="00DC5801" w:rsidRPr="00A21D7D">
        <w:rPr>
          <w:rFonts w:cs="Arial"/>
          <w:lang w:val="en-US"/>
        </w:rPr>
        <w:t>us consultation groups</w:t>
      </w:r>
      <w:r w:rsidR="00966AEB" w:rsidRPr="00A21D7D">
        <w:rPr>
          <w:rFonts w:cs="Arial"/>
          <w:lang w:val="en-US"/>
        </w:rPr>
        <w:t xml:space="preserve"> and cross-agency collaboration networks</w:t>
      </w:r>
      <w:r w:rsidR="00DC5801" w:rsidRPr="00A21D7D">
        <w:rPr>
          <w:rFonts w:cs="Arial"/>
          <w:lang w:val="en-US"/>
        </w:rPr>
        <w:t xml:space="preserve"> including: </w:t>
      </w:r>
    </w:p>
    <w:p w14:paraId="6FBC2AEE" w14:textId="77777777" w:rsidR="008A7B25" w:rsidRPr="00A21D7D" w:rsidRDefault="008A7B25" w:rsidP="007D0F77">
      <w:pPr>
        <w:pStyle w:val="Heading3"/>
        <w:rPr>
          <w:lang w:val="en-US"/>
        </w:rPr>
      </w:pPr>
      <w:bookmarkStart w:id="33" w:name="_Toc49508875"/>
      <w:r w:rsidRPr="00A21D7D">
        <w:rPr>
          <w:lang w:val="en-US"/>
        </w:rPr>
        <w:t>Queensland Human Rights Advocates Group</w:t>
      </w:r>
      <w:bookmarkEnd w:id="33"/>
    </w:p>
    <w:p w14:paraId="20C7F176" w14:textId="37C9F29C" w:rsidR="008A7B25" w:rsidRDefault="00EF465D" w:rsidP="008A7B25">
      <w:pPr>
        <w:spacing w:before="120" w:after="240"/>
        <w:rPr>
          <w:rFonts w:cs="Arial"/>
          <w:lang w:val="en-US"/>
        </w:rPr>
      </w:pPr>
      <w:r>
        <w:rPr>
          <w:rFonts w:cs="Arial"/>
          <w:lang w:val="en-US"/>
        </w:rPr>
        <w:t>We</w:t>
      </w:r>
      <w:r w:rsidR="008A7B25" w:rsidRPr="00A21D7D">
        <w:rPr>
          <w:rFonts w:cs="Arial"/>
          <w:lang w:val="en-US"/>
        </w:rPr>
        <w:t xml:space="preserve"> facilitate meetings of a group of lawyers and advocates with an interest in promoting the human rights of their clients.</w:t>
      </w:r>
      <w:r w:rsidR="00B10E8B">
        <w:rPr>
          <w:rFonts w:cs="Arial"/>
          <w:lang w:val="en-US"/>
        </w:rPr>
        <w:t xml:space="preserve"> </w:t>
      </w:r>
      <w:r>
        <w:rPr>
          <w:rFonts w:cs="Arial"/>
          <w:lang w:val="en-US"/>
        </w:rPr>
        <w:t>The group’s p</w:t>
      </w:r>
      <w:r w:rsidR="008A7B25" w:rsidRPr="00A21D7D">
        <w:rPr>
          <w:rFonts w:cs="Arial"/>
          <w:lang w:val="en-US"/>
        </w:rPr>
        <w:t>urposes include promoting the protection and fulfillment of human rights and supporting the building of a culture that respects and promotes human rights in Queensland.</w:t>
      </w:r>
      <w:r w:rsidR="00B10E8B">
        <w:rPr>
          <w:rFonts w:cs="Arial"/>
          <w:lang w:val="en-US"/>
        </w:rPr>
        <w:t xml:space="preserve"> </w:t>
      </w:r>
      <w:r w:rsidR="008A7B25" w:rsidRPr="00A21D7D">
        <w:rPr>
          <w:rFonts w:cs="Arial"/>
          <w:lang w:val="en-US"/>
        </w:rPr>
        <w:t xml:space="preserve">The group also provides critical feedback to the Commission to assist </w:t>
      </w:r>
      <w:r>
        <w:rPr>
          <w:rFonts w:cs="Arial"/>
          <w:lang w:val="en-US"/>
        </w:rPr>
        <w:t>us</w:t>
      </w:r>
      <w:r w:rsidR="008A7B25" w:rsidRPr="00A21D7D">
        <w:rPr>
          <w:rFonts w:cs="Arial"/>
          <w:lang w:val="en-US"/>
        </w:rPr>
        <w:t xml:space="preserve"> to perform </w:t>
      </w:r>
      <w:r>
        <w:rPr>
          <w:rFonts w:cs="Arial"/>
          <w:lang w:val="en-US"/>
        </w:rPr>
        <w:t>our</w:t>
      </w:r>
      <w:r w:rsidR="008A7B25" w:rsidRPr="00A21D7D">
        <w:rPr>
          <w:rFonts w:cs="Arial"/>
          <w:lang w:val="en-US"/>
        </w:rPr>
        <w:t xml:space="preserve"> functions, including identifying systemic issues and proceedings where the Commission may consider intervening.</w:t>
      </w:r>
    </w:p>
    <w:p w14:paraId="0947534B" w14:textId="3985BFFA" w:rsidR="00355C71" w:rsidRPr="009C6263" w:rsidRDefault="00355C71" w:rsidP="007D0F77">
      <w:pPr>
        <w:pStyle w:val="Heading3"/>
        <w:rPr>
          <w:rFonts w:eastAsia="Times New Roman"/>
          <w:lang w:val="en-US" w:eastAsia="en-AU"/>
        </w:rPr>
      </w:pPr>
      <w:bookmarkStart w:id="34" w:name="_Toc49508876"/>
      <w:r w:rsidRPr="009C6263">
        <w:rPr>
          <w:rFonts w:eastAsia="Times New Roman"/>
          <w:lang w:val="en-US" w:eastAsia="en-AU"/>
        </w:rPr>
        <w:t>Human Rights Complaints Working Group</w:t>
      </w:r>
      <w:bookmarkEnd w:id="34"/>
    </w:p>
    <w:p w14:paraId="5B22BD06" w14:textId="70375642" w:rsidR="00355C71" w:rsidRPr="00A21D7D" w:rsidRDefault="00EF465D" w:rsidP="008A7B25">
      <w:pPr>
        <w:spacing w:before="120" w:after="240"/>
        <w:rPr>
          <w:rFonts w:cs="Arial"/>
          <w:lang w:val="en-US"/>
        </w:rPr>
      </w:pPr>
      <w:r>
        <w:rPr>
          <w:rFonts w:cs="Arial"/>
          <w:lang w:val="en-US"/>
        </w:rPr>
        <w:t>We</w:t>
      </w:r>
      <w:r w:rsidR="00355C71">
        <w:rPr>
          <w:rFonts w:cs="Arial"/>
          <w:lang w:val="en-US"/>
        </w:rPr>
        <w:t xml:space="preserve"> facilitate meetings of Queensland Government departmental representatives responsible for managing human rights complaints lodged with their department.</w:t>
      </w:r>
      <w:r w:rsidR="00B10E8B">
        <w:rPr>
          <w:rFonts w:cs="Arial"/>
          <w:lang w:val="en-US"/>
        </w:rPr>
        <w:t xml:space="preserve">  </w:t>
      </w:r>
      <w:r w:rsidR="00355C71">
        <w:rPr>
          <w:rFonts w:cs="Arial"/>
          <w:lang w:val="en-US"/>
        </w:rPr>
        <w:t>The purposes of the group include to share successes and challenges in the implementation of the Human Rights Act, to collaborate to build capacity, to make good decisions and to act compatibly with human rights and to support the building of a culture in Queensland that respects and promotes human rights.</w:t>
      </w:r>
    </w:p>
    <w:p w14:paraId="3186FF3B" w14:textId="77777777" w:rsidR="008A7B25" w:rsidRPr="00A21D7D" w:rsidRDefault="008A7B25" w:rsidP="007D0F77">
      <w:pPr>
        <w:pStyle w:val="Heading3"/>
        <w:rPr>
          <w:lang w:val="en-US"/>
        </w:rPr>
      </w:pPr>
      <w:bookmarkStart w:id="35" w:name="_Toc49508877"/>
      <w:r w:rsidRPr="00A21D7D">
        <w:rPr>
          <w:lang w:val="en-US"/>
        </w:rPr>
        <w:t>Queensland Academics Human Rights Group</w:t>
      </w:r>
      <w:bookmarkEnd w:id="35"/>
    </w:p>
    <w:p w14:paraId="22FA393A" w14:textId="1DDE7C00" w:rsidR="008A7B25" w:rsidRPr="00A21D7D" w:rsidRDefault="00EF465D" w:rsidP="008A7B25">
      <w:pPr>
        <w:spacing w:before="120" w:after="120"/>
        <w:rPr>
          <w:rFonts w:cs="Arial"/>
          <w:lang w:val="en-US"/>
        </w:rPr>
      </w:pPr>
      <w:r>
        <w:rPr>
          <w:rFonts w:cs="Arial"/>
          <w:lang w:val="en-US"/>
        </w:rPr>
        <w:t>We</w:t>
      </w:r>
      <w:r w:rsidR="008A7B25" w:rsidRPr="00A21D7D">
        <w:rPr>
          <w:rFonts w:cs="Arial"/>
          <w:lang w:val="en-US"/>
        </w:rPr>
        <w:t xml:space="preserve"> facilitate the meeting of a group of academics with an interest in human rights.</w:t>
      </w:r>
      <w:r w:rsidR="00B10E8B">
        <w:rPr>
          <w:rFonts w:cs="Arial"/>
          <w:lang w:val="en-US"/>
        </w:rPr>
        <w:t xml:space="preserve"> </w:t>
      </w:r>
      <w:r w:rsidR="008A7B25" w:rsidRPr="00A21D7D">
        <w:rPr>
          <w:rFonts w:cs="Arial"/>
          <w:lang w:val="en-US"/>
        </w:rPr>
        <w:t xml:space="preserve">The </w:t>
      </w:r>
      <w:r>
        <w:rPr>
          <w:rFonts w:cs="Arial"/>
          <w:lang w:val="en-US"/>
        </w:rPr>
        <w:t xml:space="preserve">group’s </w:t>
      </w:r>
      <w:r w:rsidR="008A7B25" w:rsidRPr="00A21D7D">
        <w:rPr>
          <w:rFonts w:cs="Arial"/>
          <w:lang w:val="en-US"/>
        </w:rPr>
        <w:t>purpose is to promote the protection and fulfilment of human rights by sharing information, collaborating, and undertaking research and activities to support the building of a culture of human rights in Queensland.</w:t>
      </w:r>
    </w:p>
    <w:p w14:paraId="747221C9" w14:textId="77777777" w:rsidR="008A7B25" w:rsidRPr="00A21D7D" w:rsidRDefault="008A7B25" w:rsidP="007D0F77">
      <w:pPr>
        <w:pStyle w:val="Heading3"/>
        <w:rPr>
          <w:lang w:val="en-US"/>
        </w:rPr>
      </w:pPr>
      <w:bookmarkStart w:id="36" w:name="_Toc49508878"/>
      <w:r w:rsidRPr="00A21D7D">
        <w:rPr>
          <w:lang w:val="en-US"/>
        </w:rPr>
        <w:t>Human Rights Inter-jurisdiction Legal Officers</w:t>
      </w:r>
      <w:bookmarkEnd w:id="36"/>
    </w:p>
    <w:p w14:paraId="5987134E" w14:textId="77777777" w:rsidR="008A7B25" w:rsidRPr="00A21D7D" w:rsidRDefault="008A7B25" w:rsidP="008A7B25">
      <w:pPr>
        <w:spacing w:before="120" w:after="240"/>
        <w:rPr>
          <w:rFonts w:cs="Arial"/>
          <w:lang w:val="en-US"/>
        </w:rPr>
      </w:pPr>
      <w:r w:rsidRPr="00A21D7D">
        <w:rPr>
          <w:rFonts w:cs="Arial"/>
          <w:lang w:val="en-US"/>
        </w:rPr>
        <w:t>Legal officers from the Commissions in the three Australian jurisdictions with human rights legislation (the ACT, Victoria, and Queensland) meet to discuss significant developments in human rights law and policy, as well as significant anti-discrimination matters relevant to the work of the Commissions.</w:t>
      </w:r>
    </w:p>
    <w:p w14:paraId="2DFC77C5" w14:textId="77777777" w:rsidR="008A7B25" w:rsidRPr="00A21D7D" w:rsidRDefault="008A7B25" w:rsidP="007D0F77">
      <w:pPr>
        <w:pStyle w:val="Heading3"/>
        <w:rPr>
          <w:lang w:val="en-US"/>
        </w:rPr>
      </w:pPr>
      <w:bookmarkStart w:id="37" w:name="_Toc49508879"/>
      <w:r w:rsidRPr="00A21D7D">
        <w:rPr>
          <w:lang w:val="en-US"/>
        </w:rPr>
        <w:t>Queensland Law Society Committees</w:t>
      </w:r>
      <w:bookmarkEnd w:id="37"/>
    </w:p>
    <w:p w14:paraId="498B91A3" w14:textId="4A2C2004" w:rsidR="008A7B25" w:rsidRPr="00A21D7D" w:rsidRDefault="008A7B25" w:rsidP="008A7B25">
      <w:pPr>
        <w:spacing w:before="120" w:after="240"/>
        <w:rPr>
          <w:rFonts w:cs="Arial"/>
          <w:lang w:val="en-US"/>
        </w:rPr>
      </w:pPr>
      <w:r w:rsidRPr="00A21D7D">
        <w:rPr>
          <w:rFonts w:cs="Arial"/>
          <w:lang w:val="en-US"/>
        </w:rPr>
        <w:t xml:space="preserve">Each of </w:t>
      </w:r>
      <w:r w:rsidR="00EF465D">
        <w:rPr>
          <w:rFonts w:cs="Arial"/>
          <w:lang w:val="en-US"/>
        </w:rPr>
        <w:t>our</w:t>
      </w:r>
      <w:r w:rsidRPr="00A21D7D">
        <w:rPr>
          <w:rFonts w:cs="Arial"/>
          <w:lang w:val="en-US"/>
        </w:rPr>
        <w:t xml:space="preserve"> three Principal Lawyers are members of a policy committee of the Queensland Law Society, where they contribute their expert knowledge to assist the Society in delivering its vision for good law, good lawyers, and public good.</w:t>
      </w:r>
      <w:r w:rsidR="00B10E8B">
        <w:rPr>
          <w:rFonts w:cs="Arial"/>
          <w:lang w:val="en-US"/>
        </w:rPr>
        <w:t xml:space="preserve"> </w:t>
      </w:r>
      <w:r w:rsidRPr="00A21D7D">
        <w:rPr>
          <w:rFonts w:cs="Arial"/>
          <w:lang w:val="en-US"/>
        </w:rPr>
        <w:t>A Commission lawyer is a member of the Human Rights and Public Law Committee, the Health and Disability Committee, and the Equity and Diversity Committee.</w:t>
      </w:r>
    </w:p>
    <w:p w14:paraId="0A5F0896" w14:textId="77777777" w:rsidR="008A7B25" w:rsidRPr="00A21D7D" w:rsidRDefault="008A7B25" w:rsidP="007D0F77">
      <w:pPr>
        <w:pStyle w:val="Heading3"/>
        <w:rPr>
          <w:lang w:val="en-US"/>
        </w:rPr>
      </w:pPr>
      <w:bookmarkStart w:id="38" w:name="_Toc49508880"/>
      <w:r w:rsidRPr="00A21D7D">
        <w:rPr>
          <w:lang w:val="en-US"/>
        </w:rPr>
        <w:lastRenderedPageBreak/>
        <w:t>Racial and Religious Vilification Reform Community Leaders Advisory Group</w:t>
      </w:r>
      <w:bookmarkEnd w:id="38"/>
    </w:p>
    <w:p w14:paraId="7AD92B52" w14:textId="259AF7A6" w:rsidR="008A7B25" w:rsidRPr="00A21D7D" w:rsidRDefault="008A7B25" w:rsidP="008A7B25">
      <w:pPr>
        <w:spacing w:before="120" w:after="240"/>
        <w:rPr>
          <w:rFonts w:cs="Arial"/>
          <w:lang w:val="en-US"/>
        </w:rPr>
      </w:pPr>
      <w:r w:rsidRPr="00A21D7D">
        <w:rPr>
          <w:rFonts w:cs="Arial"/>
          <w:lang w:val="en-US"/>
        </w:rPr>
        <w:t>To better safeguard Queensland as a safe and inclusive society, this group was established to provide advice to the Commission on how meaningful and practical improvements can be made to Queensland’s vilification laws, so that all people in Queensland can live free of racial and religious abuse.</w:t>
      </w:r>
      <w:r w:rsidR="00B10E8B">
        <w:rPr>
          <w:rFonts w:cs="Arial"/>
          <w:lang w:val="en-US"/>
        </w:rPr>
        <w:t xml:space="preserve"> </w:t>
      </w:r>
      <w:r w:rsidRPr="00A21D7D">
        <w:rPr>
          <w:rFonts w:cs="Arial"/>
          <w:lang w:val="en-US"/>
        </w:rPr>
        <w:t>During the COVID-19 pandemic, people of Asian background have been subject to higher levels of physical, verbal and online abuse.</w:t>
      </w:r>
      <w:r w:rsidR="00B10E8B">
        <w:rPr>
          <w:rFonts w:cs="Arial"/>
          <w:lang w:val="en-US"/>
        </w:rPr>
        <w:t xml:space="preserve"> </w:t>
      </w:r>
      <w:r w:rsidRPr="00A21D7D">
        <w:rPr>
          <w:rFonts w:cs="Arial"/>
          <w:lang w:val="en-US"/>
        </w:rPr>
        <w:t>This group aims to build support networks between various groups in the Queensland community who experience more frequent racial and religious hatred, abuse, and vilification, and to enhance the ability of the community to remain cohesive during and after critical events that can give rise to racial and religious vilification.</w:t>
      </w:r>
    </w:p>
    <w:p w14:paraId="3A3076CB" w14:textId="06759DA8" w:rsidR="00A6198D" w:rsidRPr="00A21D7D" w:rsidRDefault="00A6198D" w:rsidP="007D0F77">
      <w:pPr>
        <w:pStyle w:val="Heading3"/>
      </w:pPr>
      <w:bookmarkStart w:id="39" w:name="_Toc49508881"/>
      <w:r w:rsidRPr="00A21D7D">
        <w:t>Police Ethnic Advisory Group (PEAG)</w:t>
      </w:r>
      <w:bookmarkEnd w:id="39"/>
    </w:p>
    <w:p w14:paraId="704A2AC7" w14:textId="6B80D7E2" w:rsidR="00A6198D" w:rsidRPr="00A21D7D" w:rsidRDefault="00A6198D" w:rsidP="00A6198D">
      <w:pPr>
        <w:rPr>
          <w:rFonts w:cs="Arial"/>
          <w:color w:val="000000"/>
          <w:lang w:val="en-GB"/>
        </w:rPr>
      </w:pPr>
      <w:r w:rsidRPr="00A21D7D">
        <w:rPr>
          <w:rFonts w:cs="Arial"/>
          <w:color w:val="000000"/>
          <w:lang w:val="en-GB"/>
        </w:rPr>
        <w:t>PEAG is an advisory body to the Queensland Police Service on issues relating to cultural diversity. The group contributes to the promotion and maintenance of harmonious relations between Queensland police</w:t>
      </w:r>
      <w:r w:rsidR="00511839" w:rsidRPr="00A21D7D">
        <w:rPr>
          <w:rFonts w:cs="Arial"/>
          <w:color w:val="000000"/>
          <w:lang w:val="en-GB"/>
        </w:rPr>
        <w:t xml:space="preserve"> and ethnic communities. The QHRC </w:t>
      </w:r>
      <w:r w:rsidRPr="00A21D7D">
        <w:rPr>
          <w:rFonts w:cs="Arial"/>
          <w:color w:val="000000"/>
          <w:lang w:val="en-GB"/>
        </w:rPr>
        <w:t xml:space="preserve">contributes on matters that fall within its jurisdiction under the </w:t>
      </w:r>
      <w:r w:rsidR="00FC6699" w:rsidRPr="00FC6699">
        <w:rPr>
          <w:rFonts w:cs="Arial"/>
          <w:i/>
          <w:color w:val="000000"/>
          <w:lang w:val="en-GB"/>
        </w:rPr>
        <w:t>Anti-Discrimination Act 1991</w:t>
      </w:r>
      <w:r w:rsidR="00511839" w:rsidRPr="00A21D7D">
        <w:rPr>
          <w:rFonts w:cs="Arial"/>
          <w:i/>
          <w:color w:val="000000"/>
          <w:lang w:val="en-GB"/>
        </w:rPr>
        <w:t xml:space="preserve"> </w:t>
      </w:r>
      <w:r w:rsidR="00511839" w:rsidRPr="00A21D7D">
        <w:rPr>
          <w:rFonts w:cs="Arial"/>
          <w:color w:val="000000"/>
          <w:lang w:val="en-GB"/>
        </w:rPr>
        <w:t>and</w:t>
      </w:r>
      <w:r w:rsidR="00511839" w:rsidRPr="00A21D7D">
        <w:rPr>
          <w:rFonts w:cs="Arial"/>
          <w:i/>
          <w:color w:val="000000"/>
          <w:lang w:val="en-GB"/>
        </w:rPr>
        <w:t xml:space="preserve"> </w:t>
      </w:r>
      <w:r w:rsidR="00FC6699" w:rsidRPr="00FC6699">
        <w:rPr>
          <w:rFonts w:cs="Arial"/>
          <w:i/>
          <w:color w:val="000000"/>
          <w:lang w:val="en-GB"/>
        </w:rPr>
        <w:t>Human Rights Act 2019</w:t>
      </w:r>
      <w:r w:rsidRPr="00A21D7D">
        <w:rPr>
          <w:rFonts w:cs="Arial"/>
          <w:color w:val="000000"/>
          <w:lang w:val="en-GB"/>
        </w:rPr>
        <w:t>.</w:t>
      </w:r>
    </w:p>
    <w:p w14:paraId="185B5B13" w14:textId="39B1677F" w:rsidR="00966AEB" w:rsidRPr="00A21D7D" w:rsidRDefault="00966AEB" w:rsidP="007D0F77">
      <w:pPr>
        <w:pStyle w:val="Heading3"/>
        <w:rPr>
          <w:lang w:val="en-GB"/>
        </w:rPr>
      </w:pPr>
      <w:bookmarkStart w:id="40" w:name="_Toc49508882"/>
      <w:r w:rsidRPr="00A21D7D">
        <w:rPr>
          <w:lang w:val="en-GB"/>
        </w:rPr>
        <w:t>Strategic Cross-Agency Oversight Group</w:t>
      </w:r>
      <w:bookmarkEnd w:id="40"/>
    </w:p>
    <w:p w14:paraId="661862AE" w14:textId="51DA8ADB" w:rsidR="00966AEB" w:rsidRPr="00A21D7D" w:rsidRDefault="00EF465D" w:rsidP="00966AEB">
      <w:pPr>
        <w:spacing w:after="120"/>
        <w:rPr>
          <w:rFonts w:cs="Arial"/>
        </w:rPr>
      </w:pPr>
      <w:r>
        <w:rPr>
          <w:rFonts w:cs="Arial"/>
        </w:rPr>
        <w:t xml:space="preserve">This group was established by the Queensland </w:t>
      </w:r>
      <w:r w:rsidR="00966AEB" w:rsidRPr="00A21D7D">
        <w:rPr>
          <w:rFonts w:cs="Arial"/>
        </w:rPr>
        <w:t>Family and Child Commission to discuss sector wide trends and issues with a focus on external, systemic and cross</w:t>
      </w:r>
      <w:r w:rsidR="00293135">
        <w:rPr>
          <w:rFonts w:cs="Arial"/>
        </w:rPr>
        <w:t>-</w:t>
      </w:r>
      <w:r w:rsidR="00966AEB" w:rsidRPr="00A21D7D">
        <w:rPr>
          <w:rFonts w:cs="Arial"/>
        </w:rPr>
        <w:t xml:space="preserve">agency oversight. The group aims to increase public confidence in the agencies that have a role to protect, advocate and champion the rights of vulnerable children and families in Queensland by: </w:t>
      </w:r>
    </w:p>
    <w:p w14:paraId="508EA40C" w14:textId="37B81E44" w:rsidR="00966AEB" w:rsidRPr="00A21D7D" w:rsidRDefault="00966AEB" w:rsidP="00227095">
      <w:pPr>
        <w:pStyle w:val="ListParagraph"/>
        <w:numPr>
          <w:ilvl w:val="0"/>
          <w:numId w:val="8"/>
        </w:numPr>
        <w:spacing w:after="0" w:line="259" w:lineRule="auto"/>
        <w:ind w:right="0"/>
        <w:rPr>
          <w:rFonts w:cs="Arial"/>
        </w:rPr>
      </w:pPr>
      <w:r w:rsidRPr="00A21D7D">
        <w:rPr>
          <w:rFonts w:cs="Arial"/>
        </w:rPr>
        <w:t>identifying and addressing cross-agency issues</w:t>
      </w:r>
      <w:r w:rsidR="005B1D5D">
        <w:rPr>
          <w:rFonts w:cs="Arial"/>
        </w:rPr>
        <w:t>;</w:t>
      </w:r>
    </w:p>
    <w:p w14:paraId="0B383D59" w14:textId="2D6DEA79" w:rsidR="00966AEB" w:rsidRPr="00A21D7D" w:rsidRDefault="00966AEB" w:rsidP="00227095">
      <w:pPr>
        <w:pStyle w:val="ListParagraph"/>
        <w:numPr>
          <w:ilvl w:val="0"/>
          <w:numId w:val="8"/>
        </w:numPr>
        <w:spacing w:after="160" w:line="259" w:lineRule="auto"/>
        <w:ind w:right="0"/>
        <w:rPr>
          <w:rFonts w:cs="Arial"/>
        </w:rPr>
      </w:pPr>
      <w:r w:rsidRPr="00A21D7D">
        <w:rPr>
          <w:rFonts w:cs="Arial"/>
        </w:rPr>
        <w:t>identifying areas where oversight agencies can work in partnership</w:t>
      </w:r>
      <w:r w:rsidR="005B1D5D">
        <w:rPr>
          <w:rFonts w:cs="Arial"/>
        </w:rPr>
        <w:t>;</w:t>
      </w:r>
    </w:p>
    <w:p w14:paraId="079642C5" w14:textId="44B2E0F2" w:rsidR="00966AEB" w:rsidRPr="00A21D7D" w:rsidRDefault="00966AEB" w:rsidP="00227095">
      <w:pPr>
        <w:pStyle w:val="ListParagraph"/>
        <w:numPr>
          <w:ilvl w:val="0"/>
          <w:numId w:val="8"/>
        </w:numPr>
        <w:spacing w:after="160" w:line="259" w:lineRule="auto"/>
        <w:ind w:right="0"/>
        <w:rPr>
          <w:rFonts w:cs="Arial"/>
        </w:rPr>
      </w:pPr>
      <w:r w:rsidRPr="00A21D7D">
        <w:rPr>
          <w:rFonts w:cs="Arial"/>
        </w:rPr>
        <w:t>reducing duplication</w:t>
      </w:r>
      <w:r w:rsidR="005B1D5D">
        <w:rPr>
          <w:rFonts w:cs="Arial"/>
        </w:rPr>
        <w:t>; and</w:t>
      </w:r>
      <w:r w:rsidRPr="00A21D7D">
        <w:rPr>
          <w:rFonts w:cs="Arial"/>
        </w:rPr>
        <w:t xml:space="preserve"> </w:t>
      </w:r>
    </w:p>
    <w:p w14:paraId="2A8C4554" w14:textId="77777777" w:rsidR="00966AEB" w:rsidRPr="00A21D7D" w:rsidRDefault="00966AEB" w:rsidP="00227095">
      <w:pPr>
        <w:pStyle w:val="ListParagraph"/>
        <w:numPr>
          <w:ilvl w:val="0"/>
          <w:numId w:val="8"/>
        </w:numPr>
        <w:spacing w:after="0" w:line="259" w:lineRule="auto"/>
        <w:ind w:left="357" w:right="0" w:hanging="357"/>
        <w:rPr>
          <w:rFonts w:cs="Arial"/>
        </w:rPr>
      </w:pPr>
      <w:r w:rsidRPr="00A21D7D">
        <w:rPr>
          <w:rFonts w:cs="Arial"/>
        </w:rPr>
        <w:t>enabling information sharing.</w:t>
      </w:r>
    </w:p>
    <w:p w14:paraId="624C5F1C" w14:textId="77777777" w:rsidR="00966AEB" w:rsidRPr="00A21D7D" w:rsidRDefault="00966AEB" w:rsidP="00966AEB">
      <w:pPr>
        <w:spacing w:line="240" w:lineRule="auto"/>
        <w:rPr>
          <w:rFonts w:cs="Arial"/>
        </w:rPr>
      </w:pPr>
    </w:p>
    <w:p w14:paraId="26E9ACD6" w14:textId="0085CB05" w:rsidR="00966AEB" w:rsidRPr="00A21D7D" w:rsidRDefault="00EF465D" w:rsidP="00966AEB">
      <w:pPr>
        <w:spacing w:line="240" w:lineRule="auto"/>
        <w:rPr>
          <w:rFonts w:cs="Arial"/>
          <w:i/>
        </w:rPr>
      </w:pPr>
      <w:r>
        <w:rPr>
          <w:rFonts w:cs="Arial"/>
        </w:rPr>
        <w:t>We were</w:t>
      </w:r>
      <w:r w:rsidR="00966AEB" w:rsidRPr="00A21D7D">
        <w:rPr>
          <w:rFonts w:cs="Arial"/>
        </w:rPr>
        <w:t xml:space="preserve"> invited to become a member of this expanded group following the introduction of the </w:t>
      </w:r>
      <w:r w:rsidR="00FC6699" w:rsidRPr="00FC6699">
        <w:rPr>
          <w:rFonts w:cs="Arial"/>
          <w:i/>
        </w:rPr>
        <w:t>Human Rights Act 2019</w:t>
      </w:r>
      <w:r w:rsidR="00966AEB" w:rsidRPr="00A21D7D">
        <w:rPr>
          <w:rFonts w:cs="Arial"/>
          <w:i/>
        </w:rPr>
        <w:t>.</w:t>
      </w:r>
    </w:p>
    <w:p w14:paraId="6D98444A" w14:textId="42BA0E75" w:rsidR="00966AEB" w:rsidRPr="00A21D7D" w:rsidRDefault="00EF465D" w:rsidP="00966AEB">
      <w:pPr>
        <w:spacing w:line="240" w:lineRule="auto"/>
        <w:rPr>
          <w:rFonts w:cs="Arial"/>
        </w:rPr>
      </w:pPr>
      <w:r>
        <w:rPr>
          <w:rFonts w:cs="Arial"/>
        </w:rPr>
        <w:t>We</w:t>
      </w:r>
      <w:r w:rsidR="00966AEB" w:rsidRPr="00A21D7D">
        <w:rPr>
          <w:rFonts w:cs="Arial"/>
        </w:rPr>
        <w:t xml:space="preserve"> also contribute to the Children in Complaints working group, which is a sub-committee of the Strategic Cross-Agency Oversight Group.</w:t>
      </w:r>
      <w:r w:rsidR="00B10E8B">
        <w:rPr>
          <w:rFonts w:cs="Arial"/>
        </w:rPr>
        <w:t xml:space="preserve"> </w:t>
      </w:r>
      <w:r w:rsidR="00966AEB" w:rsidRPr="00A21D7D">
        <w:rPr>
          <w:rFonts w:cs="Arial"/>
        </w:rPr>
        <w:t>Members of this group work collaboratively and share systemic information in relation to children’s access and voice within the complaint’s management processes.</w:t>
      </w:r>
      <w:r w:rsidR="00B10E8B">
        <w:rPr>
          <w:rFonts w:cs="Arial"/>
        </w:rPr>
        <w:t xml:space="preserve"> </w:t>
      </w:r>
    </w:p>
    <w:p w14:paraId="65DC34FF" w14:textId="77777777" w:rsidR="00966AEB" w:rsidRPr="00A21D7D" w:rsidRDefault="00966AEB" w:rsidP="00966AEB">
      <w:pPr>
        <w:rPr>
          <w:rFonts w:cs="Arial"/>
          <w:lang w:val="en-GB"/>
        </w:rPr>
      </w:pPr>
    </w:p>
    <w:p w14:paraId="1836D16B" w14:textId="77777777" w:rsidR="00A72450" w:rsidRDefault="00A72450">
      <w:pPr>
        <w:ind w:right="0"/>
        <w:rPr>
          <w:rFonts w:eastAsiaTheme="majorEastAsia" w:cstheme="majorBidi"/>
          <w:color w:val="000000" w:themeColor="text1"/>
          <w:sz w:val="36"/>
          <w:szCs w:val="26"/>
        </w:rPr>
      </w:pPr>
      <w:bookmarkStart w:id="41" w:name="_Toc49508883"/>
      <w:r>
        <w:br w:type="page"/>
      </w:r>
    </w:p>
    <w:p w14:paraId="71909AA6" w14:textId="0C684BF6" w:rsidR="000B332C" w:rsidRPr="00A21D7D" w:rsidRDefault="000B332C" w:rsidP="007D0F77">
      <w:pPr>
        <w:pStyle w:val="Heading2"/>
      </w:pPr>
      <w:r w:rsidRPr="00A21D7D">
        <w:lastRenderedPageBreak/>
        <w:t>Whole-of-government plans</w:t>
      </w:r>
      <w:bookmarkEnd w:id="41"/>
      <w:r w:rsidRPr="00A21D7D">
        <w:t xml:space="preserve"> </w:t>
      </w:r>
    </w:p>
    <w:p w14:paraId="73B4A06B" w14:textId="4C87901E" w:rsidR="00DB2625" w:rsidRPr="00A21D7D" w:rsidRDefault="00EF465D" w:rsidP="00DB2625">
      <w:pPr>
        <w:rPr>
          <w:rFonts w:cs="Arial"/>
        </w:rPr>
      </w:pPr>
      <w:r>
        <w:rPr>
          <w:rFonts w:cs="Arial"/>
        </w:rPr>
        <w:t>We</w:t>
      </w:r>
      <w:r w:rsidR="00DB2625" w:rsidRPr="00A21D7D">
        <w:rPr>
          <w:rFonts w:cs="Arial"/>
        </w:rPr>
        <w:t xml:space="preserve"> contributed to the following whole-of-government plans and initiatives during 2018-19:</w:t>
      </w:r>
    </w:p>
    <w:p w14:paraId="6A5A8B97" w14:textId="58EA78F9" w:rsidR="000B332C" w:rsidRPr="00A21D7D" w:rsidRDefault="000B332C" w:rsidP="007D0F77">
      <w:pPr>
        <w:pStyle w:val="Heading3"/>
      </w:pPr>
      <w:bookmarkStart w:id="42" w:name="_Toc49508884"/>
      <w:r w:rsidRPr="00A21D7D">
        <w:t>Queensland Youth Strategy</w:t>
      </w:r>
      <w:bookmarkEnd w:id="42"/>
      <w:r w:rsidR="00726E04" w:rsidRPr="00A21D7D">
        <w:t xml:space="preserve"> </w:t>
      </w:r>
    </w:p>
    <w:p w14:paraId="362FC691" w14:textId="70C56EF2" w:rsidR="00726E04" w:rsidRPr="00A21D7D" w:rsidRDefault="00726E04" w:rsidP="000B332C">
      <w:pPr>
        <w:rPr>
          <w:rFonts w:cs="Arial"/>
        </w:rPr>
      </w:pPr>
      <w:r w:rsidRPr="00A21D7D">
        <w:rPr>
          <w:rFonts w:cs="Arial"/>
        </w:rPr>
        <w:t xml:space="preserve">This strategy sets the vision for young people to actively contribute to Queensland’s economic, civic and cultural life. </w:t>
      </w:r>
      <w:r w:rsidR="00EF465D">
        <w:rPr>
          <w:rFonts w:cs="Arial"/>
        </w:rPr>
        <w:t>We have</w:t>
      </w:r>
      <w:r w:rsidRPr="00A21D7D">
        <w:rPr>
          <w:rFonts w:cs="Arial"/>
        </w:rPr>
        <w:t xml:space="preserve"> three actions contained in the strategy:</w:t>
      </w:r>
    </w:p>
    <w:p w14:paraId="57B3B663" w14:textId="77777777" w:rsidR="00726E04" w:rsidRPr="00A21D7D" w:rsidRDefault="00726E04" w:rsidP="00411815">
      <w:pPr>
        <w:pStyle w:val="ListParagraph"/>
        <w:numPr>
          <w:ilvl w:val="0"/>
          <w:numId w:val="39"/>
        </w:numPr>
        <w:rPr>
          <w:rFonts w:eastAsia="Times New Roman"/>
          <w:lang w:eastAsia="en-AU"/>
        </w:rPr>
      </w:pPr>
      <w:r w:rsidRPr="00A21D7D">
        <w:rPr>
          <w:rFonts w:eastAsia="Times New Roman"/>
          <w:lang w:eastAsia="en-AU"/>
        </w:rPr>
        <w:t>Disseminate resources to students and teachers to provide an understanding of rights and responsibilities under Queensland discrimination law.</w:t>
      </w:r>
    </w:p>
    <w:p w14:paraId="6E8FEF7E" w14:textId="77777777" w:rsidR="00726E04" w:rsidRPr="00A21D7D" w:rsidRDefault="00726E04" w:rsidP="00411815">
      <w:pPr>
        <w:pStyle w:val="ListParagraph"/>
        <w:numPr>
          <w:ilvl w:val="0"/>
          <w:numId w:val="39"/>
        </w:numPr>
        <w:rPr>
          <w:rFonts w:eastAsia="Times New Roman"/>
          <w:lang w:eastAsia="en-AU"/>
        </w:rPr>
      </w:pPr>
      <w:r w:rsidRPr="00A21D7D">
        <w:rPr>
          <w:rFonts w:eastAsia="Times New Roman"/>
          <w:lang w:eastAsia="en-AU"/>
        </w:rPr>
        <w:t>Promote resources and opportunities to support young people to contribute to fair and inclusive communities, schools and workplaces through a range of programs.</w:t>
      </w:r>
    </w:p>
    <w:p w14:paraId="4ED7ABCC" w14:textId="77777777" w:rsidR="00726E04" w:rsidRPr="00A21D7D" w:rsidRDefault="00726E04" w:rsidP="00411815">
      <w:pPr>
        <w:pStyle w:val="ListParagraph"/>
        <w:numPr>
          <w:ilvl w:val="0"/>
          <w:numId w:val="39"/>
        </w:numPr>
        <w:rPr>
          <w:rFonts w:eastAsia="Times New Roman"/>
          <w:lang w:eastAsia="en-AU"/>
        </w:rPr>
      </w:pPr>
      <w:r w:rsidRPr="00A21D7D">
        <w:rPr>
          <w:rFonts w:eastAsia="Times New Roman"/>
          <w:lang w:eastAsia="en-AU"/>
        </w:rPr>
        <w:t>Deliver free information sessions to young people providing advice and options on their rights in relation to discrimination, sexual harassment and bullying.</w:t>
      </w:r>
    </w:p>
    <w:p w14:paraId="7C3C7E4F" w14:textId="4A5B306F" w:rsidR="00AA2C55" w:rsidRPr="00A21D7D" w:rsidRDefault="00726E04" w:rsidP="000B332C">
      <w:pPr>
        <w:rPr>
          <w:rFonts w:cs="Arial"/>
        </w:rPr>
      </w:pPr>
      <w:r w:rsidRPr="00A21D7D">
        <w:rPr>
          <w:rFonts w:cs="Arial"/>
        </w:rPr>
        <w:t>T</w:t>
      </w:r>
      <w:r w:rsidR="00EF465D">
        <w:rPr>
          <w:rFonts w:cs="Arial"/>
        </w:rPr>
        <w:t xml:space="preserve">his year we </w:t>
      </w:r>
      <w:r w:rsidR="00B17795" w:rsidRPr="00A21D7D">
        <w:rPr>
          <w:rFonts w:cs="Arial"/>
        </w:rPr>
        <w:t xml:space="preserve">continued to make </w:t>
      </w:r>
      <w:r w:rsidR="00EF465D">
        <w:rPr>
          <w:rFonts w:cs="Arial"/>
        </w:rPr>
        <w:t>r</w:t>
      </w:r>
      <w:r w:rsidR="00B17795" w:rsidRPr="00A21D7D">
        <w:rPr>
          <w:rFonts w:cs="Arial"/>
        </w:rPr>
        <w:t xml:space="preserve">esources on anti-discrimination law </w:t>
      </w:r>
      <w:r w:rsidR="00EF465D">
        <w:rPr>
          <w:rFonts w:cs="Arial"/>
        </w:rPr>
        <w:t xml:space="preserve">available </w:t>
      </w:r>
      <w:r w:rsidR="00B17795" w:rsidRPr="00A21D7D">
        <w:rPr>
          <w:rFonts w:cs="Arial"/>
        </w:rPr>
        <w:t>for students and teachers and used social media to disseminate relevant content about human rights. Social media analytic</w:t>
      </w:r>
      <w:r w:rsidR="00EF465D">
        <w:rPr>
          <w:rFonts w:cs="Arial"/>
        </w:rPr>
        <w:t>s indicate that approximately 7</w:t>
      </w:r>
      <w:r w:rsidR="00B17795" w:rsidRPr="00A21D7D">
        <w:rPr>
          <w:rFonts w:cs="Arial"/>
        </w:rPr>
        <w:t xml:space="preserve">% of people reached through </w:t>
      </w:r>
      <w:r w:rsidR="00EF465D">
        <w:rPr>
          <w:rFonts w:cs="Arial"/>
        </w:rPr>
        <w:t xml:space="preserve">our </w:t>
      </w:r>
      <w:r w:rsidR="00B17795" w:rsidRPr="00A21D7D">
        <w:rPr>
          <w:rFonts w:cs="Arial"/>
        </w:rPr>
        <w:t xml:space="preserve">Facebook content were aged under 25. We delivered five presentations to groups of young people and/or youth services during the year, primarily in relation to human rights. </w:t>
      </w:r>
    </w:p>
    <w:p w14:paraId="1339BE66" w14:textId="08300462" w:rsidR="00072693" w:rsidRPr="00A21D7D" w:rsidRDefault="00072693" w:rsidP="00072693">
      <w:pPr>
        <w:spacing w:after="0" w:line="240" w:lineRule="auto"/>
        <w:rPr>
          <w:rFonts w:eastAsia="Times New Roman" w:cs="Arial"/>
          <w:color w:val="000000"/>
          <w:szCs w:val="22"/>
          <w:lang w:eastAsia="en-AU"/>
        </w:rPr>
      </w:pPr>
      <w:r w:rsidRPr="00A21D7D">
        <w:rPr>
          <w:rFonts w:eastAsia="Times New Roman" w:cs="Arial"/>
          <w:color w:val="000000"/>
          <w:szCs w:val="22"/>
          <w:lang w:eastAsia="en-AU"/>
        </w:rPr>
        <w:t xml:space="preserve">This period we finalised development of the Trans@School resources – guides for schools and students on supporting gender identity in the school environment. </w:t>
      </w:r>
      <w:r w:rsidR="00EF465D">
        <w:rPr>
          <w:rFonts w:eastAsia="Times New Roman" w:cs="Arial"/>
          <w:color w:val="000000"/>
          <w:szCs w:val="22"/>
          <w:lang w:eastAsia="en-AU"/>
        </w:rPr>
        <w:t xml:space="preserve">More information on these resources is available on page </w:t>
      </w:r>
      <w:r w:rsidR="00A64C75">
        <w:rPr>
          <w:rFonts w:eastAsia="Times New Roman" w:cs="Arial"/>
          <w:color w:val="000000"/>
          <w:szCs w:val="22"/>
          <w:lang w:eastAsia="en-AU"/>
        </w:rPr>
        <w:t>23</w:t>
      </w:r>
      <w:r w:rsidR="00EF465D">
        <w:rPr>
          <w:rFonts w:eastAsia="Times New Roman" w:cs="Arial"/>
          <w:color w:val="000000"/>
          <w:szCs w:val="22"/>
          <w:lang w:eastAsia="en-AU"/>
        </w:rPr>
        <w:t xml:space="preserve"> of this report. </w:t>
      </w:r>
      <w:r w:rsidR="00B10E8B">
        <w:rPr>
          <w:rFonts w:eastAsia="Times New Roman" w:cs="Arial"/>
          <w:color w:val="000000"/>
          <w:szCs w:val="22"/>
          <w:lang w:eastAsia="en-AU"/>
        </w:rPr>
        <w:t xml:space="preserve"> </w:t>
      </w:r>
    </w:p>
    <w:p w14:paraId="1DC3A39C" w14:textId="07A9AB0F" w:rsidR="00072693" w:rsidRPr="00A21D7D" w:rsidRDefault="00072693" w:rsidP="00072693">
      <w:pPr>
        <w:spacing w:after="0" w:line="240" w:lineRule="auto"/>
        <w:rPr>
          <w:rFonts w:eastAsia="Times New Roman" w:cs="Arial"/>
          <w:color w:val="000000"/>
          <w:szCs w:val="22"/>
          <w:lang w:eastAsia="en-AU"/>
        </w:rPr>
      </w:pPr>
    </w:p>
    <w:p w14:paraId="16B8A504" w14:textId="1EEAEB46" w:rsidR="00B17795" w:rsidRPr="005B0C91" w:rsidRDefault="005B0C91" w:rsidP="005B0C91">
      <w:pPr>
        <w:spacing w:after="0" w:line="240" w:lineRule="auto"/>
        <w:rPr>
          <w:rFonts w:eastAsia="Times New Roman" w:cs="Arial"/>
          <w:color w:val="000000"/>
          <w:szCs w:val="22"/>
          <w:lang w:eastAsia="en-AU"/>
        </w:rPr>
      </w:pPr>
      <w:r>
        <w:rPr>
          <w:rFonts w:eastAsia="Times New Roman" w:cs="Arial"/>
          <w:color w:val="000000"/>
          <w:szCs w:val="22"/>
          <w:lang w:eastAsia="en-AU"/>
        </w:rPr>
        <w:t>We also commenced c</w:t>
      </w:r>
      <w:r w:rsidR="00072693" w:rsidRPr="00A21D7D">
        <w:rPr>
          <w:rFonts w:eastAsia="Times New Roman" w:cs="Arial"/>
          <w:color w:val="000000"/>
          <w:szCs w:val="22"/>
          <w:lang w:eastAsia="en-AU"/>
        </w:rPr>
        <w:t xml:space="preserve">onsultation </w:t>
      </w:r>
      <w:r>
        <w:rPr>
          <w:rFonts w:eastAsia="Times New Roman" w:cs="Arial"/>
          <w:color w:val="000000"/>
          <w:szCs w:val="22"/>
          <w:lang w:eastAsia="en-AU"/>
        </w:rPr>
        <w:t>on</w:t>
      </w:r>
      <w:r w:rsidR="00072693" w:rsidRPr="00A21D7D">
        <w:rPr>
          <w:rFonts w:eastAsia="Times New Roman" w:cs="Arial"/>
          <w:color w:val="000000"/>
          <w:szCs w:val="22"/>
          <w:lang w:eastAsia="en-AU"/>
        </w:rPr>
        <w:t xml:space="preserve"> the development of a human rights resource for young people in detention. This resource is still under development and is expected to be published in 2020-21. </w:t>
      </w:r>
    </w:p>
    <w:p w14:paraId="2EAA1532" w14:textId="5B8E6CC7" w:rsidR="000B332C" w:rsidRPr="00A21D7D" w:rsidRDefault="003B1AD4" w:rsidP="007D0F77">
      <w:pPr>
        <w:pStyle w:val="Heading3"/>
      </w:pPr>
      <w:bookmarkStart w:id="43" w:name="_Toc49508885"/>
      <w:r w:rsidRPr="00A21D7D">
        <w:t xml:space="preserve">Queensland </w:t>
      </w:r>
      <w:r w:rsidR="000B332C" w:rsidRPr="00A21D7D">
        <w:t>Multicultural Action Plan</w:t>
      </w:r>
      <w:bookmarkEnd w:id="43"/>
    </w:p>
    <w:p w14:paraId="485AB989" w14:textId="0CC8AF90" w:rsidR="00917FB2" w:rsidRPr="00A21D7D" w:rsidRDefault="00917FB2" w:rsidP="000B332C">
      <w:pPr>
        <w:rPr>
          <w:rFonts w:cs="Arial"/>
        </w:rPr>
      </w:pPr>
      <w:r w:rsidRPr="00A21D7D">
        <w:rPr>
          <w:rFonts w:cs="Arial"/>
        </w:rPr>
        <w:t>The Queensland Multicultural Action Plan 2019-20 to 2021-22</w:t>
      </w:r>
      <w:r w:rsidR="003B1AD4" w:rsidRPr="00A21D7D">
        <w:rPr>
          <w:rFonts w:cs="Arial"/>
        </w:rPr>
        <w:t xml:space="preserve"> </w:t>
      </w:r>
      <w:r w:rsidRPr="00A21D7D">
        <w:rPr>
          <w:rFonts w:cs="Arial"/>
        </w:rPr>
        <w:t xml:space="preserve">is the second </w:t>
      </w:r>
      <w:r w:rsidR="003B1AD4" w:rsidRPr="00A21D7D">
        <w:rPr>
          <w:rFonts w:cs="Arial"/>
        </w:rPr>
        <w:t>plan</w:t>
      </w:r>
      <w:r w:rsidRPr="00A21D7D">
        <w:rPr>
          <w:rFonts w:cs="Arial"/>
        </w:rPr>
        <w:t xml:space="preserve"> released under </w:t>
      </w:r>
      <w:r w:rsidRPr="00A21D7D">
        <w:rPr>
          <w:rFonts w:cs="Arial"/>
          <w:i/>
          <w:iCs/>
        </w:rPr>
        <w:t>Multicultural Recognition Act 2016</w:t>
      </w:r>
      <w:r w:rsidR="003B1AD4" w:rsidRPr="00A21D7D">
        <w:rPr>
          <w:rFonts w:cs="Arial"/>
        </w:rPr>
        <w:t xml:space="preserve">. </w:t>
      </w:r>
      <w:r w:rsidRPr="00A21D7D">
        <w:rPr>
          <w:rFonts w:cs="Arial"/>
        </w:rPr>
        <w:t>It builds on outcomes achieved under the first Multicultural Action Plan, and will continue to drive Queensland Government action to support an environment of opportunity and achieve improved social and economic outcomes for people from culturally diverse backgrounds.</w:t>
      </w:r>
    </w:p>
    <w:p w14:paraId="0A03DA58" w14:textId="2A53AB2A" w:rsidR="003B1AD4" w:rsidRPr="00A21D7D" w:rsidRDefault="005B0C91" w:rsidP="000B332C">
      <w:pPr>
        <w:rPr>
          <w:rFonts w:cs="Arial"/>
        </w:rPr>
      </w:pPr>
      <w:r>
        <w:rPr>
          <w:rFonts w:cs="Arial"/>
        </w:rPr>
        <w:t>We have</w:t>
      </w:r>
      <w:r w:rsidR="003B1AD4" w:rsidRPr="00A21D7D">
        <w:rPr>
          <w:rFonts w:cs="Arial"/>
        </w:rPr>
        <w:t xml:space="preserve"> multiple discrete and whole-of-government actions under the Queensland Multicultural Action Plan. In line with the requirements of the </w:t>
      </w:r>
      <w:r w:rsidR="003B1AD4" w:rsidRPr="00A21D7D">
        <w:rPr>
          <w:rFonts w:cs="Arial"/>
          <w:i/>
        </w:rPr>
        <w:t>Multicultural Recognition Act 2016</w:t>
      </w:r>
      <w:r w:rsidR="003B1AD4" w:rsidRPr="00A21D7D">
        <w:rPr>
          <w:rFonts w:cs="Arial"/>
        </w:rPr>
        <w:t xml:space="preserve">, our report on progress against each action will be published on </w:t>
      </w:r>
      <w:r>
        <w:rPr>
          <w:rFonts w:cs="Arial"/>
        </w:rPr>
        <w:t>our</w:t>
      </w:r>
      <w:r w:rsidR="003B1AD4" w:rsidRPr="00A21D7D">
        <w:rPr>
          <w:rFonts w:cs="Arial"/>
        </w:rPr>
        <w:t xml:space="preserve"> website to coincide with the tabling of this Annual Report 2019-20.</w:t>
      </w:r>
    </w:p>
    <w:p w14:paraId="4DFBE3DF" w14:textId="67BEA1D4" w:rsidR="000B332C" w:rsidRPr="00A21D7D" w:rsidRDefault="00411F88" w:rsidP="007D0F77">
      <w:pPr>
        <w:pStyle w:val="Heading3"/>
      </w:pPr>
      <w:bookmarkStart w:id="44" w:name="_Toc49508886"/>
      <w:r w:rsidRPr="00A21D7D">
        <w:lastRenderedPageBreak/>
        <w:t xml:space="preserve">Every Life: The </w:t>
      </w:r>
      <w:r w:rsidR="000B332C" w:rsidRPr="00A21D7D">
        <w:t>Queensland Suicide Prevention Plan</w:t>
      </w:r>
      <w:r w:rsidRPr="00A21D7D">
        <w:t xml:space="preserve"> 2019-2029</w:t>
      </w:r>
      <w:bookmarkEnd w:id="44"/>
    </w:p>
    <w:p w14:paraId="58643293" w14:textId="7F22CECA" w:rsidR="000B332C" w:rsidRPr="00A21D7D" w:rsidRDefault="003B066D" w:rsidP="00726E04">
      <w:pPr>
        <w:rPr>
          <w:rFonts w:cs="Arial"/>
        </w:rPr>
      </w:pPr>
      <w:hyperlink r:id="rId15" w:history="1">
        <w:r w:rsidR="00726E04" w:rsidRPr="00A21D7D">
          <w:rPr>
            <w:rStyle w:val="Emphasis"/>
            <w:rFonts w:cs="Arial"/>
            <w:shd w:val="clear" w:color="auto" w:fill="FFFFFF"/>
          </w:rPr>
          <w:t xml:space="preserve">Every </w:t>
        </w:r>
        <w:r w:rsidR="007D0F77">
          <w:rPr>
            <w:rStyle w:val="Emphasis"/>
            <w:rFonts w:cs="Arial"/>
            <w:shd w:val="clear" w:color="auto" w:fill="FFFFFF"/>
          </w:rPr>
          <w:t>L</w:t>
        </w:r>
        <w:r w:rsidR="00726E04" w:rsidRPr="00A21D7D">
          <w:rPr>
            <w:rStyle w:val="Emphasis"/>
            <w:rFonts w:cs="Arial"/>
            <w:shd w:val="clear" w:color="auto" w:fill="FFFFFF"/>
          </w:rPr>
          <w:t>ife: The Queensland Suicide Prevention Plan 2019-2029</w:t>
        </w:r>
      </w:hyperlink>
      <w:r w:rsidR="00726E04" w:rsidRPr="00A21D7D">
        <w:rPr>
          <w:rFonts w:cs="Arial"/>
          <w:shd w:val="clear" w:color="auto" w:fill="FFFFFF"/>
        </w:rPr>
        <w:t> </w:t>
      </w:r>
      <w:r w:rsidR="00726E04" w:rsidRPr="00A21D7D">
        <w:rPr>
          <w:rFonts w:cs="Arial"/>
          <w:color w:val="231F20"/>
          <w:shd w:val="clear" w:color="auto" w:fill="FFFFFF"/>
        </w:rPr>
        <w:t xml:space="preserve">is a whole-of-government plan that provides </w:t>
      </w:r>
      <w:r w:rsidR="00073876">
        <w:rPr>
          <w:rFonts w:cs="Arial"/>
          <w:color w:val="231F20"/>
          <w:shd w:val="clear" w:color="auto" w:fill="FFFFFF"/>
        </w:rPr>
        <w:t xml:space="preserve">a </w:t>
      </w:r>
      <w:r w:rsidR="00726E04" w:rsidRPr="00A21D7D">
        <w:rPr>
          <w:rFonts w:cs="Arial"/>
          <w:color w:val="231F20"/>
          <w:shd w:val="clear" w:color="auto" w:fill="FFFFFF"/>
        </w:rPr>
        <w:t>renewed approach for suicide prevention in Queensland, as well as renewed drive and urgency to reduce suicide</w:t>
      </w:r>
      <w:r w:rsidR="00726E04" w:rsidRPr="00A21D7D">
        <w:rPr>
          <w:rFonts w:cs="Arial"/>
          <w:color w:val="231F20"/>
          <w:sz w:val="20"/>
          <w:szCs w:val="20"/>
          <w:shd w:val="clear" w:color="auto" w:fill="FFFFFF"/>
        </w:rPr>
        <w:t>.</w:t>
      </w:r>
      <w:r w:rsidR="00726E04" w:rsidRPr="00A21D7D">
        <w:rPr>
          <w:rFonts w:cs="Arial"/>
        </w:rPr>
        <w:t xml:space="preserve"> </w:t>
      </w:r>
      <w:r w:rsidR="00411F88" w:rsidRPr="00A21D7D">
        <w:rPr>
          <w:rFonts w:cs="Arial"/>
        </w:rPr>
        <w:t>Connection to community and social inclusion are strong protective factors against suicide. Creating communities that are informed about suicide prevention, are respectful, inclusive and celebrate diversity can help prevent suicide.</w:t>
      </w:r>
      <w:r w:rsidR="00726E04" w:rsidRPr="00A21D7D">
        <w:rPr>
          <w:rFonts w:cs="Arial"/>
        </w:rPr>
        <w:t xml:space="preserve"> As such, </w:t>
      </w:r>
      <w:r w:rsidR="005B0C91">
        <w:rPr>
          <w:rFonts w:cs="Arial"/>
        </w:rPr>
        <w:t>our</w:t>
      </w:r>
      <w:r w:rsidR="00726E04" w:rsidRPr="00A21D7D">
        <w:rPr>
          <w:rFonts w:cs="Arial"/>
        </w:rPr>
        <w:t xml:space="preserve"> primary action under this plan resides in the ‘building resilience’ action area as follows: </w:t>
      </w:r>
    </w:p>
    <w:p w14:paraId="02F788A8" w14:textId="109B222B" w:rsidR="00726E04" w:rsidRPr="00A21D7D" w:rsidRDefault="00726E04" w:rsidP="00227095">
      <w:pPr>
        <w:numPr>
          <w:ilvl w:val="0"/>
          <w:numId w:val="16"/>
        </w:numPr>
        <w:rPr>
          <w:rFonts w:cs="Arial"/>
        </w:rPr>
      </w:pPr>
      <w:r w:rsidRPr="00A21D7D">
        <w:rPr>
          <w:rFonts w:cs="Arial"/>
        </w:rPr>
        <w:t xml:space="preserve">Work with Queensland’s LGBTIQ+ communities and the Queensland LGBTI Roundtable to co-design and implement initiatives aimed at creating positive community attitudes and a more inclusive Queensland, with a special focus on transgender communities. </w:t>
      </w:r>
    </w:p>
    <w:p w14:paraId="2A7A8C83" w14:textId="432D7527" w:rsidR="00726E04" w:rsidRPr="00A21D7D" w:rsidRDefault="00726E04" w:rsidP="00726E04">
      <w:pPr>
        <w:rPr>
          <w:rFonts w:cs="Arial"/>
        </w:rPr>
      </w:pPr>
      <w:r w:rsidRPr="00A21D7D">
        <w:rPr>
          <w:rFonts w:cs="Arial"/>
        </w:rPr>
        <w:t xml:space="preserve">This period we have undertaken the following activities to progress this action: </w:t>
      </w:r>
    </w:p>
    <w:p w14:paraId="2896E1D3" w14:textId="0A70944F" w:rsidR="001F5F9B" w:rsidRPr="00A21D7D" w:rsidRDefault="00726E04" w:rsidP="00411815">
      <w:pPr>
        <w:pStyle w:val="ListParagraph"/>
        <w:numPr>
          <w:ilvl w:val="0"/>
          <w:numId w:val="16"/>
        </w:numPr>
        <w:rPr>
          <w:rFonts w:eastAsia="Times New Roman"/>
          <w:lang w:eastAsia="en-AU"/>
        </w:rPr>
      </w:pPr>
      <w:r w:rsidRPr="00A21D7D">
        <w:rPr>
          <w:rFonts w:eastAsia="Times New Roman"/>
          <w:lang w:eastAsia="en-AU"/>
        </w:rPr>
        <w:t xml:space="preserve">Published </w:t>
      </w:r>
      <w:r w:rsidR="001F5F9B" w:rsidRPr="00A21D7D">
        <w:rPr>
          <w:rFonts w:eastAsia="Times New Roman"/>
          <w:lang w:eastAsia="en-AU"/>
        </w:rPr>
        <w:t>the Trans@School resources – guides for schools and students on supporting gender ide</w:t>
      </w:r>
      <w:r w:rsidR="005B0C91">
        <w:rPr>
          <w:rFonts w:eastAsia="Times New Roman"/>
          <w:lang w:eastAsia="en-AU"/>
        </w:rPr>
        <w:t>ntity in the school environment;</w:t>
      </w:r>
    </w:p>
    <w:p w14:paraId="32CE2109" w14:textId="7D218130" w:rsidR="00726E04" w:rsidRPr="00A21D7D" w:rsidRDefault="00726E04" w:rsidP="00411815">
      <w:pPr>
        <w:pStyle w:val="ListParagraph"/>
        <w:numPr>
          <w:ilvl w:val="0"/>
          <w:numId w:val="16"/>
        </w:numPr>
        <w:rPr>
          <w:rFonts w:eastAsia="Times New Roman"/>
          <w:lang w:eastAsia="en-AU"/>
        </w:rPr>
      </w:pPr>
      <w:r w:rsidRPr="00A21D7D">
        <w:rPr>
          <w:rFonts w:eastAsia="Times New Roman"/>
          <w:lang w:eastAsia="en-AU"/>
        </w:rPr>
        <w:t xml:space="preserve">Continued delivery of </w:t>
      </w:r>
      <w:r w:rsidRPr="00411815">
        <w:rPr>
          <w:rFonts w:eastAsia="Times New Roman"/>
          <w:i/>
          <w:lang w:eastAsia="en-AU"/>
        </w:rPr>
        <w:t>Gender identity and the law</w:t>
      </w:r>
      <w:r w:rsidRPr="00A21D7D">
        <w:rPr>
          <w:rFonts w:eastAsia="Times New Roman"/>
          <w:lang w:eastAsia="en-AU"/>
        </w:rPr>
        <w:t xml:space="preserve"> training modules to workplaces where employees are gender transitioning. </w:t>
      </w:r>
      <w:r w:rsidR="00905D71">
        <w:rPr>
          <w:rFonts w:eastAsia="Times New Roman"/>
          <w:lang w:eastAsia="en-AU"/>
        </w:rPr>
        <w:t>These modules are c</w:t>
      </w:r>
      <w:r w:rsidRPr="00A21D7D">
        <w:rPr>
          <w:rFonts w:eastAsia="Times New Roman"/>
          <w:lang w:eastAsia="en-AU"/>
        </w:rPr>
        <w:t xml:space="preserve">o-delivered by a </w:t>
      </w:r>
      <w:r w:rsidR="005B0C91">
        <w:rPr>
          <w:rFonts w:eastAsia="Times New Roman"/>
          <w:lang w:eastAsia="en-AU"/>
        </w:rPr>
        <w:t xml:space="preserve">Commission </w:t>
      </w:r>
      <w:r w:rsidRPr="00A21D7D">
        <w:rPr>
          <w:rFonts w:eastAsia="Times New Roman"/>
          <w:lang w:eastAsia="en-AU"/>
        </w:rPr>
        <w:t xml:space="preserve">trainer and </w:t>
      </w:r>
      <w:r w:rsidR="005B0C91">
        <w:rPr>
          <w:rFonts w:eastAsia="Times New Roman"/>
          <w:lang w:eastAsia="en-AU"/>
        </w:rPr>
        <w:t>a person with lived experience;</w:t>
      </w:r>
    </w:p>
    <w:p w14:paraId="37998AE1" w14:textId="79CE4FDB" w:rsidR="00726E04" w:rsidRPr="00A21D7D" w:rsidRDefault="00726E04" w:rsidP="00411815">
      <w:pPr>
        <w:pStyle w:val="ListParagraph"/>
        <w:numPr>
          <w:ilvl w:val="0"/>
          <w:numId w:val="16"/>
        </w:numPr>
        <w:rPr>
          <w:rFonts w:eastAsia="Times New Roman"/>
          <w:lang w:eastAsia="en-AU"/>
        </w:rPr>
      </w:pPr>
      <w:r w:rsidRPr="00A21D7D">
        <w:rPr>
          <w:rFonts w:eastAsia="Times New Roman"/>
          <w:lang w:eastAsia="en-AU"/>
        </w:rPr>
        <w:t>Participation in the LGBTIQ+ roundtable facilitate</w:t>
      </w:r>
      <w:r w:rsidR="00A72450">
        <w:rPr>
          <w:rFonts w:eastAsia="Times New Roman"/>
          <w:lang w:eastAsia="en-AU"/>
        </w:rPr>
        <w:t>d by Department of Communities</w:t>
      </w:r>
      <w:r w:rsidR="00073876">
        <w:rPr>
          <w:rFonts w:eastAsia="Times New Roman"/>
          <w:lang w:eastAsia="en-AU"/>
        </w:rPr>
        <w:t>, Disability Services and Seniors</w:t>
      </w:r>
      <w:r w:rsidR="00A72450">
        <w:rPr>
          <w:rFonts w:eastAsia="Times New Roman"/>
          <w:lang w:eastAsia="en-AU"/>
        </w:rPr>
        <w:t>;</w:t>
      </w:r>
    </w:p>
    <w:p w14:paraId="231E7DEF" w14:textId="0217AB60" w:rsidR="00726E04" w:rsidRPr="00A21D7D" w:rsidRDefault="00726E04" w:rsidP="00411815">
      <w:pPr>
        <w:pStyle w:val="ListParagraph"/>
        <w:numPr>
          <w:ilvl w:val="0"/>
          <w:numId w:val="16"/>
        </w:numPr>
        <w:rPr>
          <w:rFonts w:eastAsia="Times New Roman"/>
          <w:lang w:eastAsia="en-AU"/>
        </w:rPr>
      </w:pPr>
      <w:r w:rsidRPr="00A21D7D">
        <w:rPr>
          <w:rFonts w:eastAsia="Times New Roman"/>
          <w:lang w:eastAsia="en-AU"/>
        </w:rPr>
        <w:t>Participation in "A Great Start" working group with LGBTI advocacy organisations on issues for LGBTIQ+ people in schools, influencing Q</w:t>
      </w:r>
      <w:r w:rsidR="00905D71">
        <w:rPr>
          <w:rFonts w:eastAsia="Times New Roman"/>
          <w:lang w:eastAsia="en-AU"/>
        </w:rPr>
        <w:t>ueenslan</w:t>
      </w:r>
      <w:r w:rsidRPr="00A21D7D">
        <w:rPr>
          <w:rFonts w:eastAsia="Times New Roman"/>
          <w:lang w:eastAsia="en-AU"/>
        </w:rPr>
        <w:t xml:space="preserve">d </w:t>
      </w:r>
      <w:r w:rsidR="00905D71">
        <w:rPr>
          <w:rFonts w:eastAsia="Times New Roman"/>
          <w:lang w:eastAsia="en-AU"/>
        </w:rPr>
        <w:t>e</w:t>
      </w:r>
      <w:r w:rsidR="005B0C91">
        <w:rPr>
          <w:rFonts w:eastAsia="Times New Roman"/>
          <w:lang w:eastAsia="en-AU"/>
        </w:rPr>
        <w:t>ducation policy reforms;</w:t>
      </w:r>
    </w:p>
    <w:p w14:paraId="03500C48" w14:textId="2E877753" w:rsidR="00726E04" w:rsidRPr="00A21D7D" w:rsidRDefault="00726E04" w:rsidP="00411815">
      <w:pPr>
        <w:pStyle w:val="ListParagraph"/>
        <w:numPr>
          <w:ilvl w:val="0"/>
          <w:numId w:val="16"/>
        </w:numPr>
        <w:rPr>
          <w:rFonts w:eastAsia="Times New Roman"/>
          <w:lang w:eastAsia="en-AU"/>
        </w:rPr>
      </w:pPr>
      <w:r w:rsidRPr="00A21D7D">
        <w:rPr>
          <w:rFonts w:eastAsia="Times New Roman"/>
          <w:lang w:eastAsia="en-AU"/>
        </w:rPr>
        <w:t>Liaison with Q</w:t>
      </w:r>
      <w:r w:rsidR="001F5F9B" w:rsidRPr="00A21D7D">
        <w:rPr>
          <w:rFonts w:eastAsia="Times New Roman"/>
          <w:lang w:eastAsia="en-AU"/>
        </w:rPr>
        <w:t xml:space="preserve">ueensland </w:t>
      </w:r>
      <w:r w:rsidRPr="00A21D7D">
        <w:rPr>
          <w:rFonts w:eastAsia="Times New Roman"/>
          <w:lang w:eastAsia="en-AU"/>
        </w:rPr>
        <w:t>P</w:t>
      </w:r>
      <w:r w:rsidR="001F5F9B" w:rsidRPr="00A21D7D">
        <w:rPr>
          <w:rFonts w:eastAsia="Times New Roman"/>
          <w:lang w:eastAsia="en-AU"/>
        </w:rPr>
        <w:t xml:space="preserve">olice </w:t>
      </w:r>
      <w:r w:rsidRPr="00A21D7D">
        <w:rPr>
          <w:rFonts w:eastAsia="Times New Roman"/>
          <w:lang w:eastAsia="en-AU"/>
        </w:rPr>
        <w:t>S</w:t>
      </w:r>
      <w:r w:rsidR="001F5F9B" w:rsidRPr="00A21D7D">
        <w:rPr>
          <w:rFonts w:eastAsia="Times New Roman"/>
          <w:lang w:eastAsia="en-AU"/>
        </w:rPr>
        <w:t>ervice</w:t>
      </w:r>
      <w:r w:rsidRPr="00A21D7D">
        <w:rPr>
          <w:rFonts w:eastAsia="Times New Roman"/>
          <w:lang w:eastAsia="en-AU"/>
        </w:rPr>
        <w:t xml:space="preserve"> regarding changes to the Operational Procedures Manual to be more inclusive and safe for t</w:t>
      </w:r>
      <w:r w:rsidR="005B0C91">
        <w:rPr>
          <w:rFonts w:eastAsia="Times New Roman"/>
          <w:lang w:eastAsia="en-AU"/>
        </w:rPr>
        <w:t>rans and gender diverse people;</w:t>
      </w:r>
    </w:p>
    <w:p w14:paraId="265F488D" w14:textId="748CFA1A" w:rsidR="00726E04" w:rsidRPr="00A21D7D" w:rsidRDefault="00726E04" w:rsidP="00411815">
      <w:pPr>
        <w:pStyle w:val="ListParagraph"/>
        <w:numPr>
          <w:ilvl w:val="0"/>
          <w:numId w:val="16"/>
        </w:numPr>
        <w:rPr>
          <w:rFonts w:eastAsia="Times New Roman"/>
          <w:lang w:eastAsia="en-AU"/>
        </w:rPr>
      </w:pPr>
      <w:r w:rsidRPr="00A21D7D">
        <w:rPr>
          <w:rFonts w:eastAsia="Times New Roman"/>
          <w:lang w:eastAsia="en-AU"/>
        </w:rPr>
        <w:t>Raised concerns with Chief Magistrate regarding misgender</w:t>
      </w:r>
      <w:r w:rsidR="00BB36AB">
        <w:rPr>
          <w:rFonts w:eastAsia="Times New Roman"/>
          <w:lang w:eastAsia="en-AU"/>
        </w:rPr>
        <w:t>ing and deadnaming in courts;</w:t>
      </w:r>
    </w:p>
    <w:p w14:paraId="5BE9913F" w14:textId="7D1F1516" w:rsidR="00726E04" w:rsidRPr="00A21D7D" w:rsidRDefault="00726E04" w:rsidP="00411815">
      <w:pPr>
        <w:pStyle w:val="ListParagraph"/>
        <w:numPr>
          <w:ilvl w:val="0"/>
          <w:numId w:val="16"/>
        </w:numPr>
        <w:rPr>
          <w:rFonts w:eastAsia="Times New Roman"/>
          <w:lang w:eastAsia="en-AU"/>
        </w:rPr>
      </w:pPr>
      <w:r w:rsidRPr="00A21D7D">
        <w:rPr>
          <w:rFonts w:eastAsia="Times New Roman"/>
          <w:lang w:eastAsia="en-AU"/>
        </w:rPr>
        <w:t xml:space="preserve">Met with advocates from the intersex community to discuss issues for the </w:t>
      </w:r>
      <w:r w:rsidR="00BB36AB">
        <w:rPr>
          <w:rFonts w:eastAsia="Times New Roman"/>
          <w:lang w:eastAsia="en-AU"/>
        </w:rPr>
        <w:t>community including law reform;</w:t>
      </w:r>
    </w:p>
    <w:p w14:paraId="02905E90" w14:textId="31031107" w:rsidR="00726E04" w:rsidRPr="00A21D7D" w:rsidRDefault="00726E04" w:rsidP="00411815">
      <w:pPr>
        <w:pStyle w:val="ListParagraph"/>
        <w:numPr>
          <w:ilvl w:val="0"/>
          <w:numId w:val="16"/>
        </w:numPr>
        <w:rPr>
          <w:rFonts w:eastAsia="Times New Roman"/>
          <w:lang w:eastAsia="en-AU"/>
        </w:rPr>
      </w:pPr>
      <w:r w:rsidRPr="00A21D7D">
        <w:rPr>
          <w:rFonts w:eastAsia="Times New Roman"/>
          <w:lang w:eastAsia="en-AU"/>
        </w:rPr>
        <w:t>Updated conciliated outcomes on gender</w:t>
      </w:r>
      <w:r w:rsidR="00BB36AB">
        <w:rPr>
          <w:rFonts w:eastAsia="Times New Roman"/>
          <w:lang w:eastAsia="en-AU"/>
        </w:rPr>
        <w:t xml:space="preserve"> identity for our website; and</w:t>
      </w:r>
    </w:p>
    <w:p w14:paraId="3F61189E" w14:textId="7BC381EB" w:rsidR="00726E04" w:rsidRPr="00A21D7D" w:rsidRDefault="00726E04" w:rsidP="00411815">
      <w:pPr>
        <w:pStyle w:val="ListParagraph"/>
        <w:numPr>
          <w:ilvl w:val="0"/>
          <w:numId w:val="16"/>
        </w:numPr>
        <w:rPr>
          <w:rFonts w:eastAsia="Times New Roman"/>
          <w:lang w:eastAsia="en-AU"/>
        </w:rPr>
      </w:pPr>
      <w:r w:rsidRPr="00A21D7D">
        <w:rPr>
          <w:rFonts w:eastAsia="Times New Roman"/>
          <w:lang w:eastAsia="en-AU"/>
        </w:rPr>
        <w:t xml:space="preserve">Commenced development of an online training series on diversity, including a module focussing on LGBTIQ+ inclusion. </w:t>
      </w:r>
    </w:p>
    <w:p w14:paraId="3D91205C" w14:textId="77777777" w:rsidR="00A72450" w:rsidRDefault="00A72450">
      <w:pPr>
        <w:ind w:right="0"/>
        <w:rPr>
          <w:rFonts w:eastAsia="Times New Roman" w:cs="Arial"/>
          <w:lang w:eastAsia="en-AU"/>
        </w:rPr>
      </w:pPr>
      <w:r>
        <w:rPr>
          <w:rFonts w:eastAsia="Times New Roman" w:cs="Arial"/>
          <w:lang w:eastAsia="en-AU"/>
        </w:rPr>
        <w:br w:type="page"/>
      </w:r>
    </w:p>
    <w:p w14:paraId="5BF661F3" w14:textId="5EAA1269" w:rsidR="00726E04" w:rsidRPr="00A21D7D" w:rsidRDefault="00BB36AB" w:rsidP="00726E04">
      <w:pPr>
        <w:spacing w:after="0" w:line="240" w:lineRule="auto"/>
        <w:rPr>
          <w:rFonts w:eastAsia="Times New Roman" w:cs="Arial"/>
          <w:lang w:eastAsia="en-AU"/>
        </w:rPr>
      </w:pPr>
      <w:r>
        <w:rPr>
          <w:rFonts w:eastAsia="Times New Roman" w:cs="Arial"/>
          <w:lang w:eastAsia="en-AU"/>
        </w:rPr>
        <w:lastRenderedPageBreak/>
        <w:t>We also subscribe</w:t>
      </w:r>
      <w:r w:rsidR="00917FB2" w:rsidRPr="00A21D7D">
        <w:rPr>
          <w:rFonts w:eastAsia="Times New Roman" w:cs="Arial"/>
          <w:lang w:eastAsia="en-AU"/>
        </w:rPr>
        <w:t xml:space="preserve"> to the following whole-of-government actions contained in the strategy: </w:t>
      </w:r>
    </w:p>
    <w:p w14:paraId="0D30A09F" w14:textId="77777777" w:rsidR="00917FB2" w:rsidRPr="00A21D7D" w:rsidRDefault="00917FB2" w:rsidP="00411815">
      <w:pPr>
        <w:pStyle w:val="ListParagraph"/>
        <w:numPr>
          <w:ilvl w:val="0"/>
          <w:numId w:val="40"/>
        </w:numPr>
        <w:rPr>
          <w:rFonts w:eastAsia="Times New Roman"/>
          <w:lang w:eastAsia="en-AU"/>
        </w:rPr>
      </w:pPr>
      <w:r w:rsidRPr="00A21D7D">
        <w:rPr>
          <w:rFonts w:eastAsia="Times New Roman"/>
          <w:lang w:eastAsia="en-AU"/>
        </w:rPr>
        <w:t>Develop and implement a comprehensive and tailored approach to employee mental health and wellbeing in all agencies, promoting consistency through the inclusion of elements of promotion, prevention, early intervention, recovery and return to work.</w:t>
      </w:r>
    </w:p>
    <w:p w14:paraId="2AC05672" w14:textId="525A264C" w:rsidR="00917FB2" w:rsidRPr="00A21D7D" w:rsidRDefault="00A67399" w:rsidP="00411815">
      <w:pPr>
        <w:pStyle w:val="ListParagraph"/>
        <w:numPr>
          <w:ilvl w:val="0"/>
          <w:numId w:val="40"/>
        </w:numPr>
        <w:rPr>
          <w:rFonts w:eastAsia="Times New Roman"/>
          <w:lang w:eastAsia="en-AU"/>
        </w:rPr>
      </w:pPr>
      <w:r>
        <w:rPr>
          <w:rFonts w:eastAsia="Times New Roman"/>
          <w:lang w:eastAsia="en-AU"/>
        </w:rPr>
        <w:t>E</w:t>
      </w:r>
      <w:r w:rsidR="00917FB2" w:rsidRPr="00A21D7D">
        <w:rPr>
          <w:rFonts w:eastAsia="Times New Roman"/>
          <w:lang w:eastAsia="en-AU"/>
        </w:rPr>
        <w:t>stablish policies, training and pathways to enable key public sector employees to recognise, respond to and appropriately refer members of the public who are in distress or potentially suicidal.</w:t>
      </w:r>
    </w:p>
    <w:p w14:paraId="689ED311" w14:textId="609F74DF" w:rsidR="00917FB2" w:rsidRPr="00A21D7D" w:rsidRDefault="00917FB2" w:rsidP="00354795">
      <w:pPr>
        <w:rPr>
          <w:lang w:eastAsia="en-AU"/>
        </w:rPr>
      </w:pPr>
      <w:r w:rsidRPr="00A21D7D">
        <w:rPr>
          <w:lang w:eastAsia="en-AU"/>
        </w:rPr>
        <w:t xml:space="preserve">Early progress was made against these actions during 2019-20 with the development of a health and wellbeing resource hub on </w:t>
      </w:r>
      <w:r w:rsidR="00BB36AB">
        <w:rPr>
          <w:lang w:eastAsia="en-AU"/>
        </w:rPr>
        <w:t>our</w:t>
      </w:r>
      <w:r w:rsidRPr="00A21D7D">
        <w:rPr>
          <w:lang w:eastAsia="en-AU"/>
        </w:rPr>
        <w:t xml:space="preserve"> intranet. Further work on these actions will be undertaken in 2020-21.</w:t>
      </w:r>
    </w:p>
    <w:p w14:paraId="0C2D6829" w14:textId="4D7711EC" w:rsidR="00726E04" w:rsidRPr="00A21D7D" w:rsidRDefault="00726E04" w:rsidP="00917FB2">
      <w:pPr>
        <w:spacing w:after="0" w:line="240" w:lineRule="auto"/>
        <w:ind w:left="360"/>
        <w:rPr>
          <w:rFonts w:eastAsia="Times New Roman" w:cs="Arial"/>
          <w:lang w:eastAsia="en-AU"/>
        </w:rPr>
      </w:pPr>
    </w:p>
    <w:p w14:paraId="281F375B" w14:textId="24EDF888" w:rsidR="006F5840" w:rsidRPr="00A21D7D" w:rsidRDefault="006F5840" w:rsidP="007D0F77">
      <w:pPr>
        <w:pStyle w:val="Heading2"/>
      </w:pPr>
      <w:bookmarkStart w:id="45" w:name="_Toc49508887"/>
      <w:r w:rsidRPr="00A21D7D">
        <w:t>Information products and services</w:t>
      </w:r>
      <w:bookmarkEnd w:id="45"/>
      <w:r w:rsidRPr="00A21D7D">
        <w:t xml:space="preserve"> </w:t>
      </w:r>
    </w:p>
    <w:p w14:paraId="2BB9D7EE" w14:textId="2A00E6EC" w:rsidR="002C1F7C" w:rsidRPr="00A21D7D" w:rsidRDefault="002C1F7C" w:rsidP="007D0F77">
      <w:pPr>
        <w:pStyle w:val="Heading3"/>
      </w:pPr>
      <w:bookmarkStart w:id="46" w:name="_Toc49508888"/>
      <w:r w:rsidRPr="00A21D7D">
        <w:t>Products</w:t>
      </w:r>
      <w:bookmarkEnd w:id="46"/>
    </w:p>
    <w:p w14:paraId="47F54543" w14:textId="3972341F" w:rsidR="002C1F7C" w:rsidRPr="00A21D7D" w:rsidRDefault="004908DB" w:rsidP="002C1F7C">
      <w:pPr>
        <w:rPr>
          <w:rFonts w:cs="Arial"/>
        </w:rPr>
      </w:pPr>
      <w:r w:rsidRPr="00A21D7D">
        <w:rPr>
          <w:rFonts w:cs="Arial"/>
        </w:rPr>
        <w:t xml:space="preserve">In addition to rebranding and updating all existing information products, </w:t>
      </w:r>
      <w:r w:rsidR="00BB36AB">
        <w:rPr>
          <w:rFonts w:cs="Arial"/>
        </w:rPr>
        <w:t xml:space="preserve">we </w:t>
      </w:r>
      <w:r w:rsidRPr="00A21D7D">
        <w:rPr>
          <w:rFonts w:cs="Arial"/>
        </w:rPr>
        <w:t>released a range of new information products</w:t>
      </w:r>
      <w:r w:rsidR="00BB36AB">
        <w:rPr>
          <w:rFonts w:cs="Arial"/>
        </w:rPr>
        <w:t xml:space="preserve"> this year</w:t>
      </w:r>
      <w:r w:rsidRPr="00A21D7D">
        <w:rPr>
          <w:rFonts w:cs="Arial"/>
        </w:rPr>
        <w:t xml:space="preserve"> to </w:t>
      </w:r>
      <w:r w:rsidR="0006467F" w:rsidRPr="00A21D7D">
        <w:rPr>
          <w:rFonts w:cs="Arial"/>
        </w:rPr>
        <w:t xml:space="preserve">support the introduction of the </w:t>
      </w:r>
      <w:r w:rsidR="00FC6699" w:rsidRPr="00FC6699">
        <w:rPr>
          <w:rFonts w:cs="Arial"/>
          <w:i/>
        </w:rPr>
        <w:t>Human Rights Act 2019</w:t>
      </w:r>
      <w:r w:rsidR="0006467F" w:rsidRPr="00A21D7D">
        <w:rPr>
          <w:rFonts w:cs="Arial"/>
          <w:i/>
        </w:rPr>
        <w:t xml:space="preserve">. </w:t>
      </w:r>
      <w:r w:rsidRPr="00A21D7D">
        <w:rPr>
          <w:rFonts w:cs="Arial"/>
        </w:rPr>
        <w:t>The</w:t>
      </w:r>
      <w:r w:rsidR="007D0F77">
        <w:rPr>
          <w:rFonts w:cs="Arial"/>
        </w:rPr>
        <w:t>y</w:t>
      </w:r>
      <w:r w:rsidRPr="00A21D7D">
        <w:rPr>
          <w:rFonts w:cs="Arial"/>
        </w:rPr>
        <w:t xml:space="preserve"> included: </w:t>
      </w:r>
    </w:p>
    <w:p w14:paraId="62B266E8" w14:textId="74F540F2" w:rsidR="004908DB" w:rsidRPr="00A21D7D" w:rsidRDefault="00EB5F2C" w:rsidP="00EB5F2C">
      <w:pPr>
        <w:rPr>
          <w:rFonts w:cs="Arial"/>
          <w:b/>
        </w:rPr>
      </w:pPr>
      <w:r w:rsidRPr="00A21D7D">
        <w:rPr>
          <w:rFonts w:cs="Arial"/>
          <w:b/>
        </w:rPr>
        <w:t>Fact sheets</w:t>
      </w:r>
    </w:p>
    <w:p w14:paraId="7EC21385" w14:textId="5B23E880" w:rsidR="00EB5F2C" w:rsidRPr="00A21D7D" w:rsidRDefault="00EB5F2C" w:rsidP="00227095">
      <w:pPr>
        <w:pStyle w:val="ListParagraph"/>
        <w:numPr>
          <w:ilvl w:val="0"/>
          <w:numId w:val="11"/>
        </w:numPr>
        <w:ind w:right="-46"/>
        <w:rPr>
          <w:rFonts w:cs="Arial"/>
        </w:rPr>
      </w:pPr>
      <w:r w:rsidRPr="00A21D7D">
        <w:rPr>
          <w:rFonts w:cs="Arial"/>
        </w:rPr>
        <w:t xml:space="preserve">Individual fact sheet on each of the rights in the </w:t>
      </w:r>
      <w:r w:rsidR="00FC6699" w:rsidRPr="00FC6699">
        <w:rPr>
          <w:rFonts w:cs="Arial"/>
          <w:i/>
        </w:rPr>
        <w:t>Human Rights Act 2019</w:t>
      </w:r>
      <w:r w:rsidR="00BB36AB">
        <w:rPr>
          <w:rFonts w:cs="Arial"/>
        </w:rPr>
        <w:t>;</w:t>
      </w:r>
    </w:p>
    <w:p w14:paraId="76C20C8A" w14:textId="5FFB9010" w:rsidR="00EB5F2C" w:rsidRPr="00A21D7D" w:rsidRDefault="00EB5F2C" w:rsidP="00227095">
      <w:pPr>
        <w:pStyle w:val="ListParagraph"/>
        <w:numPr>
          <w:ilvl w:val="0"/>
          <w:numId w:val="11"/>
        </w:numPr>
        <w:rPr>
          <w:rFonts w:cs="Arial"/>
        </w:rPr>
      </w:pPr>
      <w:r w:rsidRPr="00A21D7D">
        <w:rPr>
          <w:rFonts w:cs="Arial"/>
        </w:rPr>
        <w:t xml:space="preserve">About the </w:t>
      </w:r>
      <w:r w:rsidR="00FC6699" w:rsidRPr="00FC6699">
        <w:rPr>
          <w:rFonts w:cs="Arial"/>
          <w:i/>
        </w:rPr>
        <w:t>Human Rights Act 2019</w:t>
      </w:r>
      <w:r w:rsidR="00BB36AB">
        <w:rPr>
          <w:rFonts w:cs="Arial"/>
        </w:rPr>
        <w:t>;</w:t>
      </w:r>
    </w:p>
    <w:p w14:paraId="736E3383" w14:textId="50D28E3A" w:rsidR="00EB5F2C" w:rsidRPr="00A21D7D" w:rsidRDefault="00EB5F2C" w:rsidP="00227095">
      <w:pPr>
        <w:pStyle w:val="ListParagraph"/>
        <w:numPr>
          <w:ilvl w:val="0"/>
          <w:numId w:val="11"/>
        </w:numPr>
        <w:rPr>
          <w:rFonts w:cs="Arial"/>
        </w:rPr>
      </w:pPr>
      <w:r w:rsidRPr="00A21D7D">
        <w:rPr>
          <w:rFonts w:cs="Arial"/>
        </w:rPr>
        <w:t xml:space="preserve">Easy read guide to the </w:t>
      </w:r>
      <w:r w:rsidRPr="00FC6699">
        <w:rPr>
          <w:rFonts w:cs="Arial"/>
          <w:i/>
        </w:rPr>
        <w:t>Human Right Act 2019</w:t>
      </w:r>
      <w:r w:rsidR="00BB36AB">
        <w:rPr>
          <w:rFonts w:cs="Arial"/>
        </w:rPr>
        <w:t>;</w:t>
      </w:r>
    </w:p>
    <w:p w14:paraId="6538594B" w14:textId="3F74C530" w:rsidR="00EB5F2C" w:rsidRPr="00A21D7D" w:rsidRDefault="00EB5F2C" w:rsidP="00227095">
      <w:pPr>
        <w:pStyle w:val="ListParagraph"/>
        <w:numPr>
          <w:ilvl w:val="0"/>
          <w:numId w:val="11"/>
        </w:numPr>
        <w:rPr>
          <w:rFonts w:cs="Arial"/>
        </w:rPr>
      </w:pPr>
      <w:r w:rsidRPr="00A21D7D">
        <w:rPr>
          <w:rFonts w:cs="Arial"/>
        </w:rPr>
        <w:t xml:space="preserve">What </w:t>
      </w:r>
      <w:r w:rsidR="00A67399">
        <w:rPr>
          <w:rFonts w:cs="Arial"/>
        </w:rPr>
        <w:t>is</w:t>
      </w:r>
      <w:r w:rsidRPr="00A21D7D">
        <w:rPr>
          <w:rFonts w:cs="Arial"/>
        </w:rPr>
        <w:t xml:space="preserve"> a public entity?</w:t>
      </w:r>
      <w:r w:rsidR="00BB36AB">
        <w:rPr>
          <w:rFonts w:cs="Arial"/>
        </w:rPr>
        <w:t>;</w:t>
      </w:r>
    </w:p>
    <w:p w14:paraId="779940BD" w14:textId="23926E2E" w:rsidR="00EB5F2C" w:rsidRPr="00A21D7D" w:rsidRDefault="00EB5F2C" w:rsidP="00227095">
      <w:pPr>
        <w:pStyle w:val="ListParagraph"/>
        <w:numPr>
          <w:ilvl w:val="0"/>
          <w:numId w:val="11"/>
        </w:numPr>
        <w:ind w:right="95"/>
        <w:rPr>
          <w:rFonts w:cs="Arial"/>
        </w:rPr>
      </w:pPr>
      <w:r w:rsidRPr="00A21D7D">
        <w:rPr>
          <w:rFonts w:cs="Arial"/>
        </w:rPr>
        <w:t xml:space="preserve">Role of Parliament under the </w:t>
      </w:r>
      <w:r w:rsidR="00FC6699" w:rsidRPr="00FC6699">
        <w:rPr>
          <w:rFonts w:cs="Arial"/>
          <w:i/>
        </w:rPr>
        <w:t>Human Rights Act 2019</w:t>
      </w:r>
      <w:r w:rsidR="00BB36AB">
        <w:rPr>
          <w:rFonts w:cs="Arial"/>
        </w:rPr>
        <w:t>;</w:t>
      </w:r>
    </w:p>
    <w:p w14:paraId="4021865E" w14:textId="21536462" w:rsidR="00EB5F2C" w:rsidRPr="00FC6699" w:rsidRDefault="00EB5F2C" w:rsidP="00227095">
      <w:pPr>
        <w:pStyle w:val="ListParagraph"/>
        <w:numPr>
          <w:ilvl w:val="0"/>
          <w:numId w:val="11"/>
        </w:numPr>
        <w:ind w:right="95"/>
        <w:rPr>
          <w:rFonts w:cs="Arial"/>
          <w:i/>
        </w:rPr>
      </w:pPr>
      <w:r w:rsidRPr="00A21D7D">
        <w:rPr>
          <w:rFonts w:cs="Arial"/>
        </w:rPr>
        <w:t xml:space="preserve">Role of court and tribunals under the </w:t>
      </w:r>
      <w:r w:rsidR="00FC6699" w:rsidRPr="00FC6699">
        <w:rPr>
          <w:rFonts w:cs="Arial"/>
          <w:i/>
        </w:rPr>
        <w:t>Human Rights Act 2019</w:t>
      </w:r>
      <w:r w:rsidR="00BB36AB">
        <w:rPr>
          <w:rFonts w:cs="Arial"/>
        </w:rPr>
        <w:t>;</w:t>
      </w:r>
    </w:p>
    <w:p w14:paraId="6565BE96" w14:textId="5D9AC290" w:rsidR="00EB5F2C" w:rsidRPr="00A21D7D" w:rsidRDefault="00EB5F2C" w:rsidP="00227095">
      <w:pPr>
        <w:pStyle w:val="ListParagraph"/>
        <w:numPr>
          <w:ilvl w:val="0"/>
          <w:numId w:val="11"/>
        </w:numPr>
        <w:ind w:right="95"/>
        <w:rPr>
          <w:rFonts w:cs="Arial"/>
        </w:rPr>
      </w:pPr>
      <w:r w:rsidRPr="00A21D7D">
        <w:rPr>
          <w:rFonts w:cs="Arial"/>
        </w:rPr>
        <w:t xml:space="preserve">Meaning of discrimination under the </w:t>
      </w:r>
      <w:r w:rsidR="00FC6699" w:rsidRPr="00FC6699">
        <w:rPr>
          <w:rFonts w:cs="Arial"/>
          <w:i/>
        </w:rPr>
        <w:t>Human Rights Act 2019</w:t>
      </w:r>
      <w:r w:rsidR="00BB36AB">
        <w:rPr>
          <w:rFonts w:cs="Arial"/>
        </w:rPr>
        <w:t>;</w:t>
      </w:r>
    </w:p>
    <w:p w14:paraId="232E291A" w14:textId="756A424A" w:rsidR="00EB5F2C" w:rsidRPr="00A21D7D" w:rsidRDefault="00EB5F2C" w:rsidP="00227095">
      <w:pPr>
        <w:pStyle w:val="ListParagraph"/>
        <w:numPr>
          <w:ilvl w:val="0"/>
          <w:numId w:val="11"/>
        </w:numPr>
        <w:ind w:right="95"/>
        <w:rPr>
          <w:rFonts w:cs="Arial"/>
        </w:rPr>
      </w:pPr>
      <w:r w:rsidRPr="00A21D7D">
        <w:rPr>
          <w:rFonts w:cs="Arial"/>
        </w:rPr>
        <w:t>Limiting human rights: when can laws and policies limit rights?</w:t>
      </w:r>
      <w:r w:rsidR="00BB36AB">
        <w:rPr>
          <w:rFonts w:cs="Arial"/>
        </w:rPr>
        <w:t>;</w:t>
      </w:r>
    </w:p>
    <w:p w14:paraId="59C3FC63" w14:textId="30BCF17A" w:rsidR="00EB5F2C" w:rsidRPr="00A21D7D" w:rsidRDefault="00EB5F2C" w:rsidP="00227095">
      <w:pPr>
        <w:pStyle w:val="ListParagraph"/>
        <w:numPr>
          <w:ilvl w:val="0"/>
          <w:numId w:val="11"/>
        </w:numPr>
        <w:ind w:right="95"/>
        <w:rPr>
          <w:rFonts w:cs="Arial"/>
        </w:rPr>
      </w:pPr>
      <w:r w:rsidRPr="00A21D7D">
        <w:rPr>
          <w:rFonts w:cs="Arial"/>
        </w:rPr>
        <w:t>Making a discrimination or human rights complaint</w:t>
      </w:r>
      <w:r w:rsidR="00BB36AB">
        <w:rPr>
          <w:rFonts w:cs="Arial"/>
        </w:rPr>
        <w:t>;</w:t>
      </w:r>
    </w:p>
    <w:p w14:paraId="4BA29007" w14:textId="39479E06" w:rsidR="00EB5F2C" w:rsidRPr="00A21D7D" w:rsidRDefault="00EB5F2C" w:rsidP="00227095">
      <w:pPr>
        <w:pStyle w:val="ListParagraph"/>
        <w:numPr>
          <w:ilvl w:val="0"/>
          <w:numId w:val="11"/>
        </w:numPr>
        <w:ind w:right="-46"/>
        <w:rPr>
          <w:rFonts w:cs="Arial"/>
        </w:rPr>
      </w:pPr>
      <w:r w:rsidRPr="00A21D7D">
        <w:rPr>
          <w:rFonts w:cs="Arial"/>
        </w:rPr>
        <w:t>Responding to a discrimination or human rights complaint</w:t>
      </w:r>
      <w:r w:rsidR="00BB36AB">
        <w:rPr>
          <w:rFonts w:cs="Arial"/>
        </w:rPr>
        <w:t>;</w:t>
      </w:r>
    </w:p>
    <w:p w14:paraId="5C65C6BE" w14:textId="083EA0D5" w:rsidR="00727EE9" w:rsidRPr="00A21D7D" w:rsidRDefault="00727EE9" w:rsidP="00227095">
      <w:pPr>
        <w:pStyle w:val="ListParagraph"/>
        <w:numPr>
          <w:ilvl w:val="0"/>
          <w:numId w:val="11"/>
        </w:numPr>
        <w:ind w:right="-46"/>
        <w:rPr>
          <w:rFonts w:cs="Arial"/>
        </w:rPr>
      </w:pPr>
      <w:r w:rsidRPr="00A21D7D">
        <w:rPr>
          <w:rFonts w:cs="Arial"/>
        </w:rPr>
        <w:t>COVID-19 and bail</w:t>
      </w:r>
      <w:r w:rsidR="00BB36AB">
        <w:rPr>
          <w:rFonts w:cs="Arial"/>
        </w:rPr>
        <w:t>;</w:t>
      </w:r>
    </w:p>
    <w:p w14:paraId="145B44BD" w14:textId="194A7951" w:rsidR="00727EE9" w:rsidRPr="00A21D7D" w:rsidRDefault="00727EE9" w:rsidP="00227095">
      <w:pPr>
        <w:pStyle w:val="ListParagraph"/>
        <w:numPr>
          <w:ilvl w:val="0"/>
          <w:numId w:val="11"/>
        </w:numPr>
        <w:ind w:right="-46"/>
        <w:rPr>
          <w:rFonts w:cs="Arial"/>
        </w:rPr>
      </w:pPr>
      <w:r w:rsidRPr="00A21D7D">
        <w:rPr>
          <w:rFonts w:cs="Arial"/>
        </w:rPr>
        <w:t>Protecting human right</w:t>
      </w:r>
      <w:r w:rsidR="00A67399">
        <w:rPr>
          <w:rFonts w:cs="Arial"/>
        </w:rPr>
        <w:t>s</w:t>
      </w:r>
      <w:r w:rsidRPr="00A21D7D">
        <w:rPr>
          <w:rFonts w:cs="Arial"/>
        </w:rPr>
        <w:t xml:space="preserve"> in locked environments during COVID-19</w:t>
      </w:r>
      <w:r w:rsidR="00BB36AB">
        <w:rPr>
          <w:rFonts w:cs="Arial"/>
        </w:rPr>
        <w:t>.</w:t>
      </w:r>
    </w:p>
    <w:p w14:paraId="7D35E3CA" w14:textId="6BB0C622" w:rsidR="00EB5F2C" w:rsidRPr="00A21D7D" w:rsidRDefault="00EB5F2C" w:rsidP="00EB5F2C">
      <w:pPr>
        <w:rPr>
          <w:rFonts w:cs="Arial"/>
          <w:b/>
        </w:rPr>
      </w:pPr>
      <w:r w:rsidRPr="00A21D7D">
        <w:rPr>
          <w:rFonts w:cs="Arial"/>
          <w:b/>
        </w:rPr>
        <w:t>Guides</w:t>
      </w:r>
    </w:p>
    <w:p w14:paraId="77ADF0F9" w14:textId="62495E58" w:rsidR="00EB5F2C" w:rsidRPr="00A21D7D" w:rsidRDefault="00EB5F2C" w:rsidP="00227095">
      <w:pPr>
        <w:pStyle w:val="ListParagraph"/>
        <w:numPr>
          <w:ilvl w:val="0"/>
          <w:numId w:val="12"/>
        </w:numPr>
        <w:rPr>
          <w:rFonts w:cs="Arial"/>
        </w:rPr>
      </w:pPr>
      <w:r w:rsidRPr="00A21D7D">
        <w:rPr>
          <w:rFonts w:cs="Arial"/>
        </w:rPr>
        <w:t>Public entity toolkit</w:t>
      </w:r>
      <w:r w:rsidR="00BB36AB">
        <w:rPr>
          <w:rFonts w:cs="Arial"/>
        </w:rPr>
        <w:t>;</w:t>
      </w:r>
    </w:p>
    <w:p w14:paraId="1E208330" w14:textId="0DEA6956" w:rsidR="00EB5F2C" w:rsidRPr="00A21D7D" w:rsidRDefault="00EB5F2C" w:rsidP="00411815">
      <w:pPr>
        <w:pStyle w:val="ListParagraph"/>
        <w:numPr>
          <w:ilvl w:val="0"/>
          <w:numId w:val="12"/>
        </w:numPr>
      </w:pPr>
      <w:r w:rsidRPr="00A21D7D">
        <w:t>Human rights and discrimination: a guide for our mob – for Aboriginal peoples, Torres Strait Islander peoples and their advocates</w:t>
      </w:r>
      <w:r w:rsidR="00BB36AB">
        <w:t>;</w:t>
      </w:r>
    </w:p>
    <w:p w14:paraId="4C6AF3C4" w14:textId="04233799" w:rsidR="00EB5F2C" w:rsidRPr="00A21D7D" w:rsidRDefault="00EB5F2C" w:rsidP="00411815">
      <w:pPr>
        <w:pStyle w:val="ListParagraph"/>
        <w:numPr>
          <w:ilvl w:val="0"/>
          <w:numId w:val="12"/>
        </w:numPr>
      </w:pPr>
      <w:r w:rsidRPr="00A21D7D">
        <w:t>Human rights guide for people in prison</w:t>
      </w:r>
      <w:r w:rsidR="00BB36AB">
        <w:t>;</w:t>
      </w:r>
    </w:p>
    <w:p w14:paraId="647A79BF" w14:textId="01EC8ED8" w:rsidR="00727EE9" w:rsidRPr="00A21D7D" w:rsidRDefault="00727EE9" w:rsidP="00411815">
      <w:pPr>
        <w:pStyle w:val="ListParagraph"/>
        <w:numPr>
          <w:ilvl w:val="0"/>
          <w:numId w:val="12"/>
        </w:numPr>
      </w:pPr>
      <w:r w:rsidRPr="00A21D7D">
        <w:t>Acting compatibly with human right</w:t>
      </w:r>
      <w:r w:rsidR="00A67399">
        <w:t>s</w:t>
      </w:r>
      <w:r w:rsidRPr="00A21D7D">
        <w:t>: a guide for public entities</w:t>
      </w:r>
      <w:r w:rsidR="00BB36AB">
        <w:t>;</w:t>
      </w:r>
    </w:p>
    <w:p w14:paraId="754B5426" w14:textId="68B558F6" w:rsidR="00727EE9" w:rsidRPr="00A21D7D" w:rsidRDefault="00727EE9" w:rsidP="00411815">
      <w:pPr>
        <w:pStyle w:val="ListParagraph"/>
        <w:numPr>
          <w:ilvl w:val="0"/>
          <w:numId w:val="12"/>
        </w:numPr>
      </w:pPr>
      <w:r w:rsidRPr="00A21D7D">
        <w:t>Know your rights: pocket guide to Queensland’s anti-discrimination and human rights laws</w:t>
      </w:r>
      <w:r w:rsidR="00BB36AB">
        <w:t>.</w:t>
      </w:r>
    </w:p>
    <w:p w14:paraId="3E5BD68A" w14:textId="00F65AAF" w:rsidR="00EB5F2C" w:rsidRPr="00A21D7D" w:rsidRDefault="00727EE9" w:rsidP="00EB5F2C">
      <w:pPr>
        <w:rPr>
          <w:rFonts w:cs="Arial"/>
          <w:b/>
        </w:rPr>
      </w:pPr>
      <w:r w:rsidRPr="00A21D7D">
        <w:rPr>
          <w:rFonts w:cs="Arial"/>
          <w:b/>
        </w:rPr>
        <w:lastRenderedPageBreak/>
        <w:t>Posters</w:t>
      </w:r>
    </w:p>
    <w:p w14:paraId="6017760E" w14:textId="44459946" w:rsidR="00727EE9" w:rsidRPr="00A21D7D" w:rsidRDefault="00727EE9" w:rsidP="00227095">
      <w:pPr>
        <w:pStyle w:val="ListParagraph"/>
        <w:numPr>
          <w:ilvl w:val="0"/>
          <w:numId w:val="13"/>
        </w:numPr>
        <w:rPr>
          <w:rFonts w:cs="Arial"/>
        </w:rPr>
      </w:pPr>
      <w:r w:rsidRPr="00A21D7D">
        <w:rPr>
          <w:rFonts w:cs="Arial"/>
        </w:rPr>
        <w:t>Queensland Huma</w:t>
      </w:r>
      <w:r w:rsidR="00BB36AB">
        <w:rPr>
          <w:rFonts w:cs="Arial"/>
        </w:rPr>
        <w:t>n Rights Act summary;</w:t>
      </w:r>
    </w:p>
    <w:p w14:paraId="5BAF4384" w14:textId="443BE48A" w:rsidR="00727EE9" w:rsidRPr="00A21D7D" w:rsidRDefault="00727EE9" w:rsidP="00227095">
      <w:pPr>
        <w:pStyle w:val="ListParagraph"/>
        <w:numPr>
          <w:ilvl w:val="0"/>
          <w:numId w:val="13"/>
        </w:numPr>
        <w:rPr>
          <w:rFonts w:cs="Arial"/>
        </w:rPr>
      </w:pPr>
      <w:r w:rsidRPr="00A21D7D">
        <w:rPr>
          <w:rFonts w:cs="Arial"/>
        </w:rPr>
        <w:t>Acting compatibly with human rights</w:t>
      </w:r>
      <w:r w:rsidR="00BB36AB">
        <w:rPr>
          <w:rFonts w:cs="Arial"/>
        </w:rPr>
        <w:t>;</w:t>
      </w:r>
    </w:p>
    <w:p w14:paraId="5326A60B" w14:textId="12F9B95E" w:rsidR="00727EE9" w:rsidRPr="00A21D7D" w:rsidRDefault="00727EE9" w:rsidP="00227095">
      <w:pPr>
        <w:pStyle w:val="ListParagraph"/>
        <w:numPr>
          <w:ilvl w:val="0"/>
          <w:numId w:val="13"/>
        </w:numPr>
        <w:rPr>
          <w:rFonts w:cs="Arial"/>
        </w:rPr>
      </w:pPr>
      <w:r w:rsidRPr="00A21D7D">
        <w:rPr>
          <w:rFonts w:cs="Arial"/>
        </w:rPr>
        <w:t>Report racism poster series</w:t>
      </w:r>
      <w:r w:rsidR="00BB36AB">
        <w:rPr>
          <w:rFonts w:cs="Arial"/>
        </w:rPr>
        <w:t>;</w:t>
      </w:r>
    </w:p>
    <w:p w14:paraId="78863C58" w14:textId="704A7951" w:rsidR="00727EE9" w:rsidRPr="00A21D7D" w:rsidRDefault="00727EE9" w:rsidP="00227095">
      <w:pPr>
        <w:pStyle w:val="ListParagraph"/>
        <w:numPr>
          <w:ilvl w:val="0"/>
          <w:numId w:val="13"/>
        </w:numPr>
        <w:rPr>
          <w:rFonts w:cs="Arial"/>
        </w:rPr>
      </w:pPr>
      <w:r w:rsidRPr="00A21D7D">
        <w:rPr>
          <w:rFonts w:cs="Arial"/>
        </w:rPr>
        <w:t>Mabo Oration 2019 poster series</w:t>
      </w:r>
      <w:r w:rsidR="00BB36AB">
        <w:rPr>
          <w:rFonts w:cs="Arial"/>
        </w:rPr>
        <w:t>.</w:t>
      </w:r>
    </w:p>
    <w:p w14:paraId="71A1DDDA" w14:textId="04A087B1" w:rsidR="002C1F7C" w:rsidRPr="007D0F77" w:rsidRDefault="004908DB" w:rsidP="007D0F77">
      <w:pPr>
        <w:rPr>
          <w:b/>
        </w:rPr>
      </w:pPr>
      <w:r w:rsidRPr="007D0F77">
        <w:rPr>
          <w:b/>
        </w:rPr>
        <w:t>Trans@School</w:t>
      </w:r>
      <w:r w:rsidR="00727EE9" w:rsidRPr="007D0F77">
        <w:rPr>
          <w:b/>
        </w:rPr>
        <w:t xml:space="preserve"> resources</w:t>
      </w:r>
    </w:p>
    <w:p w14:paraId="5A8434DA" w14:textId="77777777" w:rsidR="00BB36AB" w:rsidRDefault="00EB5F2C" w:rsidP="00EB5F2C">
      <w:pPr>
        <w:rPr>
          <w:rFonts w:cs="Arial"/>
        </w:rPr>
      </w:pPr>
      <w:r w:rsidRPr="00A21D7D">
        <w:rPr>
          <w:rFonts w:cs="Arial"/>
        </w:rPr>
        <w:t xml:space="preserve">In February 2020 </w:t>
      </w:r>
      <w:r w:rsidR="00BB36AB">
        <w:rPr>
          <w:rFonts w:cs="Arial"/>
        </w:rPr>
        <w:t>we</w:t>
      </w:r>
      <w:r w:rsidRPr="00A21D7D">
        <w:rPr>
          <w:rFonts w:cs="Arial"/>
        </w:rPr>
        <w:t xml:space="preserve"> launched the Trans@Schools resources. They were developed in response to growing numbers of enquiries from schools and teachers who wanted to know how to better support trans and gender diverse students, and from students and parents who wanted to know their rights at school.</w:t>
      </w:r>
      <w:r w:rsidRPr="00A21D7D">
        <w:rPr>
          <w:rFonts w:cs="Arial"/>
        </w:rPr>
        <w:br/>
      </w:r>
      <w:r w:rsidRPr="00A21D7D">
        <w:rPr>
          <w:rFonts w:cs="Arial"/>
        </w:rPr>
        <w:br/>
      </w:r>
      <w:r w:rsidR="00BB36AB">
        <w:rPr>
          <w:rFonts w:cs="Arial"/>
        </w:rPr>
        <w:t>We</w:t>
      </w:r>
      <w:r w:rsidRPr="00A21D7D">
        <w:rPr>
          <w:rFonts w:cs="Arial"/>
        </w:rPr>
        <w:t xml:space="preserve"> created the resources in partnership with the LGBTI Legal Service and Legal Aid Queensland, in consultation with schools, students, and parents of trans and gender diverse young people. They explain the obligations of schools under the </w:t>
      </w:r>
      <w:r w:rsidR="00FC6699" w:rsidRPr="00FC6699">
        <w:rPr>
          <w:rFonts w:cs="Arial"/>
          <w:i/>
          <w:iCs/>
        </w:rPr>
        <w:t>Anti-Discrimination Act 1991</w:t>
      </w:r>
      <w:r w:rsidRPr="00A21D7D">
        <w:rPr>
          <w:rFonts w:cs="Arial"/>
          <w:i/>
          <w:iCs/>
        </w:rPr>
        <w:t xml:space="preserve"> </w:t>
      </w:r>
      <w:r w:rsidRPr="00A21D7D">
        <w:rPr>
          <w:rFonts w:cs="Arial"/>
        </w:rPr>
        <w:t xml:space="preserve">and include information on names and pronouns, school uniforms, medical information and privacy, toilets, and school sports. </w:t>
      </w:r>
    </w:p>
    <w:p w14:paraId="12ED05E9" w14:textId="1F9766CB" w:rsidR="00EB5F2C" w:rsidRPr="00A21D7D" w:rsidRDefault="00EB5F2C" w:rsidP="00EB5F2C">
      <w:pPr>
        <w:rPr>
          <w:rFonts w:cs="Arial"/>
        </w:rPr>
      </w:pPr>
      <w:r w:rsidRPr="00A21D7D">
        <w:rPr>
          <w:rFonts w:cs="Arial"/>
        </w:rPr>
        <w:t>These resources are aimed at helping everybody - schools, students, and families – understand the legal aspects of the issues impacting on trans and gender diverse students, and hopefully lead to better outcomes for those st</w:t>
      </w:r>
      <w:r w:rsidR="00406AC5">
        <w:rPr>
          <w:rFonts w:cs="Arial"/>
        </w:rPr>
        <w:t>udents and a safe and supportive</w:t>
      </w:r>
      <w:r w:rsidRPr="00A21D7D">
        <w:rPr>
          <w:rFonts w:cs="Arial"/>
        </w:rPr>
        <w:t xml:space="preserve"> learning environment for the whole school body.</w:t>
      </w:r>
    </w:p>
    <w:p w14:paraId="3E694DD0" w14:textId="29D2F434" w:rsidR="002C1F7C" w:rsidRPr="00A21D7D" w:rsidRDefault="002C1F7C" w:rsidP="007D0F77">
      <w:pPr>
        <w:pStyle w:val="Heading3"/>
      </w:pPr>
      <w:bookmarkStart w:id="47" w:name="_Toc49508889"/>
      <w:r w:rsidRPr="00A21D7D">
        <w:t>Services</w:t>
      </w:r>
      <w:bookmarkEnd w:id="47"/>
    </w:p>
    <w:p w14:paraId="1CEF2BE2" w14:textId="686EF61D" w:rsidR="002C1F7C" w:rsidRPr="00A21D7D" w:rsidRDefault="00BB36AB" w:rsidP="002C1F7C">
      <w:pPr>
        <w:rPr>
          <w:rFonts w:cs="Arial"/>
        </w:rPr>
      </w:pPr>
      <w:r>
        <w:rPr>
          <w:rFonts w:cs="Arial"/>
        </w:rPr>
        <w:t>We</w:t>
      </w:r>
      <w:r w:rsidR="002C1F7C" w:rsidRPr="00A21D7D">
        <w:rPr>
          <w:rFonts w:cs="Arial"/>
        </w:rPr>
        <w:t xml:space="preserve"> provide a free, accessible and personal information service for people in Queensland to help them understand their rights and responsibilities under the relevant legislation. </w:t>
      </w:r>
      <w:r w:rsidR="00510398">
        <w:rPr>
          <w:rFonts w:cs="Arial"/>
        </w:rPr>
        <w:t xml:space="preserve">Enquiries about anti-discrimination and human rights law, as well as our functions and services, are taken via telephone, email, post and in person. </w:t>
      </w:r>
      <w:r w:rsidR="002C1F7C" w:rsidRPr="00A21D7D">
        <w:rPr>
          <w:rFonts w:cs="Arial"/>
        </w:rPr>
        <w:t xml:space="preserve">All four </w:t>
      </w:r>
      <w:r>
        <w:rPr>
          <w:rFonts w:cs="Arial"/>
        </w:rPr>
        <w:t>Commission</w:t>
      </w:r>
      <w:r w:rsidR="002C1F7C" w:rsidRPr="00A21D7D">
        <w:rPr>
          <w:rFonts w:cs="Arial"/>
        </w:rPr>
        <w:t xml:space="preserve"> offices provide information services, but the bulk of telephone and email enquiries are managed through the Brisbane office. </w:t>
      </w:r>
    </w:p>
    <w:p w14:paraId="671FF5E1" w14:textId="77777777" w:rsidR="00510398" w:rsidRDefault="00510398" w:rsidP="00510398">
      <w:pPr>
        <w:pStyle w:val="Keystatistics"/>
      </w:pPr>
      <w:r>
        <w:t>In 2019-20</w:t>
      </w:r>
      <w:r w:rsidR="002C1F7C" w:rsidRPr="00A21D7D">
        <w:t xml:space="preserve"> </w:t>
      </w:r>
      <w:r w:rsidR="00BB36AB">
        <w:t>we</w:t>
      </w:r>
      <w:r w:rsidR="002C1F7C" w:rsidRPr="00A21D7D">
        <w:t xml:space="preserve"> responded to </w:t>
      </w:r>
      <w:r w:rsidR="00B75430" w:rsidRPr="00510398">
        <w:rPr>
          <w:sz w:val="36"/>
          <w:szCs w:val="36"/>
        </w:rPr>
        <w:t>3947</w:t>
      </w:r>
      <w:r w:rsidR="00B75430" w:rsidRPr="00A21D7D">
        <w:t xml:space="preserve"> </w:t>
      </w:r>
      <w:r w:rsidR="002C1F7C" w:rsidRPr="00A21D7D">
        <w:t xml:space="preserve">enquiries </w:t>
      </w:r>
    </w:p>
    <w:p w14:paraId="2A06DF88" w14:textId="1C1EDD64" w:rsidR="002C1F7C" w:rsidRPr="00A21D7D" w:rsidRDefault="00510398" w:rsidP="00510398">
      <w:pPr>
        <w:pStyle w:val="Keystatistics"/>
      </w:pPr>
      <w:r>
        <w:t xml:space="preserve">– </w:t>
      </w:r>
      <w:r w:rsidR="002C1F7C" w:rsidRPr="00A21D7D">
        <w:t>a</w:t>
      </w:r>
      <w:r>
        <w:t xml:space="preserve"> </w:t>
      </w:r>
      <w:r w:rsidR="00B75430" w:rsidRPr="00A21D7D">
        <w:t>significant</w:t>
      </w:r>
      <w:r w:rsidR="002C1F7C" w:rsidRPr="00A21D7D">
        <w:t xml:space="preserve"> increase from </w:t>
      </w:r>
      <w:r w:rsidR="00B75430" w:rsidRPr="00A21D7D">
        <w:t>2637</w:t>
      </w:r>
      <w:r w:rsidR="002C1F7C" w:rsidRPr="00A21D7D">
        <w:t xml:space="preserve"> in 2018-19.</w:t>
      </w:r>
    </w:p>
    <w:p w14:paraId="434D18E4" w14:textId="77777777" w:rsidR="00A72450" w:rsidRDefault="00A72450">
      <w:pPr>
        <w:ind w:right="0"/>
        <w:rPr>
          <w:rFonts w:eastAsiaTheme="majorEastAsia" w:cstheme="majorBidi"/>
          <w:color w:val="000000" w:themeColor="text1"/>
          <w:sz w:val="36"/>
          <w:szCs w:val="26"/>
        </w:rPr>
      </w:pPr>
      <w:bookmarkStart w:id="48" w:name="_Toc49508890"/>
      <w:r>
        <w:br w:type="page"/>
      </w:r>
    </w:p>
    <w:p w14:paraId="5AC2B154" w14:textId="56BD9D6C" w:rsidR="000213AE" w:rsidRPr="00A21D7D" w:rsidRDefault="00C51DA5" w:rsidP="007D0F77">
      <w:pPr>
        <w:pStyle w:val="Heading2"/>
      </w:pPr>
      <w:r w:rsidRPr="00A21D7D">
        <w:lastRenderedPageBreak/>
        <w:t>Aboriginal and Torres Strait Islander engagement</w:t>
      </w:r>
      <w:bookmarkEnd w:id="48"/>
    </w:p>
    <w:p w14:paraId="55BA887D" w14:textId="6FD15DC1" w:rsidR="0005274B" w:rsidRPr="00A21D7D" w:rsidRDefault="0005274B" w:rsidP="0005274B">
      <w:pPr>
        <w:spacing w:line="240" w:lineRule="auto"/>
        <w:rPr>
          <w:rFonts w:cs="Arial"/>
        </w:rPr>
      </w:pPr>
      <w:r w:rsidRPr="00A21D7D">
        <w:rPr>
          <w:rFonts w:cs="Arial"/>
        </w:rPr>
        <w:t xml:space="preserve">With the introduction of the </w:t>
      </w:r>
      <w:r w:rsidR="00FC6699" w:rsidRPr="00FC6699">
        <w:rPr>
          <w:rFonts w:cs="Arial"/>
          <w:i/>
        </w:rPr>
        <w:t>Human Rights Act 2019</w:t>
      </w:r>
      <w:r w:rsidRPr="00A21D7D">
        <w:rPr>
          <w:rFonts w:cs="Arial"/>
        </w:rPr>
        <w:t xml:space="preserve">, Queensland became the </w:t>
      </w:r>
      <w:r w:rsidR="009671A8" w:rsidRPr="00A21D7D">
        <w:rPr>
          <w:rFonts w:cs="Arial"/>
        </w:rPr>
        <w:t>third</w:t>
      </w:r>
      <w:r w:rsidRPr="00A21D7D">
        <w:rPr>
          <w:rFonts w:cs="Arial"/>
        </w:rPr>
        <w:t xml:space="preserve"> jurisdiction in Australia to provide specific protection for the cultural rights of Aboriginal peoples and Torres Strait Islander peoples.</w:t>
      </w:r>
      <w:r w:rsidR="00B10E8B">
        <w:rPr>
          <w:rFonts w:cs="Arial"/>
        </w:rPr>
        <w:t xml:space="preserve"> </w:t>
      </w:r>
      <w:r w:rsidRPr="00A21D7D">
        <w:rPr>
          <w:rFonts w:cs="Arial"/>
        </w:rPr>
        <w:t xml:space="preserve">Understandably, there has been great interest in this protection from Aboriginal and Torres Strait Islander communities and advocates. </w:t>
      </w:r>
    </w:p>
    <w:p w14:paraId="44186634" w14:textId="20C2B303" w:rsidR="0005274B" w:rsidRPr="00A21D7D" w:rsidRDefault="0005274B" w:rsidP="0005274B">
      <w:pPr>
        <w:spacing w:line="240" w:lineRule="auto"/>
        <w:rPr>
          <w:rFonts w:cs="Arial"/>
        </w:rPr>
      </w:pPr>
      <w:r w:rsidRPr="00A21D7D">
        <w:rPr>
          <w:rFonts w:cs="Arial"/>
        </w:rPr>
        <w:t>Our two person Aboriginal and Torres Strait Island</w:t>
      </w:r>
      <w:r w:rsidR="00A67399">
        <w:rPr>
          <w:rFonts w:cs="Arial"/>
        </w:rPr>
        <w:t>er</w:t>
      </w:r>
      <w:r w:rsidRPr="00A21D7D">
        <w:rPr>
          <w:rFonts w:cs="Arial"/>
        </w:rPr>
        <w:t xml:space="preserve"> Unit </w:t>
      </w:r>
      <w:r w:rsidR="00A67399">
        <w:rPr>
          <w:rFonts w:cs="Arial"/>
        </w:rPr>
        <w:t xml:space="preserve">within the Commission </w:t>
      </w:r>
      <w:r w:rsidRPr="00A21D7D">
        <w:rPr>
          <w:rFonts w:cs="Arial"/>
        </w:rPr>
        <w:t>has been active in engaging with communities to ensure First Nations people in Queensland are aware of their rights.</w:t>
      </w:r>
      <w:r w:rsidR="00CD4348" w:rsidRPr="00A21D7D">
        <w:rPr>
          <w:rFonts w:cs="Arial"/>
        </w:rPr>
        <w:t xml:space="preserve"> At the height of the COVID-19 pandemic in Queensland, many enquiries were received from Aboriginal communities in relation to restrictions on freedom of movement and other limitations on human rights.</w:t>
      </w:r>
      <w:r w:rsidR="00B10E8B">
        <w:rPr>
          <w:rFonts w:cs="Arial"/>
        </w:rPr>
        <w:t xml:space="preserve"> </w:t>
      </w:r>
      <w:r w:rsidRPr="00A21D7D">
        <w:rPr>
          <w:rFonts w:cs="Arial"/>
        </w:rPr>
        <w:t xml:space="preserve">We were invited to Mount Isa, Torres Strait, Townsville and Cairns to </w:t>
      </w:r>
      <w:r w:rsidR="00CD4348" w:rsidRPr="00A21D7D">
        <w:rPr>
          <w:rFonts w:cs="Arial"/>
        </w:rPr>
        <w:t xml:space="preserve">yarn with Aboriginal and Torres Strait Islander communities about the new Act. We have also delivered training to government and non-government organisations in relation to the Anti-Discrimination Act, unconscious bias and the Human Rights Act, with a particular focus on cultural rights. </w:t>
      </w:r>
    </w:p>
    <w:p w14:paraId="7C923468" w14:textId="0F84E661" w:rsidR="00CD4348" w:rsidRPr="00A21D7D" w:rsidRDefault="00CD4348" w:rsidP="0005274B">
      <w:pPr>
        <w:spacing w:line="240" w:lineRule="auto"/>
        <w:rPr>
          <w:rFonts w:cs="Arial"/>
        </w:rPr>
      </w:pPr>
      <w:r w:rsidRPr="00A21D7D">
        <w:rPr>
          <w:rFonts w:cs="Arial"/>
        </w:rPr>
        <w:t xml:space="preserve">This year the Unit published </w:t>
      </w:r>
      <w:r w:rsidRPr="00A21D7D">
        <w:rPr>
          <w:rFonts w:cs="Arial"/>
          <w:i/>
        </w:rPr>
        <w:t xml:space="preserve">Human rights and discrimination: a guide for our mob – </w:t>
      </w:r>
      <w:r w:rsidRPr="00A21D7D">
        <w:rPr>
          <w:rFonts w:cs="Arial"/>
        </w:rPr>
        <w:t>an information booklet to help Aboriginal and Torres Strait Islander peoples and their advocates understand both the Human Rights Act and Anti-Discrimination Act</w:t>
      </w:r>
      <w:r w:rsidRPr="00A21D7D">
        <w:rPr>
          <w:rFonts w:cs="Arial"/>
          <w:i/>
        </w:rPr>
        <w:t xml:space="preserve">. </w:t>
      </w:r>
    </w:p>
    <w:p w14:paraId="2B62A538" w14:textId="4479548D" w:rsidR="0005274B" w:rsidRPr="00A21D7D" w:rsidRDefault="00BB36AB" w:rsidP="0005274B">
      <w:pPr>
        <w:spacing w:line="240" w:lineRule="auto"/>
        <w:rPr>
          <w:rFonts w:cs="Arial"/>
        </w:rPr>
      </w:pPr>
      <w:r>
        <w:rPr>
          <w:rFonts w:cs="Arial"/>
        </w:rPr>
        <w:t>We</w:t>
      </w:r>
      <w:r w:rsidR="00CD4348" w:rsidRPr="00A21D7D">
        <w:rPr>
          <w:rFonts w:cs="Arial"/>
        </w:rPr>
        <w:t xml:space="preserve"> also </w:t>
      </w:r>
      <w:r w:rsidR="0005274B" w:rsidRPr="00A21D7D">
        <w:rPr>
          <w:rFonts w:cs="Arial"/>
        </w:rPr>
        <w:t xml:space="preserve">established </w:t>
      </w:r>
      <w:r w:rsidR="00A67399">
        <w:rPr>
          <w:rFonts w:cs="Arial"/>
        </w:rPr>
        <w:t xml:space="preserve">the </w:t>
      </w:r>
      <w:r w:rsidR="0005274B" w:rsidRPr="00A21D7D">
        <w:rPr>
          <w:rFonts w:cs="Arial"/>
        </w:rPr>
        <w:t>Aborigi</w:t>
      </w:r>
      <w:r w:rsidR="00A67399">
        <w:rPr>
          <w:rFonts w:cs="Arial"/>
        </w:rPr>
        <w:t>nal and Torres Strait Islander A</w:t>
      </w:r>
      <w:r w:rsidR="0005274B" w:rsidRPr="00A21D7D">
        <w:rPr>
          <w:rFonts w:cs="Arial"/>
        </w:rPr>
        <w:t xml:space="preserve">dvisory </w:t>
      </w:r>
      <w:r w:rsidR="00A67399">
        <w:rPr>
          <w:rFonts w:cs="Arial"/>
        </w:rPr>
        <w:t>G</w:t>
      </w:r>
      <w:r w:rsidR="0005274B" w:rsidRPr="00A21D7D">
        <w:rPr>
          <w:rFonts w:cs="Arial"/>
        </w:rPr>
        <w:t>roup which comprises</w:t>
      </w:r>
      <w:r w:rsidR="00CD4348" w:rsidRPr="00A21D7D">
        <w:rPr>
          <w:rFonts w:cs="Arial"/>
        </w:rPr>
        <w:t xml:space="preserve"> six</w:t>
      </w:r>
      <w:r w:rsidR="0005274B" w:rsidRPr="00A21D7D">
        <w:rPr>
          <w:rFonts w:cs="Arial"/>
        </w:rPr>
        <w:t xml:space="preserve"> respected subject matter experts with knowledge and experience in the human rights arena.</w:t>
      </w:r>
      <w:r w:rsidR="00CD4348" w:rsidRPr="00A21D7D">
        <w:rPr>
          <w:rFonts w:cs="Arial"/>
        </w:rPr>
        <w:t xml:space="preserve"> The group will provide assistance and advice to </w:t>
      </w:r>
      <w:r>
        <w:rPr>
          <w:rFonts w:cs="Arial"/>
        </w:rPr>
        <w:t>the Commission</w:t>
      </w:r>
      <w:r w:rsidR="00CD4348" w:rsidRPr="00A21D7D">
        <w:rPr>
          <w:rFonts w:cs="Arial"/>
        </w:rPr>
        <w:t xml:space="preserve"> in relation to the performance of </w:t>
      </w:r>
      <w:r>
        <w:rPr>
          <w:rFonts w:cs="Arial"/>
        </w:rPr>
        <w:t>our</w:t>
      </w:r>
      <w:r w:rsidR="00CD4348" w:rsidRPr="00A21D7D">
        <w:rPr>
          <w:rFonts w:cs="Arial"/>
        </w:rPr>
        <w:t xml:space="preserve"> functions with particular reference to Aboriginal </w:t>
      </w:r>
      <w:r w:rsidR="00406AC5">
        <w:rPr>
          <w:rFonts w:cs="Arial"/>
        </w:rPr>
        <w:t xml:space="preserve">peoples </w:t>
      </w:r>
      <w:r w:rsidR="00CD4348" w:rsidRPr="00A21D7D">
        <w:rPr>
          <w:rFonts w:cs="Arial"/>
        </w:rPr>
        <w:t xml:space="preserve">and Torres Strait Islander peoples in Queensland. Members are: </w:t>
      </w:r>
    </w:p>
    <w:p w14:paraId="092E0033" w14:textId="3A17D11B" w:rsidR="00CD4348" w:rsidRPr="00A21D7D" w:rsidRDefault="00CD4348" w:rsidP="00227095">
      <w:pPr>
        <w:pStyle w:val="ListParagraph"/>
        <w:numPr>
          <w:ilvl w:val="0"/>
          <w:numId w:val="21"/>
        </w:numPr>
        <w:spacing w:line="240" w:lineRule="auto"/>
        <w:rPr>
          <w:rFonts w:cs="Arial"/>
        </w:rPr>
      </w:pPr>
      <w:r w:rsidRPr="00A21D7D">
        <w:rPr>
          <w:rFonts w:cs="Arial"/>
        </w:rPr>
        <w:t>Mick Gooda (chairperson)</w:t>
      </w:r>
      <w:r w:rsidR="00BB36AB">
        <w:rPr>
          <w:rFonts w:cs="Arial"/>
        </w:rPr>
        <w:t>;</w:t>
      </w:r>
    </w:p>
    <w:p w14:paraId="0EFDDD14" w14:textId="3EBDD426" w:rsidR="00CD4348" w:rsidRPr="00A21D7D" w:rsidRDefault="00CD4348" w:rsidP="00227095">
      <w:pPr>
        <w:pStyle w:val="ListParagraph"/>
        <w:numPr>
          <w:ilvl w:val="0"/>
          <w:numId w:val="21"/>
        </w:numPr>
        <w:spacing w:line="240" w:lineRule="auto"/>
        <w:rPr>
          <w:rFonts w:cs="Arial"/>
        </w:rPr>
      </w:pPr>
      <w:r w:rsidRPr="00A21D7D">
        <w:rPr>
          <w:rFonts w:cs="Arial"/>
        </w:rPr>
        <w:t>Sandra Creamer</w:t>
      </w:r>
      <w:r w:rsidR="00BB36AB">
        <w:rPr>
          <w:rFonts w:cs="Arial"/>
        </w:rPr>
        <w:t>;</w:t>
      </w:r>
    </w:p>
    <w:p w14:paraId="343CE7B1" w14:textId="13807965" w:rsidR="00CD4348" w:rsidRPr="00A21D7D" w:rsidRDefault="00CD4348" w:rsidP="00227095">
      <w:pPr>
        <w:pStyle w:val="ListParagraph"/>
        <w:numPr>
          <w:ilvl w:val="0"/>
          <w:numId w:val="21"/>
        </w:numPr>
        <w:spacing w:line="240" w:lineRule="auto"/>
        <w:rPr>
          <w:rFonts w:cs="Arial"/>
        </w:rPr>
      </w:pPr>
      <w:r w:rsidRPr="00A21D7D">
        <w:rPr>
          <w:rFonts w:cs="Arial"/>
        </w:rPr>
        <w:t>Vonda Malone</w:t>
      </w:r>
      <w:r w:rsidR="00BB36AB">
        <w:rPr>
          <w:rFonts w:cs="Arial"/>
        </w:rPr>
        <w:t>;</w:t>
      </w:r>
    </w:p>
    <w:p w14:paraId="5EC6018B" w14:textId="42BDC506" w:rsidR="00CD4348" w:rsidRPr="00A21D7D" w:rsidRDefault="00CD4348" w:rsidP="00227095">
      <w:pPr>
        <w:pStyle w:val="ListParagraph"/>
        <w:numPr>
          <w:ilvl w:val="0"/>
          <w:numId w:val="21"/>
        </w:numPr>
        <w:spacing w:line="240" w:lineRule="auto"/>
        <w:rPr>
          <w:rFonts w:cs="Arial"/>
        </w:rPr>
      </w:pPr>
      <w:r w:rsidRPr="00A21D7D">
        <w:rPr>
          <w:rFonts w:cs="Arial"/>
        </w:rPr>
        <w:t>Lane Brookes</w:t>
      </w:r>
      <w:r w:rsidR="00BB36AB">
        <w:rPr>
          <w:rFonts w:cs="Arial"/>
        </w:rPr>
        <w:t>;</w:t>
      </w:r>
    </w:p>
    <w:p w14:paraId="40C44BD0" w14:textId="053C4CE7" w:rsidR="00CD4348" w:rsidRPr="00A21D7D" w:rsidRDefault="00CD4348" w:rsidP="00227095">
      <w:pPr>
        <w:pStyle w:val="ListParagraph"/>
        <w:numPr>
          <w:ilvl w:val="0"/>
          <w:numId w:val="21"/>
        </w:numPr>
        <w:spacing w:line="240" w:lineRule="auto"/>
        <w:rPr>
          <w:rFonts w:cs="Arial"/>
        </w:rPr>
      </w:pPr>
      <w:r w:rsidRPr="00A21D7D">
        <w:rPr>
          <w:rFonts w:cs="Arial"/>
        </w:rPr>
        <w:t>Henrietta Marrie</w:t>
      </w:r>
      <w:r w:rsidR="00BB36AB">
        <w:rPr>
          <w:rFonts w:cs="Arial"/>
        </w:rPr>
        <w:t>;</w:t>
      </w:r>
    </w:p>
    <w:p w14:paraId="4D375082" w14:textId="79C81FA1" w:rsidR="00CD4348" w:rsidRDefault="00CD4348" w:rsidP="00227095">
      <w:pPr>
        <w:pStyle w:val="ListParagraph"/>
        <w:numPr>
          <w:ilvl w:val="0"/>
          <w:numId w:val="21"/>
        </w:numPr>
        <w:spacing w:line="240" w:lineRule="auto"/>
        <w:rPr>
          <w:rFonts w:cs="Arial"/>
        </w:rPr>
      </w:pPr>
      <w:r w:rsidRPr="00A21D7D">
        <w:rPr>
          <w:rFonts w:cs="Arial"/>
        </w:rPr>
        <w:t>Candice Hughes</w:t>
      </w:r>
      <w:r w:rsidR="00BB36AB">
        <w:rPr>
          <w:rFonts w:cs="Arial"/>
        </w:rPr>
        <w:t>.</w:t>
      </w:r>
    </w:p>
    <w:p w14:paraId="0D724AAB" w14:textId="77777777" w:rsidR="00536AE3" w:rsidRPr="00A21D7D" w:rsidRDefault="00536AE3" w:rsidP="00536AE3"/>
    <w:p w14:paraId="7ECCA10A" w14:textId="77777777" w:rsidR="00A72450" w:rsidRDefault="00A72450">
      <w:pPr>
        <w:ind w:right="0"/>
        <w:rPr>
          <w:rFonts w:eastAsiaTheme="majorEastAsia" w:cstheme="majorBidi"/>
          <w:color w:val="000000" w:themeColor="text1"/>
          <w:sz w:val="36"/>
          <w:szCs w:val="26"/>
        </w:rPr>
      </w:pPr>
      <w:bookmarkStart w:id="49" w:name="_Toc49508891"/>
      <w:r>
        <w:br w:type="page"/>
      </w:r>
    </w:p>
    <w:p w14:paraId="3CC63854" w14:textId="74947800" w:rsidR="006F5840" w:rsidRPr="00A21D7D" w:rsidRDefault="006F5840" w:rsidP="007D0F77">
      <w:pPr>
        <w:pStyle w:val="Heading2"/>
      </w:pPr>
      <w:r w:rsidRPr="00A21D7D">
        <w:lastRenderedPageBreak/>
        <w:t>Education</w:t>
      </w:r>
      <w:bookmarkEnd w:id="49"/>
      <w:r w:rsidRPr="00A21D7D">
        <w:t xml:space="preserve"> </w:t>
      </w:r>
    </w:p>
    <w:p w14:paraId="1B6BB1CE" w14:textId="29E2FAFD" w:rsidR="006F5840" w:rsidRPr="00A21D7D" w:rsidRDefault="00BB36AB">
      <w:pPr>
        <w:rPr>
          <w:rFonts w:cs="Arial"/>
          <w:i/>
        </w:rPr>
      </w:pPr>
      <w:r>
        <w:rPr>
          <w:rFonts w:cs="Arial"/>
        </w:rPr>
        <w:t>We d</w:t>
      </w:r>
      <w:r w:rsidR="00006E62" w:rsidRPr="00A21D7D">
        <w:rPr>
          <w:rFonts w:cs="Arial"/>
        </w:rPr>
        <w:t xml:space="preserve">eliver training courses to increase understanding and promote discussion of human rights, diversity, inclusion and related information. In 2019-20 new education products were launched to support the introduction of the Queensland </w:t>
      </w:r>
      <w:r w:rsidR="00FC6699" w:rsidRPr="00FC6699">
        <w:rPr>
          <w:rFonts w:cs="Arial"/>
          <w:i/>
        </w:rPr>
        <w:t>Human Rights Act 2019</w:t>
      </w:r>
      <w:r w:rsidR="00006E62" w:rsidRPr="00A21D7D">
        <w:rPr>
          <w:rFonts w:cs="Arial"/>
          <w:i/>
        </w:rPr>
        <w:t xml:space="preserve">. </w:t>
      </w:r>
    </w:p>
    <w:p w14:paraId="313A54B2" w14:textId="413C49DE" w:rsidR="00006E62" w:rsidRPr="00A21D7D" w:rsidRDefault="00BB36AB">
      <w:pPr>
        <w:rPr>
          <w:rFonts w:cs="Arial"/>
        </w:rPr>
      </w:pPr>
      <w:r>
        <w:rPr>
          <w:rFonts w:cs="Arial"/>
        </w:rPr>
        <w:t>Our t</w:t>
      </w:r>
      <w:r w:rsidR="00006E62" w:rsidRPr="00A21D7D">
        <w:rPr>
          <w:rFonts w:cs="Arial"/>
        </w:rPr>
        <w:t>raining is provided on a fee-for-service basis, with reduced rates offered to small community organisati</w:t>
      </w:r>
      <w:r w:rsidR="00A67399">
        <w:rPr>
          <w:rFonts w:cs="Arial"/>
        </w:rPr>
        <w:t>ons and groups that demonstrate</w:t>
      </w:r>
      <w:r w:rsidR="00006E62" w:rsidRPr="00A21D7D">
        <w:rPr>
          <w:rFonts w:cs="Arial"/>
        </w:rPr>
        <w:t xml:space="preserve"> limited capacity to pay. Training services are delivered primarily on client demand, with only intermittent email marketing undertaken. </w:t>
      </w:r>
    </w:p>
    <w:p w14:paraId="0D90F20C" w14:textId="66A0613E" w:rsidR="003833F2" w:rsidRPr="00A21D7D" w:rsidRDefault="00006E62" w:rsidP="007D0F77">
      <w:pPr>
        <w:pStyle w:val="Heading3"/>
      </w:pPr>
      <w:bookmarkStart w:id="50" w:name="_Toc49508892"/>
      <w:r w:rsidRPr="00A21D7D">
        <w:t xml:space="preserve">State-wide training </w:t>
      </w:r>
      <w:r w:rsidRPr="00A67399">
        <w:t>performance</w:t>
      </w:r>
      <w:bookmarkEnd w:id="50"/>
    </w:p>
    <w:p w14:paraId="0E76EEE3" w14:textId="77777777" w:rsidR="00510398" w:rsidRDefault="00006E62" w:rsidP="00006E62">
      <w:pPr>
        <w:rPr>
          <w:rFonts w:cs="Arial"/>
        </w:rPr>
      </w:pPr>
      <w:r w:rsidRPr="00A21D7D">
        <w:rPr>
          <w:rFonts w:cs="Arial"/>
        </w:rPr>
        <w:t xml:space="preserve">Training is provided by staff of all four </w:t>
      </w:r>
      <w:r w:rsidR="00BB36AB">
        <w:rPr>
          <w:rFonts w:cs="Arial"/>
        </w:rPr>
        <w:t>Commission</w:t>
      </w:r>
      <w:r w:rsidRPr="00A21D7D">
        <w:rPr>
          <w:rFonts w:cs="Arial"/>
        </w:rPr>
        <w:t xml:space="preserve"> offices in Brisbane, Rockhampton, Townsville and Cairns with each office servicing demand within their geographical region. </w:t>
      </w:r>
    </w:p>
    <w:p w14:paraId="5CB69C4C" w14:textId="77777777" w:rsidR="00510398" w:rsidRDefault="00006E62" w:rsidP="00510398">
      <w:pPr>
        <w:pStyle w:val="Keystatistics"/>
      </w:pPr>
      <w:r w:rsidRPr="00A21D7D">
        <w:t xml:space="preserve">Across the state in 2019-20 we delivered </w:t>
      </w:r>
      <w:r w:rsidRPr="00510398">
        <w:rPr>
          <w:sz w:val="36"/>
          <w:szCs w:val="36"/>
        </w:rPr>
        <w:t>376</w:t>
      </w:r>
      <w:r w:rsidRPr="00A21D7D">
        <w:t xml:space="preserve"> training sessions to approximately </w:t>
      </w:r>
      <w:r w:rsidRPr="00510398">
        <w:rPr>
          <w:sz w:val="36"/>
          <w:szCs w:val="36"/>
        </w:rPr>
        <w:t>6945</w:t>
      </w:r>
      <w:r w:rsidRPr="00A21D7D">
        <w:t xml:space="preserve"> people. </w:t>
      </w:r>
    </w:p>
    <w:p w14:paraId="31BF7AFD" w14:textId="1748BE3B" w:rsidR="00006E62" w:rsidRPr="00A21D7D" w:rsidRDefault="00006E62" w:rsidP="00006E62">
      <w:pPr>
        <w:rPr>
          <w:rFonts w:cs="Arial"/>
        </w:rPr>
      </w:pPr>
      <w:r w:rsidRPr="00A21D7D">
        <w:rPr>
          <w:rFonts w:cs="Arial"/>
        </w:rPr>
        <w:t xml:space="preserve">This was a significant increase on the previous year’s total of 277 sessions to </w:t>
      </w:r>
      <w:r w:rsidR="00F73685" w:rsidRPr="00A21D7D">
        <w:rPr>
          <w:rFonts w:cs="Arial"/>
        </w:rPr>
        <w:t xml:space="preserve">4480 participants. The increase can be primarily attributed to the delivery of education about the new </w:t>
      </w:r>
      <w:r w:rsidR="00FC6699" w:rsidRPr="00FC6699">
        <w:rPr>
          <w:rFonts w:cs="Arial"/>
          <w:i/>
        </w:rPr>
        <w:t>Human Rights Act 2019</w:t>
      </w:r>
      <w:r w:rsidR="00F73685" w:rsidRPr="00A21D7D">
        <w:rPr>
          <w:rFonts w:cs="Arial"/>
          <w:i/>
        </w:rPr>
        <w:t xml:space="preserve">. </w:t>
      </w:r>
      <w:r w:rsidR="00F73685" w:rsidRPr="00A21D7D">
        <w:rPr>
          <w:rFonts w:cs="Arial"/>
        </w:rPr>
        <w:t>The greatest increase in demand came from the public sector with almost double the amount of sessions being delivered compared to last year. Private and community sector training remained stable.</w:t>
      </w:r>
    </w:p>
    <w:p w14:paraId="50AFCBEF" w14:textId="365D1C35" w:rsidR="00F73685" w:rsidRPr="00A21D7D" w:rsidRDefault="00F73685" w:rsidP="00006E62">
      <w:pPr>
        <w:rPr>
          <w:rFonts w:cs="Arial"/>
        </w:rPr>
      </w:pPr>
      <w:r w:rsidRPr="00A21D7D">
        <w:rPr>
          <w:rFonts w:cs="Arial"/>
        </w:rPr>
        <w:t>O</w:t>
      </w:r>
      <w:r w:rsidR="00694F79">
        <w:rPr>
          <w:rFonts w:cs="Arial"/>
        </w:rPr>
        <w:t>ur o</w:t>
      </w:r>
      <w:r w:rsidRPr="00A21D7D">
        <w:rPr>
          <w:rFonts w:cs="Arial"/>
        </w:rPr>
        <w:t xml:space="preserve">verall training results are particularly notable as all face-to-face training was suspended from mid-March as a result of the COVID-19 pandemic. A weekly schedule of free webinars on the Anti-Discrimination Act and Human Rights Act replaced face-to-face training from April 2020 to ensure that all people in Queensland would continue to have access to information about their human rights and responsibilities during the pandemic. A total of 32 webinars were delivered up to 30 June 2020. </w:t>
      </w:r>
    </w:p>
    <w:p w14:paraId="0CA27168" w14:textId="553E2D15" w:rsidR="003833F2" w:rsidRPr="00FC6699" w:rsidRDefault="00967396" w:rsidP="003833F2">
      <w:pPr>
        <w:pStyle w:val="Caption"/>
        <w:rPr>
          <w:rFonts w:cs="Arial"/>
          <w:color w:val="auto"/>
          <w:szCs w:val="24"/>
        </w:rPr>
      </w:pPr>
      <w:r w:rsidRPr="00FC6699">
        <w:rPr>
          <w:rFonts w:cs="Arial"/>
          <w:color w:val="auto"/>
          <w:szCs w:val="24"/>
        </w:rPr>
        <w:t>Table 2</w:t>
      </w:r>
      <w:r w:rsidR="003833F2" w:rsidRPr="00FC6699">
        <w:rPr>
          <w:rFonts w:cs="Arial"/>
          <w:color w:val="auto"/>
          <w:szCs w:val="24"/>
        </w:rPr>
        <w:t>: Delivery of training by sector, by region</w:t>
      </w:r>
    </w:p>
    <w:tbl>
      <w:tblPr>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1E0" w:firstRow="1" w:lastRow="1" w:firstColumn="1" w:lastColumn="1" w:noHBand="0" w:noVBand="0"/>
      </w:tblPr>
      <w:tblGrid>
        <w:gridCol w:w="1583"/>
        <w:gridCol w:w="1389"/>
        <w:gridCol w:w="1276"/>
        <w:gridCol w:w="1276"/>
        <w:gridCol w:w="1275"/>
        <w:gridCol w:w="1276"/>
      </w:tblGrid>
      <w:tr w:rsidR="003833F2" w:rsidRPr="00A21D7D" w14:paraId="501B1F31" w14:textId="77777777" w:rsidTr="00354795">
        <w:trPr>
          <w:trHeight w:val="438"/>
        </w:trPr>
        <w:tc>
          <w:tcPr>
            <w:tcW w:w="1583" w:type="dxa"/>
          </w:tcPr>
          <w:p w14:paraId="4EE55B5A" w14:textId="77777777" w:rsidR="003833F2" w:rsidRPr="00A21D7D" w:rsidRDefault="003833F2" w:rsidP="00411815">
            <w:pPr>
              <w:pStyle w:val="TableTextHeading"/>
              <w:rPr>
                <w:lang w:eastAsia="en-AU"/>
              </w:rPr>
            </w:pPr>
          </w:p>
        </w:tc>
        <w:tc>
          <w:tcPr>
            <w:tcW w:w="1389" w:type="dxa"/>
          </w:tcPr>
          <w:p w14:paraId="4FEE6ADB" w14:textId="77777777" w:rsidR="003833F2" w:rsidRPr="00A21D7D" w:rsidRDefault="003833F2" w:rsidP="00411815">
            <w:pPr>
              <w:pStyle w:val="TableTextHeading"/>
              <w:rPr>
                <w:bCs/>
                <w:lang w:eastAsia="en-AU"/>
              </w:rPr>
            </w:pPr>
            <w:r w:rsidRPr="00A21D7D">
              <w:rPr>
                <w:bCs/>
                <w:lang w:eastAsia="en-AU"/>
              </w:rPr>
              <w:t>South-East</w:t>
            </w:r>
          </w:p>
        </w:tc>
        <w:tc>
          <w:tcPr>
            <w:tcW w:w="1276" w:type="dxa"/>
          </w:tcPr>
          <w:p w14:paraId="08862143" w14:textId="77777777" w:rsidR="003833F2" w:rsidRPr="00A21D7D" w:rsidRDefault="003833F2" w:rsidP="00411815">
            <w:pPr>
              <w:pStyle w:val="TableTextHeading"/>
              <w:rPr>
                <w:bCs/>
                <w:lang w:eastAsia="en-AU"/>
              </w:rPr>
            </w:pPr>
            <w:r w:rsidRPr="00A21D7D">
              <w:rPr>
                <w:bCs/>
                <w:lang w:eastAsia="en-AU"/>
              </w:rPr>
              <w:t>Central</w:t>
            </w:r>
          </w:p>
        </w:tc>
        <w:tc>
          <w:tcPr>
            <w:tcW w:w="1276" w:type="dxa"/>
          </w:tcPr>
          <w:p w14:paraId="1CB6C8AE" w14:textId="77777777" w:rsidR="003833F2" w:rsidRPr="00A21D7D" w:rsidRDefault="003833F2" w:rsidP="00411815">
            <w:pPr>
              <w:pStyle w:val="TableTextHeading"/>
              <w:rPr>
                <w:bCs/>
                <w:lang w:eastAsia="en-AU"/>
              </w:rPr>
            </w:pPr>
            <w:r w:rsidRPr="00A21D7D">
              <w:rPr>
                <w:bCs/>
                <w:lang w:eastAsia="en-AU"/>
              </w:rPr>
              <w:t>North</w:t>
            </w:r>
          </w:p>
        </w:tc>
        <w:tc>
          <w:tcPr>
            <w:tcW w:w="1275" w:type="dxa"/>
          </w:tcPr>
          <w:p w14:paraId="2B3D7DAD" w14:textId="77777777" w:rsidR="003833F2" w:rsidRPr="00A21D7D" w:rsidRDefault="003833F2" w:rsidP="00411815">
            <w:pPr>
              <w:pStyle w:val="TableTextHeading"/>
              <w:rPr>
                <w:bCs/>
                <w:lang w:eastAsia="en-AU"/>
              </w:rPr>
            </w:pPr>
            <w:r w:rsidRPr="00A21D7D">
              <w:rPr>
                <w:bCs/>
                <w:lang w:eastAsia="en-AU"/>
              </w:rPr>
              <w:t>Far North</w:t>
            </w:r>
          </w:p>
        </w:tc>
        <w:tc>
          <w:tcPr>
            <w:tcW w:w="1276" w:type="dxa"/>
          </w:tcPr>
          <w:p w14:paraId="710B0DBE" w14:textId="77777777" w:rsidR="003833F2" w:rsidRPr="00A21D7D" w:rsidRDefault="003833F2" w:rsidP="00411815">
            <w:pPr>
              <w:pStyle w:val="TableTextHeading"/>
              <w:rPr>
                <w:bCs/>
                <w:lang w:eastAsia="en-AU"/>
              </w:rPr>
            </w:pPr>
            <w:r w:rsidRPr="00A21D7D">
              <w:rPr>
                <w:bCs/>
                <w:lang w:eastAsia="en-AU"/>
              </w:rPr>
              <w:t>Total</w:t>
            </w:r>
          </w:p>
        </w:tc>
      </w:tr>
      <w:tr w:rsidR="003833F2" w:rsidRPr="00354795" w14:paraId="0F8E1304" w14:textId="77777777" w:rsidTr="00354795">
        <w:trPr>
          <w:trHeight w:val="690"/>
        </w:trPr>
        <w:tc>
          <w:tcPr>
            <w:tcW w:w="1583" w:type="dxa"/>
          </w:tcPr>
          <w:p w14:paraId="3B888DAB" w14:textId="77777777" w:rsidR="003833F2" w:rsidRPr="00354795" w:rsidRDefault="003833F2" w:rsidP="00411815">
            <w:pPr>
              <w:pStyle w:val="TableTextBody"/>
              <w:rPr>
                <w:lang w:eastAsia="en-AU"/>
              </w:rPr>
            </w:pPr>
            <w:r w:rsidRPr="00354795">
              <w:rPr>
                <w:lang w:eastAsia="en-AU"/>
              </w:rPr>
              <w:t>Private sector</w:t>
            </w:r>
          </w:p>
        </w:tc>
        <w:tc>
          <w:tcPr>
            <w:tcW w:w="1389" w:type="dxa"/>
          </w:tcPr>
          <w:p w14:paraId="00AF9E0F" w14:textId="77777777" w:rsidR="003833F2" w:rsidRPr="00354795" w:rsidRDefault="00E14819" w:rsidP="00411815">
            <w:pPr>
              <w:pStyle w:val="TableTextBody"/>
              <w:rPr>
                <w:lang w:eastAsia="en-AU"/>
              </w:rPr>
            </w:pPr>
            <w:r w:rsidRPr="00354795">
              <w:rPr>
                <w:lang w:eastAsia="en-AU"/>
              </w:rPr>
              <w:t>27</w:t>
            </w:r>
          </w:p>
        </w:tc>
        <w:tc>
          <w:tcPr>
            <w:tcW w:w="1276" w:type="dxa"/>
          </w:tcPr>
          <w:p w14:paraId="6C4F5D1E" w14:textId="77777777" w:rsidR="003833F2" w:rsidRPr="00354795" w:rsidRDefault="002D601E" w:rsidP="00411815">
            <w:pPr>
              <w:pStyle w:val="TableTextBody"/>
              <w:rPr>
                <w:lang w:eastAsia="en-AU"/>
              </w:rPr>
            </w:pPr>
            <w:r w:rsidRPr="00354795">
              <w:rPr>
                <w:lang w:eastAsia="en-AU"/>
              </w:rPr>
              <w:t>32</w:t>
            </w:r>
          </w:p>
        </w:tc>
        <w:tc>
          <w:tcPr>
            <w:tcW w:w="1276" w:type="dxa"/>
          </w:tcPr>
          <w:p w14:paraId="3BB44687" w14:textId="77777777" w:rsidR="003833F2" w:rsidRPr="00354795" w:rsidRDefault="0044050B" w:rsidP="00411815">
            <w:pPr>
              <w:pStyle w:val="TableTextBody"/>
              <w:rPr>
                <w:lang w:eastAsia="en-AU"/>
              </w:rPr>
            </w:pPr>
            <w:r w:rsidRPr="00354795">
              <w:rPr>
                <w:lang w:eastAsia="en-AU"/>
              </w:rPr>
              <w:t>33</w:t>
            </w:r>
          </w:p>
        </w:tc>
        <w:tc>
          <w:tcPr>
            <w:tcW w:w="1275" w:type="dxa"/>
          </w:tcPr>
          <w:p w14:paraId="0E028D60" w14:textId="77777777" w:rsidR="003833F2" w:rsidRPr="00354795" w:rsidRDefault="0044050B" w:rsidP="00411815">
            <w:pPr>
              <w:pStyle w:val="TableTextBody"/>
              <w:rPr>
                <w:lang w:eastAsia="en-AU"/>
              </w:rPr>
            </w:pPr>
            <w:r w:rsidRPr="00354795">
              <w:rPr>
                <w:lang w:eastAsia="en-AU"/>
              </w:rPr>
              <w:t>1</w:t>
            </w:r>
          </w:p>
        </w:tc>
        <w:tc>
          <w:tcPr>
            <w:tcW w:w="1276" w:type="dxa"/>
          </w:tcPr>
          <w:p w14:paraId="12F657AC" w14:textId="77777777" w:rsidR="003833F2" w:rsidRPr="00354795" w:rsidRDefault="00E14819" w:rsidP="00411815">
            <w:pPr>
              <w:pStyle w:val="TableTextBody"/>
              <w:rPr>
                <w:b/>
                <w:lang w:eastAsia="en-AU"/>
              </w:rPr>
            </w:pPr>
            <w:r w:rsidRPr="00354795">
              <w:rPr>
                <w:b/>
                <w:lang w:eastAsia="en-AU"/>
              </w:rPr>
              <w:t>93</w:t>
            </w:r>
          </w:p>
        </w:tc>
      </w:tr>
      <w:tr w:rsidR="003833F2" w:rsidRPr="00354795" w14:paraId="3A783FA9" w14:textId="77777777" w:rsidTr="00354795">
        <w:trPr>
          <w:trHeight w:val="397"/>
        </w:trPr>
        <w:tc>
          <w:tcPr>
            <w:tcW w:w="1583" w:type="dxa"/>
          </w:tcPr>
          <w:p w14:paraId="587C3666" w14:textId="77777777" w:rsidR="003833F2" w:rsidRPr="00354795" w:rsidRDefault="003833F2" w:rsidP="00411815">
            <w:pPr>
              <w:pStyle w:val="TableTextBody"/>
              <w:rPr>
                <w:lang w:eastAsia="en-AU"/>
              </w:rPr>
            </w:pPr>
            <w:r w:rsidRPr="00354795">
              <w:rPr>
                <w:lang w:eastAsia="en-AU"/>
              </w:rPr>
              <w:t>Public sector</w:t>
            </w:r>
          </w:p>
        </w:tc>
        <w:tc>
          <w:tcPr>
            <w:tcW w:w="1389" w:type="dxa"/>
          </w:tcPr>
          <w:p w14:paraId="303FDEDE" w14:textId="77777777" w:rsidR="003833F2" w:rsidRPr="00354795" w:rsidRDefault="00E14819" w:rsidP="00411815">
            <w:pPr>
              <w:pStyle w:val="TableTextBody"/>
              <w:rPr>
                <w:lang w:eastAsia="en-AU"/>
              </w:rPr>
            </w:pPr>
            <w:r w:rsidRPr="00354795">
              <w:rPr>
                <w:lang w:eastAsia="en-AU"/>
              </w:rPr>
              <w:t>120</w:t>
            </w:r>
          </w:p>
        </w:tc>
        <w:tc>
          <w:tcPr>
            <w:tcW w:w="1276" w:type="dxa"/>
          </w:tcPr>
          <w:p w14:paraId="1D55AF23" w14:textId="77777777" w:rsidR="003833F2" w:rsidRPr="00354795" w:rsidRDefault="0044050B" w:rsidP="00411815">
            <w:pPr>
              <w:pStyle w:val="TableTextBody"/>
              <w:rPr>
                <w:lang w:eastAsia="en-AU"/>
              </w:rPr>
            </w:pPr>
            <w:r w:rsidRPr="00354795">
              <w:rPr>
                <w:lang w:eastAsia="en-AU"/>
              </w:rPr>
              <w:t>16</w:t>
            </w:r>
          </w:p>
        </w:tc>
        <w:tc>
          <w:tcPr>
            <w:tcW w:w="1276" w:type="dxa"/>
          </w:tcPr>
          <w:p w14:paraId="7B2C85F0" w14:textId="77777777" w:rsidR="003833F2" w:rsidRPr="00354795" w:rsidRDefault="0044050B" w:rsidP="00411815">
            <w:pPr>
              <w:pStyle w:val="TableTextBody"/>
              <w:rPr>
                <w:lang w:eastAsia="en-AU"/>
              </w:rPr>
            </w:pPr>
            <w:r w:rsidRPr="00354795">
              <w:rPr>
                <w:lang w:eastAsia="en-AU"/>
              </w:rPr>
              <w:t>12</w:t>
            </w:r>
          </w:p>
        </w:tc>
        <w:tc>
          <w:tcPr>
            <w:tcW w:w="1275" w:type="dxa"/>
          </w:tcPr>
          <w:p w14:paraId="761B392D" w14:textId="77777777" w:rsidR="003833F2" w:rsidRPr="00354795" w:rsidRDefault="0044050B" w:rsidP="00411815">
            <w:pPr>
              <w:pStyle w:val="TableTextBody"/>
              <w:rPr>
                <w:lang w:eastAsia="en-AU"/>
              </w:rPr>
            </w:pPr>
            <w:r w:rsidRPr="00354795">
              <w:rPr>
                <w:lang w:eastAsia="en-AU"/>
              </w:rPr>
              <w:t>15</w:t>
            </w:r>
          </w:p>
        </w:tc>
        <w:tc>
          <w:tcPr>
            <w:tcW w:w="1276" w:type="dxa"/>
          </w:tcPr>
          <w:p w14:paraId="0D6D7042" w14:textId="77777777" w:rsidR="003833F2" w:rsidRPr="00354795" w:rsidRDefault="00E14819" w:rsidP="00411815">
            <w:pPr>
              <w:pStyle w:val="TableTextBody"/>
              <w:rPr>
                <w:b/>
                <w:lang w:eastAsia="en-AU"/>
              </w:rPr>
            </w:pPr>
            <w:r w:rsidRPr="00354795">
              <w:rPr>
                <w:b/>
                <w:lang w:eastAsia="en-AU"/>
              </w:rPr>
              <w:t>163</w:t>
            </w:r>
          </w:p>
        </w:tc>
      </w:tr>
      <w:tr w:rsidR="003833F2" w:rsidRPr="00354795" w14:paraId="01C2FFF7" w14:textId="77777777" w:rsidTr="00354795">
        <w:trPr>
          <w:trHeight w:val="397"/>
        </w:trPr>
        <w:tc>
          <w:tcPr>
            <w:tcW w:w="1583" w:type="dxa"/>
          </w:tcPr>
          <w:p w14:paraId="322F0C43" w14:textId="77777777" w:rsidR="003833F2" w:rsidRPr="00354795" w:rsidRDefault="003833F2" w:rsidP="00411815">
            <w:pPr>
              <w:pStyle w:val="TableTextBody"/>
              <w:rPr>
                <w:lang w:eastAsia="en-AU"/>
              </w:rPr>
            </w:pPr>
            <w:r w:rsidRPr="00354795">
              <w:rPr>
                <w:lang w:eastAsia="en-AU"/>
              </w:rPr>
              <w:t>Community</w:t>
            </w:r>
          </w:p>
        </w:tc>
        <w:tc>
          <w:tcPr>
            <w:tcW w:w="1389" w:type="dxa"/>
          </w:tcPr>
          <w:p w14:paraId="51F64652" w14:textId="67216831" w:rsidR="003833F2" w:rsidRPr="00354795" w:rsidRDefault="0044050B" w:rsidP="00411815">
            <w:pPr>
              <w:pStyle w:val="TableTextBody"/>
              <w:rPr>
                <w:lang w:eastAsia="en-AU"/>
              </w:rPr>
            </w:pPr>
            <w:r w:rsidRPr="00354795">
              <w:rPr>
                <w:lang w:eastAsia="en-AU"/>
              </w:rPr>
              <w:t>37</w:t>
            </w:r>
            <w:r w:rsidR="00B10E8B" w:rsidRPr="00354795">
              <w:rPr>
                <w:lang w:eastAsia="en-AU"/>
              </w:rPr>
              <w:t xml:space="preserve"> </w:t>
            </w:r>
          </w:p>
        </w:tc>
        <w:tc>
          <w:tcPr>
            <w:tcW w:w="1276" w:type="dxa"/>
          </w:tcPr>
          <w:p w14:paraId="6FF4ABC7" w14:textId="77777777" w:rsidR="003833F2" w:rsidRPr="00354795" w:rsidRDefault="0044050B" w:rsidP="00411815">
            <w:pPr>
              <w:pStyle w:val="TableTextBody"/>
              <w:rPr>
                <w:lang w:eastAsia="en-AU"/>
              </w:rPr>
            </w:pPr>
            <w:r w:rsidRPr="00354795">
              <w:rPr>
                <w:lang w:eastAsia="en-AU"/>
              </w:rPr>
              <w:t>3</w:t>
            </w:r>
          </w:p>
        </w:tc>
        <w:tc>
          <w:tcPr>
            <w:tcW w:w="1276" w:type="dxa"/>
          </w:tcPr>
          <w:p w14:paraId="186ED207" w14:textId="77777777" w:rsidR="003833F2" w:rsidRPr="00354795" w:rsidRDefault="0044050B" w:rsidP="00411815">
            <w:pPr>
              <w:pStyle w:val="TableTextBody"/>
              <w:rPr>
                <w:lang w:eastAsia="en-AU"/>
              </w:rPr>
            </w:pPr>
            <w:r w:rsidRPr="00354795">
              <w:rPr>
                <w:lang w:eastAsia="en-AU"/>
              </w:rPr>
              <w:t>2</w:t>
            </w:r>
          </w:p>
        </w:tc>
        <w:tc>
          <w:tcPr>
            <w:tcW w:w="1275" w:type="dxa"/>
          </w:tcPr>
          <w:p w14:paraId="6E7C1D33" w14:textId="77777777" w:rsidR="003833F2" w:rsidRPr="00354795" w:rsidRDefault="0044050B" w:rsidP="00411815">
            <w:pPr>
              <w:pStyle w:val="TableTextBody"/>
              <w:rPr>
                <w:lang w:eastAsia="en-AU"/>
              </w:rPr>
            </w:pPr>
            <w:r w:rsidRPr="00354795">
              <w:rPr>
                <w:lang w:eastAsia="en-AU"/>
              </w:rPr>
              <w:t>9</w:t>
            </w:r>
          </w:p>
        </w:tc>
        <w:tc>
          <w:tcPr>
            <w:tcW w:w="1276" w:type="dxa"/>
          </w:tcPr>
          <w:p w14:paraId="2A791262" w14:textId="77777777" w:rsidR="003833F2" w:rsidRPr="00354795" w:rsidRDefault="0044050B" w:rsidP="00411815">
            <w:pPr>
              <w:pStyle w:val="TableTextBody"/>
              <w:rPr>
                <w:b/>
                <w:lang w:eastAsia="en-AU"/>
              </w:rPr>
            </w:pPr>
            <w:r w:rsidRPr="00354795">
              <w:rPr>
                <w:b/>
                <w:lang w:eastAsia="en-AU"/>
              </w:rPr>
              <w:t>51</w:t>
            </w:r>
          </w:p>
        </w:tc>
      </w:tr>
      <w:tr w:rsidR="006D4E6D" w:rsidRPr="00354795" w14:paraId="3DB39B27" w14:textId="77777777" w:rsidTr="00354795">
        <w:trPr>
          <w:trHeight w:val="397"/>
        </w:trPr>
        <w:tc>
          <w:tcPr>
            <w:tcW w:w="1583" w:type="dxa"/>
          </w:tcPr>
          <w:p w14:paraId="30E24959" w14:textId="77777777" w:rsidR="006D4E6D" w:rsidRPr="00354795" w:rsidRDefault="006D4E6D" w:rsidP="00411815">
            <w:pPr>
              <w:pStyle w:val="TableTextBody"/>
              <w:rPr>
                <w:lang w:eastAsia="en-AU"/>
              </w:rPr>
            </w:pPr>
          </w:p>
        </w:tc>
        <w:tc>
          <w:tcPr>
            <w:tcW w:w="1389" w:type="dxa"/>
          </w:tcPr>
          <w:p w14:paraId="7424B206" w14:textId="77777777" w:rsidR="006D4E6D" w:rsidRPr="00354795" w:rsidRDefault="006D4E6D" w:rsidP="00411815">
            <w:pPr>
              <w:pStyle w:val="TableTextBody"/>
              <w:rPr>
                <w:lang w:eastAsia="en-AU"/>
              </w:rPr>
            </w:pPr>
          </w:p>
        </w:tc>
        <w:tc>
          <w:tcPr>
            <w:tcW w:w="1276" w:type="dxa"/>
          </w:tcPr>
          <w:p w14:paraId="3ECE8717" w14:textId="77777777" w:rsidR="006D4E6D" w:rsidRPr="00354795" w:rsidRDefault="006D4E6D" w:rsidP="00411815">
            <w:pPr>
              <w:pStyle w:val="TableTextBody"/>
              <w:rPr>
                <w:lang w:eastAsia="en-AU"/>
              </w:rPr>
            </w:pPr>
          </w:p>
        </w:tc>
        <w:tc>
          <w:tcPr>
            <w:tcW w:w="1276" w:type="dxa"/>
          </w:tcPr>
          <w:p w14:paraId="14216163" w14:textId="77777777" w:rsidR="006D4E6D" w:rsidRPr="00354795" w:rsidRDefault="006D4E6D" w:rsidP="00411815">
            <w:pPr>
              <w:pStyle w:val="TableTextBody"/>
              <w:rPr>
                <w:lang w:eastAsia="en-AU"/>
              </w:rPr>
            </w:pPr>
          </w:p>
        </w:tc>
        <w:tc>
          <w:tcPr>
            <w:tcW w:w="1275" w:type="dxa"/>
          </w:tcPr>
          <w:p w14:paraId="5FA1D93F" w14:textId="77777777" w:rsidR="006D4E6D" w:rsidRPr="00354795" w:rsidRDefault="006D4E6D" w:rsidP="00411815">
            <w:pPr>
              <w:pStyle w:val="TableTextBody"/>
              <w:rPr>
                <w:lang w:eastAsia="en-AU"/>
              </w:rPr>
            </w:pPr>
          </w:p>
        </w:tc>
        <w:tc>
          <w:tcPr>
            <w:tcW w:w="1276" w:type="dxa"/>
          </w:tcPr>
          <w:p w14:paraId="5F182E43" w14:textId="77777777" w:rsidR="006D4E6D" w:rsidRPr="00354795" w:rsidRDefault="006D4E6D" w:rsidP="00411815">
            <w:pPr>
              <w:pStyle w:val="TableTextBody"/>
              <w:rPr>
                <w:b/>
                <w:lang w:eastAsia="en-AU"/>
              </w:rPr>
            </w:pPr>
          </w:p>
        </w:tc>
      </w:tr>
      <w:tr w:rsidR="003833F2" w:rsidRPr="00354795" w14:paraId="1B0BCD2F" w14:textId="77777777" w:rsidTr="00354795">
        <w:trPr>
          <w:trHeight w:val="397"/>
        </w:trPr>
        <w:tc>
          <w:tcPr>
            <w:tcW w:w="1583" w:type="dxa"/>
          </w:tcPr>
          <w:p w14:paraId="2E5406B4" w14:textId="77777777" w:rsidR="003833F2" w:rsidRPr="00354795" w:rsidRDefault="003833F2" w:rsidP="00411815">
            <w:pPr>
              <w:pStyle w:val="TableTextBody"/>
              <w:rPr>
                <w:lang w:eastAsia="en-AU"/>
              </w:rPr>
            </w:pPr>
            <w:r w:rsidRPr="00354795">
              <w:rPr>
                <w:lang w:eastAsia="en-AU"/>
              </w:rPr>
              <w:t>In-house</w:t>
            </w:r>
          </w:p>
        </w:tc>
        <w:tc>
          <w:tcPr>
            <w:tcW w:w="1389" w:type="dxa"/>
          </w:tcPr>
          <w:p w14:paraId="6891F191" w14:textId="77777777" w:rsidR="003833F2" w:rsidRPr="00354795" w:rsidRDefault="009C5A2F" w:rsidP="00411815">
            <w:pPr>
              <w:pStyle w:val="TableTextBody"/>
              <w:rPr>
                <w:lang w:eastAsia="en-AU"/>
              </w:rPr>
            </w:pPr>
            <w:r w:rsidRPr="00354795">
              <w:rPr>
                <w:lang w:eastAsia="en-AU"/>
              </w:rPr>
              <w:t>19</w:t>
            </w:r>
          </w:p>
        </w:tc>
        <w:tc>
          <w:tcPr>
            <w:tcW w:w="1276" w:type="dxa"/>
          </w:tcPr>
          <w:p w14:paraId="41ED4122" w14:textId="77777777" w:rsidR="003833F2" w:rsidRPr="00354795" w:rsidRDefault="00577457" w:rsidP="00411815">
            <w:pPr>
              <w:pStyle w:val="TableTextBody"/>
              <w:rPr>
                <w:lang w:eastAsia="en-AU"/>
              </w:rPr>
            </w:pPr>
            <w:r w:rsidRPr="00354795">
              <w:rPr>
                <w:lang w:eastAsia="en-AU"/>
              </w:rPr>
              <w:t>8</w:t>
            </w:r>
          </w:p>
        </w:tc>
        <w:tc>
          <w:tcPr>
            <w:tcW w:w="1276" w:type="dxa"/>
          </w:tcPr>
          <w:p w14:paraId="45E8A00D" w14:textId="77777777" w:rsidR="003833F2" w:rsidRPr="00354795" w:rsidRDefault="009C5A2F" w:rsidP="00411815">
            <w:pPr>
              <w:pStyle w:val="TableTextBody"/>
              <w:rPr>
                <w:lang w:eastAsia="en-AU"/>
              </w:rPr>
            </w:pPr>
            <w:r w:rsidRPr="00354795">
              <w:rPr>
                <w:lang w:eastAsia="en-AU"/>
              </w:rPr>
              <w:t>6</w:t>
            </w:r>
          </w:p>
        </w:tc>
        <w:tc>
          <w:tcPr>
            <w:tcW w:w="1275" w:type="dxa"/>
          </w:tcPr>
          <w:p w14:paraId="0850DF61" w14:textId="77777777" w:rsidR="003833F2" w:rsidRPr="00354795" w:rsidRDefault="009C5A2F" w:rsidP="00411815">
            <w:pPr>
              <w:pStyle w:val="TableTextBody"/>
              <w:rPr>
                <w:lang w:eastAsia="en-AU"/>
              </w:rPr>
            </w:pPr>
            <w:r w:rsidRPr="00354795">
              <w:rPr>
                <w:lang w:eastAsia="en-AU"/>
              </w:rPr>
              <w:t>4</w:t>
            </w:r>
          </w:p>
        </w:tc>
        <w:tc>
          <w:tcPr>
            <w:tcW w:w="1276" w:type="dxa"/>
          </w:tcPr>
          <w:p w14:paraId="219638BF" w14:textId="77777777" w:rsidR="003833F2" w:rsidRPr="00354795" w:rsidRDefault="004D6E0B" w:rsidP="00411815">
            <w:pPr>
              <w:pStyle w:val="TableTextBody"/>
              <w:rPr>
                <w:b/>
                <w:lang w:eastAsia="en-AU"/>
              </w:rPr>
            </w:pPr>
            <w:r w:rsidRPr="00354795">
              <w:rPr>
                <w:b/>
                <w:lang w:eastAsia="en-AU"/>
              </w:rPr>
              <w:t>37</w:t>
            </w:r>
          </w:p>
        </w:tc>
      </w:tr>
      <w:tr w:rsidR="00B150E2" w:rsidRPr="00354795" w14:paraId="492AC351" w14:textId="77777777" w:rsidTr="00354795">
        <w:trPr>
          <w:trHeight w:val="397"/>
        </w:trPr>
        <w:tc>
          <w:tcPr>
            <w:tcW w:w="1583" w:type="dxa"/>
          </w:tcPr>
          <w:p w14:paraId="2ECB36BA" w14:textId="77777777" w:rsidR="00B150E2" w:rsidRPr="00354795" w:rsidRDefault="00B150E2" w:rsidP="00411815">
            <w:pPr>
              <w:pStyle w:val="TableTextBody"/>
              <w:rPr>
                <w:lang w:eastAsia="en-AU"/>
              </w:rPr>
            </w:pPr>
            <w:r w:rsidRPr="00354795">
              <w:rPr>
                <w:lang w:eastAsia="en-AU"/>
              </w:rPr>
              <w:t>Webinar</w:t>
            </w:r>
          </w:p>
        </w:tc>
        <w:tc>
          <w:tcPr>
            <w:tcW w:w="1389" w:type="dxa"/>
          </w:tcPr>
          <w:p w14:paraId="44FF4F51" w14:textId="77777777" w:rsidR="00B150E2" w:rsidRPr="00354795" w:rsidRDefault="009C5A2F" w:rsidP="00411815">
            <w:pPr>
              <w:pStyle w:val="TableTextBody"/>
              <w:rPr>
                <w:lang w:eastAsia="en-AU"/>
              </w:rPr>
            </w:pPr>
            <w:r w:rsidRPr="00354795">
              <w:rPr>
                <w:lang w:eastAsia="en-AU"/>
              </w:rPr>
              <w:t>26</w:t>
            </w:r>
          </w:p>
        </w:tc>
        <w:tc>
          <w:tcPr>
            <w:tcW w:w="1276" w:type="dxa"/>
          </w:tcPr>
          <w:p w14:paraId="1192B6C9" w14:textId="77777777" w:rsidR="00B150E2" w:rsidRPr="00354795" w:rsidRDefault="0011796A" w:rsidP="00411815">
            <w:pPr>
              <w:pStyle w:val="TableTextBody"/>
              <w:rPr>
                <w:lang w:eastAsia="en-AU"/>
              </w:rPr>
            </w:pPr>
            <w:r w:rsidRPr="00354795">
              <w:rPr>
                <w:lang w:eastAsia="en-AU"/>
              </w:rPr>
              <w:t>5</w:t>
            </w:r>
          </w:p>
        </w:tc>
        <w:tc>
          <w:tcPr>
            <w:tcW w:w="1276" w:type="dxa"/>
          </w:tcPr>
          <w:p w14:paraId="447B0720" w14:textId="77777777" w:rsidR="00B150E2" w:rsidRPr="00354795" w:rsidRDefault="0011796A" w:rsidP="00411815">
            <w:pPr>
              <w:pStyle w:val="TableTextBody"/>
              <w:rPr>
                <w:lang w:eastAsia="en-AU"/>
              </w:rPr>
            </w:pPr>
            <w:r w:rsidRPr="00354795">
              <w:rPr>
                <w:lang w:eastAsia="en-AU"/>
              </w:rPr>
              <w:t>1</w:t>
            </w:r>
          </w:p>
        </w:tc>
        <w:tc>
          <w:tcPr>
            <w:tcW w:w="1275" w:type="dxa"/>
          </w:tcPr>
          <w:p w14:paraId="3ECD22C1" w14:textId="29DCB73C" w:rsidR="00B150E2" w:rsidRPr="00354795" w:rsidRDefault="00573397" w:rsidP="00411815">
            <w:pPr>
              <w:pStyle w:val="TableTextBody"/>
              <w:rPr>
                <w:lang w:eastAsia="en-AU"/>
              </w:rPr>
            </w:pPr>
            <w:r w:rsidRPr="00A244E6">
              <w:rPr>
                <w:rFonts w:eastAsia="Times New Roman"/>
                <w:lang w:eastAsia="en-AU"/>
              </w:rPr>
              <w:t>—</w:t>
            </w:r>
          </w:p>
        </w:tc>
        <w:tc>
          <w:tcPr>
            <w:tcW w:w="1276" w:type="dxa"/>
          </w:tcPr>
          <w:p w14:paraId="5EBB0E91" w14:textId="77777777" w:rsidR="00B150E2" w:rsidRPr="00354795" w:rsidRDefault="004D6E0B" w:rsidP="00411815">
            <w:pPr>
              <w:pStyle w:val="TableTextBody"/>
              <w:rPr>
                <w:b/>
                <w:lang w:eastAsia="en-AU"/>
              </w:rPr>
            </w:pPr>
            <w:r w:rsidRPr="00354795">
              <w:rPr>
                <w:b/>
                <w:lang w:eastAsia="en-AU"/>
              </w:rPr>
              <w:t>32</w:t>
            </w:r>
          </w:p>
        </w:tc>
      </w:tr>
      <w:tr w:rsidR="003833F2" w:rsidRPr="00354795" w14:paraId="78537BC7" w14:textId="77777777" w:rsidTr="00354795">
        <w:trPr>
          <w:trHeight w:val="397"/>
        </w:trPr>
        <w:tc>
          <w:tcPr>
            <w:tcW w:w="1583" w:type="dxa"/>
          </w:tcPr>
          <w:p w14:paraId="0893D0D2" w14:textId="77777777" w:rsidR="003833F2" w:rsidRPr="00354795" w:rsidRDefault="003833F2" w:rsidP="00411815">
            <w:pPr>
              <w:pStyle w:val="TableTextBody"/>
              <w:rPr>
                <w:b/>
                <w:lang w:eastAsia="en-AU"/>
              </w:rPr>
            </w:pPr>
            <w:r w:rsidRPr="00354795">
              <w:rPr>
                <w:b/>
                <w:lang w:eastAsia="en-AU"/>
              </w:rPr>
              <w:t>Total</w:t>
            </w:r>
          </w:p>
        </w:tc>
        <w:tc>
          <w:tcPr>
            <w:tcW w:w="1389" w:type="dxa"/>
          </w:tcPr>
          <w:p w14:paraId="29BECC53" w14:textId="77777777" w:rsidR="003833F2" w:rsidRPr="00354795" w:rsidRDefault="00E14819" w:rsidP="00411815">
            <w:pPr>
              <w:pStyle w:val="TableTextBody"/>
              <w:rPr>
                <w:b/>
                <w:lang w:eastAsia="en-AU"/>
              </w:rPr>
            </w:pPr>
            <w:r w:rsidRPr="00354795">
              <w:rPr>
                <w:b/>
                <w:lang w:eastAsia="en-AU"/>
              </w:rPr>
              <w:t>229</w:t>
            </w:r>
          </w:p>
        </w:tc>
        <w:tc>
          <w:tcPr>
            <w:tcW w:w="1276" w:type="dxa"/>
          </w:tcPr>
          <w:p w14:paraId="17B1634C" w14:textId="77777777" w:rsidR="003833F2" w:rsidRPr="00354795" w:rsidRDefault="00FB6073" w:rsidP="00411815">
            <w:pPr>
              <w:pStyle w:val="TableTextBody"/>
              <w:rPr>
                <w:b/>
                <w:lang w:eastAsia="en-AU"/>
              </w:rPr>
            </w:pPr>
            <w:r w:rsidRPr="00354795">
              <w:rPr>
                <w:b/>
                <w:lang w:eastAsia="en-AU"/>
              </w:rPr>
              <w:t>64</w:t>
            </w:r>
          </w:p>
        </w:tc>
        <w:tc>
          <w:tcPr>
            <w:tcW w:w="1276" w:type="dxa"/>
          </w:tcPr>
          <w:p w14:paraId="0B3B179B" w14:textId="77777777" w:rsidR="003833F2" w:rsidRPr="00354795" w:rsidRDefault="00E14819" w:rsidP="00411815">
            <w:pPr>
              <w:pStyle w:val="TableTextBody"/>
              <w:rPr>
                <w:b/>
                <w:lang w:eastAsia="en-AU"/>
              </w:rPr>
            </w:pPr>
            <w:r w:rsidRPr="00354795">
              <w:rPr>
                <w:b/>
                <w:lang w:eastAsia="en-AU"/>
              </w:rPr>
              <w:t>54</w:t>
            </w:r>
          </w:p>
        </w:tc>
        <w:tc>
          <w:tcPr>
            <w:tcW w:w="1275" w:type="dxa"/>
          </w:tcPr>
          <w:p w14:paraId="7505433D" w14:textId="77777777" w:rsidR="003833F2" w:rsidRPr="00354795" w:rsidRDefault="00E14819" w:rsidP="00411815">
            <w:pPr>
              <w:pStyle w:val="TableTextBody"/>
              <w:rPr>
                <w:b/>
                <w:lang w:eastAsia="en-AU"/>
              </w:rPr>
            </w:pPr>
            <w:r w:rsidRPr="00354795">
              <w:rPr>
                <w:b/>
                <w:lang w:eastAsia="en-AU"/>
              </w:rPr>
              <w:t>29</w:t>
            </w:r>
          </w:p>
        </w:tc>
        <w:tc>
          <w:tcPr>
            <w:tcW w:w="1276" w:type="dxa"/>
          </w:tcPr>
          <w:p w14:paraId="65F16242" w14:textId="77777777" w:rsidR="003833F2" w:rsidRPr="00354795" w:rsidRDefault="002D601E" w:rsidP="00411815">
            <w:pPr>
              <w:pStyle w:val="TableTextBody"/>
              <w:rPr>
                <w:b/>
                <w:lang w:eastAsia="en-AU"/>
              </w:rPr>
            </w:pPr>
            <w:r w:rsidRPr="00354795">
              <w:rPr>
                <w:b/>
                <w:lang w:eastAsia="en-AU"/>
              </w:rPr>
              <w:t>37</w:t>
            </w:r>
            <w:r w:rsidR="00E14819" w:rsidRPr="00354795">
              <w:rPr>
                <w:b/>
                <w:lang w:eastAsia="en-AU"/>
              </w:rPr>
              <w:t>6</w:t>
            </w:r>
          </w:p>
        </w:tc>
      </w:tr>
    </w:tbl>
    <w:p w14:paraId="36982031" w14:textId="77777777" w:rsidR="00536AE3" w:rsidRDefault="00536AE3" w:rsidP="00536AE3"/>
    <w:p w14:paraId="544EEF04" w14:textId="7C4D252D" w:rsidR="00510398" w:rsidRDefault="00F73685" w:rsidP="00536AE3">
      <w:pPr>
        <w:pStyle w:val="Keystatistics"/>
      </w:pPr>
      <w:r w:rsidRPr="00354795">
        <w:lastRenderedPageBreak/>
        <w:t xml:space="preserve">The new Introduction to the Human </w:t>
      </w:r>
      <w:r w:rsidR="00694F79" w:rsidRPr="00354795">
        <w:t>Rights Act training module was our</w:t>
      </w:r>
      <w:r w:rsidRPr="00354795">
        <w:t xml:space="preserve"> most popular offering in 2019-20 with </w:t>
      </w:r>
      <w:r w:rsidRPr="00510398">
        <w:rPr>
          <w:sz w:val="36"/>
          <w:szCs w:val="36"/>
        </w:rPr>
        <w:t>128</w:t>
      </w:r>
      <w:r w:rsidRPr="00354795">
        <w:t xml:space="preserve"> face-to-face sessions being delivered. </w:t>
      </w:r>
    </w:p>
    <w:p w14:paraId="2CB83D41" w14:textId="39001C6A" w:rsidR="00F73685" w:rsidRPr="00354795" w:rsidRDefault="00F73685" w:rsidP="00C35867">
      <w:pPr>
        <w:rPr>
          <w:rFonts w:cs="Arial"/>
        </w:rPr>
      </w:pPr>
      <w:r w:rsidRPr="00354795">
        <w:rPr>
          <w:rFonts w:cs="Arial"/>
        </w:rPr>
        <w:t xml:space="preserve">A shorter version of this product was </w:t>
      </w:r>
      <w:r w:rsidR="00C35867" w:rsidRPr="00354795">
        <w:rPr>
          <w:rFonts w:cs="Arial"/>
        </w:rPr>
        <w:t>made available</w:t>
      </w:r>
      <w:r w:rsidRPr="00354795">
        <w:rPr>
          <w:rFonts w:cs="Arial"/>
        </w:rPr>
        <w:t xml:space="preserve"> via webinar</w:t>
      </w:r>
      <w:r w:rsidR="00C35867" w:rsidRPr="00354795">
        <w:rPr>
          <w:rFonts w:cs="Arial"/>
        </w:rPr>
        <w:t xml:space="preserve"> between April and June with 13 sessions being delivered. Strong demand continued for training on the Anti-Discrimination Act, with 91 face-to-face sessions of the introductory module, 13 webinars and 28 managers</w:t>
      </w:r>
      <w:r w:rsidR="00B36701" w:rsidRPr="00354795">
        <w:rPr>
          <w:rFonts w:cs="Arial"/>
        </w:rPr>
        <w:t>’</w:t>
      </w:r>
      <w:r w:rsidR="00C35867" w:rsidRPr="00354795">
        <w:rPr>
          <w:rFonts w:cs="Arial"/>
        </w:rPr>
        <w:t xml:space="preserve"> sessions being delivered. Unconscious bias training was also favoured, with 53 sessions being delivered, consistent with the previous year’s total of 52 sessions. </w:t>
      </w:r>
    </w:p>
    <w:p w14:paraId="350F58A4" w14:textId="4FA718D2" w:rsidR="003833F2" w:rsidRPr="00354795" w:rsidRDefault="003833F2" w:rsidP="00536AE3">
      <w:pPr>
        <w:pStyle w:val="Caption"/>
      </w:pPr>
      <w:r w:rsidRPr="00354795">
        <w:t xml:space="preserve">Table </w:t>
      </w:r>
      <w:r w:rsidR="00967396" w:rsidRPr="00354795">
        <w:t>3</w:t>
      </w:r>
      <w:r w:rsidRPr="00354795">
        <w:t>: Types of training sessions</w:t>
      </w:r>
    </w:p>
    <w:tbl>
      <w:tblPr>
        <w:tblW w:w="821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1E0" w:firstRow="1" w:lastRow="1" w:firstColumn="1" w:lastColumn="1" w:noHBand="0" w:noVBand="0"/>
      </w:tblPr>
      <w:tblGrid>
        <w:gridCol w:w="2830"/>
        <w:gridCol w:w="1276"/>
        <w:gridCol w:w="1134"/>
        <w:gridCol w:w="1134"/>
        <w:gridCol w:w="1134"/>
        <w:gridCol w:w="709"/>
      </w:tblGrid>
      <w:tr w:rsidR="003833F2" w:rsidRPr="00354795" w14:paraId="573475A9" w14:textId="77777777" w:rsidTr="00354795">
        <w:trPr>
          <w:trHeight w:val="497"/>
        </w:trPr>
        <w:tc>
          <w:tcPr>
            <w:tcW w:w="2830" w:type="dxa"/>
          </w:tcPr>
          <w:p w14:paraId="28C85BC1" w14:textId="77777777" w:rsidR="003833F2" w:rsidRPr="00354795" w:rsidRDefault="003833F2" w:rsidP="00411815">
            <w:pPr>
              <w:pStyle w:val="TableTextHeading"/>
              <w:rPr>
                <w:lang w:eastAsia="en-AU"/>
              </w:rPr>
            </w:pPr>
            <w:r w:rsidRPr="00354795">
              <w:rPr>
                <w:lang w:eastAsia="en-AU"/>
              </w:rPr>
              <w:t>Course</w:t>
            </w:r>
          </w:p>
        </w:tc>
        <w:tc>
          <w:tcPr>
            <w:tcW w:w="1276" w:type="dxa"/>
          </w:tcPr>
          <w:p w14:paraId="2974BC3A" w14:textId="77777777" w:rsidR="003833F2" w:rsidRPr="00354795" w:rsidRDefault="003833F2" w:rsidP="00411815">
            <w:pPr>
              <w:pStyle w:val="TableTextHeading"/>
              <w:rPr>
                <w:lang w:eastAsia="en-AU"/>
              </w:rPr>
            </w:pPr>
            <w:r w:rsidRPr="00354795">
              <w:rPr>
                <w:lang w:eastAsia="en-AU"/>
              </w:rPr>
              <w:t>South-East</w:t>
            </w:r>
          </w:p>
        </w:tc>
        <w:tc>
          <w:tcPr>
            <w:tcW w:w="1134" w:type="dxa"/>
          </w:tcPr>
          <w:p w14:paraId="7E65D0FD" w14:textId="77777777" w:rsidR="003833F2" w:rsidRPr="00354795" w:rsidRDefault="003833F2" w:rsidP="00411815">
            <w:pPr>
              <w:pStyle w:val="TableTextHeading"/>
              <w:rPr>
                <w:lang w:eastAsia="en-AU"/>
              </w:rPr>
            </w:pPr>
            <w:r w:rsidRPr="00354795">
              <w:rPr>
                <w:lang w:eastAsia="en-AU"/>
              </w:rPr>
              <w:t>Central</w:t>
            </w:r>
          </w:p>
        </w:tc>
        <w:tc>
          <w:tcPr>
            <w:tcW w:w="1134" w:type="dxa"/>
          </w:tcPr>
          <w:p w14:paraId="230F6489" w14:textId="77777777" w:rsidR="003833F2" w:rsidRPr="00354795" w:rsidRDefault="003833F2" w:rsidP="00411815">
            <w:pPr>
              <w:pStyle w:val="TableTextHeading"/>
              <w:rPr>
                <w:lang w:eastAsia="en-AU"/>
              </w:rPr>
            </w:pPr>
            <w:r w:rsidRPr="00354795">
              <w:rPr>
                <w:lang w:eastAsia="en-AU"/>
              </w:rPr>
              <w:t>North</w:t>
            </w:r>
          </w:p>
        </w:tc>
        <w:tc>
          <w:tcPr>
            <w:tcW w:w="1134" w:type="dxa"/>
          </w:tcPr>
          <w:p w14:paraId="2090A188" w14:textId="77777777" w:rsidR="003833F2" w:rsidRPr="00354795" w:rsidRDefault="003833F2" w:rsidP="00411815">
            <w:pPr>
              <w:pStyle w:val="TableTextHeading"/>
              <w:rPr>
                <w:lang w:eastAsia="en-AU"/>
              </w:rPr>
            </w:pPr>
            <w:r w:rsidRPr="00354795">
              <w:rPr>
                <w:lang w:eastAsia="en-AU"/>
              </w:rPr>
              <w:t>Far North</w:t>
            </w:r>
          </w:p>
        </w:tc>
        <w:tc>
          <w:tcPr>
            <w:tcW w:w="709" w:type="dxa"/>
          </w:tcPr>
          <w:p w14:paraId="67919600" w14:textId="77777777" w:rsidR="003833F2" w:rsidRPr="00354795" w:rsidRDefault="003833F2" w:rsidP="00411815">
            <w:pPr>
              <w:pStyle w:val="TableTextHeading"/>
              <w:rPr>
                <w:lang w:eastAsia="en-AU"/>
              </w:rPr>
            </w:pPr>
            <w:r w:rsidRPr="00354795">
              <w:rPr>
                <w:lang w:eastAsia="en-AU"/>
              </w:rPr>
              <w:t>Total</w:t>
            </w:r>
          </w:p>
        </w:tc>
      </w:tr>
      <w:tr w:rsidR="003833F2" w:rsidRPr="00354795" w14:paraId="35359270" w14:textId="77777777" w:rsidTr="00354795">
        <w:tc>
          <w:tcPr>
            <w:tcW w:w="2830" w:type="dxa"/>
          </w:tcPr>
          <w:p w14:paraId="1292B14F" w14:textId="77777777" w:rsidR="003833F2" w:rsidRPr="00354795" w:rsidRDefault="003833F2" w:rsidP="00411815">
            <w:pPr>
              <w:pStyle w:val="TableTextBody"/>
              <w:rPr>
                <w:lang w:eastAsia="en-AU"/>
              </w:rPr>
            </w:pPr>
            <w:r w:rsidRPr="00354795">
              <w:rPr>
                <w:lang w:eastAsia="en-AU"/>
              </w:rPr>
              <w:t>Introduction to the Anti-Discrimination Act</w:t>
            </w:r>
          </w:p>
        </w:tc>
        <w:tc>
          <w:tcPr>
            <w:tcW w:w="1276" w:type="dxa"/>
          </w:tcPr>
          <w:p w14:paraId="20A8E02B" w14:textId="77777777" w:rsidR="003833F2" w:rsidRPr="00354795" w:rsidRDefault="00121DD1" w:rsidP="00510398">
            <w:pPr>
              <w:pStyle w:val="TableTextBody"/>
              <w:jc w:val="right"/>
              <w:rPr>
                <w:lang w:eastAsia="en-AU"/>
              </w:rPr>
            </w:pPr>
            <w:r w:rsidRPr="00354795">
              <w:rPr>
                <w:lang w:eastAsia="en-AU"/>
              </w:rPr>
              <w:t>21</w:t>
            </w:r>
          </w:p>
        </w:tc>
        <w:tc>
          <w:tcPr>
            <w:tcW w:w="1134" w:type="dxa"/>
          </w:tcPr>
          <w:p w14:paraId="09AC9B81" w14:textId="77777777" w:rsidR="003833F2" w:rsidRPr="00354795" w:rsidRDefault="00121DD1" w:rsidP="00510398">
            <w:pPr>
              <w:pStyle w:val="TableTextBody"/>
              <w:jc w:val="right"/>
              <w:rPr>
                <w:lang w:eastAsia="en-AU"/>
              </w:rPr>
            </w:pPr>
            <w:r w:rsidRPr="00354795">
              <w:rPr>
                <w:lang w:eastAsia="en-AU"/>
              </w:rPr>
              <w:t>34</w:t>
            </w:r>
          </w:p>
        </w:tc>
        <w:tc>
          <w:tcPr>
            <w:tcW w:w="1134" w:type="dxa"/>
          </w:tcPr>
          <w:p w14:paraId="3DD65B16" w14:textId="77777777" w:rsidR="003833F2" w:rsidRPr="00354795" w:rsidRDefault="00121DD1" w:rsidP="00510398">
            <w:pPr>
              <w:pStyle w:val="TableTextBody"/>
              <w:jc w:val="right"/>
              <w:rPr>
                <w:lang w:eastAsia="en-AU"/>
              </w:rPr>
            </w:pPr>
            <w:r w:rsidRPr="00354795">
              <w:rPr>
                <w:lang w:eastAsia="en-AU"/>
              </w:rPr>
              <w:t>32</w:t>
            </w:r>
          </w:p>
        </w:tc>
        <w:tc>
          <w:tcPr>
            <w:tcW w:w="1134" w:type="dxa"/>
          </w:tcPr>
          <w:p w14:paraId="63712FCF" w14:textId="77777777" w:rsidR="003833F2" w:rsidRPr="00354795" w:rsidRDefault="00121DD1" w:rsidP="00510398">
            <w:pPr>
              <w:pStyle w:val="TableTextBody"/>
              <w:jc w:val="right"/>
              <w:rPr>
                <w:lang w:eastAsia="en-AU"/>
              </w:rPr>
            </w:pPr>
            <w:r w:rsidRPr="00354795">
              <w:rPr>
                <w:lang w:eastAsia="en-AU"/>
              </w:rPr>
              <w:t>4</w:t>
            </w:r>
          </w:p>
        </w:tc>
        <w:tc>
          <w:tcPr>
            <w:tcW w:w="709" w:type="dxa"/>
          </w:tcPr>
          <w:p w14:paraId="084409B8" w14:textId="77777777" w:rsidR="003833F2" w:rsidRPr="00354795" w:rsidRDefault="00177F48" w:rsidP="00510398">
            <w:pPr>
              <w:pStyle w:val="TableTextBody"/>
              <w:jc w:val="right"/>
              <w:rPr>
                <w:lang w:eastAsia="en-AU"/>
              </w:rPr>
            </w:pPr>
            <w:r w:rsidRPr="00354795">
              <w:rPr>
                <w:lang w:eastAsia="en-AU"/>
              </w:rPr>
              <w:t>91</w:t>
            </w:r>
          </w:p>
        </w:tc>
      </w:tr>
      <w:tr w:rsidR="006D4E6D" w:rsidRPr="00354795" w14:paraId="632414D3" w14:textId="77777777" w:rsidTr="00354795">
        <w:tc>
          <w:tcPr>
            <w:tcW w:w="2830" w:type="dxa"/>
          </w:tcPr>
          <w:p w14:paraId="633FAE2C" w14:textId="77777777" w:rsidR="006D4E6D" w:rsidRPr="00354795" w:rsidRDefault="006D4E6D" w:rsidP="00411815">
            <w:pPr>
              <w:pStyle w:val="TableTextBody"/>
              <w:rPr>
                <w:lang w:eastAsia="en-AU"/>
              </w:rPr>
            </w:pPr>
            <w:r w:rsidRPr="00354795">
              <w:rPr>
                <w:lang w:eastAsia="en-AU"/>
              </w:rPr>
              <w:t>Introduction to the Anti-Discrimination Act - webinar</w:t>
            </w:r>
          </w:p>
        </w:tc>
        <w:tc>
          <w:tcPr>
            <w:tcW w:w="1276" w:type="dxa"/>
          </w:tcPr>
          <w:p w14:paraId="1D09C5DF" w14:textId="77777777" w:rsidR="006D4E6D" w:rsidRPr="00354795" w:rsidRDefault="0011796A" w:rsidP="00510398">
            <w:pPr>
              <w:pStyle w:val="TableTextBody"/>
              <w:jc w:val="right"/>
              <w:rPr>
                <w:lang w:eastAsia="en-AU"/>
              </w:rPr>
            </w:pPr>
            <w:r w:rsidRPr="00354795">
              <w:rPr>
                <w:lang w:eastAsia="en-AU"/>
              </w:rPr>
              <w:t>9</w:t>
            </w:r>
          </w:p>
        </w:tc>
        <w:tc>
          <w:tcPr>
            <w:tcW w:w="1134" w:type="dxa"/>
          </w:tcPr>
          <w:p w14:paraId="1AF8C778" w14:textId="77777777" w:rsidR="006D4E6D" w:rsidRPr="00354795" w:rsidRDefault="0011796A" w:rsidP="00510398">
            <w:pPr>
              <w:pStyle w:val="TableTextBody"/>
              <w:jc w:val="right"/>
              <w:rPr>
                <w:lang w:eastAsia="en-AU"/>
              </w:rPr>
            </w:pPr>
            <w:r w:rsidRPr="00354795">
              <w:rPr>
                <w:lang w:eastAsia="en-AU"/>
              </w:rPr>
              <w:t>3</w:t>
            </w:r>
          </w:p>
        </w:tc>
        <w:tc>
          <w:tcPr>
            <w:tcW w:w="1134" w:type="dxa"/>
          </w:tcPr>
          <w:p w14:paraId="5508F6B2" w14:textId="77777777" w:rsidR="006D4E6D" w:rsidRPr="00354795" w:rsidRDefault="0011796A" w:rsidP="00510398">
            <w:pPr>
              <w:pStyle w:val="TableTextBody"/>
              <w:jc w:val="right"/>
              <w:rPr>
                <w:lang w:eastAsia="en-AU"/>
              </w:rPr>
            </w:pPr>
            <w:r w:rsidRPr="00354795">
              <w:rPr>
                <w:lang w:eastAsia="en-AU"/>
              </w:rPr>
              <w:t>1</w:t>
            </w:r>
          </w:p>
        </w:tc>
        <w:tc>
          <w:tcPr>
            <w:tcW w:w="1134" w:type="dxa"/>
          </w:tcPr>
          <w:p w14:paraId="53ECFC08" w14:textId="52A1347B" w:rsidR="006D4E6D" w:rsidRPr="00354795" w:rsidRDefault="00573397" w:rsidP="00510398">
            <w:pPr>
              <w:pStyle w:val="TableTextBody"/>
              <w:jc w:val="right"/>
              <w:rPr>
                <w:lang w:eastAsia="en-AU"/>
              </w:rPr>
            </w:pPr>
            <w:r w:rsidRPr="00A244E6">
              <w:rPr>
                <w:rFonts w:eastAsia="Times New Roman"/>
                <w:lang w:eastAsia="en-AU"/>
              </w:rPr>
              <w:t>—</w:t>
            </w:r>
          </w:p>
        </w:tc>
        <w:tc>
          <w:tcPr>
            <w:tcW w:w="709" w:type="dxa"/>
          </w:tcPr>
          <w:p w14:paraId="458D91ED" w14:textId="77777777" w:rsidR="006D4E6D" w:rsidRPr="00354795" w:rsidRDefault="00177F48" w:rsidP="00510398">
            <w:pPr>
              <w:pStyle w:val="TableTextBody"/>
              <w:jc w:val="right"/>
              <w:rPr>
                <w:lang w:eastAsia="en-AU"/>
              </w:rPr>
            </w:pPr>
            <w:r w:rsidRPr="00354795">
              <w:rPr>
                <w:lang w:eastAsia="en-AU"/>
              </w:rPr>
              <w:t>13</w:t>
            </w:r>
          </w:p>
        </w:tc>
      </w:tr>
      <w:tr w:rsidR="006D4E6D" w:rsidRPr="00354795" w14:paraId="41477484" w14:textId="77777777" w:rsidTr="00354795">
        <w:tc>
          <w:tcPr>
            <w:tcW w:w="2830" w:type="dxa"/>
          </w:tcPr>
          <w:p w14:paraId="7A3FD9C9" w14:textId="77777777" w:rsidR="006D4E6D" w:rsidRPr="00354795" w:rsidRDefault="006D4E6D" w:rsidP="00411815">
            <w:pPr>
              <w:pStyle w:val="TableTextBody"/>
              <w:rPr>
                <w:lang w:eastAsia="en-AU"/>
              </w:rPr>
            </w:pPr>
            <w:r w:rsidRPr="00354795">
              <w:rPr>
                <w:lang w:eastAsia="en-AU"/>
              </w:rPr>
              <w:t>Introduction to the Human Rights Act</w:t>
            </w:r>
          </w:p>
        </w:tc>
        <w:tc>
          <w:tcPr>
            <w:tcW w:w="1276" w:type="dxa"/>
          </w:tcPr>
          <w:p w14:paraId="7E92ECE0" w14:textId="77777777" w:rsidR="006D4E6D" w:rsidRPr="00354795" w:rsidRDefault="00121DD1" w:rsidP="00510398">
            <w:pPr>
              <w:pStyle w:val="TableTextBody"/>
              <w:jc w:val="right"/>
              <w:rPr>
                <w:lang w:eastAsia="en-AU"/>
              </w:rPr>
            </w:pPr>
            <w:r w:rsidRPr="00354795">
              <w:rPr>
                <w:lang w:eastAsia="en-AU"/>
              </w:rPr>
              <w:t>89</w:t>
            </w:r>
          </w:p>
        </w:tc>
        <w:tc>
          <w:tcPr>
            <w:tcW w:w="1134" w:type="dxa"/>
          </w:tcPr>
          <w:p w14:paraId="65964D20" w14:textId="77777777" w:rsidR="006D4E6D" w:rsidRPr="00354795" w:rsidRDefault="00121DD1" w:rsidP="00510398">
            <w:pPr>
              <w:pStyle w:val="TableTextBody"/>
              <w:jc w:val="right"/>
              <w:rPr>
                <w:lang w:eastAsia="en-AU"/>
              </w:rPr>
            </w:pPr>
            <w:r w:rsidRPr="00354795">
              <w:rPr>
                <w:lang w:eastAsia="en-AU"/>
              </w:rPr>
              <w:t>15</w:t>
            </w:r>
          </w:p>
        </w:tc>
        <w:tc>
          <w:tcPr>
            <w:tcW w:w="1134" w:type="dxa"/>
          </w:tcPr>
          <w:p w14:paraId="5219B94A" w14:textId="77777777" w:rsidR="006D4E6D" w:rsidRPr="00354795" w:rsidRDefault="00121DD1" w:rsidP="00510398">
            <w:pPr>
              <w:pStyle w:val="TableTextBody"/>
              <w:jc w:val="right"/>
              <w:rPr>
                <w:lang w:eastAsia="en-AU"/>
              </w:rPr>
            </w:pPr>
            <w:r w:rsidRPr="00354795">
              <w:rPr>
                <w:lang w:eastAsia="en-AU"/>
              </w:rPr>
              <w:t>9</w:t>
            </w:r>
          </w:p>
        </w:tc>
        <w:tc>
          <w:tcPr>
            <w:tcW w:w="1134" w:type="dxa"/>
          </w:tcPr>
          <w:p w14:paraId="3FE61E9B" w14:textId="77777777" w:rsidR="006D4E6D" w:rsidRPr="00354795" w:rsidRDefault="00121DD1" w:rsidP="00510398">
            <w:pPr>
              <w:pStyle w:val="TableTextBody"/>
              <w:jc w:val="right"/>
              <w:rPr>
                <w:lang w:eastAsia="en-AU"/>
              </w:rPr>
            </w:pPr>
            <w:r w:rsidRPr="00354795">
              <w:rPr>
                <w:lang w:eastAsia="en-AU"/>
              </w:rPr>
              <w:t>15</w:t>
            </w:r>
          </w:p>
        </w:tc>
        <w:tc>
          <w:tcPr>
            <w:tcW w:w="709" w:type="dxa"/>
          </w:tcPr>
          <w:p w14:paraId="7A30E829" w14:textId="77777777" w:rsidR="006D4E6D" w:rsidRPr="00354795" w:rsidRDefault="00177F48" w:rsidP="00510398">
            <w:pPr>
              <w:pStyle w:val="TableTextBody"/>
              <w:jc w:val="right"/>
              <w:rPr>
                <w:lang w:eastAsia="en-AU"/>
              </w:rPr>
            </w:pPr>
            <w:r w:rsidRPr="00354795">
              <w:rPr>
                <w:lang w:eastAsia="en-AU"/>
              </w:rPr>
              <w:t>128</w:t>
            </w:r>
          </w:p>
        </w:tc>
      </w:tr>
      <w:tr w:rsidR="006D4E6D" w:rsidRPr="00354795" w14:paraId="5771E5E4" w14:textId="77777777" w:rsidTr="00354795">
        <w:tc>
          <w:tcPr>
            <w:tcW w:w="2830" w:type="dxa"/>
          </w:tcPr>
          <w:p w14:paraId="6D4DBD19" w14:textId="77777777" w:rsidR="006D4E6D" w:rsidRPr="00354795" w:rsidRDefault="006D4E6D" w:rsidP="00411815">
            <w:pPr>
              <w:pStyle w:val="TableTextBody"/>
              <w:rPr>
                <w:lang w:eastAsia="en-AU"/>
              </w:rPr>
            </w:pPr>
            <w:r w:rsidRPr="00354795">
              <w:rPr>
                <w:lang w:eastAsia="en-AU"/>
              </w:rPr>
              <w:t xml:space="preserve">Introduction to the Human Rights Act </w:t>
            </w:r>
            <w:r w:rsidR="0011796A" w:rsidRPr="00354795">
              <w:rPr>
                <w:lang w:eastAsia="en-AU"/>
              </w:rPr>
              <w:t>–</w:t>
            </w:r>
            <w:r w:rsidRPr="00354795">
              <w:rPr>
                <w:lang w:eastAsia="en-AU"/>
              </w:rPr>
              <w:t xml:space="preserve"> webinar</w:t>
            </w:r>
          </w:p>
        </w:tc>
        <w:tc>
          <w:tcPr>
            <w:tcW w:w="1276" w:type="dxa"/>
          </w:tcPr>
          <w:p w14:paraId="5A5C5D6B" w14:textId="77777777" w:rsidR="006D4E6D" w:rsidRPr="00354795" w:rsidRDefault="00647F0A" w:rsidP="00510398">
            <w:pPr>
              <w:pStyle w:val="TableTextBody"/>
              <w:jc w:val="right"/>
              <w:rPr>
                <w:lang w:eastAsia="en-AU"/>
              </w:rPr>
            </w:pPr>
            <w:r w:rsidRPr="00354795">
              <w:rPr>
                <w:lang w:eastAsia="en-AU"/>
              </w:rPr>
              <w:t>11</w:t>
            </w:r>
          </w:p>
        </w:tc>
        <w:tc>
          <w:tcPr>
            <w:tcW w:w="1134" w:type="dxa"/>
          </w:tcPr>
          <w:p w14:paraId="2478BD18" w14:textId="77777777" w:rsidR="006D4E6D" w:rsidRPr="00354795" w:rsidRDefault="0011796A" w:rsidP="00510398">
            <w:pPr>
              <w:pStyle w:val="TableTextBody"/>
              <w:jc w:val="right"/>
              <w:rPr>
                <w:lang w:eastAsia="en-AU"/>
              </w:rPr>
            </w:pPr>
            <w:r w:rsidRPr="00354795">
              <w:rPr>
                <w:lang w:eastAsia="en-AU"/>
              </w:rPr>
              <w:t>2</w:t>
            </w:r>
          </w:p>
        </w:tc>
        <w:tc>
          <w:tcPr>
            <w:tcW w:w="1134" w:type="dxa"/>
          </w:tcPr>
          <w:p w14:paraId="46FB18C9" w14:textId="039244A5" w:rsidR="006D4E6D" w:rsidRPr="00354795" w:rsidRDefault="00573397" w:rsidP="00510398">
            <w:pPr>
              <w:pStyle w:val="TableTextBody"/>
              <w:jc w:val="right"/>
              <w:rPr>
                <w:lang w:eastAsia="en-AU"/>
              </w:rPr>
            </w:pPr>
            <w:r w:rsidRPr="00A244E6">
              <w:rPr>
                <w:rFonts w:eastAsia="Times New Roman"/>
                <w:lang w:eastAsia="en-AU"/>
              </w:rPr>
              <w:t>—</w:t>
            </w:r>
          </w:p>
        </w:tc>
        <w:tc>
          <w:tcPr>
            <w:tcW w:w="1134" w:type="dxa"/>
          </w:tcPr>
          <w:p w14:paraId="29F2B368" w14:textId="483B258C" w:rsidR="006D4E6D" w:rsidRPr="00354795" w:rsidRDefault="00573397" w:rsidP="00573397">
            <w:pPr>
              <w:pStyle w:val="TableTextBody"/>
              <w:jc w:val="right"/>
              <w:rPr>
                <w:lang w:eastAsia="en-AU"/>
              </w:rPr>
            </w:pPr>
            <w:r w:rsidRPr="00A244E6">
              <w:rPr>
                <w:rFonts w:eastAsia="Times New Roman"/>
                <w:lang w:eastAsia="en-AU"/>
              </w:rPr>
              <w:t>—</w:t>
            </w:r>
          </w:p>
        </w:tc>
        <w:tc>
          <w:tcPr>
            <w:tcW w:w="709" w:type="dxa"/>
          </w:tcPr>
          <w:p w14:paraId="5ED97532" w14:textId="77777777" w:rsidR="006D4E6D" w:rsidRPr="00354795" w:rsidRDefault="00177F48" w:rsidP="00510398">
            <w:pPr>
              <w:pStyle w:val="TableTextBody"/>
              <w:jc w:val="right"/>
              <w:rPr>
                <w:lang w:eastAsia="en-AU"/>
              </w:rPr>
            </w:pPr>
            <w:r w:rsidRPr="00354795">
              <w:rPr>
                <w:lang w:eastAsia="en-AU"/>
              </w:rPr>
              <w:t>13</w:t>
            </w:r>
          </w:p>
        </w:tc>
      </w:tr>
      <w:tr w:rsidR="0011796A" w:rsidRPr="00354795" w14:paraId="404C3801" w14:textId="77777777" w:rsidTr="00354795">
        <w:tc>
          <w:tcPr>
            <w:tcW w:w="2830" w:type="dxa"/>
          </w:tcPr>
          <w:p w14:paraId="478D36CA" w14:textId="77777777" w:rsidR="0011796A" w:rsidRPr="00354795" w:rsidRDefault="0011796A" w:rsidP="00411815">
            <w:pPr>
              <w:pStyle w:val="TableTextBody"/>
              <w:rPr>
                <w:lang w:eastAsia="en-AU"/>
              </w:rPr>
            </w:pPr>
            <w:r w:rsidRPr="00354795">
              <w:rPr>
                <w:lang w:eastAsia="en-AU"/>
              </w:rPr>
              <w:t>Human rights in mental health - webinar</w:t>
            </w:r>
          </w:p>
        </w:tc>
        <w:tc>
          <w:tcPr>
            <w:tcW w:w="1276" w:type="dxa"/>
          </w:tcPr>
          <w:p w14:paraId="0F7BD0DB" w14:textId="77777777" w:rsidR="0011796A" w:rsidRPr="00354795" w:rsidRDefault="002524AA" w:rsidP="00510398">
            <w:pPr>
              <w:pStyle w:val="TableTextBody"/>
              <w:jc w:val="right"/>
              <w:rPr>
                <w:lang w:eastAsia="en-AU"/>
              </w:rPr>
            </w:pPr>
            <w:r w:rsidRPr="00354795">
              <w:rPr>
                <w:lang w:eastAsia="en-AU"/>
              </w:rPr>
              <w:t>6</w:t>
            </w:r>
          </w:p>
        </w:tc>
        <w:tc>
          <w:tcPr>
            <w:tcW w:w="1134" w:type="dxa"/>
          </w:tcPr>
          <w:p w14:paraId="1C08237F" w14:textId="1F8F0129" w:rsidR="0011796A" w:rsidRPr="00354795" w:rsidRDefault="00573397" w:rsidP="00510398">
            <w:pPr>
              <w:pStyle w:val="TableTextBody"/>
              <w:jc w:val="right"/>
              <w:rPr>
                <w:lang w:eastAsia="en-AU"/>
              </w:rPr>
            </w:pPr>
            <w:r w:rsidRPr="00A244E6">
              <w:rPr>
                <w:rFonts w:eastAsia="Times New Roman"/>
                <w:lang w:eastAsia="en-AU"/>
              </w:rPr>
              <w:t>—</w:t>
            </w:r>
          </w:p>
        </w:tc>
        <w:tc>
          <w:tcPr>
            <w:tcW w:w="1134" w:type="dxa"/>
          </w:tcPr>
          <w:p w14:paraId="7F4692FA" w14:textId="282DE1BC" w:rsidR="0011796A" w:rsidRPr="00354795" w:rsidRDefault="00573397" w:rsidP="00510398">
            <w:pPr>
              <w:pStyle w:val="TableTextBody"/>
              <w:jc w:val="right"/>
              <w:rPr>
                <w:lang w:eastAsia="en-AU"/>
              </w:rPr>
            </w:pPr>
            <w:r w:rsidRPr="00A244E6">
              <w:rPr>
                <w:rFonts w:eastAsia="Times New Roman"/>
                <w:lang w:eastAsia="en-AU"/>
              </w:rPr>
              <w:t>—</w:t>
            </w:r>
          </w:p>
        </w:tc>
        <w:tc>
          <w:tcPr>
            <w:tcW w:w="1134" w:type="dxa"/>
          </w:tcPr>
          <w:p w14:paraId="51818AD6" w14:textId="700EBF0C" w:rsidR="0011796A" w:rsidRPr="00354795" w:rsidRDefault="00573397" w:rsidP="00510398">
            <w:pPr>
              <w:pStyle w:val="TableTextBody"/>
              <w:jc w:val="right"/>
              <w:rPr>
                <w:lang w:eastAsia="en-AU"/>
              </w:rPr>
            </w:pPr>
            <w:r w:rsidRPr="00A244E6">
              <w:rPr>
                <w:rFonts w:eastAsia="Times New Roman"/>
                <w:lang w:eastAsia="en-AU"/>
              </w:rPr>
              <w:t>—</w:t>
            </w:r>
          </w:p>
        </w:tc>
        <w:tc>
          <w:tcPr>
            <w:tcW w:w="709" w:type="dxa"/>
          </w:tcPr>
          <w:p w14:paraId="71B8240F" w14:textId="77777777" w:rsidR="0011796A" w:rsidRPr="00354795" w:rsidRDefault="00177F48" w:rsidP="00510398">
            <w:pPr>
              <w:pStyle w:val="TableTextBody"/>
              <w:jc w:val="right"/>
              <w:rPr>
                <w:lang w:eastAsia="en-AU"/>
              </w:rPr>
            </w:pPr>
            <w:r w:rsidRPr="00354795">
              <w:rPr>
                <w:lang w:eastAsia="en-AU"/>
              </w:rPr>
              <w:t>6</w:t>
            </w:r>
          </w:p>
        </w:tc>
      </w:tr>
      <w:tr w:rsidR="007D232E" w:rsidRPr="00354795" w14:paraId="0514D2CB" w14:textId="77777777" w:rsidTr="00354795">
        <w:tc>
          <w:tcPr>
            <w:tcW w:w="2830" w:type="dxa"/>
          </w:tcPr>
          <w:p w14:paraId="470D4F36" w14:textId="77777777" w:rsidR="007D232E" w:rsidRPr="00354795" w:rsidRDefault="007D232E" w:rsidP="00411815">
            <w:pPr>
              <w:pStyle w:val="TableTextBody"/>
              <w:rPr>
                <w:lang w:eastAsia="en-AU"/>
              </w:rPr>
            </w:pPr>
            <w:r w:rsidRPr="00354795">
              <w:rPr>
                <w:lang w:eastAsia="en-AU"/>
              </w:rPr>
              <w:t>Introduction to the Human Rights Act – train-the-trainer</w:t>
            </w:r>
          </w:p>
        </w:tc>
        <w:tc>
          <w:tcPr>
            <w:tcW w:w="1276" w:type="dxa"/>
          </w:tcPr>
          <w:p w14:paraId="64A4A414" w14:textId="77777777" w:rsidR="007D232E" w:rsidRPr="00354795" w:rsidRDefault="002524AA" w:rsidP="00510398">
            <w:pPr>
              <w:pStyle w:val="TableTextBody"/>
              <w:jc w:val="right"/>
              <w:rPr>
                <w:lang w:eastAsia="en-AU"/>
              </w:rPr>
            </w:pPr>
            <w:r w:rsidRPr="00354795">
              <w:rPr>
                <w:lang w:eastAsia="en-AU"/>
              </w:rPr>
              <w:t>2</w:t>
            </w:r>
          </w:p>
        </w:tc>
        <w:tc>
          <w:tcPr>
            <w:tcW w:w="1134" w:type="dxa"/>
          </w:tcPr>
          <w:p w14:paraId="1B378ED3" w14:textId="1231366E" w:rsidR="007D232E" w:rsidRPr="00354795" w:rsidRDefault="00573397" w:rsidP="00510398">
            <w:pPr>
              <w:pStyle w:val="TableTextBody"/>
              <w:jc w:val="right"/>
              <w:rPr>
                <w:lang w:eastAsia="en-AU"/>
              </w:rPr>
            </w:pPr>
            <w:r w:rsidRPr="00A244E6">
              <w:rPr>
                <w:rFonts w:eastAsia="Times New Roman"/>
                <w:lang w:eastAsia="en-AU"/>
              </w:rPr>
              <w:t>—</w:t>
            </w:r>
          </w:p>
        </w:tc>
        <w:tc>
          <w:tcPr>
            <w:tcW w:w="1134" w:type="dxa"/>
          </w:tcPr>
          <w:p w14:paraId="3D6EFC49" w14:textId="3B613FEB" w:rsidR="007D232E" w:rsidRPr="00354795" w:rsidRDefault="00573397" w:rsidP="00510398">
            <w:pPr>
              <w:pStyle w:val="TableTextBody"/>
              <w:jc w:val="right"/>
              <w:rPr>
                <w:lang w:eastAsia="en-AU"/>
              </w:rPr>
            </w:pPr>
            <w:r w:rsidRPr="00A244E6">
              <w:rPr>
                <w:rFonts w:eastAsia="Times New Roman"/>
                <w:lang w:eastAsia="en-AU"/>
              </w:rPr>
              <w:t>—</w:t>
            </w:r>
          </w:p>
        </w:tc>
        <w:tc>
          <w:tcPr>
            <w:tcW w:w="1134" w:type="dxa"/>
          </w:tcPr>
          <w:p w14:paraId="65D148DF" w14:textId="036F3C0F" w:rsidR="007D232E" w:rsidRPr="00354795" w:rsidRDefault="00573397" w:rsidP="00510398">
            <w:pPr>
              <w:pStyle w:val="TableTextBody"/>
              <w:jc w:val="right"/>
              <w:rPr>
                <w:lang w:eastAsia="en-AU"/>
              </w:rPr>
            </w:pPr>
            <w:r w:rsidRPr="00A244E6">
              <w:rPr>
                <w:rFonts w:eastAsia="Times New Roman"/>
                <w:lang w:eastAsia="en-AU"/>
              </w:rPr>
              <w:t>—</w:t>
            </w:r>
          </w:p>
        </w:tc>
        <w:tc>
          <w:tcPr>
            <w:tcW w:w="709" w:type="dxa"/>
          </w:tcPr>
          <w:p w14:paraId="28E57060" w14:textId="77777777" w:rsidR="007D232E" w:rsidRPr="00354795" w:rsidRDefault="00177F48" w:rsidP="00510398">
            <w:pPr>
              <w:pStyle w:val="TableTextBody"/>
              <w:jc w:val="right"/>
              <w:rPr>
                <w:lang w:eastAsia="en-AU"/>
              </w:rPr>
            </w:pPr>
            <w:r w:rsidRPr="00354795">
              <w:rPr>
                <w:lang w:eastAsia="en-AU"/>
              </w:rPr>
              <w:t>2</w:t>
            </w:r>
          </w:p>
        </w:tc>
      </w:tr>
      <w:tr w:rsidR="003833F2" w:rsidRPr="00354795" w14:paraId="7476D278" w14:textId="77777777" w:rsidTr="00354795">
        <w:tc>
          <w:tcPr>
            <w:tcW w:w="2830" w:type="dxa"/>
          </w:tcPr>
          <w:p w14:paraId="0AE766E7" w14:textId="77777777" w:rsidR="003833F2" w:rsidRPr="00354795" w:rsidRDefault="003833F2" w:rsidP="00411815">
            <w:pPr>
              <w:pStyle w:val="TableTextBody"/>
              <w:rPr>
                <w:lang w:eastAsia="en-AU"/>
              </w:rPr>
            </w:pPr>
            <w:r w:rsidRPr="00354795">
              <w:rPr>
                <w:lang w:eastAsia="en-AU"/>
              </w:rPr>
              <w:t>The Contact Officer (standard and refresher course)</w:t>
            </w:r>
          </w:p>
        </w:tc>
        <w:tc>
          <w:tcPr>
            <w:tcW w:w="1276" w:type="dxa"/>
          </w:tcPr>
          <w:p w14:paraId="6A636563" w14:textId="77777777" w:rsidR="003833F2" w:rsidRPr="00354795" w:rsidRDefault="00A06CE9" w:rsidP="00510398">
            <w:pPr>
              <w:pStyle w:val="TableTextBody"/>
              <w:jc w:val="right"/>
              <w:rPr>
                <w:lang w:eastAsia="en-AU"/>
              </w:rPr>
            </w:pPr>
            <w:r w:rsidRPr="00354795">
              <w:rPr>
                <w:lang w:eastAsia="en-AU"/>
              </w:rPr>
              <w:t>10</w:t>
            </w:r>
          </w:p>
        </w:tc>
        <w:tc>
          <w:tcPr>
            <w:tcW w:w="1134" w:type="dxa"/>
          </w:tcPr>
          <w:p w14:paraId="02356D05" w14:textId="77777777" w:rsidR="003833F2" w:rsidRPr="00354795" w:rsidRDefault="00A06CE9" w:rsidP="00510398">
            <w:pPr>
              <w:pStyle w:val="TableTextBody"/>
              <w:jc w:val="right"/>
              <w:rPr>
                <w:lang w:eastAsia="en-AU"/>
              </w:rPr>
            </w:pPr>
            <w:r w:rsidRPr="00354795">
              <w:rPr>
                <w:lang w:eastAsia="en-AU"/>
              </w:rPr>
              <w:t>1</w:t>
            </w:r>
          </w:p>
        </w:tc>
        <w:tc>
          <w:tcPr>
            <w:tcW w:w="1134" w:type="dxa"/>
          </w:tcPr>
          <w:p w14:paraId="56A41B6D" w14:textId="77777777" w:rsidR="003833F2" w:rsidRPr="00354795" w:rsidRDefault="00A06CE9" w:rsidP="00510398">
            <w:pPr>
              <w:pStyle w:val="TableTextBody"/>
              <w:jc w:val="right"/>
              <w:rPr>
                <w:lang w:eastAsia="en-AU"/>
              </w:rPr>
            </w:pPr>
            <w:r w:rsidRPr="00354795">
              <w:rPr>
                <w:lang w:eastAsia="en-AU"/>
              </w:rPr>
              <w:t>6</w:t>
            </w:r>
          </w:p>
        </w:tc>
        <w:tc>
          <w:tcPr>
            <w:tcW w:w="1134" w:type="dxa"/>
          </w:tcPr>
          <w:p w14:paraId="70BD10CB" w14:textId="77777777" w:rsidR="003833F2" w:rsidRPr="00354795" w:rsidRDefault="00A06CE9" w:rsidP="00510398">
            <w:pPr>
              <w:pStyle w:val="TableTextBody"/>
              <w:jc w:val="right"/>
              <w:rPr>
                <w:lang w:eastAsia="en-AU"/>
              </w:rPr>
            </w:pPr>
            <w:r w:rsidRPr="00354795">
              <w:rPr>
                <w:lang w:eastAsia="en-AU"/>
              </w:rPr>
              <w:t>2</w:t>
            </w:r>
          </w:p>
        </w:tc>
        <w:tc>
          <w:tcPr>
            <w:tcW w:w="709" w:type="dxa"/>
          </w:tcPr>
          <w:p w14:paraId="203A37AE" w14:textId="77777777" w:rsidR="003833F2" w:rsidRPr="00354795" w:rsidRDefault="00177F48" w:rsidP="00510398">
            <w:pPr>
              <w:pStyle w:val="TableTextBody"/>
              <w:jc w:val="right"/>
              <w:rPr>
                <w:lang w:eastAsia="en-AU"/>
              </w:rPr>
            </w:pPr>
            <w:r w:rsidRPr="00354795">
              <w:rPr>
                <w:lang w:eastAsia="en-AU"/>
              </w:rPr>
              <w:t>19</w:t>
            </w:r>
          </w:p>
        </w:tc>
      </w:tr>
      <w:tr w:rsidR="003833F2" w:rsidRPr="00354795" w14:paraId="53F7356E" w14:textId="77777777" w:rsidTr="00354795">
        <w:tc>
          <w:tcPr>
            <w:tcW w:w="2830" w:type="dxa"/>
          </w:tcPr>
          <w:p w14:paraId="0D7531A5" w14:textId="77777777" w:rsidR="003833F2" w:rsidRPr="00354795" w:rsidRDefault="003833F2" w:rsidP="00411815">
            <w:pPr>
              <w:pStyle w:val="TableTextBody"/>
              <w:rPr>
                <w:lang w:eastAsia="en-AU"/>
              </w:rPr>
            </w:pPr>
            <w:r w:rsidRPr="00354795">
              <w:rPr>
                <w:lang w:eastAsia="en-AU"/>
              </w:rPr>
              <w:t>Managing complaints</w:t>
            </w:r>
          </w:p>
        </w:tc>
        <w:tc>
          <w:tcPr>
            <w:tcW w:w="1276" w:type="dxa"/>
          </w:tcPr>
          <w:p w14:paraId="63FE37B8" w14:textId="77777777" w:rsidR="003833F2" w:rsidRPr="00354795" w:rsidRDefault="00A06CE9" w:rsidP="00510398">
            <w:pPr>
              <w:pStyle w:val="TableTextBody"/>
              <w:jc w:val="right"/>
              <w:rPr>
                <w:lang w:eastAsia="en-AU"/>
              </w:rPr>
            </w:pPr>
            <w:r w:rsidRPr="00354795">
              <w:rPr>
                <w:lang w:eastAsia="en-AU"/>
              </w:rPr>
              <w:t>2</w:t>
            </w:r>
          </w:p>
        </w:tc>
        <w:tc>
          <w:tcPr>
            <w:tcW w:w="1134" w:type="dxa"/>
          </w:tcPr>
          <w:p w14:paraId="2AAC7133" w14:textId="5C619698" w:rsidR="003833F2" w:rsidRPr="00354795" w:rsidRDefault="00573397" w:rsidP="00510398">
            <w:pPr>
              <w:pStyle w:val="TableTextBody"/>
              <w:jc w:val="right"/>
              <w:rPr>
                <w:lang w:eastAsia="en-AU"/>
              </w:rPr>
            </w:pPr>
            <w:r w:rsidRPr="00A244E6">
              <w:rPr>
                <w:rFonts w:eastAsia="Times New Roman"/>
                <w:lang w:eastAsia="en-AU"/>
              </w:rPr>
              <w:t>—</w:t>
            </w:r>
          </w:p>
        </w:tc>
        <w:tc>
          <w:tcPr>
            <w:tcW w:w="1134" w:type="dxa"/>
          </w:tcPr>
          <w:p w14:paraId="347F85D3" w14:textId="7BB04524" w:rsidR="003833F2" w:rsidRPr="00354795" w:rsidRDefault="00573397" w:rsidP="00510398">
            <w:pPr>
              <w:pStyle w:val="TableTextBody"/>
              <w:jc w:val="right"/>
              <w:rPr>
                <w:lang w:eastAsia="en-AU"/>
              </w:rPr>
            </w:pPr>
            <w:r w:rsidRPr="00A244E6">
              <w:rPr>
                <w:rFonts w:eastAsia="Times New Roman"/>
                <w:lang w:eastAsia="en-AU"/>
              </w:rPr>
              <w:t>—</w:t>
            </w:r>
          </w:p>
        </w:tc>
        <w:tc>
          <w:tcPr>
            <w:tcW w:w="1134" w:type="dxa"/>
          </w:tcPr>
          <w:p w14:paraId="1B3DB065" w14:textId="2076EDA8" w:rsidR="003833F2" w:rsidRPr="00354795" w:rsidRDefault="00573397" w:rsidP="00510398">
            <w:pPr>
              <w:pStyle w:val="TableTextBody"/>
              <w:jc w:val="right"/>
              <w:rPr>
                <w:lang w:eastAsia="en-AU"/>
              </w:rPr>
            </w:pPr>
            <w:r w:rsidRPr="00A244E6">
              <w:rPr>
                <w:rFonts w:eastAsia="Times New Roman"/>
                <w:lang w:eastAsia="en-AU"/>
              </w:rPr>
              <w:t>—</w:t>
            </w:r>
          </w:p>
        </w:tc>
        <w:tc>
          <w:tcPr>
            <w:tcW w:w="709" w:type="dxa"/>
          </w:tcPr>
          <w:p w14:paraId="28A4C3C5" w14:textId="77777777" w:rsidR="003833F2" w:rsidRPr="00354795" w:rsidRDefault="00177F48" w:rsidP="00510398">
            <w:pPr>
              <w:pStyle w:val="TableTextBody"/>
              <w:jc w:val="right"/>
              <w:rPr>
                <w:lang w:eastAsia="en-AU"/>
              </w:rPr>
            </w:pPr>
            <w:r w:rsidRPr="00354795">
              <w:rPr>
                <w:lang w:eastAsia="en-AU"/>
              </w:rPr>
              <w:t>2</w:t>
            </w:r>
          </w:p>
        </w:tc>
      </w:tr>
      <w:tr w:rsidR="003833F2" w:rsidRPr="00354795" w14:paraId="1335F3F1" w14:textId="77777777" w:rsidTr="00354795">
        <w:tc>
          <w:tcPr>
            <w:tcW w:w="2830" w:type="dxa"/>
          </w:tcPr>
          <w:p w14:paraId="4DC9A722" w14:textId="77777777" w:rsidR="003833F2" w:rsidRPr="00354795" w:rsidRDefault="003833F2" w:rsidP="00411815">
            <w:pPr>
              <w:pStyle w:val="TableTextBody"/>
              <w:rPr>
                <w:lang w:eastAsia="en-AU"/>
              </w:rPr>
            </w:pPr>
            <w:r w:rsidRPr="00354795">
              <w:rPr>
                <w:lang w:eastAsia="en-AU"/>
              </w:rPr>
              <w:t>Recruitment and Selection</w:t>
            </w:r>
          </w:p>
        </w:tc>
        <w:tc>
          <w:tcPr>
            <w:tcW w:w="1276" w:type="dxa"/>
          </w:tcPr>
          <w:p w14:paraId="4C1DABF3" w14:textId="77777777" w:rsidR="003833F2" w:rsidRPr="00354795" w:rsidRDefault="00A06CE9" w:rsidP="00510398">
            <w:pPr>
              <w:pStyle w:val="TableTextBody"/>
              <w:jc w:val="right"/>
              <w:rPr>
                <w:lang w:eastAsia="en-AU"/>
              </w:rPr>
            </w:pPr>
            <w:r w:rsidRPr="00354795">
              <w:rPr>
                <w:lang w:eastAsia="en-AU"/>
              </w:rPr>
              <w:t>1</w:t>
            </w:r>
          </w:p>
        </w:tc>
        <w:tc>
          <w:tcPr>
            <w:tcW w:w="1134" w:type="dxa"/>
          </w:tcPr>
          <w:p w14:paraId="295A78FF" w14:textId="77777777" w:rsidR="003833F2" w:rsidRPr="00354795" w:rsidRDefault="007D232E" w:rsidP="00510398">
            <w:pPr>
              <w:pStyle w:val="TableTextBody"/>
              <w:jc w:val="right"/>
              <w:rPr>
                <w:lang w:eastAsia="en-AU"/>
              </w:rPr>
            </w:pPr>
            <w:r w:rsidRPr="00354795">
              <w:rPr>
                <w:lang w:eastAsia="en-AU"/>
              </w:rPr>
              <w:t>1</w:t>
            </w:r>
          </w:p>
        </w:tc>
        <w:tc>
          <w:tcPr>
            <w:tcW w:w="1134" w:type="dxa"/>
          </w:tcPr>
          <w:p w14:paraId="0EE0A1CF" w14:textId="03A6A188" w:rsidR="003833F2" w:rsidRPr="00354795" w:rsidRDefault="00573397" w:rsidP="00510398">
            <w:pPr>
              <w:pStyle w:val="TableTextBody"/>
              <w:jc w:val="right"/>
              <w:rPr>
                <w:lang w:eastAsia="en-AU"/>
              </w:rPr>
            </w:pPr>
            <w:r w:rsidRPr="00A244E6">
              <w:rPr>
                <w:rFonts w:eastAsia="Times New Roman"/>
                <w:lang w:eastAsia="en-AU"/>
              </w:rPr>
              <w:t>—</w:t>
            </w:r>
          </w:p>
        </w:tc>
        <w:tc>
          <w:tcPr>
            <w:tcW w:w="1134" w:type="dxa"/>
          </w:tcPr>
          <w:p w14:paraId="5AAC4D80" w14:textId="79BD6ACC" w:rsidR="003833F2" w:rsidRPr="00354795" w:rsidRDefault="00573397" w:rsidP="00510398">
            <w:pPr>
              <w:pStyle w:val="TableTextBody"/>
              <w:jc w:val="right"/>
              <w:rPr>
                <w:lang w:eastAsia="en-AU"/>
              </w:rPr>
            </w:pPr>
            <w:r w:rsidRPr="00A244E6">
              <w:rPr>
                <w:rFonts w:eastAsia="Times New Roman"/>
                <w:lang w:eastAsia="en-AU"/>
              </w:rPr>
              <w:t>—</w:t>
            </w:r>
          </w:p>
        </w:tc>
        <w:tc>
          <w:tcPr>
            <w:tcW w:w="709" w:type="dxa"/>
          </w:tcPr>
          <w:p w14:paraId="1F261665" w14:textId="77777777" w:rsidR="003833F2" w:rsidRPr="00354795" w:rsidRDefault="00177F48" w:rsidP="00510398">
            <w:pPr>
              <w:pStyle w:val="TableTextBody"/>
              <w:jc w:val="right"/>
              <w:rPr>
                <w:lang w:eastAsia="en-AU"/>
              </w:rPr>
            </w:pPr>
            <w:r w:rsidRPr="00354795">
              <w:rPr>
                <w:lang w:eastAsia="en-AU"/>
              </w:rPr>
              <w:t>2</w:t>
            </w:r>
          </w:p>
        </w:tc>
      </w:tr>
      <w:tr w:rsidR="003833F2" w:rsidRPr="00354795" w14:paraId="544A4154" w14:textId="77777777" w:rsidTr="00354795">
        <w:tc>
          <w:tcPr>
            <w:tcW w:w="2830" w:type="dxa"/>
          </w:tcPr>
          <w:p w14:paraId="17DC1076" w14:textId="77777777" w:rsidR="003833F2" w:rsidRPr="00354795" w:rsidRDefault="003833F2" w:rsidP="00411815">
            <w:pPr>
              <w:pStyle w:val="TableTextBody"/>
              <w:rPr>
                <w:lang w:eastAsia="en-AU"/>
              </w:rPr>
            </w:pPr>
            <w:r w:rsidRPr="00354795">
              <w:rPr>
                <w:lang w:eastAsia="en-AU"/>
              </w:rPr>
              <w:t xml:space="preserve">Introduction to the Anti-Discrimination Act for Managers </w:t>
            </w:r>
          </w:p>
        </w:tc>
        <w:tc>
          <w:tcPr>
            <w:tcW w:w="1276" w:type="dxa"/>
          </w:tcPr>
          <w:p w14:paraId="70704346" w14:textId="77777777" w:rsidR="003833F2" w:rsidRPr="00354795" w:rsidRDefault="00121DD1" w:rsidP="00510398">
            <w:pPr>
              <w:pStyle w:val="TableTextBody"/>
              <w:jc w:val="right"/>
              <w:rPr>
                <w:lang w:eastAsia="en-AU"/>
              </w:rPr>
            </w:pPr>
            <w:r w:rsidRPr="00354795">
              <w:rPr>
                <w:lang w:eastAsia="en-AU"/>
              </w:rPr>
              <w:t>19</w:t>
            </w:r>
          </w:p>
        </w:tc>
        <w:tc>
          <w:tcPr>
            <w:tcW w:w="1134" w:type="dxa"/>
          </w:tcPr>
          <w:p w14:paraId="1DD1CE6A" w14:textId="77777777" w:rsidR="003833F2" w:rsidRPr="00354795" w:rsidRDefault="00B37B3B" w:rsidP="00510398">
            <w:pPr>
              <w:pStyle w:val="TableTextBody"/>
              <w:jc w:val="right"/>
              <w:rPr>
                <w:lang w:eastAsia="en-AU"/>
              </w:rPr>
            </w:pPr>
            <w:r w:rsidRPr="00354795">
              <w:rPr>
                <w:lang w:eastAsia="en-AU"/>
              </w:rPr>
              <w:t>3</w:t>
            </w:r>
          </w:p>
        </w:tc>
        <w:tc>
          <w:tcPr>
            <w:tcW w:w="1134" w:type="dxa"/>
          </w:tcPr>
          <w:p w14:paraId="14E88743" w14:textId="77777777" w:rsidR="003833F2" w:rsidRPr="00354795" w:rsidRDefault="00121DD1" w:rsidP="00510398">
            <w:pPr>
              <w:pStyle w:val="TableTextBody"/>
              <w:jc w:val="right"/>
              <w:rPr>
                <w:lang w:eastAsia="en-AU"/>
              </w:rPr>
            </w:pPr>
            <w:r w:rsidRPr="00354795">
              <w:rPr>
                <w:lang w:eastAsia="en-AU"/>
              </w:rPr>
              <w:t>3</w:t>
            </w:r>
          </w:p>
        </w:tc>
        <w:tc>
          <w:tcPr>
            <w:tcW w:w="1134" w:type="dxa"/>
          </w:tcPr>
          <w:p w14:paraId="3799C525" w14:textId="77777777" w:rsidR="003833F2" w:rsidRPr="00354795" w:rsidRDefault="00121DD1" w:rsidP="00510398">
            <w:pPr>
              <w:pStyle w:val="TableTextBody"/>
              <w:jc w:val="right"/>
              <w:rPr>
                <w:lang w:eastAsia="en-AU"/>
              </w:rPr>
            </w:pPr>
            <w:r w:rsidRPr="00354795">
              <w:rPr>
                <w:lang w:eastAsia="en-AU"/>
              </w:rPr>
              <w:t>3</w:t>
            </w:r>
          </w:p>
        </w:tc>
        <w:tc>
          <w:tcPr>
            <w:tcW w:w="709" w:type="dxa"/>
          </w:tcPr>
          <w:p w14:paraId="212CF1F0" w14:textId="77777777" w:rsidR="003833F2" w:rsidRPr="00354795" w:rsidRDefault="00B37B3B" w:rsidP="00510398">
            <w:pPr>
              <w:pStyle w:val="TableTextBody"/>
              <w:jc w:val="right"/>
              <w:rPr>
                <w:lang w:eastAsia="en-AU"/>
              </w:rPr>
            </w:pPr>
            <w:r w:rsidRPr="00354795">
              <w:rPr>
                <w:lang w:eastAsia="en-AU"/>
              </w:rPr>
              <w:t>28</w:t>
            </w:r>
          </w:p>
        </w:tc>
      </w:tr>
      <w:tr w:rsidR="003833F2" w:rsidRPr="00354795" w14:paraId="0D1A576F" w14:textId="77777777" w:rsidTr="00354795">
        <w:tc>
          <w:tcPr>
            <w:tcW w:w="2830" w:type="dxa"/>
          </w:tcPr>
          <w:p w14:paraId="3FB915BF" w14:textId="77777777" w:rsidR="003833F2" w:rsidRPr="00354795" w:rsidRDefault="003833F2" w:rsidP="00411815">
            <w:pPr>
              <w:pStyle w:val="TableTextBody"/>
              <w:rPr>
                <w:lang w:eastAsia="en-AU"/>
              </w:rPr>
            </w:pPr>
            <w:r w:rsidRPr="00354795">
              <w:rPr>
                <w:lang w:eastAsia="en-AU"/>
              </w:rPr>
              <w:t xml:space="preserve">Unconscious bias </w:t>
            </w:r>
          </w:p>
        </w:tc>
        <w:tc>
          <w:tcPr>
            <w:tcW w:w="1276" w:type="dxa"/>
          </w:tcPr>
          <w:p w14:paraId="3A841F3F" w14:textId="77777777" w:rsidR="003833F2" w:rsidRPr="00354795" w:rsidRDefault="00A06CE9" w:rsidP="00510398">
            <w:pPr>
              <w:pStyle w:val="TableTextBody"/>
              <w:jc w:val="right"/>
              <w:rPr>
                <w:lang w:eastAsia="en-AU"/>
              </w:rPr>
            </w:pPr>
            <w:r w:rsidRPr="00354795">
              <w:rPr>
                <w:lang w:eastAsia="en-AU"/>
              </w:rPr>
              <w:t>42</w:t>
            </w:r>
          </w:p>
        </w:tc>
        <w:tc>
          <w:tcPr>
            <w:tcW w:w="1134" w:type="dxa"/>
          </w:tcPr>
          <w:p w14:paraId="79AF8C13" w14:textId="77777777" w:rsidR="003833F2" w:rsidRPr="00354795" w:rsidRDefault="00A06CE9" w:rsidP="00510398">
            <w:pPr>
              <w:pStyle w:val="TableTextBody"/>
              <w:jc w:val="right"/>
              <w:rPr>
                <w:lang w:eastAsia="en-AU"/>
              </w:rPr>
            </w:pPr>
            <w:r w:rsidRPr="00354795">
              <w:rPr>
                <w:lang w:eastAsia="en-AU"/>
              </w:rPr>
              <w:t>5</w:t>
            </w:r>
          </w:p>
        </w:tc>
        <w:tc>
          <w:tcPr>
            <w:tcW w:w="1134" w:type="dxa"/>
          </w:tcPr>
          <w:p w14:paraId="5E9DAD16" w14:textId="77777777" w:rsidR="003833F2" w:rsidRPr="00354795" w:rsidRDefault="00A06CE9" w:rsidP="00510398">
            <w:pPr>
              <w:pStyle w:val="TableTextBody"/>
              <w:jc w:val="right"/>
              <w:rPr>
                <w:lang w:eastAsia="en-AU"/>
              </w:rPr>
            </w:pPr>
            <w:r w:rsidRPr="00354795">
              <w:rPr>
                <w:lang w:eastAsia="en-AU"/>
              </w:rPr>
              <w:t>2</w:t>
            </w:r>
          </w:p>
        </w:tc>
        <w:tc>
          <w:tcPr>
            <w:tcW w:w="1134" w:type="dxa"/>
          </w:tcPr>
          <w:p w14:paraId="62060C51" w14:textId="77777777" w:rsidR="003833F2" w:rsidRPr="00354795" w:rsidRDefault="00A06CE9" w:rsidP="00510398">
            <w:pPr>
              <w:pStyle w:val="TableTextBody"/>
              <w:jc w:val="right"/>
              <w:rPr>
                <w:lang w:eastAsia="en-AU"/>
              </w:rPr>
            </w:pPr>
            <w:r w:rsidRPr="00354795">
              <w:rPr>
                <w:lang w:eastAsia="en-AU"/>
              </w:rPr>
              <w:t>4</w:t>
            </w:r>
          </w:p>
        </w:tc>
        <w:tc>
          <w:tcPr>
            <w:tcW w:w="709" w:type="dxa"/>
          </w:tcPr>
          <w:p w14:paraId="1D136BC6" w14:textId="77777777" w:rsidR="003833F2" w:rsidRPr="00354795" w:rsidRDefault="00177F48" w:rsidP="00510398">
            <w:pPr>
              <w:pStyle w:val="TableTextBody"/>
              <w:jc w:val="right"/>
              <w:rPr>
                <w:lang w:eastAsia="en-AU"/>
              </w:rPr>
            </w:pPr>
            <w:r w:rsidRPr="00354795">
              <w:rPr>
                <w:lang w:eastAsia="en-AU"/>
              </w:rPr>
              <w:t>53</w:t>
            </w:r>
          </w:p>
        </w:tc>
      </w:tr>
      <w:tr w:rsidR="003833F2" w:rsidRPr="00354795" w14:paraId="5765A0A8" w14:textId="77777777" w:rsidTr="00354795">
        <w:tc>
          <w:tcPr>
            <w:tcW w:w="2830" w:type="dxa"/>
          </w:tcPr>
          <w:p w14:paraId="46990242" w14:textId="77777777" w:rsidR="003833F2" w:rsidRPr="00354795" w:rsidRDefault="003833F2" w:rsidP="00411815">
            <w:pPr>
              <w:pStyle w:val="TableTextBody"/>
              <w:rPr>
                <w:lang w:eastAsia="en-AU"/>
              </w:rPr>
            </w:pPr>
            <w:r w:rsidRPr="00354795">
              <w:rPr>
                <w:lang w:eastAsia="en-AU"/>
              </w:rPr>
              <w:t>Business benefits of diverse &amp; inclusive workplaces</w:t>
            </w:r>
          </w:p>
        </w:tc>
        <w:tc>
          <w:tcPr>
            <w:tcW w:w="1276" w:type="dxa"/>
          </w:tcPr>
          <w:p w14:paraId="76F87C02" w14:textId="77777777" w:rsidR="003833F2" w:rsidRPr="00354795" w:rsidRDefault="002524AA" w:rsidP="00510398">
            <w:pPr>
              <w:pStyle w:val="TableTextBody"/>
              <w:jc w:val="right"/>
              <w:rPr>
                <w:lang w:eastAsia="en-AU"/>
              </w:rPr>
            </w:pPr>
            <w:r w:rsidRPr="00354795">
              <w:rPr>
                <w:lang w:eastAsia="en-AU"/>
              </w:rPr>
              <w:t>2</w:t>
            </w:r>
          </w:p>
        </w:tc>
        <w:tc>
          <w:tcPr>
            <w:tcW w:w="1134" w:type="dxa"/>
          </w:tcPr>
          <w:p w14:paraId="35BA575B" w14:textId="1036607F" w:rsidR="003833F2" w:rsidRPr="00354795" w:rsidRDefault="00573397" w:rsidP="00510398">
            <w:pPr>
              <w:pStyle w:val="TableTextBody"/>
              <w:jc w:val="right"/>
              <w:rPr>
                <w:lang w:eastAsia="en-AU"/>
              </w:rPr>
            </w:pPr>
            <w:r w:rsidRPr="00A244E6">
              <w:rPr>
                <w:rFonts w:eastAsia="Times New Roman"/>
                <w:lang w:eastAsia="en-AU"/>
              </w:rPr>
              <w:t>—</w:t>
            </w:r>
          </w:p>
        </w:tc>
        <w:tc>
          <w:tcPr>
            <w:tcW w:w="1134" w:type="dxa"/>
          </w:tcPr>
          <w:p w14:paraId="48B61700" w14:textId="4CBCDD67" w:rsidR="003833F2" w:rsidRPr="00354795" w:rsidRDefault="00573397" w:rsidP="00510398">
            <w:pPr>
              <w:pStyle w:val="TableTextBody"/>
              <w:jc w:val="right"/>
              <w:rPr>
                <w:lang w:eastAsia="en-AU"/>
              </w:rPr>
            </w:pPr>
            <w:r w:rsidRPr="00A244E6">
              <w:rPr>
                <w:rFonts w:eastAsia="Times New Roman"/>
                <w:lang w:eastAsia="en-AU"/>
              </w:rPr>
              <w:t>—</w:t>
            </w:r>
          </w:p>
        </w:tc>
        <w:tc>
          <w:tcPr>
            <w:tcW w:w="1134" w:type="dxa"/>
          </w:tcPr>
          <w:p w14:paraId="0C9D25C8" w14:textId="5A161159" w:rsidR="003833F2" w:rsidRPr="00354795" w:rsidRDefault="00573397" w:rsidP="00510398">
            <w:pPr>
              <w:pStyle w:val="TableTextBody"/>
              <w:jc w:val="right"/>
              <w:rPr>
                <w:lang w:eastAsia="en-AU"/>
              </w:rPr>
            </w:pPr>
            <w:r w:rsidRPr="00A244E6">
              <w:rPr>
                <w:rFonts w:eastAsia="Times New Roman"/>
                <w:lang w:eastAsia="en-AU"/>
              </w:rPr>
              <w:t>—</w:t>
            </w:r>
          </w:p>
        </w:tc>
        <w:tc>
          <w:tcPr>
            <w:tcW w:w="709" w:type="dxa"/>
          </w:tcPr>
          <w:p w14:paraId="03BF27C7" w14:textId="77777777" w:rsidR="003833F2" w:rsidRPr="00354795" w:rsidRDefault="00177F48" w:rsidP="00510398">
            <w:pPr>
              <w:pStyle w:val="TableTextBody"/>
              <w:jc w:val="right"/>
              <w:rPr>
                <w:lang w:eastAsia="en-AU"/>
              </w:rPr>
            </w:pPr>
            <w:r w:rsidRPr="00354795">
              <w:rPr>
                <w:lang w:eastAsia="en-AU"/>
              </w:rPr>
              <w:t>2</w:t>
            </w:r>
          </w:p>
        </w:tc>
      </w:tr>
      <w:tr w:rsidR="003833F2" w:rsidRPr="00354795" w14:paraId="596BECD6" w14:textId="77777777" w:rsidTr="00354795">
        <w:tc>
          <w:tcPr>
            <w:tcW w:w="2830" w:type="dxa"/>
          </w:tcPr>
          <w:p w14:paraId="70D1430A" w14:textId="15220203" w:rsidR="003833F2" w:rsidRPr="00354795" w:rsidRDefault="003833F2" w:rsidP="00411815">
            <w:pPr>
              <w:pStyle w:val="TableTextBody"/>
              <w:rPr>
                <w:lang w:eastAsia="en-AU"/>
              </w:rPr>
            </w:pPr>
            <w:r w:rsidRPr="00354795">
              <w:rPr>
                <w:lang w:eastAsia="en-AU"/>
              </w:rPr>
              <w:t>Gender identity and discrimination</w:t>
            </w:r>
          </w:p>
        </w:tc>
        <w:tc>
          <w:tcPr>
            <w:tcW w:w="1276" w:type="dxa"/>
          </w:tcPr>
          <w:p w14:paraId="2705DA0F" w14:textId="77777777" w:rsidR="003833F2" w:rsidRPr="00354795" w:rsidRDefault="002524AA" w:rsidP="00510398">
            <w:pPr>
              <w:pStyle w:val="TableTextBody"/>
              <w:jc w:val="right"/>
              <w:rPr>
                <w:lang w:eastAsia="en-AU"/>
              </w:rPr>
            </w:pPr>
            <w:r w:rsidRPr="00354795">
              <w:rPr>
                <w:lang w:eastAsia="en-AU"/>
              </w:rPr>
              <w:t>4</w:t>
            </w:r>
          </w:p>
        </w:tc>
        <w:tc>
          <w:tcPr>
            <w:tcW w:w="1134" w:type="dxa"/>
          </w:tcPr>
          <w:p w14:paraId="268B3C01" w14:textId="2F793C6C" w:rsidR="003833F2" w:rsidRPr="00354795" w:rsidRDefault="00573397" w:rsidP="00510398">
            <w:pPr>
              <w:pStyle w:val="TableTextBody"/>
              <w:jc w:val="right"/>
              <w:rPr>
                <w:lang w:eastAsia="en-AU"/>
              </w:rPr>
            </w:pPr>
            <w:r w:rsidRPr="00A244E6">
              <w:rPr>
                <w:rFonts w:eastAsia="Times New Roman"/>
                <w:lang w:eastAsia="en-AU"/>
              </w:rPr>
              <w:t>—</w:t>
            </w:r>
          </w:p>
        </w:tc>
        <w:tc>
          <w:tcPr>
            <w:tcW w:w="1134" w:type="dxa"/>
          </w:tcPr>
          <w:p w14:paraId="4689C1F0" w14:textId="64199105" w:rsidR="003833F2" w:rsidRPr="00354795" w:rsidRDefault="00573397" w:rsidP="00510398">
            <w:pPr>
              <w:pStyle w:val="TableTextBody"/>
              <w:jc w:val="right"/>
              <w:rPr>
                <w:lang w:eastAsia="en-AU"/>
              </w:rPr>
            </w:pPr>
            <w:r w:rsidRPr="00A244E6">
              <w:rPr>
                <w:rFonts w:eastAsia="Times New Roman"/>
                <w:lang w:eastAsia="en-AU"/>
              </w:rPr>
              <w:t>—</w:t>
            </w:r>
          </w:p>
        </w:tc>
        <w:tc>
          <w:tcPr>
            <w:tcW w:w="1134" w:type="dxa"/>
          </w:tcPr>
          <w:p w14:paraId="2DE1EA48" w14:textId="76F1253A" w:rsidR="003833F2" w:rsidRPr="00354795" w:rsidRDefault="00573397" w:rsidP="00510398">
            <w:pPr>
              <w:pStyle w:val="TableTextBody"/>
              <w:jc w:val="right"/>
              <w:rPr>
                <w:lang w:eastAsia="en-AU"/>
              </w:rPr>
            </w:pPr>
            <w:r w:rsidRPr="00A244E6">
              <w:rPr>
                <w:rFonts w:eastAsia="Times New Roman"/>
                <w:lang w:eastAsia="en-AU"/>
              </w:rPr>
              <w:t>—</w:t>
            </w:r>
          </w:p>
        </w:tc>
        <w:tc>
          <w:tcPr>
            <w:tcW w:w="709" w:type="dxa"/>
          </w:tcPr>
          <w:p w14:paraId="4EE59AAE" w14:textId="77777777" w:rsidR="003833F2" w:rsidRPr="00354795" w:rsidRDefault="00177F48" w:rsidP="00510398">
            <w:pPr>
              <w:pStyle w:val="TableTextBody"/>
              <w:jc w:val="right"/>
              <w:rPr>
                <w:lang w:eastAsia="en-AU"/>
              </w:rPr>
            </w:pPr>
            <w:r w:rsidRPr="00354795">
              <w:rPr>
                <w:lang w:eastAsia="en-AU"/>
              </w:rPr>
              <w:t>4</w:t>
            </w:r>
          </w:p>
        </w:tc>
      </w:tr>
      <w:tr w:rsidR="006D4E6D" w:rsidRPr="00354795" w14:paraId="08688611" w14:textId="77777777" w:rsidTr="00354795">
        <w:tc>
          <w:tcPr>
            <w:tcW w:w="2830" w:type="dxa"/>
          </w:tcPr>
          <w:p w14:paraId="1C69AF9A" w14:textId="77777777" w:rsidR="006D4E6D" w:rsidRPr="00354795" w:rsidRDefault="006D4E6D" w:rsidP="00411815">
            <w:pPr>
              <w:pStyle w:val="TableTextBody"/>
              <w:rPr>
                <w:lang w:eastAsia="en-AU"/>
              </w:rPr>
            </w:pPr>
            <w:r w:rsidRPr="00354795">
              <w:rPr>
                <w:lang w:eastAsia="en-AU"/>
              </w:rPr>
              <w:t>Advocates training</w:t>
            </w:r>
          </w:p>
        </w:tc>
        <w:tc>
          <w:tcPr>
            <w:tcW w:w="1276" w:type="dxa"/>
          </w:tcPr>
          <w:p w14:paraId="1D8262F7" w14:textId="77777777" w:rsidR="006D4E6D" w:rsidRPr="00354795" w:rsidRDefault="0011796A" w:rsidP="00510398">
            <w:pPr>
              <w:pStyle w:val="TableTextBody"/>
              <w:jc w:val="right"/>
              <w:rPr>
                <w:lang w:eastAsia="en-AU"/>
              </w:rPr>
            </w:pPr>
            <w:r w:rsidRPr="00354795">
              <w:rPr>
                <w:lang w:eastAsia="en-AU"/>
              </w:rPr>
              <w:t>1</w:t>
            </w:r>
          </w:p>
        </w:tc>
        <w:tc>
          <w:tcPr>
            <w:tcW w:w="1134" w:type="dxa"/>
          </w:tcPr>
          <w:p w14:paraId="2E1B642A" w14:textId="4F31A18B" w:rsidR="006D4E6D" w:rsidRPr="00354795" w:rsidRDefault="00573397" w:rsidP="00510398">
            <w:pPr>
              <w:pStyle w:val="TableTextBody"/>
              <w:jc w:val="right"/>
              <w:rPr>
                <w:lang w:eastAsia="en-AU"/>
              </w:rPr>
            </w:pPr>
            <w:r w:rsidRPr="00A244E6">
              <w:rPr>
                <w:rFonts w:eastAsia="Times New Roman"/>
                <w:lang w:eastAsia="en-AU"/>
              </w:rPr>
              <w:t>—</w:t>
            </w:r>
          </w:p>
        </w:tc>
        <w:tc>
          <w:tcPr>
            <w:tcW w:w="1134" w:type="dxa"/>
          </w:tcPr>
          <w:p w14:paraId="6BDE6F34" w14:textId="77777777" w:rsidR="006D4E6D" w:rsidRPr="00354795" w:rsidRDefault="0011796A" w:rsidP="00510398">
            <w:pPr>
              <w:pStyle w:val="TableTextBody"/>
              <w:jc w:val="right"/>
              <w:rPr>
                <w:lang w:eastAsia="en-AU"/>
              </w:rPr>
            </w:pPr>
            <w:r w:rsidRPr="00354795">
              <w:rPr>
                <w:lang w:eastAsia="en-AU"/>
              </w:rPr>
              <w:t>1</w:t>
            </w:r>
          </w:p>
        </w:tc>
        <w:tc>
          <w:tcPr>
            <w:tcW w:w="1134" w:type="dxa"/>
          </w:tcPr>
          <w:p w14:paraId="4F5D16D3" w14:textId="77777777" w:rsidR="006D4E6D" w:rsidRPr="00354795" w:rsidRDefault="0011796A" w:rsidP="00510398">
            <w:pPr>
              <w:pStyle w:val="TableTextBody"/>
              <w:jc w:val="right"/>
              <w:rPr>
                <w:lang w:eastAsia="en-AU"/>
              </w:rPr>
            </w:pPr>
            <w:r w:rsidRPr="00354795">
              <w:rPr>
                <w:lang w:eastAsia="en-AU"/>
              </w:rPr>
              <w:t>1</w:t>
            </w:r>
          </w:p>
        </w:tc>
        <w:tc>
          <w:tcPr>
            <w:tcW w:w="709" w:type="dxa"/>
          </w:tcPr>
          <w:p w14:paraId="41417D16" w14:textId="77777777" w:rsidR="006D4E6D" w:rsidRPr="00354795" w:rsidRDefault="00910A81" w:rsidP="00510398">
            <w:pPr>
              <w:pStyle w:val="TableTextBody"/>
              <w:jc w:val="right"/>
              <w:rPr>
                <w:lang w:eastAsia="en-AU"/>
              </w:rPr>
            </w:pPr>
            <w:r w:rsidRPr="00354795">
              <w:rPr>
                <w:lang w:eastAsia="en-AU"/>
              </w:rPr>
              <w:t>3</w:t>
            </w:r>
          </w:p>
        </w:tc>
      </w:tr>
      <w:tr w:rsidR="003833F2" w:rsidRPr="00354795" w14:paraId="0B39E816" w14:textId="77777777" w:rsidTr="00354795">
        <w:tc>
          <w:tcPr>
            <w:tcW w:w="2830" w:type="dxa"/>
          </w:tcPr>
          <w:p w14:paraId="2CEC022F" w14:textId="77777777" w:rsidR="003833F2" w:rsidRPr="00354795" w:rsidRDefault="003833F2" w:rsidP="00411815">
            <w:pPr>
              <w:pStyle w:val="TableTextBody"/>
              <w:rPr>
                <w:lang w:eastAsia="en-AU"/>
              </w:rPr>
            </w:pPr>
            <w:r w:rsidRPr="00354795">
              <w:rPr>
                <w:lang w:eastAsia="en-AU"/>
              </w:rPr>
              <w:t>Tailored training</w:t>
            </w:r>
          </w:p>
        </w:tc>
        <w:tc>
          <w:tcPr>
            <w:tcW w:w="1276" w:type="dxa"/>
          </w:tcPr>
          <w:p w14:paraId="751C8DE7" w14:textId="77777777" w:rsidR="003833F2" w:rsidRPr="00354795" w:rsidRDefault="00121DD1" w:rsidP="00510398">
            <w:pPr>
              <w:pStyle w:val="TableTextBody"/>
              <w:jc w:val="right"/>
              <w:rPr>
                <w:lang w:eastAsia="en-AU"/>
              </w:rPr>
            </w:pPr>
            <w:r w:rsidRPr="00354795">
              <w:rPr>
                <w:lang w:eastAsia="en-AU"/>
              </w:rPr>
              <w:t>10</w:t>
            </w:r>
          </w:p>
        </w:tc>
        <w:tc>
          <w:tcPr>
            <w:tcW w:w="1134" w:type="dxa"/>
          </w:tcPr>
          <w:p w14:paraId="637CC609" w14:textId="5F570F08" w:rsidR="003833F2" w:rsidRPr="00354795" w:rsidRDefault="00573397" w:rsidP="00510398">
            <w:pPr>
              <w:pStyle w:val="TableTextBody"/>
              <w:jc w:val="right"/>
              <w:rPr>
                <w:lang w:eastAsia="en-AU"/>
              </w:rPr>
            </w:pPr>
            <w:r w:rsidRPr="00A244E6">
              <w:rPr>
                <w:rFonts w:eastAsia="Times New Roman"/>
                <w:lang w:eastAsia="en-AU"/>
              </w:rPr>
              <w:t>—</w:t>
            </w:r>
          </w:p>
        </w:tc>
        <w:tc>
          <w:tcPr>
            <w:tcW w:w="1134" w:type="dxa"/>
          </w:tcPr>
          <w:p w14:paraId="44C62F7F" w14:textId="76447C7B" w:rsidR="003833F2" w:rsidRPr="00354795" w:rsidRDefault="00573397" w:rsidP="00510398">
            <w:pPr>
              <w:pStyle w:val="TableTextBody"/>
              <w:jc w:val="right"/>
              <w:rPr>
                <w:lang w:eastAsia="en-AU"/>
              </w:rPr>
            </w:pPr>
            <w:r w:rsidRPr="00A244E6">
              <w:rPr>
                <w:rFonts w:eastAsia="Times New Roman"/>
                <w:lang w:eastAsia="en-AU"/>
              </w:rPr>
              <w:t>—</w:t>
            </w:r>
          </w:p>
        </w:tc>
        <w:tc>
          <w:tcPr>
            <w:tcW w:w="1134" w:type="dxa"/>
          </w:tcPr>
          <w:p w14:paraId="0218E804" w14:textId="7D81AD0E" w:rsidR="003833F2" w:rsidRPr="00354795" w:rsidRDefault="00573397" w:rsidP="00510398">
            <w:pPr>
              <w:pStyle w:val="TableTextBody"/>
              <w:jc w:val="right"/>
              <w:rPr>
                <w:lang w:eastAsia="en-AU"/>
              </w:rPr>
            </w:pPr>
            <w:r w:rsidRPr="00A244E6">
              <w:rPr>
                <w:rFonts w:eastAsia="Times New Roman"/>
                <w:lang w:eastAsia="en-AU"/>
              </w:rPr>
              <w:t>—</w:t>
            </w:r>
          </w:p>
        </w:tc>
        <w:tc>
          <w:tcPr>
            <w:tcW w:w="709" w:type="dxa"/>
          </w:tcPr>
          <w:p w14:paraId="1089A2DE" w14:textId="77777777" w:rsidR="003833F2" w:rsidRPr="00354795" w:rsidRDefault="00177F48" w:rsidP="00510398">
            <w:pPr>
              <w:pStyle w:val="TableTextBody"/>
              <w:jc w:val="right"/>
              <w:rPr>
                <w:lang w:eastAsia="en-AU"/>
              </w:rPr>
            </w:pPr>
            <w:r w:rsidRPr="00354795">
              <w:rPr>
                <w:lang w:eastAsia="en-AU"/>
              </w:rPr>
              <w:t>10</w:t>
            </w:r>
          </w:p>
        </w:tc>
      </w:tr>
      <w:tr w:rsidR="003833F2" w:rsidRPr="00354795" w14:paraId="3EA2EDC1" w14:textId="77777777" w:rsidTr="00354795">
        <w:tc>
          <w:tcPr>
            <w:tcW w:w="2830" w:type="dxa"/>
          </w:tcPr>
          <w:p w14:paraId="47893868" w14:textId="77777777" w:rsidR="003833F2" w:rsidRPr="00354795" w:rsidRDefault="003833F2" w:rsidP="00A72450">
            <w:pPr>
              <w:pStyle w:val="TableTextBold"/>
              <w:rPr>
                <w:lang w:eastAsia="en-AU"/>
              </w:rPr>
            </w:pPr>
            <w:r w:rsidRPr="00354795">
              <w:rPr>
                <w:lang w:eastAsia="en-AU"/>
              </w:rPr>
              <w:t>Total</w:t>
            </w:r>
          </w:p>
        </w:tc>
        <w:tc>
          <w:tcPr>
            <w:tcW w:w="1276" w:type="dxa"/>
          </w:tcPr>
          <w:p w14:paraId="7645D242" w14:textId="77777777" w:rsidR="003833F2" w:rsidRPr="00354795" w:rsidRDefault="00177F48" w:rsidP="00A72450">
            <w:pPr>
              <w:pStyle w:val="TableTextBold"/>
              <w:jc w:val="right"/>
              <w:rPr>
                <w:lang w:eastAsia="en-AU"/>
              </w:rPr>
            </w:pPr>
            <w:r w:rsidRPr="00354795">
              <w:rPr>
                <w:lang w:eastAsia="en-AU"/>
              </w:rPr>
              <w:t>229</w:t>
            </w:r>
          </w:p>
        </w:tc>
        <w:tc>
          <w:tcPr>
            <w:tcW w:w="1134" w:type="dxa"/>
          </w:tcPr>
          <w:p w14:paraId="6FA01E11" w14:textId="77777777" w:rsidR="003833F2" w:rsidRPr="00354795" w:rsidRDefault="00001EE0" w:rsidP="00A72450">
            <w:pPr>
              <w:pStyle w:val="TableTextBold"/>
              <w:jc w:val="right"/>
              <w:rPr>
                <w:lang w:eastAsia="en-AU"/>
              </w:rPr>
            </w:pPr>
            <w:r w:rsidRPr="00354795">
              <w:rPr>
                <w:lang w:eastAsia="en-AU"/>
              </w:rPr>
              <w:t>64</w:t>
            </w:r>
          </w:p>
        </w:tc>
        <w:tc>
          <w:tcPr>
            <w:tcW w:w="1134" w:type="dxa"/>
          </w:tcPr>
          <w:p w14:paraId="6CAE682F" w14:textId="77777777" w:rsidR="003833F2" w:rsidRPr="00354795" w:rsidRDefault="00177F48" w:rsidP="00A72450">
            <w:pPr>
              <w:pStyle w:val="TableTextBold"/>
              <w:jc w:val="right"/>
              <w:rPr>
                <w:lang w:eastAsia="en-AU"/>
              </w:rPr>
            </w:pPr>
            <w:r w:rsidRPr="00354795">
              <w:rPr>
                <w:lang w:eastAsia="en-AU"/>
              </w:rPr>
              <w:t>54</w:t>
            </w:r>
          </w:p>
        </w:tc>
        <w:tc>
          <w:tcPr>
            <w:tcW w:w="1134" w:type="dxa"/>
          </w:tcPr>
          <w:p w14:paraId="79DFD692" w14:textId="77777777" w:rsidR="003833F2" w:rsidRPr="00354795" w:rsidRDefault="00177F48" w:rsidP="00A72450">
            <w:pPr>
              <w:pStyle w:val="TableTextBold"/>
              <w:jc w:val="right"/>
              <w:rPr>
                <w:lang w:eastAsia="en-AU"/>
              </w:rPr>
            </w:pPr>
            <w:r w:rsidRPr="00354795">
              <w:rPr>
                <w:lang w:eastAsia="en-AU"/>
              </w:rPr>
              <w:t>29</w:t>
            </w:r>
          </w:p>
        </w:tc>
        <w:tc>
          <w:tcPr>
            <w:tcW w:w="709" w:type="dxa"/>
          </w:tcPr>
          <w:p w14:paraId="1B3796DA" w14:textId="77777777" w:rsidR="003833F2" w:rsidRPr="00354795" w:rsidRDefault="00910A81" w:rsidP="00A72450">
            <w:pPr>
              <w:pStyle w:val="TableTextBold"/>
              <w:jc w:val="right"/>
              <w:rPr>
                <w:lang w:eastAsia="en-AU"/>
              </w:rPr>
            </w:pPr>
            <w:r w:rsidRPr="00354795">
              <w:rPr>
                <w:lang w:eastAsia="en-AU"/>
              </w:rPr>
              <w:t>37</w:t>
            </w:r>
            <w:r w:rsidR="00B37B3B" w:rsidRPr="00354795">
              <w:rPr>
                <w:lang w:eastAsia="en-AU"/>
              </w:rPr>
              <w:t>6</w:t>
            </w:r>
          </w:p>
        </w:tc>
      </w:tr>
    </w:tbl>
    <w:p w14:paraId="0B87E6AC" w14:textId="20C0AD27" w:rsidR="003833F2" w:rsidRPr="00A21D7D" w:rsidRDefault="003833F2">
      <w:pPr>
        <w:rPr>
          <w:rFonts w:cs="Arial"/>
          <w:sz w:val="36"/>
        </w:rPr>
      </w:pPr>
    </w:p>
    <w:p w14:paraId="76C70463" w14:textId="77777777" w:rsidR="00A72450" w:rsidRPr="00354795" w:rsidRDefault="00A72450" w:rsidP="00A72450">
      <w:pPr>
        <w:rPr>
          <w:rFonts w:cs="Arial"/>
        </w:rPr>
      </w:pPr>
      <w:r w:rsidRPr="00354795">
        <w:rPr>
          <w:rFonts w:cs="Arial"/>
        </w:rPr>
        <w:lastRenderedPageBreak/>
        <w:t xml:space="preserve">Our face-to-face training was delivered in a broad range of locations this year including: Thursday Island, Mt Isa, Gympie, Hervey Bay, Toowoomba, Sunshine Coast, Gold Coast, Glenden, Mackay, Townsville, Ipswich, Cairns, Rockhampton, Longreach, Charters Towers, Mareeba and Rolleston. </w:t>
      </w:r>
    </w:p>
    <w:p w14:paraId="1ABF64B9" w14:textId="1E250E2D" w:rsidR="00C35867" w:rsidRPr="00A21D7D" w:rsidRDefault="00694F79">
      <w:pPr>
        <w:rPr>
          <w:rFonts w:cs="Arial"/>
        </w:rPr>
      </w:pPr>
      <w:r>
        <w:rPr>
          <w:rFonts w:cs="Arial"/>
        </w:rPr>
        <w:t>Our</w:t>
      </w:r>
      <w:r w:rsidR="00C35867" w:rsidRPr="00A21D7D">
        <w:rPr>
          <w:rFonts w:cs="Arial"/>
        </w:rPr>
        <w:t xml:space="preserve"> online training portal was relaunched on 8 July 2019 following </w:t>
      </w:r>
      <w:r w:rsidR="00B77E05">
        <w:rPr>
          <w:rFonts w:cs="Arial"/>
        </w:rPr>
        <w:t xml:space="preserve">the </w:t>
      </w:r>
      <w:r w:rsidR="00C35867" w:rsidRPr="00A21D7D">
        <w:rPr>
          <w:rFonts w:cs="Arial"/>
        </w:rPr>
        <w:t>transition to a new platform, rebranding from ADCQ to QHRC</w:t>
      </w:r>
      <w:r w:rsidR="00B77E05">
        <w:rPr>
          <w:rFonts w:cs="Arial"/>
        </w:rPr>
        <w:t>,</w:t>
      </w:r>
      <w:r w:rsidR="00C35867" w:rsidRPr="00A21D7D">
        <w:rPr>
          <w:rFonts w:cs="Arial"/>
        </w:rPr>
        <w:t xml:space="preserve"> and the development of two new modules to coincide with the introduction of the </w:t>
      </w:r>
      <w:r w:rsidR="00FC6699" w:rsidRPr="00FC6699">
        <w:rPr>
          <w:rFonts w:cs="Arial"/>
          <w:i/>
        </w:rPr>
        <w:t>Human Rights Act 2019</w:t>
      </w:r>
      <w:r w:rsidR="00C35867" w:rsidRPr="00A21D7D">
        <w:rPr>
          <w:rFonts w:cs="Arial"/>
          <w:i/>
        </w:rPr>
        <w:t xml:space="preserve">. </w:t>
      </w:r>
      <w:r w:rsidR="00C35867" w:rsidRPr="00A21D7D">
        <w:rPr>
          <w:rFonts w:cs="Arial"/>
        </w:rPr>
        <w:t xml:space="preserve">Our online training modules are designed to provide accessible, alternative learning options for people who may be unable to access face-to-face education. Individuals can subscribe to online training directly through </w:t>
      </w:r>
      <w:r>
        <w:rPr>
          <w:rFonts w:cs="Arial"/>
        </w:rPr>
        <w:t xml:space="preserve">our </w:t>
      </w:r>
      <w:r w:rsidR="00C35867" w:rsidRPr="00A21D7D">
        <w:rPr>
          <w:rFonts w:cs="Arial"/>
        </w:rPr>
        <w:t xml:space="preserve">website, and bulk subscriptions or SCORM files provide a cost-effective training solution for larger groups or organisations. </w:t>
      </w:r>
    </w:p>
    <w:p w14:paraId="5DEF1252" w14:textId="7DDCCFB9" w:rsidR="00300070" w:rsidRPr="00A21D7D" w:rsidRDefault="00694F79">
      <w:pPr>
        <w:rPr>
          <w:rFonts w:cs="Arial"/>
        </w:rPr>
      </w:pPr>
      <w:r>
        <w:rPr>
          <w:rFonts w:cs="Arial"/>
        </w:rPr>
        <w:t>We</w:t>
      </w:r>
      <w:r w:rsidR="00300070" w:rsidRPr="00A21D7D">
        <w:rPr>
          <w:rFonts w:cs="Arial"/>
        </w:rPr>
        <w:t xml:space="preserve"> offered four online training modules throughout 2019-20, with three being available to the general public and one being a tailored module for the Department of Transport and Main Roads. </w:t>
      </w:r>
    </w:p>
    <w:p w14:paraId="1B0DF273" w14:textId="2E8CE1C3" w:rsidR="00185A75" w:rsidRDefault="00300070" w:rsidP="00300070">
      <w:pPr>
        <w:rPr>
          <w:rFonts w:cs="Arial"/>
        </w:rPr>
      </w:pPr>
      <w:r w:rsidRPr="00A21D7D">
        <w:rPr>
          <w:rFonts w:cs="Arial"/>
        </w:rPr>
        <w:t xml:space="preserve">Our </w:t>
      </w:r>
      <w:r w:rsidRPr="00B77E05">
        <w:rPr>
          <w:rFonts w:cs="Arial"/>
          <w:i/>
        </w:rPr>
        <w:t>Discrimination awareness in Queensland</w:t>
      </w:r>
      <w:r w:rsidRPr="00A21D7D">
        <w:rPr>
          <w:rFonts w:cs="Arial"/>
        </w:rPr>
        <w:t xml:space="preserve"> module was an existing product that was transitioned to the new online portal in July 2020.</w:t>
      </w:r>
      <w:r w:rsidR="00B10E8B">
        <w:rPr>
          <w:rFonts w:cs="Arial"/>
        </w:rPr>
        <w:t xml:space="preserve"> </w:t>
      </w:r>
      <w:r w:rsidR="00185A75" w:rsidRPr="00A21D7D">
        <w:rPr>
          <w:rFonts w:cs="Arial"/>
        </w:rPr>
        <w:t xml:space="preserve">With only aesthetic and functional improvements to the module, demand still exceeded the previous year with 795 enrolments this year compared to 184 in 2018-19. </w:t>
      </w:r>
    </w:p>
    <w:p w14:paraId="6DBDB0F5" w14:textId="3CDF2E54" w:rsidR="001C5C5A" w:rsidRPr="00A21D7D" w:rsidRDefault="001C5C5A" w:rsidP="001C5C5A">
      <w:pPr>
        <w:pStyle w:val="Keystatistics"/>
      </w:pPr>
      <w:r>
        <w:t xml:space="preserve">Enrolments in our online ‘Discrimination awareness in Queensland’ training module grew by </w:t>
      </w:r>
      <w:r w:rsidRPr="001C5C5A">
        <w:rPr>
          <w:sz w:val="36"/>
          <w:szCs w:val="36"/>
        </w:rPr>
        <w:t>332%</w:t>
      </w:r>
      <w:r>
        <w:t xml:space="preserve"> in 2019-20 compared to last year.  </w:t>
      </w:r>
    </w:p>
    <w:p w14:paraId="5D41CA55" w14:textId="3346B5A0" w:rsidR="00300070" w:rsidRPr="00A21D7D" w:rsidRDefault="00185A75" w:rsidP="00300070">
      <w:pPr>
        <w:rPr>
          <w:rFonts w:cs="Arial"/>
        </w:rPr>
      </w:pPr>
      <w:r w:rsidRPr="00A21D7D">
        <w:rPr>
          <w:rFonts w:cs="Arial"/>
        </w:rPr>
        <w:t>Two additional</w:t>
      </w:r>
      <w:r w:rsidR="00300070" w:rsidRPr="00A21D7D">
        <w:rPr>
          <w:rFonts w:cs="Arial"/>
        </w:rPr>
        <w:t xml:space="preserve"> products were launched this year to provide information about the </w:t>
      </w:r>
      <w:r w:rsidRPr="00A21D7D">
        <w:rPr>
          <w:rFonts w:cs="Arial"/>
        </w:rPr>
        <w:t>new Queensland human rights legislation</w:t>
      </w:r>
      <w:r w:rsidR="00300070" w:rsidRPr="00A21D7D">
        <w:rPr>
          <w:rFonts w:cs="Arial"/>
        </w:rPr>
        <w:t xml:space="preserve">. The </w:t>
      </w:r>
      <w:r w:rsidR="00300070" w:rsidRPr="00A21D7D">
        <w:rPr>
          <w:rFonts w:cs="Arial"/>
          <w:i/>
        </w:rPr>
        <w:t>Introduction</w:t>
      </w:r>
      <w:r w:rsidRPr="00A21D7D">
        <w:rPr>
          <w:rFonts w:cs="Arial"/>
          <w:i/>
        </w:rPr>
        <w:t xml:space="preserve"> to the Queensland </w:t>
      </w:r>
      <w:r w:rsidR="00FC6699" w:rsidRPr="00FC6699">
        <w:rPr>
          <w:rFonts w:cs="Arial"/>
          <w:i/>
        </w:rPr>
        <w:t>Human Rights Act 2019</w:t>
      </w:r>
      <w:r w:rsidRPr="00A21D7D">
        <w:rPr>
          <w:rFonts w:cs="Arial"/>
        </w:rPr>
        <w:t xml:space="preserve"> module is offered free of charge and provides</w:t>
      </w:r>
      <w:r w:rsidR="00406AC5">
        <w:rPr>
          <w:rFonts w:cs="Arial"/>
        </w:rPr>
        <w:t xml:space="preserve"> a</w:t>
      </w:r>
      <w:r w:rsidRPr="00A21D7D">
        <w:rPr>
          <w:rFonts w:cs="Arial"/>
        </w:rPr>
        <w:t xml:space="preserve"> very basic overview of the key elements of the Act. The module is designed to raise general awareness of human rights in the community. The second module, </w:t>
      </w:r>
      <w:r w:rsidRPr="00A21D7D">
        <w:rPr>
          <w:rFonts w:cs="Arial"/>
          <w:i/>
        </w:rPr>
        <w:t xml:space="preserve">Public entities and the Queensland </w:t>
      </w:r>
      <w:r w:rsidR="00FC6699" w:rsidRPr="00FC6699">
        <w:rPr>
          <w:rFonts w:cs="Arial"/>
          <w:i/>
        </w:rPr>
        <w:t>Human Rights Act 2019</w:t>
      </w:r>
      <w:r w:rsidRPr="00A21D7D">
        <w:rPr>
          <w:rFonts w:cs="Arial"/>
        </w:rPr>
        <w:t xml:space="preserve"> is, as the name suggests, designed to acquaint public entities with the Act and their obligations contained within. </w:t>
      </w:r>
    </w:p>
    <w:p w14:paraId="2ADC015C" w14:textId="76D3EE22" w:rsidR="001C5C5A" w:rsidRDefault="00185A75">
      <w:pPr>
        <w:rPr>
          <w:rFonts w:cs="Arial"/>
        </w:rPr>
      </w:pPr>
      <w:r w:rsidRPr="00A21D7D">
        <w:rPr>
          <w:rFonts w:cs="Arial"/>
        </w:rPr>
        <w:t xml:space="preserve">The fourth module, </w:t>
      </w:r>
      <w:r w:rsidR="00B77E05">
        <w:rPr>
          <w:rFonts w:cs="Arial"/>
          <w:i/>
        </w:rPr>
        <w:t>Access and i</w:t>
      </w:r>
      <w:r w:rsidRPr="00B77E05">
        <w:rPr>
          <w:rFonts w:cs="Arial"/>
          <w:i/>
        </w:rPr>
        <w:t>nclusion</w:t>
      </w:r>
      <w:r w:rsidR="00B77E05">
        <w:rPr>
          <w:rFonts w:cs="Arial"/>
          <w:i/>
        </w:rPr>
        <w:t>,</w:t>
      </w:r>
      <w:r w:rsidRPr="00A21D7D">
        <w:rPr>
          <w:rFonts w:cs="Arial"/>
        </w:rPr>
        <w:t xml:space="preserve"> is a bespoke offering designed for the Department of Transport and Main Roads in response to the New Generation Rollingstock Train Commission of Inquiry</w:t>
      </w:r>
      <w:r w:rsidR="0035526C" w:rsidRPr="00A21D7D">
        <w:rPr>
          <w:rFonts w:cs="Arial"/>
        </w:rPr>
        <w:t xml:space="preserve"> – recommendation 15</w:t>
      </w:r>
      <w:r w:rsidRPr="00A21D7D">
        <w:rPr>
          <w:rFonts w:cs="Arial"/>
        </w:rPr>
        <w:t>.</w:t>
      </w:r>
      <w:r w:rsidR="0035526C" w:rsidRPr="00A21D7D">
        <w:rPr>
          <w:rFonts w:cs="Arial"/>
        </w:rPr>
        <w:t xml:space="preserve"> The module is only accessible to staff of the department. It is designed to educate them on their obligations, especially as a provider of goods and services, under the relevant disability legislation including </w:t>
      </w:r>
      <w:r w:rsidR="0035526C" w:rsidRPr="00A21D7D">
        <w:rPr>
          <w:rFonts w:cs="Arial"/>
          <w:i/>
        </w:rPr>
        <w:t>Disability Discrimination Act 1992.</w:t>
      </w:r>
      <w:r w:rsidRPr="00A21D7D">
        <w:rPr>
          <w:rFonts w:cs="Arial"/>
        </w:rPr>
        <w:t xml:space="preserve"> </w:t>
      </w:r>
    </w:p>
    <w:p w14:paraId="3B638710" w14:textId="77777777" w:rsidR="001C5C5A" w:rsidRDefault="001C5C5A">
      <w:pPr>
        <w:ind w:right="0"/>
        <w:rPr>
          <w:rFonts w:cs="Arial"/>
        </w:rPr>
      </w:pPr>
      <w:r>
        <w:rPr>
          <w:rFonts w:cs="Arial"/>
        </w:rPr>
        <w:br w:type="page"/>
      </w:r>
    </w:p>
    <w:p w14:paraId="69518122" w14:textId="77777777" w:rsidR="00185A75" w:rsidRPr="00A21D7D" w:rsidRDefault="00185A75">
      <w:pPr>
        <w:rPr>
          <w:rFonts w:cs="Arial"/>
          <w:color w:val="FFFFFF"/>
          <w:sz w:val="20"/>
          <w:szCs w:val="20"/>
          <w:shd w:val="clear" w:color="auto" w:fill="5D6C80"/>
        </w:rPr>
      </w:pPr>
    </w:p>
    <w:p w14:paraId="18A4A946" w14:textId="77777777" w:rsidR="00510398" w:rsidRDefault="00300070" w:rsidP="00510398">
      <w:pPr>
        <w:pStyle w:val="Keystatistics"/>
      </w:pPr>
      <w:r w:rsidRPr="00A21D7D">
        <w:t xml:space="preserve">The response to our online training offerings this year was unprecedented with almost </w:t>
      </w:r>
      <w:r w:rsidRPr="00510398">
        <w:rPr>
          <w:sz w:val="36"/>
          <w:szCs w:val="36"/>
        </w:rPr>
        <w:t>36,000</w:t>
      </w:r>
      <w:r w:rsidRPr="00A21D7D">
        <w:t xml:space="preserve"> people subscribing to the four available modules. </w:t>
      </w:r>
    </w:p>
    <w:p w14:paraId="48C141DF" w14:textId="42718914" w:rsidR="00300070" w:rsidRPr="00A21D7D" w:rsidRDefault="0035526C">
      <w:pPr>
        <w:rPr>
          <w:rFonts w:cs="Arial"/>
        </w:rPr>
      </w:pPr>
      <w:r w:rsidRPr="00A21D7D">
        <w:rPr>
          <w:rFonts w:cs="Arial"/>
        </w:rPr>
        <w:t>Additionally, completion rates once subscribed are strong, ranging between 79% and 94% across all four modules.</w:t>
      </w:r>
    </w:p>
    <w:p w14:paraId="56534078" w14:textId="4E6E1B66" w:rsidR="00510398" w:rsidRDefault="00510398">
      <w:pPr>
        <w:ind w:right="0"/>
        <w:rPr>
          <w:rFonts w:eastAsiaTheme="minorEastAsia" w:cs="Arial"/>
          <w:b/>
          <w:bCs/>
          <w:i/>
          <w:iCs/>
          <w:sz w:val="20"/>
          <w:szCs w:val="18"/>
        </w:rPr>
      </w:pPr>
    </w:p>
    <w:p w14:paraId="77A91AFD" w14:textId="52245164" w:rsidR="002524AA" w:rsidRPr="00FC6699" w:rsidRDefault="00967396" w:rsidP="003833F2">
      <w:pPr>
        <w:pStyle w:val="Caption"/>
        <w:rPr>
          <w:rFonts w:cs="Arial"/>
          <w:color w:val="auto"/>
        </w:rPr>
      </w:pPr>
      <w:r w:rsidRPr="00FC6699">
        <w:rPr>
          <w:rFonts w:cs="Arial"/>
          <w:color w:val="auto"/>
        </w:rPr>
        <w:t>Table 3</w:t>
      </w:r>
      <w:r w:rsidR="002524AA" w:rsidRPr="00FC6699">
        <w:rPr>
          <w:rFonts w:cs="Arial"/>
          <w:color w:val="auto"/>
        </w:rPr>
        <w:t>a: Types of online training</w:t>
      </w:r>
    </w:p>
    <w:tbl>
      <w:tblPr>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3114"/>
        <w:gridCol w:w="2410"/>
        <w:gridCol w:w="2693"/>
      </w:tblGrid>
      <w:tr w:rsidR="002524AA" w:rsidRPr="00A21D7D" w14:paraId="70DD7842" w14:textId="77777777" w:rsidTr="00354795">
        <w:tc>
          <w:tcPr>
            <w:tcW w:w="3114" w:type="dxa"/>
          </w:tcPr>
          <w:p w14:paraId="2D7D5931" w14:textId="77777777" w:rsidR="002524AA" w:rsidRPr="00A21D7D" w:rsidRDefault="002524AA" w:rsidP="00354795">
            <w:pPr>
              <w:pStyle w:val="TableTextHeading"/>
            </w:pPr>
            <w:r w:rsidRPr="00A21D7D">
              <w:t>Course</w:t>
            </w:r>
          </w:p>
        </w:tc>
        <w:tc>
          <w:tcPr>
            <w:tcW w:w="2410" w:type="dxa"/>
          </w:tcPr>
          <w:p w14:paraId="3CD37B40" w14:textId="77777777" w:rsidR="002524AA" w:rsidRPr="00A21D7D" w:rsidRDefault="002524AA" w:rsidP="00354795">
            <w:pPr>
              <w:pStyle w:val="TableTextHeading"/>
            </w:pPr>
            <w:r w:rsidRPr="00A21D7D">
              <w:t>Enrolled</w:t>
            </w:r>
          </w:p>
        </w:tc>
        <w:tc>
          <w:tcPr>
            <w:tcW w:w="2693" w:type="dxa"/>
          </w:tcPr>
          <w:p w14:paraId="182C26E9" w14:textId="77777777" w:rsidR="002524AA" w:rsidRPr="00A21D7D" w:rsidRDefault="002524AA" w:rsidP="00354795">
            <w:pPr>
              <w:pStyle w:val="TableTextHeading"/>
            </w:pPr>
            <w:r w:rsidRPr="00A21D7D">
              <w:t>Completed</w:t>
            </w:r>
          </w:p>
        </w:tc>
      </w:tr>
      <w:tr w:rsidR="002524AA" w:rsidRPr="00A21D7D" w14:paraId="08C536BC" w14:textId="77777777" w:rsidTr="00354795">
        <w:tc>
          <w:tcPr>
            <w:tcW w:w="3114" w:type="dxa"/>
          </w:tcPr>
          <w:p w14:paraId="7B5B5DFB" w14:textId="6D3A7275" w:rsidR="002524AA" w:rsidRPr="00A21D7D" w:rsidRDefault="00B77E05" w:rsidP="00411815">
            <w:pPr>
              <w:pStyle w:val="TableTextBody"/>
            </w:pPr>
            <w:r>
              <w:t>Discrimination a</w:t>
            </w:r>
            <w:r w:rsidR="002524AA" w:rsidRPr="00A21D7D">
              <w:t>wareness in Queensland</w:t>
            </w:r>
          </w:p>
        </w:tc>
        <w:tc>
          <w:tcPr>
            <w:tcW w:w="2410" w:type="dxa"/>
          </w:tcPr>
          <w:p w14:paraId="7B31567F" w14:textId="77777777" w:rsidR="002524AA" w:rsidRPr="00A21D7D" w:rsidRDefault="00FB6073" w:rsidP="00411815">
            <w:pPr>
              <w:pStyle w:val="TableTextBody"/>
            </w:pPr>
            <w:r w:rsidRPr="00A21D7D">
              <w:t>795</w:t>
            </w:r>
          </w:p>
        </w:tc>
        <w:tc>
          <w:tcPr>
            <w:tcW w:w="2693" w:type="dxa"/>
          </w:tcPr>
          <w:p w14:paraId="2ED05121" w14:textId="77777777" w:rsidR="002524AA" w:rsidRPr="00A21D7D" w:rsidRDefault="00FB6073" w:rsidP="00411815">
            <w:pPr>
              <w:pStyle w:val="TableTextBody"/>
            </w:pPr>
            <w:r w:rsidRPr="00A21D7D">
              <w:t>630</w:t>
            </w:r>
          </w:p>
        </w:tc>
      </w:tr>
      <w:tr w:rsidR="002524AA" w:rsidRPr="00A21D7D" w14:paraId="4E1D7172" w14:textId="77777777" w:rsidTr="00354795">
        <w:tc>
          <w:tcPr>
            <w:tcW w:w="3114" w:type="dxa"/>
          </w:tcPr>
          <w:p w14:paraId="10D17250" w14:textId="351C2AAD" w:rsidR="002524AA" w:rsidRPr="00A21D7D" w:rsidRDefault="002524AA" w:rsidP="00411815">
            <w:pPr>
              <w:pStyle w:val="TableTextBody"/>
            </w:pPr>
            <w:r w:rsidRPr="00A21D7D">
              <w:t xml:space="preserve">Introduction to the Queensland </w:t>
            </w:r>
            <w:r w:rsidR="00FC6699" w:rsidRPr="00FC6699">
              <w:rPr>
                <w:i/>
              </w:rPr>
              <w:t>Human Rights Act 2019</w:t>
            </w:r>
          </w:p>
        </w:tc>
        <w:tc>
          <w:tcPr>
            <w:tcW w:w="2410" w:type="dxa"/>
          </w:tcPr>
          <w:p w14:paraId="4E1B1A63" w14:textId="77777777" w:rsidR="002524AA" w:rsidRPr="00A21D7D" w:rsidRDefault="00FB6073" w:rsidP="00411815">
            <w:pPr>
              <w:pStyle w:val="TableTextBody"/>
            </w:pPr>
            <w:r w:rsidRPr="00A21D7D">
              <w:t>7901</w:t>
            </w:r>
          </w:p>
        </w:tc>
        <w:tc>
          <w:tcPr>
            <w:tcW w:w="2693" w:type="dxa"/>
          </w:tcPr>
          <w:p w14:paraId="00D03211" w14:textId="77777777" w:rsidR="002524AA" w:rsidRPr="00A21D7D" w:rsidRDefault="00FB6073" w:rsidP="00411815">
            <w:pPr>
              <w:pStyle w:val="TableTextBody"/>
            </w:pPr>
            <w:r w:rsidRPr="00A21D7D">
              <w:t>6312</w:t>
            </w:r>
          </w:p>
        </w:tc>
      </w:tr>
      <w:tr w:rsidR="002524AA" w:rsidRPr="00A21D7D" w14:paraId="05A688B0" w14:textId="77777777" w:rsidTr="00354795">
        <w:tc>
          <w:tcPr>
            <w:tcW w:w="3114" w:type="dxa"/>
          </w:tcPr>
          <w:p w14:paraId="5A95EFE4" w14:textId="0A0B844A" w:rsidR="002524AA" w:rsidRPr="00A21D7D" w:rsidRDefault="002524AA" w:rsidP="00411815">
            <w:pPr>
              <w:pStyle w:val="TableTextBody"/>
            </w:pPr>
            <w:r w:rsidRPr="00A21D7D">
              <w:t xml:space="preserve">Public entities and the Queensland </w:t>
            </w:r>
            <w:r w:rsidR="00FC6699" w:rsidRPr="00FC6699">
              <w:rPr>
                <w:i/>
              </w:rPr>
              <w:t>Human Rights Act 2019</w:t>
            </w:r>
          </w:p>
        </w:tc>
        <w:tc>
          <w:tcPr>
            <w:tcW w:w="2410" w:type="dxa"/>
          </w:tcPr>
          <w:p w14:paraId="4520DC17" w14:textId="77777777" w:rsidR="002524AA" w:rsidRPr="00A21D7D" w:rsidRDefault="00FB6073" w:rsidP="00411815">
            <w:pPr>
              <w:pStyle w:val="TableTextBody"/>
            </w:pPr>
            <w:r w:rsidRPr="00A21D7D">
              <w:t>20,611</w:t>
            </w:r>
          </w:p>
        </w:tc>
        <w:tc>
          <w:tcPr>
            <w:tcW w:w="2693" w:type="dxa"/>
          </w:tcPr>
          <w:p w14:paraId="18A8252A" w14:textId="77777777" w:rsidR="002524AA" w:rsidRPr="00A21D7D" w:rsidRDefault="00FB6073" w:rsidP="00411815">
            <w:pPr>
              <w:pStyle w:val="TableTextBody"/>
            </w:pPr>
            <w:r w:rsidRPr="00A21D7D">
              <w:t>18,141</w:t>
            </w:r>
          </w:p>
        </w:tc>
      </w:tr>
      <w:tr w:rsidR="002524AA" w:rsidRPr="00A21D7D" w14:paraId="48E2510F" w14:textId="77777777" w:rsidTr="00354795">
        <w:tc>
          <w:tcPr>
            <w:tcW w:w="3114" w:type="dxa"/>
          </w:tcPr>
          <w:p w14:paraId="60D685E7" w14:textId="59B3FC48" w:rsidR="002524AA" w:rsidRPr="00A21D7D" w:rsidRDefault="002524AA" w:rsidP="00411815">
            <w:pPr>
              <w:pStyle w:val="TableTextBody"/>
            </w:pPr>
            <w:r w:rsidRPr="00A21D7D">
              <w:t xml:space="preserve">Access and </w:t>
            </w:r>
            <w:r w:rsidR="00B77E05">
              <w:t>i</w:t>
            </w:r>
            <w:r w:rsidRPr="00A21D7D">
              <w:t>nclusion*</w:t>
            </w:r>
          </w:p>
        </w:tc>
        <w:tc>
          <w:tcPr>
            <w:tcW w:w="2410" w:type="dxa"/>
          </w:tcPr>
          <w:p w14:paraId="20DBD114" w14:textId="77777777" w:rsidR="002524AA" w:rsidRPr="00A21D7D" w:rsidRDefault="00FB6073" w:rsidP="00411815">
            <w:pPr>
              <w:pStyle w:val="TableTextBody"/>
            </w:pPr>
            <w:r w:rsidRPr="00A21D7D">
              <w:t>6645</w:t>
            </w:r>
          </w:p>
        </w:tc>
        <w:tc>
          <w:tcPr>
            <w:tcW w:w="2693" w:type="dxa"/>
          </w:tcPr>
          <w:p w14:paraId="2BF09DCB" w14:textId="77777777" w:rsidR="002524AA" w:rsidRPr="00A21D7D" w:rsidRDefault="00FB6073" w:rsidP="00411815">
            <w:pPr>
              <w:pStyle w:val="TableTextBody"/>
            </w:pPr>
            <w:r w:rsidRPr="00A21D7D">
              <w:t>6294</w:t>
            </w:r>
          </w:p>
        </w:tc>
      </w:tr>
    </w:tbl>
    <w:p w14:paraId="2D4C7DE6" w14:textId="77777777" w:rsidR="002524AA" w:rsidRPr="00A21D7D" w:rsidRDefault="002524AA" w:rsidP="00A72450">
      <w:pPr>
        <w:pStyle w:val="Note"/>
      </w:pPr>
      <w:r w:rsidRPr="00A21D7D">
        <w:t xml:space="preserve">*Tailored product developed for Department of Transport and Main Roads </w:t>
      </w:r>
    </w:p>
    <w:p w14:paraId="2E0453F7" w14:textId="77777777" w:rsidR="001C5C5A" w:rsidRDefault="001C5C5A" w:rsidP="003833F2">
      <w:pPr>
        <w:pStyle w:val="Caption"/>
        <w:rPr>
          <w:rFonts w:cs="Arial"/>
          <w:color w:val="auto"/>
          <w:szCs w:val="24"/>
        </w:rPr>
      </w:pPr>
    </w:p>
    <w:p w14:paraId="6A86A509" w14:textId="0CF855E8" w:rsidR="003833F2" w:rsidRPr="00FC6699" w:rsidRDefault="003833F2" w:rsidP="003833F2">
      <w:pPr>
        <w:pStyle w:val="Caption"/>
        <w:rPr>
          <w:rFonts w:cs="Arial"/>
          <w:color w:val="auto"/>
          <w:szCs w:val="24"/>
        </w:rPr>
      </w:pPr>
      <w:r w:rsidRPr="00FC6699">
        <w:rPr>
          <w:rFonts w:cs="Arial"/>
          <w:color w:val="auto"/>
          <w:szCs w:val="24"/>
        </w:rPr>
        <w:t xml:space="preserve">Table </w:t>
      </w:r>
      <w:r w:rsidR="00967396" w:rsidRPr="00FC6699">
        <w:rPr>
          <w:rFonts w:cs="Arial"/>
          <w:color w:val="auto"/>
          <w:szCs w:val="24"/>
        </w:rPr>
        <w:t>4</w:t>
      </w:r>
      <w:r w:rsidRPr="00FC6699">
        <w:rPr>
          <w:rFonts w:cs="Arial"/>
          <w:color w:val="auto"/>
          <w:szCs w:val="24"/>
        </w:rPr>
        <w:t>: Details of training sessions</w:t>
      </w:r>
    </w:p>
    <w:tbl>
      <w:tblPr>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1E0" w:firstRow="1" w:lastRow="1" w:firstColumn="1" w:lastColumn="1" w:noHBand="0" w:noVBand="0"/>
      </w:tblPr>
      <w:tblGrid>
        <w:gridCol w:w="1980"/>
        <w:gridCol w:w="1417"/>
        <w:gridCol w:w="1134"/>
        <w:gridCol w:w="1134"/>
        <w:gridCol w:w="1276"/>
        <w:gridCol w:w="1276"/>
      </w:tblGrid>
      <w:tr w:rsidR="003833F2" w:rsidRPr="00A21D7D" w14:paraId="798F1F9A" w14:textId="77777777" w:rsidTr="001C5C5A">
        <w:tc>
          <w:tcPr>
            <w:tcW w:w="1980" w:type="dxa"/>
          </w:tcPr>
          <w:p w14:paraId="4A764B39" w14:textId="77777777" w:rsidR="003833F2" w:rsidRPr="00A21D7D" w:rsidRDefault="003833F2" w:rsidP="00411815">
            <w:pPr>
              <w:pStyle w:val="TableTextHeading"/>
              <w:rPr>
                <w:lang w:eastAsia="en-AU"/>
              </w:rPr>
            </w:pPr>
          </w:p>
        </w:tc>
        <w:tc>
          <w:tcPr>
            <w:tcW w:w="1417" w:type="dxa"/>
          </w:tcPr>
          <w:p w14:paraId="37309456" w14:textId="77777777" w:rsidR="003833F2" w:rsidRPr="00A21D7D" w:rsidRDefault="003833F2" w:rsidP="00411815">
            <w:pPr>
              <w:pStyle w:val="TableTextHeading"/>
              <w:rPr>
                <w:bCs/>
                <w:lang w:eastAsia="en-AU"/>
              </w:rPr>
            </w:pPr>
            <w:r w:rsidRPr="00A21D7D">
              <w:rPr>
                <w:bCs/>
                <w:lang w:eastAsia="en-AU"/>
              </w:rPr>
              <w:t>South-East</w:t>
            </w:r>
          </w:p>
        </w:tc>
        <w:tc>
          <w:tcPr>
            <w:tcW w:w="1134" w:type="dxa"/>
          </w:tcPr>
          <w:p w14:paraId="5DB77DC8" w14:textId="77777777" w:rsidR="003833F2" w:rsidRPr="00A21D7D" w:rsidRDefault="003833F2" w:rsidP="00411815">
            <w:pPr>
              <w:pStyle w:val="TableTextHeading"/>
              <w:rPr>
                <w:bCs/>
                <w:lang w:eastAsia="en-AU"/>
              </w:rPr>
            </w:pPr>
            <w:r w:rsidRPr="00A21D7D">
              <w:rPr>
                <w:bCs/>
                <w:lang w:eastAsia="en-AU"/>
              </w:rPr>
              <w:t>Central</w:t>
            </w:r>
          </w:p>
        </w:tc>
        <w:tc>
          <w:tcPr>
            <w:tcW w:w="1134" w:type="dxa"/>
          </w:tcPr>
          <w:p w14:paraId="636159FD" w14:textId="77777777" w:rsidR="003833F2" w:rsidRPr="00A21D7D" w:rsidRDefault="003833F2" w:rsidP="00411815">
            <w:pPr>
              <w:pStyle w:val="TableTextHeading"/>
              <w:rPr>
                <w:bCs/>
                <w:lang w:eastAsia="en-AU"/>
              </w:rPr>
            </w:pPr>
            <w:r w:rsidRPr="00A21D7D">
              <w:rPr>
                <w:bCs/>
                <w:lang w:eastAsia="en-AU"/>
              </w:rPr>
              <w:t>North</w:t>
            </w:r>
          </w:p>
        </w:tc>
        <w:tc>
          <w:tcPr>
            <w:tcW w:w="1276" w:type="dxa"/>
          </w:tcPr>
          <w:p w14:paraId="28C6342D" w14:textId="77777777" w:rsidR="003833F2" w:rsidRPr="00A21D7D" w:rsidRDefault="003833F2" w:rsidP="00411815">
            <w:pPr>
              <w:pStyle w:val="TableTextHeading"/>
              <w:rPr>
                <w:bCs/>
                <w:lang w:eastAsia="en-AU"/>
              </w:rPr>
            </w:pPr>
            <w:r w:rsidRPr="00A21D7D">
              <w:rPr>
                <w:bCs/>
                <w:lang w:eastAsia="en-AU"/>
              </w:rPr>
              <w:t>Far North</w:t>
            </w:r>
          </w:p>
        </w:tc>
        <w:tc>
          <w:tcPr>
            <w:tcW w:w="1276" w:type="dxa"/>
          </w:tcPr>
          <w:p w14:paraId="56CC6016" w14:textId="77777777" w:rsidR="003833F2" w:rsidRPr="00A21D7D" w:rsidRDefault="003833F2" w:rsidP="00411815">
            <w:pPr>
              <w:pStyle w:val="TableTextHeading"/>
              <w:rPr>
                <w:bCs/>
                <w:lang w:eastAsia="en-AU"/>
              </w:rPr>
            </w:pPr>
            <w:r w:rsidRPr="00A21D7D">
              <w:rPr>
                <w:bCs/>
                <w:lang w:eastAsia="en-AU"/>
              </w:rPr>
              <w:t>Total</w:t>
            </w:r>
          </w:p>
        </w:tc>
      </w:tr>
      <w:tr w:rsidR="003833F2" w:rsidRPr="00A21D7D" w14:paraId="5F59747D" w14:textId="77777777" w:rsidTr="001C5C5A">
        <w:tc>
          <w:tcPr>
            <w:tcW w:w="1980" w:type="dxa"/>
          </w:tcPr>
          <w:p w14:paraId="02BC6191" w14:textId="77777777" w:rsidR="003833F2" w:rsidRPr="00A21D7D" w:rsidRDefault="003833F2" w:rsidP="00411815">
            <w:pPr>
              <w:pStyle w:val="TableTextBody"/>
              <w:rPr>
                <w:i/>
                <w:lang w:eastAsia="en-AU"/>
              </w:rPr>
            </w:pPr>
            <w:r w:rsidRPr="00A21D7D">
              <w:rPr>
                <w:lang w:eastAsia="en-AU"/>
              </w:rPr>
              <w:t>No. of people</w:t>
            </w:r>
          </w:p>
        </w:tc>
        <w:tc>
          <w:tcPr>
            <w:tcW w:w="1417" w:type="dxa"/>
          </w:tcPr>
          <w:p w14:paraId="0FF7ACA7" w14:textId="77777777" w:rsidR="003833F2" w:rsidRPr="00354795" w:rsidRDefault="003833F2" w:rsidP="00411815">
            <w:pPr>
              <w:pStyle w:val="TableTextBody"/>
              <w:rPr>
                <w:lang w:eastAsia="en-AU"/>
              </w:rPr>
            </w:pPr>
            <w:r w:rsidRPr="00354795">
              <w:rPr>
                <w:lang w:eastAsia="en-AU"/>
              </w:rPr>
              <w:t>4463</w:t>
            </w:r>
          </w:p>
        </w:tc>
        <w:tc>
          <w:tcPr>
            <w:tcW w:w="1134" w:type="dxa"/>
          </w:tcPr>
          <w:p w14:paraId="2BA74642" w14:textId="77777777" w:rsidR="003833F2" w:rsidRPr="00354795" w:rsidRDefault="003833F2" w:rsidP="00411815">
            <w:pPr>
              <w:pStyle w:val="TableTextBody"/>
              <w:rPr>
                <w:lang w:eastAsia="en-AU"/>
              </w:rPr>
            </w:pPr>
            <w:r w:rsidRPr="00354795">
              <w:rPr>
                <w:lang w:eastAsia="en-AU"/>
              </w:rPr>
              <w:t>1330</w:t>
            </w:r>
          </w:p>
        </w:tc>
        <w:tc>
          <w:tcPr>
            <w:tcW w:w="1134" w:type="dxa"/>
          </w:tcPr>
          <w:p w14:paraId="4B3F1650" w14:textId="77777777" w:rsidR="003833F2" w:rsidRPr="00354795" w:rsidRDefault="003833F2" w:rsidP="00411815">
            <w:pPr>
              <w:pStyle w:val="TableTextBody"/>
              <w:rPr>
                <w:lang w:eastAsia="en-AU"/>
              </w:rPr>
            </w:pPr>
            <w:r w:rsidRPr="00354795">
              <w:rPr>
                <w:lang w:eastAsia="en-AU"/>
              </w:rPr>
              <w:t>809</w:t>
            </w:r>
          </w:p>
        </w:tc>
        <w:tc>
          <w:tcPr>
            <w:tcW w:w="1276" w:type="dxa"/>
          </w:tcPr>
          <w:p w14:paraId="4E47C7B7" w14:textId="77777777" w:rsidR="003833F2" w:rsidRPr="00354795" w:rsidRDefault="003833F2" w:rsidP="00411815">
            <w:pPr>
              <w:pStyle w:val="TableTextBody"/>
              <w:rPr>
                <w:lang w:eastAsia="en-AU"/>
              </w:rPr>
            </w:pPr>
            <w:r w:rsidRPr="00354795">
              <w:rPr>
                <w:lang w:eastAsia="en-AU"/>
              </w:rPr>
              <w:t>343</w:t>
            </w:r>
          </w:p>
        </w:tc>
        <w:tc>
          <w:tcPr>
            <w:tcW w:w="1276" w:type="dxa"/>
          </w:tcPr>
          <w:p w14:paraId="32C58A5A" w14:textId="77777777" w:rsidR="003833F2" w:rsidRPr="00354795" w:rsidRDefault="003833F2" w:rsidP="00411815">
            <w:pPr>
              <w:pStyle w:val="TableTextBody"/>
              <w:rPr>
                <w:lang w:eastAsia="en-AU"/>
              </w:rPr>
            </w:pPr>
            <w:r w:rsidRPr="00354795">
              <w:rPr>
                <w:lang w:eastAsia="en-AU"/>
              </w:rPr>
              <w:t>6945</w:t>
            </w:r>
          </w:p>
        </w:tc>
      </w:tr>
      <w:tr w:rsidR="003833F2" w:rsidRPr="00A21D7D" w14:paraId="28AADDCC" w14:textId="77777777" w:rsidTr="001C5C5A">
        <w:tc>
          <w:tcPr>
            <w:tcW w:w="1980" w:type="dxa"/>
          </w:tcPr>
          <w:p w14:paraId="05D6B86E" w14:textId="77777777" w:rsidR="003833F2" w:rsidRPr="00A21D7D" w:rsidRDefault="003833F2" w:rsidP="00411815">
            <w:pPr>
              <w:pStyle w:val="TableTextBody"/>
              <w:rPr>
                <w:i/>
                <w:lang w:eastAsia="en-AU"/>
              </w:rPr>
            </w:pPr>
            <w:r w:rsidRPr="00A21D7D">
              <w:rPr>
                <w:lang w:eastAsia="en-AU"/>
              </w:rPr>
              <w:t>Hours of delivery</w:t>
            </w:r>
          </w:p>
        </w:tc>
        <w:tc>
          <w:tcPr>
            <w:tcW w:w="1417" w:type="dxa"/>
          </w:tcPr>
          <w:p w14:paraId="196DFF59" w14:textId="77777777" w:rsidR="003833F2" w:rsidRPr="00354795" w:rsidRDefault="003833F2" w:rsidP="00411815">
            <w:pPr>
              <w:pStyle w:val="TableTextBody"/>
              <w:rPr>
                <w:lang w:eastAsia="en-AU"/>
              </w:rPr>
            </w:pPr>
            <w:r w:rsidRPr="00354795">
              <w:rPr>
                <w:lang w:eastAsia="en-AU"/>
              </w:rPr>
              <w:t>624</w:t>
            </w:r>
          </w:p>
        </w:tc>
        <w:tc>
          <w:tcPr>
            <w:tcW w:w="1134" w:type="dxa"/>
          </w:tcPr>
          <w:p w14:paraId="2BE9B354" w14:textId="77777777" w:rsidR="003833F2" w:rsidRPr="00354795" w:rsidRDefault="003833F2" w:rsidP="00411815">
            <w:pPr>
              <w:pStyle w:val="TableTextBody"/>
              <w:rPr>
                <w:lang w:eastAsia="en-AU"/>
              </w:rPr>
            </w:pPr>
            <w:r w:rsidRPr="00354795">
              <w:rPr>
                <w:lang w:eastAsia="en-AU"/>
              </w:rPr>
              <w:t>149</w:t>
            </w:r>
          </w:p>
        </w:tc>
        <w:tc>
          <w:tcPr>
            <w:tcW w:w="1134" w:type="dxa"/>
          </w:tcPr>
          <w:p w14:paraId="3F91679F" w14:textId="77777777" w:rsidR="003833F2" w:rsidRPr="00354795" w:rsidRDefault="003833F2" w:rsidP="00411815">
            <w:pPr>
              <w:pStyle w:val="TableTextBody"/>
              <w:rPr>
                <w:lang w:eastAsia="en-AU"/>
              </w:rPr>
            </w:pPr>
            <w:r w:rsidRPr="00354795">
              <w:rPr>
                <w:lang w:eastAsia="en-AU"/>
              </w:rPr>
              <w:t>144</w:t>
            </w:r>
          </w:p>
        </w:tc>
        <w:tc>
          <w:tcPr>
            <w:tcW w:w="1276" w:type="dxa"/>
          </w:tcPr>
          <w:p w14:paraId="48410AE4" w14:textId="77777777" w:rsidR="003833F2" w:rsidRPr="00354795" w:rsidRDefault="003833F2" w:rsidP="00411815">
            <w:pPr>
              <w:pStyle w:val="TableTextBody"/>
              <w:rPr>
                <w:lang w:eastAsia="en-AU"/>
              </w:rPr>
            </w:pPr>
            <w:r w:rsidRPr="00354795">
              <w:rPr>
                <w:lang w:eastAsia="en-AU"/>
              </w:rPr>
              <w:t>79</w:t>
            </w:r>
          </w:p>
        </w:tc>
        <w:tc>
          <w:tcPr>
            <w:tcW w:w="1276" w:type="dxa"/>
          </w:tcPr>
          <w:p w14:paraId="024B954A" w14:textId="77777777" w:rsidR="003833F2" w:rsidRPr="00354795" w:rsidRDefault="003833F2" w:rsidP="00411815">
            <w:pPr>
              <w:pStyle w:val="TableTextBody"/>
              <w:rPr>
                <w:lang w:eastAsia="en-AU"/>
              </w:rPr>
            </w:pPr>
            <w:r w:rsidRPr="00354795">
              <w:rPr>
                <w:lang w:eastAsia="en-AU"/>
              </w:rPr>
              <w:t>996</w:t>
            </w:r>
          </w:p>
        </w:tc>
      </w:tr>
      <w:tr w:rsidR="003833F2" w:rsidRPr="00A21D7D" w14:paraId="1923D927" w14:textId="77777777" w:rsidTr="001C5C5A">
        <w:trPr>
          <w:trHeight w:val="268"/>
        </w:trPr>
        <w:tc>
          <w:tcPr>
            <w:tcW w:w="1980" w:type="dxa"/>
          </w:tcPr>
          <w:p w14:paraId="3E0BB181" w14:textId="15220189" w:rsidR="003833F2" w:rsidRPr="00A21D7D" w:rsidRDefault="003833F2" w:rsidP="00411815">
            <w:pPr>
              <w:pStyle w:val="TableTextBody"/>
              <w:rPr>
                <w:i/>
                <w:lang w:eastAsia="en-AU"/>
              </w:rPr>
            </w:pPr>
            <w:r w:rsidRPr="00A21D7D">
              <w:rPr>
                <w:lang w:eastAsia="en-AU"/>
              </w:rPr>
              <w:t>Actual revenue</w:t>
            </w:r>
            <w:r w:rsidR="001C5C5A">
              <w:rPr>
                <w:lang w:eastAsia="en-AU"/>
              </w:rPr>
              <w:t xml:space="preserve"> ($)</w:t>
            </w:r>
          </w:p>
        </w:tc>
        <w:tc>
          <w:tcPr>
            <w:tcW w:w="1417" w:type="dxa"/>
          </w:tcPr>
          <w:p w14:paraId="61A57CE6" w14:textId="77777777" w:rsidR="003833F2" w:rsidRPr="00354795" w:rsidRDefault="003833F2" w:rsidP="00411815">
            <w:pPr>
              <w:pStyle w:val="TableTextBody"/>
              <w:rPr>
                <w:lang w:eastAsia="en-AU"/>
              </w:rPr>
            </w:pPr>
            <w:r w:rsidRPr="00354795">
              <w:rPr>
                <w:lang w:eastAsia="en-AU"/>
              </w:rPr>
              <w:t>193,989.91</w:t>
            </w:r>
          </w:p>
        </w:tc>
        <w:tc>
          <w:tcPr>
            <w:tcW w:w="1134" w:type="dxa"/>
          </w:tcPr>
          <w:p w14:paraId="24B577FF" w14:textId="77777777" w:rsidR="003833F2" w:rsidRPr="00354795" w:rsidRDefault="003833F2" w:rsidP="00411815">
            <w:pPr>
              <w:pStyle w:val="TableTextBody"/>
              <w:rPr>
                <w:lang w:eastAsia="en-AU"/>
              </w:rPr>
            </w:pPr>
            <w:r w:rsidRPr="00354795">
              <w:rPr>
                <w:lang w:eastAsia="en-AU"/>
              </w:rPr>
              <w:t>41,829.44</w:t>
            </w:r>
          </w:p>
        </w:tc>
        <w:tc>
          <w:tcPr>
            <w:tcW w:w="1134" w:type="dxa"/>
          </w:tcPr>
          <w:p w14:paraId="60C92F73" w14:textId="77777777" w:rsidR="003833F2" w:rsidRPr="00354795" w:rsidRDefault="003833F2" w:rsidP="00411815">
            <w:pPr>
              <w:pStyle w:val="TableTextBody"/>
              <w:rPr>
                <w:lang w:eastAsia="en-AU"/>
              </w:rPr>
            </w:pPr>
            <w:r w:rsidRPr="00354795">
              <w:rPr>
                <w:lang w:eastAsia="en-AU"/>
              </w:rPr>
              <w:t>42,852.84</w:t>
            </w:r>
          </w:p>
        </w:tc>
        <w:tc>
          <w:tcPr>
            <w:tcW w:w="1276" w:type="dxa"/>
          </w:tcPr>
          <w:p w14:paraId="212E495D" w14:textId="77777777" w:rsidR="003833F2" w:rsidRPr="00354795" w:rsidRDefault="003833F2" w:rsidP="00411815">
            <w:pPr>
              <w:pStyle w:val="TableTextBody"/>
              <w:rPr>
                <w:lang w:eastAsia="en-AU"/>
              </w:rPr>
            </w:pPr>
            <w:r w:rsidRPr="00354795">
              <w:rPr>
                <w:lang w:eastAsia="en-AU"/>
              </w:rPr>
              <w:t>11,320.94</w:t>
            </w:r>
          </w:p>
        </w:tc>
        <w:tc>
          <w:tcPr>
            <w:tcW w:w="1276" w:type="dxa"/>
          </w:tcPr>
          <w:p w14:paraId="07C12E8F" w14:textId="77777777" w:rsidR="003833F2" w:rsidRPr="00354795" w:rsidRDefault="003833F2" w:rsidP="00411815">
            <w:pPr>
              <w:pStyle w:val="TableTextBody"/>
              <w:rPr>
                <w:lang w:eastAsia="en-AU"/>
              </w:rPr>
            </w:pPr>
            <w:r w:rsidRPr="00354795">
              <w:rPr>
                <w:lang w:eastAsia="en-AU"/>
              </w:rPr>
              <w:t>289,993.13</w:t>
            </w:r>
          </w:p>
        </w:tc>
      </w:tr>
    </w:tbl>
    <w:p w14:paraId="0F4E5F4C" w14:textId="77777777" w:rsidR="003833F2" w:rsidRPr="00A21D7D" w:rsidRDefault="003833F2">
      <w:pPr>
        <w:rPr>
          <w:rFonts w:cs="Arial"/>
        </w:rPr>
      </w:pPr>
    </w:p>
    <w:p w14:paraId="665A3209" w14:textId="2A3013E1" w:rsidR="006D28CC" w:rsidRPr="00A21D7D" w:rsidRDefault="0035526C" w:rsidP="00884317">
      <w:pPr>
        <w:autoSpaceDE w:val="0"/>
        <w:autoSpaceDN w:val="0"/>
        <w:adjustRightInd w:val="0"/>
        <w:spacing w:after="0" w:line="240" w:lineRule="auto"/>
        <w:rPr>
          <w:rFonts w:cs="Arial"/>
          <w:szCs w:val="20"/>
        </w:rPr>
      </w:pPr>
      <w:r w:rsidRPr="00A21D7D">
        <w:rPr>
          <w:rFonts w:cs="Arial"/>
          <w:szCs w:val="20"/>
        </w:rPr>
        <w:t>As a result of increase</w:t>
      </w:r>
      <w:r w:rsidR="001C5C5A">
        <w:rPr>
          <w:rFonts w:cs="Arial"/>
          <w:szCs w:val="20"/>
        </w:rPr>
        <w:t>d</w:t>
      </w:r>
      <w:r w:rsidRPr="00A21D7D">
        <w:rPr>
          <w:rFonts w:cs="Arial"/>
          <w:szCs w:val="20"/>
        </w:rPr>
        <w:t xml:space="preserve"> demand across all education </w:t>
      </w:r>
      <w:r w:rsidR="006D28CC" w:rsidRPr="00A21D7D">
        <w:rPr>
          <w:rFonts w:cs="Arial"/>
          <w:szCs w:val="20"/>
        </w:rPr>
        <w:t xml:space="preserve">offerings, </w:t>
      </w:r>
      <w:r w:rsidR="004E69CD">
        <w:rPr>
          <w:rFonts w:cs="Arial"/>
          <w:szCs w:val="20"/>
        </w:rPr>
        <w:t xml:space="preserve">our </w:t>
      </w:r>
      <w:r w:rsidR="006D28CC" w:rsidRPr="00A21D7D">
        <w:rPr>
          <w:rFonts w:cs="Arial"/>
          <w:szCs w:val="20"/>
        </w:rPr>
        <w:t>2019-20 training revenue</w:t>
      </w:r>
      <w:r w:rsidRPr="00A21D7D">
        <w:rPr>
          <w:rFonts w:cs="Arial"/>
          <w:szCs w:val="20"/>
        </w:rPr>
        <w:t xml:space="preserve"> reached $289,993.13, </w:t>
      </w:r>
      <w:r w:rsidR="006D28CC" w:rsidRPr="00A21D7D">
        <w:rPr>
          <w:rFonts w:cs="Arial"/>
          <w:szCs w:val="20"/>
        </w:rPr>
        <w:t xml:space="preserve">exceeding the annual target by </w:t>
      </w:r>
      <w:r w:rsidRPr="00A21D7D">
        <w:rPr>
          <w:rFonts w:cs="Arial"/>
          <w:szCs w:val="20"/>
        </w:rPr>
        <w:t>approximately $100,000</w:t>
      </w:r>
      <w:r w:rsidR="006D28CC" w:rsidRPr="00A21D7D">
        <w:rPr>
          <w:rFonts w:cs="Arial"/>
          <w:szCs w:val="20"/>
        </w:rPr>
        <w:t xml:space="preserve">. </w:t>
      </w:r>
    </w:p>
    <w:p w14:paraId="5407397E" w14:textId="77777777" w:rsidR="006D28CC" w:rsidRPr="00A21D7D" w:rsidRDefault="006D28CC" w:rsidP="00884317">
      <w:pPr>
        <w:autoSpaceDE w:val="0"/>
        <w:autoSpaceDN w:val="0"/>
        <w:adjustRightInd w:val="0"/>
        <w:spacing w:after="0" w:line="240" w:lineRule="auto"/>
        <w:rPr>
          <w:rFonts w:cs="Arial"/>
          <w:szCs w:val="20"/>
        </w:rPr>
      </w:pPr>
    </w:p>
    <w:p w14:paraId="4E6ADC11" w14:textId="77777777" w:rsidR="00AE36E8" w:rsidRDefault="00884317" w:rsidP="00AE36E8">
      <w:pPr>
        <w:autoSpaceDE w:val="0"/>
        <w:autoSpaceDN w:val="0"/>
        <w:adjustRightInd w:val="0"/>
        <w:spacing w:after="0" w:line="240" w:lineRule="auto"/>
        <w:rPr>
          <w:rFonts w:cs="Arial"/>
          <w:szCs w:val="20"/>
        </w:rPr>
      </w:pPr>
      <w:r w:rsidRPr="00A21D7D">
        <w:rPr>
          <w:rFonts w:cs="Arial"/>
          <w:szCs w:val="20"/>
        </w:rPr>
        <w:t>We expect the impact of COVID-19 and the overall economic outlook will</w:t>
      </w:r>
      <w:r w:rsidR="00501A05" w:rsidRPr="00A21D7D">
        <w:rPr>
          <w:rFonts w:cs="Arial"/>
          <w:szCs w:val="20"/>
        </w:rPr>
        <w:t xml:space="preserve"> continue to limit the amount of training that is delivered in the coming financial year. Restrictions on government spending are anticipated to reduce training demand from </w:t>
      </w:r>
      <w:r w:rsidR="006D28CC" w:rsidRPr="00A21D7D">
        <w:rPr>
          <w:rFonts w:cs="Arial"/>
          <w:szCs w:val="20"/>
        </w:rPr>
        <w:t>the public sector</w:t>
      </w:r>
      <w:r w:rsidR="00501A05" w:rsidRPr="00A21D7D">
        <w:rPr>
          <w:rFonts w:cs="Arial"/>
          <w:szCs w:val="20"/>
        </w:rPr>
        <w:t xml:space="preserve">, which yielded the greatest training revenue per sector this financial year. </w:t>
      </w:r>
      <w:bookmarkStart w:id="51" w:name="_Toc49508893"/>
    </w:p>
    <w:p w14:paraId="4C487A07" w14:textId="77777777" w:rsidR="00AE36E8" w:rsidRDefault="00AE36E8" w:rsidP="00AE36E8">
      <w:pPr>
        <w:autoSpaceDE w:val="0"/>
        <w:autoSpaceDN w:val="0"/>
        <w:adjustRightInd w:val="0"/>
        <w:spacing w:after="0" w:line="240" w:lineRule="auto"/>
        <w:rPr>
          <w:rFonts w:cs="Arial"/>
          <w:szCs w:val="20"/>
        </w:rPr>
      </w:pPr>
    </w:p>
    <w:p w14:paraId="02BC2B37" w14:textId="77777777" w:rsidR="00AE36E8" w:rsidRPr="00974556" w:rsidRDefault="00AE36E8" w:rsidP="00974556">
      <w:pPr>
        <w:pStyle w:val="Keystatistics"/>
      </w:pPr>
      <w:r w:rsidRPr="00974556">
        <w:t xml:space="preserve">“The trainer was enthusiastic, knowledgeable </w:t>
      </w:r>
    </w:p>
    <w:p w14:paraId="5F5D499F" w14:textId="231549C7" w:rsidR="00AE36E8" w:rsidRPr="00974556" w:rsidRDefault="00AE36E8" w:rsidP="00974556">
      <w:pPr>
        <w:pStyle w:val="Keystatistics"/>
      </w:pPr>
      <w:r w:rsidRPr="00974556">
        <w:t>and provided real life scenarios.”</w:t>
      </w:r>
    </w:p>
    <w:p w14:paraId="6887F4CD" w14:textId="432E7155" w:rsidR="00AE36E8" w:rsidRDefault="00AE36E8" w:rsidP="00AE36E8">
      <w:pPr>
        <w:pStyle w:val="Keystatistics"/>
        <w:numPr>
          <w:ilvl w:val="0"/>
          <w:numId w:val="41"/>
        </w:numPr>
      </w:pPr>
      <w:r>
        <w:t xml:space="preserve">Feedback from training participant </w:t>
      </w:r>
    </w:p>
    <w:p w14:paraId="343DED2A" w14:textId="77777777" w:rsidR="001C5C5A" w:rsidRDefault="001C5C5A">
      <w:pPr>
        <w:ind w:right="0"/>
        <w:rPr>
          <w:rFonts w:eastAsiaTheme="majorEastAsia" w:cstheme="majorBidi"/>
          <w:color w:val="000000" w:themeColor="text1"/>
          <w:sz w:val="28"/>
        </w:rPr>
      </w:pPr>
    </w:p>
    <w:p w14:paraId="100473C4" w14:textId="0BE390FD" w:rsidR="006F5840" w:rsidRPr="00A21D7D" w:rsidRDefault="006F5840" w:rsidP="007D0F77">
      <w:pPr>
        <w:pStyle w:val="Heading3"/>
      </w:pPr>
      <w:r w:rsidRPr="00A21D7D">
        <w:lastRenderedPageBreak/>
        <w:t>Evaluation</w:t>
      </w:r>
      <w:bookmarkEnd w:id="51"/>
      <w:r w:rsidRPr="00A21D7D">
        <w:t xml:space="preserve"> </w:t>
      </w:r>
    </w:p>
    <w:p w14:paraId="2B2177DB" w14:textId="63947E48" w:rsidR="006D28CC" w:rsidRPr="00A21D7D" w:rsidRDefault="006D28CC" w:rsidP="006D28CC">
      <w:pPr>
        <w:rPr>
          <w:rFonts w:cs="Arial"/>
        </w:rPr>
      </w:pPr>
      <w:r w:rsidRPr="00A21D7D">
        <w:rPr>
          <w:rFonts w:cs="Arial"/>
        </w:rPr>
        <w:t xml:space="preserve">As part of </w:t>
      </w:r>
      <w:r w:rsidR="004E69CD">
        <w:rPr>
          <w:rFonts w:cs="Arial"/>
        </w:rPr>
        <w:t>our</w:t>
      </w:r>
      <w:r w:rsidRPr="00A21D7D">
        <w:rPr>
          <w:rFonts w:cs="Arial"/>
        </w:rPr>
        <w:t xml:space="preserve"> commitment to continuous improvement of services, </w:t>
      </w:r>
      <w:r w:rsidR="00235777" w:rsidRPr="00A21D7D">
        <w:rPr>
          <w:rFonts w:cs="Arial"/>
        </w:rPr>
        <w:t xml:space="preserve">face-to-face </w:t>
      </w:r>
      <w:r w:rsidRPr="00A21D7D">
        <w:rPr>
          <w:rFonts w:cs="Arial"/>
        </w:rPr>
        <w:t>training participants are asked to complete an evaluation form at the end of each training session based on the following criteria:</w:t>
      </w:r>
    </w:p>
    <w:p w14:paraId="3A1CB2B3" w14:textId="29ED147A" w:rsidR="006D28CC" w:rsidRPr="00A21D7D" w:rsidRDefault="006D28CC" w:rsidP="00227095">
      <w:pPr>
        <w:pStyle w:val="ListParagraph"/>
        <w:numPr>
          <w:ilvl w:val="0"/>
          <w:numId w:val="18"/>
        </w:numPr>
        <w:rPr>
          <w:rFonts w:cs="Arial"/>
        </w:rPr>
      </w:pPr>
      <w:r w:rsidRPr="00A21D7D">
        <w:rPr>
          <w:rFonts w:cs="Arial"/>
        </w:rPr>
        <w:t>Content of the training session</w:t>
      </w:r>
      <w:r w:rsidR="00B77E05">
        <w:rPr>
          <w:rFonts w:cs="Arial"/>
        </w:rPr>
        <w:t>;</w:t>
      </w:r>
    </w:p>
    <w:p w14:paraId="62507ADF" w14:textId="07376856" w:rsidR="006D28CC" w:rsidRPr="00A21D7D" w:rsidRDefault="006D28CC" w:rsidP="00354795">
      <w:pPr>
        <w:pStyle w:val="ListParagraph"/>
        <w:numPr>
          <w:ilvl w:val="0"/>
          <w:numId w:val="18"/>
        </w:numPr>
      </w:pPr>
      <w:r w:rsidRPr="00A21D7D">
        <w:t>Quality of information resources provided</w:t>
      </w:r>
      <w:r w:rsidR="00B77E05">
        <w:t>;</w:t>
      </w:r>
    </w:p>
    <w:p w14:paraId="0624DAA5" w14:textId="73AA60D0" w:rsidR="006D28CC" w:rsidRPr="00A21D7D" w:rsidRDefault="006D28CC" w:rsidP="00354795">
      <w:pPr>
        <w:pStyle w:val="ListParagraph"/>
        <w:numPr>
          <w:ilvl w:val="0"/>
          <w:numId w:val="18"/>
        </w:numPr>
      </w:pPr>
      <w:r w:rsidRPr="00A21D7D">
        <w:t>Overall presentation of the session</w:t>
      </w:r>
      <w:r w:rsidR="00B77E05">
        <w:t>;</w:t>
      </w:r>
    </w:p>
    <w:p w14:paraId="0F17B5F2" w14:textId="6A5106E4" w:rsidR="006D28CC" w:rsidRPr="00A21D7D" w:rsidRDefault="006D28CC" w:rsidP="00354795">
      <w:pPr>
        <w:pStyle w:val="ListParagraph"/>
        <w:numPr>
          <w:ilvl w:val="0"/>
          <w:numId w:val="18"/>
        </w:numPr>
      </w:pPr>
      <w:r w:rsidRPr="00A21D7D">
        <w:t>Understanding of the course content before and after the training</w:t>
      </w:r>
      <w:r w:rsidR="00B77E05">
        <w:t>;</w:t>
      </w:r>
    </w:p>
    <w:p w14:paraId="57CE10F2" w14:textId="4182586E" w:rsidR="006D28CC" w:rsidRPr="00A21D7D" w:rsidRDefault="006D28CC" w:rsidP="00354795">
      <w:pPr>
        <w:pStyle w:val="ListParagraph"/>
        <w:numPr>
          <w:ilvl w:val="0"/>
          <w:numId w:val="18"/>
        </w:numPr>
      </w:pPr>
      <w:r w:rsidRPr="00A21D7D">
        <w:t>Effectiveness of the trainer in terms of content knowledge, engagement and service delivery</w:t>
      </w:r>
      <w:r w:rsidR="00B77E05">
        <w:t>;</w:t>
      </w:r>
    </w:p>
    <w:p w14:paraId="230B68E4" w14:textId="50C19F11" w:rsidR="006D28CC" w:rsidRPr="00A21D7D" w:rsidRDefault="006D28CC" w:rsidP="00354795">
      <w:pPr>
        <w:pStyle w:val="ListParagraph"/>
        <w:numPr>
          <w:ilvl w:val="0"/>
          <w:numId w:val="18"/>
        </w:numPr>
      </w:pPr>
      <w:r w:rsidRPr="00A21D7D">
        <w:t xml:space="preserve">Participant expectations </w:t>
      </w:r>
      <w:r w:rsidR="00B77E05">
        <w:t>and whether they were satisfied; and</w:t>
      </w:r>
    </w:p>
    <w:p w14:paraId="799F916A" w14:textId="2F003EF8" w:rsidR="006D28CC" w:rsidRPr="00A21D7D" w:rsidRDefault="006D28CC" w:rsidP="00354795">
      <w:pPr>
        <w:pStyle w:val="ListParagraph"/>
        <w:numPr>
          <w:ilvl w:val="0"/>
          <w:numId w:val="18"/>
        </w:numPr>
      </w:pPr>
      <w:r w:rsidRPr="00A21D7D">
        <w:t>Whether the training material can or will be applied in practice</w:t>
      </w:r>
      <w:r w:rsidR="00B77E05">
        <w:t>.</w:t>
      </w:r>
    </w:p>
    <w:p w14:paraId="56C58F81" w14:textId="1A92CFF1" w:rsidR="00AE36E8" w:rsidRDefault="00235777" w:rsidP="00AE36E8">
      <w:pPr>
        <w:pStyle w:val="Keystatistics"/>
      </w:pPr>
      <w:r w:rsidRPr="00A21D7D">
        <w:t xml:space="preserve">Overall participant ratings have remained very high with an average </w:t>
      </w:r>
      <w:r w:rsidRPr="00AE36E8">
        <w:rPr>
          <w:sz w:val="36"/>
          <w:szCs w:val="36"/>
        </w:rPr>
        <w:t>96%</w:t>
      </w:r>
      <w:r w:rsidRPr="00A21D7D">
        <w:t xml:space="preserve"> satisfaction rating.</w:t>
      </w:r>
      <w:r w:rsidR="00AE36E8">
        <w:t xml:space="preserve"> </w:t>
      </w:r>
    </w:p>
    <w:p w14:paraId="074A7B37" w14:textId="327B3681" w:rsidR="006D28CC" w:rsidRPr="00A21D7D" w:rsidRDefault="00AE36E8" w:rsidP="006D28CC">
      <w:pPr>
        <w:rPr>
          <w:rFonts w:cs="Arial"/>
        </w:rPr>
      </w:pPr>
      <w:r>
        <w:rPr>
          <w:rFonts w:cs="Arial"/>
        </w:rPr>
        <w:t>The following</w:t>
      </w:r>
      <w:r w:rsidR="00235777" w:rsidRPr="00A21D7D">
        <w:rPr>
          <w:rFonts w:cs="Arial"/>
        </w:rPr>
        <w:t xml:space="preserve"> is a sample of</w:t>
      </w:r>
      <w:r>
        <w:rPr>
          <w:rFonts w:cs="Arial"/>
        </w:rPr>
        <w:t xml:space="preserve"> participant</w:t>
      </w:r>
      <w:r w:rsidR="00235777" w:rsidRPr="00A21D7D">
        <w:rPr>
          <w:rFonts w:cs="Arial"/>
        </w:rPr>
        <w:t xml:space="preserve"> responses from the 2019-20 training evaluations</w:t>
      </w:r>
      <w:r>
        <w:rPr>
          <w:rFonts w:cs="Arial"/>
        </w:rPr>
        <w:t>, when asked what they liked most about the training:</w:t>
      </w:r>
      <w:r w:rsidR="00235777" w:rsidRPr="00A21D7D">
        <w:rPr>
          <w:rFonts w:cs="Arial"/>
        </w:rPr>
        <w:t xml:space="preserve"> </w:t>
      </w:r>
    </w:p>
    <w:p w14:paraId="690263DC" w14:textId="77777777" w:rsidR="00C203E6" w:rsidRPr="004C3C54" w:rsidRDefault="00C203E6" w:rsidP="00AE36E8">
      <w:pPr>
        <w:pStyle w:val="Quote"/>
        <w:rPr>
          <w:b/>
        </w:rPr>
      </w:pPr>
      <w:r w:rsidRPr="008D18D0">
        <w:rPr>
          <w:lang w:val="en-GB"/>
        </w:rPr>
        <w:t>The content was informative and got you thinking about how you will change your thinking in the future.</w:t>
      </w:r>
    </w:p>
    <w:p w14:paraId="1BBDE516" w14:textId="77777777" w:rsidR="00C203E6" w:rsidRPr="004C3C54" w:rsidRDefault="00C203E6" w:rsidP="00AE36E8">
      <w:pPr>
        <w:pStyle w:val="Quote"/>
        <w:rPr>
          <w:b/>
        </w:rPr>
      </w:pPr>
      <w:r w:rsidRPr="008D18D0">
        <w:t>Reflection on what’s already happening, discussion with others.</w:t>
      </w:r>
    </w:p>
    <w:p w14:paraId="5F0A41A0" w14:textId="77777777" w:rsidR="00C203E6" w:rsidRPr="004C3C54" w:rsidRDefault="00C203E6" w:rsidP="00AE36E8">
      <w:pPr>
        <w:pStyle w:val="Quote"/>
        <w:rPr>
          <w:b/>
        </w:rPr>
      </w:pPr>
      <w:r w:rsidRPr="008D18D0">
        <w:t>The trainer got us all involved using scenario situations.</w:t>
      </w:r>
    </w:p>
    <w:p w14:paraId="27847FA7" w14:textId="77777777" w:rsidR="00C203E6" w:rsidRPr="004C3C54" w:rsidRDefault="00C203E6" w:rsidP="00AE36E8">
      <w:pPr>
        <w:pStyle w:val="Quote"/>
        <w:rPr>
          <w:b/>
        </w:rPr>
      </w:pPr>
      <w:r>
        <w:t xml:space="preserve">Interactive, examples that made sense in the context of my current employment. </w:t>
      </w:r>
    </w:p>
    <w:p w14:paraId="2121EC0F" w14:textId="77777777" w:rsidR="00C203E6" w:rsidRDefault="00C203E6" w:rsidP="00AE36E8">
      <w:pPr>
        <w:pStyle w:val="Quote"/>
      </w:pPr>
      <w:r w:rsidRPr="004C3C54">
        <w:t xml:space="preserve">Application of human rights in Queensland, compatibility vs incompatible rights. </w:t>
      </w:r>
    </w:p>
    <w:p w14:paraId="2D69AC61" w14:textId="77777777" w:rsidR="00C203E6" w:rsidRDefault="00C203E6" w:rsidP="00AE36E8">
      <w:pPr>
        <w:pStyle w:val="Quote"/>
      </w:pPr>
      <w:r>
        <w:t>Plain language discussion and break down to real life scenarios.</w:t>
      </w:r>
    </w:p>
    <w:p w14:paraId="026CCDAD" w14:textId="77777777" w:rsidR="00C203E6" w:rsidRDefault="00C203E6" w:rsidP="00AE36E8">
      <w:pPr>
        <w:pStyle w:val="Quote"/>
      </w:pPr>
      <w:r>
        <w:t xml:space="preserve">Good mix of manual resources, information, role plays and the facilitator was informative, great energy and facilitator skills. </w:t>
      </w:r>
    </w:p>
    <w:p w14:paraId="231B2756" w14:textId="77777777" w:rsidR="00C203E6" w:rsidRDefault="00C203E6" w:rsidP="00AE36E8">
      <w:pPr>
        <w:pStyle w:val="Quote"/>
      </w:pPr>
      <w:r>
        <w:t xml:space="preserve">Comprehensive application of legislative materials for anti-discrimination, complaints. </w:t>
      </w:r>
    </w:p>
    <w:p w14:paraId="63C0DEA4" w14:textId="77777777" w:rsidR="00C203E6" w:rsidRDefault="00C203E6" w:rsidP="00AE36E8">
      <w:pPr>
        <w:pStyle w:val="Quote"/>
      </w:pPr>
      <w:r>
        <w:t xml:space="preserve">Trainer made a dull topic as interesting as possible. </w:t>
      </w:r>
    </w:p>
    <w:p w14:paraId="792A2698" w14:textId="77777777" w:rsidR="00C203E6" w:rsidRDefault="00C203E6" w:rsidP="00AE36E8">
      <w:pPr>
        <w:pStyle w:val="Quote"/>
      </w:pPr>
      <w:r>
        <w:t xml:space="preserve">Being able to ask questions in an informal way. </w:t>
      </w:r>
    </w:p>
    <w:p w14:paraId="6117A06F" w14:textId="77777777" w:rsidR="00C203E6" w:rsidRDefault="00C203E6" w:rsidP="00AE36E8">
      <w:pPr>
        <w:pStyle w:val="Quote"/>
      </w:pPr>
      <w:r>
        <w:t xml:space="preserve">Engaging and “hands on” not just talking. </w:t>
      </w:r>
    </w:p>
    <w:p w14:paraId="6272AF0B" w14:textId="77777777" w:rsidR="00C203E6" w:rsidRDefault="00C203E6" w:rsidP="00AE36E8">
      <w:pPr>
        <w:pStyle w:val="Quote"/>
      </w:pPr>
      <w:r>
        <w:t xml:space="preserve">Learned a lot by listening to other people’s views and the explanation provided by our trainer. </w:t>
      </w:r>
    </w:p>
    <w:p w14:paraId="64B22856" w14:textId="77777777" w:rsidR="00C203E6" w:rsidRDefault="00C203E6" w:rsidP="00AE36E8">
      <w:pPr>
        <w:pStyle w:val="Quote"/>
      </w:pPr>
      <w:r>
        <w:t xml:space="preserve">Trainer adjusted based on knowledge level of group. Agile which is great. </w:t>
      </w:r>
    </w:p>
    <w:p w14:paraId="21C2684D" w14:textId="77777777" w:rsidR="00C203E6" w:rsidRDefault="00C203E6" w:rsidP="00AE36E8">
      <w:pPr>
        <w:pStyle w:val="Quote"/>
      </w:pPr>
      <w:r>
        <w:t xml:space="preserve">Case studies were very authentic because they were real. </w:t>
      </w:r>
    </w:p>
    <w:p w14:paraId="3A280B85" w14:textId="77777777" w:rsidR="00C203E6" w:rsidRDefault="00C203E6" w:rsidP="00AE36E8">
      <w:pPr>
        <w:pStyle w:val="Quote"/>
      </w:pPr>
      <w:r>
        <w:t xml:space="preserve">Very interactive, lots of real world, every day examples from the presenter. </w:t>
      </w:r>
    </w:p>
    <w:p w14:paraId="0E34AE1A" w14:textId="6D8C5ECA" w:rsidR="006F5840" w:rsidRPr="00A21D7D" w:rsidRDefault="006F5840" w:rsidP="007D0F77">
      <w:pPr>
        <w:pStyle w:val="Heading1"/>
      </w:pPr>
      <w:bookmarkStart w:id="52" w:name="_Toc49508894"/>
      <w:r w:rsidRPr="00A21D7D">
        <w:lastRenderedPageBreak/>
        <w:t>Complaint management</w:t>
      </w:r>
      <w:bookmarkEnd w:id="52"/>
    </w:p>
    <w:p w14:paraId="512AE622" w14:textId="59B1175C" w:rsidR="00126449" w:rsidRPr="00A21D7D" w:rsidRDefault="00126449" w:rsidP="007D0F77">
      <w:pPr>
        <w:pStyle w:val="Heading2"/>
      </w:pPr>
      <w:bookmarkStart w:id="53" w:name="_Toc366487303"/>
      <w:bookmarkStart w:id="54" w:name="_Toc397345681"/>
      <w:bookmarkStart w:id="55" w:name="_Toc460422670"/>
      <w:bookmarkStart w:id="56" w:name="_Toc49508895"/>
      <w:r w:rsidRPr="00A21D7D">
        <w:t>Complaint management</w:t>
      </w:r>
      <w:bookmarkEnd w:id="53"/>
      <w:bookmarkEnd w:id="54"/>
      <w:bookmarkEnd w:id="55"/>
      <w:r w:rsidRPr="00A21D7D">
        <w:t xml:space="preserve"> summary</w:t>
      </w:r>
      <w:bookmarkEnd w:id="56"/>
    </w:p>
    <w:p w14:paraId="75CB929F" w14:textId="640E908C" w:rsidR="00126449" w:rsidRPr="00A21D7D" w:rsidRDefault="00126449" w:rsidP="00126449">
      <w:pPr>
        <w:spacing w:before="120" w:after="120" w:line="240" w:lineRule="auto"/>
        <w:rPr>
          <w:rFonts w:cs="Arial"/>
          <w:i/>
          <w:lang w:eastAsia="en-AU"/>
        </w:rPr>
      </w:pPr>
      <w:r w:rsidRPr="00A21D7D">
        <w:rPr>
          <w:rFonts w:cs="Arial"/>
          <w:lang w:eastAsia="en-AU"/>
        </w:rPr>
        <w:t xml:space="preserve">Complaint numbers have increased again this financial year, and with the introduction of the new complaint process under the </w:t>
      </w:r>
      <w:r w:rsidR="00FC6699" w:rsidRPr="00FC6699">
        <w:rPr>
          <w:rFonts w:cs="Arial"/>
          <w:i/>
          <w:lang w:eastAsia="en-AU"/>
        </w:rPr>
        <w:t>Human Rights Act 2019</w:t>
      </w:r>
      <w:r w:rsidR="004E69CD">
        <w:rPr>
          <w:rFonts w:cs="Arial"/>
          <w:lang w:eastAsia="en-AU"/>
        </w:rPr>
        <w:t>, our</w:t>
      </w:r>
      <w:r w:rsidRPr="00A21D7D">
        <w:rPr>
          <w:rFonts w:cs="Arial"/>
          <w:lang w:eastAsia="en-AU"/>
        </w:rPr>
        <w:t xml:space="preserve"> complaints team has been very busy managing complaints and learning the new processes.</w:t>
      </w:r>
    </w:p>
    <w:p w14:paraId="1DC4C9A9" w14:textId="18E497C5" w:rsidR="00126449" w:rsidRPr="00A21D7D" w:rsidRDefault="00126449" w:rsidP="00126449">
      <w:pPr>
        <w:spacing w:before="120" w:after="120" w:line="240" w:lineRule="auto"/>
        <w:rPr>
          <w:rFonts w:cs="Arial"/>
          <w:i/>
          <w:lang w:eastAsia="en-AU"/>
        </w:rPr>
      </w:pPr>
      <w:r w:rsidRPr="00A21D7D">
        <w:rPr>
          <w:rFonts w:cs="Arial"/>
          <w:lang w:eastAsia="en-AU"/>
        </w:rPr>
        <w:t xml:space="preserve">To manage the increasing complaint numbers and complexity of complaints, </w:t>
      </w:r>
      <w:r w:rsidR="004E69CD">
        <w:rPr>
          <w:rFonts w:cs="Arial"/>
          <w:lang w:eastAsia="en-AU"/>
        </w:rPr>
        <w:t>we have</w:t>
      </w:r>
      <w:r w:rsidRPr="00A21D7D">
        <w:rPr>
          <w:rFonts w:cs="Arial"/>
          <w:lang w:eastAsia="en-AU"/>
        </w:rPr>
        <w:t xml:space="preserve"> </w:t>
      </w:r>
      <w:r w:rsidR="000A27D2">
        <w:rPr>
          <w:rFonts w:cs="Arial"/>
          <w:lang w:eastAsia="en-AU"/>
        </w:rPr>
        <w:t xml:space="preserve">developed, </w:t>
      </w:r>
      <w:r w:rsidRPr="00A21D7D">
        <w:rPr>
          <w:rFonts w:cs="Arial"/>
          <w:lang w:eastAsia="en-AU"/>
        </w:rPr>
        <w:t xml:space="preserve">trialled and </w:t>
      </w:r>
      <w:r w:rsidR="000A27D2">
        <w:rPr>
          <w:rFonts w:cs="Arial"/>
          <w:lang w:eastAsia="en-AU"/>
        </w:rPr>
        <w:t>refined</w:t>
      </w:r>
      <w:r w:rsidRPr="00A21D7D">
        <w:rPr>
          <w:rFonts w:cs="Arial"/>
          <w:lang w:eastAsia="en-AU"/>
        </w:rPr>
        <w:t xml:space="preserve"> a new triage process.</w:t>
      </w:r>
      <w:r w:rsidR="00B10E8B">
        <w:rPr>
          <w:rFonts w:cs="Arial"/>
          <w:lang w:eastAsia="en-AU"/>
        </w:rPr>
        <w:t xml:space="preserve"> </w:t>
      </w:r>
      <w:r w:rsidRPr="00A21D7D">
        <w:rPr>
          <w:rFonts w:cs="Arial"/>
          <w:lang w:eastAsia="en-AU"/>
        </w:rPr>
        <w:t>This has involved early identification and not</w:t>
      </w:r>
      <w:r w:rsidR="00574FB9">
        <w:rPr>
          <w:rFonts w:cs="Arial"/>
          <w:lang w:eastAsia="en-AU"/>
        </w:rPr>
        <w:t>ification of complaints that do</w:t>
      </w:r>
      <w:r w:rsidRPr="00A21D7D">
        <w:rPr>
          <w:rFonts w:cs="Arial"/>
          <w:lang w:eastAsia="en-AU"/>
        </w:rPr>
        <w:t xml:space="preserve"> not meet the requirements of a complaint under either the </w:t>
      </w:r>
      <w:r w:rsidR="00FC6699" w:rsidRPr="00FC6699">
        <w:rPr>
          <w:rFonts w:cs="Arial"/>
          <w:i/>
          <w:lang w:eastAsia="en-AU"/>
        </w:rPr>
        <w:t>Anti-Discrimination Act 1991</w:t>
      </w:r>
      <w:r w:rsidRPr="00A21D7D">
        <w:rPr>
          <w:rFonts w:cs="Arial"/>
          <w:lang w:eastAsia="en-AU"/>
        </w:rPr>
        <w:t xml:space="preserve"> or the </w:t>
      </w:r>
      <w:r w:rsidR="00FC6699" w:rsidRPr="00FC6699">
        <w:rPr>
          <w:rFonts w:cs="Arial"/>
          <w:i/>
          <w:lang w:eastAsia="en-AU"/>
        </w:rPr>
        <w:t>Human Rights Act 2019</w:t>
      </w:r>
      <w:r w:rsidR="000A27D2">
        <w:rPr>
          <w:rFonts w:cs="Arial"/>
          <w:i/>
          <w:lang w:eastAsia="en-AU"/>
        </w:rPr>
        <w:t xml:space="preserve">. </w:t>
      </w:r>
      <w:r w:rsidR="000A27D2" w:rsidRPr="000A27D2">
        <w:rPr>
          <w:rFonts w:cs="Arial"/>
          <w:lang w:eastAsia="en-AU"/>
        </w:rPr>
        <w:t xml:space="preserve">The process also includes </w:t>
      </w:r>
      <w:r w:rsidRPr="00A21D7D">
        <w:rPr>
          <w:rFonts w:cs="Arial"/>
          <w:lang w:eastAsia="en-AU"/>
        </w:rPr>
        <w:t>identification of more complex complaints and human rights complaints for allocation to senior officers, as well as complaints requiring urgent action.</w:t>
      </w:r>
      <w:r w:rsidR="00B10E8B">
        <w:rPr>
          <w:rFonts w:cs="Arial"/>
          <w:lang w:eastAsia="en-AU"/>
        </w:rPr>
        <w:t xml:space="preserve"> </w:t>
      </w:r>
      <w:r w:rsidRPr="00A21D7D">
        <w:rPr>
          <w:rFonts w:cs="Arial"/>
          <w:lang w:eastAsia="en-AU"/>
        </w:rPr>
        <w:t xml:space="preserve">This became particularly </w:t>
      </w:r>
      <w:r w:rsidR="00A21D7D" w:rsidRPr="00A21D7D">
        <w:rPr>
          <w:rFonts w:cs="Arial"/>
          <w:lang w:eastAsia="en-AU"/>
        </w:rPr>
        <w:t xml:space="preserve">important </w:t>
      </w:r>
      <w:r w:rsidRPr="00A21D7D">
        <w:rPr>
          <w:rFonts w:cs="Arial"/>
          <w:lang w:eastAsia="en-AU"/>
        </w:rPr>
        <w:t xml:space="preserve">when the </w:t>
      </w:r>
      <w:r w:rsidR="000A27D2">
        <w:rPr>
          <w:rFonts w:cs="Arial"/>
          <w:lang w:eastAsia="en-AU"/>
        </w:rPr>
        <w:t>COVID-19</w:t>
      </w:r>
      <w:r w:rsidRPr="00A21D7D">
        <w:rPr>
          <w:rFonts w:cs="Arial"/>
          <w:lang w:eastAsia="en-AU"/>
        </w:rPr>
        <w:t xml:space="preserve"> pandemic commenced in March and human rights complaints began to arise more prominently and urgently.</w:t>
      </w:r>
    </w:p>
    <w:p w14:paraId="21792174" w14:textId="1E7A4E88" w:rsidR="00126449" w:rsidRPr="00A21D7D" w:rsidRDefault="004E69CD" w:rsidP="00126449">
      <w:pPr>
        <w:spacing w:before="120" w:after="120" w:line="240" w:lineRule="auto"/>
        <w:rPr>
          <w:rFonts w:cs="Arial"/>
          <w:i/>
          <w:lang w:eastAsia="en-AU"/>
        </w:rPr>
      </w:pPr>
      <w:r>
        <w:rPr>
          <w:rFonts w:cs="Arial"/>
          <w:lang w:eastAsia="en-AU"/>
        </w:rPr>
        <w:t>We have</w:t>
      </w:r>
      <w:r w:rsidR="00126449" w:rsidRPr="00A21D7D">
        <w:rPr>
          <w:rFonts w:cs="Arial"/>
          <w:lang w:eastAsia="en-AU"/>
        </w:rPr>
        <w:t xml:space="preserve"> continued to focus on resolving complaints through conciliation under the </w:t>
      </w:r>
      <w:r w:rsidR="00FC6699" w:rsidRPr="00FC6699">
        <w:rPr>
          <w:rFonts w:cs="Arial"/>
          <w:i/>
          <w:lang w:eastAsia="en-AU"/>
        </w:rPr>
        <w:t>Anti-Discrimination Act 1991</w:t>
      </w:r>
      <w:r w:rsidR="00126449" w:rsidRPr="00A21D7D">
        <w:rPr>
          <w:rFonts w:cs="Arial"/>
          <w:lang w:eastAsia="en-AU"/>
        </w:rPr>
        <w:t xml:space="preserve">, as well as through the new and more flexible range of processes under the </w:t>
      </w:r>
      <w:r w:rsidR="00FC6699" w:rsidRPr="00FC6699">
        <w:rPr>
          <w:rFonts w:cs="Arial"/>
          <w:i/>
          <w:lang w:eastAsia="en-AU"/>
        </w:rPr>
        <w:t>Human Rights Act 2019</w:t>
      </w:r>
      <w:r w:rsidR="00126449" w:rsidRPr="00A21D7D">
        <w:rPr>
          <w:rFonts w:cs="Arial"/>
          <w:lang w:eastAsia="en-AU"/>
        </w:rPr>
        <w:t>.</w:t>
      </w:r>
    </w:p>
    <w:p w14:paraId="3F051670" w14:textId="20A76129" w:rsidR="00126449" w:rsidRPr="00A21D7D" w:rsidRDefault="00126449" w:rsidP="00126449">
      <w:pPr>
        <w:spacing w:before="120" w:after="120" w:line="240" w:lineRule="auto"/>
        <w:rPr>
          <w:rFonts w:cs="Arial"/>
          <w:i/>
          <w:lang w:eastAsia="en-AU"/>
        </w:rPr>
      </w:pPr>
      <w:r w:rsidRPr="00A21D7D">
        <w:rPr>
          <w:rFonts w:cs="Arial"/>
          <w:lang w:eastAsia="en-AU"/>
        </w:rPr>
        <w:t xml:space="preserve">Under the </w:t>
      </w:r>
      <w:r w:rsidR="00FC6699" w:rsidRPr="00FC6699">
        <w:rPr>
          <w:rFonts w:cs="Arial"/>
          <w:i/>
          <w:lang w:eastAsia="en-AU"/>
        </w:rPr>
        <w:t>Anti-Discrimination Act 1991</w:t>
      </w:r>
      <w:r w:rsidRPr="00A21D7D">
        <w:rPr>
          <w:rFonts w:cs="Arial"/>
          <w:lang w:eastAsia="en-AU"/>
        </w:rPr>
        <w:t xml:space="preserve"> </w:t>
      </w:r>
      <w:r w:rsidR="004E69CD">
        <w:rPr>
          <w:rFonts w:cs="Arial"/>
          <w:lang w:eastAsia="en-AU"/>
        </w:rPr>
        <w:t>we deal</w:t>
      </w:r>
      <w:r w:rsidRPr="00A21D7D">
        <w:rPr>
          <w:rFonts w:cs="Arial"/>
          <w:lang w:eastAsia="en-AU"/>
        </w:rPr>
        <w:t xml:space="preserve"> with complaints about discrimination, sexual harassment, victimisation, vilification and requests for unnecessary information. </w:t>
      </w:r>
      <w:r w:rsidR="004E69CD">
        <w:rPr>
          <w:rFonts w:cs="Arial"/>
          <w:lang w:eastAsia="en-AU"/>
        </w:rPr>
        <w:t>We</w:t>
      </w:r>
      <w:r w:rsidRPr="00A21D7D">
        <w:rPr>
          <w:rFonts w:cs="Arial"/>
          <w:lang w:eastAsia="en-AU"/>
        </w:rPr>
        <w:t xml:space="preserve"> also ha</w:t>
      </w:r>
      <w:r w:rsidR="004E69CD">
        <w:rPr>
          <w:rFonts w:cs="Arial"/>
          <w:lang w:eastAsia="en-AU"/>
        </w:rPr>
        <w:t>ve</w:t>
      </w:r>
      <w:r w:rsidRPr="00A21D7D">
        <w:rPr>
          <w:rFonts w:cs="Arial"/>
          <w:lang w:eastAsia="en-AU"/>
        </w:rPr>
        <w:t xml:space="preserve"> power to deal with complaints of reprisal against whistle-blowers who elect to resolve their complaints through </w:t>
      </w:r>
      <w:r w:rsidR="004E69CD">
        <w:rPr>
          <w:rFonts w:cs="Arial"/>
          <w:lang w:eastAsia="en-AU"/>
        </w:rPr>
        <w:t>our</w:t>
      </w:r>
      <w:r w:rsidRPr="00A21D7D">
        <w:rPr>
          <w:rFonts w:cs="Arial"/>
          <w:lang w:eastAsia="en-AU"/>
        </w:rPr>
        <w:t xml:space="preserve"> process, rather than pursue court proceedings, and discrimination against residents of regional communities</w:t>
      </w:r>
      <w:r w:rsidR="00574FB9">
        <w:rPr>
          <w:rFonts w:cs="Arial"/>
          <w:lang w:eastAsia="en-AU"/>
        </w:rPr>
        <w:t xml:space="preserve"> in relation to large resource projects</w:t>
      </w:r>
      <w:r w:rsidRPr="00A21D7D">
        <w:rPr>
          <w:rFonts w:cs="Arial"/>
          <w:lang w:eastAsia="en-AU"/>
        </w:rPr>
        <w:t>.</w:t>
      </w:r>
    </w:p>
    <w:p w14:paraId="413AA27A" w14:textId="21D0EF04" w:rsidR="00126449" w:rsidRPr="00A21D7D" w:rsidRDefault="00126449" w:rsidP="00126449">
      <w:pPr>
        <w:spacing w:before="120" w:after="120" w:line="240" w:lineRule="auto"/>
        <w:rPr>
          <w:rFonts w:cs="Arial"/>
          <w:i/>
          <w:lang w:eastAsia="en-AU"/>
        </w:rPr>
      </w:pPr>
      <w:r w:rsidRPr="00A21D7D">
        <w:rPr>
          <w:rFonts w:cs="Arial"/>
          <w:lang w:eastAsia="en-AU"/>
        </w:rPr>
        <w:t xml:space="preserve">Under the </w:t>
      </w:r>
      <w:r w:rsidR="00FC6699" w:rsidRPr="00FC6699">
        <w:rPr>
          <w:rFonts w:cs="Arial"/>
          <w:i/>
          <w:lang w:eastAsia="en-AU"/>
        </w:rPr>
        <w:t>Human Rights Act 2019</w:t>
      </w:r>
      <w:r w:rsidRPr="00A21D7D">
        <w:rPr>
          <w:rFonts w:cs="Arial"/>
          <w:lang w:eastAsia="en-AU"/>
        </w:rPr>
        <w:t xml:space="preserve"> </w:t>
      </w:r>
      <w:r w:rsidR="004E69CD">
        <w:rPr>
          <w:rFonts w:cs="Arial"/>
          <w:lang w:eastAsia="en-AU"/>
        </w:rPr>
        <w:t xml:space="preserve">we </w:t>
      </w:r>
      <w:r w:rsidRPr="00A21D7D">
        <w:rPr>
          <w:rFonts w:cs="Arial"/>
          <w:lang w:eastAsia="en-AU"/>
        </w:rPr>
        <w:t>deal with complaints about breaches of human rights by public entities</w:t>
      </w:r>
      <w:r w:rsidR="004E69CD">
        <w:rPr>
          <w:rFonts w:cs="Arial"/>
          <w:lang w:eastAsia="en-AU"/>
        </w:rPr>
        <w:t>. We</w:t>
      </w:r>
      <w:r w:rsidRPr="00A21D7D">
        <w:rPr>
          <w:rFonts w:cs="Arial"/>
          <w:lang w:eastAsia="en-AU"/>
        </w:rPr>
        <w:t xml:space="preserve"> can conduct preliminary investigations, request submissions from public entities, conduct early negotiations and conciliation conferences.</w:t>
      </w:r>
      <w:r w:rsidR="00B10E8B">
        <w:rPr>
          <w:rFonts w:cs="Arial"/>
          <w:lang w:eastAsia="en-AU"/>
        </w:rPr>
        <w:t xml:space="preserve"> </w:t>
      </w:r>
      <w:r w:rsidRPr="00A21D7D">
        <w:rPr>
          <w:rFonts w:cs="Arial"/>
          <w:lang w:eastAsia="en-AU"/>
        </w:rPr>
        <w:t>If the complaint is covered by both Acts, the complainant is requested to elect which Act they wish to proceed under.</w:t>
      </w:r>
    </w:p>
    <w:p w14:paraId="0177E95B" w14:textId="571E1174" w:rsidR="00126449" w:rsidRPr="00A21D7D" w:rsidRDefault="00126449" w:rsidP="00126449">
      <w:pPr>
        <w:spacing w:before="120" w:after="120" w:line="240" w:lineRule="auto"/>
        <w:rPr>
          <w:rFonts w:cs="Arial"/>
          <w:i/>
          <w:lang w:eastAsia="en-AU"/>
        </w:rPr>
      </w:pPr>
      <w:r w:rsidRPr="00A21D7D">
        <w:rPr>
          <w:rFonts w:cs="Arial"/>
          <w:lang w:eastAsia="en-AU"/>
        </w:rPr>
        <w:t xml:space="preserve">Due to the </w:t>
      </w:r>
      <w:r w:rsidR="000A27D2">
        <w:rPr>
          <w:rFonts w:cs="Arial"/>
          <w:lang w:eastAsia="en-AU"/>
        </w:rPr>
        <w:t>COVID-19</w:t>
      </w:r>
      <w:r w:rsidRPr="00A21D7D">
        <w:rPr>
          <w:rFonts w:cs="Arial"/>
          <w:lang w:eastAsia="en-AU"/>
        </w:rPr>
        <w:t xml:space="preserve"> pandemic, the increase in complaints, increased complexity with the </w:t>
      </w:r>
      <w:r w:rsidR="00FC6699" w:rsidRPr="00FC6699">
        <w:rPr>
          <w:rFonts w:cs="Arial"/>
          <w:i/>
          <w:lang w:eastAsia="en-AU"/>
        </w:rPr>
        <w:t>Human Rights Act 2019</w:t>
      </w:r>
      <w:r w:rsidRPr="00A21D7D">
        <w:rPr>
          <w:rFonts w:cs="Arial"/>
          <w:lang w:eastAsia="en-AU"/>
        </w:rPr>
        <w:t xml:space="preserve">, and a range of staff absences, </w:t>
      </w:r>
      <w:r w:rsidR="004E69CD">
        <w:rPr>
          <w:rFonts w:cs="Arial"/>
          <w:lang w:eastAsia="en-AU"/>
        </w:rPr>
        <w:t xml:space="preserve">we </w:t>
      </w:r>
      <w:r w:rsidRPr="00A21D7D">
        <w:rPr>
          <w:rFonts w:cs="Arial"/>
          <w:lang w:eastAsia="en-AU"/>
        </w:rPr>
        <w:t>ha</w:t>
      </w:r>
      <w:r w:rsidR="004E69CD">
        <w:rPr>
          <w:rFonts w:cs="Arial"/>
          <w:lang w:eastAsia="en-AU"/>
        </w:rPr>
        <w:t>ve</w:t>
      </w:r>
      <w:r w:rsidRPr="00A21D7D">
        <w:rPr>
          <w:rFonts w:cs="Arial"/>
          <w:lang w:eastAsia="en-AU"/>
        </w:rPr>
        <w:t xml:space="preserve"> not met all of </w:t>
      </w:r>
      <w:r w:rsidR="004E69CD">
        <w:rPr>
          <w:rFonts w:cs="Arial"/>
          <w:lang w:eastAsia="en-AU"/>
        </w:rPr>
        <w:t>our</w:t>
      </w:r>
      <w:r w:rsidRPr="00A21D7D">
        <w:rPr>
          <w:rFonts w:cs="Arial"/>
          <w:lang w:eastAsia="en-AU"/>
        </w:rPr>
        <w:t xml:space="preserve"> complaint management targets this year.</w:t>
      </w:r>
      <w:r w:rsidR="00B10E8B">
        <w:rPr>
          <w:rFonts w:cs="Arial"/>
          <w:lang w:eastAsia="en-AU"/>
        </w:rPr>
        <w:t xml:space="preserve"> </w:t>
      </w:r>
      <w:r w:rsidRPr="00A21D7D">
        <w:rPr>
          <w:rFonts w:cs="Arial"/>
          <w:lang w:eastAsia="en-AU"/>
        </w:rPr>
        <w:t>Despite this, the Commission has achiev</w:t>
      </w:r>
      <w:r w:rsidR="000A27D2">
        <w:rPr>
          <w:rFonts w:cs="Arial"/>
          <w:lang w:eastAsia="en-AU"/>
        </w:rPr>
        <w:t>ed a satisfaction rate of 81% from</w:t>
      </w:r>
      <w:r w:rsidRPr="00A21D7D">
        <w:rPr>
          <w:rFonts w:cs="Arial"/>
          <w:lang w:eastAsia="en-AU"/>
        </w:rPr>
        <w:t xml:space="preserve"> all parties evaluating the service. This is a good outcome and reflects a focus on respectful, honest and timely communication with all parties and providing a professional and fair service that meets the needs of our clients despite the delay</w:t>
      </w:r>
      <w:r w:rsidR="000A27D2">
        <w:rPr>
          <w:rFonts w:cs="Arial"/>
          <w:lang w:eastAsia="en-AU"/>
        </w:rPr>
        <w:t>s</w:t>
      </w:r>
      <w:r w:rsidRPr="00A21D7D">
        <w:rPr>
          <w:rFonts w:cs="Arial"/>
          <w:lang w:eastAsia="en-AU"/>
        </w:rPr>
        <w:t>.</w:t>
      </w:r>
    </w:p>
    <w:p w14:paraId="70400306" w14:textId="39896E41" w:rsidR="00126449" w:rsidRPr="00A21D7D" w:rsidRDefault="00126449" w:rsidP="00126449">
      <w:pPr>
        <w:spacing w:before="120" w:after="120" w:line="240" w:lineRule="auto"/>
        <w:rPr>
          <w:rFonts w:cs="Arial"/>
          <w:i/>
          <w:lang w:eastAsia="en-AU"/>
        </w:rPr>
      </w:pPr>
      <w:r w:rsidRPr="00A21D7D">
        <w:rPr>
          <w:rFonts w:cs="Arial"/>
          <w:lang w:eastAsia="en-AU"/>
        </w:rPr>
        <w:t xml:space="preserve">Complaints continue to be managed in all </w:t>
      </w:r>
      <w:r w:rsidR="000A27D2">
        <w:rPr>
          <w:rFonts w:cs="Arial"/>
          <w:lang w:eastAsia="en-AU"/>
        </w:rPr>
        <w:t xml:space="preserve">four </w:t>
      </w:r>
      <w:r w:rsidR="004E69CD">
        <w:rPr>
          <w:rFonts w:cs="Arial"/>
          <w:lang w:eastAsia="en-AU"/>
        </w:rPr>
        <w:t>Commission</w:t>
      </w:r>
      <w:r w:rsidR="000A27D2">
        <w:rPr>
          <w:rFonts w:cs="Arial"/>
          <w:lang w:eastAsia="en-AU"/>
        </w:rPr>
        <w:t xml:space="preserve"> </w:t>
      </w:r>
      <w:r w:rsidRPr="00A21D7D">
        <w:rPr>
          <w:rFonts w:cs="Arial"/>
          <w:lang w:eastAsia="en-AU"/>
        </w:rPr>
        <w:t>offices across Queensland.</w:t>
      </w:r>
      <w:r w:rsidR="00B10E8B">
        <w:rPr>
          <w:rFonts w:cs="Arial"/>
          <w:lang w:eastAsia="en-AU"/>
        </w:rPr>
        <w:t xml:space="preserve"> </w:t>
      </w:r>
      <w:r w:rsidRPr="00A21D7D">
        <w:rPr>
          <w:rFonts w:cs="Arial"/>
          <w:lang w:eastAsia="en-AU"/>
        </w:rPr>
        <w:t>This means that efficient local service delivery can be provided to all parties irrespective of their location, resources and vulnerabilities.</w:t>
      </w:r>
      <w:r w:rsidR="00B10E8B">
        <w:rPr>
          <w:rFonts w:cs="Arial"/>
          <w:lang w:eastAsia="en-AU"/>
        </w:rPr>
        <w:t xml:space="preserve"> </w:t>
      </w:r>
      <w:r w:rsidRPr="00A21D7D">
        <w:rPr>
          <w:rFonts w:cs="Arial"/>
          <w:lang w:eastAsia="en-AU"/>
        </w:rPr>
        <w:t>It also means that complaints across Queensland are managed from different offices depending on available resources.</w:t>
      </w:r>
      <w:r w:rsidR="00B10E8B">
        <w:rPr>
          <w:rFonts w:cs="Arial"/>
          <w:lang w:eastAsia="en-AU"/>
        </w:rPr>
        <w:t xml:space="preserve"> </w:t>
      </w:r>
      <w:r w:rsidRPr="00A21D7D">
        <w:rPr>
          <w:rFonts w:cs="Arial"/>
          <w:lang w:eastAsia="en-AU"/>
        </w:rPr>
        <w:t xml:space="preserve">Telephone conferences have continued to be an effective means of resolving complaints and we have moved to delivering all conferences via phone due to the </w:t>
      </w:r>
      <w:r w:rsidR="000A27D2">
        <w:rPr>
          <w:rFonts w:cs="Arial"/>
          <w:lang w:eastAsia="en-AU"/>
        </w:rPr>
        <w:t>COVID-19</w:t>
      </w:r>
      <w:r w:rsidRPr="00A21D7D">
        <w:rPr>
          <w:rFonts w:cs="Arial"/>
          <w:lang w:eastAsia="en-AU"/>
        </w:rPr>
        <w:t xml:space="preserve"> pandemic.</w:t>
      </w:r>
      <w:r w:rsidR="00B10E8B">
        <w:rPr>
          <w:rFonts w:cs="Arial"/>
          <w:lang w:eastAsia="en-AU"/>
        </w:rPr>
        <w:t xml:space="preserve"> </w:t>
      </w:r>
      <w:r w:rsidR="00816A07">
        <w:rPr>
          <w:rFonts w:cs="Arial"/>
          <w:lang w:eastAsia="en-AU"/>
        </w:rPr>
        <w:t>For those clients who</w:t>
      </w:r>
      <w:r w:rsidRPr="00A21D7D">
        <w:rPr>
          <w:rFonts w:cs="Arial"/>
          <w:lang w:eastAsia="en-AU"/>
        </w:rPr>
        <w:t xml:space="preserve"> have a special requirement for a face</w:t>
      </w:r>
      <w:r w:rsidR="000A27D2">
        <w:rPr>
          <w:rFonts w:cs="Arial"/>
          <w:lang w:eastAsia="en-AU"/>
        </w:rPr>
        <w:t>-</w:t>
      </w:r>
      <w:r w:rsidRPr="00A21D7D">
        <w:rPr>
          <w:rFonts w:cs="Arial"/>
          <w:lang w:eastAsia="en-AU"/>
        </w:rPr>
        <w:t>to</w:t>
      </w:r>
      <w:r w:rsidR="000A27D2">
        <w:rPr>
          <w:rFonts w:cs="Arial"/>
          <w:lang w:eastAsia="en-AU"/>
        </w:rPr>
        <w:t>-</w:t>
      </w:r>
      <w:r w:rsidRPr="00A21D7D">
        <w:rPr>
          <w:rFonts w:cs="Arial"/>
          <w:lang w:eastAsia="en-AU"/>
        </w:rPr>
        <w:t>face conference, video-conferencing has been offered.</w:t>
      </w:r>
    </w:p>
    <w:p w14:paraId="62C0FB82" w14:textId="77777777" w:rsidR="00126449" w:rsidRPr="00A21D7D" w:rsidRDefault="00126449" w:rsidP="007D0F77">
      <w:pPr>
        <w:pStyle w:val="Heading2"/>
        <w:rPr>
          <w:i/>
        </w:rPr>
      </w:pPr>
      <w:bookmarkStart w:id="57" w:name="_Toc49508896"/>
      <w:r w:rsidRPr="00A21D7D">
        <w:lastRenderedPageBreak/>
        <w:t>State-wide complaint trends</w:t>
      </w:r>
      <w:bookmarkEnd w:id="57"/>
    </w:p>
    <w:p w14:paraId="207D990C" w14:textId="77D8BB75" w:rsidR="00126449" w:rsidRPr="00A21D7D" w:rsidRDefault="00126449" w:rsidP="00126449">
      <w:pPr>
        <w:spacing w:before="120" w:after="120" w:line="240" w:lineRule="auto"/>
        <w:rPr>
          <w:rFonts w:cs="Arial"/>
          <w:i/>
          <w:lang w:eastAsia="en-AU"/>
        </w:rPr>
      </w:pPr>
      <w:r w:rsidRPr="00A21D7D">
        <w:rPr>
          <w:rFonts w:cs="Arial"/>
          <w:lang w:eastAsia="en-AU"/>
        </w:rPr>
        <w:t>The majority of complaints are now lodged electronically and could originate from any region.</w:t>
      </w:r>
      <w:r w:rsidR="00B10E8B">
        <w:rPr>
          <w:rFonts w:cs="Arial"/>
          <w:lang w:eastAsia="en-AU"/>
        </w:rPr>
        <w:t xml:space="preserve"> </w:t>
      </w:r>
      <w:r w:rsidRPr="00A21D7D">
        <w:rPr>
          <w:rFonts w:cs="Arial"/>
          <w:lang w:eastAsia="en-AU"/>
        </w:rPr>
        <w:t xml:space="preserve">Only small numbers are lodged over the counter or by post in any of our </w:t>
      </w:r>
      <w:r w:rsidR="00404676">
        <w:rPr>
          <w:rFonts w:cs="Arial"/>
          <w:lang w:eastAsia="en-AU"/>
        </w:rPr>
        <w:t>four office locations</w:t>
      </w:r>
      <w:r w:rsidRPr="00A21D7D">
        <w:rPr>
          <w:rFonts w:cs="Arial"/>
          <w:lang w:eastAsia="en-AU"/>
        </w:rPr>
        <w:t>.</w:t>
      </w:r>
      <w:r w:rsidR="00B10E8B">
        <w:rPr>
          <w:rFonts w:cs="Arial"/>
          <w:lang w:eastAsia="en-AU"/>
        </w:rPr>
        <w:t xml:space="preserve">  </w:t>
      </w:r>
      <w:r w:rsidRPr="00A21D7D">
        <w:rPr>
          <w:rFonts w:cs="Arial"/>
          <w:lang w:eastAsia="en-AU"/>
        </w:rPr>
        <w:t>After lodgement, complaints are triaged, notified early if the complaint is not covered by the Act</w:t>
      </w:r>
      <w:r w:rsidR="00D04CDB">
        <w:rPr>
          <w:rFonts w:cs="Arial"/>
          <w:lang w:eastAsia="en-AU"/>
        </w:rPr>
        <w:t>s</w:t>
      </w:r>
      <w:r w:rsidRPr="00A21D7D">
        <w:rPr>
          <w:rFonts w:cs="Arial"/>
          <w:lang w:eastAsia="en-AU"/>
        </w:rPr>
        <w:t xml:space="preserve"> where appropriate, and then allocated throughout the complaint handlers in the Brisbane and regional offices</w:t>
      </w:r>
      <w:r w:rsidR="00404676">
        <w:rPr>
          <w:rFonts w:cs="Arial"/>
          <w:lang w:eastAsia="en-AU"/>
        </w:rPr>
        <w:t>. P</w:t>
      </w:r>
      <w:r w:rsidRPr="00A21D7D">
        <w:rPr>
          <w:rFonts w:cs="Arial"/>
          <w:lang w:eastAsia="en-AU"/>
        </w:rPr>
        <w:t>riority</w:t>
      </w:r>
      <w:r w:rsidR="00404676">
        <w:rPr>
          <w:rFonts w:cs="Arial"/>
          <w:lang w:eastAsia="en-AU"/>
        </w:rPr>
        <w:t xml:space="preserve"> is</w:t>
      </w:r>
      <w:r w:rsidRPr="00A21D7D">
        <w:rPr>
          <w:rFonts w:cs="Arial"/>
          <w:lang w:eastAsia="en-AU"/>
        </w:rPr>
        <w:t xml:space="preserve"> given to regional offices to manage files where parties reside in their respective regional areas.</w:t>
      </w:r>
      <w:r w:rsidR="00B10E8B">
        <w:rPr>
          <w:rFonts w:cs="Arial"/>
          <w:lang w:eastAsia="en-AU"/>
        </w:rPr>
        <w:t xml:space="preserve"> </w:t>
      </w:r>
      <w:r w:rsidRPr="00A21D7D">
        <w:rPr>
          <w:rFonts w:cs="Arial"/>
          <w:lang w:eastAsia="en-AU"/>
        </w:rPr>
        <w:t>Although conferences are held over the phone, clients often have a preference for their local regional office to deal with their complaint if possible.</w:t>
      </w:r>
    </w:p>
    <w:p w14:paraId="3AB10991" w14:textId="350437EF" w:rsidR="00974556" w:rsidRDefault="00126449" w:rsidP="00126449">
      <w:pPr>
        <w:spacing w:before="120" w:after="120" w:line="240" w:lineRule="auto"/>
        <w:rPr>
          <w:rFonts w:cs="Arial"/>
          <w:lang w:eastAsia="en-AU"/>
        </w:rPr>
      </w:pPr>
      <w:r w:rsidRPr="00A21D7D">
        <w:rPr>
          <w:rFonts w:cs="Arial"/>
          <w:lang w:eastAsia="en-AU"/>
        </w:rPr>
        <w:t xml:space="preserve">This year 1093 complaints were received across the state, representing a 13% increase from the 961 complaints received last year. This further increase means there has been a 52% increase in complaints in the last </w:t>
      </w:r>
      <w:r w:rsidR="00404676">
        <w:rPr>
          <w:rFonts w:cs="Arial"/>
          <w:lang w:eastAsia="en-AU"/>
        </w:rPr>
        <w:t>three</w:t>
      </w:r>
      <w:r w:rsidRPr="00A21D7D">
        <w:rPr>
          <w:rFonts w:cs="Arial"/>
          <w:lang w:eastAsia="en-AU"/>
        </w:rPr>
        <w:t xml:space="preserve"> years (716 complaints were received in 2016-2017)</w:t>
      </w:r>
      <w:r w:rsidR="00404676">
        <w:rPr>
          <w:rFonts w:cs="Arial"/>
          <w:lang w:eastAsia="en-AU"/>
        </w:rPr>
        <w:t>.</w:t>
      </w:r>
      <w:r w:rsidR="00B10E8B">
        <w:rPr>
          <w:rFonts w:cs="Arial"/>
          <w:lang w:eastAsia="en-AU"/>
        </w:rPr>
        <w:t xml:space="preserve"> </w:t>
      </w:r>
    </w:p>
    <w:p w14:paraId="7DE2AC7A" w14:textId="5F12B1EE" w:rsidR="00974556" w:rsidRDefault="00974556" w:rsidP="00974556">
      <w:pPr>
        <w:pStyle w:val="Keystatistics"/>
        <w:rPr>
          <w:lang w:eastAsia="en-AU"/>
        </w:rPr>
      </w:pPr>
      <w:r>
        <w:rPr>
          <w:lang w:eastAsia="en-AU"/>
        </w:rPr>
        <w:t xml:space="preserve">The number of complaints received by the Commission has grown by over </w:t>
      </w:r>
      <w:r w:rsidRPr="00974556">
        <w:rPr>
          <w:sz w:val="36"/>
          <w:szCs w:val="36"/>
          <w:lang w:eastAsia="en-AU"/>
        </w:rPr>
        <w:t>50%</w:t>
      </w:r>
      <w:r>
        <w:rPr>
          <w:lang w:eastAsia="en-AU"/>
        </w:rPr>
        <w:t xml:space="preserve"> in the past three years.</w:t>
      </w:r>
    </w:p>
    <w:p w14:paraId="0D652DA4" w14:textId="31EBB5FA" w:rsidR="00126449" w:rsidRPr="00A21D7D" w:rsidRDefault="00126449" w:rsidP="00126449">
      <w:pPr>
        <w:spacing w:before="120" w:after="120" w:line="240" w:lineRule="auto"/>
        <w:rPr>
          <w:rFonts w:cs="Arial"/>
          <w:i/>
          <w:lang w:eastAsia="en-AU"/>
        </w:rPr>
      </w:pPr>
      <w:r w:rsidRPr="00A21D7D">
        <w:rPr>
          <w:rFonts w:cs="Arial"/>
          <w:lang w:eastAsia="en-AU"/>
        </w:rPr>
        <w:t xml:space="preserve">Again, this has had a significant impact </w:t>
      </w:r>
      <w:r w:rsidR="004E69CD">
        <w:rPr>
          <w:rFonts w:cs="Arial"/>
          <w:lang w:eastAsia="en-AU"/>
        </w:rPr>
        <w:t>on our</w:t>
      </w:r>
      <w:r w:rsidR="00404676">
        <w:rPr>
          <w:rFonts w:cs="Arial"/>
          <w:lang w:eastAsia="en-AU"/>
        </w:rPr>
        <w:t xml:space="preserve"> complaint handling resources</w:t>
      </w:r>
      <w:r w:rsidRPr="00A21D7D">
        <w:rPr>
          <w:rFonts w:cs="Arial"/>
          <w:lang w:eastAsia="en-AU"/>
        </w:rPr>
        <w:t xml:space="preserve"> with more staff focussing on complaint management activities.</w:t>
      </w:r>
      <w:r w:rsidR="00B10E8B">
        <w:rPr>
          <w:rFonts w:cs="Arial"/>
          <w:lang w:eastAsia="en-AU"/>
        </w:rPr>
        <w:t xml:space="preserve"> </w:t>
      </w:r>
      <w:r w:rsidRPr="00A21D7D">
        <w:rPr>
          <w:rFonts w:cs="Arial"/>
          <w:lang w:eastAsia="en-AU"/>
        </w:rPr>
        <w:t xml:space="preserve">We were able to recruit and train new complaint handling staff, but </w:t>
      </w:r>
      <w:r w:rsidR="00404676">
        <w:rPr>
          <w:rFonts w:cs="Arial"/>
          <w:lang w:eastAsia="en-AU"/>
        </w:rPr>
        <w:t xml:space="preserve">this was counterbalanced with </w:t>
      </w:r>
      <w:r w:rsidRPr="00A21D7D">
        <w:rPr>
          <w:rFonts w:cs="Arial"/>
          <w:lang w:eastAsia="en-AU"/>
        </w:rPr>
        <w:t>various staff absences.</w:t>
      </w:r>
    </w:p>
    <w:p w14:paraId="7D949C9B" w14:textId="285EAF00" w:rsidR="00126449" w:rsidRPr="00A21D7D" w:rsidRDefault="00126449" w:rsidP="00126449">
      <w:pPr>
        <w:spacing w:before="120" w:after="120" w:line="240" w:lineRule="auto"/>
        <w:rPr>
          <w:rFonts w:cs="Arial"/>
          <w:i/>
          <w:lang w:eastAsia="en-AU"/>
        </w:rPr>
      </w:pPr>
      <w:r w:rsidRPr="00A21D7D">
        <w:rPr>
          <w:rFonts w:cs="Arial"/>
          <w:lang w:eastAsia="en-AU"/>
        </w:rPr>
        <w:t>Of the total complaints received this year, 521 were accepted as coming within the Commission’s jurisdiction, representing about 47% of complaints received.</w:t>
      </w:r>
      <w:r w:rsidR="00B10E8B">
        <w:rPr>
          <w:rFonts w:cs="Arial"/>
          <w:lang w:eastAsia="en-AU"/>
        </w:rPr>
        <w:t xml:space="preserve"> </w:t>
      </w:r>
      <w:r w:rsidR="004E69CD">
        <w:rPr>
          <w:rFonts w:cs="Arial"/>
          <w:lang w:eastAsia="en-AU"/>
        </w:rPr>
        <w:t>We</w:t>
      </w:r>
      <w:r w:rsidRPr="00A21D7D">
        <w:rPr>
          <w:rFonts w:cs="Arial"/>
          <w:lang w:eastAsia="en-AU"/>
        </w:rPr>
        <w:t xml:space="preserve"> continue to undertake a thorough assessment process at the initial lodgement stage.</w:t>
      </w:r>
      <w:r w:rsidR="00B10E8B">
        <w:rPr>
          <w:rFonts w:cs="Arial"/>
          <w:lang w:eastAsia="en-AU"/>
        </w:rPr>
        <w:t xml:space="preserve"> </w:t>
      </w:r>
      <w:r w:rsidRPr="00A21D7D">
        <w:rPr>
          <w:rFonts w:cs="Arial"/>
          <w:lang w:eastAsia="en-AU"/>
        </w:rPr>
        <w:t xml:space="preserve"> </w:t>
      </w:r>
    </w:p>
    <w:p w14:paraId="4948D0B5" w14:textId="4B39EB5C" w:rsidR="00126449" w:rsidRPr="00A21D7D" w:rsidRDefault="00126449" w:rsidP="00126449">
      <w:pPr>
        <w:spacing w:before="120" w:after="120" w:line="240" w:lineRule="auto"/>
        <w:rPr>
          <w:rFonts w:cs="Arial"/>
          <w:i/>
          <w:lang w:eastAsia="en-AU"/>
        </w:rPr>
      </w:pPr>
      <w:r w:rsidRPr="00A21D7D">
        <w:rPr>
          <w:rFonts w:cs="Arial"/>
          <w:lang w:eastAsia="en-AU"/>
        </w:rPr>
        <w:t xml:space="preserve">Many early complaints under the </w:t>
      </w:r>
      <w:r w:rsidR="00FC6699" w:rsidRPr="00FC6699">
        <w:rPr>
          <w:rFonts w:cs="Arial"/>
          <w:i/>
          <w:lang w:eastAsia="en-AU"/>
        </w:rPr>
        <w:t>Human Rights Act 2019</w:t>
      </w:r>
      <w:r w:rsidRPr="00A21D7D">
        <w:rPr>
          <w:rFonts w:cs="Arial"/>
          <w:lang w:eastAsia="en-AU"/>
        </w:rPr>
        <w:t xml:space="preserve"> could not be accepted as they related to allegations that pre-dated the commencement of the Act, or an internal complaint had not been made</w:t>
      </w:r>
      <w:r w:rsidR="00574FB9">
        <w:rPr>
          <w:rFonts w:cs="Arial"/>
          <w:lang w:eastAsia="en-AU"/>
        </w:rPr>
        <w:t>,</w:t>
      </w:r>
      <w:r w:rsidRPr="00A21D7D">
        <w:rPr>
          <w:rFonts w:cs="Arial"/>
          <w:lang w:eastAsia="en-AU"/>
        </w:rPr>
        <w:t xml:space="preserve"> which is a requirement of complaints under the </w:t>
      </w:r>
      <w:r w:rsidR="00FC6699" w:rsidRPr="00FC6699">
        <w:rPr>
          <w:rFonts w:cs="Arial"/>
          <w:i/>
          <w:lang w:eastAsia="en-AU"/>
        </w:rPr>
        <w:t>Human Rights Act 2019</w:t>
      </w:r>
      <w:r w:rsidRPr="00A21D7D">
        <w:rPr>
          <w:rFonts w:cs="Arial"/>
          <w:lang w:eastAsia="en-AU"/>
        </w:rPr>
        <w:t xml:space="preserve"> but not the </w:t>
      </w:r>
      <w:r w:rsidRPr="00404676">
        <w:rPr>
          <w:rFonts w:cs="Arial"/>
          <w:i/>
          <w:lang w:eastAsia="en-AU"/>
        </w:rPr>
        <w:t>Anti-Discrimination Act 2019</w:t>
      </w:r>
      <w:r w:rsidRPr="00A21D7D">
        <w:rPr>
          <w:rFonts w:cs="Arial"/>
          <w:lang w:eastAsia="en-AU"/>
        </w:rPr>
        <w:t>.</w:t>
      </w:r>
      <w:r w:rsidR="00B10E8B">
        <w:rPr>
          <w:rFonts w:cs="Arial"/>
          <w:lang w:eastAsia="en-AU"/>
        </w:rPr>
        <w:t xml:space="preserve"> </w:t>
      </w:r>
    </w:p>
    <w:p w14:paraId="097B86E6" w14:textId="04D054AC" w:rsidR="00126449" w:rsidRDefault="00126449" w:rsidP="00126449">
      <w:pPr>
        <w:spacing w:before="120" w:after="120" w:line="240" w:lineRule="auto"/>
        <w:rPr>
          <w:rFonts w:cs="Arial"/>
          <w:lang w:eastAsia="en-AU"/>
        </w:rPr>
      </w:pPr>
      <w:r w:rsidRPr="00A21D7D">
        <w:rPr>
          <w:rFonts w:cs="Arial"/>
          <w:lang w:eastAsia="en-AU"/>
        </w:rPr>
        <w:t xml:space="preserve">Where a complaint does not come within </w:t>
      </w:r>
      <w:r w:rsidR="004E69CD">
        <w:rPr>
          <w:rFonts w:cs="Arial"/>
          <w:lang w:eastAsia="en-AU"/>
        </w:rPr>
        <w:t>our</w:t>
      </w:r>
      <w:r w:rsidRPr="00A21D7D">
        <w:rPr>
          <w:rFonts w:cs="Arial"/>
          <w:lang w:eastAsia="en-AU"/>
        </w:rPr>
        <w:t xml:space="preserve"> jurisdiction, the complainant is provided with written reasons and is referred to another agency that can assist them, if there is one.</w:t>
      </w:r>
    </w:p>
    <w:p w14:paraId="61A35812" w14:textId="77777777" w:rsidR="00974556" w:rsidRDefault="00974556" w:rsidP="00974556">
      <w:pPr>
        <w:pStyle w:val="Keystatistics"/>
        <w:rPr>
          <w:lang w:eastAsia="en-AU"/>
        </w:rPr>
      </w:pPr>
      <w:r>
        <w:rPr>
          <w:lang w:eastAsia="en-AU"/>
        </w:rPr>
        <w:t xml:space="preserve">We finalised </w:t>
      </w:r>
      <w:r w:rsidRPr="00974556">
        <w:rPr>
          <w:sz w:val="36"/>
          <w:szCs w:val="36"/>
          <w:lang w:eastAsia="en-AU"/>
        </w:rPr>
        <w:t xml:space="preserve">1025 </w:t>
      </w:r>
      <w:r>
        <w:rPr>
          <w:lang w:eastAsia="en-AU"/>
        </w:rPr>
        <w:t xml:space="preserve">complaints in 2019-20, </w:t>
      </w:r>
    </w:p>
    <w:p w14:paraId="474CF87D" w14:textId="2D4C4297" w:rsidR="00974556" w:rsidRPr="00A21D7D" w:rsidRDefault="00974556" w:rsidP="00974556">
      <w:pPr>
        <w:pStyle w:val="Keystatistics"/>
        <w:rPr>
          <w:lang w:eastAsia="en-AU"/>
        </w:rPr>
      </w:pPr>
      <w:r>
        <w:rPr>
          <w:lang w:eastAsia="en-AU"/>
        </w:rPr>
        <w:t>an increase of over 20% from last year.</w:t>
      </w:r>
    </w:p>
    <w:p w14:paraId="67908CA0" w14:textId="77777777" w:rsidR="00974556" w:rsidRDefault="00126449" w:rsidP="00126449">
      <w:pPr>
        <w:spacing w:before="120" w:after="120" w:line="240" w:lineRule="auto"/>
        <w:rPr>
          <w:rFonts w:cs="Arial"/>
          <w:lang w:eastAsia="en-AU"/>
        </w:rPr>
      </w:pPr>
      <w:r w:rsidRPr="00A21D7D">
        <w:rPr>
          <w:rFonts w:cs="Arial"/>
          <w:lang w:eastAsia="en-AU"/>
        </w:rPr>
        <w:t>The number of complaints finalised this year was 1025. This, agai</w:t>
      </w:r>
      <w:r w:rsidR="00A21D7D" w:rsidRPr="00A21D7D">
        <w:rPr>
          <w:rFonts w:cs="Arial"/>
          <w:lang w:eastAsia="en-AU"/>
        </w:rPr>
        <w:t xml:space="preserve">n, is an increase from the 849 </w:t>
      </w:r>
      <w:r w:rsidRPr="00A21D7D">
        <w:rPr>
          <w:rFonts w:cs="Arial"/>
          <w:lang w:eastAsia="en-AU"/>
        </w:rPr>
        <w:t>finalised last year, and 818 in 2017-18.</w:t>
      </w:r>
      <w:r w:rsidR="00B10E8B">
        <w:rPr>
          <w:rFonts w:cs="Arial"/>
          <w:lang w:eastAsia="en-AU"/>
        </w:rPr>
        <w:t xml:space="preserve"> </w:t>
      </w:r>
    </w:p>
    <w:p w14:paraId="111337F5" w14:textId="77777777" w:rsidR="00974556" w:rsidRDefault="00126449" w:rsidP="00126449">
      <w:pPr>
        <w:spacing w:before="120" w:after="120" w:line="240" w:lineRule="auto"/>
        <w:rPr>
          <w:rFonts w:cs="Arial"/>
          <w:lang w:eastAsia="en-AU"/>
        </w:rPr>
      </w:pPr>
      <w:r w:rsidRPr="00A21D7D">
        <w:rPr>
          <w:rFonts w:cs="Arial"/>
          <w:lang w:eastAsia="en-AU"/>
        </w:rPr>
        <w:t xml:space="preserve">Although </w:t>
      </w:r>
      <w:r w:rsidR="004E69CD">
        <w:rPr>
          <w:rFonts w:cs="Arial"/>
          <w:lang w:eastAsia="en-AU"/>
        </w:rPr>
        <w:t>we</w:t>
      </w:r>
      <w:r w:rsidRPr="00A21D7D">
        <w:rPr>
          <w:rFonts w:cs="Arial"/>
          <w:lang w:eastAsia="en-AU"/>
        </w:rPr>
        <w:t xml:space="preserve"> finalised a large number of complaints, we received more complaints than we finalised, </w:t>
      </w:r>
      <w:r w:rsidR="00404676">
        <w:rPr>
          <w:rFonts w:cs="Arial"/>
          <w:lang w:eastAsia="en-AU"/>
        </w:rPr>
        <w:t xml:space="preserve">resulting in a </w:t>
      </w:r>
      <w:r w:rsidRPr="00A21D7D">
        <w:rPr>
          <w:rFonts w:cs="Arial"/>
          <w:lang w:eastAsia="en-AU"/>
        </w:rPr>
        <w:t>backlog</w:t>
      </w:r>
      <w:r w:rsidR="00404676">
        <w:rPr>
          <w:rFonts w:cs="Arial"/>
          <w:lang w:eastAsia="en-AU"/>
        </w:rPr>
        <w:t xml:space="preserve">. </w:t>
      </w:r>
      <w:r w:rsidRPr="00A21D7D">
        <w:rPr>
          <w:rFonts w:cs="Arial"/>
          <w:lang w:eastAsia="en-AU"/>
        </w:rPr>
        <w:t>Temporary complaint management staff have been recruited to reduce the backlog.</w:t>
      </w:r>
      <w:r w:rsidR="00B10E8B">
        <w:rPr>
          <w:rFonts w:cs="Arial"/>
          <w:lang w:eastAsia="en-AU"/>
        </w:rPr>
        <w:t xml:space="preserve"> </w:t>
      </w:r>
      <w:r w:rsidR="004E69CD">
        <w:rPr>
          <w:rFonts w:cs="Arial"/>
          <w:lang w:eastAsia="en-AU"/>
        </w:rPr>
        <w:t>Our</w:t>
      </w:r>
      <w:r w:rsidRPr="00A21D7D">
        <w:rPr>
          <w:rFonts w:cs="Arial"/>
          <w:lang w:eastAsia="en-AU"/>
        </w:rPr>
        <w:t xml:space="preserve"> complaint management team across Queensland continue to work together to meet increased and different client demands under </w:t>
      </w:r>
      <w:r w:rsidRPr="00722E26">
        <w:rPr>
          <w:rFonts w:cs="Arial"/>
          <w:lang w:eastAsia="en-AU"/>
        </w:rPr>
        <w:t xml:space="preserve">the </w:t>
      </w:r>
      <w:r w:rsidR="00FC6699" w:rsidRPr="00FC6699">
        <w:rPr>
          <w:rFonts w:cs="Arial"/>
          <w:i/>
          <w:lang w:eastAsia="en-AU"/>
        </w:rPr>
        <w:t>Human Rights Act 2019</w:t>
      </w:r>
      <w:r w:rsidRPr="00722E26">
        <w:rPr>
          <w:rFonts w:cs="Arial"/>
          <w:lang w:eastAsia="en-AU"/>
        </w:rPr>
        <w:t>, whilst continuing to provide high quality service.</w:t>
      </w:r>
      <w:r w:rsidR="004E69CD">
        <w:rPr>
          <w:rFonts w:cs="Arial"/>
          <w:lang w:eastAsia="en-AU"/>
        </w:rPr>
        <w:t xml:space="preserve"> </w:t>
      </w:r>
    </w:p>
    <w:p w14:paraId="62F2E28B" w14:textId="145B63E0" w:rsidR="00126449" w:rsidRPr="00A21D7D" w:rsidRDefault="00126449" w:rsidP="00126449">
      <w:pPr>
        <w:spacing w:before="120" w:after="120" w:line="240" w:lineRule="auto"/>
        <w:rPr>
          <w:rFonts w:cs="Arial"/>
          <w:i/>
          <w:lang w:eastAsia="en-AU"/>
        </w:rPr>
      </w:pPr>
      <w:r w:rsidRPr="00722E26">
        <w:rPr>
          <w:rFonts w:cs="Arial"/>
          <w:lang w:eastAsia="en-AU"/>
        </w:rPr>
        <w:lastRenderedPageBreak/>
        <w:t xml:space="preserve">The greatest impact on staff </w:t>
      </w:r>
      <w:r w:rsidR="004E69CD">
        <w:rPr>
          <w:rFonts w:cs="Arial"/>
          <w:lang w:eastAsia="en-AU"/>
        </w:rPr>
        <w:t>workload</w:t>
      </w:r>
      <w:r w:rsidRPr="00722E26">
        <w:rPr>
          <w:rFonts w:cs="Arial"/>
          <w:lang w:eastAsia="en-AU"/>
        </w:rPr>
        <w:t xml:space="preserve">s has been the introduction of urgency into </w:t>
      </w:r>
      <w:r w:rsidR="00404676" w:rsidRPr="00722E26">
        <w:rPr>
          <w:rFonts w:cs="Arial"/>
          <w:lang w:eastAsia="en-AU"/>
        </w:rPr>
        <w:t>h</w:t>
      </w:r>
      <w:r w:rsidRPr="00722E26">
        <w:rPr>
          <w:rFonts w:cs="Arial"/>
          <w:lang w:eastAsia="en-AU"/>
        </w:rPr>
        <w:t xml:space="preserve">uman </w:t>
      </w:r>
      <w:r w:rsidR="00404676" w:rsidRPr="00722E26">
        <w:rPr>
          <w:rFonts w:cs="Arial"/>
          <w:lang w:eastAsia="en-AU"/>
        </w:rPr>
        <w:t>r</w:t>
      </w:r>
      <w:r w:rsidRPr="00722E26">
        <w:rPr>
          <w:rFonts w:cs="Arial"/>
          <w:lang w:eastAsia="en-AU"/>
        </w:rPr>
        <w:t>ights complaints</w:t>
      </w:r>
      <w:r w:rsidR="009C6263">
        <w:rPr>
          <w:rFonts w:cs="Arial"/>
          <w:lang w:eastAsia="en-AU"/>
        </w:rPr>
        <w:t>. This urgency</w:t>
      </w:r>
      <w:r w:rsidRPr="00722E26">
        <w:rPr>
          <w:rFonts w:cs="Arial"/>
          <w:lang w:eastAsia="en-AU"/>
        </w:rPr>
        <w:t xml:space="preserve"> previously did not exist under the </w:t>
      </w:r>
      <w:r w:rsidR="00FC6699" w:rsidRPr="00FC6699">
        <w:rPr>
          <w:rFonts w:cs="Arial"/>
          <w:i/>
          <w:lang w:eastAsia="en-AU"/>
        </w:rPr>
        <w:t>Anti-Discrimination Act 1991</w:t>
      </w:r>
      <w:r w:rsidRPr="00722E26">
        <w:rPr>
          <w:rFonts w:cs="Arial"/>
          <w:lang w:eastAsia="en-AU"/>
        </w:rPr>
        <w:t xml:space="preserve"> due to the strict time frames embedded in that Act</w:t>
      </w:r>
      <w:r w:rsidR="004E1C8E">
        <w:rPr>
          <w:rFonts w:cs="Arial"/>
          <w:lang w:eastAsia="en-AU"/>
        </w:rPr>
        <w:t xml:space="preserve"> for providing respondents with four to six weeks</w:t>
      </w:r>
      <w:r w:rsidR="009C6263">
        <w:rPr>
          <w:rFonts w:cs="Arial"/>
          <w:lang w:eastAsia="en-AU"/>
        </w:rPr>
        <w:t>’</w:t>
      </w:r>
      <w:r w:rsidR="004E1C8E">
        <w:rPr>
          <w:rFonts w:cs="Arial"/>
          <w:lang w:eastAsia="en-AU"/>
        </w:rPr>
        <w:t xml:space="preserve"> notice of a conciliation conference</w:t>
      </w:r>
      <w:r w:rsidRPr="00722E26">
        <w:rPr>
          <w:rFonts w:cs="Arial"/>
          <w:lang w:eastAsia="en-AU"/>
        </w:rPr>
        <w:t>.</w:t>
      </w:r>
      <w:r w:rsidRPr="00A21D7D">
        <w:rPr>
          <w:rFonts w:cs="Arial"/>
          <w:lang w:eastAsia="en-AU"/>
        </w:rPr>
        <w:t xml:space="preserve"> </w:t>
      </w:r>
    </w:p>
    <w:p w14:paraId="087569F9" w14:textId="77777777" w:rsidR="00974556" w:rsidRDefault="00974556" w:rsidP="000A27D2">
      <w:pPr>
        <w:pStyle w:val="Caption"/>
        <w:rPr>
          <w:rFonts w:cs="Arial"/>
          <w:color w:val="auto"/>
        </w:rPr>
      </w:pPr>
    </w:p>
    <w:p w14:paraId="1AE9E928" w14:textId="607520BA" w:rsidR="00126449" w:rsidRPr="00722E26" w:rsidRDefault="00126449" w:rsidP="000A27D2">
      <w:pPr>
        <w:pStyle w:val="Caption"/>
        <w:rPr>
          <w:rFonts w:cs="Arial"/>
          <w:color w:val="auto"/>
        </w:rPr>
      </w:pPr>
      <w:r w:rsidRPr="00722E26">
        <w:rPr>
          <w:rFonts w:cs="Arial"/>
          <w:color w:val="auto"/>
        </w:rPr>
        <w:t xml:space="preserve">Table </w:t>
      </w:r>
      <w:r w:rsidR="000A27D2" w:rsidRPr="00722E26">
        <w:rPr>
          <w:rFonts w:cs="Arial"/>
          <w:color w:val="auto"/>
        </w:rPr>
        <w:t>5</w:t>
      </w:r>
      <w:r w:rsidRPr="00722E26">
        <w:rPr>
          <w:rFonts w:cs="Arial"/>
          <w:color w:val="auto"/>
        </w:rPr>
        <w:t>: Complaints received, accepted and finalised</w:t>
      </w:r>
    </w:p>
    <w:tbl>
      <w:tblPr>
        <w:tblStyle w:val="TableGrid"/>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1E0" w:firstRow="1" w:lastRow="1" w:firstColumn="1" w:lastColumn="1" w:noHBand="0" w:noVBand="0"/>
      </w:tblPr>
      <w:tblGrid>
        <w:gridCol w:w="2547"/>
        <w:gridCol w:w="1276"/>
        <w:gridCol w:w="992"/>
        <w:gridCol w:w="992"/>
        <w:gridCol w:w="1134"/>
        <w:gridCol w:w="1276"/>
      </w:tblGrid>
      <w:tr w:rsidR="00126449" w:rsidRPr="00BF78C7" w14:paraId="11C202C8" w14:textId="77777777" w:rsidTr="00354795">
        <w:tc>
          <w:tcPr>
            <w:tcW w:w="2547" w:type="dxa"/>
          </w:tcPr>
          <w:p w14:paraId="1AA26446" w14:textId="259D2761" w:rsidR="00126449" w:rsidRPr="00BF78C7" w:rsidRDefault="00A57CB2" w:rsidP="00BF78C7">
            <w:pPr>
              <w:pStyle w:val="TableTextHeading"/>
            </w:pPr>
            <w:r>
              <w:t>Complaints</w:t>
            </w:r>
          </w:p>
        </w:tc>
        <w:tc>
          <w:tcPr>
            <w:tcW w:w="1276" w:type="dxa"/>
          </w:tcPr>
          <w:p w14:paraId="62ED8282" w14:textId="77777777" w:rsidR="00126449" w:rsidRPr="00BF78C7" w:rsidRDefault="00126449" w:rsidP="00BF78C7">
            <w:pPr>
              <w:pStyle w:val="TableTextHeading"/>
            </w:pPr>
            <w:r w:rsidRPr="00BF78C7">
              <w:t>South-East</w:t>
            </w:r>
          </w:p>
        </w:tc>
        <w:tc>
          <w:tcPr>
            <w:tcW w:w="992" w:type="dxa"/>
          </w:tcPr>
          <w:p w14:paraId="4CB48E17" w14:textId="77777777" w:rsidR="00126449" w:rsidRPr="00BF78C7" w:rsidRDefault="00126449" w:rsidP="00BF78C7">
            <w:pPr>
              <w:pStyle w:val="TableTextHeading"/>
            </w:pPr>
            <w:r w:rsidRPr="00BF78C7">
              <w:t>Central</w:t>
            </w:r>
          </w:p>
        </w:tc>
        <w:tc>
          <w:tcPr>
            <w:tcW w:w="992" w:type="dxa"/>
          </w:tcPr>
          <w:p w14:paraId="45BBF287" w14:textId="77777777" w:rsidR="00126449" w:rsidRPr="00BF78C7" w:rsidRDefault="00126449" w:rsidP="00BF78C7">
            <w:pPr>
              <w:pStyle w:val="TableTextHeading"/>
            </w:pPr>
            <w:r w:rsidRPr="00BF78C7">
              <w:t>North</w:t>
            </w:r>
          </w:p>
        </w:tc>
        <w:tc>
          <w:tcPr>
            <w:tcW w:w="1134" w:type="dxa"/>
          </w:tcPr>
          <w:p w14:paraId="56540DA4" w14:textId="77777777" w:rsidR="00126449" w:rsidRPr="00BF78C7" w:rsidRDefault="00126449" w:rsidP="00BF78C7">
            <w:pPr>
              <w:pStyle w:val="TableTextHeading"/>
            </w:pPr>
            <w:r w:rsidRPr="00BF78C7">
              <w:t>Far North</w:t>
            </w:r>
          </w:p>
        </w:tc>
        <w:tc>
          <w:tcPr>
            <w:tcW w:w="1276" w:type="dxa"/>
          </w:tcPr>
          <w:p w14:paraId="719C3C4B" w14:textId="77777777" w:rsidR="00126449" w:rsidRPr="00BF78C7" w:rsidRDefault="00126449" w:rsidP="00BF78C7">
            <w:pPr>
              <w:pStyle w:val="TableTextHeading"/>
            </w:pPr>
            <w:r w:rsidRPr="00BF78C7">
              <w:t>State-wide</w:t>
            </w:r>
          </w:p>
        </w:tc>
      </w:tr>
      <w:tr w:rsidR="00126449" w:rsidRPr="00A21D7D" w14:paraId="35482332" w14:textId="77777777" w:rsidTr="00354795">
        <w:tc>
          <w:tcPr>
            <w:tcW w:w="2547" w:type="dxa"/>
          </w:tcPr>
          <w:p w14:paraId="5AF17E1C" w14:textId="77777777" w:rsidR="00126449" w:rsidRPr="00A21D7D" w:rsidRDefault="00126449" w:rsidP="00354795">
            <w:pPr>
              <w:pStyle w:val="TableTextBody"/>
              <w:rPr>
                <w:i/>
                <w:lang w:eastAsia="en-AU"/>
              </w:rPr>
            </w:pPr>
            <w:r w:rsidRPr="00A21D7D">
              <w:rPr>
                <w:lang w:eastAsia="en-AU"/>
              </w:rPr>
              <w:t>Complaints received</w:t>
            </w:r>
          </w:p>
        </w:tc>
        <w:tc>
          <w:tcPr>
            <w:tcW w:w="1276" w:type="dxa"/>
          </w:tcPr>
          <w:p w14:paraId="7D7FCEA3" w14:textId="77777777" w:rsidR="00126449" w:rsidRPr="00A21D7D" w:rsidRDefault="00126449" w:rsidP="00354795">
            <w:pPr>
              <w:pStyle w:val="TableTextBody"/>
              <w:rPr>
                <w:i/>
                <w:lang w:eastAsia="en-AU"/>
              </w:rPr>
            </w:pPr>
            <w:r w:rsidRPr="00A21D7D">
              <w:rPr>
                <w:lang w:eastAsia="en-AU"/>
              </w:rPr>
              <w:t>1051</w:t>
            </w:r>
          </w:p>
        </w:tc>
        <w:tc>
          <w:tcPr>
            <w:tcW w:w="992" w:type="dxa"/>
          </w:tcPr>
          <w:p w14:paraId="2B273495" w14:textId="77777777" w:rsidR="00126449" w:rsidRPr="00A21D7D" w:rsidRDefault="00126449" w:rsidP="00354795">
            <w:pPr>
              <w:pStyle w:val="TableTextBody"/>
              <w:rPr>
                <w:i/>
                <w:lang w:eastAsia="en-AU"/>
              </w:rPr>
            </w:pPr>
            <w:r w:rsidRPr="00A21D7D">
              <w:rPr>
                <w:lang w:eastAsia="en-AU"/>
              </w:rPr>
              <w:t>18</w:t>
            </w:r>
          </w:p>
        </w:tc>
        <w:tc>
          <w:tcPr>
            <w:tcW w:w="992" w:type="dxa"/>
          </w:tcPr>
          <w:p w14:paraId="1A190B3A" w14:textId="77777777" w:rsidR="00126449" w:rsidRPr="00A21D7D" w:rsidRDefault="00126449" w:rsidP="00354795">
            <w:pPr>
              <w:pStyle w:val="TableTextBody"/>
              <w:rPr>
                <w:i/>
                <w:lang w:eastAsia="en-AU"/>
              </w:rPr>
            </w:pPr>
            <w:r w:rsidRPr="00A21D7D">
              <w:rPr>
                <w:lang w:eastAsia="en-AU"/>
              </w:rPr>
              <w:t>9</w:t>
            </w:r>
          </w:p>
        </w:tc>
        <w:tc>
          <w:tcPr>
            <w:tcW w:w="1134" w:type="dxa"/>
          </w:tcPr>
          <w:p w14:paraId="4DD07468" w14:textId="77777777" w:rsidR="00126449" w:rsidRPr="00A21D7D" w:rsidRDefault="00126449" w:rsidP="00354795">
            <w:pPr>
              <w:pStyle w:val="TableTextBody"/>
              <w:rPr>
                <w:i/>
                <w:lang w:eastAsia="en-AU"/>
              </w:rPr>
            </w:pPr>
            <w:r w:rsidRPr="00A21D7D">
              <w:rPr>
                <w:lang w:eastAsia="en-AU"/>
              </w:rPr>
              <w:t>15</w:t>
            </w:r>
          </w:p>
        </w:tc>
        <w:tc>
          <w:tcPr>
            <w:tcW w:w="1276" w:type="dxa"/>
          </w:tcPr>
          <w:p w14:paraId="510E866F" w14:textId="77777777" w:rsidR="00126449" w:rsidRPr="00A21D7D" w:rsidRDefault="00126449" w:rsidP="00354795">
            <w:pPr>
              <w:pStyle w:val="TableTextBody"/>
              <w:rPr>
                <w:b/>
                <w:i/>
                <w:lang w:eastAsia="en-AU"/>
              </w:rPr>
            </w:pPr>
            <w:r w:rsidRPr="00A21D7D">
              <w:rPr>
                <w:b/>
                <w:lang w:eastAsia="en-AU"/>
              </w:rPr>
              <w:t>1093</w:t>
            </w:r>
          </w:p>
        </w:tc>
      </w:tr>
      <w:tr w:rsidR="00126449" w:rsidRPr="00A21D7D" w14:paraId="082CC702" w14:textId="77777777" w:rsidTr="00354795">
        <w:tc>
          <w:tcPr>
            <w:tcW w:w="2547" w:type="dxa"/>
          </w:tcPr>
          <w:p w14:paraId="2B7B0AF5" w14:textId="77777777" w:rsidR="00126449" w:rsidRPr="00A21D7D" w:rsidRDefault="00126449" w:rsidP="00354795">
            <w:pPr>
              <w:pStyle w:val="TableTextBody"/>
              <w:rPr>
                <w:i/>
                <w:lang w:eastAsia="en-AU"/>
              </w:rPr>
            </w:pPr>
            <w:r w:rsidRPr="00A21D7D">
              <w:rPr>
                <w:lang w:eastAsia="en-AU"/>
              </w:rPr>
              <w:t>Complaints accepted</w:t>
            </w:r>
          </w:p>
        </w:tc>
        <w:tc>
          <w:tcPr>
            <w:tcW w:w="1276" w:type="dxa"/>
          </w:tcPr>
          <w:p w14:paraId="2A603205" w14:textId="77777777" w:rsidR="00126449" w:rsidRPr="00A21D7D" w:rsidRDefault="00126449" w:rsidP="00354795">
            <w:pPr>
              <w:pStyle w:val="TableTextBody"/>
              <w:rPr>
                <w:i/>
                <w:lang w:eastAsia="en-AU"/>
              </w:rPr>
            </w:pPr>
            <w:r w:rsidRPr="00A21D7D">
              <w:rPr>
                <w:lang w:eastAsia="en-AU"/>
              </w:rPr>
              <w:t>246</w:t>
            </w:r>
          </w:p>
        </w:tc>
        <w:tc>
          <w:tcPr>
            <w:tcW w:w="992" w:type="dxa"/>
          </w:tcPr>
          <w:p w14:paraId="476BBB90" w14:textId="77777777" w:rsidR="00126449" w:rsidRPr="00A21D7D" w:rsidRDefault="00126449" w:rsidP="00354795">
            <w:pPr>
              <w:pStyle w:val="TableTextBody"/>
              <w:rPr>
                <w:i/>
                <w:lang w:eastAsia="en-AU"/>
              </w:rPr>
            </w:pPr>
            <w:r w:rsidRPr="00A21D7D">
              <w:rPr>
                <w:lang w:eastAsia="en-AU"/>
              </w:rPr>
              <w:t>99</w:t>
            </w:r>
          </w:p>
        </w:tc>
        <w:tc>
          <w:tcPr>
            <w:tcW w:w="992" w:type="dxa"/>
          </w:tcPr>
          <w:p w14:paraId="0B0763AD" w14:textId="77777777" w:rsidR="00126449" w:rsidRPr="00A21D7D" w:rsidRDefault="00126449" w:rsidP="00354795">
            <w:pPr>
              <w:pStyle w:val="TableTextBody"/>
              <w:rPr>
                <w:i/>
                <w:lang w:eastAsia="en-AU"/>
              </w:rPr>
            </w:pPr>
            <w:r w:rsidRPr="00A21D7D">
              <w:rPr>
                <w:lang w:eastAsia="en-AU"/>
              </w:rPr>
              <w:t>104</w:t>
            </w:r>
          </w:p>
        </w:tc>
        <w:tc>
          <w:tcPr>
            <w:tcW w:w="1134" w:type="dxa"/>
          </w:tcPr>
          <w:p w14:paraId="35878797" w14:textId="77777777" w:rsidR="00126449" w:rsidRPr="00A21D7D" w:rsidRDefault="00126449" w:rsidP="00354795">
            <w:pPr>
              <w:pStyle w:val="TableTextBody"/>
              <w:rPr>
                <w:i/>
                <w:lang w:eastAsia="en-AU"/>
              </w:rPr>
            </w:pPr>
            <w:r w:rsidRPr="00A21D7D">
              <w:rPr>
                <w:lang w:eastAsia="en-AU"/>
              </w:rPr>
              <w:t>72</w:t>
            </w:r>
          </w:p>
        </w:tc>
        <w:tc>
          <w:tcPr>
            <w:tcW w:w="1276" w:type="dxa"/>
          </w:tcPr>
          <w:p w14:paraId="2B6977FC" w14:textId="77777777" w:rsidR="00126449" w:rsidRPr="00A21D7D" w:rsidRDefault="00126449" w:rsidP="00354795">
            <w:pPr>
              <w:pStyle w:val="TableTextBody"/>
              <w:rPr>
                <w:b/>
                <w:i/>
                <w:lang w:eastAsia="en-AU"/>
              </w:rPr>
            </w:pPr>
            <w:r w:rsidRPr="00A21D7D">
              <w:rPr>
                <w:b/>
                <w:lang w:eastAsia="en-AU"/>
              </w:rPr>
              <w:t>521</w:t>
            </w:r>
          </w:p>
        </w:tc>
      </w:tr>
      <w:tr w:rsidR="00126449" w:rsidRPr="00A21D7D" w14:paraId="62AFC471" w14:textId="77777777" w:rsidTr="00354795">
        <w:trPr>
          <w:trHeight w:val="57"/>
        </w:trPr>
        <w:tc>
          <w:tcPr>
            <w:tcW w:w="2547" w:type="dxa"/>
          </w:tcPr>
          <w:p w14:paraId="38DB3DA4" w14:textId="77777777" w:rsidR="00126449" w:rsidRPr="00A21D7D" w:rsidRDefault="00126449" w:rsidP="00354795">
            <w:pPr>
              <w:pStyle w:val="TableTextBody"/>
              <w:rPr>
                <w:i/>
                <w:sz w:val="12"/>
                <w:szCs w:val="12"/>
                <w:lang w:eastAsia="en-AU"/>
              </w:rPr>
            </w:pPr>
          </w:p>
        </w:tc>
        <w:tc>
          <w:tcPr>
            <w:tcW w:w="1276" w:type="dxa"/>
          </w:tcPr>
          <w:p w14:paraId="4DD892F8" w14:textId="77777777" w:rsidR="00126449" w:rsidRPr="00A21D7D" w:rsidRDefault="00126449" w:rsidP="00354795">
            <w:pPr>
              <w:pStyle w:val="TableTextBody"/>
              <w:rPr>
                <w:i/>
                <w:sz w:val="8"/>
                <w:szCs w:val="8"/>
                <w:lang w:eastAsia="en-AU"/>
              </w:rPr>
            </w:pPr>
          </w:p>
        </w:tc>
        <w:tc>
          <w:tcPr>
            <w:tcW w:w="992" w:type="dxa"/>
          </w:tcPr>
          <w:p w14:paraId="088B1E7F" w14:textId="77777777" w:rsidR="00126449" w:rsidRPr="00A21D7D" w:rsidRDefault="00126449" w:rsidP="00354795">
            <w:pPr>
              <w:pStyle w:val="TableTextBody"/>
              <w:rPr>
                <w:i/>
                <w:sz w:val="12"/>
                <w:szCs w:val="12"/>
                <w:lang w:eastAsia="en-AU"/>
              </w:rPr>
            </w:pPr>
          </w:p>
        </w:tc>
        <w:tc>
          <w:tcPr>
            <w:tcW w:w="992" w:type="dxa"/>
          </w:tcPr>
          <w:p w14:paraId="5C1D9EEA" w14:textId="77777777" w:rsidR="00126449" w:rsidRPr="00A21D7D" w:rsidRDefault="00126449" w:rsidP="00354795">
            <w:pPr>
              <w:pStyle w:val="TableTextBody"/>
              <w:rPr>
                <w:i/>
                <w:sz w:val="12"/>
                <w:szCs w:val="12"/>
                <w:lang w:eastAsia="en-AU"/>
              </w:rPr>
            </w:pPr>
          </w:p>
        </w:tc>
        <w:tc>
          <w:tcPr>
            <w:tcW w:w="1134" w:type="dxa"/>
          </w:tcPr>
          <w:p w14:paraId="77665A5C" w14:textId="77777777" w:rsidR="00126449" w:rsidRPr="00A21D7D" w:rsidRDefault="00126449" w:rsidP="00354795">
            <w:pPr>
              <w:pStyle w:val="TableTextBody"/>
              <w:rPr>
                <w:i/>
                <w:sz w:val="12"/>
                <w:szCs w:val="12"/>
                <w:lang w:eastAsia="en-AU"/>
              </w:rPr>
            </w:pPr>
          </w:p>
        </w:tc>
        <w:tc>
          <w:tcPr>
            <w:tcW w:w="1276" w:type="dxa"/>
          </w:tcPr>
          <w:p w14:paraId="2CA57615" w14:textId="77777777" w:rsidR="00126449" w:rsidRPr="00A21D7D" w:rsidRDefault="00126449" w:rsidP="00354795">
            <w:pPr>
              <w:pStyle w:val="TableTextBody"/>
              <w:rPr>
                <w:b/>
                <w:i/>
                <w:sz w:val="12"/>
                <w:szCs w:val="12"/>
                <w:lang w:eastAsia="en-AU"/>
              </w:rPr>
            </w:pPr>
          </w:p>
        </w:tc>
      </w:tr>
      <w:tr w:rsidR="00126449" w:rsidRPr="00A21D7D" w14:paraId="3D41C402" w14:textId="77777777" w:rsidTr="00354795">
        <w:trPr>
          <w:trHeight w:val="268"/>
        </w:trPr>
        <w:tc>
          <w:tcPr>
            <w:tcW w:w="2547" w:type="dxa"/>
          </w:tcPr>
          <w:p w14:paraId="0C100177" w14:textId="77777777" w:rsidR="00126449" w:rsidRPr="00A21D7D" w:rsidRDefault="00126449" w:rsidP="00354795">
            <w:pPr>
              <w:pStyle w:val="TableTextBody"/>
              <w:rPr>
                <w:i/>
                <w:lang w:eastAsia="en-AU"/>
              </w:rPr>
            </w:pPr>
            <w:r w:rsidRPr="00A21D7D">
              <w:rPr>
                <w:lang w:eastAsia="en-AU"/>
              </w:rPr>
              <w:t>Complaints finalised — accepted</w:t>
            </w:r>
          </w:p>
        </w:tc>
        <w:tc>
          <w:tcPr>
            <w:tcW w:w="1276" w:type="dxa"/>
          </w:tcPr>
          <w:p w14:paraId="5D14E09C" w14:textId="77777777" w:rsidR="00126449" w:rsidRPr="00A21D7D" w:rsidRDefault="00126449" w:rsidP="00354795">
            <w:pPr>
              <w:pStyle w:val="TableTextBody"/>
              <w:rPr>
                <w:i/>
                <w:lang w:eastAsia="en-AU"/>
              </w:rPr>
            </w:pPr>
            <w:r w:rsidRPr="00A21D7D">
              <w:rPr>
                <w:lang w:eastAsia="en-AU"/>
              </w:rPr>
              <w:t>262</w:t>
            </w:r>
          </w:p>
        </w:tc>
        <w:tc>
          <w:tcPr>
            <w:tcW w:w="992" w:type="dxa"/>
          </w:tcPr>
          <w:p w14:paraId="04F9AB39" w14:textId="77777777" w:rsidR="00126449" w:rsidRPr="00A21D7D" w:rsidRDefault="00126449" w:rsidP="00354795">
            <w:pPr>
              <w:pStyle w:val="TableTextBody"/>
              <w:rPr>
                <w:i/>
                <w:lang w:eastAsia="en-AU"/>
              </w:rPr>
            </w:pPr>
            <w:r w:rsidRPr="00A21D7D">
              <w:rPr>
                <w:lang w:eastAsia="en-AU"/>
              </w:rPr>
              <w:t>98</w:t>
            </w:r>
          </w:p>
        </w:tc>
        <w:tc>
          <w:tcPr>
            <w:tcW w:w="992" w:type="dxa"/>
          </w:tcPr>
          <w:p w14:paraId="792A686B" w14:textId="77777777" w:rsidR="00126449" w:rsidRPr="00A21D7D" w:rsidRDefault="00126449" w:rsidP="00354795">
            <w:pPr>
              <w:pStyle w:val="TableTextBody"/>
              <w:rPr>
                <w:i/>
                <w:lang w:eastAsia="en-AU"/>
              </w:rPr>
            </w:pPr>
            <w:r w:rsidRPr="00A21D7D">
              <w:rPr>
                <w:lang w:eastAsia="en-AU"/>
              </w:rPr>
              <w:t>99</w:t>
            </w:r>
          </w:p>
        </w:tc>
        <w:tc>
          <w:tcPr>
            <w:tcW w:w="1134" w:type="dxa"/>
          </w:tcPr>
          <w:p w14:paraId="6AF4D258" w14:textId="77777777" w:rsidR="00126449" w:rsidRPr="00A21D7D" w:rsidRDefault="00126449" w:rsidP="00354795">
            <w:pPr>
              <w:pStyle w:val="TableTextBody"/>
              <w:rPr>
                <w:i/>
                <w:lang w:eastAsia="en-AU"/>
              </w:rPr>
            </w:pPr>
            <w:r w:rsidRPr="00A21D7D">
              <w:rPr>
                <w:lang w:eastAsia="en-AU"/>
              </w:rPr>
              <w:t>94</w:t>
            </w:r>
          </w:p>
        </w:tc>
        <w:tc>
          <w:tcPr>
            <w:tcW w:w="1276" w:type="dxa"/>
          </w:tcPr>
          <w:p w14:paraId="4D367560" w14:textId="2F63CB47" w:rsidR="00126449" w:rsidRPr="00A21D7D" w:rsidRDefault="00126449" w:rsidP="00354795">
            <w:pPr>
              <w:pStyle w:val="TableTextBody"/>
              <w:rPr>
                <w:b/>
                <w:i/>
                <w:lang w:eastAsia="en-AU"/>
              </w:rPr>
            </w:pPr>
            <w:r w:rsidRPr="00A21D7D">
              <w:rPr>
                <w:b/>
                <w:lang w:eastAsia="en-AU"/>
              </w:rPr>
              <w:t>55</w:t>
            </w:r>
            <w:r w:rsidR="00944B56">
              <w:rPr>
                <w:b/>
                <w:lang w:eastAsia="en-AU"/>
              </w:rPr>
              <w:t>3</w:t>
            </w:r>
          </w:p>
        </w:tc>
      </w:tr>
      <w:tr w:rsidR="00126449" w:rsidRPr="00A21D7D" w14:paraId="63CE3DB8" w14:textId="77777777" w:rsidTr="00354795">
        <w:trPr>
          <w:trHeight w:val="268"/>
        </w:trPr>
        <w:tc>
          <w:tcPr>
            <w:tcW w:w="2547" w:type="dxa"/>
          </w:tcPr>
          <w:p w14:paraId="1F095C4B" w14:textId="77777777" w:rsidR="00126449" w:rsidRPr="00A21D7D" w:rsidRDefault="00126449" w:rsidP="00354795">
            <w:pPr>
              <w:pStyle w:val="TableTextBody"/>
              <w:rPr>
                <w:i/>
                <w:lang w:eastAsia="en-AU"/>
              </w:rPr>
            </w:pPr>
            <w:r w:rsidRPr="00A21D7D">
              <w:rPr>
                <w:lang w:eastAsia="en-AU"/>
              </w:rPr>
              <w:t>Complaints finalised — not accepted or rejected</w:t>
            </w:r>
          </w:p>
        </w:tc>
        <w:tc>
          <w:tcPr>
            <w:tcW w:w="1276" w:type="dxa"/>
          </w:tcPr>
          <w:p w14:paraId="45265B60" w14:textId="77777777" w:rsidR="00126449" w:rsidRPr="00A21D7D" w:rsidRDefault="00126449" w:rsidP="00354795">
            <w:pPr>
              <w:pStyle w:val="TableTextBody"/>
              <w:rPr>
                <w:i/>
                <w:lang w:eastAsia="en-AU"/>
              </w:rPr>
            </w:pPr>
            <w:r w:rsidRPr="00A21D7D">
              <w:rPr>
                <w:lang w:eastAsia="en-AU"/>
              </w:rPr>
              <w:t>263</w:t>
            </w:r>
          </w:p>
        </w:tc>
        <w:tc>
          <w:tcPr>
            <w:tcW w:w="992" w:type="dxa"/>
          </w:tcPr>
          <w:p w14:paraId="6B8C3934" w14:textId="77777777" w:rsidR="00126449" w:rsidRPr="00A21D7D" w:rsidRDefault="00126449" w:rsidP="00354795">
            <w:pPr>
              <w:pStyle w:val="TableTextBody"/>
              <w:rPr>
                <w:i/>
                <w:lang w:eastAsia="en-AU"/>
              </w:rPr>
            </w:pPr>
            <w:r w:rsidRPr="00A21D7D">
              <w:rPr>
                <w:lang w:eastAsia="en-AU"/>
              </w:rPr>
              <w:t>63</w:t>
            </w:r>
          </w:p>
        </w:tc>
        <w:tc>
          <w:tcPr>
            <w:tcW w:w="992" w:type="dxa"/>
          </w:tcPr>
          <w:p w14:paraId="7D7B7D18" w14:textId="77777777" w:rsidR="00126449" w:rsidRPr="00A21D7D" w:rsidRDefault="00126449" w:rsidP="00354795">
            <w:pPr>
              <w:pStyle w:val="TableTextBody"/>
              <w:rPr>
                <w:i/>
                <w:lang w:eastAsia="en-AU"/>
              </w:rPr>
            </w:pPr>
            <w:r w:rsidRPr="00A21D7D">
              <w:rPr>
                <w:lang w:eastAsia="en-AU"/>
              </w:rPr>
              <w:t>71</w:t>
            </w:r>
          </w:p>
        </w:tc>
        <w:tc>
          <w:tcPr>
            <w:tcW w:w="1134" w:type="dxa"/>
          </w:tcPr>
          <w:p w14:paraId="057AEFA4" w14:textId="77777777" w:rsidR="00126449" w:rsidRPr="00A21D7D" w:rsidRDefault="00126449" w:rsidP="00354795">
            <w:pPr>
              <w:pStyle w:val="TableTextBody"/>
              <w:rPr>
                <w:i/>
                <w:lang w:eastAsia="en-AU"/>
              </w:rPr>
            </w:pPr>
            <w:r w:rsidRPr="00A21D7D">
              <w:rPr>
                <w:lang w:eastAsia="en-AU"/>
              </w:rPr>
              <w:t>75</w:t>
            </w:r>
          </w:p>
        </w:tc>
        <w:tc>
          <w:tcPr>
            <w:tcW w:w="1276" w:type="dxa"/>
          </w:tcPr>
          <w:p w14:paraId="58482C09" w14:textId="19708D9B" w:rsidR="00126449" w:rsidRPr="00A21D7D" w:rsidRDefault="007B56F8" w:rsidP="00354795">
            <w:pPr>
              <w:pStyle w:val="TableTextBody"/>
              <w:rPr>
                <w:b/>
                <w:i/>
                <w:lang w:eastAsia="en-AU"/>
              </w:rPr>
            </w:pPr>
            <w:r>
              <w:rPr>
                <w:b/>
                <w:lang w:eastAsia="en-AU"/>
              </w:rPr>
              <w:t>472</w:t>
            </w:r>
          </w:p>
        </w:tc>
      </w:tr>
      <w:tr w:rsidR="00126449" w:rsidRPr="00A21D7D" w14:paraId="615466B5" w14:textId="77777777" w:rsidTr="00354795">
        <w:trPr>
          <w:trHeight w:val="268"/>
        </w:trPr>
        <w:tc>
          <w:tcPr>
            <w:tcW w:w="2547" w:type="dxa"/>
          </w:tcPr>
          <w:p w14:paraId="7A229D9F" w14:textId="77777777" w:rsidR="00126449" w:rsidRPr="00A21D7D" w:rsidRDefault="00126449" w:rsidP="00354795">
            <w:pPr>
              <w:pStyle w:val="TableTextBody"/>
              <w:rPr>
                <w:i/>
                <w:lang w:eastAsia="en-AU"/>
              </w:rPr>
            </w:pPr>
            <w:r w:rsidRPr="00A21D7D">
              <w:rPr>
                <w:lang w:eastAsia="en-AU"/>
              </w:rPr>
              <w:t>Total complaints finalised</w:t>
            </w:r>
          </w:p>
        </w:tc>
        <w:tc>
          <w:tcPr>
            <w:tcW w:w="1276" w:type="dxa"/>
          </w:tcPr>
          <w:p w14:paraId="1D05DE8A" w14:textId="77777777" w:rsidR="00126449" w:rsidRPr="00A21D7D" w:rsidRDefault="00126449" w:rsidP="00354795">
            <w:pPr>
              <w:pStyle w:val="TableTextBody"/>
              <w:rPr>
                <w:b/>
                <w:i/>
                <w:lang w:eastAsia="en-AU"/>
              </w:rPr>
            </w:pPr>
            <w:r w:rsidRPr="00A21D7D">
              <w:rPr>
                <w:b/>
                <w:lang w:eastAsia="en-AU"/>
              </w:rPr>
              <w:t>525</w:t>
            </w:r>
          </w:p>
        </w:tc>
        <w:tc>
          <w:tcPr>
            <w:tcW w:w="992" w:type="dxa"/>
          </w:tcPr>
          <w:p w14:paraId="05371EB1" w14:textId="77777777" w:rsidR="00126449" w:rsidRPr="00A21D7D" w:rsidRDefault="00126449" w:rsidP="00354795">
            <w:pPr>
              <w:pStyle w:val="TableTextBody"/>
              <w:rPr>
                <w:b/>
                <w:i/>
                <w:lang w:eastAsia="en-AU"/>
              </w:rPr>
            </w:pPr>
            <w:r w:rsidRPr="00A21D7D">
              <w:rPr>
                <w:b/>
                <w:lang w:eastAsia="en-AU"/>
              </w:rPr>
              <w:t>161</w:t>
            </w:r>
          </w:p>
        </w:tc>
        <w:tc>
          <w:tcPr>
            <w:tcW w:w="992" w:type="dxa"/>
          </w:tcPr>
          <w:p w14:paraId="2EA11583" w14:textId="77777777" w:rsidR="00126449" w:rsidRPr="00A21D7D" w:rsidRDefault="00126449" w:rsidP="00354795">
            <w:pPr>
              <w:pStyle w:val="TableTextBody"/>
              <w:rPr>
                <w:b/>
                <w:i/>
                <w:lang w:eastAsia="en-AU"/>
              </w:rPr>
            </w:pPr>
            <w:r w:rsidRPr="00A21D7D">
              <w:rPr>
                <w:b/>
                <w:lang w:eastAsia="en-AU"/>
              </w:rPr>
              <w:t>170</w:t>
            </w:r>
          </w:p>
        </w:tc>
        <w:tc>
          <w:tcPr>
            <w:tcW w:w="1134" w:type="dxa"/>
          </w:tcPr>
          <w:p w14:paraId="74C318AE" w14:textId="77777777" w:rsidR="00126449" w:rsidRPr="00A21D7D" w:rsidRDefault="00126449" w:rsidP="00354795">
            <w:pPr>
              <w:pStyle w:val="TableTextBody"/>
              <w:rPr>
                <w:b/>
                <w:i/>
                <w:lang w:eastAsia="en-AU"/>
              </w:rPr>
            </w:pPr>
            <w:r w:rsidRPr="00A21D7D">
              <w:rPr>
                <w:b/>
                <w:lang w:eastAsia="en-AU"/>
              </w:rPr>
              <w:t>169</w:t>
            </w:r>
          </w:p>
        </w:tc>
        <w:tc>
          <w:tcPr>
            <w:tcW w:w="1276" w:type="dxa"/>
          </w:tcPr>
          <w:p w14:paraId="7B96C019" w14:textId="77777777" w:rsidR="00126449" w:rsidRPr="00A21D7D" w:rsidRDefault="00126449" w:rsidP="00354795">
            <w:pPr>
              <w:pStyle w:val="TableTextBody"/>
              <w:rPr>
                <w:b/>
                <w:i/>
                <w:lang w:eastAsia="en-AU"/>
              </w:rPr>
            </w:pPr>
            <w:r w:rsidRPr="00A21D7D">
              <w:rPr>
                <w:b/>
                <w:lang w:eastAsia="en-AU"/>
              </w:rPr>
              <w:t>1025</w:t>
            </w:r>
          </w:p>
        </w:tc>
      </w:tr>
    </w:tbl>
    <w:p w14:paraId="16EDBD58" w14:textId="7DA2DFDE" w:rsidR="007B56F8" w:rsidRPr="007B56F8" w:rsidRDefault="00126449" w:rsidP="007B56F8">
      <w:pPr>
        <w:pStyle w:val="Note"/>
        <w:rPr>
          <w:lang w:eastAsia="en-AU"/>
        </w:rPr>
      </w:pPr>
      <w:r w:rsidRPr="00A21D7D">
        <w:rPr>
          <w:lang w:eastAsia="en-AU"/>
        </w:rPr>
        <w:t xml:space="preserve">Note: Complaints may </w:t>
      </w:r>
      <w:r w:rsidRPr="00722E26">
        <w:rPr>
          <w:lang w:eastAsia="en-AU"/>
        </w:rPr>
        <w:t>be dealt with in a location other than where they were received</w:t>
      </w:r>
      <w:r w:rsidR="007B56F8">
        <w:rPr>
          <w:lang w:eastAsia="en-AU"/>
        </w:rPr>
        <w:t xml:space="preserve">. </w:t>
      </w:r>
    </w:p>
    <w:p w14:paraId="3D6795ED" w14:textId="409E990A" w:rsidR="00126449" w:rsidRPr="00722E26" w:rsidRDefault="00126449" w:rsidP="00126449">
      <w:pPr>
        <w:spacing w:before="120" w:after="120" w:line="240" w:lineRule="auto"/>
        <w:rPr>
          <w:rFonts w:cs="Arial"/>
          <w:i/>
          <w:lang w:eastAsia="en-AU"/>
        </w:rPr>
      </w:pPr>
      <w:r w:rsidRPr="00722E26">
        <w:rPr>
          <w:rFonts w:cs="Arial"/>
          <w:lang w:eastAsia="en-AU"/>
        </w:rPr>
        <w:t xml:space="preserve">As shown in Table </w:t>
      </w:r>
      <w:r w:rsidR="000A27D2" w:rsidRPr="00722E26">
        <w:rPr>
          <w:rFonts w:cs="Arial"/>
          <w:lang w:eastAsia="en-AU"/>
        </w:rPr>
        <w:t>6</w:t>
      </w:r>
      <w:r w:rsidRPr="00722E26">
        <w:rPr>
          <w:rFonts w:cs="Arial"/>
          <w:lang w:eastAsia="en-AU"/>
        </w:rPr>
        <w:t xml:space="preserve">, allegations of discrimination are included in 64.5% of accepted complaints which is a decrease from last year (69.4%). Discrimination complaints under the </w:t>
      </w:r>
      <w:r w:rsidR="00FC6699" w:rsidRPr="00FC6699">
        <w:rPr>
          <w:rFonts w:cs="Arial"/>
          <w:i/>
          <w:lang w:eastAsia="en-AU"/>
        </w:rPr>
        <w:t>Anti-Discrimination Act 1991</w:t>
      </w:r>
      <w:r w:rsidRPr="00722E26">
        <w:rPr>
          <w:rFonts w:cs="Arial"/>
          <w:lang w:eastAsia="en-AU"/>
        </w:rPr>
        <w:t xml:space="preserve"> involve allegations of less fa</w:t>
      </w:r>
      <w:r w:rsidR="000A27D2" w:rsidRPr="00722E26">
        <w:rPr>
          <w:rFonts w:cs="Arial"/>
          <w:lang w:eastAsia="en-AU"/>
        </w:rPr>
        <w:t xml:space="preserve">vourable treatment based on an </w:t>
      </w:r>
      <w:r w:rsidRPr="00722E26">
        <w:rPr>
          <w:rFonts w:cs="Arial"/>
          <w:lang w:eastAsia="en-AU"/>
        </w:rPr>
        <w:t xml:space="preserve">attribute which arise in an area of public life covered by the law, such as at work, in accommodation, in education and in obtaining goods and services, including government services. </w:t>
      </w:r>
    </w:p>
    <w:p w14:paraId="49EF678F" w14:textId="56BAC9FA" w:rsidR="00126449" w:rsidRPr="00722E26" w:rsidRDefault="00126449" w:rsidP="00126449">
      <w:pPr>
        <w:spacing w:before="120" w:after="120" w:line="240" w:lineRule="auto"/>
        <w:rPr>
          <w:rFonts w:cs="Arial"/>
          <w:i/>
          <w:lang w:eastAsia="en-AU"/>
        </w:rPr>
      </w:pPr>
      <w:r w:rsidRPr="00722E26">
        <w:rPr>
          <w:rFonts w:cs="Arial"/>
          <w:lang w:eastAsia="en-AU"/>
        </w:rPr>
        <w:t xml:space="preserve">Discrimination can also occur under the </w:t>
      </w:r>
      <w:r w:rsidR="00FC6699" w:rsidRPr="00FC6699">
        <w:rPr>
          <w:rFonts w:cs="Arial"/>
          <w:i/>
          <w:lang w:eastAsia="en-AU"/>
        </w:rPr>
        <w:t>Human Rights Act 2019</w:t>
      </w:r>
      <w:r w:rsidRPr="00722E26">
        <w:rPr>
          <w:rFonts w:cs="Arial"/>
          <w:lang w:eastAsia="en-AU"/>
        </w:rPr>
        <w:t xml:space="preserve"> and is referred to as the right to recognition and eq</w:t>
      </w:r>
      <w:r w:rsidR="00497E96" w:rsidRPr="00722E26">
        <w:rPr>
          <w:rFonts w:cs="Arial"/>
          <w:lang w:eastAsia="en-AU"/>
        </w:rPr>
        <w:t>uality before the law.</w:t>
      </w:r>
      <w:r w:rsidR="00B10E8B">
        <w:rPr>
          <w:rFonts w:cs="Arial"/>
          <w:lang w:eastAsia="en-AU"/>
        </w:rPr>
        <w:t xml:space="preserve"> </w:t>
      </w:r>
      <w:r w:rsidR="00497E96" w:rsidRPr="00722E26">
        <w:rPr>
          <w:rFonts w:cs="Arial"/>
          <w:lang w:eastAsia="en-AU"/>
        </w:rPr>
        <w:t>Table 8</w:t>
      </w:r>
      <w:r w:rsidRPr="00722E26">
        <w:rPr>
          <w:rFonts w:cs="Arial"/>
          <w:lang w:eastAsia="en-AU"/>
        </w:rPr>
        <w:t>b shows 28.4% of accepted human rights allegations related to this right.</w:t>
      </w:r>
      <w:r w:rsidR="00B10E8B">
        <w:rPr>
          <w:rFonts w:cs="Arial"/>
          <w:lang w:eastAsia="en-AU"/>
        </w:rPr>
        <w:t xml:space="preserve"> </w:t>
      </w:r>
    </w:p>
    <w:p w14:paraId="0064B737" w14:textId="4B753586" w:rsidR="00126449" w:rsidRPr="00A21D7D" w:rsidRDefault="00126449" w:rsidP="00126449">
      <w:pPr>
        <w:spacing w:before="120" w:after="120" w:line="240" w:lineRule="auto"/>
        <w:rPr>
          <w:rFonts w:cs="Arial"/>
          <w:i/>
          <w:lang w:eastAsia="en-AU"/>
        </w:rPr>
      </w:pPr>
      <w:r w:rsidRPr="00722E26">
        <w:rPr>
          <w:rFonts w:cs="Arial"/>
          <w:lang w:eastAsia="en-AU"/>
        </w:rPr>
        <w:t>The breakdown of the attributes on which allegations of di</w:t>
      </w:r>
      <w:r w:rsidR="00497E96" w:rsidRPr="00722E26">
        <w:rPr>
          <w:rFonts w:cs="Arial"/>
          <w:lang w:eastAsia="en-AU"/>
        </w:rPr>
        <w:t>scrimination are made in Table 6</w:t>
      </w:r>
      <w:r w:rsidRPr="00A21D7D">
        <w:rPr>
          <w:rFonts w:cs="Arial"/>
          <w:lang w:eastAsia="en-AU"/>
        </w:rPr>
        <w:t xml:space="preserve"> clearly shows that discrimination on the basis of impairment</w:t>
      </w:r>
      <w:r w:rsidR="00A5432C">
        <w:rPr>
          <w:rFonts w:cs="Arial"/>
          <w:lang w:eastAsia="en-AU"/>
        </w:rPr>
        <w:t>,</w:t>
      </w:r>
      <w:r w:rsidRPr="00A21D7D">
        <w:rPr>
          <w:rFonts w:cs="Arial"/>
          <w:lang w:eastAsia="en-AU"/>
        </w:rPr>
        <w:t xml:space="preserve"> </w:t>
      </w:r>
      <w:r w:rsidR="00A5432C" w:rsidRPr="00A21D7D">
        <w:rPr>
          <w:rFonts w:cs="Arial"/>
          <w:lang w:eastAsia="en-AU"/>
        </w:rPr>
        <w:t>comprising 28.6% of all complaints (30.3% last year)</w:t>
      </w:r>
      <w:r w:rsidR="00A5432C">
        <w:rPr>
          <w:rFonts w:cs="Arial"/>
          <w:lang w:eastAsia="en-AU"/>
        </w:rPr>
        <w:t xml:space="preserve">, </w:t>
      </w:r>
      <w:r w:rsidRPr="00A21D7D">
        <w:rPr>
          <w:rFonts w:cs="Arial"/>
          <w:lang w:eastAsia="en-AU"/>
        </w:rPr>
        <w:t>remains the dominant ground</w:t>
      </w:r>
      <w:r w:rsidR="00A5432C">
        <w:rPr>
          <w:rFonts w:cs="Arial"/>
          <w:lang w:eastAsia="en-AU"/>
        </w:rPr>
        <w:t xml:space="preserve"> for complaints despite a slight decrease in numbers (</w:t>
      </w:r>
      <w:r w:rsidRPr="00A21D7D">
        <w:rPr>
          <w:rFonts w:cs="Arial"/>
          <w:lang w:eastAsia="en-AU"/>
        </w:rPr>
        <w:t xml:space="preserve">242 complaints </w:t>
      </w:r>
      <w:r w:rsidR="00A5432C">
        <w:rPr>
          <w:rFonts w:cs="Arial"/>
          <w:lang w:eastAsia="en-AU"/>
        </w:rPr>
        <w:t>this year compared to</w:t>
      </w:r>
      <w:r w:rsidRPr="00A21D7D">
        <w:rPr>
          <w:rFonts w:cs="Arial"/>
          <w:lang w:eastAsia="en-AU"/>
        </w:rPr>
        <w:t xml:space="preserve"> last year</w:t>
      </w:r>
      <w:r w:rsidR="00A5432C">
        <w:rPr>
          <w:rFonts w:cs="Arial"/>
          <w:lang w:eastAsia="en-AU"/>
        </w:rPr>
        <w:t>’s</w:t>
      </w:r>
      <w:r w:rsidRPr="00A21D7D">
        <w:rPr>
          <w:rFonts w:cs="Arial"/>
          <w:lang w:eastAsia="en-AU"/>
        </w:rPr>
        <w:t xml:space="preserve"> 268)</w:t>
      </w:r>
      <w:r w:rsidR="00A5432C">
        <w:rPr>
          <w:rFonts w:cs="Arial"/>
          <w:lang w:eastAsia="en-AU"/>
        </w:rPr>
        <w:t>.</w:t>
      </w:r>
      <w:r w:rsidRPr="00A21D7D">
        <w:rPr>
          <w:rFonts w:cs="Arial"/>
          <w:lang w:eastAsia="en-AU"/>
        </w:rPr>
        <w:t xml:space="preserve"> </w:t>
      </w:r>
    </w:p>
    <w:p w14:paraId="32D5596D" w14:textId="2BAD2636" w:rsidR="00126449" w:rsidRPr="00A21D7D" w:rsidRDefault="00126449" w:rsidP="00126449">
      <w:pPr>
        <w:spacing w:before="120" w:after="120" w:line="240" w:lineRule="auto"/>
        <w:rPr>
          <w:rFonts w:cs="Arial"/>
          <w:i/>
          <w:lang w:eastAsia="en-AU"/>
        </w:rPr>
      </w:pPr>
      <w:r w:rsidRPr="00A21D7D">
        <w:rPr>
          <w:rFonts w:cs="Arial"/>
          <w:lang w:eastAsia="en-AU"/>
        </w:rPr>
        <w:t>We received 68 race discrimination complaints this year, comprising 8% of discrimination complaints, fairly consistent with last year’s 7.9%. The proportion of sex discrimination alleg</w:t>
      </w:r>
      <w:r w:rsidR="00A7300A">
        <w:rPr>
          <w:rFonts w:cs="Arial"/>
          <w:lang w:eastAsia="en-AU"/>
        </w:rPr>
        <w:t>ations has slightly increased to</w:t>
      </w:r>
      <w:r w:rsidRPr="00A21D7D">
        <w:rPr>
          <w:rFonts w:cs="Arial"/>
          <w:lang w:eastAsia="en-AU"/>
        </w:rPr>
        <w:t xml:space="preserve"> 10.1% (9.3% last year).</w:t>
      </w:r>
      <w:r w:rsidR="00B10E8B">
        <w:rPr>
          <w:rFonts w:cs="Arial"/>
          <w:lang w:eastAsia="en-AU"/>
        </w:rPr>
        <w:t xml:space="preserve"> </w:t>
      </w:r>
      <w:r w:rsidRPr="00A21D7D">
        <w:rPr>
          <w:rFonts w:cs="Arial"/>
          <w:lang w:eastAsia="en-AU"/>
        </w:rPr>
        <w:t>This represents 86 complaints compared to 82 last year.</w:t>
      </w:r>
    </w:p>
    <w:p w14:paraId="7A9A10A2" w14:textId="77777777" w:rsidR="00974556" w:rsidRDefault="00126449" w:rsidP="00126449">
      <w:pPr>
        <w:spacing w:before="120" w:after="120" w:line="240" w:lineRule="auto"/>
        <w:rPr>
          <w:rFonts w:cs="Arial"/>
          <w:lang w:eastAsia="en-AU"/>
        </w:rPr>
      </w:pPr>
      <w:r w:rsidRPr="00A21D7D">
        <w:rPr>
          <w:rFonts w:cs="Arial"/>
          <w:lang w:eastAsia="en-AU"/>
        </w:rPr>
        <w:t>Family responsibilities complaints decreased to 3.4% (6.3% last year).</w:t>
      </w:r>
      <w:r w:rsidR="00B10E8B">
        <w:rPr>
          <w:rFonts w:cs="Arial"/>
          <w:lang w:eastAsia="en-AU"/>
        </w:rPr>
        <w:t xml:space="preserve"> </w:t>
      </w:r>
      <w:r w:rsidRPr="00A21D7D">
        <w:rPr>
          <w:rFonts w:cs="Arial"/>
          <w:lang w:eastAsia="en-AU"/>
        </w:rPr>
        <w:t>Age discrimination complaints decreased slightly from 5.3% to 3.7%.</w:t>
      </w:r>
      <w:r w:rsidR="00B10E8B">
        <w:rPr>
          <w:rFonts w:cs="Arial"/>
          <w:lang w:eastAsia="en-AU"/>
        </w:rPr>
        <w:t xml:space="preserve"> </w:t>
      </w:r>
    </w:p>
    <w:p w14:paraId="0230A16E" w14:textId="77777777" w:rsidR="00974556" w:rsidRDefault="00126449" w:rsidP="00126449">
      <w:pPr>
        <w:spacing w:before="120" w:after="120" w:line="240" w:lineRule="auto"/>
        <w:rPr>
          <w:rFonts w:cs="Arial"/>
          <w:lang w:eastAsia="en-AU"/>
        </w:rPr>
      </w:pPr>
      <w:r w:rsidRPr="00A21D7D">
        <w:rPr>
          <w:rFonts w:cs="Arial"/>
          <w:lang w:eastAsia="en-AU"/>
        </w:rPr>
        <w:t>Religious discrimination complaints comprised only 1.2% of complaints, consistent with low numbers in previous years.</w:t>
      </w:r>
      <w:r w:rsidR="00B10E8B">
        <w:rPr>
          <w:rFonts w:cs="Arial"/>
          <w:lang w:eastAsia="en-AU"/>
        </w:rPr>
        <w:t xml:space="preserve"> </w:t>
      </w:r>
      <w:r w:rsidRPr="00A21D7D">
        <w:rPr>
          <w:rFonts w:cs="Arial"/>
          <w:lang w:eastAsia="en-AU"/>
        </w:rPr>
        <w:t xml:space="preserve"> </w:t>
      </w:r>
    </w:p>
    <w:p w14:paraId="3DD47707" w14:textId="76BADF80" w:rsidR="00126449" w:rsidRDefault="00126449" w:rsidP="00126449">
      <w:pPr>
        <w:spacing w:before="120" w:after="120" w:line="240" w:lineRule="auto"/>
        <w:rPr>
          <w:rFonts w:cs="Arial"/>
          <w:lang w:eastAsia="en-AU"/>
        </w:rPr>
      </w:pPr>
      <w:r w:rsidRPr="00A21D7D">
        <w:rPr>
          <w:rFonts w:cs="Arial"/>
          <w:lang w:eastAsia="en-AU"/>
        </w:rPr>
        <w:t>Gender identity complaints decreased from 1.7% (10 complaints) last year to 1.0% (8 complaints) this year.</w:t>
      </w:r>
    </w:p>
    <w:p w14:paraId="7A1D2124" w14:textId="77D8C79E" w:rsidR="00974556" w:rsidRDefault="00974556" w:rsidP="00126449">
      <w:pPr>
        <w:spacing w:before="120" w:after="120" w:line="240" w:lineRule="auto"/>
        <w:rPr>
          <w:rFonts w:cs="Arial"/>
          <w:lang w:eastAsia="en-AU"/>
        </w:rPr>
      </w:pPr>
    </w:p>
    <w:p w14:paraId="526EDE60" w14:textId="77777777" w:rsidR="00974556" w:rsidRDefault="00974556" w:rsidP="00126449">
      <w:pPr>
        <w:spacing w:before="120" w:after="120" w:line="240" w:lineRule="auto"/>
        <w:rPr>
          <w:rFonts w:cs="Arial"/>
          <w:lang w:eastAsia="en-AU"/>
        </w:rPr>
      </w:pPr>
    </w:p>
    <w:p w14:paraId="4C7A0179" w14:textId="22F3A35E" w:rsidR="00974556" w:rsidRPr="00A21D7D" w:rsidRDefault="00974556" w:rsidP="00974556">
      <w:pPr>
        <w:pStyle w:val="Keystatistics"/>
        <w:rPr>
          <w:lang w:eastAsia="en-AU"/>
        </w:rPr>
      </w:pPr>
      <w:r w:rsidRPr="00974556">
        <w:rPr>
          <w:sz w:val="36"/>
          <w:szCs w:val="36"/>
          <w:lang w:eastAsia="en-AU"/>
        </w:rPr>
        <w:lastRenderedPageBreak/>
        <w:t>83%</w:t>
      </w:r>
      <w:r>
        <w:rPr>
          <w:lang w:eastAsia="en-AU"/>
        </w:rPr>
        <w:t xml:space="preserve"> of sexual harassment complaints arise in the workplace.</w:t>
      </w:r>
    </w:p>
    <w:p w14:paraId="1AE713E6" w14:textId="79D16551" w:rsidR="00126449" w:rsidRPr="00A21D7D" w:rsidRDefault="00497E96" w:rsidP="00126449">
      <w:pPr>
        <w:spacing w:before="120" w:after="120" w:line="240" w:lineRule="auto"/>
        <w:rPr>
          <w:rFonts w:cs="Arial"/>
          <w:i/>
          <w:lang w:eastAsia="en-AU"/>
        </w:rPr>
      </w:pPr>
      <w:r w:rsidRPr="00722E26">
        <w:rPr>
          <w:rFonts w:cs="Arial"/>
          <w:lang w:eastAsia="en-AU"/>
        </w:rPr>
        <w:t>Table 6</w:t>
      </w:r>
      <w:r w:rsidR="00126449" w:rsidRPr="00722E26">
        <w:rPr>
          <w:rFonts w:cs="Arial"/>
          <w:lang w:eastAsia="en-AU"/>
        </w:rPr>
        <w:t xml:space="preserve"> shows that sexual harassment allegations of unwelcome sexual behaviour to</w:t>
      </w:r>
      <w:r w:rsidRPr="00722E26">
        <w:rPr>
          <w:rFonts w:cs="Arial"/>
          <w:lang w:eastAsia="en-AU"/>
        </w:rPr>
        <w:t>,</w:t>
      </w:r>
      <w:r w:rsidR="00126449" w:rsidRPr="00722E26">
        <w:rPr>
          <w:rFonts w:cs="Arial"/>
          <w:lang w:eastAsia="en-AU"/>
        </w:rPr>
        <w:t xml:space="preserve"> or about</w:t>
      </w:r>
      <w:r w:rsidR="00A7300A">
        <w:rPr>
          <w:rFonts w:cs="Arial"/>
          <w:lang w:eastAsia="en-AU"/>
        </w:rPr>
        <w:t>,</w:t>
      </w:r>
      <w:r w:rsidR="00126449" w:rsidRPr="00722E26">
        <w:rPr>
          <w:rFonts w:cs="Arial"/>
          <w:lang w:eastAsia="en-AU"/>
        </w:rPr>
        <w:t xml:space="preserve"> a complainant are included in 10.8% of accepted complaints, which is</w:t>
      </w:r>
      <w:r w:rsidRPr="00722E26">
        <w:rPr>
          <w:rFonts w:cs="Arial"/>
          <w:lang w:eastAsia="en-AU"/>
        </w:rPr>
        <w:t xml:space="preserve"> similar to last year (10.4%). </w:t>
      </w:r>
    </w:p>
    <w:p w14:paraId="2DF3158E" w14:textId="4212AC75" w:rsidR="00126449" w:rsidRPr="00A21D7D" w:rsidRDefault="00126449" w:rsidP="00126449">
      <w:pPr>
        <w:spacing w:before="120" w:after="120" w:line="240" w:lineRule="auto"/>
        <w:rPr>
          <w:rFonts w:cs="Arial"/>
          <w:i/>
          <w:lang w:eastAsia="en-AU"/>
        </w:rPr>
      </w:pPr>
      <w:r w:rsidRPr="00A21D7D">
        <w:rPr>
          <w:rFonts w:cs="Arial"/>
          <w:lang w:eastAsia="en-AU"/>
        </w:rPr>
        <w:t>Sexual harassment may involve allegations of unwelcome sexual behaviour such as comments about a person’s body and/or sex life, telling lewd jokes to or about a person, requests for sex, sending sexualised emails and texts, showing pornographic pictures and/or videos, sexual assault and even rape.</w:t>
      </w:r>
      <w:r w:rsidR="00B10E8B">
        <w:rPr>
          <w:rFonts w:cs="Arial"/>
          <w:lang w:eastAsia="en-AU"/>
        </w:rPr>
        <w:t xml:space="preserve"> </w:t>
      </w:r>
      <w:r w:rsidRPr="00A21D7D">
        <w:rPr>
          <w:rFonts w:cs="Arial"/>
          <w:lang w:eastAsia="en-AU"/>
        </w:rPr>
        <w:t>Complaints of sexual harassment have historically comprised a significant proportion of complaints to the Commission and it seems to be a continuing issue in workplaces as well as other areas of life</w:t>
      </w:r>
      <w:r w:rsidR="00497E96">
        <w:rPr>
          <w:rFonts w:cs="Arial"/>
          <w:lang w:eastAsia="en-AU"/>
        </w:rPr>
        <w:t>,</w:t>
      </w:r>
      <w:r w:rsidR="0078120B">
        <w:rPr>
          <w:rFonts w:cs="Arial"/>
          <w:lang w:eastAsia="en-AU"/>
        </w:rPr>
        <w:t xml:space="preserve"> despite increasing </w:t>
      </w:r>
      <w:r w:rsidRPr="00A21D7D">
        <w:rPr>
          <w:rFonts w:cs="Arial"/>
          <w:lang w:eastAsia="en-AU"/>
        </w:rPr>
        <w:t>community awareness.</w:t>
      </w:r>
      <w:r w:rsidR="00B10E8B">
        <w:rPr>
          <w:rFonts w:cs="Arial"/>
          <w:lang w:eastAsia="en-AU"/>
        </w:rPr>
        <w:t xml:space="preserve"> </w:t>
      </w:r>
    </w:p>
    <w:p w14:paraId="618EA880" w14:textId="0BFB71F8" w:rsidR="00126449" w:rsidRPr="00A21D7D" w:rsidRDefault="00126449" w:rsidP="00126449">
      <w:pPr>
        <w:spacing w:before="120" w:after="120" w:line="240" w:lineRule="auto"/>
        <w:rPr>
          <w:rFonts w:cs="Arial"/>
          <w:i/>
          <w:lang w:eastAsia="en-AU"/>
        </w:rPr>
      </w:pPr>
      <w:r w:rsidRPr="00A21D7D">
        <w:rPr>
          <w:rFonts w:cs="Arial"/>
          <w:lang w:eastAsia="en-AU"/>
        </w:rPr>
        <w:t xml:space="preserve">Victimisation </w:t>
      </w:r>
      <w:r w:rsidRPr="00722E26">
        <w:rPr>
          <w:rFonts w:cs="Arial"/>
          <w:lang w:eastAsia="en-AU"/>
        </w:rPr>
        <w:t xml:space="preserve">complaints arise where a complainant or witness feels they have been poorly treated for being involved in a complaint. Victimisation complaints </w:t>
      </w:r>
      <w:r w:rsidR="00722E26" w:rsidRPr="00722E26">
        <w:rPr>
          <w:rFonts w:cs="Arial"/>
          <w:lang w:eastAsia="en-AU"/>
        </w:rPr>
        <w:t xml:space="preserve">made up </w:t>
      </w:r>
      <w:r w:rsidRPr="00722E26">
        <w:rPr>
          <w:rFonts w:cs="Arial"/>
          <w:lang w:eastAsia="en-AU"/>
        </w:rPr>
        <w:t>9.9% of accepted complaints</w:t>
      </w:r>
      <w:r w:rsidR="00722E26" w:rsidRPr="00722E26">
        <w:rPr>
          <w:rFonts w:cs="Arial"/>
          <w:lang w:eastAsia="en-AU"/>
        </w:rPr>
        <w:t>,</w:t>
      </w:r>
      <w:r w:rsidRPr="00722E26">
        <w:rPr>
          <w:rFonts w:cs="Arial"/>
          <w:lang w:eastAsia="en-AU"/>
        </w:rPr>
        <w:t xml:space="preserve"> similar to 9.2% of accepted complaints last year</w:t>
      </w:r>
      <w:r w:rsidR="00497E96" w:rsidRPr="00722E26">
        <w:rPr>
          <w:rFonts w:cs="Arial"/>
          <w:lang w:eastAsia="en-AU"/>
        </w:rPr>
        <w:t>.</w:t>
      </w:r>
      <w:r w:rsidR="00B10E8B">
        <w:rPr>
          <w:rFonts w:cs="Arial"/>
          <w:lang w:eastAsia="en-AU"/>
        </w:rPr>
        <w:t xml:space="preserve"> </w:t>
      </w:r>
      <w:r w:rsidR="00497E96" w:rsidRPr="00722E26">
        <w:rPr>
          <w:rFonts w:cs="Arial"/>
          <w:lang w:eastAsia="en-AU"/>
        </w:rPr>
        <w:t>As shown in Table 7</w:t>
      </w:r>
      <w:r w:rsidRPr="00722E26">
        <w:rPr>
          <w:rFonts w:cs="Arial"/>
          <w:lang w:eastAsia="en-AU"/>
        </w:rPr>
        <w:t>, 77% of victimisation complaints arose in the workplace. Because of the con</w:t>
      </w:r>
      <w:r w:rsidR="00497E96" w:rsidRPr="00722E26">
        <w:rPr>
          <w:rFonts w:cs="Arial"/>
          <w:lang w:eastAsia="en-AU"/>
        </w:rPr>
        <w:t>tinuing relationship between</w:t>
      </w:r>
      <w:r w:rsidRPr="00722E26">
        <w:rPr>
          <w:rFonts w:cs="Arial"/>
          <w:lang w:eastAsia="en-AU"/>
        </w:rPr>
        <w:t xml:space="preserve"> employer</w:t>
      </w:r>
      <w:r w:rsidR="00497E96" w:rsidRPr="00722E26">
        <w:rPr>
          <w:rFonts w:cs="Arial"/>
          <w:lang w:eastAsia="en-AU"/>
        </w:rPr>
        <w:t>s</w:t>
      </w:r>
      <w:r w:rsidRPr="00A21D7D">
        <w:rPr>
          <w:rFonts w:cs="Arial"/>
          <w:lang w:eastAsia="en-AU"/>
        </w:rPr>
        <w:t xml:space="preserve"> and their employees, there is more opportunity for victimisation complaints to arise after a person makes an initial complaint at work, compared to other areas. Fear of victimisation is also a reason why complainants are sometimes reluctant to lodge complaints until after they leave the workplace, </w:t>
      </w:r>
      <w:r w:rsidR="00497E96">
        <w:rPr>
          <w:rFonts w:cs="Arial"/>
          <w:lang w:eastAsia="en-AU"/>
        </w:rPr>
        <w:t>if</w:t>
      </w:r>
      <w:r w:rsidRPr="00A21D7D">
        <w:rPr>
          <w:rFonts w:cs="Arial"/>
          <w:lang w:eastAsia="en-AU"/>
        </w:rPr>
        <w:t xml:space="preserve"> at all.</w:t>
      </w:r>
    </w:p>
    <w:p w14:paraId="38E30E04" w14:textId="22EB2EED" w:rsidR="00126449" w:rsidRDefault="00126449" w:rsidP="00126449">
      <w:pPr>
        <w:keepNext/>
        <w:keepLines/>
        <w:spacing w:before="120" w:after="120" w:line="240" w:lineRule="auto"/>
        <w:rPr>
          <w:rFonts w:cs="Arial"/>
          <w:lang w:eastAsia="en-AU"/>
        </w:rPr>
      </w:pPr>
      <w:r w:rsidRPr="00A21D7D">
        <w:rPr>
          <w:rFonts w:cs="Arial"/>
          <w:lang w:eastAsia="en-AU"/>
        </w:rPr>
        <w:t>To make a complaint of vilification, a complainant must provide information to allege that others have been publicly encouraged to hate, severely ridicule or have severe contempt for them because of their race, religion, sexuality or gender identity. Public vilification complaints have increased</w:t>
      </w:r>
      <w:r w:rsidR="00A7300A">
        <w:rPr>
          <w:rFonts w:cs="Arial"/>
          <w:lang w:eastAsia="en-AU"/>
        </w:rPr>
        <w:t>,</w:t>
      </w:r>
      <w:r w:rsidRPr="00A21D7D">
        <w:rPr>
          <w:rFonts w:cs="Arial"/>
          <w:lang w:eastAsia="en-AU"/>
        </w:rPr>
        <w:t xml:space="preserve"> with 4% of accepted complaints </w:t>
      </w:r>
      <w:r w:rsidR="00685D56">
        <w:rPr>
          <w:rFonts w:cs="Arial"/>
          <w:lang w:eastAsia="en-AU"/>
        </w:rPr>
        <w:t xml:space="preserve">(34 complaints) </w:t>
      </w:r>
      <w:r w:rsidRPr="00A21D7D">
        <w:rPr>
          <w:rFonts w:cs="Arial"/>
          <w:lang w:eastAsia="en-AU"/>
        </w:rPr>
        <w:t>accepted on the basis of allegations of race, religious, sexuality or gender identity vilification compared to 1.8% (16)</w:t>
      </w:r>
      <w:r w:rsidR="00685D56">
        <w:rPr>
          <w:rFonts w:cs="Arial"/>
          <w:lang w:eastAsia="en-AU"/>
        </w:rPr>
        <w:t xml:space="preserve"> </w:t>
      </w:r>
      <w:r w:rsidRPr="00A21D7D">
        <w:rPr>
          <w:rFonts w:cs="Arial"/>
          <w:lang w:eastAsia="en-AU"/>
        </w:rPr>
        <w:t xml:space="preserve">last year. </w:t>
      </w:r>
    </w:p>
    <w:p w14:paraId="33740A1F" w14:textId="5B078ABD" w:rsidR="00974556" w:rsidRPr="00A21D7D" w:rsidRDefault="00974556" w:rsidP="00974556">
      <w:pPr>
        <w:pStyle w:val="Keystatistics"/>
        <w:rPr>
          <w:lang w:eastAsia="en-AU"/>
        </w:rPr>
      </w:pPr>
      <w:r>
        <w:rPr>
          <w:lang w:eastAsia="en-AU"/>
        </w:rPr>
        <w:t xml:space="preserve">The number of vilification complaints were received in 2019-20 was </w:t>
      </w:r>
      <w:r w:rsidRPr="00974556">
        <w:rPr>
          <w:sz w:val="36"/>
          <w:szCs w:val="36"/>
          <w:lang w:eastAsia="en-AU"/>
        </w:rPr>
        <w:t>more than double</w:t>
      </w:r>
      <w:r>
        <w:rPr>
          <w:lang w:eastAsia="en-AU"/>
        </w:rPr>
        <w:t xml:space="preserve"> the previous year.</w:t>
      </w:r>
    </w:p>
    <w:p w14:paraId="799D8F49" w14:textId="54DF60DA" w:rsidR="00126449" w:rsidRPr="00A21D7D" w:rsidRDefault="00126449" w:rsidP="00126449">
      <w:pPr>
        <w:keepNext/>
        <w:keepLines/>
        <w:spacing w:before="120" w:after="120" w:line="240" w:lineRule="auto"/>
        <w:rPr>
          <w:rFonts w:cs="Arial"/>
          <w:i/>
          <w:lang w:eastAsia="en-AU"/>
        </w:rPr>
      </w:pPr>
      <w:r w:rsidRPr="00A21D7D">
        <w:rPr>
          <w:rFonts w:cs="Arial"/>
          <w:lang w:eastAsia="en-AU"/>
        </w:rPr>
        <w:t xml:space="preserve">Complainants alleging they have been caused a detriment because of making a public interest disclosure under the </w:t>
      </w:r>
      <w:r w:rsidRPr="00685D56">
        <w:rPr>
          <w:rFonts w:cs="Arial"/>
          <w:i/>
          <w:lang w:eastAsia="en-AU"/>
        </w:rPr>
        <w:t>Public Interest Disclosure Act 2010</w:t>
      </w:r>
      <w:r w:rsidRPr="00A21D7D">
        <w:rPr>
          <w:rFonts w:cs="Arial"/>
          <w:lang w:eastAsia="en-AU"/>
        </w:rPr>
        <w:t xml:space="preserve"> may make a complaint to the Commission to be dealt with under the </w:t>
      </w:r>
      <w:r w:rsidR="00FC6699" w:rsidRPr="00FC6699">
        <w:rPr>
          <w:rFonts w:cs="Arial"/>
          <w:i/>
          <w:lang w:eastAsia="en-AU"/>
        </w:rPr>
        <w:t>Anti-Discrimination Act 1991</w:t>
      </w:r>
      <w:r w:rsidR="00685D56">
        <w:rPr>
          <w:rFonts w:cs="Arial"/>
          <w:lang w:eastAsia="en-AU"/>
        </w:rPr>
        <w:t xml:space="preserve">. This year </w:t>
      </w:r>
      <w:r w:rsidR="00A5432C">
        <w:rPr>
          <w:rFonts w:cs="Arial"/>
          <w:lang w:eastAsia="en-AU"/>
        </w:rPr>
        <w:t>we</w:t>
      </w:r>
      <w:r w:rsidR="00685D56">
        <w:rPr>
          <w:rFonts w:cs="Arial"/>
          <w:lang w:eastAsia="en-AU"/>
        </w:rPr>
        <w:t xml:space="preserve"> accepted six</w:t>
      </w:r>
      <w:r w:rsidRPr="00A21D7D">
        <w:rPr>
          <w:rFonts w:cs="Arial"/>
          <w:lang w:eastAsia="en-AU"/>
        </w:rPr>
        <w:t xml:space="preserve"> complaints of whistle-blower reprisal, representing 0.7% of overall accepted complaints.</w:t>
      </w:r>
    </w:p>
    <w:p w14:paraId="2C8EC993" w14:textId="3F4580B2" w:rsidR="00126449" w:rsidRPr="00A21D7D" w:rsidRDefault="00126449" w:rsidP="00126449">
      <w:pPr>
        <w:keepNext/>
        <w:keepLines/>
        <w:spacing w:before="120" w:after="120" w:line="240" w:lineRule="auto"/>
        <w:rPr>
          <w:rFonts w:cs="Arial"/>
          <w:i/>
          <w:lang w:eastAsia="en-AU"/>
        </w:rPr>
      </w:pPr>
      <w:r w:rsidRPr="00A21D7D">
        <w:rPr>
          <w:rFonts w:cs="Arial"/>
          <w:lang w:eastAsia="en-AU"/>
        </w:rPr>
        <w:t xml:space="preserve">Despite commencement of a new type of discrimination in 2017-18, on the basis of residence of a regional community near a large resource project, </w:t>
      </w:r>
      <w:r w:rsidR="00A5432C">
        <w:rPr>
          <w:rFonts w:cs="Arial"/>
          <w:lang w:eastAsia="en-AU"/>
        </w:rPr>
        <w:t>we</w:t>
      </w:r>
      <w:r w:rsidRPr="00A21D7D">
        <w:rPr>
          <w:rFonts w:cs="Arial"/>
          <w:lang w:eastAsia="en-AU"/>
        </w:rPr>
        <w:t xml:space="preserve"> did not accept any complaints on this ground again this year. </w:t>
      </w:r>
    </w:p>
    <w:p w14:paraId="7CD7CF29" w14:textId="3F311A54" w:rsidR="00126449" w:rsidRPr="00A21D7D" w:rsidRDefault="00126449" w:rsidP="00126449">
      <w:pPr>
        <w:spacing w:before="120" w:after="120" w:line="240" w:lineRule="auto"/>
        <w:rPr>
          <w:rFonts w:cs="Arial"/>
          <w:i/>
          <w:highlight w:val="yellow"/>
          <w:lang w:eastAsia="en-AU"/>
        </w:rPr>
      </w:pPr>
      <w:r w:rsidRPr="00722E26">
        <w:rPr>
          <w:rFonts w:cs="Arial"/>
          <w:lang w:eastAsia="en-AU"/>
        </w:rPr>
        <w:t>T</w:t>
      </w:r>
      <w:r w:rsidR="00685D56" w:rsidRPr="00722E26">
        <w:rPr>
          <w:rFonts w:cs="Arial"/>
          <w:lang w:eastAsia="en-AU"/>
        </w:rPr>
        <w:t>able 6</w:t>
      </w:r>
      <w:r w:rsidRPr="00722E26">
        <w:rPr>
          <w:rFonts w:cs="Arial"/>
          <w:lang w:eastAsia="en-AU"/>
        </w:rPr>
        <w:t xml:space="preserve"> also shows the number of complaints where human rights allegations were accepted.</w:t>
      </w:r>
      <w:r w:rsidR="00B10E8B">
        <w:rPr>
          <w:rFonts w:cs="Arial"/>
          <w:lang w:eastAsia="en-AU"/>
        </w:rPr>
        <w:t xml:space="preserve"> </w:t>
      </w:r>
      <w:r w:rsidRPr="00722E26">
        <w:rPr>
          <w:rFonts w:cs="Arial"/>
          <w:lang w:eastAsia="en-AU"/>
        </w:rPr>
        <w:t>More d</w:t>
      </w:r>
      <w:r w:rsidR="00685D56" w:rsidRPr="00722E26">
        <w:rPr>
          <w:rFonts w:cs="Arial"/>
          <w:lang w:eastAsia="en-AU"/>
        </w:rPr>
        <w:t>etails are provided in tables 8a and 8</w:t>
      </w:r>
      <w:r w:rsidRPr="00722E26">
        <w:rPr>
          <w:rFonts w:cs="Arial"/>
          <w:lang w:eastAsia="en-AU"/>
        </w:rPr>
        <w:t>b.</w:t>
      </w:r>
      <w:r w:rsidRPr="00A21D7D">
        <w:rPr>
          <w:rFonts w:cs="Arial"/>
          <w:lang w:eastAsia="en-AU"/>
        </w:rPr>
        <w:t xml:space="preserve"> </w:t>
      </w:r>
      <w:r w:rsidRPr="00A21D7D">
        <w:rPr>
          <w:rFonts w:cs="Arial"/>
          <w:highlight w:val="yellow"/>
          <w:lang w:eastAsia="en-AU"/>
        </w:rPr>
        <w:br w:type="page"/>
      </w:r>
    </w:p>
    <w:p w14:paraId="68D169A4" w14:textId="50297551" w:rsidR="00B2038F" w:rsidRPr="00196BED" w:rsidRDefault="00B2038F" w:rsidP="007B56F8">
      <w:pPr>
        <w:pStyle w:val="Caption"/>
        <w:spacing w:after="0"/>
      </w:pPr>
      <w:r w:rsidRPr="00BE6F07">
        <w:rPr>
          <w:rFonts w:cs="Arial"/>
          <w:color w:val="auto"/>
        </w:rPr>
        <w:lastRenderedPageBreak/>
        <w:t xml:space="preserve">Table 6: State-wide accepted </w:t>
      </w:r>
      <w:r w:rsidRPr="00FC6699">
        <w:rPr>
          <w:rFonts w:cs="Arial"/>
          <w:color w:val="auto"/>
        </w:rPr>
        <w:t>Anti-Discrimination Act 1991</w:t>
      </w:r>
      <w:r w:rsidRPr="00BE6F07">
        <w:rPr>
          <w:rFonts w:cs="Arial"/>
          <w:color w:val="auto"/>
        </w:rPr>
        <w:t xml:space="preserve"> complaints by ground – including combined complaints</w:t>
      </w:r>
    </w:p>
    <w:tbl>
      <w:tblPr>
        <w:tblpPr w:leftFromText="180" w:rightFromText="180" w:vertAnchor="text" w:tblpY="1"/>
        <w:tblOverlap w:val="never"/>
        <w:tblW w:w="8075"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1E0" w:firstRow="1" w:lastRow="1" w:firstColumn="1" w:lastColumn="1" w:noHBand="0" w:noVBand="0"/>
      </w:tblPr>
      <w:tblGrid>
        <w:gridCol w:w="4248"/>
        <w:gridCol w:w="1984"/>
        <w:gridCol w:w="1843"/>
      </w:tblGrid>
      <w:tr w:rsidR="00B2038F" w:rsidRPr="00A21D7D" w14:paraId="22E0577E" w14:textId="77777777" w:rsidTr="00421D4B">
        <w:trPr>
          <w:trHeight w:val="280"/>
        </w:trPr>
        <w:tc>
          <w:tcPr>
            <w:tcW w:w="4248" w:type="dxa"/>
          </w:tcPr>
          <w:p w14:paraId="5EE93731" w14:textId="77777777" w:rsidR="00B2038F" w:rsidRPr="00A21D7D" w:rsidRDefault="00B2038F" w:rsidP="00421D4B">
            <w:pPr>
              <w:pStyle w:val="TableTextHeading"/>
              <w:rPr>
                <w:i/>
              </w:rPr>
            </w:pPr>
            <w:r w:rsidRPr="00A21D7D">
              <w:t>Ground</w:t>
            </w:r>
          </w:p>
        </w:tc>
        <w:tc>
          <w:tcPr>
            <w:tcW w:w="1984" w:type="dxa"/>
          </w:tcPr>
          <w:p w14:paraId="33F73914" w14:textId="77777777" w:rsidR="00B2038F" w:rsidRPr="00A21D7D" w:rsidRDefault="00B2038F" w:rsidP="00421D4B">
            <w:pPr>
              <w:pStyle w:val="TableTextHeading"/>
              <w:jc w:val="right"/>
              <w:rPr>
                <w:i/>
              </w:rPr>
            </w:pPr>
            <w:r w:rsidRPr="00A21D7D">
              <w:t>Number</w:t>
            </w:r>
          </w:p>
        </w:tc>
        <w:tc>
          <w:tcPr>
            <w:tcW w:w="1843" w:type="dxa"/>
          </w:tcPr>
          <w:p w14:paraId="2E558BC9" w14:textId="77777777" w:rsidR="00B2038F" w:rsidRPr="00A21D7D" w:rsidRDefault="00B2038F" w:rsidP="00421D4B">
            <w:pPr>
              <w:pStyle w:val="TableTextHeading"/>
              <w:jc w:val="right"/>
              <w:rPr>
                <w:i/>
              </w:rPr>
            </w:pPr>
            <w:r w:rsidRPr="00A21D7D">
              <w:t>%</w:t>
            </w:r>
          </w:p>
        </w:tc>
      </w:tr>
      <w:tr w:rsidR="00B2038F" w:rsidRPr="00A21D7D" w14:paraId="12E163D8" w14:textId="77777777" w:rsidTr="00421D4B">
        <w:tc>
          <w:tcPr>
            <w:tcW w:w="8075" w:type="dxa"/>
            <w:gridSpan w:val="3"/>
          </w:tcPr>
          <w:p w14:paraId="13893C77" w14:textId="77777777" w:rsidR="00B2038F" w:rsidRPr="00A21D7D" w:rsidRDefault="00B2038F" w:rsidP="00421D4B">
            <w:pPr>
              <w:pStyle w:val="TableTextHeading"/>
              <w:rPr>
                <w:i/>
              </w:rPr>
            </w:pPr>
            <w:r>
              <w:t>DISCRIMINATION</w:t>
            </w:r>
          </w:p>
        </w:tc>
      </w:tr>
      <w:tr w:rsidR="00B2038F" w:rsidRPr="00A21D7D" w14:paraId="576C19E0" w14:textId="77777777" w:rsidTr="00421D4B">
        <w:tc>
          <w:tcPr>
            <w:tcW w:w="4248" w:type="dxa"/>
          </w:tcPr>
          <w:p w14:paraId="6BC01B4D" w14:textId="77777777" w:rsidR="00B2038F" w:rsidRPr="00A21D7D" w:rsidRDefault="00B2038F" w:rsidP="00421D4B">
            <w:pPr>
              <w:pStyle w:val="TableTextBody"/>
              <w:rPr>
                <w:i/>
              </w:rPr>
            </w:pPr>
            <w:r w:rsidRPr="00A21D7D">
              <w:t>Age</w:t>
            </w:r>
          </w:p>
        </w:tc>
        <w:tc>
          <w:tcPr>
            <w:tcW w:w="1984" w:type="dxa"/>
          </w:tcPr>
          <w:p w14:paraId="43E43DE7" w14:textId="77777777" w:rsidR="00B2038F" w:rsidRPr="00A21D7D" w:rsidRDefault="00B2038F" w:rsidP="00421D4B">
            <w:pPr>
              <w:pStyle w:val="TableTextBody"/>
              <w:jc w:val="right"/>
              <w:rPr>
                <w:i/>
              </w:rPr>
            </w:pPr>
            <w:r w:rsidRPr="00A21D7D">
              <w:t>31</w:t>
            </w:r>
          </w:p>
        </w:tc>
        <w:tc>
          <w:tcPr>
            <w:tcW w:w="1843" w:type="dxa"/>
          </w:tcPr>
          <w:p w14:paraId="2627942C" w14:textId="77777777" w:rsidR="00B2038F" w:rsidRPr="00A21D7D" w:rsidRDefault="00B2038F" w:rsidP="00421D4B">
            <w:pPr>
              <w:pStyle w:val="TableTextBody"/>
              <w:jc w:val="right"/>
              <w:rPr>
                <w:i/>
              </w:rPr>
            </w:pPr>
            <w:r w:rsidRPr="00A21D7D">
              <w:t>3.7</w:t>
            </w:r>
          </w:p>
        </w:tc>
      </w:tr>
      <w:tr w:rsidR="00B2038F" w:rsidRPr="00A21D7D" w14:paraId="4CDA5866" w14:textId="77777777" w:rsidTr="00421D4B">
        <w:tc>
          <w:tcPr>
            <w:tcW w:w="4248" w:type="dxa"/>
          </w:tcPr>
          <w:p w14:paraId="6929818F" w14:textId="77777777" w:rsidR="00B2038F" w:rsidRPr="00A21D7D" w:rsidRDefault="00B2038F" w:rsidP="00421D4B">
            <w:pPr>
              <w:pStyle w:val="TableTextBody"/>
              <w:rPr>
                <w:i/>
              </w:rPr>
            </w:pPr>
            <w:r w:rsidRPr="00A21D7D">
              <w:t>Breastfeeding</w:t>
            </w:r>
          </w:p>
        </w:tc>
        <w:tc>
          <w:tcPr>
            <w:tcW w:w="1984" w:type="dxa"/>
          </w:tcPr>
          <w:p w14:paraId="785C4D52" w14:textId="28AF4395" w:rsidR="00B2038F" w:rsidRPr="00A21D7D" w:rsidRDefault="00573397" w:rsidP="00421D4B">
            <w:pPr>
              <w:pStyle w:val="TableTextBody"/>
              <w:jc w:val="right"/>
              <w:rPr>
                <w:i/>
              </w:rPr>
            </w:pPr>
            <w:r>
              <w:t xml:space="preserve"> </w:t>
            </w:r>
            <w:r w:rsidRPr="00A244E6">
              <w:rPr>
                <w:rFonts w:eastAsia="Times New Roman"/>
                <w:lang w:eastAsia="en-AU"/>
              </w:rPr>
              <w:t>—</w:t>
            </w:r>
          </w:p>
        </w:tc>
        <w:tc>
          <w:tcPr>
            <w:tcW w:w="1843" w:type="dxa"/>
          </w:tcPr>
          <w:p w14:paraId="080F4518" w14:textId="2DB1DD98" w:rsidR="00B2038F" w:rsidRPr="00A21D7D" w:rsidRDefault="00573397" w:rsidP="00421D4B">
            <w:pPr>
              <w:pStyle w:val="TableTextBody"/>
              <w:jc w:val="right"/>
              <w:rPr>
                <w:i/>
              </w:rPr>
            </w:pPr>
            <w:r w:rsidRPr="00A244E6">
              <w:rPr>
                <w:rFonts w:eastAsia="Times New Roman"/>
                <w:lang w:eastAsia="en-AU"/>
              </w:rPr>
              <w:t>—</w:t>
            </w:r>
          </w:p>
        </w:tc>
      </w:tr>
      <w:tr w:rsidR="00B2038F" w:rsidRPr="00A21D7D" w14:paraId="01268AC7" w14:textId="77777777" w:rsidTr="00421D4B">
        <w:tc>
          <w:tcPr>
            <w:tcW w:w="4248" w:type="dxa"/>
          </w:tcPr>
          <w:p w14:paraId="6F7E211C" w14:textId="77777777" w:rsidR="00B2038F" w:rsidRPr="00A21D7D" w:rsidRDefault="00B2038F" w:rsidP="00421D4B">
            <w:pPr>
              <w:pStyle w:val="TableTextBody"/>
              <w:rPr>
                <w:i/>
              </w:rPr>
            </w:pPr>
            <w:r w:rsidRPr="00A21D7D">
              <w:t>Family Responsibility</w:t>
            </w:r>
          </w:p>
        </w:tc>
        <w:tc>
          <w:tcPr>
            <w:tcW w:w="1984" w:type="dxa"/>
          </w:tcPr>
          <w:p w14:paraId="54C92A21" w14:textId="77777777" w:rsidR="00B2038F" w:rsidRPr="00A21D7D" w:rsidRDefault="00B2038F" w:rsidP="00421D4B">
            <w:pPr>
              <w:pStyle w:val="TableTextBody"/>
              <w:jc w:val="right"/>
              <w:rPr>
                <w:i/>
              </w:rPr>
            </w:pPr>
            <w:r w:rsidRPr="00A21D7D">
              <w:t>29</w:t>
            </w:r>
          </w:p>
        </w:tc>
        <w:tc>
          <w:tcPr>
            <w:tcW w:w="1843" w:type="dxa"/>
          </w:tcPr>
          <w:p w14:paraId="446210AD" w14:textId="77777777" w:rsidR="00B2038F" w:rsidRPr="00A21D7D" w:rsidRDefault="00B2038F" w:rsidP="00421D4B">
            <w:pPr>
              <w:pStyle w:val="TableTextBody"/>
              <w:jc w:val="right"/>
              <w:rPr>
                <w:i/>
              </w:rPr>
            </w:pPr>
            <w:r w:rsidRPr="00A21D7D">
              <w:t>3.4</w:t>
            </w:r>
          </w:p>
        </w:tc>
      </w:tr>
      <w:tr w:rsidR="00B2038F" w:rsidRPr="00A21D7D" w14:paraId="29482CEE" w14:textId="77777777" w:rsidTr="00421D4B">
        <w:tc>
          <w:tcPr>
            <w:tcW w:w="4248" w:type="dxa"/>
          </w:tcPr>
          <w:p w14:paraId="3EA6A42C" w14:textId="77777777" w:rsidR="00B2038F" w:rsidRPr="00A21D7D" w:rsidRDefault="00B2038F" w:rsidP="00421D4B">
            <w:pPr>
              <w:pStyle w:val="TableTextBody"/>
              <w:rPr>
                <w:i/>
              </w:rPr>
            </w:pPr>
            <w:r w:rsidRPr="00A21D7D">
              <w:t>Gender Identity</w:t>
            </w:r>
          </w:p>
        </w:tc>
        <w:tc>
          <w:tcPr>
            <w:tcW w:w="1984" w:type="dxa"/>
          </w:tcPr>
          <w:p w14:paraId="19F50873" w14:textId="77777777" w:rsidR="00B2038F" w:rsidRPr="00A21D7D" w:rsidRDefault="00B2038F" w:rsidP="00421D4B">
            <w:pPr>
              <w:pStyle w:val="TableTextBody"/>
              <w:jc w:val="right"/>
              <w:rPr>
                <w:i/>
              </w:rPr>
            </w:pPr>
            <w:r w:rsidRPr="00A21D7D">
              <w:t>8</w:t>
            </w:r>
          </w:p>
        </w:tc>
        <w:tc>
          <w:tcPr>
            <w:tcW w:w="1843" w:type="dxa"/>
          </w:tcPr>
          <w:p w14:paraId="6851E842" w14:textId="77777777" w:rsidR="00B2038F" w:rsidRPr="00A21D7D" w:rsidRDefault="00B2038F" w:rsidP="00421D4B">
            <w:pPr>
              <w:pStyle w:val="TableTextBody"/>
              <w:jc w:val="right"/>
              <w:rPr>
                <w:i/>
              </w:rPr>
            </w:pPr>
            <w:r w:rsidRPr="00A21D7D">
              <w:t>1.0</w:t>
            </w:r>
          </w:p>
        </w:tc>
      </w:tr>
      <w:tr w:rsidR="00B2038F" w:rsidRPr="00A21D7D" w14:paraId="0D0F4BF2" w14:textId="77777777" w:rsidTr="00421D4B">
        <w:tc>
          <w:tcPr>
            <w:tcW w:w="4248" w:type="dxa"/>
          </w:tcPr>
          <w:p w14:paraId="50F07117" w14:textId="77777777" w:rsidR="00B2038F" w:rsidRPr="00A21D7D" w:rsidRDefault="00B2038F" w:rsidP="00421D4B">
            <w:pPr>
              <w:pStyle w:val="TableTextBody"/>
              <w:rPr>
                <w:i/>
              </w:rPr>
            </w:pPr>
            <w:r w:rsidRPr="00A21D7D">
              <w:t>Impairment</w:t>
            </w:r>
          </w:p>
        </w:tc>
        <w:tc>
          <w:tcPr>
            <w:tcW w:w="1984" w:type="dxa"/>
          </w:tcPr>
          <w:p w14:paraId="332F55E6" w14:textId="77777777" w:rsidR="00B2038F" w:rsidRPr="00A21D7D" w:rsidRDefault="00B2038F" w:rsidP="00421D4B">
            <w:pPr>
              <w:pStyle w:val="TableTextBody"/>
              <w:jc w:val="right"/>
              <w:rPr>
                <w:i/>
              </w:rPr>
            </w:pPr>
            <w:r w:rsidRPr="00A21D7D">
              <w:t>242</w:t>
            </w:r>
          </w:p>
        </w:tc>
        <w:tc>
          <w:tcPr>
            <w:tcW w:w="1843" w:type="dxa"/>
          </w:tcPr>
          <w:p w14:paraId="39FF2A87" w14:textId="77777777" w:rsidR="00B2038F" w:rsidRPr="00A21D7D" w:rsidRDefault="00B2038F" w:rsidP="00421D4B">
            <w:pPr>
              <w:pStyle w:val="TableTextBody"/>
              <w:jc w:val="right"/>
              <w:rPr>
                <w:i/>
              </w:rPr>
            </w:pPr>
            <w:r w:rsidRPr="00A21D7D">
              <w:t>28.6</w:t>
            </w:r>
          </w:p>
        </w:tc>
      </w:tr>
      <w:tr w:rsidR="00B2038F" w:rsidRPr="00A21D7D" w14:paraId="2B545755" w14:textId="77777777" w:rsidTr="00421D4B">
        <w:tc>
          <w:tcPr>
            <w:tcW w:w="4248" w:type="dxa"/>
          </w:tcPr>
          <w:p w14:paraId="1EE140A8" w14:textId="77777777" w:rsidR="00B2038F" w:rsidRPr="00A21D7D" w:rsidRDefault="00B2038F" w:rsidP="00421D4B">
            <w:pPr>
              <w:pStyle w:val="TableTextBody"/>
              <w:rPr>
                <w:i/>
              </w:rPr>
            </w:pPr>
            <w:r w:rsidRPr="00A21D7D">
              <w:t>Lawful Sexual Activity</w:t>
            </w:r>
          </w:p>
        </w:tc>
        <w:tc>
          <w:tcPr>
            <w:tcW w:w="1984" w:type="dxa"/>
          </w:tcPr>
          <w:p w14:paraId="427A3A48" w14:textId="77777777" w:rsidR="00B2038F" w:rsidRPr="00A21D7D" w:rsidRDefault="00B2038F" w:rsidP="00421D4B">
            <w:pPr>
              <w:pStyle w:val="TableTextBody"/>
              <w:jc w:val="right"/>
              <w:rPr>
                <w:i/>
              </w:rPr>
            </w:pPr>
            <w:r w:rsidRPr="00A21D7D">
              <w:t>2</w:t>
            </w:r>
          </w:p>
        </w:tc>
        <w:tc>
          <w:tcPr>
            <w:tcW w:w="1843" w:type="dxa"/>
          </w:tcPr>
          <w:p w14:paraId="661AC069" w14:textId="77777777" w:rsidR="00B2038F" w:rsidRPr="00A21D7D" w:rsidRDefault="00B2038F" w:rsidP="00421D4B">
            <w:pPr>
              <w:pStyle w:val="TableTextBody"/>
              <w:jc w:val="right"/>
              <w:rPr>
                <w:i/>
              </w:rPr>
            </w:pPr>
            <w:r w:rsidRPr="00A21D7D">
              <w:t>0.2</w:t>
            </w:r>
          </w:p>
        </w:tc>
      </w:tr>
      <w:tr w:rsidR="00B2038F" w:rsidRPr="00A21D7D" w14:paraId="43960A39" w14:textId="77777777" w:rsidTr="00421D4B">
        <w:tc>
          <w:tcPr>
            <w:tcW w:w="4248" w:type="dxa"/>
          </w:tcPr>
          <w:p w14:paraId="5DA733E4" w14:textId="77777777" w:rsidR="00B2038F" w:rsidRPr="00A21D7D" w:rsidRDefault="00B2038F" w:rsidP="00421D4B">
            <w:pPr>
              <w:pStyle w:val="TableTextBody"/>
              <w:rPr>
                <w:i/>
              </w:rPr>
            </w:pPr>
            <w:r w:rsidRPr="00A21D7D">
              <w:t>Parental Status</w:t>
            </w:r>
          </w:p>
        </w:tc>
        <w:tc>
          <w:tcPr>
            <w:tcW w:w="1984" w:type="dxa"/>
          </w:tcPr>
          <w:p w14:paraId="727E8DC3" w14:textId="77777777" w:rsidR="00B2038F" w:rsidRPr="00A21D7D" w:rsidRDefault="00B2038F" w:rsidP="00421D4B">
            <w:pPr>
              <w:pStyle w:val="TableTextBody"/>
              <w:jc w:val="right"/>
              <w:rPr>
                <w:i/>
              </w:rPr>
            </w:pPr>
            <w:r w:rsidRPr="00A21D7D">
              <w:t>8</w:t>
            </w:r>
          </w:p>
        </w:tc>
        <w:tc>
          <w:tcPr>
            <w:tcW w:w="1843" w:type="dxa"/>
          </w:tcPr>
          <w:p w14:paraId="7C116D2B" w14:textId="77777777" w:rsidR="00B2038F" w:rsidRPr="00A21D7D" w:rsidRDefault="00B2038F" w:rsidP="00421D4B">
            <w:pPr>
              <w:pStyle w:val="TableTextBody"/>
              <w:jc w:val="right"/>
              <w:rPr>
                <w:i/>
              </w:rPr>
            </w:pPr>
            <w:r w:rsidRPr="00A21D7D">
              <w:t>0.9</w:t>
            </w:r>
          </w:p>
        </w:tc>
      </w:tr>
      <w:tr w:rsidR="00B2038F" w:rsidRPr="00A21D7D" w14:paraId="06595F08" w14:textId="77777777" w:rsidTr="00421D4B">
        <w:tc>
          <w:tcPr>
            <w:tcW w:w="4248" w:type="dxa"/>
          </w:tcPr>
          <w:p w14:paraId="6E13136E" w14:textId="77777777" w:rsidR="00B2038F" w:rsidRPr="00A21D7D" w:rsidRDefault="00B2038F" w:rsidP="00421D4B">
            <w:pPr>
              <w:pStyle w:val="TableTextBody"/>
              <w:rPr>
                <w:i/>
              </w:rPr>
            </w:pPr>
            <w:r w:rsidRPr="00A21D7D">
              <w:t>Political Belief/Activity</w:t>
            </w:r>
          </w:p>
        </w:tc>
        <w:tc>
          <w:tcPr>
            <w:tcW w:w="1984" w:type="dxa"/>
          </w:tcPr>
          <w:p w14:paraId="6CDD6449" w14:textId="77777777" w:rsidR="00B2038F" w:rsidRPr="00A21D7D" w:rsidRDefault="00B2038F" w:rsidP="00421D4B">
            <w:pPr>
              <w:pStyle w:val="TableTextBody"/>
              <w:jc w:val="right"/>
              <w:rPr>
                <w:i/>
              </w:rPr>
            </w:pPr>
            <w:r w:rsidRPr="00A21D7D">
              <w:t>4</w:t>
            </w:r>
          </w:p>
        </w:tc>
        <w:tc>
          <w:tcPr>
            <w:tcW w:w="1843" w:type="dxa"/>
          </w:tcPr>
          <w:p w14:paraId="045D3225" w14:textId="77777777" w:rsidR="00B2038F" w:rsidRPr="00A21D7D" w:rsidRDefault="00B2038F" w:rsidP="00421D4B">
            <w:pPr>
              <w:pStyle w:val="TableTextBody"/>
              <w:jc w:val="right"/>
              <w:rPr>
                <w:i/>
              </w:rPr>
            </w:pPr>
            <w:r w:rsidRPr="00A21D7D">
              <w:t>0.5</w:t>
            </w:r>
          </w:p>
        </w:tc>
      </w:tr>
      <w:tr w:rsidR="00B2038F" w:rsidRPr="00A21D7D" w14:paraId="787A76D8" w14:textId="77777777" w:rsidTr="00421D4B">
        <w:tc>
          <w:tcPr>
            <w:tcW w:w="4248" w:type="dxa"/>
          </w:tcPr>
          <w:p w14:paraId="2D9F621E" w14:textId="77777777" w:rsidR="00B2038F" w:rsidRPr="00A21D7D" w:rsidRDefault="00B2038F" w:rsidP="00421D4B">
            <w:pPr>
              <w:pStyle w:val="TableTextBody"/>
              <w:rPr>
                <w:i/>
              </w:rPr>
            </w:pPr>
            <w:r w:rsidRPr="00A21D7D">
              <w:t>Pregnancy</w:t>
            </w:r>
          </w:p>
        </w:tc>
        <w:tc>
          <w:tcPr>
            <w:tcW w:w="1984" w:type="dxa"/>
          </w:tcPr>
          <w:p w14:paraId="5683D2D1" w14:textId="77777777" w:rsidR="00B2038F" w:rsidRPr="00A21D7D" w:rsidRDefault="00B2038F" w:rsidP="00421D4B">
            <w:pPr>
              <w:pStyle w:val="TableTextBody"/>
              <w:jc w:val="right"/>
              <w:rPr>
                <w:i/>
              </w:rPr>
            </w:pPr>
            <w:r w:rsidRPr="00A21D7D">
              <w:t>26</w:t>
            </w:r>
          </w:p>
        </w:tc>
        <w:tc>
          <w:tcPr>
            <w:tcW w:w="1843" w:type="dxa"/>
          </w:tcPr>
          <w:p w14:paraId="1A3B856D" w14:textId="77777777" w:rsidR="00B2038F" w:rsidRPr="00A21D7D" w:rsidRDefault="00B2038F" w:rsidP="00421D4B">
            <w:pPr>
              <w:pStyle w:val="TableTextBody"/>
              <w:jc w:val="right"/>
              <w:rPr>
                <w:i/>
              </w:rPr>
            </w:pPr>
            <w:r w:rsidRPr="00A21D7D">
              <w:t>3.1</w:t>
            </w:r>
          </w:p>
        </w:tc>
      </w:tr>
      <w:tr w:rsidR="00B2038F" w:rsidRPr="00A21D7D" w14:paraId="18255EB0" w14:textId="77777777" w:rsidTr="00421D4B">
        <w:tc>
          <w:tcPr>
            <w:tcW w:w="4248" w:type="dxa"/>
          </w:tcPr>
          <w:p w14:paraId="0D2E2AEB" w14:textId="77777777" w:rsidR="00B2038F" w:rsidRPr="00A21D7D" w:rsidRDefault="00B2038F" w:rsidP="00421D4B">
            <w:pPr>
              <w:pStyle w:val="TableTextBody"/>
              <w:rPr>
                <w:i/>
              </w:rPr>
            </w:pPr>
            <w:r w:rsidRPr="00A21D7D">
              <w:t>Race</w:t>
            </w:r>
          </w:p>
        </w:tc>
        <w:tc>
          <w:tcPr>
            <w:tcW w:w="1984" w:type="dxa"/>
          </w:tcPr>
          <w:p w14:paraId="3F3122F5" w14:textId="77777777" w:rsidR="00B2038F" w:rsidRPr="00A21D7D" w:rsidRDefault="00B2038F" w:rsidP="00421D4B">
            <w:pPr>
              <w:pStyle w:val="TableTextBody"/>
              <w:jc w:val="right"/>
              <w:rPr>
                <w:i/>
              </w:rPr>
            </w:pPr>
            <w:r w:rsidRPr="00A21D7D">
              <w:t>68</w:t>
            </w:r>
          </w:p>
        </w:tc>
        <w:tc>
          <w:tcPr>
            <w:tcW w:w="1843" w:type="dxa"/>
          </w:tcPr>
          <w:p w14:paraId="5B16E393" w14:textId="77777777" w:rsidR="00B2038F" w:rsidRPr="00A21D7D" w:rsidRDefault="00B2038F" w:rsidP="00421D4B">
            <w:pPr>
              <w:pStyle w:val="TableTextBody"/>
              <w:jc w:val="right"/>
              <w:rPr>
                <w:i/>
              </w:rPr>
            </w:pPr>
            <w:r w:rsidRPr="00A21D7D">
              <w:t>8.0</w:t>
            </w:r>
          </w:p>
        </w:tc>
      </w:tr>
      <w:tr w:rsidR="00B2038F" w:rsidRPr="00A21D7D" w14:paraId="0E1D84FF" w14:textId="77777777" w:rsidTr="00421D4B">
        <w:tc>
          <w:tcPr>
            <w:tcW w:w="4248" w:type="dxa"/>
          </w:tcPr>
          <w:p w14:paraId="6CAE4912" w14:textId="77777777" w:rsidR="00B2038F" w:rsidRPr="00A21D7D" w:rsidRDefault="00B2038F" w:rsidP="00421D4B">
            <w:pPr>
              <w:pStyle w:val="TableTextBody"/>
              <w:rPr>
                <w:i/>
              </w:rPr>
            </w:pPr>
            <w:r w:rsidRPr="00A21D7D">
              <w:t>Relationship Status</w:t>
            </w:r>
          </w:p>
        </w:tc>
        <w:tc>
          <w:tcPr>
            <w:tcW w:w="1984" w:type="dxa"/>
          </w:tcPr>
          <w:p w14:paraId="75362E26" w14:textId="77777777" w:rsidR="00B2038F" w:rsidRPr="00A21D7D" w:rsidRDefault="00B2038F" w:rsidP="00421D4B">
            <w:pPr>
              <w:pStyle w:val="TableTextBody"/>
              <w:jc w:val="right"/>
              <w:rPr>
                <w:i/>
              </w:rPr>
            </w:pPr>
            <w:r w:rsidRPr="00A21D7D">
              <w:t>7</w:t>
            </w:r>
          </w:p>
        </w:tc>
        <w:tc>
          <w:tcPr>
            <w:tcW w:w="1843" w:type="dxa"/>
          </w:tcPr>
          <w:p w14:paraId="3A955653" w14:textId="77777777" w:rsidR="00B2038F" w:rsidRPr="00A21D7D" w:rsidRDefault="00B2038F" w:rsidP="00421D4B">
            <w:pPr>
              <w:pStyle w:val="TableTextBody"/>
              <w:jc w:val="right"/>
              <w:rPr>
                <w:i/>
              </w:rPr>
            </w:pPr>
            <w:r w:rsidRPr="00A21D7D">
              <w:t>0.8</w:t>
            </w:r>
          </w:p>
        </w:tc>
      </w:tr>
      <w:tr w:rsidR="00B2038F" w:rsidRPr="00A21D7D" w14:paraId="4DC5E04E" w14:textId="77777777" w:rsidTr="00421D4B">
        <w:tc>
          <w:tcPr>
            <w:tcW w:w="4248" w:type="dxa"/>
          </w:tcPr>
          <w:p w14:paraId="1D83F21F" w14:textId="77777777" w:rsidR="00B2038F" w:rsidRPr="00A21D7D" w:rsidRDefault="00B2038F" w:rsidP="00421D4B">
            <w:pPr>
              <w:pStyle w:val="TableTextBody"/>
              <w:rPr>
                <w:i/>
              </w:rPr>
            </w:pPr>
            <w:r w:rsidRPr="00A21D7D">
              <w:t>Religion</w:t>
            </w:r>
          </w:p>
        </w:tc>
        <w:tc>
          <w:tcPr>
            <w:tcW w:w="1984" w:type="dxa"/>
          </w:tcPr>
          <w:p w14:paraId="69EC4DAD" w14:textId="77777777" w:rsidR="00B2038F" w:rsidRPr="00A21D7D" w:rsidRDefault="00B2038F" w:rsidP="00421D4B">
            <w:pPr>
              <w:pStyle w:val="TableTextBody"/>
              <w:jc w:val="right"/>
              <w:rPr>
                <w:i/>
              </w:rPr>
            </w:pPr>
            <w:r w:rsidRPr="00A21D7D">
              <w:t>10</w:t>
            </w:r>
          </w:p>
        </w:tc>
        <w:tc>
          <w:tcPr>
            <w:tcW w:w="1843" w:type="dxa"/>
          </w:tcPr>
          <w:p w14:paraId="296CCB74" w14:textId="77777777" w:rsidR="00B2038F" w:rsidRPr="00A21D7D" w:rsidRDefault="00B2038F" w:rsidP="00421D4B">
            <w:pPr>
              <w:pStyle w:val="TableTextBody"/>
              <w:jc w:val="right"/>
              <w:rPr>
                <w:i/>
              </w:rPr>
            </w:pPr>
            <w:r w:rsidRPr="00A21D7D">
              <w:t>1.2</w:t>
            </w:r>
          </w:p>
        </w:tc>
      </w:tr>
      <w:tr w:rsidR="00B2038F" w:rsidRPr="00A21D7D" w14:paraId="7425B340" w14:textId="77777777" w:rsidTr="00421D4B">
        <w:tc>
          <w:tcPr>
            <w:tcW w:w="4248" w:type="dxa"/>
          </w:tcPr>
          <w:p w14:paraId="3B3AEEE5" w14:textId="77777777" w:rsidR="00B2038F" w:rsidRPr="00A21D7D" w:rsidRDefault="00B2038F" w:rsidP="00421D4B">
            <w:pPr>
              <w:pStyle w:val="TableTextBody"/>
              <w:rPr>
                <w:i/>
              </w:rPr>
            </w:pPr>
            <w:r w:rsidRPr="00A21D7D">
              <w:t>Sex</w:t>
            </w:r>
          </w:p>
        </w:tc>
        <w:tc>
          <w:tcPr>
            <w:tcW w:w="1984" w:type="dxa"/>
          </w:tcPr>
          <w:p w14:paraId="5EEBA9DF" w14:textId="77777777" w:rsidR="00B2038F" w:rsidRPr="00A21D7D" w:rsidRDefault="00B2038F" w:rsidP="00421D4B">
            <w:pPr>
              <w:pStyle w:val="TableTextBody"/>
              <w:jc w:val="right"/>
              <w:rPr>
                <w:i/>
              </w:rPr>
            </w:pPr>
            <w:r w:rsidRPr="00A21D7D">
              <w:t>86</w:t>
            </w:r>
          </w:p>
        </w:tc>
        <w:tc>
          <w:tcPr>
            <w:tcW w:w="1843" w:type="dxa"/>
          </w:tcPr>
          <w:p w14:paraId="11E0B252" w14:textId="77777777" w:rsidR="00B2038F" w:rsidRPr="00A21D7D" w:rsidRDefault="00B2038F" w:rsidP="00421D4B">
            <w:pPr>
              <w:pStyle w:val="TableTextBody"/>
              <w:jc w:val="right"/>
              <w:rPr>
                <w:i/>
              </w:rPr>
            </w:pPr>
            <w:r w:rsidRPr="00A21D7D">
              <w:t>10.1</w:t>
            </w:r>
          </w:p>
        </w:tc>
      </w:tr>
      <w:tr w:rsidR="00B2038F" w:rsidRPr="00A21D7D" w14:paraId="04F1A80A" w14:textId="77777777" w:rsidTr="00421D4B">
        <w:tc>
          <w:tcPr>
            <w:tcW w:w="4248" w:type="dxa"/>
          </w:tcPr>
          <w:p w14:paraId="655A98AE" w14:textId="77777777" w:rsidR="00B2038F" w:rsidRPr="00A21D7D" w:rsidRDefault="00B2038F" w:rsidP="00421D4B">
            <w:pPr>
              <w:pStyle w:val="TableTextBody"/>
              <w:rPr>
                <w:i/>
              </w:rPr>
            </w:pPr>
            <w:r w:rsidRPr="00A21D7D">
              <w:t>Sexuality</w:t>
            </w:r>
          </w:p>
        </w:tc>
        <w:tc>
          <w:tcPr>
            <w:tcW w:w="1984" w:type="dxa"/>
          </w:tcPr>
          <w:p w14:paraId="5FA043EB" w14:textId="77777777" w:rsidR="00B2038F" w:rsidRPr="00A21D7D" w:rsidRDefault="00B2038F" w:rsidP="00421D4B">
            <w:pPr>
              <w:pStyle w:val="TableTextBody"/>
              <w:jc w:val="right"/>
              <w:rPr>
                <w:i/>
              </w:rPr>
            </w:pPr>
            <w:r w:rsidRPr="00A21D7D">
              <w:t>19</w:t>
            </w:r>
          </w:p>
        </w:tc>
        <w:tc>
          <w:tcPr>
            <w:tcW w:w="1843" w:type="dxa"/>
          </w:tcPr>
          <w:p w14:paraId="225A801D" w14:textId="77777777" w:rsidR="00B2038F" w:rsidRPr="00A21D7D" w:rsidRDefault="00B2038F" w:rsidP="00421D4B">
            <w:pPr>
              <w:pStyle w:val="TableTextBody"/>
              <w:jc w:val="right"/>
              <w:rPr>
                <w:i/>
              </w:rPr>
            </w:pPr>
            <w:r w:rsidRPr="00A21D7D">
              <w:t>2.3</w:t>
            </w:r>
          </w:p>
        </w:tc>
      </w:tr>
      <w:tr w:rsidR="00B2038F" w:rsidRPr="00A21D7D" w14:paraId="51B77627" w14:textId="77777777" w:rsidTr="00421D4B">
        <w:tc>
          <w:tcPr>
            <w:tcW w:w="4248" w:type="dxa"/>
          </w:tcPr>
          <w:p w14:paraId="45C83065" w14:textId="77777777" w:rsidR="00B2038F" w:rsidRPr="00A21D7D" w:rsidRDefault="00B2038F" w:rsidP="00421D4B">
            <w:pPr>
              <w:pStyle w:val="TableTextBody"/>
              <w:rPr>
                <w:i/>
              </w:rPr>
            </w:pPr>
            <w:r w:rsidRPr="00A21D7D">
              <w:t>Trade Union Activity</w:t>
            </w:r>
          </w:p>
        </w:tc>
        <w:tc>
          <w:tcPr>
            <w:tcW w:w="1984" w:type="dxa"/>
          </w:tcPr>
          <w:p w14:paraId="2BF56557" w14:textId="77777777" w:rsidR="00B2038F" w:rsidRPr="00A21D7D" w:rsidRDefault="00B2038F" w:rsidP="00421D4B">
            <w:pPr>
              <w:pStyle w:val="TableTextBody"/>
              <w:jc w:val="right"/>
              <w:rPr>
                <w:i/>
              </w:rPr>
            </w:pPr>
            <w:r w:rsidRPr="00A21D7D">
              <w:t>5</w:t>
            </w:r>
          </w:p>
        </w:tc>
        <w:tc>
          <w:tcPr>
            <w:tcW w:w="1843" w:type="dxa"/>
          </w:tcPr>
          <w:p w14:paraId="003D7B7F" w14:textId="77777777" w:rsidR="00B2038F" w:rsidRPr="00A21D7D" w:rsidRDefault="00B2038F" w:rsidP="00421D4B">
            <w:pPr>
              <w:pStyle w:val="TableTextBody"/>
              <w:jc w:val="right"/>
              <w:rPr>
                <w:i/>
              </w:rPr>
            </w:pPr>
            <w:r w:rsidRPr="00A21D7D">
              <w:t>0.6</w:t>
            </w:r>
          </w:p>
        </w:tc>
      </w:tr>
      <w:tr w:rsidR="00B2038F" w:rsidRPr="00A21D7D" w14:paraId="2EA87DB5" w14:textId="77777777" w:rsidTr="00421D4B">
        <w:tc>
          <w:tcPr>
            <w:tcW w:w="4248" w:type="dxa"/>
          </w:tcPr>
          <w:p w14:paraId="063C86CC" w14:textId="77777777" w:rsidR="00B2038F" w:rsidRPr="00A21D7D" w:rsidRDefault="00B2038F" w:rsidP="00421D4B">
            <w:pPr>
              <w:pStyle w:val="TableTextBody"/>
              <w:rPr>
                <w:b/>
                <w:i/>
              </w:rPr>
            </w:pPr>
            <w:r w:rsidRPr="00A21D7D">
              <w:rPr>
                <w:b/>
              </w:rPr>
              <w:t>Sub-total Discrimination</w:t>
            </w:r>
          </w:p>
        </w:tc>
        <w:tc>
          <w:tcPr>
            <w:tcW w:w="1984" w:type="dxa"/>
          </w:tcPr>
          <w:p w14:paraId="5B0BECB1" w14:textId="77777777" w:rsidR="00B2038F" w:rsidRPr="00A21D7D" w:rsidRDefault="00B2038F" w:rsidP="00421D4B">
            <w:pPr>
              <w:pStyle w:val="TableTextBody"/>
              <w:jc w:val="right"/>
              <w:rPr>
                <w:b/>
                <w:i/>
                <w:highlight w:val="yellow"/>
              </w:rPr>
            </w:pPr>
            <w:r w:rsidRPr="00A21D7D">
              <w:rPr>
                <w:b/>
              </w:rPr>
              <w:t>545</w:t>
            </w:r>
          </w:p>
        </w:tc>
        <w:tc>
          <w:tcPr>
            <w:tcW w:w="1843" w:type="dxa"/>
          </w:tcPr>
          <w:p w14:paraId="73841F0F" w14:textId="77777777" w:rsidR="00B2038F" w:rsidRPr="00A21D7D" w:rsidRDefault="00B2038F" w:rsidP="00421D4B">
            <w:pPr>
              <w:pStyle w:val="TableTextBody"/>
              <w:jc w:val="right"/>
              <w:rPr>
                <w:b/>
                <w:i/>
              </w:rPr>
            </w:pPr>
            <w:r w:rsidRPr="00A21D7D">
              <w:rPr>
                <w:b/>
              </w:rPr>
              <w:t>64.5</w:t>
            </w:r>
          </w:p>
        </w:tc>
      </w:tr>
      <w:tr w:rsidR="00B2038F" w:rsidRPr="00A21D7D" w14:paraId="22ACF3E4" w14:textId="77777777" w:rsidTr="00421D4B">
        <w:tc>
          <w:tcPr>
            <w:tcW w:w="4248" w:type="dxa"/>
          </w:tcPr>
          <w:p w14:paraId="10EB5AF4" w14:textId="77777777" w:rsidR="00B2038F" w:rsidRPr="00BE6F07" w:rsidRDefault="00B2038F" w:rsidP="00421D4B">
            <w:pPr>
              <w:pStyle w:val="TableTextHeading"/>
              <w:rPr>
                <w:i/>
              </w:rPr>
            </w:pPr>
            <w:r w:rsidRPr="00BE6F07">
              <w:t>VILIFICATION</w:t>
            </w:r>
          </w:p>
        </w:tc>
        <w:tc>
          <w:tcPr>
            <w:tcW w:w="1984" w:type="dxa"/>
          </w:tcPr>
          <w:p w14:paraId="300D0015" w14:textId="77777777" w:rsidR="00B2038F" w:rsidRPr="00A21D7D" w:rsidRDefault="00B2038F" w:rsidP="00421D4B">
            <w:pPr>
              <w:pStyle w:val="TableTextBody"/>
              <w:jc w:val="right"/>
              <w:rPr>
                <w:b/>
              </w:rPr>
            </w:pPr>
          </w:p>
        </w:tc>
        <w:tc>
          <w:tcPr>
            <w:tcW w:w="1843" w:type="dxa"/>
          </w:tcPr>
          <w:p w14:paraId="7DC8FD5E" w14:textId="77777777" w:rsidR="00B2038F" w:rsidRPr="00A21D7D" w:rsidRDefault="00B2038F" w:rsidP="00421D4B">
            <w:pPr>
              <w:pStyle w:val="TableTextBody"/>
              <w:jc w:val="right"/>
              <w:rPr>
                <w:b/>
              </w:rPr>
            </w:pPr>
          </w:p>
        </w:tc>
      </w:tr>
      <w:tr w:rsidR="00B2038F" w:rsidRPr="00A21D7D" w14:paraId="2305E620" w14:textId="77777777" w:rsidTr="00421D4B">
        <w:tc>
          <w:tcPr>
            <w:tcW w:w="4248" w:type="dxa"/>
          </w:tcPr>
          <w:p w14:paraId="6015254D" w14:textId="77777777" w:rsidR="00B2038F" w:rsidRPr="00A21D7D" w:rsidRDefault="00B2038F" w:rsidP="00421D4B">
            <w:pPr>
              <w:pStyle w:val="TableTextBody"/>
              <w:rPr>
                <w:i/>
              </w:rPr>
            </w:pPr>
            <w:r w:rsidRPr="00A21D7D">
              <w:t>Gender identity</w:t>
            </w:r>
          </w:p>
        </w:tc>
        <w:tc>
          <w:tcPr>
            <w:tcW w:w="1984" w:type="dxa"/>
          </w:tcPr>
          <w:p w14:paraId="2644F302" w14:textId="77777777" w:rsidR="00B2038F" w:rsidRPr="00A21D7D" w:rsidRDefault="00B2038F" w:rsidP="00421D4B">
            <w:pPr>
              <w:pStyle w:val="TableTextBody"/>
              <w:jc w:val="right"/>
              <w:rPr>
                <w:i/>
              </w:rPr>
            </w:pPr>
            <w:r w:rsidRPr="00A21D7D">
              <w:t>7</w:t>
            </w:r>
          </w:p>
        </w:tc>
        <w:tc>
          <w:tcPr>
            <w:tcW w:w="1843" w:type="dxa"/>
          </w:tcPr>
          <w:p w14:paraId="3E2B6D1E" w14:textId="77777777" w:rsidR="00B2038F" w:rsidRPr="00A21D7D" w:rsidRDefault="00B2038F" w:rsidP="00421D4B">
            <w:pPr>
              <w:pStyle w:val="TableTextBody"/>
              <w:jc w:val="right"/>
              <w:rPr>
                <w:i/>
              </w:rPr>
            </w:pPr>
            <w:r w:rsidRPr="00A21D7D">
              <w:t>0.8</w:t>
            </w:r>
          </w:p>
        </w:tc>
      </w:tr>
      <w:tr w:rsidR="00B2038F" w:rsidRPr="00A21D7D" w14:paraId="672F4ECE" w14:textId="77777777" w:rsidTr="00421D4B">
        <w:tc>
          <w:tcPr>
            <w:tcW w:w="4248" w:type="dxa"/>
          </w:tcPr>
          <w:p w14:paraId="345A2561" w14:textId="77777777" w:rsidR="00B2038F" w:rsidRPr="00A21D7D" w:rsidRDefault="00B2038F" w:rsidP="00421D4B">
            <w:pPr>
              <w:pStyle w:val="TableTextBody"/>
              <w:rPr>
                <w:i/>
              </w:rPr>
            </w:pPr>
            <w:r w:rsidRPr="00A21D7D">
              <w:t>Race</w:t>
            </w:r>
          </w:p>
        </w:tc>
        <w:tc>
          <w:tcPr>
            <w:tcW w:w="1984" w:type="dxa"/>
          </w:tcPr>
          <w:p w14:paraId="0158C638" w14:textId="77777777" w:rsidR="00B2038F" w:rsidRPr="00A21D7D" w:rsidRDefault="00B2038F" w:rsidP="00421D4B">
            <w:pPr>
              <w:pStyle w:val="TableTextBody"/>
              <w:jc w:val="right"/>
              <w:rPr>
                <w:i/>
              </w:rPr>
            </w:pPr>
            <w:r w:rsidRPr="00A21D7D">
              <w:t>13</w:t>
            </w:r>
          </w:p>
        </w:tc>
        <w:tc>
          <w:tcPr>
            <w:tcW w:w="1843" w:type="dxa"/>
          </w:tcPr>
          <w:p w14:paraId="45B90CDD" w14:textId="77777777" w:rsidR="00B2038F" w:rsidRPr="00A21D7D" w:rsidRDefault="00B2038F" w:rsidP="00421D4B">
            <w:pPr>
              <w:pStyle w:val="TableTextBody"/>
              <w:jc w:val="right"/>
              <w:rPr>
                <w:i/>
              </w:rPr>
            </w:pPr>
            <w:r w:rsidRPr="00A21D7D">
              <w:t>1.5</w:t>
            </w:r>
          </w:p>
        </w:tc>
      </w:tr>
      <w:tr w:rsidR="00B2038F" w:rsidRPr="00A21D7D" w14:paraId="1ED110A6" w14:textId="77777777" w:rsidTr="00421D4B">
        <w:tc>
          <w:tcPr>
            <w:tcW w:w="4248" w:type="dxa"/>
          </w:tcPr>
          <w:p w14:paraId="1CEF15F2" w14:textId="77777777" w:rsidR="00B2038F" w:rsidRPr="00A21D7D" w:rsidRDefault="00B2038F" w:rsidP="00421D4B">
            <w:pPr>
              <w:pStyle w:val="TableTextBody"/>
              <w:rPr>
                <w:i/>
              </w:rPr>
            </w:pPr>
            <w:r w:rsidRPr="00A21D7D">
              <w:t>Religion</w:t>
            </w:r>
          </w:p>
        </w:tc>
        <w:tc>
          <w:tcPr>
            <w:tcW w:w="1984" w:type="dxa"/>
          </w:tcPr>
          <w:p w14:paraId="1B29A7FA" w14:textId="77777777" w:rsidR="00B2038F" w:rsidRPr="00A21D7D" w:rsidRDefault="00B2038F" w:rsidP="00421D4B">
            <w:pPr>
              <w:pStyle w:val="TableTextBody"/>
              <w:jc w:val="right"/>
              <w:rPr>
                <w:i/>
              </w:rPr>
            </w:pPr>
            <w:r w:rsidRPr="00A21D7D">
              <w:t>2</w:t>
            </w:r>
          </w:p>
        </w:tc>
        <w:tc>
          <w:tcPr>
            <w:tcW w:w="1843" w:type="dxa"/>
          </w:tcPr>
          <w:p w14:paraId="281DEB1A" w14:textId="77777777" w:rsidR="00B2038F" w:rsidRPr="00A21D7D" w:rsidRDefault="00B2038F" w:rsidP="00421D4B">
            <w:pPr>
              <w:pStyle w:val="TableTextBody"/>
              <w:jc w:val="right"/>
              <w:rPr>
                <w:i/>
              </w:rPr>
            </w:pPr>
            <w:r w:rsidRPr="00A21D7D">
              <w:t>0.2</w:t>
            </w:r>
          </w:p>
        </w:tc>
      </w:tr>
      <w:tr w:rsidR="00B2038F" w:rsidRPr="00A21D7D" w14:paraId="7B844A23" w14:textId="77777777" w:rsidTr="00421D4B">
        <w:tc>
          <w:tcPr>
            <w:tcW w:w="4248" w:type="dxa"/>
          </w:tcPr>
          <w:p w14:paraId="55787FBA" w14:textId="77777777" w:rsidR="00B2038F" w:rsidRPr="00A21D7D" w:rsidRDefault="00B2038F" w:rsidP="00421D4B">
            <w:pPr>
              <w:pStyle w:val="TableTextBody"/>
              <w:rPr>
                <w:i/>
              </w:rPr>
            </w:pPr>
            <w:r w:rsidRPr="00A21D7D">
              <w:t>Sexuality</w:t>
            </w:r>
          </w:p>
        </w:tc>
        <w:tc>
          <w:tcPr>
            <w:tcW w:w="1984" w:type="dxa"/>
          </w:tcPr>
          <w:p w14:paraId="0AC8F118" w14:textId="77777777" w:rsidR="00B2038F" w:rsidRPr="00A21D7D" w:rsidRDefault="00B2038F" w:rsidP="00421D4B">
            <w:pPr>
              <w:pStyle w:val="TableTextBody"/>
              <w:jc w:val="right"/>
              <w:rPr>
                <w:i/>
              </w:rPr>
            </w:pPr>
            <w:r w:rsidRPr="00A21D7D">
              <w:t>12</w:t>
            </w:r>
          </w:p>
        </w:tc>
        <w:tc>
          <w:tcPr>
            <w:tcW w:w="1843" w:type="dxa"/>
          </w:tcPr>
          <w:p w14:paraId="59D5D61F" w14:textId="77777777" w:rsidR="00B2038F" w:rsidRPr="00A21D7D" w:rsidRDefault="00B2038F" w:rsidP="00421D4B">
            <w:pPr>
              <w:pStyle w:val="TableTextBody"/>
              <w:jc w:val="right"/>
              <w:rPr>
                <w:i/>
              </w:rPr>
            </w:pPr>
            <w:r w:rsidRPr="00A21D7D">
              <w:t>1.4</w:t>
            </w:r>
          </w:p>
        </w:tc>
      </w:tr>
      <w:tr w:rsidR="00B2038F" w:rsidRPr="00A21D7D" w14:paraId="4D720947" w14:textId="77777777" w:rsidTr="00421D4B">
        <w:tc>
          <w:tcPr>
            <w:tcW w:w="4248" w:type="dxa"/>
          </w:tcPr>
          <w:p w14:paraId="1D1D099E" w14:textId="77777777" w:rsidR="00B2038F" w:rsidRPr="00A21D7D" w:rsidRDefault="00B2038F" w:rsidP="00421D4B">
            <w:pPr>
              <w:pStyle w:val="TableTextBody"/>
              <w:rPr>
                <w:b/>
                <w:i/>
              </w:rPr>
            </w:pPr>
            <w:r w:rsidRPr="00A21D7D">
              <w:rPr>
                <w:b/>
              </w:rPr>
              <w:t>Sub-total Vilification</w:t>
            </w:r>
          </w:p>
        </w:tc>
        <w:tc>
          <w:tcPr>
            <w:tcW w:w="1984" w:type="dxa"/>
          </w:tcPr>
          <w:p w14:paraId="7E06B143" w14:textId="77777777" w:rsidR="00B2038F" w:rsidRPr="00A21D7D" w:rsidRDefault="00B2038F" w:rsidP="00421D4B">
            <w:pPr>
              <w:pStyle w:val="TableTextBody"/>
              <w:jc w:val="right"/>
              <w:rPr>
                <w:b/>
                <w:i/>
              </w:rPr>
            </w:pPr>
            <w:r w:rsidRPr="00A21D7D">
              <w:rPr>
                <w:b/>
              </w:rPr>
              <w:t>34</w:t>
            </w:r>
          </w:p>
        </w:tc>
        <w:tc>
          <w:tcPr>
            <w:tcW w:w="1843" w:type="dxa"/>
          </w:tcPr>
          <w:p w14:paraId="61CB4063" w14:textId="77777777" w:rsidR="00B2038F" w:rsidRPr="00A21D7D" w:rsidRDefault="00B2038F" w:rsidP="00421D4B">
            <w:pPr>
              <w:pStyle w:val="TableTextBody"/>
              <w:jc w:val="right"/>
              <w:rPr>
                <w:b/>
                <w:i/>
              </w:rPr>
            </w:pPr>
            <w:r w:rsidRPr="00A21D7D">
              <w:rPr>
                <w:b/>
              </w:rPr>
              <w:t>4.0</w:t>
            </w:r>
          </w:p>
        </w:tc>
      </w:tr>
      <w:tr w:rsidR="00B2038F" w:rsidRPr="00A21D7D" w14:paraId="30330156" w14:textId="77777777" w:rsidTr="00421D4B">
        <w:tc>
          <w:tcPr>
            <w:tcW w:w="4248" w:type="dxa"/>
          </w:tcPr>
          <w:p w14:paraId="2ADAD78A" w14:textId="77777777" w:rsidR="00B2038F" w:rsidRPr="00A21D7D" w:rsidRDefault="00B2038F" w:rsidP="00421D4B">
            <w:pPr>
              <w:pStyle w:val="TableTextBody"/>
              <w:rPr>
                <w:i/>
              </w:rPr>
            </w:pPr>
            <w:r w:rsidRPr="00A21D7D">
              <w:t>Discriminatory Advertising</w:t>
            </w:r>
          </w:p>
        </w:tc>
        <w:tc>
          <w:tcPr>
            <w:tcW w:w="1984" w:type="dxa"/>
          </w:tcPr>
          <w:p w14:paraId="288B8E71" w14:textId="77777777" w:rsidR="00B2038F" w:rsidRPr="00A21D7D" w:rsidRDefault="00B2038F" w:rsidP="00421D4B">
            <w:pPr>
              <w:pStyle w:val="TableTextBody"/>
              <w:jc w:val="right"/>
              <w:rPr>
                <w:i/>
              </w:rPr>
            </w:pPr>
            <w:r w:rsidRPr="00A21D7D">
              <w:t>2</w:t>
            </w:r>
          </w:p>
        </w:tc>
        <w:tc>
          <w:tcPr>
            <w:tcW w:w="1843" w:type="dxa"/>
          </w:tcPr>
          <w:p w14:paraId="0CE45F91" w14:textId="77777777" w:rsidR="00B2038F" w:rsidRPr="00A21D7D" w:rsidRDefault="00B2038F" w:rsidP="00421D4B">
            <w:pPr>
              <w:pStyle w:val="TableTextBody"/>
              <w:jc w:val="right"/>
              <w:rPr>
                <w:i/>
              </w:rPr>
            </w:pPr>
            <w:r w:rsidRPr="00A21D7D">
              <w:t>0.2</w:t>
            </w:r>
          </w:p>
        </w:tc>
      </w:tr>
      <w:tr w:rsidR="00B2038F" w:rsidRPr="00A21D7D" w14:paraId="7107983D" w14:textId="77777777" w:rsidTr="00421D4B">
        <w:tc>
          <w:tcPr>
            <w:tcW w:w="4248" w:type="dxa"/>
          </w:tcPr>
          <w:p w14:paraId="2FC71AE8" w14:textId="77777777" w:rsidR="00B2038F" w:rsidRPr="00A21D7D" w:rsidRDefault="00B2038F" w:rsidP="00421D4B">
            <w:pPr>
              <w:pStyle w:val="TableTextBody"/>
              <w:rPr>
                <w:i/>
              </w:rPr>
            </w:pPr>
            <w:r w:rsidRPr="00A21D7D">
              <w:t>Request/Encourage a Breach</w:t>
            </w:r>
          </w:p>
        </w:tc>
        <w:tc>
          <w:tcPr>
            <w:tcW w:w="1984" w:type="dxa"/>
          </w:tcPr>
          <w:p w14:paraId="046007E2" w14:textId="77777777" w:rsidR="00B2038F" w:rsidRPr="00A21D7D" w:rsidRDefault="00B2038F" w:rsidP="00421D4B">
            <w:pPr>
              <w:pStyle w:val="TableTextBody"/>
              <w:jc w:val="right"/>
              <w:rPr>
                <w:i/>
              </w:rPr>
            </w:pPr>
            <w:r w:rsidRPr="00A21D7D">
              <w:t>9</w:t>
            </w:r>
          </w:p>
        </w:tc>
        <w:tc>
          <w:tcPr>
            <w:tcW w:w="1843" w:type="dxa"/>
          </w:tcPr>
          <w:p w14:paraId="731B1528" w14:textId="77777777" w:rsidR="00B2038F" w:rsidRPr="00A21D7D" w:rsidRDefault="00B2038F" w:rsidP="00421D4B">
            <w:pPr>
              <w:pStyle w:val="TableTextBody"/>
              <w:jc w:val="right"/>
              <w:rPr>
                <w:i/>
              </w:rPr>
            </w:pPr>
            <w:r w:rsidRPr="00A21D7D">
              <w:t>1.2</w:t>
            </w:r>
          </w:p>
        </w:tc>
      </w:tr>
      <w:tr w:rsidR="00B2038F" w:rsidRPr="00A21D7D" w14:paraId="4910F487" w14:textId="77777777" w:rsidTr="00421D4B">
        <w:tc>
          <w:tcPr>
            <w:tcW w:w="4248" w:type="dxa"/>
          </w:tcPr>
          <w:p w14:paraId="4B684DFA" w14:textId="77777777" w:rsidR="00B2038F" w:rsidRPr="00A21D7D" w:rsidRDefault="00B2038F" w:rsidP="00421D4B">
            <w:pPr>
              <w:pStyle w:val="TableTextBody"/>
              <w:rPr>
                <w:i/>
              </w:rPr>
            </w:pPr>
            <w:r w:rsidRPr="00A21D7D">
              <w:t>Sexual Harassment</w:t>
            </w:r>
          </w:p>
        </w:tc>
        <w:tc>
          <w:tcPr>
            <w:tcW w:w="1984" w:type="dxa"/>
          </w:tcPr>
          <w:p w14:paraId="7B84465C" w14:textId="77777777" w:rsidR="00B2038F" w:rsidRPr="00A21D7D" w:rsidRDefault="00B2038F" w:rsidP="00421D4B">
            <w:pPr>
              <w:pStyle w:val="TableTextBody"/>
              <w:jc w:val="right"/>
              <w:rPr>
                <w:i/>
              </w:rPr>
            </w:pPr>
            <w:r w:rsidRPr="00A21D7D">
              <w:t>91</w:t>
            </w:r>
          </w:p>
        </w:tc>
        <w:tc>
          <w:tcPr>
            <w:tcW w:w="1843" w:type="dxa"/>
          </w:tcPr>
          <w:p w14:paraId="1C8C2FC2" w14:textId="77777777" w:rsidR="00B2038F" w:rsidRPr="00A21D7D" w:rsidRDefault="00B2038F" w:rsidP="00421D4B">
            <w:pPr>
              <w:pStyle w:val="TableTextBody"/>
              <w:jc w:val="right"/>
              <w:rPr>
                <w:i/>
              </w:rPr>
            </w:pPr>
            <w:r w:rsidRPr="00A21D7D">
              <w:t>10.8</w:t>
            </w:r>
          </w:p>
        </w:tc>
      </w:tr>
      <w:tr w:rsidR="00B2038F" w:rsidRPr="00A21D7D" w14:paraId="0E1531B2" w14:textId="77777777" w:rsidTr="00421D4B">
        <w:tc>
          <w:tcPr>
            <w:tcW w:w="4248" w:type="dxa"/>
          </w:tcPr>
          <w:p w14:paraId="2A81AAB9" w14:textId="77777777" w:rsidR="00B2038F" w:rsidRPr="00A21D7D" w:rsidRDefault="00B2038F" w:rsidP="00421D4B">
            <w:pPr>
              <w:pStyle w:val="TableTextBody"/>
              <w:rPr>
                <w:i/>
                <w:color w:val="00B050"/>
              </w:rPr>
            </w:pPr>
            <w:r w:rsidRPr="00A21D7D">
              <w:t>Unnecessary Questions</w:t>
            </w:r>
          </w:p>
        </w:tc>
        <w:tc>
          <w:tcPr>
            <w:tcW w:w="1984" w:type="dxa"/>
          </w:tcPr>
          <w:p w14:paraId="4B7F4037" w14:textId="77777777" w:rsidR="00B2038F" w:rsidRPr="00A21D7D" w:rsidRDefault="00B2038F" w:rsidP="00421D4B">
            <w:pPr>
              <w:pStyle w:val="TableTextBody"/>
              <w:jc w:val="right"/>
              <w:rPr>
                <w:i/>
              </w:rPr>
            </w:pPr>
            <w:r w:rsidRPr="00A21D7D">
              <w:t>38</w:t>
            </w:r>
          </w:p>
        </w:tc>
        <w:tc>
          <w:tcPr>
            <w:tcW w:w="1843" w:type="dxa"/>
          </w:tcPr>
          <w:p w14:paraId="6BCF62FB" w14:textId="77777777" w:rsidR="00B2038F" w:rsidRPr="00A21D7D" w:rsidRDefault="00B2038F" w:rsidP="00421D4B">
            <w:pPr>
              <w:pStyle w:val="TableTextBody"/>
              <w:jc w:val="right"/>
              <w:rPr>
                <w:i/>
                <w:color w:val="00B050"/>
              </w:rPr>
            </w:pPr>
            <w:r w:rsidRPr="00A21D7D">
              <w:t>4.5</w:t>
            </w:r>
          </w:p>
        </w:tc>
      </w:tr>
      <w:tr w:rsidR="00B2038F" w:rsidRPr="00A21D7D" w14:paraId="1A5BBBAF" w14:textId="77777777" w:rsidTr="00421D4B">
        <w:tc>
          <w:tcPr>
            <w:tcW w:w="4248" w:type="dxa"/>
          </w:tcPr>
          <w:p w14:paraId="5E202C8A" w14:textId="77777777" w:rsidR="00B2038F" w:rsidRPr="00A21D7D" w:rsidRDefault="00B2038F" w:rsidP="00421D4B">
            <w:pPr>
              <w:pStyle w:val="TableTextBody"/>
              <w:rPr>
                <w:i/>
              </w:rPr>
            </w:pPr>
            <w:r w:rsidRPr="00A21D7D">
              <w:t>Victimisation</w:t>
            </w:r>
          </w:p>
        </w:tc>
        <w:tc>
          <w:tcPr>
            <w:tcW w:w="1984" w:type="dxa"/>
          </w:tcPr>
          <w:p w14:paraId="135990CA" w14:textId="77777777" w:rsidR="00B2038F" w:rsidRPr="00A21D7D" w:rsidRDefault="00B2038F" w:rsidP="00421D4B">
            <w:pPr>
              <w:pStyle w:val="TableTextBody"/>
              <w:jc w:val="right"/>
              <w:rPr>
                <w:i/>
              </w:rPr>
            </w:pPr>
            <w:r w:rsidRPr="00A21D7D">
              <w:t>84</w:t>
            </w:r>
          </w:p>
        </w:tc>
        <w:tc>
          <w:tcPr>
            <w:tcW w:w="1843" w:type="dxa"/>
          </w:tcPr>
          <w:p w14:paraId="6E144303" w14:textId="77777777" w:rsidR="00B2038F" w:rsidRPr="00A21D7D" w:rsidRDefault="00B2038F" w:rsidP="00421D4B">
            <w:pPr>
              <w:pStyle w:val="TableTextBody"/>
              <w:jc w:val="right"/>
              <w:rPr>
                <w:i/>
              </w:rPr>
            </w:pPr>
            <w:r w:rsidRPr="00A21D7D">
              <w:t>9.9</w:t>
            </w:r>
          </w:p>
        </w:tc>
      </w:tr>
      <w:tr w:rsidR="00B2038F" w:rsidRPr="00A21D7D" w14:paraId="7E0495F8" w14:textId="77777777" w:rsidTr="00421D4B">
        <w:tc>
          <w:tcPr>
            <w:tcW w:w="4248" w:type="dxa"/>
          </w:tcPr>
          <w:p w14:paraId="4C3BEA23" w14:textId="77777777" w:rsidR="00B2038F" w:rsidRPr="00A21D7D" w:rsidRDefault="00B2038F" w:rsidP="00421D4B">
            <w:pPr>
              <w:pStyle w:val="TableTextBody"/>
              <w:rPr>
                <w:i/>
              </w:rPr>
            </w:pPr>
            <w:r w:rsidRPr="00A21D7D">
              <w:t>Whistle-blower reprisal</w:t>
            </w:r>
          </w:p>
        </w:tc>
        <w:tc>
          <w:tcPr>
            <w:tcW w:w="1984" w:type="dxa"/>
          </w:tcPr>
          <w:p w14:paraId="31921815" w14:textId="77777777" w:rsidR="00B2038F" w:rsidRPr="00A21D7D" w:rsidRDefault="00B2038F" w:rsidP="00421D4B">
            <w:pPr>
              <w:pStyle w:val="TableTextBody"/>
              <w:jc w:val="right"/>
              <w:rPr>
                <w:i/>
                <w:highlight w:val="yellow"/>
              </w:rPr>
            </w:pPr>
            <w:r w:rsidRPr="00A21D7D">
              <w:t>6</w:t>
            </w:r>
          </w:p>
        </w:tc>
        <w:tc>
          <w:tcPr>
            <w:tcW w:w="1843" w:type="dxa"/>
          </w:tcPr>
          <w:p w14:paraId="4CB2AF86" w14:textId="77777777" w:rsidR="00B2038F" w:rsidRPr="00A21D7D" w:rsidRDefault="00B2038F" w:rsidP="00421D4B">
            <w:pPr>
              <w:pStyle w:val="TableTextBody"/>
              <w:jc w:val="right"/>
              <w:rPr>
                <w:i/>
              </w:rPr>
            </w:pPr>
            <w:r w:rsidRPr="00A21D7D">
              <w:t>0.7</w:t>
            </w:r>
          </w:p>
        </w:tc>
      </w:tr>
      <w:tr w:rsidR="00B2038F" w:rsidRPr="00A21D7D" w14:paraId="3D0AA50F" w14:textId="77777777" w:rsidTr="00421D4B">
        <w:tc>
          <w:tcPr>
            <w:tcW w:w="4248" w:type="dxa"/>
          </w:tcPr>
          <w:p w14:paraId="10FA59AF" w14:textId="77777777" w:rsidR="00B2038F" w:rsidRPr="00A21D7D" w:rsidRDefault="00B2038F" w:rsidP="00421D4B">
            <w:pPr>
              <w:pStyle w:val="TableTextBody"/>
              <w:rPr>
                <w:i/>
              </w:rPr>
            </w:pPr>
            <w:r w:rsidRPr="00A21D7D">
              <w:t xml:space="preserve">Resident of regional community </w:t>
            </w:r>
          </w:p>
        </w:tc>
        <w:tc>
          <w:tcPr>
            <w:tcW w:w="1984" w:type="dxa"/>
          </w:tcPr>
          <w:p w14:paraId="6F4F5B86" w14:textId="77777777" w:rsidR="00B2038F" w:rsidRPr="00A21D7D" w:rsidRDefault="00B2038F" w:rsidP="00421D4B">
            <w:pPr>
              <w:pStyle w:val="TableTextBody"/>
              <w:jc w:val="right"/>
              <w:rPr>
                <w:i/>
              </w:rPr>
            </w:pPr>
            <w:r w:rsidRPr="00A21D7D">
              <w:rPr>
                <w:rFonts w:eastAsia="Times New Roman"/>
                <w:lang w:eastAsia="en-AU"/>
              </w:rPr>
              <w:t>—</w:t>
            </w:r>
          </w:p>
        </w:tc>
        <w:tc>
          <w:tcPr>
            <w:tcW w:w="1843" w:type="dxa"/>
          </w:tcPr>
          <w:p w14:paraId="5277126C" w14:textId="77777777" w:rsidR="00B2038F" w:rsidRPr="00A21D7D" w:rsidRDefault="00B2038F" w:rsidP="00421D4B">
            <w:pPr>
              <w:pStyle w:val="TableTextBody"/>
              <w:jc w:val="right"/>
              <w:rPr>
                <w:i/>
              </w:rPr>
            </w:pPr>
            <w:r w:rsidRPr="00A21D7D">
              <w:rPr>
                <w:rFonts w:eastAsia="Times New Roman"/>
                <w:lang w:eastAsia="en-AU"/>
              </w:rPr>
              <w:t>—</w:t>
            </w:r>
          </w:p>
        </w:tc>
      </w:tr>
      <w:tr w:rsidR="00B2038F" w:rsidRPr="00A21D7D" w14:paraId="21CCEEC5" w14:textId="77777777" w:rsidTr="00421D4B">
        <w:tc>
          <w:tcPr>
            <w:tcW w:w="4248" w:type="dxa"/>
          </w:tcPr>
          <w:p w14:paraId="5C6AF289" w14:textId="77777777" w:rsidR="00B2038F" w:rsidRPr="00A21D7D" w:rsidRDefault="00B2038F" w:rsidP="00421D4B">
            <w:pPr>
              <w:pStyle w:val="TableTextBody"/>
              <w:rPr>
                <w:b/>
                <w:i/>
                <w:highlight w:val="yellow"/>
              </w:rPr>
            </w:pPr>
            <w:r w:rsidRPr="00A21D7D">
              <w:rPr>
                <w:b/>
              </w:rPr>
              <w:t>Sub-total</w:t>
            </w:r>
            <w:r>
              <w:rPr>
                <w:b/>
              </w:rPr>
              <w:t xml:space="preserve"> other ADA</w:t>
            </w:r>
          </w:p>
        </w:tc>
        <w:tc>
          <w:tcPr>
            <w:tcW w:w="1984" w:type="dxa"/>
          </w:tcPr>
          <w:p w14:paraId="0DE7538E" w14:textId="77777777" w:rsidR="00B2038F" w:rsidRPr="00A21D7D" w:rsidRDefault="00B2038F" w:rsidP="00421D4B">
            <w:pPr>
              <w:pStyle w:val="TableTextBody"/>
              <w:jc w:val="right"/>
              <w:rPr>
                <w:b/>
                <w:i/>
                <w:highlight w:val="yellow"/>
              </w:rPr>
            </w:pPr>
            <w:r>
              <w:rPr>
                <w:b/>
              </w:rPr>
              <w:t>230</w:t>
            </w:r>
          </w:p>
        </w:tc>
        <w:tc>
          <w:tcPr>
            <w:tcW w:w="1843" w:type="dxa"/>
          </w:tcPr>
          <w:p w14:paraId="7E7D23A2" w14:textId="77777777" w:rsidR="00B2038F" w:rsidRPr="00A21D7D" w:rsidRDefault="00B2038F" w:rsidP="00421D4B">
            <w:pPr>
              <w:pStyle w:val="TableTextBody"/>
              <w:jc w:val="right"/>
              <w:rPr>
                <w:b/>
                <w:i/>
              </w:rPr>
            </w:pPr>
            <w:r>
              <w:rPr>
                <w:b/>
              </w:rPr>
              <w:t>27.2</w:t>
            </w:r>
          </w:p>
        </w:tc>
      </w:tr>
      <w:tr w:rsidR="00B2038F" w:rsidRPr="00A21D7D" w14:paraId="06C80B0F" w14:textId="77777777" w:rsidTr="00421D4B">
        <w:trPr>
          <w:trHeight w:val="45"/>
        </w:trPr>
        <w:tc>
          <w:tcPr>
            <w:tcW w:w="4248" w:type="dxa"/>
          </w:tcPr>
          <w:p w14:paraId="4DF0CB37" w14:textId="77777777" w:rsidR="00B2038F" w:rsidRPr="00A21D7D" w:rsidRDefault="00B2038F" w:rsidP="00421D4B">
            <w:pPr>
              <w:pStyle w:val="TableTextBody"/>
            </w:pPr>
            <w:r w:rsidRPr="00A21D7D">
              <w:t>Civil and political rights</w:t>
            </w:r>
          </w:p>
        </w:tc>
        <w:tc>
          <w:tcPr>
            <w:tcW w:w="1984" w:type="dxa"/>
          </w:tcPr>
          <w:p w14:paraId="29B0DA0B" w14:textId="77777777" w:rsidR="00B2038F" w:rsidRPr="00A21D7D" w:rsidRDefault="00B2038F" w:rsidP="00421D4B">
            <w:pPr>
              <w:pStyle w:val="TableTextBody"/>
              <w:jc w:val="right"/>
            </w:pPr>
            <w:r w:rsidRPr="00A21D7D">
              <w:t>29</w:t>
            </w:r>
          </w:p>
        </w:tc>
        <w:tc>
          <w:tcPr>
            <w:tcW w:w="1843" w:type="dxa"/>
          </w:tcPr>
          <w:p w14:paraId="00A9A267" w14:textId="77777777" w:rsidR="00B2038F" w:rsidRPr="00A21D7D" w:rsidRDefault="00B2038F" w:rsidP="00421D4B">
            <w:pPr>
              <w:pStyle w:val="TableTextBody"/>
              <w:jc w:val="right"/>
            </w:pPr>
            <w:r w:rsidRPr="00A21D7D">
              <w:t>3.4</w:t>
            </w:r>
          </w:p>
        </w:tc>
      </w:tr>
      <w:tr w:rsidR="00B2038F" w:rsidRPr="00A21D7D" w14:paraId="2B6FF7AE" w14:textId="77777777" w:rsidTr="00421D4B">
        <w:trPr>
          <w:trHeight w:val="45"/>
        </w:trPr>
        <w:tc>
          <w:tcPr>
            <w:tcW w:w="4248" w:type="dxa"/>
          </w:tcPr>
          <w:p w14:paraId="435CF66C" w14:textId="77777777" w:rsidR="00B2038F" w:rsidRPr="00A21D7D" w:rsidRDefault="00B2038F" w:rsidP="00421D4B">
            <w:pPr>
              <w:pStyle w:val="TableTextBody"/>
            </w:pPr>
            <w:r w:rsidRPr="00A21D7D">
              <w:t>Economic, social and cultural</w:t>
            </w:r>
          </w:p>
        </w:tc>
        <w:tc>
          <w:tcPr>
            <w:tcW w:w="1984" w:type="dxa"/>
          </w:tcPr>
          <w:p w14:paraId="60666683" w14:textId="77777777" w:rsidR="00B2038F" w:rsidRPr="00A21D7D" w:rsidRDefault="00B2038F" w:rsidP="00421D4B">
            <w:pPr>
              <w:pStyle w:val="TableTextBody"/>
              <w:jc w:val="right"/>
            </w:pPr>
            <w:r w:rsidRPr="00A21D7D">
              <w:t>8</w:t>
            </w:r>
          </w:p>
        </w:tc>
        <w:tc>
          <w:tcPr>
            <w:tcW w:w="1843" w:type="dxa"/>
          </w:tcPr>
          <w:p w14:paraId="53778681" w14:textId="77777777" w:rsidR="00B2038F" w:rsidRPr="00A21D7D" w:rsidRDefault="00B2038F" w:rsidP="00421D4B">
            <w:pPr>
              <w:pStyle w:val="TableTextBody"/>
              <w:jc w:val="right"/>
            </w:pPr>
            <w:r w:rsidRPr="00A21D7D">
              <w:t>0.9</w:t>
            </w:r>
          </w:p>
        </w:tc>
      </w:tr>
      <w:tr w:rsidR="00B2038F" w:rsidRPr="00A21D7D" w14:paraId="3B22D1F4" w14:textId="77777777" w:rsidTr="00421D4B">
        <w:trPr>
          <w:trHeight w:val="45"/>
        </w:trPr>
        <w:tc>
          <w:tcPr>
            <w:tcW w:w="4248" w:type="dxa"/>
          </w:tcPr>
          <w:p w14:paraId="017D8882" w14:textId="77777777" w:rsidR="00B2038F" w:rsidRPr="00A21D7D" w:rsidRDefault="00B2038F" w:rsidP="00421D4B">
            <w:pPr>
              <w:pStyle w:val="TableTextBody"/>
              <w:rPr>
                <w:b/>
              </w:rPr>
            </w:pPr>
            <w:r w:rsidRPr="00A21D7D">
              <w:rPr>
                <w:b/>
              </w:rPr>
              <w:t xml:space="preserve">Sub-total Human Rights </w:t>
            </w:r>
          </w:p>
        </w:tc>
        <w:tc>
          <w:tcPr>
            <w:tcW w:w="1984" w:type="dxa"/>
          </w:tcPr>
          <w:p w14:paraId="47EAA2D7" w14:textId="77777777" w:rsidR="00B2038F" w:rsidRPr="00A21D7D" w:rsidRDefault="00B2038F" w:rsidP="00421D4B">
            <w:pPr>
              <w:pStyle w:val="TableTextBody"/>
              <w:jc w:val="right"/>
              <w:rPr>
                <w:b/>
              </w:rPr>
            </w:pPr>
            <w:r w:rsidRPr="00A21D7D">
              <w:rPr>
                <w:b/>
              </w:rPr>
              <w:t>37</w:t>
            </w:r>
          </w:p>
        </w:tc>
        <w:tc>
          <w:tcPr>
            <w:tcW w:w="1843" w:type="dxa"/>
          </w:tcPr>
          <w:p w14:paraId="0F75F41E" w14:textId="77777777" w:rsidR="00B2038F" w:rsidRPr="00A21D7D" w:rsidRDefault="00B2038F" w:rsidP="00421D4B">
            <w:pPr>
              <w:pStyle w:val="TableTextBody"/>
              <w:jc w:val="right"/>
              <w:rPr>
                <w:b/>
              </w:rPr>
            </w:pPr>
            <w:r w:rsidRPr="00A21D7D">
              <w:rPr>
                <w:b/>
              </w:rPr>
              <w:t>4.3</w:t>
            </w:r>
          </w:p>
        </w:tc>
      </w:tr>
      <w:tr w:rsidR="00B2038F" w:rsidRPr="00A21D7D" w14:paraId="60F4504D" w14:textId="77777777" w:rsidTr="00421D4B">
        <w:trPr>
          <w:trHeight w:val="45"/>
        </w:trPr>
        <w:tc>
          <w:tcPr>
            <w:tcW w:w="4248" w:type="dxa"/>
          </w:tcPr>
          <w:p w14:paraId="41DD5A2D" w14:textId="77777777" w:rsidR="00B2038F" w:rsidRPr="00A21D7D" w:rsidRDefault="00B2038F" w:rsidP="00421D4B">
            <w:pPr>
              <w:pStyle w:val="TableTextBody"/>
              <w:rPr>
                <w:b/>
                <w:i/>
              </w:rPr>
            </w:pPr>
            <w:r w:rsidRPr="00A21D7D">
              <w:rPr>
                <w:b/>
              </w:rPr>
              <w:t>Total</w:t>
            </w:r>
          </w:p>
        </w:tc>
        <w:tc>
          <w:tcPr>
            <w:tcW w:w="1984" w:type="dxa"/>
          </w:tcPr>
          <w:p w14:paraId="63D956B3" w14:textId="77777777" w:rsidR="00B2038F" w:rsidRPr="00A21D7D" w:rsidRDefault="00B2038F" w:rsidP="00421D4B">
            <w:pPr>
              <w:pStyle w:val="TableTextBody"/>
              <w:jc w:val="right"/>
              <w:rPr>
                <w:b/>
                <w:i/>
              </w:rPr>
            </w:pPr>
            <w:r w:rsidRPr="00A21D7D">
              <w:rPr>
                <w:b/>
              </w:rPr>
              <w:t>846</w:t>
            </w:r>
          </w:p>
        </w:tc>
        <w:tc>
          <w:tcPr>
            <w:tcW w:w="1843" w:type="dxa"/>
          </w:tcPr>
          <w:p w14:paraId="23DFEF84" w14:textId="77777777" w:rsidR="00B2038F" w:rsidRPr="00A21D7D" w:rsidRDefault="00B2038F" w:rsidP="00421D4B">
            <w:pPr>
              <w:pStyle w:val="TableTextBody"/>
              <w:jc w:val="right"/>
              <w:rPr>
                <w:b/>
                <w:i/>
              </w:rPr>
            </w:pPr>
            <w:r w:rsidRPr="00A21D7D">
              <w:rPr>
                <w:b/>
              </w:rPr>
              <w:t>100%</w:t>
            </w:r>
          </w:p>
        </w:tc>
      </w:tr>
    </w:tbl>
    <w:p w14:paraId="10B22AE4" w14:textId="5727DA08" w:rsidR="00126449" w:rsidRPr="00A21D7D" w:rsidRDefault="00B2038F" w:rsidP="008123FE">
      <w:pPr>
        <w:spacing w:line="240" w:lineRule="auto"/>
        <w:rPr>
          <w:rFonts w:cs="Arial"/>
          <w:b/>
          <w:sz w:val="2"/>
          <w:szCs w:val="2"/>
          <w:lang w:eastAsia="en-AU"/>
        </w:rPr>
      </w:pPr>
      <w:r w:rsidRPr="003E19E6">
        <w:t xml:space="preserve"> </w:t>
      </w:r>
      <w:r w:rsidR="00126449" w:rsidRPr="00A21D7D">
        <w:rPr>
          <w:rFonts w:cs="Arial"/>
          <w:b/>
          <w:sz w:val="2"/>
          <w:szCs w:val="2"/>
          <w:lang w:eastAsia="en-AU"/>
        </w:rPr>
        <w:br w:type="textWrapping" w:clear="all"/>
      </w:r>
    </w:p>
    <w:p w14:paraId="1E24178A" w14:textId="6EBA895F" w:rsidR="00126449" w:rsidRDefault="00126449" w:rsidP="007B56F8">
      <w:pPr>
        <w:pStyle w:val="Note"/>
        <w:spacing w:before="0" w:after="0"/>
        <w:rPr>
          <w:lang w:eastAsia="en-AU"/>
        </w:rPr>
      </w:pPr>
      <w:r w:rsidRPr="00A21D7D">
        <w:rPr>
          <w:lang w:eastAsia="en-AU"/>
        </w:rPr>
        <w:t xml:space="preserve">Note: </w:t>
      </w:r>
      <w:r w:rsidRPr="008123FE">
        <w:t>Complaints</w:t>
      </w:r>
      <w:r w:rsidRPr="00A21D7D">
        <w:rPr>
          <w:lang w:eastAsia="en-AU"/>
        </w:rPr>
        <w:t xml:space="preserve"> may be accepted under more than one ground</w:t>
      </w:r>
      <w:r w:rsidR="007B56F8">
        <w:rPr>
          <w:lang w:eastAsia="en-AU"/>
        </w:rPr>
        <w:t xml:space="preserve">. </w:t>
      </w:r>
    </w:p>
    <w:p w14:paraId="0534E685" w14:textId="6FC67AD6" w:rsidR="007B56F8" w:rsidRPr="007B56F8" w:rsidRDefault="007B56F8" w:rsidP="007B56F8">
      <w:pPr>
        <w:pStyle w:val="Note"/>
        <w:spacing w:before="0" w:after="0"/>
        <w:rPr>
          <w:lang w:eastAsia="en-AU"/>
        </w:rPr>
      </w:pPr>
      <w:r>
        <w:rPr>
          <w:lang w:eastAsia="en-AU"/>
        </w:rPr>
        <w:t>Note: Percentages in this table have been rounded to the nearest decimal point.</w:t>
      </w:r>
    </w:p>
    <w:p w14:paraId="69A7D123" w14:textId="684B86E3" w:rsidR="00126449" w:rsidRDefault="00126449" w:rsidP="00126449">
      <w:pPr>
        <w:widowControl w:val="0"/>
        <w:spacing w:before="120" w:after="120" w:line="240" w:lineRule="auto"/>
        <w:rPr>
          <w:rFonts w:cs="Arial"/>
          <w:color w:val="FF0000"/>
          <w:lang w:eastAsia="en-AU"/>
        </w:rPr>
      </w:pPr>
      <w:r w:rsidRPr="00A21D7D">
        <w:rPr>
          <w:rFonts w:cs="Arial"/>
          <w:lang w:eastAsia="en-AU"/>
        </w:rPr>
        <w:lastRenderedPageBreak/>
        <w:t>The number and proportion of work-related complaints shows workplace fairness</w:t>
      </w:r>
      <w:r w:rsidR="00CC2FEA">
        <w:rPr>
          <w:rFonts w:cs="Arial"/>
          <w:lang w:eastAsia="en-AU"/>
        </w:rPr>
        <w:t xml:space="preserve"> continues to have a significant impact on people’s </w:t>
      </w:r>
      <w:r w:rsidR="00CC2FEA" w:rsidRPr="00CC2FEA">
        <w:rPr>
          <w:rFonts w:cs="Arial"/>
          <w:lang w:eastAsia="en-AU"/>
        </w:rPr>
        <w:t>lives</w:t>
      </w:r>
      <w:r w:rsidRPr="00CC2FEA">
        <w:rPr>
          <w:rFonts w:cs="Arial"/>
          <w:lang w:eastAsia="en-AU"/>
        </w:rPr>
        <w:t>.</w:t>
      </w:r>
      <w:r w:rsidR="00685D56" w:rsidRPr="00CC2FEA">
        <w:rPr>
          <w:rFonts w:cs="Arial"/>
          <w:lang w:eastAsia="en-AU"/>
        </w:rPr>
        <w:t xml:space="preserve"> </w:t>
      </w:r>
      <w:r w:rsidRPr="00A21D7D">
        <w:rPr>
          <w:rFonts w:cs="Arial"/>
          <w:lang w:eastAsia="en-AU"/>
        </w:rPr>
        <w:t>This is consistent with previous years.</w:t>
      </w:r>
      <w:r w:rsidRPr="00A21D7D">
        <w:rPr>
          <w:rFonts w:cs="Arial"/>
          <w:color w:val="FF0000"/>
          <w:lang w:eastAsia="en-AU"/>
        </w:rPr>
        <w:t xml:space="preserve"> </w:t>
      </w:r>
    </w:p>
    <w:p w14:paraId="3482A64E" w14:textId="60FA8C58" w:rsidR="008123FE" w:rsidRPr="00A21D7D" w:rsidRDefault="008123FE" w:rsidP="008123FE">
      <w:pPr>
        <w:pStyle w:val="Keystatistics"/>
        <w:rPr>
          <w:lang w:eastAsia="en-AU"/>
        </w:rPr>
      </w:pPr>
      <w:r>
        <w:rPr>
          <w:lang w:eastAsia="en-AU"/>
        </w:rPr>
        <w:t xml:space="preserve">In 2019-20, </w:t>
      </w:r>
      <w:r w:rsidRPr="008123FE">
        <w:rPr>
          <w:sz w:val="36"/>
          <w:szCs w:val="36"/>
          <w:lang w:eastAsia="en-AU"/>
        </w:rPr>
        <w:t>64%</w:t>
      </w:r>
      <w:r w:rsidRPr="00A21D7D">
        <w:rPr>
          <w:lang w:eastAsia="en-AU"/>
        </w:rPr>
        <w:t xml:space="preserve"> of complaints arose in the workplace or when seeking work.</w:t>
      </w:r>
    </w:p>
    <w:p w14:paraId="660F1AE8" w14:textId="25D58941" w:rsidR="00126449" w:rsidRPr="00A21D7D" w:rsidRDefault="00685D56" w:rsidP="00126449">
      <w:pPr>
        <w:spacing w:before="120" w:after="120" w:line="240" w:lineRule="auto"/>
        <w:rPr>
          <w:rFonts w:cs="Arial"/>
          <w:i/>
          <w:lang w:eastAsia="en-AU"/>
        </w:rPr>
      </w:pPr>
      <w:r>
        <w:rPr>
          <w:rFonts w:cs="Arial"/>
          <w:lang w:eastAsia="en-AU"/>
        </w:rPr>
        <w:t xml:space="preserve">This year </w:t>
      </w:r>
      <w:r w:rsidR="00126449" w:rsidRPr="00A21D7D">
        <w:rPr>
          <w:rFonts w:cs="Arial"/>
          <w:lang w:eastAsia="en-AU"/>
        </w:rPr>
        <w:t>13.6% of complaints arose in the area of the provision of goods and services, which includes access to public places and buildings.</w:t>
      </w:r>
    </w:p>
    <w:p w14:paraId="6C882566" w14:textId="3254A729" w:rsidR="00126449" w:rsidRPr="00A21D7D" w:rsidRDefault="00126449" w:rsidP="00126449">
      <w:pPr>
        <w:spacing w:before="120" w:after="120" w:line="240" w:lineRule="auto"/>
        <w:rPr>
          <w:rFonts w:cs="Arial"/>
          <w:i/>
          <w:lang w:eastAsia="en-AU"/>
        </w:rPr>
        <w:sectPr w:rsidR="00126449" w:rsidRPr="00A21D7D" w:rsidSect="00967396">
          <w:headerReference w:type="even" r:id="rId16"/>
          <w:headerReference w:type="default" r:id="rId17"/>
          <w:footerReference w:type="even" r:id="rId18"/>
          <w:footerReference w:type="default" r:id="rId19"/>
          <w:footerReference w:type="first" r:id="rId20"/>
          <w:pgSz w:w="11906" w:h="16838" w:code="9"/>
          <w:pgMar w:top="851" w:right="1077" w:bottom="902" w:left="1077" w:header="708" w:footer="425" w:gutter="0"/>
          <w:pgNumType w:start="0"/>
          <w:cols w:space="720"/>
          <w:titlePg/>
          <w:docGrid w:linePitch="360"/>
        </w:sectPr>
      </w:pPr>
      <w:r w:rsidRPr="00A21D7D">
        <w:rPr>
          <w:rFonts w:cs="Arial"/>
          <w:lang w:eastAsia="en-AU"/>
        </w:rPr>
        <w:t>The number of complaints in the area of accommodation was similar to last year with 48 complaints accepted representing 6.5% of complaints.</w:t>
      </w:r>
      <w:r w:rsidR="00B10E8B">
        <w:rPr>
          <w:rFonts w:cs="Arial"/>
          <w:lang w:eastAsia="en-AU"/>
        </w:rPr>
        <w:t xml:space="preserve"> </w:t>
      </w:r>
      <w:r w:rsidRPr="00A21D7D">
        <w:rPr>
          <w:rFonts w:cs="Arial"/>
          <w:lang w:eastAsia="en-AU"/>
        </w:rPr>
        <w:t xml:space="preserve"> These complaints generally represent concerns about the fairness of accommodation arrangements such as rental properties</w:t>
      </w:r>
      <w:r w:rsidR="00685D56">
        <w:rPr>
          <w:rFonts w:cs="Arial"/>
          <w:lang w:eastAsia="en-AU"/>
        </w:rPr>
        <w:t>. It</w:t>
      </w:r>
      <w:r w:rsidRPr="00A21D7D">
        <w:rPr>
          <w:rFonts w:cs="Arial"/>
          <w:lang w:eastAsia="en-AU"/>
        </w:rPr>
        <w:t xml:space="preserve"> can also include claims by resident-owners of units that body corporates have discriminated against them in their decision making.</w:t>
      </w:r>
      <w:r w:rsidR="00B10E8B">
        <w:rPr>
          <w:rFonts w:cs="Arial"/>
          <w:lang w:eastAsia="en-AU"/>
        </w:rPr>
        <w:t xml:space="preserve"> </w:t>
      </w:r>
    </w:p>
    <w:p w14:paraId="3E0FA235" w14:textId="509C3AFA" w:rsidR="00126449" w:rsidRPr="00BE6F07" w:rsidRDefault="00497E96" w:rsidP="00126449">
      <w:pPr>
        <w:pStyle w:val="Caption"/>
        <w:rPr>
          <w:rFonts w:cs="Arial"/>
          <w:color w:val="auto"/>
        </w:rPr>
      </w:pPr>
      <w:r w:rsidRPr="00BE6F07">
        <w:rPr>
          <w:rFonts w:cs="Arial"/>
          <w:color w:val="auto"/>
        </w:rPr>
        <w:lastRenderedPageBreak/>
        <w:t>Table 7</w:t>
      </w:r>
      <w:r w:rsidR="00126449" w:rsidRPr="00BE6F07">
        <w:rPr>
          <w:rFonts w:cs="Arial"/>
          <w:color w:val="auto"/>
        </w:rPr>
        <w:t>: State-wide accepted Anti-Discrimination Act complaints by area</w:t>
      </w:r>
    </w:p>
    <w:tbl>
      <w:tblPr>
        <w:tblW w:w="1473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1E0" w:firstRow="1" w:lastRow="1" w:firstColumn="1" w:lastColumn="1" w:noHBand="0" w:noVBand="0"/>
      </w:tblPr>
      <w:tblGrid>
        <w:gridCol w:w="1696"/>
        <w:gridCol w:w="1701"/>
        <w:gridCol w:w="1701"/>
        <w:gridCol w:w="1276"/>
        <w:gridCol w:w="1418"/>
        <w:gridCol w:w="1559"/>
        <w:gridCol w:w="1559"/>
        <w:gridCol w:w="1276"/>
        <w:gridCol w:w="992"/>
        <w:gridCol w:w="709"/>
        <w:gridCol w:w="850"/>
      </w:tblGrid>
      <w:tr w:rsidR="00126449" w:rsidRPr="00A244E6" w14:paraId="4A872590" w14:textId="77777777" w:rsidTr="003375AE">
        <w:trPr>
          <w:trHeight w:val="420"/>
        </w:trPr>
        <w:tc>
          <w:tcPr>
            <w:tcW w:w="1696" w:type="dxa"/>
            <w:vMerge w:val="restart"/>
          </w:tcPr>
          <w:p w14:paraId="78CE914F" w14:textId="77777777" w:rsidR="00126449" w:rsidRPr="00A244E6" w:rsidRDefault="00126449" w:rsidP="00B30B99">
            <w:pPr>
              <w:pStyle w:val="TableTextHeading"/>
              <w:rPr>
                <w:lang w:eastAsia="en-AU"/>
              </w:rPr>
            </w:pPr>
          </w:p>
        </w:tc>
        <w:tc>
          <w:tcPr>
            <w:tcW w:w="1701" w:type="dxa"/>
            <w:vMerge w:val="restart"/>
          </w:tcPr>
          <w:p w14:paraId="27A97D89" w14:textId="77777777" w:rsidR="00126449" w:rsidRPr="00A244E6" w:rsidRDefault="00126449" w:rsidP="00B30B99">
            <w:pPr>
              <w:pStyle w:val="TableTextHeading"/>
              <w:rPr>
                <w:bCs/>
                <w:lang w:eastAsia="en-AU"/>
              </w:rPr>
            </w:pPr>
            <w:r w:rsidRPr="00A244E6">
              <w:rPr>
                <w:bCs/>
                <w:lang w:eastAsia="en-AU"/>
              </w:rPr>
              <w:t>Discrimination</w:t>
            </w:r>
          </w:p>
        </w:tc>
        <w:tc>
          <w:tcPr>
            <w:tcW w:w="1701" w:type="dxa"/>
            <w:vMerge w:val="restart"/>
          </w:tcPr>
          <w:p w14:paraId="2C41B1BC" w14:textId="77777777" w:rsidR="00126449" w:rsidRPr="00A244E6" w:rsidRDefault="00126449" w:rsidP="00B30B99">
            <w:pPr>
              <w:pStyle w:val="TableTextHeading"/>
              <w:rPr>
                <w:bCs/>
                <w:lang w:eastAsia="en-AU"/>
              </w:rPr>
            </w:pPr>
            <w:r w:rsidRPr="00A244E6">
              <w:rPr>
                <w:bCs/>
                <w:lang w:eastAsia="en-AU"/>
              </w:rPr>
              <w:t>Discriminatory advertising</w:t>
            </w:r>
          </w:p>
        </w:tc>
        <w:tc>
          <w:tcPr>
            <w:tcW w:w="1276" w:type="dxa"/>
            <w:vMerge w:val="restart"/>
          </w:tcPr>
          <w:p w14:paraId="6F4C3F47" w14:textId="77777777" w:rsidR="00126449" w:rsidRPr="00A244E6" w:rsidRDefault="00126449" w:rsidP="00B30B99">
            <w:pPr>
              <w:pStyle w:val="TableTextHeading"/>
              <w:rPr>
                <w:bCs/>
                <w:lang w:eastAsia="en-AU"/>
              </w:rPr>
            </w:pPr>
            <w:r w:rsidRPr="00A244E6">
              <w:rPr>
                <w:bCs/>
                <w:lang w:eastAsia="en-AU"/>
              </w:rPr>
              <w:t>Request or encourage a breach</w:t>
            </w:r>
          </w:p>
        </w:tc>
        <w:tc>
          <w:tcPr>
            <w:tcW w:w="1418" w:type="dxa"/>
            <w:vMerge w:val="restart"/>
          </w:tcPr>
          <w:p w14:paraId="5B2479A8" w14:textId="77777777" w:rsidR="00126449" w:rsidRPr="00A244E6" w:rsidRDefault="00126449" w:rsidP="00B30B99">
            <w:pPr>
              <w:pStyle w:val="TableTextHeading"/>
              <w:rPr>
                <w:bCs/>
                <w:lang w:eastAsia="en-AU"/>
              </w:rPr>
            </w:pPr>
            <w:r w:rsidRPr="00A244E6">
              <w:rPr>
                <w:bCs/>
                <w:lang w:eastAsia="en-AU"/>
              </w:rPr>
              <w:t>Sexual harassment</w:t>
            </w:r>
          </w:p>
        </w:tc>
        <w:tc>
          <w:tcPr>
            <w:tcW w:w="1559" w:type="dxa"/>
            <w:vMerge w:val="restart"/>
          </w:tcPr>
          <w:p w14:paraId="215C0D68" w14:textId="77777777" w:rsidR="00126449" w:rsidRPr="00A244E6" w:rsidRDefault="00126449" w:rsidP="00B30B99">
            <w:pPr>
              <w:pStyle w:val="TableTextHeading"/>
              <w:rPr>
                <w:bCs/>
                <w:lang w:eastAsia="en-AU"/>
              </w:rPr>
            </w:pPr>
            <w:r w:rsidRPr="00A244E6">
              <w:rPr>
                <w:bCs/>
                <w:lang w:eastAsia="en-AU"/>
              </w:rPr>
              <w:t>Unnecessary questions</w:t>
            </w:r>
          </w:p>
        </w:tc>
        <w:tc>
          <w:tcPr>
            <w:tcW w:w="1559" w:type="dxa"/>
            <w:vMerge w:val="restart"/>
          </w:tcPr>
          <w:p w14:paraId="637B0D6B" w14:textId="77777777" w:rsidR="00126449" w:rsidRPr="00A244E6" w:rsidRDefault="00126449" w:rsidP="00B30B99">
            <w:pPr>
              <w:pStyle w:val="TableTextHeading"/>
              <w:rPr>
                <w:bCs/>
                <w:lang w:eastAsia="en-AU"/>
              </w:rPr>
            </w:pPr>
            <w:r w:rsidRPr="00A244E6">
              <w:rPr>
                <w:bCs/>
                <w:lang w:eastAsia="en-AU"/>
              </w:rPr>
              <w:t>Victimisation</w:t>
            </w:r>
          </w:p>
        </w:tc>
        <w:tc>
          <w:tcPr>
            <w:tcW w:w="1276" w:type="dxa"/>
            <w:vMerge w:val="restart"/>
          </w:tcPr>
          <w:p w14:paraId="02BEBC62" w14:textId="77777777" w:rsidR="00126449" w:rsidRPr="00A244E6" w:rsidRDefault="00126449" w:rsidP="00B30B99">
            <w:pPr>
              <w:pStyle w:val="TableTextHeading"/>
              <w:rPr>
                <w:bCs/>
                <w:lang w:eastAsia="en-AU"/>
              </w:rPr>
            </w:pPr>
            <w:r w:rsidRPr="00A244E6">
              <w:rPr>
                <w:bCs/>
                <w:lang w:eastAsia="en-AU"/>
              </w:rPr>
              <w:t>Vilification</w:t>
            </w:r>
          </w:p>
        </w:tc>
        <w:tc>
          <w:tcPr>
            <w:tcW w:w="992" w:type="dxa"/>
            <w:vMerge w:val="restart"/>
          </w:tcPr>
          <w:p w14:paraId="6A4DAE67" w14:textId="77777777" w:rsidR="00126449" w:rsidRPr="00A244E6" w:rsidRDefault="00126449" w:rsidP="00B30B99">
            <w:pPr>
              <w:pStyle w:val="TableTextHeading"/>
              <w:rPr>
                <w:bCs/>
                <w:lang w:eastAsia="en-AU"/>
              </w:rPr>
            </w:pPr>
            <w:r w:rsidRPr="00A244E6">
              <w:rPr>
                <w:bCs/>
                <w:lang w:eastAsia="en-AU"/>
              </w:rPr>
              <w:t>Whistle-blower reprisal</w:t>
            </w:r>
          </w:p>
        </w:tc>
        <w:tc>
          <w:tcPr>
            <w:tcW w:w="1559" w:type="dxa"/>
            <w:gridSpan w:val="2"/>
          </w:tcPr>
          <w:p w14:paraId="4128851B" w14:textId="77777777" w:rsidR="00126449" w:rsidRPr="00A244E6" w:rsidRDefault="00126449" w:rsidP="00B30B99">
            <w:pPr>
              <w:pStyle w:val="TableTextHeading"/>
              <w:rPr>
                <w:bCs/>
                <w:lang w:eastAsia="en-AU"/>
              </w:rPr>
            </w:pPr>
            <w:r w:rsidRPr="00A244E6">
              <w:rPr>
                <w:bCs/>
                <w:lang w:eastAsia="en-AU"/>
              </w:rPr>
              <w:t>Total</w:t>
            </w:r>
          </w:p>
        </w:tc>
      </w:tr>
      <w:tr w:rsidR="00126449" w:rsidRPr="00A244E6" w14:paraId="5AA43791" w14:textId="77777777" w:rsidTr="003375AE">
        <w:trPr>
          <w:trHeight w:val="291"/>
        </w:trPr>
        <w:tc>
          <w:tcPr>
            <w:tcW w:w="1696" w:type="dxa"/>
            <w:vMerge/>
          </w:tcPr>
          <w:p w14:paraId="3DB8ED77" w14:textId="77777777" w:rsidR="00126449" w:rsidRPr="00A244E6" w:rsidRDefault="00126449" w:rsidP="00967396">
            <w:pPr>
              <w:spacing w:before="40" w:after="40"/>
              <w:jc w:val="center"/>
              <w:rPr>
                <w:rFonts w:cs="Arial"/>
                <w:i/>
                <w:color w:val="FF0000"/>
                <w:sz w:val="20"/>
                <w:szCs w:val="20"/>
                <w:lang w:eastAsia="en-AU"/>
              </w:rPr>
            </w:pPr>
          </w:p>
        </w:tc>
        <w:tc>
          <w:tcPr>
            <w:tcW w:w="1701" w:type="dxa"/>
            <w:vMerge/>
          </w:tcPr>
          <w:p w14:paraId="7A7AB423" w14:textId="77777777" w:rsidR="00126449" w:rsidRPr="00A244E6" w:rsidRDefault="00126449" w:rsidP="00967396">
            <w:pPr>
              <w:keepNext/>
              <w:keepLines/>
              <w:tabs>
                <w:tab w:val="left" w:pos="2340"/>
              </w:tabs>
              <w:spacing w:before="40" w:after="40"/>
              <w:jc w:val="center"/>
              <w:rPr>
                <w:rFonts w:cs="Arial"/>
                <w:b/>
                <w:bCs/>
                <w:i/>
                <w:sz w:val="20"/>
                <w:szCs w:val="20"/>
                <w:lang w:eastAsia="en-AU"/>
              </w:rPr>
            </w:pPr>
          </w:p>
        </w:tc>
        <w:tc>
          <w:tcPr>
            <w:tcW w:w="1701" w:type="dxa"/>
            <w:vMerge/>
          </w:tcPr>
          <w:p w14:paraId="505D8E9C" w14:textId="77777777" w:rsidR="00126449" w:rsidRPr="00A244E6" w:rsidRDefault="00126449" w:rsidP="00967396">
            <w:pPr>
              <w:keepNext/>
              <w:keepLines/>
              <w:tabs>
                <w:tab w:val="left" w:pos="2340"/>
              </w:tabs>
              <w:spacing w:before="40" w:after="40"/>
              <w:jc w:val="center"/>
              <w:rPr>
                <w:rFonts w:cs="Arial"/>
                <w:b/>
                <w:bCs/>
                <w:i/>
                <w:sz w:val="20"/>
                <w:szCs w:val="20"/>
                <w:highlight w:val="yellow"/>
                <w:lang w:eastAsia="en-AU"/>
              </w:rPr>
            </w:pPr>
          </w:p>
        </w:tc>
        <w:tc>
          <w:tcPr>
            <w:tcW w:w="1276" w:type="dxa"/>
            <w:vMerge/>
          </w:tcPr>
          <w:p w14:paraId="3034E617" w14:textId="77777777" w:rsidR="00126449" w:rsidRPr="00A244E6" w:rsidRDefault="00126449" w:rsidP="00967396">
            <w:pPr>
              <w:keepNext/>
              <w:keepLines/>
              <w:tabs>
                <w:tab w:val="left" w:pos="2340"/>
              </w:tabs>
              <w:spacing w:before="40" w:after="40"/>
              <w:jc w:val="center"/>
              <w:rPr>
                <w:rFonts w:cs="Arial"/>
                <w:b/>
                <w:bCs/>
                <w:i/>
                <w:sz w:val="20"/>
                <w:szCs w:val="20"/>
                <w:highlight w:val="yellow"/>
                <w:lang w:eastAsia="en-AU"/>
              </w:rPr>
            </w:pPr>
          </w:p>
        </w:tc>
        <w:tc>
          <w:tcPr>
            <w:tcW w:w="1418" w:type="dxa"/>
            <w:vMerge/>
          </w:tcPr>
          <w:p w14:paraId="786BDE03" w14:textId="77777777" w:rsidR="00126449" w:rsidRPr="00A244E6" w:rsidRDefault="00126449" w:rsidP="00967396">
            <w:pPr>
              <w:keepNext/>
              <w:keepLines/>
              <w:tabs>
                <w:tab w:val="left" w:pos="2340"/>
              </w:tabs>
              <w:spacing w:before="40" w:after="40"/>
              <w:jc w:val="center"/>
              <w:rPr>
                <w:rFonts w:cs="Arial"/>
                <w:b/>
                <w:bCs/>
                <w:i/>
                <w:sz w:val="20"/>
                <w:szCs w:val="20"/>
                <w:highlight w:val="yellow"/>
                <w:lang w:eastAsia="en-AU"/>
              </w:rPr>
            </w:pPr>
          </w:p>
        </w:tc>
        <w:tc>
          <w:tcPr>
            <w:tcW w:w="1559" w:type="dxa"/>
            <w:vMerge/>
          </w:tcPr>
          <w:p w14:paraId="5D311B3D" w14:textId="77777777" w:rsidR="00126449" w:rsidRPr="00A244E6" w:rsidRDefault="00126449" w:rsidP="00967396">
            <w:pPr>
              <w:keepNext/>
              <w:keepLines/>
              <w:tabs>
                <w:tab w:val="left" w:pos="2340"/>
              </w:tabs>
              <w:spacing w:before="40" w:after="40"/>
              <w:jc w:val="center"/>
              <w:rPr>
                <w:rFonts w:cs="Arial"/>
                <w:b/>
                <w:bCs/>
                <w:i/>
                <w:sz w:val="20"/>
                <w:szCs w:val="20"/>
                <w:highlight w:val="yellow"/>
                <w:lang w:eastAsia="en-AU"/>
              </w:rPr>
            </w:pPr>
          </w:p>
        </w:tc>
        <w:tc>
          <w:tcPr>
            <w:tcW w:w="1559" w:type="dxa"/>
            <w:vMerge/>
          </w:tcPr>
          <w:p w14:paraId="3FEEE0A1" w14:textId="77777777" w:rsidR="00126449" w:rsidRPr="00A244E6" w:rsidRDefault="00126449" w:rsidP="00967396">
            <w:pPr>
              <w:keepNext/>
              <w:keepLines/>
              <w:tabs>
                <w:tab w:val="left" w:pos="2340"/>
              </w:tabs>
              <w:spacing w:before="40" w:after="40"/>
              <w:jc w:val="center"/>
              <w:rPr>
                <w:rFonts w:cs="Arial"/>
                <w:b/>
                <w:bCs/>
                <w:i/>
                <w:sz w:val="20"/>
                <w:szCs w:val="20"/>
                <w:lang w:eastAsia="en-AU"/>
              </w:rPr>
            </w:pPr>
          </w:p>
        </w:tc>
        <w:tc>
          <w:tcPr>
            <w:tcW w:w="1276" w:type="dxa"/>
            <w:vMerge/>
          </w:tcPr>
          <w:p w14:paraId="4A2C68CA" w14:textId="77777777" w:rsidR="00126449" w:rsidRPr="00A244E6" w:rsidRDefault="00126449" w:rsidP="00967396">
            <w:pPr>
              <w:keepNext/>
              <w:keepLines/>
              <w:tabs>
                <w:tab w:val="left" w:pos="2340"/>
              </w:tabs>
              <w:spacing w:before="40" w:after="40"/>
              <w:jc w:val="center"/>
              <w:rPr>
                <w:rFonts w:cs="Arial"/>
                <w:b/>
                <w:bCs/>
                <w:i/>
                <w:sz w:val="20"/>
                <w:szCs w:val="20"/>
                <w:lang w:eastAsia="en-AU"/>
              </w:rPr>
            </w:pPr>
          </w:p>
        </w:tc>
        <w:tc>
          <w:tcPr>
            <w:tcW w:w="992" w:type="dxa"/>
            <w:vMerge/>
          </w:tcPr>
          <w:p w14:paraId="24BCE13B" w14:textId="77777777" w:rsidR="00126449" w:rsidRPr="00A244E6" w:rsidRDefault="00126449" w:rsidP="00967396">
            <w:pPr>
              <w:keepNext/>
              <w:keepLines/>
              <w:tabs>
                <w:tab w:val="left" w:pos="2340"/>
              </w:tabs>
              <w:spacing w:before="40" w:after="40"/>
              <w:jc w:val="center"/>
              <w:rPr>
                <w:rFonts w:cs="Arial"/>
                <w:b/>
                <w:bCs/>
                <w:i/>
                <w:sz w:val="20"/>
                <w:szCs w:val="20"/>
                <w:lang w:eastAsia="en-AU"/>
              </w:rPr>
            </w:pPr>
          </w:p>
        </w:tc>
        <w:tc>
          <w:tcPr>
            <w:tcW w:w="709" w:type="dxa"/>
          </w:tcPr>
          <w:p w14:paraId="7D1951B9" w14:textId="77777777" w:rsidR="00126449" w:rsidRPr="00A244E6" w:rsidRDefault="00126449" w:rsidP="00967396">
            <w:pPr>
              <w:keepNext/>
              <w:keepLines/>
              <w:tabs>
                <w:tab w:val="left" w:pos="2340"/>
              </w:tabs>
              <w:spacing w:before="40" w:after="40"/>
              <w:jc w:val="center"/>
              <w:rPr>
                <w:rFonts w:cs="Arial"/>
                <w:b/>
                <w:bCs/>
                <w:i/>
                <w:sz w:val="20"/>
                <w:szCs w:val="20"/>
                <w:lang w:eastAsia="en-AU"/>
              </w:rPr>
            </w:pPr>
            <w:r w:rsidRPr="00A244E6">
              <w:rPr>
                <w:rFonts w:cs="Arial"/>
                <w:b/>
                <w:bCs/>
                <w:sz w:val="20"/>
                <w:szCs w:val="20"/>
                <w:lang w:eastAsia="en-AU"/>
              </w:rPr>
              <w:t>#</w:t>
            </w:r>
          </w:p>
        </w:tc>
        <w:tc>
          <w:tcPr>
            <w:tcW w:w="850" w:type="dxa"/>
          </w:tcPr>
          <w:p w14:paraId="4F611660" w14:textId="77777777" w:rsidR="00126449" w:rsidRPr="00A244E6" w:rsidRDefault="00126449" w:rsidP="00967396">
            <w:pPr>
              <w:keepNext/>
              <w:keepLines/>
              <w:tabs>
                <w:tab w:val="left" w:pos="2340"/>
              </w:tabs>
              <w:spacing w:before="40" w:after="40"/>
              <w:jc w:val="center"/>
              <w:rPr>
                <w:rFonts w:cs="Arial"/>
                <w:b/>
                <w:bCs/>
                <w:i/>
                <w:sz w:val="20"/>
                <w:szCs w:val="20"/>
                <w:lang w:eastAsia="en-AU"/>
              </w:rPr>
            </w:pPr>
            <w:r w:rsidRPr="00A244E6">
              <w:rPr>
                <w:rFonts w:cs="Arial"/>
                <w:b/>
                <w:bCs/>
                <w:sz w:val="20"/>
                <w:szCs w:val="20"/>
                <w:lang w:eastAsia="en-AU"/>
              </w:rPr>
              <w:t>%</w:t>
            </w:r>
          </w:p>
        </w:tc>
      </w:tr>
      <w:tr w:rsidR="00126449" w:rsidRPr="00A244E6" w14:paraId="4C651821" w14:textId="77777777" w:rsidTr="003375AE">
        <w:tc>
          <w:tcPr>
            <w:tcW w:w="1696" w:type="dxa"/>
          </w:tcPr>
          <w:p w14:paraId="68F49595" w14:textId="77777777" w:rsidR="00126449" w:rsidRPr="00A244E6" w:rsidRDefault="00126449" w:rsidP="00B30B99">
            <w:pPr>
              <w:pStyle w:val="TableTextBody"/>
              <w:rPr>
                <w:i/>
                <w:lang w:eastAsia="en-AU"/>
              </w:rPr>
            </w:pPr>
            <w:r w:rsidRPr="00A244E6">
              <w:rPr>
                <w:lang w:eastAsia="en-AU"/>
              </w:rPr>
              <w:t>Accommodation</w:t>
            </w:r>
          </w:p>
        </w:tc>
        <w:tc>
          <w:tcPr>
            <w:tcW w:w="1701" w:type="dxa"/>
          </w:tcPr>
          <w:p w14:paraId="0A1B6227" w14:textId="7BB7C6A3" w:rsidR="00126449" w:rsidRPr="00A244E6" w:rsidRDefault="00126449" w:rsidP="00B30B99">
            <w:pPr>
              <w:pStyle w:val="TableTextBody"/>
              <w:jc w:val="right"/>
              <w:rPr>
                <w:i/>
                <w:lang w:eastAsia="en-AU"/>
              </w:rPr>
            </w:pPr>
            <w:r w:rsidRPr="00A244E6">
              <w:rPr>
                <w:lang w:eastAsia="en-AU"/>
              </w:rPr>
              <w:t>36</w:t>
            </w:r>
            <w:r w:rsidR="00B10E8B" w:rsidRPr="00A244E6">
              <w:rPr>
                <w:lang w:eastAsia="en-AU"/>
              </w:rPr>
              <w:t xml:space="preserve"> </w:t>
            </w:r>
          </w:p>
        </w:tc>
        <w:tc>
          <w:tcPr>
            <w:tcW w:w="1701" w:type="dxa"/>
          </w:tcPr>
          <w:p w14:paraId="579130A8"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276" w:type="dxa"/>
          </w:tcPr>
          <w:p w14:paraId="78048999"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418" w:type="dxa"/>
          </w:tcPr>
          <w:p w14:paraId="611FBA5A" w14:textId="10AC6600"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2</w:t>
            </w:r>
          </w:p>
        </w:tc>
        <w:tc>
          <w:tcPr>
            <w:tcW w:w="1559" w:type="dxa"/>
          </w:tcPr>
          <w:p w14:paraId="193CEDA2" w14:textId="4AE6CC42"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3</w:t>
            </w:r>
          </w:p>
        </w:tc>
        <w:tc>
          <w:tcPr>
            <w:tcW w:w="1559" w:type="dxa"/>
          </w:tcPr>
          <w:p w14:paraId="517518A5" w14:textId="5DB55C2F"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4</w:t>
            </w:r>
            <w:r w:rsidRPr="00A244E6">
              <w:rPr>
                <w:lang w:eastAsia="en-AU"/>
              </w:rPr>
              <w:t xml:space="preserve"> </w:t>
            </w:r>
          </w:p>
        </w:tc>
        <w:tc>
          <w:tcPr>
            <w:tcW w:w="1276" w:type="dxa"/>
          </w:tcPr>
          <w:p w14:paraId="143F6602" w14:textId="02F1A2E8"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3</w:t>
            </w:r>
          </w:p>
        </w:tc>
        <w:tc>
          <w:tcPr>
            <w:tcW w:w="992" w:type="dxa"/>
          </w:tcPr>
          <w:p w14:paraId="5F391C10"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709" w:type="dxa"/>
          </w:tcPr>
          <w:p w14:paraId="2CF67AA3" w14:textId="77777777" w:rsidR="00126449" w:rsidRPr="00A244E6" w:rsidRDefault="00126449" w:rsidP="00B30B99">
            <w:pPr>
              <w:pStyle w:val="TableTextBody"/>
              <w:jc w:val="right"/>
              <w:rPr>
                <w:i/>
                <w:lang w:eastAsia="en-AU"/>
              </w:rPr>
            </w:pPr>
            <w:r w:rsidRPr="00A244E6">
              <w:rPr>
                <w:lang w:eastAsia="en-AU"/>
              </w:rPr>
              <w:t>48</w:t>
            </w:r>
          </w:p>
        </w:tc>
        <w:tc>
          <w:tcPr>
            <w:tcW w:w="850" w:type="dxa"/>
          </w:tcPr>
          <w:p w14:paraId="06CB9D7A" w14:textId="77777777" w:rsidR="00126449" w:rsidRPr="00A244E6" w:rsidRDefault="00126449" w:rsidP="00B30B99">
            <w:pPr>
              <w:pStyle w:val="TableTextBody"/>
              <w:jc w:val="right"/>
              <w:rPr>
                <w:i/>
                <w:lang w:eastAsia="en-AU"/>
              </w:rPr>
            </w:pPr>
            <w:r w:rsidRPr="00A244E6">
              <w:rPr>
                <w:lang w:eastAsia="en-AU"/>
              </w:rPr>
              <w:t>6.5</w:t>
            </w:r>
          </w:p>
        </w:tc>
      </w:tr>
      <w:tr w:rsidR="00126449" w:rsidRPr="00A244E6" w14:paraId="012CBDA3" w14:textId="77777777" w:rsidTr="003375AE">
        <w:tc>
          <w:tcPr>
            <w:tcW w:w="1696" w:type="dxa"/>
          </w:tcPr>
          <w:p w14:paraId="5D5B766A" w14:textId="77777777" w:rsidR="00126449" w:rsidRPr="00A244E6" w:rsidRDefault="00126449" w:rsidP="00B30B99">
            <w:pPr>
              <w:pStyle w:val="TableTextBody"/>
              <w:rPr>
                <w:i/>
                <w:lang w:eastAsia="en-AU"/>
              </w:rPr>
            </w:pPr>
            <w:r w:rsidRPr="00A244E6">
              <w:rPr>
                <w:lang w:eastAsia="en-AU"/>
              </w:rPr>
              <w:t>State laws and programs</w:t>
            </w:r>
          </w:p>
        </w:tc>
        <w:tc>
          <w:tcPr>
            <w:tcW w:w="1701" w:type="dxa"/>
          </w:tcPr>
          <w:p w14:paraId="18DAA4D7" w14:textId="77777777" w:rsidR="00126449" w:rsidRPr="00A244E6" w:rsidRDefault="00126449" w:rsidP="00B30B99">
            <w:pPr>
              <w:pStyle w:val="TableTextBody"/>
              <w:jc w:val="right"/>
              <w:rPr>
                <w:i/>
                <w:lang w:eastAsia="en-AU"/>
              </w:rPr>
            </w:pPr>
            <w:r w:rsidRPr="00A244E6">
              <w:rPr>
                <w:lang w:eastAsia="en-AU"/>
              </w:rPr>
              <w:t xml:space="preserve">31 </w:t>
            </w:r>
          </w:p>
        </w:tc>
        <w:tc>
          <w:tcPr>
            <w:tcW w:w="1701" w:type="dxa"/>
          </w:tcPr>
          <w:p w14:paraId="16F287E7"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276" w:type="dxa"/>
          </w:tcPr>
          <w:p w14:paraId="71545A71"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418" w:type="dxa"/>
          </w:tcPr>
          <w:p w14:paraId="4C1EA3BA" w14:textId="18B7D8EA"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1</w:t>
            </w:r>
          </w:p>
        </w:tc>
        <w:tc>
          <w:tcPr>
            <w:tcW w:w="1559" w:type="dxa"/>
          </w:tcPr>
          <w:p w14:paraId="4E7BE804" w14:textId="04876E52" w:rsidR="00126449" w:rsidRPr="00A244E6" w:rsidRDefault="00CA1B0C" w:rsidP="00B30B99">
            <w:pPr>
              <w:pStyle w:val="TableTextBody"/>
              <w:jc w:val="right"/>
              <w:rPr>
                <w:i/>
                <w:lang w:eastAsia="en-AU"/>
              </w:rPr>
            </w:pPr>
            <w:r w:rsidRPr="00A244E6">
              <w:rPr>
                <w:rFonts w:eastAsia="Times New Roman"/>
                <w:lang w:eastAsia="en-AU"/>
              </w:rPr>
              <w:t>—</w:t>
            </w:r>
          </w:p>
        </w:tc>
        <w:tc>
          <w:tcPr>
            <w:tcW w:w="1559" w:type="dxa"/>
          </w:tcPr>
          <w:p w14:paraId="0280CC4E" w14:textId="5D92B48B"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2</w:t>
            </w:r>
          </w:p>
        </w:tc>
        <w:tc>
          <w:tcPr>
            <w:tcW w:w="1276" w:type="dxa"/>
          </w:tcPr>
          <w:p w14:paraId="222A8090" w14:textId="77777777" w:rsidR="00126449" w:rsidRPr="00A244E6" w:rsidRDefault="00126449" w:rsidP="00B30B99">
            <w:pPr>
              <w:pStyle w:val="TableTextBody"/>
              <w:jc w:val="right"/>
              <w:rPr>
                <w:i/>
                <w:lang w:eastAsia="en-AU"/>
              </w:rPr>
            </w:pPr>
            <w:r w:rsidRPr="00A244E6">
              <w:rPr>
                <w:lang w:eastAsia="en-AU"/>
              </w:rPr>
              <w:t xml:space="preserve"> 2</w:t>
            </w:r>
          </w:p>
        </w:tc>
        <w:tc>
          <w:tcPr>
            <w:tcW w:w="992" w:type="dxa"/>
          </w:tcPr>
          <w:p w14:paraId="5392DEF1"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709" w:type="dxa"/>
          </w:tcPr>
          <w:p w14:paraId="447FB119" w14:textId="77777777" w:rsidR="00126449" w:rsidRPr="00A244E6" w:rsidRDefault="00126449" w:rsidP="00B30B99">
            <w:pPr>
              <w:pStyle w:val="TableTextBody"/>
              <w:jc w:val="right"/>
              <w:rPr>
                <w:i/>
                <w:lang w:eastAsia="en-AU"/>
              </w:rPr>
            </w:pPr>
            <w:r w:rsidRPr="00A244E6">
              <w:rPr>
                <w:lang w:eastAsia="en-AU"/>
              </w:rPr>
              <w:t>36</w:t>
            </w:r>
          </w:p>
        </w:tc>
        <w:tc>
          <w:tcPr>
            <w:tcW w:w="850" w:type="dxa"/>
          </w:tcPr>
          <w:p w14:paraId="71B9D4FC" w14:textId="77777777" w:rsidR="00126449" w:rsidRPr="00A244E6" w:rsidRDefault="00126449" w:rsidP="00B30B99">
            <w:pPr>
              <w:pStyle w:val="TableTextBody"/>
              <w:jc w:val="right"/>
              <w:rPr>
                <w:i/>
                <w:lang w:eastAsia="en-AU"/>
              </w:rPr>
            </w:pPr>
            <w:r w:rsidRPr="00A244E6">
              <w:rPr>
                <w:lang w:eastAsia="en-AU"/>
              </w:rPr>
              <w:t>4.9</w:t>
            </w:r>
          </w:p>
        </w:tc>
      </w:tr>
      <w:tr w:rsidR="00126449" w:rsidRPr="00A244E6" w14:paraId="4531B3C1" w14:textId="77777777" w:rsidTr="003375AE">
        <w:trPr>
          <w:trHeight w:val="268"/>
        </w:trPr>
        <w:tc>
          <w:tcPr>
            <w:tcW w:w="1696" w:type="dxa"/>
          </w:tcPr>
          <w:p w14:paraId="2C73D3E2" w14:textId="77777777" w:rsidR="00126449" w:rsidRPr="00A244E6" w:rsidRDefault="00126449" w:rsidP="00B30B99">
            <w:pPr>
              <w:pStyle w:val="TableTextBody"/>
              <w:rPr>
                <w:i/>
                <w:lang w:eastAsia="en-AU"/>
              </w:rPr>
            </w:pPr>
            <w:r w:rsidRPr="00A244E6">
              <w:rPr>
                <w:lang w:eastAsia="en-AU"/>
              </w:rPr>
              <w:t>Goods and services</w:t>
            </w:r>
          </w:p>
        </w:tc>
        <w:tc>
          <w:tcPr>
            <w:tcW w:w="1701" w:type="dxa"/>
          </w:tcPr>
          <w:p w14:paraId="72944B62" w14:textId="77777777" w:rsidR="00126449" w:rsidRPr="00A244E6" w:rsidRDefault="00126449" w:rsidP="00B30B99">
            <w:pPr>
              <w:pStyle w:val="TableTextBody"/>
              <w:jc w:val="right"/>
              <w:rPr>
                <w:i/>
                <w:lang w:eastAsia="en-AU"/>
              </w:rPr>
            </w:pPr>
            <w:r w:rsidRPr="00A244E6">
              <w:rPr>
                <w:lang w:eastAsia="en-AU"/>
              </w:rPr>
              <w:t>85</w:t>
            </w:r>
          </w:p>
        </w:tc>
        <w:tc>
          <w:tcPr>
            <w:tcW w:w="1701" w:type="dxa"/>
          </w:tcPr>
          <w:p w14:paraId="3E1CE27B"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276" w:type="dxa"/>
          </w:tcPr>
          <w:p w14:paraId="75294BE4"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418" w:type="dxa"/>
          </w:tcPr>
          <w:p w14:paraId="4C516768" w14:textId="77777777" w:rsidR="00126449" w:rsidRPr="00A244E6" w:rsidRDefault="00126449" w:rsidP="00B30B99">
            <w:pPr>
              <w:pStyle w:val="TableTextBody"/>
              <w:jc w:val="right"/>
              <w:rPr>
                <w:i/>
                <w:lang w:eastAsia="en-AU"/>
              </w:rPr>
            </w:pPr>
            <w:r w:rsidRPr="00A244E6">
              <w:rPr>
                <w:lang w:eastAsia="en-AU"/>
              </w:rPr>
              <w:t xml:space="preserve"> 3</w:t>
            </w:r>
          </w:p>
        </w:tc>
        <w:tc>
          <w:tcPr>
            <w:tcW w:w="1559" w:type="dxa"/>
          </w:tcPr>
          <w:p w14:paraId="69F8EB1A" w14:textId="0D3F70C0"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5</w:t>
            </w:r>
          </w:p>
        </w:tc>
        <w:tc>
          <w:tcPr>
            <w:tcW w:w="1559" w:type="dxa"/>
          </w:tcPr>
          <w:p w14:paraId="0D603AFC" w14:textId="520EFD01"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 xml:space="preserve"> 6</w:t>
            </w:r>
          </w:p>
        </w:tc>
        <w:tc>
          <w:tcPr>
            <w:tcW w:w="1276" w:type="dxa"/>
          </w:tcPr>
          <w:p w14:paraId="3FC396A9" w14:textId="4B7C28E1"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1</w:t>
            </w:r>
            <w:r w:rsidRPr="00A244E6">
              <w:rPr>
                <w:lang w:eastAsia="en-AU"/>
              </w:rPr>
              <w:t xml:space="preserve"> </w:t>
            </w:r>
          </w:p>
        </w:tc>
        <w:tc>
          <w:tcPr>
            <w:tcW w:w="992" w:type="dxa"/>
          </w:tcPr>
          <w:p w14:paraId="4D77A550"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709" w:type="dxa"/>
          </w:tcPr>
          <w:p w14:paraId="020DD8B1" w14:textId="77777777" w:rsidR="00126449" w:rsidRPr="00A244E6" w:rsidRDefault="00126449" w:rsidP="00B30B99">
            <w:pPr>
              <w:pStyle w:val="TableTextBody"/>
              <w:jc w:val="right"/>
              <w:rPr>
                <w:i/>
                <w:lang w:eastAsia="en-AU"/>
              </w:rPr>
            </w:pPr>
            <w:r w:rsidRPr="00A244E6">
              <w:rPr>
                <w:lang w:eastAsia="en-AU"/>
              </w:rPr>
              <w:t>100</w:t>
            </w:r>
          </w:p>
        </w:tc>
        <w:tc>
          <w:tcPr>
            <w:tcW w:w="850" w:type="dxa"/>
          </w:tcPr>
          <w:p w14:paraId="683E9D9E" w14:textId="77777777" w:rsidR="00126449" w:rsidRPr="00A244E6" w:rsidRDefault="00126449" w:rsidP="00B30B99">
            <w:pPr>
              <w:pStyle w:val="TableTextBody"/>
              <w:jc w:val="right"/>
              <w:rPr>
                <w:i/>
                <w:lang w:eastAsia="en-AU"/>
              </w:rPr>
            </w:pPr>
            <w:r w:rsidRPr="00A244E6">
              <w:rPr>
                <w:lang w:eastAsia="en-AU"/>
              </w:rPr>
              <w:t>13.6</w:t>
            </w:r>
          </w:p>
        </w:tc>
      </w:tr>
      <w:tr w:rsidR="00126449" w:rsidRPr="00A244E6" w14:paraId="291A0B6D" w14:textId="77777777" w:rsidTr="003375AE">
        <w:tc>
          <w:tcPr>
            <w:tcW w:w="1696" w:type="dxa"/>
          </w:tcPr>
          <w:p w14:paraId="1EC9DF89" w14:textId="77777777" w:rsidR="00126449" w:rsidRPr="00A244E6" w:rsidRDefault="00126449" w:rsidP="00B30B99">
            <w:pPr>
              <w:pStyle w:val="TableTextBody"/>
              <w:rPr>
                <w:i/>
                <w:lang w:eastAsia="en-AU"/>
              </w:rPr>
            </w:pPr>
            <w:r w:rsidRPr="00A244E6">
              <w:rPr>
                <w:lang w:eastAsia="en-AU"/>
              </w:rPr>
              <w:t>Club membership and affairs</w:t>
            </w:r>
          </w:p>
        </w:tc>
        <w:tc>
          <w:tcPr>
            <w:tcW w:w="1701" w:type="dxa"/>
          </w:tcPr>
          <w:p w14:paraId="41915E3D" w14:textId="2A8B94F5" w:rsidR="00126449" w:rsidRPr="00A244E6" w:rsidRDefault="00126449" w:rsidP="00B30B99">
            <w:pPr>
              <w:pStyle w:val="TableTextBody"/>
              <w:jc w:val="right"/>
              <w:rPr>
                <w:i/>
                <w:lang w:eastAsia="en-AU"/>
              </w:rPr>
            </w:pPr>
            <w:r w:rsidRPr="00A244E6">
              <w:rPr>
                <w:lang w:eastAsia="en-AU"/>
              </w:rPr>
              <w:t>3</w:t>
            </w:r>
            <w:r w:rsidR="00B10E8B" w:rsidRPr="00A244E6">
              <w:rPr>
                <w:lang w:eastAsia="en-AU"/>
              </w:rPr>
              <w:t xml:space="preserve"> </w:t>
            </w:r>
          </w:p>
        </w:tc>
        <w:tc>
          <w:tcPr>
            <w:tcW w:w="1701" w:type="dxa"/>
          </w:tcPr>
          <w:p w14:paraId="00D93157"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276" w:type="dxa"/>
          </w:tcPr>
          <w:p w14:paraId="27468EA7"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418" w:type="dxa"/>
          </w:tcPr>
          <w:p w14:paraId="58DB7169"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559" w:type="dxa"/>
          </w:tcPr>
          <w:p w14:paraId="759ABF31"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559" w:type="dxa"/>
          </w:tcPr>
          <w:p w14:paraId="4CA5AE7D" w14:textId="3416DA6C"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2</w:t>
            </w:r>
          </w:p>
        </w:tc>
        <w:tc>
          <w:tcPr>
            <w:tcW w:w="1276" w:type="dxa"/>
          </w:tcPr>
          <w:p w14:paraId="0B23DCA3"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992" w:type="dxa"/>
          </w:tcPr>
          <w:p w14:paraId="79D409EA"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709" w:type="dxa"/>
          </w:tcPr>
          <w:p w14:paraId="568D58C2" w14:textId="77777777" w:rsidR="00126449" w:rsidRPr="00A244E6" w:rsidRDefault="00126449" w:rsidP="00B30B99">
            <w:pPr>
              <w:pStyle w:val="TableTextBody"/>
              <w:jc w:val="right"/>
              <w:rPr>
                <w:i/>
                <w:lang w:eastAsia="en-AU"/>
              </w:rPr>
            </w:pPr>
            <w:r w:rsidRPr="00A244E6">
              <w:rPr>
                <w:lang w:eastAsia="en-AU"/>
              </w:rPr>
              <w:t>5</w:t>
            </w:r>
          </w:p>
        </w:tc>
        <w:tc>
          <w:tcPr>
            <w:tcW w:w="850" w:type="dxa"/>
          </w:tcPr>
          <w:p w14:paraId="0792E2F8" w14:textId="77777777" w:rsidR="00126449" w:rsidRPr="00A244E6" w:rsidRDefault="00126449" w:rsidP="00B30B99">
            <w:pPr>
              <w:pStyle w:val="TableTextBody"/>
              <w:jc w:val="right"/>
              <w:rPr>
                <w:i/>
                <w:lang w:eastAsia="en-AU"/>
              </w:rPr>
            </w:pPr>
            <w:r w:rsidRPr="00A244E6">
              <w:rPr>
                <w:lang w:eastAsia="en-AU"/>
              </w:rPr>
              <w:t>0.7</w:t>
            </w:r>
          </w:p>
        </w:tc>
      </w:tr>
      <w:tr w:rsidR="00126449" w:rsidRPr="00A244E6" w14:paraId="09540AA6" w14:textId="77777777" w:rsidTr="003375AE">
        <w:tc>
          <w:tcPr>
            <w:tcW w:w="1696" w:type="dxa"/>
          </w:tcPr>
          <w:p w14:paraId="67352B70" w14:textId="77777777" w:rsidR="00126449" w:rsidRPr="00A244E6" w:rsidRDefault="00126449" w:rsidP="00B30B99">
            <w:pPr>
              <w:pStyle w:val="TableTextBody"/>
              <w:rPr>
                <w:i/>
                <w:lang w:eastAsia="en-AU"/>
              </w:rPr>
            </w:pPr>
            <w:r w:rsidRPr="00A244E6">
              <w:rPr>
                <w:lang w:eastAsia="en-AU"/>
              </w:rPr>
              <w:t>Superannuation and insurance</w:t>
            </w:r>
          </w:p>
        </w:tc>
        <w:tc>
          <w:tcPr>
            <w:tcW w:w="1701" w:type="dxa"/>
          </w:tcPr>
          <w:p w14:paraId="7DD05587" w14:textId="2D98E7CD"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1</w:t>
            </w:r>
          </w:p>
        </w:tc>
        <w:tc>
          <w:tcPr>
            <w:tcW w:w="1701" w:type="dxa"/>
          </w:tcPr>
          <w:p w14:paraId="3C6E272F"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276" w:type="dxa"/>
          </w:tcPr>
          <w:p w14:paraId="68E21BC0"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418" w:type="dxa"/>
          </w:tcPr>
          <w:p w14:paraId="454F813F"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559" w:type="dxa"/>
          </w:tcPr>
          <w:p w14:paraId="161E2854"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559" w:type="dxa"/>
          </w:tcPr>
          <w:p w14:paraId="1DFDDB36"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276" w:type="dxa"/>
          </w:tcPr>
          <w:p w14:paraId="2ECF5F0A"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992" w:type="dxa"/>
          </w:tcPr>
          <w:p w14:paraId="647DD3DA"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709" w:type="dxa"/>
          </w:tcPr>
          <w:p w14:paraId="4A354E80" w14:textId="77777777" w:rsidR="00126449" w:rsidRPr="00A244E6" w:rsidRDefault="00126449" w:rsidP="00B30B99">
            <w:pPr>
              <w:pStyle w:val="TableTextBody"/>
              <w:jc w:val="right"/>
              <w:rPr>
                <w:i/>
                <w:lang w:eastAsia="en-AU"/>
              </w:rPr>
            </w:pPr>
            <w:r w:rsidRPr="00A244E6">
              <w:rPr>
                <w:lang w:eastAsia="en-AU"/>
              </w:rPr>
              <w:t>1</w:t>
            </w:r>
          </w:p>
        </w:tc>
        <w:tc>
          <w:tcPr>
            <w:tcW w:w="850" w:type="dxa"/>
          </w:tcPr>
          <w:p w14:paraId="7A116B73" w14:textId="77777777" w:rsidR="00126449" w:rsidRPr="00A244E6" w:rsidRDefault="00126449" w:rsidP="00B30B99">
            <w:pPr>
              <w:pStyle w:val="TableTextBody"/>
              <w:jc w:val="right"/>
              <w:rPr>
                <w:i/>
                <w:lang w:eastAsia="en-AU"/>
              </w:rPr>
            </w:pPr>
            <w:r w:rsidRPr="00A244E6">
              <w:rPr>
                <w:lang w:eastAsia="en-AU"/>
              </w:rPr>
              <w:t>0.1</w:t>
            </w:r>
          </w:p>
        </w:tc>
      </w:tr>
      <w:tr w:rsidR="00126449" w:rsidRPr="00A244E6" w14:paraId="019369B9" w14:textId="77777777" w:rsidTr="003375AE">
        <w:tc>
          <w:tcPr>
            <w:tcW w:w="1696" w:type="dxa"/>
          </w:tcPr>
          <w:p w14:paraId="78293D1F" w14:textId="77777777" w:rsidR="00126449" w:rsidRPr="00A244E6" w:rsidRDefault="00126449" w:rsidP="00B30B99">
            <w:pPr>
              <w:pStyle w:val="TableTextBody"/>
              <w:rPr>
                <w:i/>
                <w:lang w:eastAsia="en-AU"/>
              </w:rPr>
            </w:pPr>
            <w:r w:rsidRPr="00A244E6">
              <w:rPr>
                <w:lang w:eastAsia="en-AU"/>
              </w:rPr>
              <w:t>Disposition of land</w:t>
            </w:r>
          </w:p>
        </w:tc>
        <w:tc>
          <w:tcPr>
            <w:tcW w:w="1701" w:type="dxa"/>
          </w:tcPr>
          <w:p w14:paraId="611ABEA7" w14:textId="7911C4AA" w:rsidR="00126449" w:rsidRPr="00A244E6" w:rsidRDefault="00126449" w:rsidP="00B30B99">
            <w:pPr>
              <w:pStyle w:val="TableTextBody"/>
              <w:jc w:val="right"/>
              <w:rPr>
                <w:i/>
                <w:lang w:eastAsia="en-AU"/>
              </w:rPr>
            </w:pPr>
            <w:r w:rsidRPr="00A244E6">
              <w:rPr>
                <w:rFonts w:eastAsia="Times New Roman"/>
                <w:lang w:eastAsia="en-AU"/>
              </w:rPr>
              <w:t>—</w:t>
            </w:r>
            <w:r w:rsidR="00B10E8B" w:rsidRPr="00A244E6">
              <w:rPr>
                <w:lang w:eastAsia="en-AU"/>
              </w:rPr>
              <w:t xml:space="preserve"> </w:t>
            </w:r>
          </w:p>
        </w:tc>
        <w:tc>
          <w:tcPr>
            <w:tcW w:w="1701" w:type="dxa"/>
          </w:tcPr>
          <w:p w14:paraId="5A10F830"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276" w:type="dxa"/>
          </w:tcPr>
          <w:p w14:paraId="580E3C60"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418" w:type="dxa"/>
          </w:tcPr>
          <w:p w14:paraId="352F2124"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559" w:type="dxa"/>
          </w:tcPr>
          <w:p w14:paraId="6C173BFD"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559" w:type="dxa"/>
          </w:tcPr>
          <w:p w14:paraId="526557EA"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276" w:type="dxa"/>
          </w:tcPr>
          <w:p w14:paraId="14EA815B"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992" w:type="dxa"/>
          </w:tcPr>
          <w:p w14:paraId="03712F44"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709" w:type="dxa"/>
          </w:tcPr>
          <w:p w14:paraId="282F07D1"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850" w:type="dxa"/>
          </w:tcPr>
          <w:p w14:paraId="2F4B94AC" w14:textId="6B1C1529" w:rsidR="00126449" w:rsidRPr="00A244E6" w:rsidRDefault="00CA1B0C" w:rsidP="00B30B99">
            <w:pPr>
              <w:pStyle w:val="TableTextBody"/>
              <w:jc w:val="right"/>
              <w:rPr>
                <w:i/>
                <w:lang w:eastAsia="en-AU"/>
              </w:rPr>
            </w:pPr>
            <w:r w:rsidRPr="00A244E6">
              <w:rPr>
                <w:rFonts w:eastAsia="Times New Roman"/>
                <w:lang w:eastAsia="en-AU"/>
              </w:rPr>
              <w:t>—</w:t>
            </w:r>
          </w:p>
        </w:tc>
      </w:tr>
      <w:tr w:rsidR="00126449" w:rsidRPr="00A244E6" w14:paraId="2D5C16FB" w14:textId="77777777" w:rsidTr="003375AE">
        <w:trPr>
          <w:trHeight w:val="268"/>
        </w:trPr>
        <w:tc>
          <w:tcPr>
            <w:tcW w:w="1696" w:type="dxa"/>
          </w:tcPr>
          <w:p w14:paraId="0F4B8C84" w14:textId="77777777" w:rsidR="00126449" w:rsidRPr="00A244E6" w:rsidRDefault="00126449" w:rsidP="00B30B99">
            <w:pPr>
              <w:pStyle w:val="TableTextBody"/>
              <w:rPr>
                <w:i/>
                <w:lang w:eastAsia="en-AU"/>
              </w:rPr>
            </w:pPr>
            <w:r w:rsidRPr="00A244E6">
              <w:rPr>
                <w:lang w:eastAsia="en-AU"/>
              </w:rPr>
              <w:t>Work</w:t>
            </w:r>
          </w:p>
        </w:tc>
        <w:tc>
          <w:tcPr>
            <w:tcW w:w="1701" w:type="dxa"/>
          </w:tcPr>
          <w:p w14:paraId="605A612B" w14:textId="77777777" w:rsidR="00126449" w:rsidRPr="00A244E6" w:rsidRDefault="00126449" w:rsidP="00B30B99">
            <w:pPr>
              <w:pStyle w:val="TableTextBody"/>
              <w:jc w:val="right"/>
              <w:rPr>
                <w:i/>
                <w:lang w:eastAsia="en-AU"/>
              </w:rPr>
            </w:pPr>
            <w:r w:rsidRPr="00A244E6">
              <w:rPr>
                <w:lang w:eastAsia="en-AU"/>
              </w:rPr>
              <w:t xml:space="preserve"> 289</w:t>
            </w:r>
          </w:p>
        </w:tc>
        <w:tc>
          <w:tcPr>
            <w:tcW w:w="1701" w:type="dxa"/>
          </w:tcPr>
          <w:p w14:paraId="064EA353" w14:textId="77777777" w:rsidR="00126449" w:rsidRPr="00A244E6" w:rsidRDefault="00126449" w:rsidP="00B30B99">
            <w:pPr>
              <w:pStyle w:val="TableTextBody"/>
              <w:jc w:val="right"/>
              <w:rPr>
                <w:i/>
                <w:lang w:eastAsia="en-AU"/>
              </w:rPr>
            </w:pPr>
            <w:r w:rsidRPr="00A244E6">
              <w:rPr>
                <w:rFonts w:eastAsia="Times New Roman"/>
                <w:lang w:eastAsia="en-AU"/>
              </w:rPr>
              <w:t>2</w:t>
            </w:r>
          </w:p>
        </w:tc>
        <w:tc>
          <w:tcPr>
            <w:tcW w:w="1276" w:type="dxa"/>
          </w:tcPr>
          <w:p w14:paraId="11DC6A24"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418" w:type="dxa"/>
          </w:tcPr>
          <w:p w14:paraId="4FE0A964" w14:textId="77777777" w:rsidR="00126449" w:rsidRPr="00A244E6" w:rsidRDefault="00126449" w:rsidP="00B30B99">
            <w:pPr>
              <w:pStyle w:val="TableTextBody"/>
              <w:jc w:val="right"/>
              <w:rPr>
                <w:i/>
                <w:lang w:eastAsia="en-AU"/>
              </w:rPr>
            </w:pPr>
            <w:r w:rsidRPr="00A244E6">
              <w:rPr>
                <w:lang w:eastAsia="en-AU"/>
              </w:rPr>
              <w:t>79</w:t>
            </w:r>
          </w:p>
        </w:tc>
        <w:tc>
          <w:tcPr>
            <w:tcW w:w="1559" w:type="dxa"/>
          </w:tcPr>
          <w:p w14:paraId="78CF31A6" w14:textId="77777777" w:rsidR="00126449" w:rsidRPr="00A244E6" w:rsidRDefault="00126449" w:rsidP="00B30B99">
            <w:pPr>
              <w:pStyle w:val="TableTextBody"/>
              <w:jc w:val="right"/>
              <w:rPr>
                <w:i/>
                <w:lang w:eastAsia="en-AU"/>
              </w:rPr>
            </w:pPr>
            <w:r w:rsidRPr="00A244E6">
              <w:rPr>
                <w:lang w:eastAsia="en-AU"/>
              </w:rPr>
              <w:t xml:space="preserve"> 29</w:t>
            </w:r>
          </w:p>
        </w:tc>
        <w:tc>
          <w:tcPr>
            <w:tcW w:w="1559" w:type="dxa"/>
          </w:tcPr>
          <w:p w14:paraId="3FB0A2B8" w14:textId="1F77FF51"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67</w:t>
            </w:r>
            <w:r w:rsidRPr="00A244E6">
              <w:rPr>
                <w:lang w:eastAsia="en-AU"/>
              </w:rPr>
              <w:t xml:space="preserve"> </w:t>
            </w:r>
          </w:p>
        </w:tc>
        <w:tc>
          <w:tcPr>
            <w:tcW w:w="1276" w:type="dxa"/>
          </w:tcPr>
          <w:p w14:paraId="765F3898" w14:textId="323C7007"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5</w:t>
            </w:r>
          </w:p>
        </w:tc>
        <w:tc>
          <w:tcPr>
            <w:tcW w:w="992" w:type="dxa"/>
          </w:tcPr>
          <w:p w14:paraId="3E0B118F"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709" w:type="dxa"/>
          </w:tcPr>
          <w:p w14:paraId="49AD7BFB" w14:textId="77777777" w:rsidR="00126449" w:rsidRPr="00A244E6" w:rsidRDefault="00126449" w:rsidP="00B30B99">
            <w:pPr>
              <w:pStyle w:val="TableTextBody"/>
              <w:jc w:val="right"/>
              <w:rPr>
                <w:i/>
                <w:lang w:eastAsia="en-AU"/>
              </w:rPr>
            </w:pPr>
            <w:r w:rsidRPr="00A244E6">
              <w:rPr>
                <w:lang w:eastAsia="en-AU"/>
              </w:rPr>
              <w:t>471</w:t>
            </w:r>
          </w:p>
        </w:tc>
        <w:tc>
          <w:tcPr>
            <w:tcW w:w="850" w:type="dxa"/>
          </w:tcPr>
          <w:p w14:paraId="1F7A2EA4" w14:textId="77777777" w:rsidR="00126449" w:rsidRPr="00A244E6" w:rsidRDefault="00126449" w:rsidP="00B30B99">
            <w:pPr>
              <w:pStyle w:val="TableTextBody"/>
              <w:jc w:val="right"/>
              <w:rPr>
                <w:i/>
                <w:lang w:eastAsia="en-AU"/>
              </w:rPr>
            </w:pPr>
            <w:r w:rsidRPr="00A244E6">
              <w:rPr>
                <w:lang w:eastAsia="en-AU"/>
              </w:rPr>
              <w:t>64.0</w:t>
            </w:r>
          </w:p>
        </w:tc>
      </w:tr>
      <w:tr w:rsidR="00126449" w:rsidRPr="00A244E6" w14:paraId="3DC9747C" w14:textId="77777777" w:rsidTr="003375AE">
        <w:tc>
          <w:tcPr>
            <w:tcW w:w="1696" w:type="dxa"/>
          </w:tcPr>
          <w:p w14:paraId="40EA6703" w14:textId="77777777" w:rsidR="00126449" w:rsidRPr="00A244E6" w:rsidRDefault="00126449" w:rsidP="00B30B99">
            <w:pPr>
              <w:pStyle w:val="TableTextBody"/>
              <w:rPr>
                <w:i/>
                <w:lang w:eastAsia="en-AU"/>
              </w:rPr>
            </w:pPr>
            <w:r w:rsidRPr="00A244E6">
              <w:rPr>
                <w:lang w:eastAsia="en-AU"/>
              </w:rPr>
              <w:t>Education</w:t>
            </w:r>
          </w:p>
        </w:tc>
        <w:tc>
          <w:tcPr>
            <w:tcW w:w="1701" w:type="dxa"/>
          </w:tcPr>
          <w:p w14:paraId="7B7EB108" w14:textId="399B2500"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 xml:space="preserve"> 27</w:t>
            </w:r>
          </w:p>
        </w:tc>
        <w:tc>
          <w:tcPr>
            <w:tcW w:w="1701" w:type="dxa"/>
          </w:tcPr>
          <w:p w14:paraId="465A8308"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276" w:type="dxa"/>
          </w:tcPr>
          <w:p w14:paraId="19619EF4"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418" w:type="dxa"/>
          </w:tcPr>
          <w:p w14:paraId="511BB056" w14:textId="77777777" w:rsidR="00126449" w:rsidRPr="00A244E6" w:rsidRDefault="00126449" w:rsidP="00B30B99">
            <w:pPr>
              <w:pStyle w:val="TableTextBody"/>
              <w:jc w:val="right"/>
              <w:rPr>
                <w:i/>
                <w:lang w:eastAsia="en-AU"/>
              </w:rPr>
            </w:pPr>
            <w:r w:rsidRPr="00A244E6">
              <w:rPr>
                <w:lang w:eastAsia="en-AU"/>
              </w:rPr>
              <w:t xml:space="preserve"> 1</w:t>
            </w:r>
          </w:p>
        </w:tc>
        <w:tc>
          <w:tcPr>
            <w:tcW w:w="1559" w:type="dxa"/>
          </w:tcPr>
          <w:p w14:paraId="2E48A7D6"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559" w:type="dxa"/>
          </w:tcPr>
          <w:p w14:paraId="345B995B"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276" w:type="dxa"/>
          </w:tcPr>
          <w:p w14:paraId="3916FF04" w14:textId="33A57484" w:rsidR="00126449" w:rsidRPr="00A244E6" w:rsidRDefault="00126449" w:rsidP="00B30B99">
            <w:pPr>
              <w:pStyle w:val="TableTextBody"/>
              <w:jc w:val="right"/>
              <w:rPr>
                <w:i/>
                <w:lang w:eastAsia="en-AU"/>
              </w:rPr>
            </w:pPr>
            <w:r w:rsidRPr="00A244E6">
              <w:rPr>
                <w:rFonts w:eastAsia="Times New Roman"/>
                <w:lang w:eastAsia="en-AU"/>
              </w:rPr>
              <w:t>—</w:t>
            </w:r>
            <w:r w:rsidR="00B10E8B" w:rsidRPr="00A244E6">
              <w:rPr>
                <w:lang w:eastAsia="en-AU"/>
              </w:rPr>
              <w:t xml:space="preserve"> </w:t>
            </w:r>
          </w:p>
        </w:tc>
        <w:tc>
          <w:tcPr>
            <w:tcW w:w="992" w:type="dxa"/>
          </w:tcPr>
          <w:p w14:paraId="424216D1"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709" w:type="dxa"/>
          </w:tcPr>
          <w:p w14:paraId="7C722C02" w14:textId="77777777" w:rsidR="00126449" w:rsidRPr="00A244E6" w:rsidRDefault="00126449" w:rsidP="00B30B99">
            <w:pPr>
              <w:pStyle w:val="TableTextBody"/>
              <w:jc w:val="right"/>
              <w:rPr>
                <w:i/>
                <w:lang w:eastAsia="en-AU"/>
              </w:rPr>
            </w:pPr>
            <w:r w:rsidRPr="00A244E6">
              <w:rPr>
                <w:lang w:eastAsia="en-AU"/>
              </w:rPr>
              <w:t>28</w:t>
            </w:r>
          </w:p>
        </w:tc>
        <w:tc>
          <w:tcPr>
            <w:tcW w:w="850" w:type="dxa"/>
          </w:tcPr>
          <w:p w14:paraId="430F51FF" w14:textId="77777777" w:rsidR="00126449" w:rsidRPr="00A244E6" w:rsidRDefault="00126449" w:rsidP="00B30B99">
            <w:pPr>
              <w:pStyle w:val="TableTextBody"/>
              <w:jc w:val="right"/>
              <w:rPr>
                <w:i/>
                <w:lang w:eastAsia="en-AU"/>
              </w:rPr>
            </w:pPr>
            <w:r w:rsidRPr="00A244E6">
              <w:rPr>
                <w:lang w:eastAsia="en-AU"/>
              </w:rPr>
              <w:t>3.8</w:t>
            </w:r>
          </w:p>
        </w:tc>
      </w:tr>
      <w:tr w:rsidR="00126449" w:rsidRPr="00A244E6" w14:paraId="5204AD0C" w14:textId="77777777" w:rsidTr="003375AE">
        <w:tc>
          <w:tcPr>
            <w:tcW w:w="1696" w:type="dxa"/>
          </w:tcPr>
          <w:p w14:paraId="74869282" w14:textId="77777777" w:rsidR="00126449" w:rsidRPr="00A244E6" w:rsidRDefault="00126449" w:rsidP="00B30B99">
            <w:pPr>
              <w:pStyle w:val="TableTextBody"/>
              <w:rPr>
                <w:i/>
                <w:lang w:eastAsia="en-AU"/>
              </w:rPr>
            </w:pPr>
            <w:r w:rsidRPr="00A244E6">
              <w:rPr>
                <w:lang w:eastAsia="en-AU"/>
              </w:rPr>
              <w:t>Not recorded*</w:t>
            </w:r>
          </w:p>
        </w:tc>
        <w:tc>
          <w:tcPr>
            <w:tcW w:w="1701" w:type="dxa"/>
          </w:tcPr>
          <w:p w14:paraId="69AF80C8"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701" w:type="dxa"/>
          </w:tcPr>
          <w:p w14:paraId="0CEC66BB" w14:textId="77777777" w:rsidR="00126449" w:rsidRPr="00A244E6" w:rsidRDefault="00126449" w:rsidP="00B30B99">
            <w:pPr>
              <w:pStyle w:val="TableTextBody"/>
              <w:jc w:val="right"/>
              <w:rPr>
                <w:i/>
                <w:lang w:eastAsia="en-AU"/>
              </w:rPr>
            </w:pPr>
            <w:r w:rsidRPr="00A244E6">
              <w:rPr>
                <w:rFonts w:eastAsia="Times New Roman"/>
                <w:lang w:eastAsia="en-AU"/>
              </w:rPr>
              <w:t>—</w:t>
            </w:r>
          </w:p>
        </w:tc>
        <w:tc>
          <w:tcPr>
            <w:tcW w:w="1276" w:type="dxa"/>
          </w:tcPr>
          <w:p w14:paraId="642DC0E4" w14:textId="0C77F9EE"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9</w:t>
            </w:r>
          </w:p>
        </w:tc>
        <w:tc>
          <w:tcPr>
            <w:tcW w:w="1418" w:type="dxa"/>
          </w:tcPr>
          <w:p w14:paraId="4A4DC411" w14:textId="77777777" w:rsidR="00126449" w:rsidRPr="00A244E6" w:rsidRDefault="00126449" w:rsidP="00B30B99">
            <w:pPr>
              <w:pStyle w:val="TableTextBody"/>
              <w:jc w:val="right"/>
              <w:rPr>
                <w:i/>
                <w:lang w:eastAsia="en-AU"/>
              </w:rPr>
            </w:pPr>
            <w:r w:rsidRPr="00A244E6">
              <w:rPr>
                <w:lang w:eastAsia="en-AU"/>
              </w:rPr>
              <w:t>9</w:t>
            </w:r>
          </w:p>
        </w:tc>
        <w:tc>
          <w:tcPr>
            <w:tcW w:w="1559" w:type="dxa"/>
          </w:tcPr>
          <w:p w14:paraId="2467A6D4" w14:textId="77777777" w:rsidR="00126449" w:rsidRPr="00A244E6" w:rsidRDefault="00126449" w:rsidP="00B30B99">
            <w:pPr>
              <w:pStyle w:val="TableTextBody"/>
              <w:jc w:val="right"/>
              <w:rPr>
                <w:i/>
                <w:lang w:eastAsia="en-AU"/>
              </w:rPr>
            </w:pPr>
            <w:r w:rsidRPr="00A244E6">
              <w:rPr>
                <w:lang w:eastAsia="en-AU"/>
              </w:rPr>
              <w:t xml:space="preserve"> 3</w:t>
            </w:r>
          </w:p>
        </w:tc>
        <w:tc>
          <w:tcPr>
            <w:tcW w:w="1559" w:type="dxa"/>
          </w:tcPr>
          <w:p w14:paraId="3777E703" w14:textId="50C2AE64"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6</w:t>
            </w:r>
          </w:p>
        </w:tc>
        <w:tc>
          <w:tcPr>
            <w:tcW w:w="1276" w:type="dxa"/>
          </w:tcPr>
          <w:p w14:paraId="0DE62952" w14:textId="09843379" w:rsidR="00126449" w:rsidRPr="00A244E6" w:rsidRDefault="00B10E8B" w:rsidP="00B30B99">
            <w:pPr>
              <w:pStyle w:val="TableTextBody"/>
              <w:jc w:val="right"/>
              <w:rPr>
                <w:i/>
                <w:lang w:eastAsia="en-AU"/>
              </w:rPr>
            </w:pPr>
            <w:r w:rsidRPr="00A244E6">
              <w:rPr>
                <w:lang w:eastAsia="en-AU"/>
              </w:rPr>
              <w:t xml:space="preserve"> </w:t>
            </w:r>
            <w:r w:rsidR="00126449" w:rsidRPr="00A244E6">
              <w:rPr>
                <w:lang w:eastAsia="en-AU"/>
              </w:rPr>
              <w:t>15</w:t>
            </w:r>
          </w:p>
        </w:tc>
        <w:tc>
          <w:tcPr>
            <w:tcW w:w="992" w:type="dxa"/>
          </w:tcPr>
          <w:p w14:paraId="51CBF05A" w14:textId="77777777" w:rsidR="00126449" w:rsidRPr="00A244E6" w:rsidRDefault="00126449" w:rsidP="00B30B99">
            <w:pPr>
              <w:pStyle w:val="TableTextBody"/>
              <w:jc w:val="right"/>
              <w:rPr>
                <w:i/>
                <w:lang w:eastAsia="en-AU"/>
              </w:rPr>
            </w:pPr>
            <w:r w:rsidRPr="00A244E6">
              <w:rPr>
                <w:lang w:eastAsia="en-AU"/>
              </w:rPr>
              <w:t>6</w:t>
            </w:r>
          </w:p>
        </w:tc>
        <w:tc>
          <w:tcPr>
            <w:tcW w:w="709" w:type="dxa"/>
          </w:tcPr>
          <w:p w14:paraId="17D08411" w14:textId="77777777" w:rsidR="00126449" w:rsidRPr="00A244E6" w:rsidRDefault="00126449" w:rsidP="00B30B99">
            <w:pPr>
              <w:pStyle w:val="TableTextBody"/>
              <w:jc w:val="right"/>
              <w:rPr>
                <w:i/>
                <w:lang w:eastAsia="en-AU"/>
              </w:rPr>
            </w:pPr>
            <w:r w:rsidRPr="00A244E6">
              <w:rPr>
                <w:lang w:eastAsia="en-AU"/>
              </w:rPr>
              <w:t>48</w:t>
            </w:r>
          </w:p>
        </w:tc>
        <w:tc>
          <w:tcPr>
            <w:tcW w:w="850" w:type="dxa"/>
          </w:tcPr>
          <w:p w14:paraId="35672BB6" w14:textId="77777777" w:rsidR="00126449" w:rsidRPr="00A244E6" w:rsidRDefault="00126449" w:rsidP="00B30B99">
            <w:pPr>
              <w:pStyle w:val="TableTextBody"/>
              <w:jc w:val="right"/>
              <w:rPr>
                <w:i/>
                <w:lang w:eastAsia="en-AU"/>
              </w:rPr>
            </w:pPr>
            <w:r w:rsidRPr="00A244E6">
              <w:rPr>
                <w:lang w:eastAsia="en-AU"/>
              </w:rPr>
              <w:t>6.4</w:t>
            </w:r>
          </w:p>
        </w:tc>
      </w:tr>
      <w:tr w:rsidR="00126449" w:rsidRPr="00A244E6" w14:paraId="3FB8CBB6" w14:textId="77777777" w:rsidTr="003375AE">
        <w:trPr>
          <w:trHeight w:val="268"/>
        </w:trPr>
        <w:tc>
          <w:tcPr>
            <w:tcW w:w="1696" w:type="dxa"/>
          </w:tcPr>
          <w:p w14:paraId="186F8D96" w14:textId="77777777" w:rsidR="00126449" w:rsidRPr="00A244E6" w:rsidRDefault="00126449" w:rsidP="00B30B99">
            <w:pPr>
              <w:pStyle w:val="TableTextBody"/>
              <w:rPr>
                <w:b/>
                <w:i/>
                <w:lang w:eastAsia="en-AU"/>
              </w:rPr>
            </w:pPr>
            <w:r w:rsidRPr="00A244E6">
              <w:rPr>
                <w:b/>
                <w:lang w:eastAsia="en-AU"/>
              </w:rPr>
              <w:t>Total</w:t>
            </w:r>
          </w:p>
        </w:tc>
        <w:tc>
          <w:tcPr>
            <w:tcW w:w="1701" w:type="dxa"/>
          </w:tcPr>
          <w:p w14:paraId="0A97805F" w14:textId="77777777" w:rsidR="00126449" w:rsidRPr="00A244E6" w:rsidRDefault="00126449" w:rsidP="00B30B99">
            <w:pPr>
              <w:pStyle w:val="TableTextBody"/>
              <w:jc w:val="right"/>
              <w:rPr>
                <w:b/>
                <w:i/>
                <w:lang w:eastAsia="en-AU"/>
              </w:rPr>
            </w:pPr>
            <w:r w:rsidRPr="00A244E6">
              <w:rPr>
                <w:b/>
                <w:lang w:eastAsia="en-AU"/>
              </w:rPr>
              <w:t>472</w:t>
            </w:r>
          </w:p>
        </w:tc>
        <w:tc>
          <w:tcPr>
            <w:tcW w:w="1701" w:type="dxa"/>
          </w:tcPr>
          <w:p w14:paraId="71247DEC" w14:textId="77777777" w:rsidR="00126449" w:rsidRPr="00A244E6" w:rsidRDefault="00126449" w:rsidP="00B30B99">
            <w:pPr>
              <w:pStyle w:val="TableTextBody"/>
              <w:jc w:val="right"/>
              <w:rPr>
                <w:b/>
                <w:i/>
                <w:lang w:eastAsia="en-AU"/>
              </w:rPr>
            </w:pPr>
            <w:r w:rsidRPr="00A244E6">
              <w:rPr>
                <w:b/>
                <w:lang w:eastAsia="en-AU"/>
              </w:rPr>
              <w:t>2</w:t>
            </w:r>
          </w:p>
        </w:tc>
        <w:tc>
          <w:tcPr>
            <w:tcW w:w="1276" w:type="dxa"/>
          </w:tcPr>
          <w:p w14:paraId="1FFFB688" w14:textId="4C537E56" w:rsidR="00126449" w:rsidRPr="00A244E6" w:rsidRDefault="00B10E8B" w:rsidP="00B30B99">
            <w:pPr>
              <w:pStyle w:val="TableTextBody"/>
              <w:jc w:val="right"/>
              <w:rPr>
                <w:b/>
                <w:i/>
                <w:lang w:eastAsia="en-AU"/>
              </w:rPr>
            </w:pPr>
            <w:r w:rsidRPr="00A244E6">
              <w:rPr>
                <w:b/>
                <w:lang w:eastAsia="en-AU"/>
              </w:rPr>
              <w:t xml:space="preserve">       </w:t>
            </w:r>
            <w:r w:rsidR="00126449" w:rsidRPr="00A244E6">
              <w:rPr>
                <w:b/>
                <w:lang w:eastAsia="en-AU"/>
              </w:rPr>
              <w:t xml:space="preserve"> 9 </w:t>
            </w:r>
          </w:p>
        </w:tc>
        <w:tc>
          <w:tcPr>
            <w:tcW w:w="1418" w:type="dxa"/>
          </w:tcPr>
          <w:p w14:paraId="300A332F" w14:textId="77777777" w:rsidR="00126449" w:rsidRPr="00A244E6" w:rsidRDefault="00126449" w:rsidP="00B30B99">
            <w:pPr>
              <w:pStyle w:val="TableTextBody"/>
              <w:jc w:val="right"/>
              <w:rPr>
                <w:b/>
                <w:i/>
                <w:lang w:eastAsia="en-AU"/>
              </w:rPr>
            </w:pPr>
            <w:r w:rsidRPr="00A244E6">
              <w:rPr>
                <w:b/>
                <w:lang w:eastAsia="en-AU"/>
              </w:rPr>
              <w:t>95</w:t>
            </w:r>
          </w:p>
        </w:tc>
        <w:tc>
          <w:tcPr>
            <w:tcW w:w="1559" w:type="dxa"/>
          </w:tcPr>
          <w:p w14:paraId="125A5942" w14:textId="77777777" w:rsidR="00126449" w:rsidRPr="00A244E6" w:rsidRDefault="00126449" w:rsidP="00B30B99">
            <w:pPr>
              <w:pStyle w:val="TableTextBody"/>
              <w:jc w:val="right"/>
              <w:rPr>
                <w:b/>
                <w:i/>
                <w:lang w:eastAsia="en-AU"/>
              </w:rPr>
            </w:pPr>
            <w:r w:rsidRPr="00A244E6">
              <w:rPr>
                <w:b/>
                <w:lang w:eastAsia="en-AU"/>
              </w:rPr>
              <w:t xml:space="preserve"> 40</w:t>
            </w:r>
          </w:p>
        </w:tc>
        <w:tc>
          <w:tcPr>
            <w:tcW w:w="1559" w:type="dxa"/>
          </w:tcPr>
          <w:p w14:paraId="2F1F01E2" w14:textId="134004D7" w:rsidR="00126449" w:rsidRPr="00A244E6" w:rsidRDefault="00126449" w:rsidP="00B30B99">
            <w:pPr>
              <w:pStyle w:val="TableTextBody"/>
              <w:jc w:val="right"/>
              <w:rPr>
                <w:b/>
                <w:i/>
                <w:lang w:eastAsia="en-AU"/>
              </w:rPr>
            </w:pPr>
            <w:r w:rsidRPr="00A244E6">
              <w:rPr>
                <w:b/>
                <w:lang w:eastAsia="en-AU"/>
              </w:rPr>
              <w:t>87</w:t>
            </w:r>
            <w:r w:rsidR="00B10E8B" w:rsidRPr="00A244E6">
              <w:rPr>
                <w:b/>
                <w:lang w:eastAsia="en-AU"/>
              </w:rPr>
              <w:t xml:space="preserve">  </w:t>
            </w:r>
          </w:p>
        </w:tc>
        <w:tc>
          <w:tcPr>
            <w:tcW w:w="1276" w:type="dxa"/>
          </w:tcPr>
          <w:p w14:paraId="53980AD3" w14:textId="4A6CD777" w:rsidR="00126449" w:rsidRPr="00A244E6" w:rsidRDefault="00B10E8B" w:rsidP="00B30B99">
            <w:pPr>
              <w:pStyle w:val="TableTextBody"/>
              <w:jc w:val="right"/>
              <w:rPr>
                <w:b/>
                <w:i/>
                <w:lang w:eastAsia="en-AU"/>
              </w:rPr>
            </w:pPr>
            <w:r w:rsidRPr="00A244E6">
              <w:rPr>
                <w:b/>
                <w:lang w:eastAsia="en-AU"/>
              </w:rPr>
              <w:t xml:space="preserve">      </w:t>
            </w:r>
            <w:r w:rsidR="00126449" w:rsidRPr="00A244E6">
              <w:rPr>
                <w:b/>
                <w:lang w:eastAsia="en-AU"/>
              </w:rPr>
              <w:t xml:space="preserve"> 26</w:t>
            </w:r>
          </w:p>
        </w:tc>
        <w:tc>
          <w:tcPr>
            <w:tcW w:w="992" w:type="dxa"/>
          </w:tcPr>
          <w:p w14:paraId="0AE424AF" w14:textId="77777777" w:rsidR="00126449" w:rsidRPr="00A244E6" w:rsidRDefault="00126449" w:rsidP="00B30B99">
            <w:pPr>
              <w:pStyle w:val="TableTextBody"/>
              <w:jc w:val="right"/>
              <w:rPr>
                <w:b/>
                <w:i/>
                <w:lang w:eastAsia="en-AU"/>
              </w:rPr>
            </w:pPr>
            <w:r w:rsidRPr="00A244E6">
              <w:rPr>
                <w:b/>
                <w:lang w:eastAsia="en-AU"/>
              </w:rPr>
              <w:t xml:space="preserve"> 6</w:t>
            </w:r>
          </w:p>
        </w:tc>
        <w:tc>
          <w:tcPr>
            <w:tcW w:w="709" w:type="dxa"/>
          </w:tcPr>
          <w:p w14:paraId="6D6013DB" w14:textId="77777777" w:rsidR="00126449" w:rsidRPr="00A244E6" w:rsidRDefault="00126449" w:rsidP="00B30B99">
            <w:pPr>
              <w:pStyle w:val="TableTextBody"/>
              <w:jc w:val="right"/>
              <w:rPr>
                <w:b/>
                <w:i/>
                <w:lang w:eastAsia="en-AU"/>
              </w:rPr>
            </w:pPr>
            <w:r w:rsidRPr="00A244E6">
              <w:rPr>
                <w:b/>
                <w:lang w:eastAsia="en-AU"/>
              </w:rPr>
              <w:t>737</w:t>
            </w:r>
          </w:p>
        </w:tc>
        <w:tc>
          <w:tcPr>
            <w:tcW w:w="850" w:type="dxa"/>
          </w:tcPr>
          <w:p w14:paraId="19E6A0F0" w14:textId="77777777" w:rsidR="00126449" w:rsidRPr="00A244E6" w:rsidRDefault="00126449" w:rsidP="00B30B99">
            <w:pPr>
              <w:pStyle w:val="TableTextBody"/>
              <w:jc w:val="right"/>
              <w:rPr>
                <w:b/>
                <w:i/>
                <w:lang w:eastAsia="en-AU"/>
              </w:rPr>
            </w:pPr>
            <w:r w:rsidRPr="00A244E6">
              <w:rPr>
                <w:b/>
                <w:lang w:eastAsia="en-AU"/>
              </w:rPr>
              <w:t>100%</w:t>
            </w:r>
          </w:p>
        </w:tc>
      </w:tr>
    </w:tbl>
    <w:p w14:paraId="2F6BEB9F" w14:textId="0A547B95" w:rsidR="00126449" w:rsidRDefault="00126449" w:rsidP="00D213FE">
      <w:pPr>
        <w:pStyle w:val="Note"/>
        <w:rPr>
          <w:lang w:eastAsia="en-AU"/>
        </w:rPr>
      </w:pPr>
      <w:r w:rsidRPr="00A21D7D">
        <w:rPr>
          <w:lang w:eastAsia="en-AU"/>
        </w:rPr>
        <w:t>Note: Only discrimination breaches require an area</w:t>
      </w:r>
      <w:r w:rsidR="007B56F8">
        <w:rPr>
          <w:lang w:eastAsia="en-AU"/>
        </w:rPr>
        <w:t>.</w:t>
      </w:r>
    </w:p>
    <w:p w14:paraId="4CE9F48C" w14:textId="77777777" w:rsidR="007B56F8" w:rsidRPr="007B56F8" w:rsidRDefault="007B56F8" w:rsidP="007B56F8">
      <w:pPr>
        <w:pStyle w:val="Note"/>
        <w:spacing w:before="0" w:after="0"/>
        <w:rPr>
          <w:lang w:eastAsia="en-AU"/>
        </w:rPr>
      </w:pPr>
      <w:r>
        <w:rPr>
          <w:lang w:eastAsia="en-AU"/>
        </w:rPr>
        <w:t>Note: Percentages in this table have been rounded to the nearest decimal point.</w:t>
      </w:r>
    </w:p>
    <w:p w14:paraId="6615B9E6" w14:textId="77777777" w:rsidR="007B56F8" w:rsidRPr="007B56F8" w:rsidRDefault="007B56F8" w:rsidP="007B56F8">
      <w:pPr>
        <w:rPr>
          <w:lang w:eastAsia="en-AU"/>
        </w:rPr>
      </w:pPr>
    </w:p>
    <w:p w14:paraId="66B84816" w14:textId="77777777" w:rsidR="00B30B99" w:rsidRDefault="00B30B99" w:rsidP="00126449">
      <w:pPr>
        <w:pStyle w:val="Caption"/>
        <w:rPr>
          <w:rFonts w:cs="Arial"/>
          <w:color w:val="auto"/>
        </w:rPr>
      </w:pPr>
      <w:r>
        <w:rPr>
          <w:rFonts w:cs="Arial"/>
          <w:color w:val="auto"/>
        </w:rPr>
        <w:br/>
      </w:r>
    </w:p>
    <w:p w14:paraId="45E721EF" w14:textId="77777777" w:rsidR="00B30B99" w:rsidRDefault="00B30B99">
      <w:pPr>
        <w:ind w:right="0"/>
        <w:rPr>
          <w:rFonts w:eastAsiaTheme="minorEastAsia" w:cs="Arial"/>
          <w:b/>
          <w:bCs/>
          <w:i/>
          <w:iCs/>
          <w:sz w:val="20"/>
          <w:szCs w:val="18"/>
        </w:rPr>
      </w:pPr>
      <w:r>
        <w:rPr>
          <w:rFonts w:cs="Arial"/>
        </w:rPr>
        <w:br w:type="page"/>
      </w:r>
    </w:p>
    <w:p w14:paraId="447EB859" w14:textId="46B26C07" w:rsidR="00126449" w:rsidRPr="00BE6F07" w:rsidRDefault="00126449" w:rsidP="00126449">
      <w:pPr>
        <w:pStyle w:val="Caption"/>
        <w:rPr>
          <w:rFonts w:cs="Arial"/>
          <w:color w:val="auto"/>
        </w:rPr>
      </w:pPr>
      <w:r w:rsidRPr="00BE6F07">
        <w:rPr>
          <w:rFonts w:cs="Arial"/>
          <w:color w:val="auto"/>
        </w:rPr>
        <w:lastRenderedPageBreak/>
        <w:t xml:space="preserve">Table </w:t>
      </w:r>
      <w:r w:rsidR="00497E96" w:rsidRPr="00BE6F07">
        <w:rPr>
          <w:rFonts w:cs="Arial"/>
          <w:color w:val="auto"/>
        </w:rPr>
        <w:t>8</w:t>
      </w:r>
      <w:r w:rsidRPr="00BE6F07">
        <w:rPr>
          <w:rFonts w:cs="Arial"/>
          <w:color w:val="auto"/>
        </w:rPr>
        <w:t>: State-wide accepted discrimination complaints by ground, by area</w:t>
      </w:r>
    </w:p>
    <w:tbl>
      <w:tblPr>
        <w:tblpPr w:leftFromText="181" w:rightFromText="181" w:vertAnchor="text" w:horzAnchor="margin" w:tblpXSpec="center" w:tblpY="1"/>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1E0" w:firstRow="1" w:lastRow="1" w:firstColumn="1" w:lastColumn="1" w:noHBand="0" w:noVBand="0"/>
      </w:tblPr>
      <w:tblGrid>
        <w:gridCol w:w="1945"/>
        <w:gridCol w:w="1783"/>
        <w:gridCol w:w="1410"/>
        <w:gridCol w:w="1092"/>
        <w:gridCol w:w="1141"/>
        <w:gridCol w:w="1267"/>
        <w:gridCol w:w="1128"/>
        <w:gridCol w:w="1130"/>
        <w:gridCol w:w="1270"/>
        <w:gridCol w:w="2089"/>
        <w:gridCol w:w="820"/>
      </w:tblGrid>
      <w:tr w:rsidR="003905AE" w:rsidRPr="002E0EBF" w14:paraId="6785A587" w14:textId="77777777" w:rsidTr="00D213FE">
        <w:trPr>
          <w:trHeight w:val="420"/>
        </w:trPr>
        <w:tc>
          <w:tcPr>
            <w:tcW w:w="1980" w:type="dxa"/>
            <w:vMerge w:val="restart"/>
          </w:tcPr>
          <w:p w14:paraId="4C731A61" w14:textId="77777777" w:rsidR="00126449" w:rsidRPr="002E0EBF" w:rsidRDefault="00126449" w:rsidP="007B56F8">
            <w:pPr>
              <w:pStyle w:val="TableTextHeading"/>
              <w:spacing w:after="0"/>
              <w:rPr>
                <w:highlight w:val="yellow"/>
                <w:lang w:eastAsia="en-AU"/>
              </w:rPr>
            </w:pPr>
          </w:p>
        </w:tc>
        <w:tc>
          <w:tcPr>
            <w:tcW w:w="1535" w:type="dxa"/>
            <w:vMerge w:val="restart"/>
          </w:tcPr>
          <w:p w14:paraId="76C7D23A" w14:textId="77777777" w:rsidR="00126449" w:rsidRPr="002E0EBF" w:rsidRDefault="00126449" w:rsidP="007B56F8">
            <w:pPr>
              <w:pStyle w:val="TableTextHeading"/>
              <w:spacing w:after="0"/>
              <w:rPr>
                <w:bCs/>
                <w:lang w:eastAsia="en-AU"/>
              </w:rPr>
            </w:pPr>
            <w:r w:rsidRPr="002E0EBF">
              <w:rPr>
                <w:bCs/>
                <w:lang w:eastAsia="en-AU"/>
              </w:rPr>
              <w:t>Accommodation</w:t>
            </w:r>
          </w:p>
        </w:tc>
        <w:tc>
          <w:tcPr>
            <w:tcW w:w="1429" w:type="dxa"/>
            <w:vMerge w:val="restart"/>
          </w:tcPr>
          <w:p w14:paraId="6AD8F6D9" w14:textId="77777777" w:rsidR="00126449" w:rsidRPr="002E0EBF" w:rsidRDefault="00126449" w:rsidP="007B56F8">
            <w:pPr>
              <w:pStyle w:val="TableTextHeading"/>
              <w:spacing w:after="0"/>
              <w:rPr>
                <w:bCs/>
                <w:lang w:eastAsia="en-AU"/>
              </w:rPr>
            </w:pPr>
            <w:r w:rsidRPr="002E0EBF">
              <w:rPr>
                <w:bCs/>
                <w:lang w:eastAsia="en-AU"/>
              </w:rPr>
              <w:t>State laws &amp; programs</w:t>
            </w:r>
          </w:p>
        </w:tc>
        <w:tc>
          <w:tcPr>
            <w:tcW w:w="1097" w:type="dxa"/>
            <w:vMerge w:val="restart"/>
          </w:tcPr>
          <w:p w14:paraId="2082E5BC" w14:textId="77777777" w:rsidR="00126449" w:rsidRPr="002E0EBF" w:rsidRDefault="00126449" w:rsidP="007B56F8">
            <w:pPr>
              <w:pStyle w:val="TableTextHeading"/>
              <w:spacing w:after="0"/>
              <w:rPr>
                <w:bCs/>
                <w:lang w:eastAsia="en-AU"/>
              </w:rPr>
            </w:pPr>
            <w:r w:rsidRPr="002E0EBF">
              <w:rPr>
                <w:bCs/>
                <w:lang w:eastAsia="en-AU"/>
              </w:rPr>
              <w:t>Goods &amp; services</w:t>
            </w:r>
          </w:p>
        </w:tc>
        <w:tc>
          <w:tcPr>
            <w:tcW w:w="1161" w:type="dxa"/>
            <w:vMerge w:val="restart"/>
          </w:tcPr>
          <w:p w14:paraId="58B41D5C" w14:textId="37DD41F1" w:rsidR="00126449" w:rsidRPr="002E0EBF" w:rsidRDefault="00126449" w:rsidP="007B56F8">
            <w:pPr>
              <w:pStyle w:val="TableTextHeading"/>
              <w:spacing w:after="0"/>
              <w:rPr>
                <w:bCs/>
                <w:lang w:eastAsia="en-AU"/>
              </w:rPr>
            </w:pPr>
            <w:r w:rsidRPr="002E0EBF">
              <w:rPr>
                <w:bCs/>
                <w:lang w:eastAsia="en-AU"/>
              </w:rPr>
              <w:t>Club m</w:t>
            </w:r>
            <w:r w:rsidR="003905AE" w:rsidRPr="002E0EBF">
              <w:rPr>
                <w:bCs/>
                <w:lang w:eastAsia="en-AU"/>
              </w:rPr>
              <w:t>’</w:t>
            </w:r>
            <w:r w:rsidRPr="002E0EBF">
              <w:rPr>
                <w:bCs/>
                <w:lang w:eastAsia="en-AU"/>
              </w:rPr>
              <w:t>ship</w:t>
            </w:r>
          </w:p>
        </w:tc>
        <w:tc>
          <w:tcPr>
            <w:tcW w:w="1274" w:type="dxa"/>
            <w:vMerge w:val="restart"/>
          </w:tcPr>
          <w:p w14:paraId="10D737E1" w14:textId="77777777" w:rsidR="00126449" w:rsidRPr="002E0EBF" w:rsidRDefault="00126449" w:rsidP="007B56F8">
            <w:pPr>
              <w:pStyle w:val="TableTextHeading"/>
              <w:spacing w:after="0"/>
              <w:rPr>
                <w:bCs/>
                <w:lang w:eastAsia="en-AU"/>
              </w:rPr>
            </w:pPr>
            <w:r w:rsidRPr="002E0EBF">
              <w:rPr>
                <w:bCs/>
                <w:lang w:eastAsia="en-AU"/>
              </w:rPr>
              <w:t>Super &amp; insurance</w:t>
            </w:r>
          </w:p>
        </w:tc>
        <w:tc>
          <w:tcPr>
            <w:tcW w:w="1133" w:type="dxa"/>
            <w:vMerge w:val="restart"/>
          </w:tcPr>
          <w:p w14:paraId="2B8763F8" w14:textId="77777777" w:rsidR="00126449" w:rsidRPr="002E0EBF" w:rsidRDefault="00126449" w:rsidP="007B56F8">
            <w:pPr>
              <w:pStyle w:val="TableTextHeading"/>
              <w:spacing w:after="0"/>
              <w:rPr>
                <w:bCs/>
                <w:lang w:eastAsia="en-AU"/>
              </w:rPr>
            </w:pPr>
            <w:r w:rsidRPr="002E0EBF">
              <w:rPr>
                <w:bCs/>
                <w:lang w:eastAsia="en-AU"/>
              </w:rPr>
              <w:t>Disposal of land</w:t>
            </w:r>
          </w:p>
        </w:tc>
        <w:tc>
          <w:tcPr>
            <w:tcW w:w="1159" w:type="dxa"/>
            <w:vMerge w:val="restart"/>
          </w:tcPr>
          <w:p w14:paraId="0412E189" w14:textId="77777777" w:rsidR="00126449" w:rsidRPr="002E0EBF" w:rsidRDefault="00126449" w:rsidP="007B56F8">
            <w:pPr>
              <w:pStyle w:val="TableTextHeading"/>
              <w:spacing w:after="0"/>
              <w:rPr>
                <w:bCs/>
                <w:lang w:eastAsia="en-AU"/>
              </w:rPr>
            </w:pPr>
            <w:r w:rsidRPr="002E0EBF">
              <w:rPr>
                <w:bCs/>
                <w:lang w:eastAsia="en-AU"/>
              </w:rPr>
              <w:t>Work</w:t>
            </w:r>
          </w:p>
        </w:tc>
        <w:tc>
          <w:tcPr>
            <w:tcW w:w="1276" w:type="dxa"/>
            <w:vMerge w:val="restart"/>
          </w:tcPr>
          <w:p w14:paraId="63630056" w14:textId="77777777" w:rsidR="00126449" w:rsidRPr="002E0EBF" w:rsidRDefault="00126449" w:rsidP="007B56F8">
            <w:pPr>
              <w:pStyle w:val="TableTextHeading"/>
              <w:spacing w:after="0"/>
              <w:rPr>
                <w:bCs/>
                <w:lang w:eastAsia="en-AU"/>
              </w:rPr>
            </w:pPr>
            <w:r w:rsidRPr="002E0EBF">
              <w:rPr>
                <w:bCs/>
                <w:lang w:eastAsia="en-AU"/>
              </w:rPr>
              <w:t>Education</w:t>
            </w:r>
          </w:p>
        </w:tc>
        <w:tc>
          <w:tcPr>
            <w:tcW w:w="3031" w:type="dxa"/>
            <w:gridSpan w:val="2"/>
          </w:tcPr>
          <w:p w14:paraId="6810CC97" w14:textId="77777777" w:rsidR="00126449" w:rsidRPr="002E0EBF" w:rsidRDefault="00126449" w:rsidP="007B56F8">
            <w:pPr>
              <w:pStyle w:val="TableTextHeading"/>
              <w:spacing w:after="0"/>
              <w:rPr>
                <w:bCs/>
                <w:lang w:eastAsia="en-AU"/>
              </w:rPr>
            </w:pPr>
            <w:r w:rsidRPr="002E0EBF">
              <w:rPr>
                <w:bCs/>
                <w:lang w:eastAsia="en-AU"/>
              </w:rPr>
              <w:t>Total</w:t>
            </w:r>
          </w:p>
        </w:tc>
      </w:tr>
      <w:tr w:rsidR="003905AE" w:rsidRPr="002E0EBF" w14:paraId="4F9BFAF2" w14:textId="77777777" w:rsidTr="007B56F8">
        <w:trPr>
          <w:trHeight w:val="258"/>
        </w:trPr>
        <w:tc>
          <w:tcPr>
            <w:tcW w:w="1980" w:type="dxa"/>
            <w:vMerge/>
          </w:tcPr>
          <w:p w14:paraId="0D2C22BC" w14:textId="77777777" w:rsidR="00126449" w:rsidRPr="002E0EBF" w:rsidRDefault="00126449" w:rsidP="007B56F8">
            <w:pPr>
              <w:pStyle w:val="TableTextHeading"/>
              <w:spacing w:after="0"/>
              <w:rPr>
                <w:highlight w:val="yellow"/>
                <w:lang w:eastAsia="en-AU"/>
              </w:rPr>
            </w:pPr>
          </w:p>
        </w:tc>
        <w:tc>
          <w:tcPr>
            <w:tcW w:w="1535" w:type="dxa"/>
            <w:vMerge/>
          </w:tcPr>
          <w:p w14:paraId="713D2EFB" w14:textId="77777777" w:rsidR="00126449" w:rsidRPr="002E0EBF" w:rsidRDefault="00126449" w:rsidP="007B56F8">
            <w:pPr>
              <w:pStyle w:val="TableTextHeading"/>
              <w:spacing w:after="0"/>
              <w:rPr>
                <w:bCs/>
                <w:lang w:eastAsia="en-AU"/>
              </w:rPr>
            </w:pPr>
          </w:p>
        </w:tc>
        <w:tc>
          <w:tcPr>
            <w:tcW w:w="1429" w:type="dxa"/>
            <w:vMerge/>
          </w:tcPr>
          <w:p w14:paraId="53404539" w14:textId="77777777" w:rsidR="00126449" w:rsidRPr="002E0EBF" w:rsidRDefault="00126449" w:rsidP="007B56F8">
            <w:pPr>
              <w:pStyle w:val="TableTextHeading"/>
              <w:spacing w:after="0"/>
              <w:rPr>
                <w:bCs/>
                <w:lang w:eastAsia="en-AU"/>
              </w:rPr>
            </w:pPr>
          </w:p>
        </w:tc>
        <w:tc>
          <w:tcPr>
            <w:tcW w:w="1097" w:type="dxa"/>
            <w:vMerge/>
          </w:tcPr>
          <w:p w14:paraId="63AC873A" w14:textId="77777777" w:rsidR="00126449" w:rsidRPr="002E0EBF" w:rsidRDefault="00126449" w:rsidP="007B56F8">
            <w:pPr>
              <w:pStyle w:val="TableTextHeading"/>
              <w:spacing w:after="0"/>
              <w:rPr>
                <w:bCs/>
                <w:lang w:eastAsia="en-AU"/>
              </w:rPr>
            </w:pPr>
          </w:p>
        </w:tc>
        <w:tc>
          <w:tcPr>
            <w:tcW w:w="1161" w:type="dxa"/>
            <w:vMerge/>
          </w:tcPr>
          <w:p w14:paraId="6CCCAF02" w14:textId="77777777" w:rsidR="00126449" w:rsidRPr="002E0EBF" w:rsidRDefault="00126449" w:rsidP="007B56F8">
            <w:pPr>
              <w:pStyle w:val="TableTextHeading"/>
              <w:spacing w:after="0"/>
              <w:rPr>
                <w:bCs/>
                <w:lang w:eastAsia="en-AU"/>
              </w:rPr>
            </w:pPr>
          </w:p>
        </w:tc>
        <w:tc>
          <w:tcPr>
            <w:tcW w:w="1274" w:type="dxa"/>
            <w:vMerge/>
          </w:tcPr>
          <w:p w14:paraId="0362D1FF" w14:textId="77777777" w:rsidR="00126449" w:rsidRPr="002E0EBF" w:rsidRDefault="00126449" w:rsidP="007B56F8">
            <w:pPr>
              <w:pStyle w:val="TableTextHeading"/>
              <w:spacing w:after="0"/>
              <w:rPr>
                <w:bCs/>
                <w:lang w:eastAsia="en-AU"/>
              </w:rPr>
            </w:pPr>
          </w:p>
        </w:tc>
        <w:tc>
          <w:tcPr>
            <w:tcW w:w="1133" w:type="dxa"/>
            <w:vMerge/>
          </w:tcPr>
          <w:p w14:paraId="011ED744" w14:textId="77777777" w:rsidR="00126449" w:rsidRPr="002E0EBF" w:rsidRDefault="00126449" w:rsidP="007B56F8">
            <w:pPr>
              <w:pStyle w:val="TableTextHeading"/>
              <w:spacing w:after="0"/>
              <w:rPr>
                <w:bCs/>
                <w:lang w:eastAsia="en-AU"/>
              </w:rPr>
            </w:pPr>
          </w:p>
        </w:tc>
        <w:tc>
          <w:tcPr>
            <w:tcW w:w="1159" w:type="dxa"/>
            <w:vMerge/>
          </w:tcPr>
          <w:p w14:paraId="173504F3" w14:textId="77777777" w:rsidR="00126449" w:rsidRPr="002E0EBF" w:rsidRDefault="00126449" w:rsidP="007B56F8">
            <w:pPr>
              <w:pStyle w:val="TableTextHeading"/>
              <w:spacing w:after="0"/>
              <w:rPr>
                <w:bCs/>
                <w:lang w:eastAsia="en-AU"/>
              </w:rPr>
            </w:pPr>
          </w:p>
        </w:tc>
        <w:tc>
          <w:tcPr>
            <w:tcW w:w="1276" w:type="dxa"/>
            <w:vMerge/>
          </w:tcPr>
          <w:p w14:paraId="680BAF6C" w14:textId="77777777" w:rsidR="00126449" w:rsidRPr="002E0EBF" w:rsidRDefault="00126449" w:rsidP="007B56F8">
            <w:pPr>
              <w:pStyle w:val="TableTextHeading"/>
              <w:spacing w:after="0"/>
              <w:rPr>
                <w:bCs/>
                <w:lang w:eastAsia="en-AU"/>
              </w:rPr>
            </w:pPr>
          </w:p>
        </w:tc>
        <w:tc>
          <w:tcPr>
            <w:tcW w:w="2196" w:type="dxa"/>
          </w:tcPr>
          <w:p w14:paraId="2355C313" w14:textId="77777777" w:rsidR="00126449" w:rsidRPr="002E0EBF" w:rsidRDefault="00126449" w:rsidP="007B56F8">
            <w:pPr>
              <w:pStyle w:val="TableTextHeading"/>
              <w:spacing w:after="0"/>
              <w:rPr>
                <w:bCs/>
                <w:lang w:eastAsia="en-AU"/>
              </w:rPr>
            </w:pPr>
            <w:r w:rsidRPr="002E0EBF">
              <w:rPr>
                <w:bCs/>
                <w:lang w:eastAsia="en-AU"/>
              </w:rPr>
              <w:t>#</w:t>
            </w:r>
          </w:p>
        </w:tc>
        <w:tc>
          <w:tcPr>
            <w:tcW w:w="835" w:type="dxa"/>
          </w:tcPr>
          <w:p w14:paraId="2C298339" w14:textId="77777777" w:rsidR="00126449" w:rsidRPr="002E0EBF" w:rsidRDefault="00126449" w:rsidP="007B56F8">
            <w:pPr>
              <w:pStyle w:val="TableTextHeading"/>
              <w:spacing w:after="0"/>
              <w:rPr>
                <w:bCs/>
                <w:highlight w:val="yellow"/>
                <w:lang w:eastAsia="en-AU"/>
              </w:rPr>
            </w:pPr>
            <w:r w:rsidRPr="002E0EBF">
              <w:rPr>
                <w:bCs/>
                <w:lang w:eastAsia="en-AU"/>
              </w:rPr>
              <w:t>%</w:t>
            </w:r>
          </w:p>
        </w:tc>
      </w:tr>
      <w:tr w:rsidR="003905AE" w:rsidRPr="002E0EBF" w14:paraId="2B2CCE80" w14:textId="77777777" w:rsidTr="00D213FE">
        <w:tc>
          <w:tcPr>
            <w:tcW w:w="1980" w:type="dxa"/>
          </w:tcPr>
          <w:p w14:paraId="2DF6FC91" w14:textId="77777777" w:rsidR="00126449" w:rsidRPr="002E0EBF" w:rsidRDefault="00126449" w:rsidP="00B30B99">
            <w:pPr>
              <w:pStyle w:val="TableTextBody"/>
              <w:rPr>
                <w:i/>
                <w:lang w:eastAsia="en-AU"/>
              </w:rPr>
            </w:pPr>
            <w:r w:rsidRPr="002E0EBF">
              <w:rPr>
                <w:lang w:eastAsia="en-AU"/>
              </w:rPr>
              <w:t>Age</w:t>
            </w:r>
          </w:p>
        </w:tc>
        <w:tc>
          <w:tcPr>
            <w:tcW w:w="1535" w:type="dxa"/>
          </w:tcPr>
          <w:p w14:paraId="77441AAB" w14:textId="77777777" w:rsidR="00126449" w:rsidRPr="002E0EBF" w:rsidRDefault="00126449" w:rsidP="00D213FE">
            <w:pPr>
              <w:pStyle w:val="TableTextBody"/>
              <w:jc w:val="right"/>
              <w:rPr>
                <w:i/>
                <w:lang w:eastAsia="en-AU"/>
              </w:rPr>
            </w:pPr>
            <w:r w:rsidRPr="002E0EBF">
              <w:rPr>
                <w:lang w:eastAsia="en-AU"/>
              </w:rPr>
              <w:t>3</w:t>
            </w:r>
          </w:p>
        </w:tc>
        <w:tc>
          <w:tcPr>
            <w:tcW w:w="1429" w:type="dxa"/>
          </w:tcPr>
          <w:p w14:paraId="0AC003B7"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097" w:type="dxa"/>
          </w:tcPr>
          <w:p w14:paraId="035B450C" w14:textId="77777777" w:rsidR="00126449" w:rsidRPr="002E0EBF" w:rsidRDefault="00126449" w:rsidP="00D213FE">
            <w:pPr>
              <w:pStyle w:val="TableTextBody"/>
              <w:jc w:val="right"/>
              <w:rPr>
                <w:i/>
                <w:lang w:eastAsia="en-AU"/>
              </w:rPr>
            </w:pPr>
            <w:r w:rsidRPr="002E0EBF">
              <w:rPr>
                <w:lang w:eastAsia="en-AU"/>
              </w:rPr>
              <w:t>3</w:t>
            </w:r>
          </w:p>
        </w:tc>
        <w:tc>
          <w:tcPr>
            <w:tcW w:w="1161" w:type="dxa"/>
          </w:tcPr>
          <w:p w14:paraId="5F748E5C"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274" w:type="dxa"/>
          </w:tcPr>
          <w:p w14:paraId="158657AF" w14:textId="77777777" w:rsidR="00126449" w:rsidRPr="002E0EBF" w:rsidRDefault="00126449" w:rsidP="00D213FE">
            <w:pPr>
              <w:pStyle w:val="TableTextBody"/>
              <w:jc w:val="right"/>
              <w:rPr>
                <w:i/>
                <w:lang w:eastAsia="en-AU"/>
              </w:rPr>
            </w:pPr>
            <w:r w:rsidRPr="002E0EBF">
              <w:rPr>
                <w:lang w:eastAsia="en-AU"/>
              </w:rPr>
              <w:t>1</w:t>
            </w:r>
          </w:p>
        </w:tc>
        <w:tc>
          <w:tcPr>
            <w:tcW w:w="1133" w:type="dxa"/>
          </w:tcPr>
          <w:p w14:paraId="5DDE9C81"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59" w:type="dxa"/>
          </w:tcPr>
          <w:p w14:paraId="4026E917" w14:textId="77777777" w:rsidR="00126449" w:rsidRPr="002E0EBF" w:rsidRDefault="00126449" w:rsidP="00D213FE">
            <w:pPr>
              <w:pStyle w:val="TableTextBody"/>
              <w:jc w:val="right"/>
              <w:rPr>
                <w:i/>
                <w:lang w:eastAsia="en-AU"/>
              </w:rPr>
            </w:pPr>
            <w:r w:rsidRPr="002E0EBF">
              <w:rPr>
                <w:lang w:eastAsia="en-AU"/>
              </w:rPr>
              <w:t>27</w:t>
            </w:r>
          </w:p>
        </w:tc>
        <w:tc>
          <w:tcPr>
            <w:tcW w:w="1276" w:type="dxa"/>
          </w:tcPr>
          <w:p w14:paraId="2FC8E43C"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2196" w:type="dxa"/>
          </w:tcPr>
          <w:p w14:paraId="48E89336" w14:textId="77777777" w:rsidR="00126449" w:rsidRPr="002E0EBF" w:rsidRDefault="00126449" w:rsidP="00D213FE">
            <w:pPr>
              <w:pStyle w:val="TableTextBody"/>
              <w:jc w:val="right"/>
              <w:rPr>
                <w:i/>
                <w:lang w:eastAsia="en-AU"/>
              </w:rPr>
            </w:pPr>
            <w:r w:rsidRPr="002E0EBF">
              <w:rPr>
                <w:lang w:eastAsia="en-AU"/>
              </w:rPr>
              <w:t>34</w:t>
            </w:r>
          </w:p>
        </w:tc>
        <w:tc>
          <w:tcPr>
            <w:tcW w:w="835" w:type="dxa"/>
          </w:tcPr>
          <w:p w14:paraId="1D64480D" w14:textId="77777777" w:rsidR="00126449" w:rsidRPr="002E0EBF" w:rsidRDefault="00126449" w:rsidP="00D213FE">
            <w:pPr>
              <w:pStyle w:val="TableTextBody"/>
              <w:jc w:val="right"/>
              <w:rPr>
                <w:i/>
                <w:lang w:eastAsia="en-AU"/>
              </w:rPr>
            </w:pPr>
            <w:r w:rsidRPr="002E0EBF">
              <w:rPr>
                <w:lang w:eastAsia="en-AU"/>
              </w:rPr>
              <w:t>5.5</w:t>
            </w:r>
          </w:p>
        </w:tc>
      </w:tr>
      <w:tr w:rsidR="003905AE" w:rsidRPr="002E0EBF" w14:paraId="5DD046C5" w14:textId="77777777" w:rsidTr="00D213FE">
        <w:tc>
          <w:tcPr>
            <w:tcW w:w="1980" w:type="dxa"/>
          </w:tcPr>
          <w:p w14:paraId="70FACBAE" w14:textId="77777777" w:rsidR="00126449" w:rsidRPr="002E0EBF" w:rsidRDefault="00126449" w:rsidP="00B30B99">
            <w:pPr>
              <w:pStyle w:val="TableTextBody"/>
              <w:rPr>
                <w:i/>
                <w:lang w:eastAsia="en-AU"/>
              </w:rPr>
            </w:pPr>
            <w:r w:rsidRPr="002E0EBF">
              <w:rPr>
                <w:lang w:eastAsia="en-AU"/>
              </w:rPr>
              <w:t>Breastfeeding</w:t>
            </w:r>
          </w:p>
        </w:tc>
        <w:tc>
          <w:tcPr>
            <w:tcW w:w="1535" w:type="dxa"/>
          </w:tcPr>
          <w:p w14:paraId="6064C17A"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429" w:type="dxa"/>
          </w:tcPr>
          <w:p w14:paraId="145F5B7C"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097" w:type="dxa"/>
          </w:tcPr>
          <w:p w14:paraId="294568AF"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61" w:type="dxa"/>
          </w:tcPr>
          <w:p w14:paraId="66CDC3BC"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274" w:type="dxa"/>
          </w:tcPr>
          <w:p w14:paraId="7EDAEC0B"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33" w:type="dxa"/>
          </w:tcPr>
          <w:p w14:paraId="2F9E5FA7"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59" w:type="dxa"/>
          </w:tcPr>
          <w:p w14:paraId="69C854AB"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276" w:type="dxa"/>
          </w:tcPr>
          <w:p w14:paraId="45651D81"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2196" w:type="dxa"/>
          </w:tcPr>
          <w:p w14:paraId="5329C198" w14:textId="77777777" w:rsidR="00126449" w:rsidRPr="002E0EBF" w:rsidRDefault="00126449" w:rsidP="00D213FE">
            <w:pPr>
              <w:pStyle w:val="TableTextBody"/>
              <w:jc w:val="right"/>
              <w:rPr>
                <w:i/>
                <w:lang w:eastAsia="en-AU"/>
              </w:rPr>
            </w:pPr>
            <w:r w:rsidRPr="002E0EBF">
              <w:rPr>
                <w:rFonts w:eastAsia="Times New Roman"/>
                <w:lang w:eastAsia="en-AU"/>
              </w:rPr>
              <w:t>0</w:t>
            </w:r>
          </w:p>
        </w:tc>
        <w:tc>
          <w:tcPr>
            <w:tcW w:w="835" w:type="dxa"/>
          </w:tcPr>
          <w:p w14:paraId="03F4B4FF" w14:textId="6F96D1CB" w:rsidR="00126449" w:rsidRPr="002E0EBF" w:rsidRDefault="00CA1B0C" w:rsidP="00D213FE">
            <w:pPr>
              <w:pStyle w:val="TableTextBody"/>
              <w:jc w:val="right"/>
              <w:rPr>
                <w:i/>
                <w:lang w:eastAsia="en-AU"/>
              </w:rPr>
            </w:pPr>
            <w:r w:rsidRPr="002E0EBF">
              <w:rPr>
                <w:rFonts w:eastAsia="Times New Roman"/>
                <w:lang w:eastAsia="en-AU"/>
              </w:rPr>
              <w:t>—</w:t>
            </w:r>
          </w:p>
        </w:tc>
      </w:tr>
      <w:tr w:rsidR="003905AE" w:rsidRPr="002E0EBF" w14:paraId="719B0511" w14:textId="77777777" w:rsidTr="00D213FE">
        <w:trPr>
          <w:trHeight w:val="268"/>
        </w:trPr>
        <w:tc>
          <w:tcPr>
            <w:tcW w:w="1980" w:type="dxa"/>
          </w:tcPr>
          <w:p w14:paraId="1A37CCE2" w14:textId="77777777" w:rsidR="00126449" w:rsidRPr="002E0EBF" w:rsidRDefault="00126449" w:rsidP="00B30B99">
            <w:pPr>
              <w:pStyle w:val="TableTextBody"/>
              <w:rPr>
                <w:i/>
                <w:lang w:eastAsia="en-AU"/>
              </w:rPr>
            </w:pPr>
            <w:r w:rsidRPr="002E0EBF">
              <w:rPr>
                <w:lang w:eastAsia="en-AU"/>
              </w:rPr>
              <w:t>Family responsibility</w:t>
            </w:r>
          </w:p>
        </w:tc>
        <w:tc>
          <w:tcPr>
            <w:tcW w:w="1535" w:type="dxa"/>
          </w:tcPr>
          <w:p w14:paraId="69BBC15B" w14:textId="77777777" w:rsidR="00126449" w:rsidRPr="002E0EBF" w:rsidRDefault="00126449" w:rsidP="00D213FE">
            <w:pPr>
              <w:pStyle w:val="TableTextBody"/>
              <w:jc w:val="right"/>
              <w:rPr>
                <w:i/>
                <w:lang w:eastAsia="en-AU"/>
              </w:rPr>
            </w:pPr>
            <w:r w:rsidRPr="002E0EBF">
              <w:rPr>
                <w:lang w:eastAsia="en-AU"/>
              </w:rPr>
              <w:t>3</w:t>
            </w:r>
          </w:p>
        </w:tc>
        <w:tc>
          <w:tcPr>
            <w:tcW w:w="1429" w:type="dxa"/>
          </w:tcPr>
          <w:p w14:paraId="62F5B64B"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097" w:type="dxa"/>
          </w:tcPr>
          <w:p w14:paraId="075F4D37"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61" w:type="dxa"/>
          </w:tcPr>
          <w:p w14:paraId="6E21F505"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274" w:type="dxa"/>
          </w:tcPr>
          <w:p w14:paraId="27C1A9F1"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33" w:type="dxa"/>
          </w:tcPr>
          <w:p w14:paraId="4BA15665"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59" w:type="dxa"/>
          </w:tcPr>
          <w:p w14:paraId="077C445A" w14:textId="77777777" w:rsidR="00126449" w:rsidRPr="002E0EBF" w:rsidRDefault="00126449" w:rsidP="00D213FE">
            <w:pPr>
              <w:pStyle w:val="TableTextBody"/>
              <w:jc w:val="right"/>
              <w:rPr>
                <w:i/>
                <w:lang w:eastAsia="en-AU"/>
              </w:rPr>
            </w:pPr>
            <w:r w:rsidRPr="002E0EBF">
              <w:rPr>
                <w:lang w:eastAsia="en-AU"/>
              </w:rPr>
              <w:t>27</w:t>
            </w:r>
          </w:p>
        </w:tc>
        <w:tc>
          <w:tcPr>
            <w:tcW w:w="1276" w:type="dxa"/>
          </w:tcPr>
          <w:p w14:paraId="4556D423"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2196" w:type="dxa"/>
          </w:tcPr>
          <w:p w14:paraId="2F151955" w14:textId="77777777" w:rsidR="00126449" w:rsidRPr="002E0EBF" w:rsidRDefault="00126449" w:rsidP="00D213FE">
            <w:pPr>
              <w:pStyle w:val="TableTextBody"/>
              <w:jc w:val="right"/>
              <w:rPr>
                <w:i/>
                <w:lang w:eastAsia="en-AU"/>
              </w:rPr>
            </w:pPr>
            <w:r w:rsidRPr="002E0EBF">
              <w:rPr>
                <w:lang w:eastAsia="en-AU"/>
              </w:rPr>
              <w:t>30</w:t>
            </w:r>
          </w:p>
        </w:tc>
        <w:tc>
          <w:tcPr>
            <w:tcW w:w="835" w:type="dxa"/>
          </w:tcPr>
          <w:p w14:paraId="5779AAD1" w14:textId="77777777" w:rsidR="00126449" w:rsidRPr="002E0EBF" w:rsidRDefault="00126449" w:rsidP="00D213FE">
            <w:pPr>
              <w:pStyle w:val="TableTextBody"/>
              <w:jc w:val="right"/>
              <w:rPr>
                <w:i/>
                <w:lang w:eastAsia="en-AU"/>
              </w:rPr>
            </w:pPr>
            <w:r w:rsidRPr="002E0EBF">
              <w:rPr>
                <w:lang w:eastAsia="en-AU"/>
              </w:rPr>
              <w:t>4.9</w:t>
            </w:r>
          </w:p>
        </w:tc>
      </w:tr>
      <w:tr w:rsidR="003905AE" w:rsidRPr="002E0EBF" w14:paraId="305FC6FD" w14:textId="77777777" w:rsidTr="00D213FE">
        <w:tc>
          <w:tcPr>
            <w:tcW w:w="1980" w:type="dxa"/>
          </w:tcPr>
          <w:p w14:paraId="631E41A7" w14:textId="77777777" w:rsidR="00126449" w:rsidRPr="002E0EBF" w:rsidRDefault="00126449" w:rsidP="00B30B99">
            <w:pPr>
              <w:pStyle w:val="TableTextBody"/>
              <w:rPr>
                <w:i/>
                <w:lang w:eastAsia="en-AU"/>
              </w:rPr>
            </w:pPr>
            <w:r w:rsidRPr="002E0EBF">
              <w:rPr>
                <w:lang w:eastAsia="en-AU"/>
              </w:rPr>
              <w:t>Gender identity</w:t>
            </w:r>
          </w:p>
        </w:tc>
        <w:tc>
          <w:tcPr>
            <w:tcW w:w="1535" w:type="dxa"/>
          </w:tcPr>
          <w:p w14:paraId="1AC993D7"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429" w:type="dxa"/>
          </w:tcPr>
          <w:p w14:paraId="42394F5C" w14:textId="77777777" w:rsidR="00126449" w:rsidRPr="002E0EBF" w:rsidRDefault="00126449" w:rsidP="00D213FE">
            <w:pPr>
              <w:pStyle w:val="TableTextBody"/>
              <w:jc w:val="right"/>
              <w:rPr>
                <w:i/>
                <w:lang w:eastAsia="en-AU"/>
              </w:rPr>
            </w:pPr>
            <w:r w:rsidRPr="002E0EBF">
              <w:rPr>
                <w:lang w:eastAsia="en-AU"/>
              </w:rPr>
              <w:t>3</w:t>
            </w:r>
          </w:p>
        </w:tc>
        <w:tc>
          <w:tcPr>
            <w:tcW w:w="1097" w:type="dxa"/>
          </w:tcPr>
          <w:p w14:paraId="2BA6555D" w14:textId="77777777" w:rsidR="00126449" w:rsidRPr="002E0EBF" w:rsidRDefault="00126449" w:rsidP="00D213FE">
            <w:pPr>
              <w:pStyle w:val="TableTextBody"/>
              <w:jc w:val="right"/>
              <w:rPr>
                <w:i/>
                <w:lang w:eastAsia="en-AU"/>
              </w:rPr>
            </w:pPr>
            <w:r w:rsidRPr="002E0EBF">
              <w:rPr>
                <w:lang w:eastAsia="en-AU"/>
              </w:rPr>
              <w:t>2</w:t>
            </w:r>
          </w:p>
        </w:tc>
        <w:tc>
          <w:tcPr>
            <w:tcW w:w="1161" w:type="dxa"/>
          </w:tcPr>
          <w:p w14:paraId="27259B91" w14:textId="77777777" w:rsidR="00126449" w:rsidRPr="002E0EBF" w:rsidRDefault="00126449" w:rsidP="00D213FE">
            <w:pPr>
              <w:pStyle w:val="TableTextBody"/>
              <w:jc w:val="right"/>
              <w:rPr>
                <w:i/>
                <w:lang w:eastAsia="en-AU"/>
              </w:rPr>
            </w:pPr>
            <w:r w:rsidRPr="002E0EBF">
              <w:rPr>
                <w:lang w:eastAsia="en-AU"/>
              </w:rPr>
              <w:t>1</w:t>
            </w:r>
          </w:p>
        </w:tc>
        <w:tc>
          <w:tcPr>
            <w:tcW w:w="1274" w:type="dxa"/>
          </w:tcPr>
          <w:p w14:paraId="68CDC7CA"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33" w:type="dxa"/>
          </w:tcPr>
          <w:p w14:paraId="3976807A"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59" w:type="dxa"/>
          </w:tcPr>
          <w:p w14:paraId="122B97F9" w14:textId="77777777" w:rsidR="00126449" w:rsidRPr="002E0EBF" w:rsidRDefault="00126449" w:rsidP="00D213FE">
            <w:pPr>
              <w:pStyle w:val="TableTextBody"/>
              <w:jc w:val="right"/>
              <w:rPr>
                <w:i/>
                <w:lang w:eastAsia="en-AU"/>
              </w:rPr>
            </w:pPr>
            <w:r w:rsidRPr="002E0EBF">
              <w:rPr>
                <w:lang w:eastAsia="en-AU"/>
              </w:rPr>
              <w:t>2</w:t>
            </w:r>
          </w:p>
        </w:tc>
        <w:tc>
          <w:tcPr>
            <w:tcW w:w="1276" w:type="dxa"/>
          </w:tcPr>
          <w:p w14:paraId="2D71E228" w14:textId="77777777" w:rsidR="00126449" w:rsidRPr="002E0EBF" w:rsidRDefault="00126449" w:rsidP="00D213FE">
            <w:pPr>
              <w:pStyle w:val="TableTextBody"/>
              <w:jc w:val="right"/>
              <w:rPr>
                <w:i/>
                <w:lang w:eastAsia="en-AU"/>
              </w:rPr>
            </w:pPr>
            <w:r w:rsidRPr="002E0EBF">
              <w:rPr>
                <w:lang w:eastAsia="en-AU"/>
              </w:rPr>
              <w:t>1</w:t>
            </w:r>
          </w:p>
        </w:tc>
        <w:tc>
          <w:tcPr>
            <w:tcW w:w="2196" w:type="dxa"/>
          </w:tcPr>
          <w:p w14:paraId="04FDE2F0" w14:textId="77777777" w:rsidR="00126449" w:rsidRPr="002E0EBF" w:rsidRDefault="00126449" w:rsidP="00D213FE">
            <w:pPr>
              <w:pStyle w:val="TableTextBody"/>
              <w:jc w:val="right"/>
              <w:rPr>
                <w:i/>
                <w:lang w:eastAsia="en-AU"/>
              </w:rPr>
            </w:pPr>
            <w:r w:rsidRPr="002E0EBF">
              <w:rPr>
                <w:lang w:eastAsia="en-AU"/>
              </w:rPr>
              <w:t>9</w:t>
            </w:r>
          </w:p>
        </w:tc>
        <w:tc>
          <w:tcPr>
            <w:tcW w:w="835" w:type="dxa"/>
          </w:tcPr>
          <w:p w14:paraId="1AF7D2D4" w14:textId="77777777" w:rsidR="00126449" w:rsidRPr="002E0EBF" w:rsidRDefault="00126449" w:rsidP="00D213FE">
            <w:pPr>
              <w:pStyle w:val="TableTextBody"/>
              <w:jc w:val="right"/>
              <w:rPr>
                <w:i/>
                <w:lang w:eastAsia="en-AU"/>
              </w:rPr>
            </w:pPr>
            <w:r w:rsidRPr="002E0EBF">
              <w:rPr>
                <w:lang w:eastAsia="en-AU"/>
              </w:rPr>
              <w:t>1.5</w:t>
            </w:r>
          </w:p>
        </w:tc>
      </w:tr>
      <w:tr w:rsidR="003905AE" w:rsidRPr="002E0EBF" w14:paraId="7BD66004" w14:textId="77777777" w:rsidTr="00D213FE">
        <w:tc>
          <w:tcPr>
            <w:tcW w:w="1980" w:type="dxa"/>
          </w:tcPr>
          <w:p w14:paraId="6561A5AF" w14:textId="77777777" w:rsidR="00126449" w:rsidRPr="002E0EBF" w:rsidRDefault="00126449" w:rsidP="00B30B99">
            <w:pPr>
              <w:pStyle w:val="TableTextBody"/>
              <w:rPr>
                <w:i/>
                <w:lang w:eastAsia="en-AU"/>
              </w:rPr>
            </w:pPr>
            <w:r w:rsidRPr="002E0EBF">
              <w:rPr>
                <w:lang w:eastAsia="en-AU"/>
              </w:rPr>
              <w:t>Impairment</w:t>
            </w:r>
          </w:p>
        </w:tc>
        <w:tc>
          <w:tcPr>
            <w:tcW w:w="1535" w:type="dxa"/>
          </w:tcPr>
          <w:p w14:paraId="6E1E193E" w14:textId="77777777" w:rsidR="00126449" w:rsidRPr="002E0EBF" w:rsidRDefault="00126449" w:rsidP="00D213FE">
            <w:pPr>
              <w:pStyle w:val="TableTextBody"/>
              <w:jc w:val="right"/>
              <w:rPr>
                <w:i/>
                <w:lang w:eastAsia="en-AU"/>
              </w:rPr>
            </w:pPr>
            <w:r w:rsidRPr="002E0EBF">
              <w:rPr>
                <w:lang w:eastAsia="en-AU"/>
              </w:rPr>
              <w:t>23</w:t>
            </w:r>
          </w:p>
        </w:tc>
        <w:tc>
          <w:tcPr>
            <w:tcW w:w="1429" w:type="dxa"/>
          </w:tcPr>
          <w:p w14:paraId="13BB443B" w14:textId="77777777" w:rsidR="00126449" w:rsidRPr="002E0EBF" w:rsidRDefault="00126449" w:rsidP="00D213FE">
            <w:pPr>
              <w:pStyle w:val="TableTextBody"/>
              <w:jc w:val="right"/>
              <w:rPr>
                <w:i/>
                <w:lang w:eastAsia="en-AU"/>
              </w:rPr>
            </w:pPr>
            <w:r w:rsidRPr="002E0EBF">
              <w:rPr>
                <w:lang w:eastAsia="en-AU"/>
              </w:rPr>
              <w:t>14</w:t>
            </w:r>
          </w:p>
        </w:tc>
        <w:tc>
          <w:tcPr>
            <w:tcW w:w="1097" w:type="dxa"/>
          </w:tcPr>
          <w:p w14:paraId="123543B5" w14:textId="77777777" w:rsidR="00126449" w:rsidRPr="002E0EBF" w:rsidRDefault="00126449" w:rsidP="00D213FE">
            <w:pPr>
              <w:pStyle w:val="TableTextBody"/>
              <w:jc w:val="right"/>
              <w:rPr>
                <w:i/>
                <w:lang w:eastAsia="en-AU"/>
              </w:rPr>
            </w:pPr>
            <w:r w:rsidRPr="002E0EBF">
              <w:rPr>
                <w:lang w:eastAsia="en-AU"/>
              </w:rPr>
              <w:t>55</w:t>
            </w:r>
          </w:p>
        </w:tc>
        <w:tc>
          <w:tcPr>
            <w:tcW w:w="1161" w:type="dxa"/>
          </w:tcPr>
          <w:p w14:paraId="20733A0B" w14:textId="77777777" w:rsidR="00126449" w:rsidRPr="002E0EBF" w:rsidRDefault="00126449" w:rsidP="00D213FE">
            <w:pPr>
              <w:pStyle w:val="TableTextBody"/>
              <w:jc w:val="right"/>
              <w:rPr>
                <w:i/>
                <w:lang w:eastAsia="en-AU"/>
              </w:rPr>
            </w:pPr>
            <w:r w:rsidRPr="002E0EBF">
              <w:rPr>
                <w:lang w:eastAsia="en-AU"/>
              </w:rPr>
              <w:t>1</w:t>
            </w:r>
          </w:p>
        </w:tc>
        <w:tc>
          <w:tcPr>
            <w:tcW w:w="1274" w:type="dxa"/>
          </w:tcPr>
          <w:p w14:paraId="7F866FD0"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33" w:type="dxa"/>
          </w:tcPr>
          <w:p w14:paraId="637C8B20"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59" w:type="dxa"/>
          </w:tcPr>
          <w:p w14:paraId="3BF24189" w14:textId="77777777" w:rsidR="00126449" w:rsidRPr="002E0EBF" w:rsidRDefault="00126449" w:rsidP="00D213FE">
            <w:pPr>
              <w:pStyle w:val="TableTextBody"/>
              <w:jc w:val="right"/>
              <w:rPr>
                <w:i/>
                <w:lang w:eastAsia="en-AU"/>
              </w:rPr>
            </w:pPr>
            <w:r w:rsidRPr="002E0EBF">
              <w:rPr>
                <w:lang w:eastAsia="en-AU"/>
              </w:rPr>
              <w:t>142</w:t>
            </w:r>
          </w:p>
        </w:tc>
        <w:tc>
          <w:tcPr>
            <w:tcW w:w="1276" w:type="dxa"/>
          </w:tcPr>
          <w:p w14:paraId="57C908B9" w14:textId="77777777" w:rsidR="00126449" w:rsidRPr="002E0EBF" w:rsidRDefault="00126449" w:rsidP="00D213FE">
            <w:pPr>
              <w:pStyle w:val="TableTextBody"/>
              <w:jc w:val="right"/>
              <w:rPr>
                <w:i/>
                <w:lang w:eastAsia="en-AU"/>
              </w:rPr>
            </w:pPr>
            <w:r w:rsidRPr="002E0EBF">
              <w:rPr>
                <w:lang w:eastAsia="en-AU"/>
              </w:rPr>
              <w:t>19</w:t>
            </w:r>
          </w:p>
        </w:tc>
        <w:tc>
          <w:tcPr>
            <w:tcW w:w="2196" w:type="dxa"/>
          </w:tcPr>
          <w:p w14:paraId="566086E2" w14:textId="77777777" w:rsidR="00126449" w:rsidRPr="002E0EBF" w:rsidRDefault="00126449" w:rsidP="00D213FE">
            <w:pPr>
              <w:pStyle w:val="TableTextBody"/>
              <w:jc w:val="right"/>
              <w:rPr>
                <w:i/>
                <w:lang w:eastAsia="en-AU"/>
              </w:rPr>
            </w:pPr>
            <w:r w:rsidRPr="002E0EBF">
              <w:rPr>
                <w:lang w:eastAsia="en-AU"/>
              </w:rPr>
              <w:t>254</w:t>
            </w:r>
          </w:p>
        </w:tc>
        <w:tc>
          <w:tcPr>
            <w:tcW w:w="835" w:type="dxa"/>
          </w:tcPr>
          <w:p w14:paraId="50237899" w14:textId="77777777" w:rsidR="00126449" w:rsidRPr="002E0EBF" w:rsidRDefault="00126449" w:rsidP="00D213FE">
            <w:pPr>
              <w:pStyle w:val="TableTextBody"/>
              <w:jc w:val="right"/>
              <w:rPr>
                <w:i/>
                <w:lang w:eastAsia="en-AU"/>
              </w:rPr>
            </w:pPr>
            <w:r w:rsidRPr="002E0EBF">
              <w:rPr>
                <w:lang w:eastAsia="en-AU"/>
              </w:rPr>
              <w:t>41.1</w:t>
            </w:r>
          </w:p>
        </w:tc>
      </w:tr>
      <w:tr w:rsidR="003905AE" w:rsidRPr="002E0EBF" w14:paraId="50CE0251" w14:textId="77777777" w:rsidTr="00D213FE">
        <w:trPr>
          <w:trHeight w:val="268"/>
        </w:trPr>
        <w:tc>
          <w:tcPr>
            <w:tcW w:w="1980" w:type="dxa"/>
          </w:tcPr>
          <w:p w14:paraId="6A2E82DF" w14:textId="77777777" w:rsidR="00126449" w:rsidRPr="002E0EBF" w:rsidRDefault="00126449" w:rsidP="00B30B99">
            <w:pPr>
              <w:pStyle w:val="TableTextBody"/>
              <w:rPr>
                <w:i/>
                <w:lang w:eastAsia="en-AU"/>
              </w:rPr>
            </w:pPr>
            <w:r w:rsidRPr="002E0EBF">
              <w:rPr>
                <w:lang w:eastAsia="en-AU"/>
              </w:rPr>
              <w:t>Lawful sexual activity</w:t>
            </w:r>
          </w:p>
        </w:tc>
        <w:tc>
          <w:tcPr>
            <w:tcW w:w="1535" w:type="dxa"/>
          </w:tcPr>
          <w:p w14:paraId="155F83F3"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429" w:type="dxa"/>
          </w:tcPr>
          <w:p w14:paraId="0C55BA14" w14:textId="77777777" w:rsidR="00126449" w:rsidRPr="002E0EBF" w:rsidRDefault="00126449" w:rsidP="00D213FE">
            <w:pPr>
              <w:pStyle w:val="TableTextBody"/>
              <w:jc w:val="right"/>
              <w:rPr>
                <w:i/>
                <w:lang w:eastAsia="en-AU"/>
              </w:rPr>
            </w:pPr>
            <w:r w:rsidRPr="002E0EBF">
              <w:rPr>
                <w:lang w:eastAsia="en-AU"/>
              </w:rPr>
              <w:t>1</w:t>
            </w:r>
          </w:p>
        </w:tc>
        <w:tc>
          <w:tcPr>
            <w:tcW w:w="1097" w:type="dxa"/>
          </w:tcPr>
          <w:p w14:paraId="4FD0389A" w14:textId="77777777" w:rsidR="00126449" w:rsidRPr="002E0EBF" w:rsidRDefault="00126449" w:rsidP="00D213FE">
            <w:pPr>
              <w:pStyle w:val="TableTextBody"/>
              <w:jc w:val="right"/>
              <w:rPr>
                <w:i/>
                <w:lang w:eastAsia="en-AU"/>
              </w:rPr>
            </w:pPr>
            <w:r w:rsidRPr="002E0EBF">
              <w:rPr>
                <w:lang w:eastAsia="en-AU"/>
              </w:rPr>
              <w:t>2</w:t>
            </w:r>
          </w:p>
        </w:tc>
        <w:tc>
          <w:tcPr>
            <w:tcW w:w="1161" w:type="dxa"/>
          </w:tcPr>
          <w:p w14:paraId="021853A6"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274" w:type="dxa"/>
          </w:tcPr>
          <w:p w14:paraId="7A4DC9C3"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33" w:type="dxa"/>
          </w:tcPr>
          <w:p w14:paraId="15424278"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59" w:type="dxa"/>
          </w:tcPr>
          <w:p w14:paraId="29FCAD1E"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276" w:type="dxa"/>
          </w:tcPr>
          <w:p w14:paraId="5D8A223A"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2196" w:type="dxa"/>
          </w:tcPr>
          <w:p w14:paraId="174FEC1B" w14:textId="77777777" w:rsidR="00126449" w:rsidRPr="002E0EBF" w:rsidRDefault="00126449" w:rsidP="00D213FE">
            <w:pPr>
              <w:pStyle w:val="TableTextBody"/>
              <w:jc w:val="right"/>
              <w:rPr>
                <w:i/>
                <w:lang w:eastAsia="en-AU"/>
              </w:rPr>
            </w:pPr>
            <w:r w:rsidRPr="002E0EBF">
              <w:rPr>
                <w:lang w:eastAsia="en-AU"/>
              </w:rPr>
              <w:t>3</w:t>
            </w:r>
          </w:p>
        </w:tc>
        <w:tc>
          <w:tcPr>
            <w:tcW w:w="835" w:type="dxa"/>
          </w:tcPr>
          <w:p w14:paraId="702183E6" w14:textId="77777777" w:rsidR="00126449" w:rsidRPr="002E0EBF" w:rsidRDefault="00126449" w:rsidP="00D213FE">
            <w:pPr>
              <w:pStyle w:val="TableTextBody"/>
              <w:jc w:val="right"/>
              <w:rPr>
                <w:i/>
                <w:lang w:eastAsia="en-AU"/>
              </w:rPr>
            </w:pPr>
            <w:r w:rsidRPr="002E0EBF">
              <w:rPr>
                <w:lang w:eastAsia="en-AU"/>
              </w:rPr>
              <w:t>0.5</w:t>
            </w:r>
          </w:p>
        </w:tc>
      </w:tr>
      <w:tr w:rsidR="003905AE" w:rsidRPr="002E0EBF" w14:paraId="0AD08375" w14:textId="77777777" w:rsidTr="00D213FE">
        <w:tc>
          <w:tcPr>
            <w:tcW w:w="1980" w:type="dxa"/>
          </w:tcPr>
          <w:p w14:paraId="0A3BCFB2" w14:textId="77777777" w:rsidR="00126449" w:rsidRPr="002E0EBF" w:rsidRDefault="00126449" w:rsidP="00B30B99">
            <w:pPr>
              <w:pStyle w:val="TableTextBody"/>
              <w:rPr>
                <w:i/>
                <w:lang w:eastAsia="en-AU"/>
              </w:rPr>
            </w:pPr>
            <w:r w:rsidRPr="002E0EBF">
              <w:rPr>
                <w:lang w:eastAsia="en-AU"/>
              </w:rPr>
              <w:t>Parental status</w:t>
            </w:r>
          </w:p>
        </w:tc>
        <w:tc>
          <w:tcPr>
            <w:tcW w:w="1535" w:type="dxa"/>
          </w:tcPr>
          <w:p w14:paraId="339B9337" w14:textId="77777777" w:rsidR="00126449" w:rsidRPr="002E0EBF" w:rsidRDefault="00126449" w:rsidP="00D213FE">
            <w:pPr>
              <w:pStyle w:val="TableTextBody"/>
              <w:jc w:val="right"/>
              <w:rPr>
                <w:i/>
                <w:lang w:eastAsia="en-AU"/>
              </w:rPr>
            </w:pPr>
            <w:r w:rsidRPr="002E0EBF">
              <w:rPr>
                <w:lang w:eastAsia="en-AU"/>
              </w:rPr>
              <w:t>1</w:t>
            </w:r>
          </w:p>
        </w:tc>
        <w:tc>
          <w:tcPr>
            <w:tcW w:w="1429" w:type="dxa"/>
          </w:tcPr>
          <w:p w14:paraId="726B7D9E" w14:textId="77777777" w:rsidR="00126449" w:rsidRPr="002E0EBF" w:rsidRDefault="00126449" w:rsidP="00D213FE">
            <w:pPr>
              <w:pStyle w:val="TableTextBody"/>
              <w:jc w:val="right"/>
              <w:rPr>
                <w:i/>
                <w:lang w:eastAsia="en-AU"/>
              </w:rPr>
            </w:pPr>
            <w:r w:rsidRPr="002E0EBF">
              <w:rPr>
                <w:lang w:eastAsia="en-AU"/>
              </w:rPr>
              <w:t>1</w:t>
            </w:r>
          </w:p>
        </w:tc>
        <w:tc>
          <w:tcPr>
            <w:tcW w:w="1097" w:type="dxa"/>
          </w:tcPr>
          <w:p w14:paraId="20BF1208"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61" w:type="dxa"/>
          </w:tcPr>
          <w:p w14:paraId="5D238BA8"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274" w:type="dxa"/>
          </w:tcPr>
          <w:p w14:paraId="37B18233"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33" w:type="dxa"/>
          </w:tcPr>
          <w:p w14:paraId="2FDCB406"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59" w:type="dxa"/>
          </w:tcPr>
          <w:p w14:paraId="40F30752" w14:textId="77777777" w:rsidR="00126449" w:rsidRPr="002E0EBF" w:rsidRDefault="00126449" w:rsidP="00D213FE">
            <w:pPr>
              <w:pStyle w:val="TableTextBody"/>
              <w:jc w:val="right"/>
              <w:rPr>
                <w:i/>
                <w:lang w:eastAsia="en-AU"/>
              </w:rPr>
            </w:pPr>
            <w:r w:rsidRPr="002E0EBF">
              <w:rPr>
                <w:lang w:eastAsia="en-AU"/>
              </w:rPr>
              <w:t>7</w:t>
            </w:r>
          </w:p>
        </w:tc>
        <w:tc>
          <w:tcPr>
            <w:tcW w:w="1276" w:type="dxa"/>
          </w:tcPr>
          <w:p w14:paraId="466CB705"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2196" w:type="dxa"/>
          </w:tcPr>
          <w:p w14:paraId="53B619AD" w14:textId="77777777" w:rsidR="00126449" w:rsidRPr="002E0EBF" w:rsidRDefault="00126449" w:rsidP="00D213FE">
            <w:pPr>
              <w:pStyle w:val="TableTextBody"/>
              <w:jc w:val="right"/>
              <w:rPr>
                <w:i/>
                <w:lang w:eastAsia="en-AU"/>
              </w:rPr>
            </w:pPr>
            <w:r w:rsidRPr="002E0EBF">
              <w:rPr>
                <w:lang w:eastAsia="en-AU"/>
              </w:rPr>
              <w:t>9</w:t>
            </w:r>
          </w:p>
        </w:tc>
        <w:tc>
          <w:tcPr>
            <w:tcW w:w="835" w:type="dxa"/>
          </w:tcPr>
          <w:p w14:paraId="0C03DA0B" w14:textId="77777777" w:rsidR="00126449" w:rsidRPr="002E0EBF" w:rsidRDefault="00126449" w:rsidP="00D213FE">
            <w:pPr>
              <w:pStyle w:val="TableTextBody"/>
              <w:jc w:val="right"/>
              <w:rPr>
                <w:i/>
                <w:lang w:eastAsia="en-AU"/>
              </w:rPr>
            </w:pPr>
            <w:r w:rsidRPr="002E0EBF">
              <w:rPr>
                <w:lang w:eastAsia="en-AU"/>
              </w:rPr>
              <w:t>1.5</w:t>
            </w:r>
          </w:p>
        </w:tc>
      </w:tr>
      <w:tr w:rsidR="003905AE" w:rsidRPr="002E0EBF" w14:paraId="2E8508B0" w14:textId="77777777" w:rsidTr="00D213FE">
        <w:tc>
          <w:tcPr>
            <w:tcW w:w="1980" w:type="dxa"/>
          </w:tcPr>
          <w:p w14:paraId="7C4FE077" w14:textId="77777777" w:rsidR="00126449" w:rsidRPr="002E0EBF" w:rsidRDefault="00126449" w:rsidP="00B30B99">
            <w:pPr>
              <w:pStyle w:val="TableTextBody"/>
              <w:rPr>
                <w:i/>
                <w:lang w:eastAsia="en-AU"/>
              </w:rPr>
            </w:pPr>
            <w:r w:rsidRPr="002E0EBF">
              <w:rPr>
                <w:lang w:eastAsia="en-AU"/>
              </w:rPr>
              <w:t>Political belief/activity</w:t>
            </w:r>
          </w:p>
        </w:tc>
        <w:tc>
          <w:tcPr>
            <w:tcW w:w="1535" w:type="dxa"/>
          </w:tcPr>
          <w:p w14:paraId="1F632194"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429" w:type="dxa"/>
          </w:tcPr>
          <w:p w14:paraId="390BF76B" w14:textId="77777777" w:rsidR="00126449" w:rsidRPr="002E0EBF" w:rsidRDefault="00126449" w:rsidP="00D213FE">
            <w:pPr>
              <w:pStyle w:val="TableTextBody"/>
              <w:jc w:val="right"/>
              <w:rPr>
                <w:i/>
                <w:lang w:eastAsia="en-AU"/>
              </w:rPr>
            </w:pPr>
            <w:r w:rsidRPr="002E0EBF">
              <w:rPr>
                <w:lang w:eastAsia="en-AU"/>
              </w:rPr>
              <w:t>2</w:t>
            </w:r>
          </w:p>
        </w:tc>
        <w:tc>
          <w:tcPr>
            <w:tcW w:w="1097" w:type="dxa"/>
          </w:tcPr>
          <w:p w14:paraId="1B1F96BF" w14:textId="77777777" w:rsidR="00126449" w:rsidRPr="002E0EBF" w:rsidRDefault="00126449" w:rsidP="00D213FE">
            <w:pPr>
              <w:pStyle w:val="TableTextBody"/>
              <w:jc w:val="right"/>
              <w:rPr>
                <w:i/>
                <w:lang w:eastAsia="en-AU"/>
              </w:rPr>
            </w:pPr>
            <w:r w:rsidRPr="002E0EBF">
              <w:rPr>
                <w:lang w:eastAsia="en-AU"/>
              </w:rPr>
              <w:t>1</w:t>
            </w:r>
          </w:p>
        </w:tc>
        <w:tc>
          <w:tcPr>
            <w:tcW w:w="1161" w:type="dxa"/>
          </w:tcPr>
          <w:p w14:paraId="25E6CCD1"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274" w:type="dxa"/>
          </w:tcPr>
          <w:p w14:paraId="224C46F1"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33" w:type="dxa"/>
          </w:tcPr>
          <w:p w14:paraId="634A5D4C"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59" w:type="dxa"/>
          </w:tcPr>
          <w:p w14:paraId="36EA0CF8" w14:textId="77777777" w:rsidR="00126449" w:rsidRPr="002E0EBF" w:rsidRDefault="00126449" w:rsidP="00D213FE">
            <w:pPr>
              <w:pStyle w:val="TableTextBody"/>
              <w:jc w:val="right"/>
              <w:rPr>
                <w:i/>
                <w:lang w:eastAsia="en-AU"/>
              </w:rPr>
            </w:pPr>
            <w:r w:rsidRPr="002E0EBF">
              <w:rPr>
                <w:lang w:eastAsia="en-AU"/>
              </w:rPr>
              <w:t>2</w:t>
            </w:r>
          </w:p>
        </w:tc>
        <w:tc>
          <w:tcPr>
            <w:tcW w:w="1276" w:type="dxa"/>
          </w:tcPr>
          <w:p w14:paraId="4C005033"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2196" w:type="dxa"/>
          </w:tcPr>
          <w:p w14:paraId="431180A8" w14:textId="77777777" w:rsidR="00126449" w:rsidRPr="002E0EBF" w:rsidRDefault="00126449" w:rsidP="00D213FE">
            <w:pPr>
              <w:pStyle w:val="TableTextBody"/>
              <w:jc w:val="right"/>
              <w:rPr>
                <w:i/>
                <w:lang w:eastAsia="en-AU"/>
              </w:rPr>
            </w:pPr>
            <w:r w:rsidRPr="002E0EBF">
              <w:rPr>
                <w:lang w:eastAsia="en-AU"/>
              </w:rPr>
              <w:t>5</w:t>
            </w:r>
          </w:p>
        </w:tc>
        <w:tc>
          <w:tcPr>
            <w:tcW w:w="835" w:type="dxa"/>
          </w:tcPr>
          <w:p w14:paraId="1181757D" w14:textId="77777777" w:rsidR="00126449" w:rsidRPr="002E0EBF" w:rsidRDefault="00126449" w:rsidP="00D213FE">
            <w:pPr>
              <w:pStyle w:val="TableTextBody"/>
              <w:jc w:val="right"/>
              <w:rPr>
                <w:i/>
                <w:lang w:eastAsia="en-AU"/>
              </w:rPr>
            </w:pPr>
            <w:r w:rsidRPr="002E0EBF">
              <w:rPr>
                <w:lang w:eastAsia="en-AU"/>
              </w:rPr>
              <w:t>0.8</w:t>
            </w:r>
          </w:p>
        </w:tc>
      </w:tr>
      <w:tr w:rsidR="003905AE" w:rsidRPr="002E0EBF" w14:paraId="0886D352" w14:textId="77777777" w:rsidTr="00D213FE">
        <w:trPr>
          <w:trHeight w:val="268"/>
        </w:trPr>
        <w:tc>
          <w:tcPr>
            <w:tcW w:w="1980" w:type="dxa"/>
          </w:tcPr>
          <w:p w14:paraId="40AB1E55" w14:textId="77777777" w:rsidR="00126449" w:rsidRPr="002E0EBF" w:rsidRDefault="00126449" w:rsidP="00B30B99">
            <w:pPr>
              <w:pStyle w:val="TableTextBody"/>
              <w:rPr>
                <w:i/>
                <w:lang w:eastAsia="en-AU"/>
              </w:rPr>
            </w:pPr>
            <w:r w:rsidRPr="002E0EBF">
              <w:rPr>
                <w:lang w:eastAsia="en-AU"/>
              </w:rPr>
              <w:t>Pregnancy</w:t>
            </w:r>
          </w:p>
        </w:tc>
        <w:tc>
          <w:tcPr>
            <w:tcW w:w="1535" w:type="dxa"/>
          </w:tcPr>
          <w:p w14:paraId="7FB766E9" w14:textId="77777777" w:rsidR="00126449" w:rsidRPr="002E0EBF" w:rsidRDefault="00126449" w:rsidP="00D213FE">
            <w:pPr>
              <w:pStyle w:val="TableTextBody"/>
              <w:jc w:val="right"/>
              <w:rPr>
                <w:i/>
                <w:lang w:eastAsia="en-AU"/>
              </w:rPr>
            </w:pPr>
            <w:r w:rsidRPr="002E0EBF">
              <w:rPr>
                <w:lang w:eastAsia="en-AU"/>
              </w:rPr>
              <w:t>5</w:t>
            </w:r>
          </w:p>
        </w:tc>
        <w:tc>
          <w:tcPr>
            <w:tcW w:w="1429" w:type="dxa"/>
          </w:tcPr>
          <w:p w14:paraId="39F3F626"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097" w:type="dxa"/>
          </w:tcPr>
          <w:p w14:paraId="5F36F33C" w14:textId="77777777" w:rsidR="00126449" w:rsidRPr="002E0EBF" w:rsidRDefault="00126449" w:rsidP="00D213FE">
            <w:pPr>
              <w:pStyle w:val="TableTextBody"/>
              <w:jc w:val="right"/>
              <w:rPr>
                <w:i/>
                <w:lang w:eastAsia="en-AU"/>
              </w:rPr>
            </w:pPr>
            <w:r w:rsidRPr="002E0EBF">
              <w:rPr>
                <w:lang w:eastAsia="en-AU"/>
              </w:rPr>
              <w:t>1</w:t>
            </w:r>
          </w:p>
        </w:tc>
        <w:tc>
          <w:tcPr>
            <w:tcW w:w="1161" w:type="dxa"/>
          </w:tcPr>
          <w:p w14:paraId="5A1E200F"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274" w:type="dxa"/>
          </w:tcPr>
          <w:p w14:paraId="50C0C26E"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33" w:type="dxa"/>
          </w:tcPr>
          <w:p w14:paraId="0DEFCDC8"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59" w:type="dxa"/>
          </w:tcPr>
          <w:p w14:paraId="43B620A3" w14:textId="77777777" w:rsidR="00126449" w:rsidRPr="002E0EBF" w:rsidRDefault="00126449" w:rsidP="00D213FE">
            <w:pPr>
              <w:pStyle w:val="TableTextBody"/>
              <w:jc w:val="right"/>
              <w:rPr>
                <w:i/>
                <w:lang w:eastAsia="en-AU"/>
              </w:rPr>
            </w:pPr>
            <w:r w:rsidRPr="002E0EBF">
              <w:rPr>
                <w:lang w:eastAsia="en-AU"/>
              </w:rPr>
              <w:t>20</w:t>
            </w:r>
          </w:p>
        </w:tc>
        <w:tc>
          <w:tcPr>
            <w:tcW w:w="1276" w:type="dxa"/>
          </w:tcPr>
          <w:p w14:paraId="3D0EE2C9"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2196" w:type="dxa"/>
          </w:tcPr>
          <w:p w14:paraId="7F1EFD20" w14:textId="77777777" w:rsidR="00126449" w:rsidRPr="002E0EBF" w:rsidRDefault="00126449" w:rsidP="00D213FE">
            <w:pPr>
              <w:pStyle w:val="TableTextBody"/>
              <w:jc w:val="right"/>
              <w:rPr>
                <w:i/>
                <w:lang w:eastAsia="en-AU"/>
              </w:rPr>
            </w:pPr>
            <w:r w:rsidRPr="002E0EBF">
              <w:rPr>
                <w:lang w:eastAsia="en-AU"/>
              </w:rPr>
              <w:t>26</w:t>
            </w:r>
          </w:p>
        </w:tc>
        <w:tc>
          <w:tcPr>
            <w:tcW w:w="835" w:type="dxa"/>
          </w:tcPr>
          <w:p w14:paraId="62E1B919" w14:textId="77777777" w:rsidR="00126449" w:rsidRPr="002E0EBF" w:rsidRDefault="00126449" w:rsidP="00D213FE">
            <w:pPr>
              <w:pStyle w:val="TableTextBody"/>
              <w:jc w:val="right"/>
              <w:rPr>
                <w:i/>
                <w:lang w:eastAsia="en-AU"/>
              </w:rPr>
            </w:pPr>
            <w:r w:rsidRPr="002E0EBF">
              <w:rPr>
                <w:lang w:eastAsia="en-AU"/>
              </w:rPr>
              <w:t>4.2</w:t>
            </w:r>
          </w:p>
        </w:tc>
      </w:tr>
      <w:tr w:rsidR="003905AE" w:rsidRPr="002E0EBF" w14:paraId="731AC55C" w14:textId="77777777" w:rsidTr="00D213FE">
        <w:tc>
          <w:tcPr>
            <w:tcW w:w="1980" w:type="dxa"/>
          </w:tcPr>
          <w:p w14:paraId="37659F18" w14:textId="77777777" w:rsidR="00126449" w:rsidRPr="002E0EBF" w:rsidRDefault="00126449" w:rsidP="00B30B99">
            <w:pPr>
              <w:pStyle w:val="TableTextBody"/>
              <w:rPr>
                <w:i/>
                <w:lang w:eastAsia="en-AU"/>
              </w:rPr>
            </w:pPr>
            <w:r w:rsidRPr="002E0EBF">
              <w:rPr>
                <w:lang w:eastAsia="en-AU"/>
              </w:rPr>
              <w:t>Race</w:t>
            </w:r>
          </w:p>
        </w:tc>
        <w:tc>
          <w:tcPr>
            <w:tcW w:w="1535" w:type="dxa"/>
          </w:tcPr>
          <w:p w14:paraId="50953F4C" w14:textId="77777777" w:rsidR="00126449" w:rsidRPr="002E0EBF" w:rsidRDefault="00126449" w:rsidP="00D213FE">
            <w:pPr>
              <w:pStyle w:val="TableTextBody"/>
              <w:jc w:val="right"/>
              <w:rPr>
                <w:i/>
                <w:lang w:eastAsia="en-AU"/>
              </w:rPr>
            </w:pPr>
            <w:r w:rsidRPr="002E0EBF">
              <w:rPr>
                <w:lang w:eastAsia="en-AU"/>
              </w:rPr>
              <w:t>11</w:t>
            </w:r>
          </w:p>
        </w:tc>
        <w:tc>
          <w:tcPr>
            <w:tcW w:w="1429" w:type="dxa"/>
          </w:tcPr>
          <w:p w14:paraId="08AA2FD0" w14:textId="77777777" w:rsidR="00126449" w:rsidRPr="002E0EBF" w:rsidRDefault="00126449" w:rsidP="00D213FE">
            <w:pPr>
              <w:pStyle w:val="TableTextBody"/>
              <w:jc w:val="right"/>
              <w:rPr>
                <w:i/>
                <w:lang w:eastAsia="en-AU"/>
              </w:rPr>
            </w:pPr>
            <w:r w:rsidRPr="002E0EBF">
              <w:rPr>
                <w:lang w:eastAsia="en-AU"/>
              </w:rPr>
              <w:t>5</w:t>
            </w:r>
          </w:p>
        </w:tc>
        <w:tc>
          <w:tcPr>
            <w:tcW w:w="1097" w:type="dxa"/>
          </w:tcPr>
          <w:p w14:paraId="03F8F2F1" w14:textId="77777777" w:rsidR="00126449" w:rsidRPr="002E0EBF" w:rsidRDefault="00126449" w:rsidP="00D213FE">
            <w:pPr>
              <w:pStyle w:val="TableTextBody"/>
              <w:jc w:val="right"/>
              <w:rPr>
                <w:i/>
                <w:lang w:eastAsia="en-AU"/>
              </w:rPr>
            </w:pPr>
            <w:r w:rsidRPr="002E0EBF">
              <w:rPr>
                <w:lang w:eastAsia="en-AU"/>
              </w:rPr>
              <w:t>16</w:t>
            </w:r>
          </w:p>
        </w:tc>
        <w:tc>
          <w:tcPr>
            <w:tcW w:w="1161" w:type="dxa"/>
          </w:tcPr>
          <w:p w14:paraId="008CB9C2"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274" w:type="dxa"/>
          </w:tcPr>
          <w:p w14:paraId="31BEEF6A"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33" w:type="dxa"/>
          </w:tcPr>
          <w:p w14:paraId="04F3883C"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59" w:type="dxa"/>
          </w:tcPr>
          <w:p w14:paraId="0DBE12CB" w14:textId="77777777" w:rsidR="00126449" w:rsidRPr="002E0EBF" w:rsidRDefault="00126449" w:rsidP="00D213FE">
            <w:pPr>
              <w:pStyle w:val="TableTextBody"/>
              <w:jc w:val="right"/>
              <w:rPr>
                <w:i/>
                <w:lang w:eastAsia="en-AU"/>
              </w:rPr>
            </w:pPr>
            <w:r w:rsidRPr="002E0EBF">
              <w:rPr>
                <w:lang w:eastAsia="en-AU"/>
              </w:rPr>
              <w:t>38</w:t>
            </w:r>
          </w:p>
        </w:tc>
        <w:tc>
          <w:tcPr>
            <w:tcW w:w="1276" w:type="dxa"/>
          </w:tcPr>
          <w:p w14:paraId="4FE3BF4A" w14:textId="77777777" w:rsidR="00126449" w:rsidRPr="002E0EBF" w:rsidRDefault="00126449" w:rsidP="00D213FE">
            <w:pPr>
              <w:pStyle w:val="TableTextBody"/>
              <w:jc w:val="right"/>
              <w:rPr>
                <w:i/>
                <w:lang w:eastAsia="en-AU"/>
              </w:rPr>
            </w:pPr>
            <w:r w:rsidRPr="002E0EBF">
              <w:rPr>
                <w:lang w:eastAsia="en-AU"/>
              </w:rPr>
              <w:t>6</w:t>
            </w:r>
          </w:p>
        </w:tc>
        <w:tc>
          <w:tcPr>
            <w:tcW w:w="2196" w:type="dxa"/>
          </w:tcPr>
          <w:p w14:paraId="6F2E4B4A" w14:textId="77777777" w:rsidR="00126449" w:rsidRPr="002E0EBF" w:rsidRDefault="00126449" w:rsidP="00D213FE">
            <w:pPr>
              <w:pStyle w:val="TableTextBody"/>
              <w:jc w:val="right"/>
              <w:rPr>
                <w:i/>
                <w:lang w:eastAsia="en-AU"/>
              </w:rPr>
            </w:pPr>
            <w:r w:rsidRPr="002E0EBF">
              <w:rPr>
                <w:lang w:eastAsia="en-AU"/>
              </w:rPr>
              <w:t>76</w:t>
            </w:r>
          </w:p>
        </w:tc>
        <w:tc>
          <w:tcPr>
            <w:tcW w:w="835" w:type="dxa"/>
          </w:tcPr>
          <w:p w14:paraId="5E0B5077" w14:textId="77777777" w:rsidR="00126449" w:rsidRPr="002E0EBF" w:rsidRDefault="00126449" w:rsidP="00D213FE">
            <w:pPr>
              <w:pStyle w:val="TableTextBody"/>
              <w:jc w:val="right"/>
              <w:rPr>
                <w:i/>
                <w:lang w:eastAsia="en-AU"/>
              </w:rPr>
            </w:pPr>
            <w:r w:rsidRPr="002E0EBF">
              <w:rPr>
                <w:lang w:eastAsia="en-AU"/>
              </w:rPr>
              <w:t>12.3</w:t>
            </w:r>
          </w:p>
        </w:tc>
      </w:tr>
      <w:tr w:rsidR="003905AE" w:rsidRPr="002E0EBF" w14:paraId="6F24F35C" w14:textId="77777777" w:rsidTr="00D213FE">
        <w:tc>
          <w:tcPr>
            <w:tcW w:w="1980" w:type="dxa"/>
          </w:tcPr>
          <w:p w14:paraId="65125C58" w14:textId="77777777" w:rsidR="00126449" w:rsidRPr="002E0EBF" w:rsidRDefault="00126449" w:rsidP="00B30B99">
            <w:pPr>
              <w:pStyle w:val="TableTextBody"/>
              <w:rPr>
                <w:i/>
                <w:lang w:eastAsia="en-AU"/>
              </w:rPr>
            </w:pPr>
            <w:r w:rsidRPr="002E0EBF">
              <w:rPr>
                <w:lang w:eastAsia="en-AU"/>
              </w:rPr>
              <w:t>Relationship status</w:t>
            </w:r>
          </w:p>
        </w:tc>
        <w:tc>
          <w:tcPr>
            <w:tcW w:w="1535" w:type="dxa"/>
          </w:tcPr>
          <w:p w14:paraId="0C6D9AFA" w14:textId="77777777" w:rsidR="00126449" w:rsidRPr="002E0EBF" w:rsidRDefault="00126449" w:rsidP="00D213FE">
            <w:pPr>
              <w:pStyle w:val="TableTextBody"/>
              <w:jc w:val="right"/>
              <w:rPr>
                <w:i/>
                <w:lang w:eastAsia="en-AU"/>
              </w:rPr>
            </w:pPr>
            <w:r w:rsidRPr="002E0EBF">
              <w:rPr>
                <w:lang w:eastAsia="en-AU"/>
              </w:rPr>
              <w:t>1</w:t>
            </w:r>
          </w:p>
        </w:tc>
        <w:tc>
          <w:tcPr>
            <w:tcW w:w="1429" w:type="dxa"/>
          </w:tcPr>
          <w:p w14:paraId="63DF17B9"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097" w:type="dxa"/>
          </w:tcPr>
          <w:p w14:paraId="009E092D" w14:textId="77777777" w:rsidR="00126449" w:rsidRPr="002E0EBF" w:rsidRDefault="00126449" w:rsidP="00D213FE">
            <w:pPr>
              <w:pStyle w:val="TableTextBody"/>
              <w:jc w:val="right"/>
              <w:rPr>
                <w:i/>
                <w:lang w:eastAsia="en-AU"/>
              </w:rPr>
            </w:pPr>
            <w:r w:rsidRPr="002E0EBF">
              <w:rPr>
                <w:lang w:eastAsia="en-AU"/>
              </w:rPr>
              <w:t>1</w:t>
            </w:r>
          </w:p>
        </w:tc>
        <w:tc>
          <w:tcPr>
            <w:tcW w:w="1161" w:type="dxa"/>
          </w:tcPr>
          <w:p w14:paraId="49D2A537"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274" w:type="dxa"/>
          </w:tcPr>
          <w:p w14:paraId="31190CB8"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33" w:type="dxa"/>
          </w:tcPr>
          <w:p w14:paraId="2909B6B4"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59" w:type="dxa"/>
          </w:tcPr>
          <w:p w14:paraId="74B2D248" w14:textId="77777777" w:rsidR="00126449" w:rsidRPr="002E0EBF" w:rsidRDefault="00126449" w:rsidP="00D213FE">
            <w:pPr>
              <w:pStyle w:val="TableTextBody"/>
              <w:jc w:val="right"/>
              <w:rPr>
                <w:i/>
                <w:lang w:eastAsia="en-AU"/>
              </w:rPr>
            </w:pPr>
            <w:r w:rsidRPr="002E0EBF">
              <w:rPr>
                <w:lang w:eastAsia="en-AU"/>
              </w:rPr>
              <w:t>9</w:t>
            </w:r>
          </w:p>
        </w:tc>
        <w:tc>
          <w:tcPr>
            <w:tcW w:w="1276" w:type="dxa"/>
          </w:tcPr>
          <w:p w14:paraId="0B3A0B85"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2196" w:type="dxa"/>
          </w:tcPr>
          <w:p w14:paraId="4CD8AE6E" w14:textId="77777777" w:rsidR="00126449" w:rsidRPr="002E0EBF" w:rsidRDefault="00126449" w:rsidP="00D213FE">
            <w:pPr>
              <w:pStyle w:val="TableTextBody"/>
              <w:jc w:val="right"/>
              <w:rPr>
                <w:i/>
                <w:lang w:eastAsia="en-AU"/>
              </w:rPr>
            </w:pPr>
            <w:r w:rsidRPr="002E0EBF">
              <w:rPr>
                <w:lang w:eastAsia="en-AU"/>
              </w:rPr>
              <w:t>11</w:t>
            </w:r>
          </w:p>
        </w:tc>
        <w:tc>
          <w:tcPr>
            <w:tcW w:w="835" w:type="dxa"/>
          </w:tcPr>
          <w:p w14:paraId="2FA885E2" w14:textId="77777777" w:rsidR="00126449" w:rsidRPr="002E0EBF" w:rsidRDefault="00126449" w:rsidP="00D213FE">
            <w:pPr>
              <w:pStyle w:val="TableTextBody"/>
              <w:jc w:val="right"/>
              <w:rPr>
                <w:i/>
                <w:lang w:eastAsia="en-AU"/>
              </w:rPr>
            </w:pPr>
            <w:r w:rsidRPr="002E0EBF">
              <w:rPr>
                <w:lang w:eastAsia="en-AU"/>
              </w:rPr>
              <w:t>1.8</w:t>
            </w:r>
          </w:p>
        </w:tc>
      </w:tr>
      <w:tr w:rsidR="003905AE" w:rsidRPr="002E0EBF" w14:paraId="407CE69E" w14:textId="77777777" w:rsidTr="00D213FE">
        <w:trPr>
          <w:trHeight w:val="268"/>
        </w:trPr>
        <w:tc>
          <w:tcPr>
            <w:tcW w:w="1980" w:type="dxa"/>
          </w:tcPr>
          <w:p w14:paraId="7798FC77" w14:textId="77777777" w:rsidR="00126449" w:rsidRPr="002E0EBF" w:rsidRDefault="00126449" w:rsidP="00B30B99">
            <w:pPr>
              <w:pStyle w:val="TableTextBody"/>
              <w:rPr>
                <w:i/>
                <w:lang w:eastAsia="en-AU"/>
              </w:rPr>
            </w:pPr>
            <w:r w:rsidRPr="002E0EBF">
              <w:rPr>
                <w:lang w:eastAsia="en-AU"/>
              </w:rPr>
              <w:t>Religion</w:t>
            </w:r>
          </w:p>
        </w:tc>
        <w:tc>
          <w:tcPr>
            <w:tcW w:w="1535" w:type="dxa"/>
          </w:tcPr>
          <w:p w14:paraId="431A5EBC" w14:textId="77777777" w:rsidR="00126449" w:rsidRPr="002E0EBF" w:rsidRDefault="00126449" w:rsidP="00D213FE">
            <w:pPr>
              <w:pStyle w:val="TableTextBody"/>
              <w:jc w:val="right"/>
              <w:rPr>
                <w:i/>
                <w:lang w:eastAsia="en-AU"/>
              </w:rPr>
            </w:pPr>
            <w:r w:rsidRPr="002E0EBF">
              <w:rPr>
                <w:lang w:eastAsia="en-AU"/>
              </w:rPr>
              <w:t>1</w:t>
            </w:r>
          </w:p>
        </w:tc>
        <w:tc>
          <w:tcPr>
            <w:tcW w:w="1429" w:type="dxa"/>
          </w:tcPr>
          <w:p w14:paraId="65B135BA" w14:textId="77777777" w:rsidR="00126449" w:rsidRPr="002E0EBF" w:rsidRDefault="00126449" w:rsidP="00D213FE">
            <w:pPr>
              <w:pStyle w:val="TableTextBody"/>
              <w:jc w:val="right"/>
              <w:rPr>
                <w:i/>
                <w:lang w:eastAsia="en-AU"/>
              </w:rPr>
            </w:pPr>
            <w:r w:rsidRPr="002E0EBF">
              <w:rPr>
                <w:lang w:eastAsia="en-AU"/>
              </w:rPr>
              <w:t>2</w:t>
            </w:r>
          </w:p>
        </w:tc>
        <w:tc>
          <w:tcPr>
            <w:tcW w:w="1097" w:type="dxa"/>
          </w:tcPr>
          <w:p w14:paraId="5A66FBD5" w14:textId="77777777" w:rsidR="00126449" w:rsidRPr="002E0EBF" w:rsidRDefault="00126449" w:rsidP="00D213FE">
            <w:pPr>
              <w:pStyle w:val="TableTextBody"/>
              <w:jc w:val="right"/>
              <w:rPr>
                <w:i/>
                <w:lang w:eastAsia="en-AU"/>
              </w:rPr>
            </w:pPr>
            <w:r w:rsidRPr="002E0EBF">
              <w:rPr>
                <w:lang w:eastAsia="en-AU"/>
              </w:rPr>
              <w:t>1</w:t>
            </w:r>
          </w:p>
        </w:tc>
        <w:tc>
          <w:tcPr>
            <w:tcW w:w="1161" w:type="dxa"/>
          </w:tcPr>
          <w:p w14:paraId="3BD7FD5C"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274" w:type="dxa"/>
          </w:tcPr>
          <w:p w14:paraId="681F8A3C"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33" w:type="dxa"/>
          </w:tcPr>
          <w:p w14:paraId="1D071B82"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59" w:type="dxa"/>
          </w:tcPr>
          <w:p w14:paraId="34B6F96F" w14:textId="77777777" w:rsidR="00126449" w:rsidRPr="002E0EBF" w:rsidRDefault="00126449" w:rsidP="00D213FE">
            <w:pPr>
              <w:pStyle w:val="TableTextBody"/>
              <w:jc w:val="right"/>
              <w:rPr>
                <w:i/>
                <w:lang w:eastAsia="en-AU"/>
              </w:rPr>
            </w:pPr>
            <w:r w:rsidRPr="002E0EBF">
              <w:rPr>
                <w:lang w:eastAsia="en-AU"/>
              </w:rPr>
              <w:t>7</w:t>
            </w:r>
          </w:p>
        </w:tc>
        <w:tc>
          <w:tcPr>
            <w:tcW w:w="1276" w:type="dxa"/>
          </w:tcPr>
          <w:p w14:paraId="6A8BDB6F"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2196" w:type="dxa"/>
          </w:tcPr>
          <w:p w14:paraId="126E0F70" w14:textId="77777777" w:rsidR="00126449" w:rsidRPr="002E0EBF" w:rsidRDefault="00126449" w:rsidP="00D213FE">
            <w:pPr>
              <w:pStyle w:val="TableTextBody"/>
              <w:jc w:val="right"/>
              <w:rPr>
                <w:i/>
                <w:lang w:eastAsia="en-AU"/>
              </w:rPr>
            </w:pPr>
            <w:r w:rsidRPr="002E0EBF">
              <w:rPr>
                <w:lang w:eastAsia="en-AU"/>
              </w:rPr>
              <w:t>11</w:t>
            </w:r>
          </w:p>
        </w:tc>
        <w:tc>
          <w:tcPr>
            <w:tcW w:w="835" w:type="dxa"/>
          </w:tcPr>
          <w:p w14:paraId="2352F48F" w14:textId="77777777" w:rsidR="00126449" w:rsidRPr="002E0EBF" w:rsidRDefault="00126449" w:rsidP="00D213FE">
            <w:pPr>
              <w:pStyle w:val="TableTextBody"/>
              <w:jc w:val="right"/>
              <w:rPr>
                <w:i/>
                <w:lang w:eastAsia="en-AU"/>
              </w:rPr>
            </w:pPr>
            <w:r w:rsidRPr="002E0EBF">
              <w:rPr>
                <w:lang w:eastAsia="en-AU"/>
              </w:rPr>
              <w:t>1.8</w:t>
            </w:r>
          </w:p>
        </w:tc>
      </w:tr>
      <w:tr w:rsidR="003905AE" w:rsidRPr="002E0EBF" w14:paraId="64F36769" w14:textId="77777777" w:rsidTr="00D213FE">
        <w:tc>
          <w:tcPr>
            <w:tcW w:w="1980" w:type="dxa"/>
          </w:tcPr>
          <w:p w14:paraId="12A81EFB" w14:textId="77777777" w:rsidR="00126449" w:rsidRPr="002E0EBF" w:rsidRDefault="00126449" w:rsidP="00B30B99">
            <w:pPr>
              <w:pStyle w:val="TableTextBody"/>
              <w:rPr>
                <w:i/>
                <w:lang w:eastAsia="en-AU"/>
              </w:rPr>
            </w:pPr>
            <w:r w:rsidRPr="002E0EBF">
              <w:rPr>
                <w:lang w:eastAsia="en-AU"/>
              </w:rPr>
              <w:t>Sex</w:t>
            </w:r>
          </w:p>
        </w:tc>
        <w:tc>
          <w:tcPr>
            <w:tcW w:w="1535" w:type="dxa"/>
          </w:tcPr>
          <w:p w14:paraId="56B94605" w14:textId="77777777" w:rsidR="00126449" w:rsidRPr="002E0EBF" w:rsidRDefault="00126449" w:rsidP="00D213FE">
            <w:pPr>
              <w:pStyle w:val="TableTextBody"/>
              <w:jc w:val="right"/>
              <w:rPr>
                <w:i/>
                <w:lang w:eastAsia="en-AU"/>
              </w:rPr>
            </w:pPr>
            <w:r w:rsidRPr="002E0EBF">
              <w:rPr>
                <w:lang w:eastAsia="en-AU"/>
              </w:rPr>
              <w:t>3</w:t>
            </w:r>
          </w:p>
        </w:tc>
        <w:tc>
          <w:tcPr>
            <w:tcW w:w="1429" w:type="dxa"/>
          </w:tcPr>
          <w:p w14:paraId="1CC0088F" w14:textId="77777777" w:rsidR="00126449" w:rsidRPr="002E0EBF" w:rsidRDefault="00126449" w:rsidP="00D213FE">
            <w:pPr>
              <w:pStyle w:val="TableTextBody"/>
              <w:jc w:val="right"/>
              <w:rPr>
                <w:i/>
                <w:lang w:eastAsia="en-AU"/>
              </w:rPr>
            </w:pPr>
            <w:r w:rsidRPr="002E0EBF">
              <w:rPr>
                <w:lang w:eastAsia="en-AU"/>
              </w:rPr>
              <w:t>4</w:t>
            </w:r>
          </w:p>
        </w:tc>
        <w:tc>
          <w:tcPr>
            <w:tcW w:w="1097" w:type="dxa"/>
          </w:tcPr>
          <w:p w14:paraId="0E150828" w14:textId="77777777" w:rsidR="00126449" w:rsidRPr="002E0EBF" w:rsidRDefault="00126449" w:rsidP="00D213FE">
            <w:pPr>
              <w:pStyle w:val="TableTextBody"/>
              <w:jc w:val="right"/>
              <w:rPr>
                <w:i/>
                <w:lang w:eastAsia="en-AU"/>
              </w:rPr>
            </w:pPr>
            <w:r w:rsidRPr="002E0EBF">
              <w:rPr>
                <w:lang w:eastAsia="en-AU"/>
              </w:rPr>
              <w:t>9</w:t>
            </w:r>
          </w:p>
        </w:tc>
        <w:tc>
          <w:tcPr>
            <w:tcW w:w="1161" w:type="dxa"/>
          </w:tcPr>
          <w:p w14:paraId="57E68E78" w14:textId="77777777" w:rsidR="00126449" w:rsidRPr="002E0EBF" w:rsidRDefault="00126449" w:rsidP="00D213FE">
            <w:pPr>
              <w:pStyle w:val="TableTextBody"/>
              <w:jc w:val="right"/>
              <w:rPr>
                <w:i/>
                <w:lang w:eastAsia="en-AU"/>
              </w:rPr>
            </w:pPr>
            <w:r w:rsidRPr="002E0EBF">
              <w:rPr>
                <w:lang w:eastAsia="en-AU"/>
              </w:rPr>
              <w:t>3</w:t>
            </w:r>
          </w:p>
        </w:tc>
        <w:tc>
          <w:tcPr>
            <w:tcW w:w="1274" w:type="dxa"/>
          </w:tcPr>
          <w:p w14:paraId="42F46451"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33" w:type="dxa"/>
          </w:tcPr>
          <w:p w14:paraId="34B93F48"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59" w:type="dxa"/>
          </w:tcPr>
          <w:p w14:paraId="41BD8E6A" w14:textId="77777777" w:rsidR="00126449" w:rsidRPr="002E0EBF" w:rsidRDefault="00126449" w:rsidP="00D213FE">
            <w:pPr>
              <w:pStyle w:val="TableTextBody"/>
              <w:jc w:val="right"/>
              <w:rPr>
                <w:i/>
                <w:lang w:eastAsia="en-AU"/>
              </w:rPr>
            </w:pPr>
            <w:r w:rsidRPr="002E0EBF">
              <w:rPr>
                <w:lang w:eastAsia="en-AU"/>
              </w:rPr>
              <w:t>70</w:t>
            </w:r>
          </w:p>
        </w:tc>
        <w:tc>
          <w:tcPr>
            <w:tcW w:w="1276" w:type="dxa"/>
          </w:tcPr>
          <w:p w14:paraId="200D4982" w14:textId="77777777" w:rsidR="00126449" w:rsidRPr="002E0EBF" w:rsidRDefault="00126449" w:rsidP="00D213FE">
            <w:pPr>
              <w:pStyle w:val="TableTextBody"/>
              <w:jc w:val="right"/>
              <w:rPr>
                <w:i/>
                <w:lang w:eastAsia="en-AU"/>
              </w:rPr>
            </w:pPr>
            <w:r w:rsidRPr="002E0EBF">
              <w:rPr>
                <w:lang w:eastAsia="en-AU"/>
              </w:rPr>
              <w:t>2</w:t>
            </w:r>
          </w:p>
        </w:tc>
        <w:tc>
          <w:tcPr>
            <w:tcW w:w="2196" w:type="dxa"/>
          </w:tcPr>
          <w:p w14:paraId="38C9C144" w14:textId="77777777" w:rsidR="00126449" w:rsidRPr="002E0EBF" w:rsidRDefault="00126449" w:rsidP="00D213FE">
            <w:pPr>
              <w:pStyle w:val="TableTextBody"/>
              <w:jc w:val="right"/>
              <w:rPr>
                <w:i/>
                <w:lang w:eastAsia="en-AU"/>
              </w:rPr>
            </w:pPr>
            <w:r w:rsidRPr="002E0EBF">
              <w:rPr>
                <w:lang w:eastAsia="en-AU"/>
              </w:rPr>
              <w:t>91</w:t>
            </w:r>
          </w:p>
        </w:tc>
        <w:tc>
          <w:tcPr>
            <w:tcW w:w="835" w:type="dxa"/>
          </w:tcPr>
          <w:p w14:paraId="2F081AA8" w14:textId="77777777" w:rsidR="00126449" w:rsidRPr="002E0EBF" w:rsidRDefault="00126449" w:rsidP="00D213FE">
            <w:pPr>
              <w:pStyle w:val="TableTextBody"/>
              <w:jc w:val="right"/>
              <w:rPr>
                <w:i/>
                <w:lang w:eastAsia="en-AU"/>
              </w:rPr>
            </w:pPr>
            <w:r w:rsidRPr="002E0EBF">
              <w:rPr>
                <w:lang w:eastAsia="en-AU"/>
              </w:rPr>
              <w:t>14.7</w:t>
            </w:r>
          </w:p>
        </w:tc>
      </w:tr>
      <w:tr w:rsidR="003905AE" w:rsidRPr="002E0EBF" w14:paraId="7D677CE4" w14:textId="77777777" w:rsidTr="00D213FE">
        <w:tc>
          <w:tcPr>
            <w:tcW w:w="1980" w:type="dxa"/>
          </w:tcPr>
          <w:p w14:paraId="68D312D0" w14:textId="77777777" w:rsidR="00126449" w:rsidRPr="002E0EBF" w:rsidRDefault="00126449" w:rsidP="00B30B99">
            <w:pPr>
              <w:pStyle w:val="TableTextBody"/>
              <w:rPr>
                <w:i/>
                <w:lang w:eastAsia="en-AU"/>
              </w:rPr>
            </w:pPr>
            <w:r w:rsidRPr="002E0EBF">
              <w:rPr>
                <w:lang w:eastAsia="en-AU"/>
              </w:rPr>
              <w:t>Sexuality</w:t>
            </w:r>
          </w:p>
        </w:tc>
        <w:tc>
          <w:tcPr>
            <w:tcW w:w="1535" w:type="dxa"/>
          </w:tcPr>
          <w:p w14:paraId="0485B671"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429" w:type="dxa"/>
          </w:tcPr>
          <w:p w14:paraId="18B4D0B7" w14:textId="77777777" w:rsidR="00126449" w:rsidRPr="002E0EBF" w:rsidRDefault="00126449" w:rsidP="00D213FE">
            <w:pPr>
              <w:pStyle w:val="TableTextBody"/>
              <w:jc w:val="right"/>
              <w:rPr>
                <w:i/>
                <w:lang w:eastAsia="en-AU"/>
              </w:rPr>
            </w:pPr>
            <w:r w:rsidRPr="002E0EBF">
              <w:rPr>
                <w:lang w:eastAsia="en-AU"/>
              </w:rPr>
              <w:t>5</w:t>
            </w:r>
          </w:p>
        </w:tc>
        <w:tc>
          <w:tcPr>
            <w:tcW w:w="1097" w:type="dxa"/>
          </w:tcPr>
          <w:p w14:paraId="6BB7B0C7" w14:textId="77777777" w:rsidR="00126449" w:rsidRPr="002E0EBF" w:rsidRDefault="00126449" w:rsidP="00D213FE">
            <w:pPr>
              <w:pStyle w:val="TableTextBody"/>
              <w:jc w:val="right"/>
              <w:rPr>
                <w:i/>
                <w:lang w:eastAsia="en-AU"/>
              </w:rPr>
            </w:pPr>
            <w:r w:rsidRPr="002E0EBF">
              <w:rPr>
                <w:lang w:eastAsia="en-AU"/>
              </w:rPr>
              <w:t>3</w:t>
            </w:r>
          </w:p>
        </w:tc>
        <w:tc>
          <w:tcPr>
            <w:tcW w:w="1161" w:type="dxa"/>
          </w:tcPr>
          <w:p w14:paraId="0105BA42"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274" w:type="dxa"/>
          </w:tcPr>
          <w:p w14:paraId="53C7221C"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33" w:type="dxa"/>
          </w:tcPr>
          <w:p w14:paraId="1974657E"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59" w:type="dxa"/>
          </w:tcPr>
          <w:p w14:paraId="21663F22" w14:textId="77777777" w:rsidR="00126449" w:rsidRPr="002E0EBF" w:rsidRDefault="00126449" w:rsidP="00D213FE">
            <w:pPr>
              <w:pStyle w:val="TableTextBody"/>
              <w:jc w:val="right"/>
              <w:rPr>
                <w:i/>
                <w:lang w:eastAsia="en-AU"/>
              </w:rPr>
            </w:pPr>
            <w:r w:rsidRPr="002E0EBF">
              <w:rPr>
                <w:lang w:eastAsia="en-AU"/>
              </w:rPr>
              <w:t>13</w:t>
            </w:r>
          </w:p>
        </w:tc>
        <w:tc>
          <w:tcPr>
            <w:tcW w:w="1276" w:type="dxa"/>
          </w:tcPr>
          <w:p w14:paraId="6A90C335"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2196" w:type="dxa"/>
          </w:tcPr>
          <w:p w14:paraId="4E9DA983" w14:textId="77777777" w:rsidR="00126449" w:rsidRPr="002E0EBF" w:rsidRDefault="00126449" w:rsidP="00D213FE">
            <w:pPr>
              <w:pStyle w:val="TableTextBody"/>
              <w:jc w:val="right"/>
              <w:rPr>
                <w:i/>
                <w:lang w:eastAsia="en-AU"/>
              </w:rPr>
            </w:pPr>
            <w:r w:rsidRPr="002E0EBF">
              <w:rPr>
                <w:lang w:eastAsia="en-AU"/>
              </w:rPr>
              <w:t>21</w:t>
            </w:r>
          </w:p>
        </w:tc>
        <w:tc>
          <w:tcPr>
            <w:tcW w:w="835" w:type="dxa"/>
          </w:tcPr>
          <w:p w14:paraId="117CD797" w14:textId="77777777" w:rsidR="00126449" w:rsidRPr="002E0EBF" w:rsidRDefault="00126449" w:rsidP="00D213FE">
            <w:pPr>
              <w:pStyle w:val="TableTextBody"/>
              <w:jc w:val="right"/>
              <w:rPr>
                <w:i/>
                <w:lang w:eastAsia="en-AU"/>
              </w:rPr>
            </w:pPr>
            <w:r w:rsidRPr="002E0EBF">
              <w:rPr>
                <w:lang w:eastAsia="en-AU"/>
              </w:rPr>
              <w:t>3.3</w:t>
            </w:r>
          </w:p>
        </w:tc>
      </w:tr>
      <w:tr w:rsidR="003905AE" w:rsidRPr="002E0EBF" w14:paraId="27D895F2" w14:textId="77777777" w:rsidTr="00D213FE">
        <w:trPr>
          <w:trHeight w:val="268"/>
        </w:trPr>
        <w:tc>
          <w:tcPr>
            <w:tcW w:w="1980" w:type="dxa"/>
          </w:tcPr>
          <w:p w14:paraId="062F2A26" w14:textId="77777777" w:rsidR="00126449" w:rsidRPr="002E0EBF" w:rsidRDefault="00126449" w:rsidP="00B30B99">
            <w:pPr>
              <w:pStyle w:val="TableTextBody"/>
              <w:rPr>
                <w:i/>
                <w:lang w:eastAsia="en-AU"/>
              </w:rPr>
            </w:pPr>
            <w:r w:rsidRPr="002E0EBF">
              <w:rPr>
                <w:lang w:eastAsia="en-AU"/>
              </w:rPr>
              <w:t>Trade union activity</w:t>
            </w:r>
          </w:p>
        </w:tc>
        <w:tc>
          <w:tcPr>
            <w:tcW w:w="1535" w:type="dxa"/>
          </w:tcPr>
          <w:p w14:paraId="5A7095E5"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429" w:type="dxa"/>
          </w:tcPr>
          <w:p w14:paraId="2C3364D5"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097" w:type="dxa"/>
          </w:tcPr>
          <w:p w14:paraId="4AB015C5"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61" w:type="dxa"/>
          </w:tcPr>
          <w:p w14:paraId="604010F7"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274" w:type="dxa"/>
          </w:tcPr>
          <w:p w14:paraId="14D7AAE0"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33" w:type="dxa"/>
          </w:tcPr>
          <w:p w14:paraId="30C3105E"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1159" w:type="dxa"/>
          </w:tcPr>
          <w:p w14:paraId="4657BA71" w14:textId="77777777" w:rsidR="00126449" w:rsidRPr="002E0EBF" w:rsidRDefault="00126449" w:rsidP="00D213FE">
            <w:pPr>
              <w:pStyle w:val="TableTextBody"/>
              <w:jc w:val="right"/>
              <w:rPr>
                <w:i/>
                <w:lang w:eastAsia="en-AU"/>
              </w:rPr>
            </w:pPr>
            <w:r w:rsidRPr="002E0EBF">
              <w:rPr>
                <w:lang w:eastAsia="en-AU"/>
              </w:rPr>
              <w:t>5</w:t>
            </w:r>
          </w:p>
        </w:tc>
        <w:tc>
          <w:tcPr>
            <w:tcW w:w="1276" w:type="dxa"/>
          </w:tcPr>
          <w:p w14:paraId="2E986827" w14:textId="77777777" w:rsidR="00126449" w:rsidRPr="002E0EBF" w:rsidRDefault="00126449" w:rsidP="00D213FE">
            <w:pPr>
              <w:pStyle w:val="TableTextBody"/>
              <w:jc w:val="right"/>
              <w:rPr>
                <w:i/>
                <w:lang w:eastAsia="en-AU"/>
              </w:rPr>
            </w:pPr>
            <w:r w:rsidRPr="002E0EBF">
              <w:rPr>
                <w:rFonts w:eastAsia="Times New Roman"/>
                <w:lang w:eastAsia="en-AU"/>
              </w:rPr>
              <w:t>—</w:t>
            </w:r>
          </w:p>
        </w:tc>
        <w:tc>
          <w:tcPr>
            <w:tcW w:w="2196" w:type="dxa"/>
          </w:tcPr>
          <w:p w14:paraId="27E0779C" w14:textId="77777777" w:rsidR="00126449" w:rsidRPr="002E0EBF" w:rsidRDefault="00126449" w:rsidP="00D213FE">
            <w:pPr>
              <w:pStyle w:val="TableTextBody"/>
              <w:jc w:val="right"/>
              <w:rPr>
                <w:i/>
                <w:lang w:eastAsia="en-AU"/>
              </w:rPr>
            </w:pPr>
            <w:r w:rsidRPr="002E0EBF">
              <w:rPr>
                <w:lang w:eastAsia="en-AU"/>
              </w:rPr>
              <w:t>5</w:t>
            </w:r>
          </w:p>
        </w:tc>
        <w:tc>
          <w:tcPr>
            <w:tcW w:w="835" w:type="dxa"/>
          </w:tcPr>
          <w:p w14:paraId="69597489" w14:textId="77777777" w:rsidR="00126449" w:rsidRPr="002E0EBF" w:rsidRDefault="00126449" w:rsidP="00D213FE">
            <w:pPr>
              <w:pStyle w:val="TableTextBody"/>
              <w:jc w:val="right"/>
              <w:rPr>
                <w:i/>
                <w:lang w:eastAsia="en-AU"/>
              </w:rPr>
            </w:pPr>
            <w:r w:rsidRPr="002E0EBF">
              <w:rPr>
                <w:lang w:eastAsia="en-AU"/>
              </w:rPr>
              <w:t>0.8</w:t>
            </w:r>
          </w:p>
        </w:tc>
      </w:tr>
      <w:tr w:rsidR="003905AE" w:rsidRPr="002E0EBF" w14:paraId="41615975" w14:textId="77777777" w:rsidTr="00D213FE">
        <w:trPr>
          <w:trHeight w:val="268"/>
        </w:trPr>
        <w:tc>
          <w:tcPr>
            <w:tcW w:w="1980" w:type="dxa"/>
          </w:tcPr>
          <w:p w14:paraId="3AFD2727" w14:textId="77777777" w:rsidR="00126449" w:rsidRPr="002E0EBF" w:rsidRDefault="00126449" w:rsidP="00B30B99">
            <w:pPr>
              <w:pStyle w:val="TableTextBody"/>
              <w:rPr>
                <w:lang w:eastAsia="en-AU"/>
              </w:rPr>
            </w:pPr>
            <w:r w:rsidRPr="002E0EBF">
              <w:rPr>
                <w:lang w:eastAsia="en-AU"/>
              </w:rPr>
              <w:t>Human rights</w:t>
            </w:r>
          </w:p>
        </w:tc>
        <w:tc>
          <w:tcPr>
            <w:tcW w:w="1535" w:type="dxa"/>
          </w:tcPr>
          <w:p w14:paraId="1CD3CC86" w14:textId="77777777" w:rsidR="00126449" w:rsidRPr="002E0EBF" w:rsidRDefault="00126449" w:rsidP="00D213FE">
            <w:pPr>
              <w:pStyle w:val="TableTextBody"/>
              <w:jc w:val="right"/>
              <w:rPr>
                <w:rFonts w:eastAsia="Times New Roman"/>
                <w:lang w:eastAsia="en-AU"/>
              </w:rPr>
            </w:pPr>
            <w:r w:rsidRPr="002E0EBF">
              <w:rPr>
                <w:rFonts w:eastAsia="Times New Roman"/>
                <w:lang w:eastAsia="en-AU"/>
              </w:rPr>
              <w:t>2</w:t>
            </w:r>
          </w:p>
        </w:tc>
        <w:tc>
          <w:tcPr>
            <w:tcW w:w="1429" w:type="dxa"/>
          </w:tcPr>
          <w:p w14:paraId="045A03DB" w14:textId="77777777" w:rsidR="00126449" w:rsidRPr="002E0EBF" w:rsidRDefault="00126449" w:rsidP="00D213FE">
            <w:pPr>
              <w:pStyle w:val="TableTextBody"/>
              <w:jc w:val="right"/>
              <w:rPr>
                <w:rFonts w:eastAsia="Times New Roman"/>
                <w:lang w:eastAsia="en-AU"/>
              </w:rPr>
            </w:pPr>
            <w:r w:rsidRPr="002E0EBF">
              <w:rPr>
                <w:rFonts w:eastAsia="Times New Roman"/>
                <w:lang w:eastAsia="en-AU"/>
              </w:rPr>
              <w:t>19</w:t>
            </w:r>
          </w:p>
        </w:tc>
        <w:tc>
          <w:tcPr>
            <w:tcW w:w="1097" w:type="dxa"/>
          </w:tcPr>
          <w:p w14:paraId="0C528D80" w14:textId="77777777" w:rsidR="00126449" w:rsidRPr="002E0EBF" w:rsidRDefault="00126449" w:rsidP="00D213FE">
            <w:pPr>
              <w:pStyle w:val="TableTextBody"/>
              <w:jc w:val="right"/>
              <w:rPr>
                <w:rFonts w:eastAsia="Times New Roman"/>
                <w:lang w:eastAsia="en-AU"/>
              </w:rPr>
            </w:pPr>
            <w:r w:rsidRPr="002E0EBF">
              <w:rPr>
                <w:rFonts w:eastAsia="Times New Roman"/>
                <w:lang w:eastAsia="en-AU"/>
              </w:rPr>
              <w:t>2</w:t>
            </w:r>
          </w:p>
        </w:tc>
        <w:tc>
          <w:tcPr>
            <w:tcW w:w="1161" w:type="dxa"/>
          </w:tcPr>
          <w:p w14:paraId="560B3008" w14:textId="77777777" w:rsidR="00126449" w:rsidRPr="002E0EBF" w:rsidRDefault="00126449" w:rsidP="00D213FE">
            <w:pPr>
              <w:pStyle w:val="TableTextBody"/>
              <w:jc w:val="right"/>
              <w:rPr>
                <w:rFonts w:eastAsia="Times New Roman"/>
                <w:lang w:eastAsia="en-AU"/>
              </w:rPr>
            </w:pPr>
            <w:r w:rsidRPr="002E0EBF">
              <w:rPr>
                <w:rFonts w:eastAsia="Times New Roman"/>
                <w:lang w:eastAsia="en-AU"/>
              </w:rPr>
              <w:t>—</w:t>
            </w:r>
          </w:p>
        </w:tc>
        <w:tc>
          <w:tcPr>
            <w:tcW w:w="1274" w:type="dxa"/>
          </w:tcPr>
          <w:p w14:paraId="063E7628" w14:textId="77777777" w:rsidR="00126449" w:rsidRPr="002E0EBF" w:rsidRDefault="00126449" w:rsidP="00D213FE">
            <w:pPr>
              <w:pStyle w:val="TableTextBody"/>
              <w:jc w:val="right"/>
              <w:rPr>
                <w:rFonts w:eastAsia="Times New Roman"/>
                <w:lang w:eastAsia="en-AU"/>
              </w:rPr>
            </w:pPr>
            <w:r w:rsidRPr="002E0EBF">
              <w:rPr>
                <w:rFonts w:eastAsia="Times New Roman"/>
                <w:lang w:eastAsia="en-AU"/>
              </w:rPr>
              <w:t>—</w:t>
            </w:r>
          </w:p>
        </w:tc>
        <w:tc>
          <w:tcPr>
            <w:tcW w:w="1133" w:type="dxa"/>
          </w:tcPr>
          <w:p w14:paraId="25478871" w14:textId="77777777" w:rsidR="00126449" w:rsidRPr="002E0EBF" w:rsidRDefault="00126449" w:rsidP="00D213FE">
            <w:pPr>
              <w:pStyle w:val="TableTextBody"/>
              <w:jc w:val="right"/>
              <w:rPr>
                <w:rFonts w:eastAsia="Times New Roman"/>
                <w:lang w:eastAsia="en-AU"/>
              </w:rPr>
            </w:pPr>
            <w:r w:rsidRPr="002E0EBF">
              <w:rPr>
                <w:rFonts w:eastAsia="Times New Roman"/>
                <w:lang w:eastAsia="en-AU"/>
              </w:rPr>
              <w:t>—</w:t>
            </w:r>
          </w:p>
        </w:tc>
        <w:tc>
          <w:tcPr>
            <w:tcW w:w="1159" w:type="dxa"/>
          </w:tcPr>
          <w:p w14:paraId="444A1B76" w14:textId="77777777" w:rsidR="00126449" w:rsidRPr="002E0EBF" w:rsidRDefault="00126449" w:rsidP="00D213FE">
            <w:pPr>
              <w:pStyle w:val="TableTextBody"/>
              <w:jc w:val="right"/>
              <w:rPr>
                <w:lang w:eastAsia="en-AU"/>
              </w:rPr>
            </w:pPr>
            <w:r w:rsidRPr="002E0EBF">
              <w:rPr>
                <w:lang w:eastAsia="en-AU"/>
              </w:rPr>
              <w:t>4</w:t>
            </w:r>
          </w:p>
        </w:tc>
        <w:tc>
          <w:tcPr>
            <w:tcW w:w="1276" w:type="dxa"/>
          </w:tcPr>
          <w:p w14:paraId="6A0C517C" w14:textId="77777777" w:rsidR="00126449" w:rsidRPr="002E0EBF" w:rsidRDefault="00126449" w:rsidP="00D213FE">
            <w:pPr>
              <w:pStyle w:val="TableTextBody"/>
              <w:jc w:val="right"/>
              <w:rPr>
                <w:rFonts w:eastAsia="Times New Roman"/>
                <w:lang w:eastAsia="en-AU"/>
              </w:rPr>
            </w:pPr>
            <w:r w:rsidRPr="002E0EBF">
              <w:rPr>
                <w:rFonts w:eastAsia="Times New Roman"/>
                <w:lang w:eastAsia="en-AU"/>
              </w:rPr>
              <w:t>6</w:t>
            </w:r>
          </w:p>
        </w:tc>
        <w:tc>
          <w:tcPr>
            <w:tcW w:w="2196" w:type="dxa"/>
          </w:tcPr>
          <w:p w14:paraId="759EF728" w14:textId="77777777" w:rsidR="00126449" w:rsidRPr="002E0EBF" w:rsidRDefault="00126449" w:rsidP="00D213FE">
            <w:pPr>
              <w:pStyle w:val="TableTextBody"/>
              <w:jc w:val="right"/>
              <w:rPr>
                <w:lang w:eastAsia="en-AU"/>
              </w:rPr>
            </w:pPr>
            <w:r w:rsidRPr="002E0EBF">
              <w:rPr>
                <w:lang w:eastAsia="en-AU"/>
              </w:rPr>
              <w:t>33</w:t>
            </w:r>
          </w:p>
        </w:tc>
        <w:tc>
          <w:tcPr>
            <w:tcW w:w="835" w:type="dxa"/>
          </w:tcPr>
          <w:p w14:paraId="6E7CB60F" w14:textId="77777777" w:rsidR="00126449" w:rsidRPr="002E0EBF" w:rsidRDefault="00126449" w:rsidP="00D213FE">
            <w:pPr>
              <w:pStyle w:val="TableTextBody"/>
              <w:jc w:val="right"/>
              <w:rPr>
                <w:lang w:eastAsia="en-AU"/>
              </w:rPr>
            </w:pPr>
            <w:r w:rsidRPr="002E0EBF">
              <w:rPr>
                <w:lang w:eastAsia="en-AU"/>
              </w:rPr>
              <w:t>5.3</w:t>
            </w:r>
          </w:p>
        </w:tc>
      </w:tr>
      <w:tr w:rsidR="003905AE" w:rsidRPr="002E0EBF" w14:paraId="60F1D90A" w14:textId="77777777" w:rsidTr="00D213FE">
        <w:tc>
          <w:tcPr>
            <w:tcW w:w="1980" w:type="dxa"/>
          </w:tcPr>
          <w:p w14:paraId="4EB1A8A8" w14:textId="77777777" w:rsidR="00126449" w:rsidRPr="002E0EBF" w:rsidRDefault="00126449" w:rsidP="00B30B99">
            <w:pPr>
              <w:pStyle w:val="TableTextBody"/>
              <w:rPr>
                <w:b/>
                <w:i/>
                <w:lang w:eastAsia="en-AU"/>
              </w:rPr>
            </w:pPr>
            <w:r w:rsidRPr="002E0EBF">
              <w:rPr>
                <w:b/>
                <w:lang w:eastAsia="en-AU"/>
              </w:rPr>
              <w:t>Total</w:t>
            </w:r>
          </w:p>
        </w:tc>
        <w:tc>
          <w:tcPr>
            <w:tcW w:w="1535" w:type="dxa"/>
          </w:tcPr>
          <w:p w14:paraId="10A015FE" w14:textId="77777777" w:rsidR="00126449" w:rsidRPr="002E0EBF" w:rsidRDefault="00126449" w:rsidP="00D213FE">
            <w:pPr>
              <w:pStyle w:val="TableTextBody"/>
              <w:jc w:val="right"/>
              <w:rPr>
                <w:b/>
                <w:i/>
                <w:lang w:eastAsia="en-AU"/>
              </w:rPr>
            </w:pPr>
            <w:r w:rsidRPr="002E0EBF">
              <w:rPr>
                <w:b/>
                <w:lang w:eastAsia="en-AU"/>
              </w:rPr>
              <w:t>53</w:t>
            </w:r>
          </w:p>
        </w:tc>
        <w:tc>
          <w:tcPr>
            <w:tcW w:w="1429" w:type="dxa"/>
          </w:tcPr>
          <w:p w14:paraId="68786665" w14:textId="77777777" w:rsidR="00126449" w:rsidRPr="002E0EBF" w:rsidRDefault="00126449" w:rsidP="00D213FE">
            <w:pPr>
              <w:pStyle w:val="TableTextBody"/>
              <w:jc w:val="right"/>
              <w:rPr>
                <w:b/>
                <w:i/>
                <w:lang w:eastAsia="en-AU"/>
              </w:rPr>
            </w:pPr>
            <w:r w:rsidRPr="002E0EBF">
              <w:rPr>
                <w:b/>
                <w:lang w:eastAsia="en-AU"/>
              </w:rPr>
              <w:t>56</w:t>
            </w:r>
          </w:p>
        </w:tc>
        <w:tc>
          <w:tcPr>
            <w:tcW w:w="1097" w:type="dxa"/>
          </w:tcPr>
          <w:p w14:paraId="6DFD2893" w14:textId="77777777" w:rsidR="00126449" w:rsidRPr="002E0EBF" w:rsidRDefault="00126449" w:rsidP="00D213FE">
            <w:pPr>
              <w:pStyle w:val="TableTextBody"/>
              <w:jc w:val="right"/>
              <w:rPr>
                <w:b/>
                <w:i/>
                <w:lang w:eastAsia="en-AU"/>
              </w:rPr>
            </w:pPr>
            <w:r w:rsidRPr="002E0EBF">
              <w:rPr>
                <w:b/>
                <w:lang w:eastAsia="en-AU"/>
              </w:rPr>
              <w:t>96</w:t>
            </w:r>
          </w:p>
        </w:tc>
        <w:tc>
          <w:tcPr>
            <w:tcW w:w="1161" w:type="dxa"/>
          </w:tcPr>
          <w:p w14:paraId="240A8138" w14:textId="77777777" w:rsidR="00126449" w:rsidRPr="002E0EBF" w:rsidRDefault="00126449" w:rsidP="00D213FE">
            <w:pPr>
              <w:pStyle w:val="TableTextBody"/>
              <w:jc w:val="right"/>
              <w:rPr>
                <w:b/>
                <w:i/>
                <w:lang w:eastAsia="en-AU"/>
              </w:rPr>
            </w:pPr>
            <w:r w:rsidRPr="002E0EBF">
              <w:rPr>
                <w:b/>
                <w:lang w:eastAsia="en-AU"/>
              </w:rPr>
              <w:t>5</w:t>
            </w:r>
          </w:p>
        </w:tc>
        <w:tc>
          <w:tcPr>
            <w:tcW w:w="1274" w:type="dxa"/>
          </w:tcPr>
          <w:p w14:paraId="420C17E3" w14:textId="77777777" w:rsidR="00126449" w:rsidRPr="002E0EBF" w:rsidRDefault="00126449" w:rsidP="00D213FE">
            <w:pPr>
              <w:pStyle w:val="TableTextBody"/>
              <w:jc w:val="right"/>
              <w:rPr>
                <w:b/>
                <w:i/>
                <w:lang w:eastAsia="en-AU"/>
              </w:rPr>
            </w:pPr>
            <w:r w:rsidRPr="002E0EBF">
              <w:rPr>
                <w:b/>
                <w:lang w:eastAsia="en-AU"/>
              </w:rPr>
              <w:t>1</w:t>
            </w:r>
          </w:p>
        </w:tc>
        <w:tc>
          <w:tcPr>
            <w:tcW w:w="1133" w:type="dxa"/>
          </w:tcPr>
          <w:p w14:paraId="64FD316F" w14:textId="77777777" w:rsidR="00126449" w:rsidRPr="002E0EBF" w:rsidRDefault="00126449" w:rsidP="00D213FE">
            <w:pPr>
              <w:pStyle w:val="TableTextBody"/>
              <w:jc w:val="right"/>
              <w:rPr>
                <w:b/>
                <w:i/>
                <w:lang w:eastAsia="en-AU"/>
              </w:rPr>
            </w:pPr>
            <w:r w:rsidRPr="002E0EBF">
              <w:rPr>
                <w:b/>
                <w:lang w:eastAsia="en-AU"/>
              </w:rPr>
              <w:t>0</w:t>
            </w:r>
          </w:p>
        </w:tc>
        <w:tc>
          <w:tcPr>
            <w:tcW w:w="1159" w:type="dxa"/>
          </w:tcPr>
          <w:p w14:paraId="605E6496" w14:textId="77777777" w:rsidR="00126449" w:rsidRPr="002E0EBF" w:rsidRDefault="00126449" w:rsidP="00D213FE">
            <w:pPr>
              <w:pStyle w:val="TableTextBody"/>
              <w:jc w:val="right"/>
              <w:rPr>
                <w:b/>
                <w:i/>
                <w:lang w:eastAsia="en-AU"/>
              </w:rPr>
            </w:pPr>
            <w:r w:rsidRPr="002E0EBF">
              <w:rPr>
                <w:b/>
                <w:lang w:eastAsia="en-AU"/>
              </w:rPr>
              <w:t>373</w:t>
            </w:r>
          </w:p>
        </w:tc>
        <w:tc>
          <w:tcPr>
            <w:tcW w:w="1276" w:type="dxa"/>
          </w:tcPr>
          <w:p w14:paraId="2045B299" w14:textId="77777777" w:rsidR="00126449" w:rsidRPr="002E0EBF" w:rsidRDefault="00126449" w:rsidP="00D213FE">
            <w:pPr>
              <w:pStyle w:val="TableTextBody"/>
              <w:jc w:val="right"/>
              <w:rPr>
                <w:b/>
                <w:i/>
                <w:lang w:eastAsia="en-AU"/>
              </w:rPr>
            </w:pPr>
            <w:r w:rsidRPr="002E0EBF">
              <w:rPr>
                <w:b/>
                <w:lang w:eastAsia="en-AU"/>
              </w:rPr>
              <w:t>34</w:t>
            </w:r>
          </w:p>
        </w:tc>
        <w:tc>
          <w:tcPr>
            <w:tcW w:w="2196" w:type="dxa"/>
          </w:tcPr>
          <w:p w14:paraId="2CE164D6" w14:textId="77777777" w:rsidR="00126449" w:rsidRPr="002E0EBF" w:rsidRDefault="00126449" w:rsidP="00D213FE">
            <w:pPr>
              <w:pStyle w:val="TableTextBody"/>
              <w:jc w:val="right"/>
              <w:rPr>
                <w:b/>
                <w:i/>
                <w:lang w:eastAsia="en-AU"/>
              </w:rPr>
            </w:pPr>
            <w:r w:rsidRPr="002E0EBF">
              <w:rPr>
                <w:b/>
                <w:lang w:eastAsia="en-AU"/>
              </w:rPr>
              <w:t>618</w:t>
            </w:r>
          </w:p>
        </w:tc>
        <w:tc>
          <w:tcPr>
            <w:tcW w:w="835" w:type="dxa"/>
          </w:tcPr>
          <w:p w14:paraId="5DE623A2" w14:textId="77777777" w:rsidR="00126449" w:rsidRPr="002E0EBF" w:rsidRDefault="00126449" w:rsidP="00D213FE">
            <w:pPr>
              <w:pStyle w:val="TableTextBody"/>
              <w:jc w:val="right"/>
              <w:rPr>
                <w:b/>
                <w:i/>
                <w:lang w:eastAsia="en-AU"/>
              </w:rPr>
            </w:pPr>
            <w:r w:rsidRPr="002E0EBF">
              <w:rPr>
                <w:b/>
                <w:lang w:eastAsia="en-AU"/>
              </w:rPr>
              <w:t>100</w:t>
            </w:r>
          </w:p>
        </w:tc>
      </w:tr>
      <w:tr w:rsidR="003905AE" w:rsidRPr="002E0EBF" w14:paraId="730CD91D" w14:textId="77777777" w:rsidTr="00D213FE">
        <w:tc>
          <w:tcPr>
            <w:tcW w:w="1980" w:type="dxa"/>
          </w:tcPr>
          <w:p w14:paraId="392030A5" w14:textId="77777777" w:rsidR="00126449" w:rsidRPr="002E0EBF" w:rsidRDefault="00126449" w:rsidP="00B30B99">
            <w:pPr>
              <w:pStyle w:val="TableTextBody"/>
              <w:rPr>
                <w:b/>
                <w:lang w:eastAsia="en-AU"/>
              </w:rPr>
            </w:pPr>
            <w:r w:rsidRPr="002E0EBF">
              <w:rPr>
                <w:b/>
                <w:lang w:eastAsia="en-AU"/>
              </w:rPr>
              <w:t>Percentages</w:t>
            </w:r>
          </w:p>
        </w:tc>
        <w:tc>
          <w:tcPr>
            <w:tcW w:w="1535" w:type="dxa"/>
          </w:tcPr>
          <w:p w14:paraId="22F705E1" w14:textId="77777777" w:rsidR="00126449" w:rsidRPr="002E0EBF" w:rsidRDefault="00126449" w:rsidP="00D213FE">
            <w:pPr>
              <w:pStyle w:val="TableTextBody"/>
              <w:jc w:val="right"/>
              <w:rPr>
                <w:b/>
                <w:lang w:eastAsia="en-AU"/>
              </w:rPr>
            </w:pPr>
            <w:r w:rsidRPr="002E0EBF">
              <w:rPr>
                <w:b/>
                <w:lang w:eastAsia="en-AU"/>
              </w:rPr>
              <w:t>8.6</w:t>
            </w:r>
          </w:p>
        </w:tc>
        <w:tc>
          <w:tcPr>
            <w:tcW w:w="1429" w:type="dxa"/>
          </w:tcPr>
          <w:p w14:paraId="79A95DB4" w14:textId="77777777" w:rsidR="00126449" w:rsidRPr="002E0EBF" w:rsidRDefault="00126449" w:rsidP="00D213FE">
            <w:pPr>
              <w:pStyle w:val="TableTextBody"/>
              <w:jc w:val="right"/>
              <w:rPr>
                <w:b/>
                <w:lang w:eastAsia="en-AU"/>
              </w:rPr>
            </w:pPr>
            <w:r w:rsidRPr="002E0EBF">
              <w:rPr>
                <w:b/>
                <w:lang w:eastAsia="en-AU"/>
              </w:rPr>
              <w:t>9.0</w:t>
            </w:r>
          </w:p>
        </w:tc>
        <w:tc>
          <w:tcPr>
            <w:tcW w:w="1097" w:type="dxa"/>
          </w:tcPr>
          <w:p w14:paraId="717CC1D7" w14:textId="77777777" w:rsidR="00126449" w:rsidRPr="002E0EBF" w:rsidRDefault="00126449" w:rsidP="00D213FE">
            <w:pPr>
              <w:pStyle w:val="TableTextBody"/>
              <w:jc w:val="right"/>
              <w:rPr>
                <w:b/>
                <w:lang w:eastAsia="en-AU"/>
              </w:rPr>
            </w:pPr>
            <w:r w:rsidRPr="002E0EBF">
              <w:rPr>
                <w:b/>
                <w:lang w:eastAsia="en-AU"/>
              </w:rPr>
              <w:t>15.5</w:t>
            </w:r>
          </w:p>
        </w:tc>
        <w:tc>
          <w:tcPr>
            <w:tcW w:w="1161" w:type="dxa"/>
          </w:tcPr>
          <w:p w14:paraId="5A255442" w14:textId="77777777" w:rsidR="00126449" w:rsidRPr="002E0EBF" w:rsidRDefault="00126449" w:rsidP="00D213FE">
            <w:pPr>
              <w:pStyle w:val="TableTextBody"/>
              <w:jc w:val="right"/>
              <w:rPr>
                <w:b/>
                <w:lang w:eastAsia="en-AU"/>
              </w:rPr>
            </w:pPr>
            <w:r w:rsidRPr="002E0EBF">
              <w:rPr>
                <w:b/>
                <w:lang w:eastAsia="en-AU"/>
              </w:rPr>
              <w:t>0.8</w:t>
            </w:r>
          </w:p>
        </w:tc>
        <w:tc>
          <w:tcPr>
            <w:tcW w:w="1274" w:type="dxa"/>
          </w:tcPr>
          <w:p w14:paraId="651E4B41" w14:textId="77777777" w:rsidR="00126449" w:rsidRPr="002E0EBF" w:rsidRDefault="00126449" w:rsidP="00D213FE">
            <w:pPr>
              <w:pStyle w:val="TableTextBody"/>
              <w:jc w:val="right"/>
              <w:rPr>
                <w:b/>
                <w:lang w:eastAsia="en-AU"/>
              </w:rPr>
            </w:pPr>
            <w:r w:rsidRPr="002E0EBF">
              <w:rPr>
                <w:b/>
                <w:lang w:eastAsia="en-AU"/>
              </w:rPr>
              <w:t>0.2</w:t>
            </w:r>
          </w:p>
        </w:tc>
        <w:tc>
          <w:tcPr>
            <w:tcW w:w="1133" w:type="dxa"/>
          </w:tcPr>
          <w:p w14:paraId="5639F04D" w14:textId="56054FAB" w:rsidR="00126449" w:rsidRPr="002E0EBF" w:rsidRDefault="0081651C" w:rsidP="00D213FE">
            <w:pPr>
              <w:pStyle w:val="TableTextBody"/>
              <w:jc w:val="right"/>
              <w:rPr>
                <w:b/>
                <w:lang w:eastAsia="en-AU"/>
              </w:rPr>
            </w:pPr>
            <w:r w:rsidRPr="00A244E6">
              <w:rPr>
                <w:rFonts w:eastAsia="Times New Roman"/>
                <w:lang w:eastAsia="en-AU"/>
              </w:rPr>
              <w:t>—</w:t>
            </w:r>
          </w:p>
        </w:tc>
        <w:tc>
          <w:tcPr>
            <w:tcW w:w="1159" w:type="dxa"/>
          </w:tcPr>
          <w:p w14:paraId="07C4A533" w14:textId="77777777" w:rsidR="00126449" w:rsidRPr="002E0EBF" w:rsidRDefault="00126449" w:rsidP="00D213FE">
            <w:pPr>
              <w:pStyle w:val="TableTextBody"/>
              <w:jc w:val="right"/>
              <w:rPr>
                <w:b/>
                <w:lang w:eastAsia="en-AU"/>
              </w:rPr>
            </w:pPr>
            <w:r w:rsidRPr="002E0EBF">
              <w:rPr>
                <w:b/>
                <w:lang w:eastAsia="en-AU"/>
              </w:rPr>
              <w:t>60.4</w:t>
            </w:r>
          </w:p>
        </w:tc>
        <w:tc>
          <w:tcPr>
            <w:tcW w:w="1276" w:type="dxa"/>
          </w:tcPr>
          <w:p w14:paraId="1E02463C" w14:textId="77777777" w:rsidR="00126449" w:rsidRPr="002E0EBF" w:rsidRDefault="00126449" w:rsidP="00D213FE">
            <w:pPr>
              <w:pStyle w:val="TableTextBody"/>
              <w:jc w:val="right"/>
              <w:rPr>
                <w:b/>
                <w:lang w:eastAsia="en-AU"/>
              </w:rPr>
            </w:pPr>
            <w:r w:rsidRPr="002E0EBF">
              <w:rPr>
                <w:b/>
                <w:lang w:eastAsia="en-AU"/>
              </w:rPr>
              <w:t>5.5</w:t>
            </w:r>
          </w:p>
        </w:tc>
        <w:tc>
          <w:tcPr>
            <w:tcW w:w="2196" w:type="dxa"/>
          </w:tcPr>
          <w:p w14:paraId="584D21D2" w14:textId="2BEFAE3B" w:rsidR="00126449" w:rsidRPr="002E0EBF" w:rsidRDefault="0081651C" w:rsidP="00D213FE">
            <w:pPr>
              <w:pStyle w:val="TableTextBody"/>
              <w:jc w:val="right"/>
              <w:rPr>
                <w:b/>
                <w:lang w:eastAsia="en-AU"/>
              </w:rPr>
            </w:pPr>
            <w:r w:rsidRPr="00A244E6">
              <w:rPr>
                <w:rFonts w:eastAsia="Times New Roman"/>
                <w:lang w:eastAsia="en-AU"/>
              </w:rPr>
              <w:t>—</w:t>
            </w:r>
          </w:p>
        </w:tc>
        <w:tc>
          <w:tcPr>
            <w:tcW w:w="835" w:type="dxa"/>
          </w:tcPr>
          <w:p w14:paraId="22174DB5" w14:textId="77777777" w:rsidR="00126449" w:rsidRPr="002E0EBF" w:rsidRDefault="00126449" w:rsidP="00D213FE">
            <w:pPr>
              <w:pStyle w:val="TableTextBody"/>
              <w:jc w:val="right"/>
              <w:rPr>
                <w:b/>
                <w:lang w:eastAsia="en-AU"/>
              </w:rPr>
            </w:pPr>
            <w:r w:rsidRPr="002E0EBF">
              <w:rPr>
                <w:b/>
                <w:lang w:eastAsia="en-AU"/>
              </w:rPr>
              <w:t>100</w:t>
            </w:r>
          </w:p>
        </w:tc>
      </w:tr>
    </w:tbl>
    <w:p w14:paraId="19C3ADDD" w14:textId="77777777" w:rsidR="007B56F8" w:rsidRDefault="00D213FE" w:rsidP="007B56F8">
      <w:pPr>
        <w:pStyle w:val="Note"/>
        <w:spacing w:before="0" w:after="0" w:line="240" w:lineRule="auto"/>
      </w:pPr>
      <w:r>
        <w:t>Note: Th</w:t>
      </w:r>
      <w:r w:rsidR="00126449" w:rsidRPr="00A21D7D">
        <w:t xml:space="preserve">ere are no areas required under the </w:t>
      </w:r>
      <w:r w:rsidR="00FC6699" w:rsidRPr="00FC6699">
        <w:rPr>
          <w:i/>
        </w:rPr>
        <w:t>Human Rights Act 2019</w:t>
      </w:r>
      <w:r w:rsidR="00126449" w:rsidRPr="00A21D7D">
        <w:t xml:space="preserve"> however areas have been recorded for reporting purposes</w:t>
      </w:r>
      <w:r>
        <w:t>. S</w:t>
      </w:r>
      <w:r w:rsidR="00126449" w:rsidRPr="00A21D7D">
        <w:t>tate laws and programs in human rights includes other government services</w:t>
      </w:r>
      <w:r>
        <w:t>.</w:t>
      </w:r>
    </w:p>
    <w:p w14:paraId="05B32D92" w14:textId="454502AA" w:rsidR="00002DB6" w:rsidRPr="00A21D7D" w:rsidRDefault="007B56F8" w:rsidP="007B56F8">
      <w:pPr>
        <w:pStyle w:val="Note"/>
        <w:spacing w:before="0" w:after="0"/>
        <w:rPr>
          <w:rFonts w:cs="Arial"/>
          <w:b/>
          <w:bCs/>
          <w:sz w:val="18"/>
          <w:szCs w:val="18"/>
        </w:rPr>
      </w:pPr>
      <w:r>
        <w:rPr>
          <w:lang w:eastAsia="en-AU"/>
        </w:rPr>
        <w:t>Note: Percentages in this table have been rounded to the nearest decimal point.</w:t>
      </w:r>
      <w:r w:rsidR="00002DB6" w:rsidRPr="00A21D7D">
        <w:rPr>
          <w:rFonts w:cs="Arial"/>
          <w:b/>
          <w:bCs/>
          <w:sz w:val="18"/>
          <w:szCs w:val="18"/>
        </w:rPr>
        <w:br w:type="page"/>
      </w:r>
    </w:p>
    <w:p w14:paraId="0A313961" w14:textId="77777777" w:rsidR="00002DB6" w:rsidRPr="00A21D7D" w:rsidRDefault="00002DB6" w:rsidP="00126449">
      <w:pPr>
        <w:rPr>
          <w:rFonts w:cs="Arial"/>
          <w:b/>
          <w:bCs/>
          <w:sz w:val="18"/>
          <w:szCs w:val="18"/>
        </w:rPr>
        <w:sectPr w:rsidR="00002DB6" w:rsidRPr="00A21D7D" w:rsidSect="00496BE2">
          <w:headerReference w:type="even" r:id="rId21"/>
          <w:headerReference w:type="default" r:id="rId22"/>
          <w:footerReference w:type="first" r:id="rId23"/>
          <w:pgSz w:w="16838" w:h="11906" w:orient="landscape" w:code="9"/>
          <w:pgMar w:top="1077" w:right="851" w:bottom="1077" w:left="902" w:header="708" w:footer="708" w:gutter="0"/>
          <w:cols w:space="720"/>
          <w:docGrid w:linePitch="360"/>
        </w:sectPr>
      </w:pPr>
    </w:p>
    <w:p w14:paraId="3B1018EF" w14:textId="2D0CC8D0" w:rsidR="00B30B99" w:rsidRDefault="00B30B99" w:rsidP="00D213FE">
      <w:pPr>
        <w:rPr>
          <w:lang w:eastAsia="en-AU"/>
        </w:rPr>
      </w:pPr>
      <w:r w:rsidRPr="00A21D7D">
        <w:rPr>
          <w:lang w:eastAsia="en-AU"/>
        </w:rPr>
        <w:lastRenderedPageBreak/>
        <w:t>Impairment discrimination continues to dominate compl</w:t>
      </w:r>
      <w:r>
        <w:rPr>
          <w:lang w:eastAsia="en-AU"/>
        </w:rPr>
        <w:t xml:space="preserve">aints in the workplace. </w:t>
      </w:r>
      <w:r w:rsidRPr="00CC2FEA">
        <w:rPr>
          <w:lang w:eastAsia="en-AU"/>
        </w:rPr>
        <w:t>Table 8</w:t>
      </w:r>
      <w:r w:rsidRPr="00A21D7D">
        <w:rPr>
          <w:lang w:eastAsia="en-AU"/>
        </w:rPr>
        <w:t xml:space="preserve"> shows that 55% of impairment discrimination complaints arise at work. </w:t>
      </w:r>
      <w:r>
        <w:rPr>
          <w:lang w:eastAsia="en-AU"/>
        </w:rPr>
        <w:t>These</w:t>
      </w:r>
      <w:r w:rsidRPr="00A21D7D">
        <w:rPr>
          <w:lang w:eastAsia="en-AU"/>
        </w:rPr>
        <w:t xml:space="preserve"> include allegations of the refusal of employment because of an applicant’s impairment, failure of employers to make reasonable adjustments to accommodate a person’s impairment, impairment-based bullying, and forced retirement because of impairment or the impact of impairment. </w:t>
      </w:r>
      <w:r w:rsidR="00D213FE">
        <w:rPr>
          <w:lang w:eastAsia="en-AU"/>
        </w:rPr>
        <w:t xml:space="preserve"> </w:t>
      </w:r>
    </w:p>
    <w:p w14:paraId="58118AB2" w14:textId="77777777" w:rsidR="003C2A6D" w:rsidRDefault="00B30B99" w:rsidP="00D213FE">
      <w:r w:rsidRPr="00CC2FEA">
        <w:t>While Table 8 clearly shows the prevalence of discrimination complaints across most grounds in the workplace, a significant number of complaints of discrimination and human rights complaints arose in connection with the provision of goods and services (15.5%) which includes access to public places and buildings. Work remains the most predominant area of complaints with 60.4% of discrimination and human rights complaints being made in the work area.</w:t>
      </w:r>
      <w:r>
        <w:t xml:space="preserve"> </w:t>
      </w:r>
      <w:r w:rsidRPr="00CC2FEA">
        <w:t>A further 79 complaints of sexual harassment were made i</w:t>
      </w:r>
      <w:r>
        <w:t>n relation to work as shown in T</w:t>
      </w:r>
      <w:r w:rsidRPr="00CC2FEA">
        <w:t>able 7</w:t>
      </w:r>
      <w:r w:rsidRPr="00A21D7D">
        <w:t>, demons</w:t>
      </w:r>
      <w:r>
        <w:t xml:space="preserve">trating that work remains the </w:t>
      </w:r>
      <w:r w:rsidRPr="00A21D7D">
        <w:t xml:space="preserve">most significant area of </w:t>
      </w:r>
      <w:r>
        <w:t xml:space="preserve">public </w:t>
      </w:r>
      <w:r w:rsidRPr="00A21D7D">
        <w:t>life about which people feeling aggrieved and are willing to make a complaint.</w:t>
      </w:r>
      <w:r>
        <w:t xml:space="preserve"> </w:t>
      </w:r>
    </w:p>
    <w:p w14:paraId="5B96405F" w14:textId="77777777" w:rsidR="003C2A6D" w:rsidRDefault="00B30B99" w:rsidP="003C2A6D">
      <w:pPr>
        <w:pStyle w:val="Keystatistics"/>
      </w:pPr>
      <w:r w:rsidRPr="00A21D7D">
        <w:t>Impairment (41.1%), sex (14.7%) and race (12.3%) are the most common bases for discrimination complaints across the total of all areas of complaint</w:t>
      </w:r>
      <w:r>
        <w:t>,</w:t>
      </w:r>
      <w:r w:rsidRPr="00A21D7D">
        <w:t xml:space="preserve"> consistent with last year.</w:t>
      </w:r>
      <w:r>
        <w:t xml:space="preserve"> </w:t>
      </w:r>
    </w:p>
    <w:p w14:paraId="4BE36CC1" w14:textId="4302C040" w:rsidR="00B30B99" w:rsidRPr="00A21D7D" w:rsidRDefault="00B30B99" w:rsidP="00D213FE">
      <w:r>
        <w:t xml:space="preserve">This year </w:t>
      </w:r>
      <w:r w:rsidRPr="00A21D7D">
        <w:t>26 pregnancy discrimination complaints were accepted, the same number as last year.</w:t>
      </w:r>
      <w:r>
        <w:t xml:space="preserve"> </w:t>
      </w:r>
      <w:r w:rsidRPr="00A21D7D">
        <w:t xml:space="preserve">There was a decrease in the number of accepted complaints in the area of </w:t>
      </w:r>
      <w:r>
        <w:t>superannuation and i</w:t>
      </w:r>
      <w:r w:rsidRPr="00A21D7D">
        <w:t>nsurance from six last year to only one this year.</w:t>
      </w:r>
      <w:r>
        <w:t xml:space="preserve"> </w:t>
      </w:r>
    </w:p>
    <w:p w14:paraId="2AE68F1B" w14:textId="77777777" w:rsidR="003C2A6D" w:rsidRDefault="003C2A6D" w:rsidP="00D213FE">
      <w:pPr>
        <w:rPr>
          <w:lang w:eastAsia="en-AU"/>
        </w:rPr>
      </w:pPr>
      <w:r>
        <w:rPr>
          <w:lang w:eastAsia="en-AU"/>
        </w:rPr>
        <w:t>Our</w:t>
      </w:r>
      <w:r w:rsidR="00B30B99" w:rsidRPr="00A21D7D">
        <w:rPr>
          <w:lang w:eastAsia="en-AU"/>
        </w:rPr>
        <w:t xml:space="preserve"> complaint form </w:t>
      </w:r>
      <w:r>
        <w:rPr>
          <w:lang w:eastAsia="en-AU"/>
        </w:rPr>
        <w:t>was amended from 1 January 2020 to</w:t>
      </w:r>
      <w:r w:rsidR="00B30B99" w:rsidRPr="00A21D7D">
        <w:rPr>
          <w:lang w:eastAsia="en-AU"/>
        </w:rPr>
        <w:t xml:space="preserve"> cover both complaints under the </w:t>
      </w:r>
      <w:r w:rsidR="00B30B99" w:rsidRPr="00FC6699">
        <w:rPr>
          <w:i/>
          <w:lang w:eastAsia="en-AU"/>
        </w:rPr>
        <w:t>Anti-Discrimination Act 1991</w:t>
      </w:r>
      <w:r w:rsidR="00B30B99" w:rsidRPr="00CA1B0C">
        <w:rPr>
          <w:i/>
          <w:lang w:eastAsia="en-AU"/>
        </w:rPr>
        <w:t xml:space="preserve"> </w:t>
      </w:r>
      <w:r w:rsidR="00B30B99" w:rsidRPr="00A044C9">
        <w:rPr>
          <w:lang w:eastAsia="en-AU"/>
        </w:rPr>
        <w:t xml:space="preserve">and </w:t>
      </w:r>
      <w:r w:rsidR="00B30B99" w:rsidRPr="00A21D7D">
        <w:rPr>
          <w:lang w:eastAsia="en-AU"/>
        </w:rPr>
        <w:t xml:space="preserve">the </w:t>
      </w:r>
      <w:r w:rsidR="00B30B99" w:rsidRPr="00FC6699">
        <w:rPr>
          <w:i/>
          <w:lang w:eastAsia="en-AU"/>
        </w:rPr>
        <w:t>Human Rights Act 2019</w:t>
      </w:r>
      <w:r w:rsidR="00B30B99" w:rsidRPr="00CC2FEA">
        <w:rPr>
          <w:lang w:eastAsia="en-AU"/>
        </w:rPr>
        <w:t>.</w:t>
      </w:r>
      <w:r w:rsidR="00B30B99">
        <w:rPr>
          <w:lang w:eastAsia="en-AU"/>
        </w:rPr>
        <w:t xml:space="preserve"> </w:t>
      </w:r>
      <w:r w:rsidR="00B30B99" w:rsidRPr="00CC2FEA">
        <w:rPr>
          <w:lang w:eastAsia="en-AU"/>
        </w:rPr>
        <w:t>Upon receipt at the Commission, all complaints were assessed to identify whether human rights breaches had been alleged.</w:t>
      </w:r>
      <w:r w:rsidR="00B30B99">
        <w:rPr>
          <w:lang w:eastAsia="en-AU"/>
        </w:rPr>
        <w:t xml:space="preserve"> </w:t>
      </w:r>
      <w:r w:rsidR="00B30B99" w:rsidRPr="00CC2FEA">
        <w:rPr>
          <w:lang w:eastAsia="en-AU"/>
        </w:rPr>
        <w:t>Table 8a</w:t>
      </w:r>
      <w:r w:rsidR="00B30B99" w:rsidRPr="00A21D7D">
        <w:rPr>
          <w:lang w:eastAsia="en-AU"/>
        </w:rPr>
        <w:t xml:space="preserve"> shows all allegations of human rights breaches</w:t>
      </w:r>
      <w:r w:rsidR="00B30B99">
        <w:rPr>
          <w:lang w:eastAsia="en-AU"/>
        </w:rPr>
        <w:t xml:space="preserve"> that were</w:t>
      </w:r>
      <w:r w:rsidR="00B30B99" w:rsidRPr="00A21D7D">
        <w:rPr>
          <w:lang w:eastAsia="en-AU"/>
        </w:rPr>
        <w:t xml:space="preserve"> identified.</w:t>
      </w:r>
      <w:r w:rsidR="00B30B99">
        <w:rPr>
          <w:lang w:eastAsia="en-AU"/>
        </w:rPr>
        <w:t xml:space="preserve"> </w:t>
      </w:r>
      <w:r w:rsidR="00B30B99" w:rsidRPr="00A21D7D">
        <w:rPr>
          <w:lang w:eastAsia="en-AU"/>
        </w:rPr>
        <w:t>This includes allegations that were accepted and those where allegations have been made but have not been accepted for resolution</w:t>
      </w:r>
      <w:r w:rsidR="00B30B99">
        <w:rPr>
          <w:lang w:eastAsia="en-AU"/>
        </w:rPr>
        <w:t>,</w:t>
      </w:r>
      <w:r w:rsidR="00B30B99" w:rsidRPr="00A21D7D">
        <w:rPr>
          <w:lang w:eastAsia="en-AU"/>
        </w:rPr>
        <w:t xml:space="preserve"> for reasons such as absence of an internal complaint or that the complaint has been adequately dealt with.</w:t>
      </w:r>
      <w:r w:rsidR="00B30B99">
        <w:rPr>
          <w:lang w:eastAsia="en-AU"/>
        </w:rPr>
        <w:t xml:space="preserve"> </w:t>
      </w:r>
    </w:p>
    <w:p w14:paraId="47317717" w14:textId="77777777" w:rsidR="003C2A6D" w:rsidRDefault="003C2A6D">
      <w:pPr>
        <w:ind w:right="0"/>
        <w:rPr>
          <w:lang w:eastAsia="en-AU"/>
        </w:rPr>
      </w:pPr>
      <w:r>
        <w:rPr>
          <w:lang w:eastAsia="en-AU"/>
        </w:rPr>
        <w:br w:type="page"/>
      </w:r>
    </w:p>
    <w:p w14:paraId="564FE7DB" w14:textId="249D6D57" w:rsidR="00196BED" w:rsidRDefault="003C2A6D" w:rsidP="003C2A6D">
      <w:pPr>
        <w:rPr>
          <w:rFonts w:eastAsiaTheme="minorEastAsia"/>
          <w:b/>
          <w:bCs/>
          <w:i/>
          <w:iCs/>
          <w:color w:val="000000" w:themeColor="text1"/>
          <w:sz w:val="20"/>
          <w:szCs w:val="18"/>
        </w:rPr>
      </w:pPr>
      <w:r>
        <w:rPr>
          <w:lang w:eastAsia="en-AU"/>
        </w:rPr>
        <w:lastRenderedPageBreak/>
        <w:t>Table 8</w:t>
      </w:r>
      <w:r w:rsidR="00BF78C7">
        <w:rPr>
          <w:lang w:eastAsia="en-AU"/>
        </w:rPr>
        <w:t>a</w:t>
      </w:r>
      <w:r w:rsidR="00B30B99" w:rsidRPr="00A21D7D">
        <w:rPr>
          <w:lang w:eastAsia="en-AU"/>
        </w:rPr>
        <w:t xml:space="preserve"> shows the most prominent breach of human right</w:t>
      </w:r>
      <w:r w:rsidR="00B30B99">
        <w:rPr>
          <w:lang w:eastAsia="en-AU"/>
        </w:rPr>
        <w:t>s</w:t>
      </w:r>
      <w:r w:rsidR="00B30B99" w:rsidRPr="00A21D7D">
        <w:rPr>
          <w:lang w:eastAsia="en-AU"/>
        </w:rPr>
        <w:t xml:space="preserve"> alleged was the right to recognition and equality before the law, representing 25.1% of identified human rights allegations, followed by right to protection of families and children (12.</w:t>
      </w:r>
      <w:r w:rsidR="00B30B99">
        <w:rPr>
          <w:lang w:eastAsia="en-AU"/>
        </w:rPr>
        <w:t>3%). The rights</w:t>
      </w:r>
      <w:r w:rsidR="00B30B99" w:rsidRPr="00A21D7D">
        <w:rPr>
          <w:lang w:eastAsia="en-AU"/>
        </w:rPr>
        <w:t xml:space="preserve"> to freedom of movement and to protection from torture and cruel, inhuman and degrading treatment each represented 8.4% of allegations and the right to humane treatment when deprived of liberty accounted for 7.8% of allegations. </w:t>
      </w:r>
    </w:p>
    <w:p w14:paraId="11054A22" w14:textId="77777777" w:rsidR="003C2A6D" w:rsidRDefault="003C2A6D" w:rsidP="00196BED">
      <w:pPr>
        <w:pStyle w:val="Caption"/>
      </w:pPr>
    </w:p>
    <w:p w14:paraId="3C97EFF1" w14:textId="65631E12" w:rsidR="00126449" w:rsidRPr="00BE6F07" w:rsidRDefault="00126449" w:rsidP="00196BED">
      <w:pPr>
        <w:pStyle w:val="Caption"/>
      </w:pPr>
      <w:r w:rsidRPr="00A21D7D">
        <w:t xml:space="preserve">Table </w:t>
      </w:r>
      <w:r w:rsidR="00497E96">
        <w:t>8</w:t>
      </w:r>
      <w:r w:rsidRPr="00A21D7D">
        <w:t>a</w:t>
      </w:r>
      <w:r w:rsidR="003C2A6D">
        <w:t>:</w:t>
      </w:r>
      <w:r w:rsidRPr="00A21D7D">
        <w:t xml:space="preserve"> State-wide human</w:t>
      </w:r>
      <w:r w:rsidR="00BE6F07">
        <w:t xml:space="preserve"> rights allegations identified</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1842"/>
        <w:gridCol w:w="2410"/>
      </w:tblGrid>
      <w:tr w:rsidR="0099171C" w:rsidRPr="00A21D7D" w14:paraId="2A00A8B0" w14:textId="77777777" w:rsidTr="00D213FE">
        <w:tc>
          <w:tcPr>
            <w:tcW w:w="3823" w:type="dxa"/>
          </w:tcPr>
          <w:p w14:paraId="2BDCB350" w14:textId="77777777" w:rsidR="0099171C" w:rsidRPr="00A21D7D" w:rsidRDefault="0099171C" w:rsidP="00D213FE">
            <w:pPr>
              <w:pStyle w:val="TableTextHeading"/>
            </w:pPr>
            <w:r w:rsidRPr="00A21D7D">
              <w:t>Civil and political rights</w:t>
            </w:r>
          </w:p>
        </w:tc>
        <w:tc>
          <w:tcPr>
            <w:tcW w:w="1842" w:type="dxa"/>
          </w:tcPr>
          <w:p w14:paraId="0F7FE312" w14:textId="77777777" w:rsidR="0099171C" w:rsidRPr="00A21D7D" w:rsidRDefault="0099171C" w:rsidP="00D213FE">
            <w:pPr>
              <w:pStyle w:val="TableTextHeading"/>
            </w:pPr>
            <w:r w:rsidRPr="00A21D7D">
              <w:t>Number</w:t>
            </w:r>
          </w:p>
        </w:tc>
        <w:tc>
          <w:tcPr>
            <w:tcW w:w="2410" w:type="dxa"/>
          </w:tcPr>
          <w:p w14:paraId="3836D11A" w14:textId="77777777" w:rsidR="0099171C" w:rsidRPr="00A21D7D" w:rsidRDefault="0099171C" w:rsidP="00D213FE">
            <w:pPr>
              <w:pStyle w:val="TableTextHeading"/>
            </w:pPr>
            <w:r w:rsidRPr="00A21D7D">
              <w:t>Percentage of total human rights allegations identified</w:t>
            </w:r>
          </w:p>
        </w:tc>
      </w:tr>
      <w:tr w:rsidR="0099171C" w:rsidRPr="00A21D7D" w14:paraId="3C38EEF8" w14:textId="77777777" w:rsidTr="00D213FE">
        <w:tc>
          <w:tcPr>
            <w:tcW w:w="3823" w:type="dxa"/>
          </w:tcPr>
          <w:p w14:paraId="76544465" w14:textId="77777777" w:rsidR="0099171C" w:rsidRPr="00A21D7D" w:rsidRDefault="0099171C" w:rsidP="00D213FE">
            <w:pPr>
              <w:pStyle w:val="TableTextBody"/>
            </w:pPr>
            <w:r w:rsidRPr="00A21D7D">
              <w:t>Recognition and equality before the law</w:t>
            </w:r>
          </w:p>
        </w:tc>
        <w:tc>
          <w:tcPr>
            <w:tcW w:w="1842" w:type="dxa"/>
          </w:tcPr>
          <w:p w14:paraId="7CA5975D" w14:textId="77777777" w:rsidR="0099171C" w:rsidRPr="00A21D7D" w:rsidRDefault="0099171C" w:rsidP="00D213FE">
            <w:pPr>
              <w:pStyle w:val="TableTextBody"/>
              <w:jc w:val="right"/>
            </w:pPr>
            <w:r w:rsidRPr="00A21D7D">
              <w:t>45</w:t>
            </w:r>
          </w:p>
        </w:tc>
        <w:tc>
          <w:tcPr>
            <w:tcW w:w="2410" w:type="dxa"/>
          </w:tcPr>
          <w:p w14:paraId="77ACD374" w14:textId="001C1493" w:rsidR="0099171C" w:rsidRPr="00A21D7D" w:rsidRDefault="0099171C" w:rsidP="00D213FE">
            <w:pPr>
              <w:pStyle w:val="TableTextBody"/>
              <w:jc w:val="right"/>
            </w:pPr>
            <w:r w:rsidRPr="00A21D7D">
              <w:t>25.1</w:t>
            </w:r>
            <w:r>
              <w:t>%</w:t>
            </w:r>
          </w:p>
        </w:tc>
      </w:tr>
      <w:tr w:rsidR="0099171C" w:rsidRPr="00A21D7D" w14:paraId="0967E78F" w14:textId="77777777" w:rsidTr="00D213FE">
        <w:tc>
          <w:tcPr>
            <w:tcW w:w="3823" w:type="dxa"/>
          </w:tcPr>
          <w:p w14:paraId="6F34743C" w14:textId="77777777" w:rsidR="0099171C" w:rsidRPr="00A21D7D" w:rsidRDefault="0099171C" w:rsidP="00D213FE">
            <w:pPr>
              <w:pStyle w:val="TableTextBody"/>
            </w:pPr>
            <w:r w:rsidRPr="00A21D7D">
              <w:t>Privacy and reputation</w:t>
            </w:r>
          </w:p>
        </w:tc>
        <w:tc>
          <w:tcPr>
            <w:tcW w:w="1842" w:type="dxa"/>
          </w:tcPr>
          <w:p w14:paraId="4B774CFC" w14:textId="77777777" w:rsidR="0099171C" w:rsidRPr="00A21D7D" w:rsidRDefault="0099171C" w:rsidP="00D213FE">
            <w:pPr>
              <w:pStyle w:val="TableTextBody"/>
              <w:jc w:val="right"/>
            </w:pPr>
            <w:r w:rsidRPr="00A21D7D">
              <w:t>13</w:t>
            </w:r>
          </w:p>
        </w:tc>
        <w:tc>
          <w:tcPr>
            <w:tcW w:w="2410" w:type="dxa"/>
          </w:tcPr>
          <w:p w14:paraId="3AD1459A" w14:textId="53B870FB" w:rsidR="0099171C" w:rsidRPr="00A21D7D" w:rsidRDefault="0099171C" w:rsidP="00D213FE">
            <w:pPr>
              <w:pStyle w:val="TableTextBody"/>
              <w:jc w:val="right"/>
            </w:pPr>
            <w:r w:rsidRPr="00A21D7D">
              <w:t>7.3</w:t>
            </w:r>
            <w:r>
              <w:t>%</w:t>
            </w:r>
          </w:p>
        </w:tc>
      </w:tr>
      <w:tr w:rsidR="0099171C" w:rsidRPr="00A21D7D" w14:paraId="69D0B5D9" w14:textId="77777777" w:rsidTr="00D213FE">
        <w:tc>
          <w:tcPr>
            <w:tcW w:w="3823" w:type="dxa"/>
          </w:tcPr>
          <w:p w14:paraId="722B1EC8" w14:textId="77777777" w:rsidR="0099171C" w:rsidRPr="00A21D7D" w:rsidRDefault="0099171C" w:rsidP="00D213FE">
            <w:pPr>
              <w:pStyle w:val="TableTextBody"/>
            </w:pPr>
            <w:r w:rsidRPr="00A21D7D">
              <w:t>Protection of families and children</w:t>
            </w:r>
          </w:p>
        </w:tc>
        <w:tc>
          <w:tcPr>
            <w:tcW w:w="1842" w:type="dxa"/>
          </w:tcPr>
          <w:p w14:paraId="31841EBF" w14:textId="77777777" w:rsidR="0099171C" w:rsidRPr="00A21D7D" w:rsidRDefault="0099171C" w:rsidP="00D213FE">
            <w:pPr>
              <w:pStyle w:val="TableTextBody"/>
              <w:jc w:val="right"/>
            </w:pPr>
            <w:r w:rsidRPr="00A21D7D">
              <w:t>22</w:t>
            </w:r>
          </w:p>
        </w:tc>
        <w:tc>
          <w:tcPr>
            <w:tcW w:w="2410" w:type="dxa"/>
          </w:tcPr>
          <w:p w14:paraId="349C435A" w14:textId="1EF72F5A" w:rsidR="0099171C" w:rsidRPr="00A21D7D" w:rsidRDefault="0099171C" w:rsidP="00D213FE">
            <w:pPr>
              <w:pStyle w:val="TableTextBody"/>
              <w:jc w:val="right"/>
            </w:pPr>
            <w:r w:rsidRPr="00A21D7D">
              <w:t>12.3</w:t>
            </w:r>
            <w:r>
              <w:t>%</w:t>
            </w:r>
          </w:p>
        </w:tc>
      </w:tr>
      <w:tr w:rsidR="0099171C" w:rsidRPr="00A21D7D" w14:paraId="33751B53" w14:textId="77777777" w:rsidTr="00D213FE">
        <w:tc>
          <w:tcPr>
            <w:tcW w:w="3823" w:type="dxa"/>
          </w:tcPr>
          <w:p w14:paraId="06DD4417" w14:textId="77777777" w:rsidR="0099171C" w:rsidRPr="00A21D7D" w:rsidRDefault="0099171C" w:rsidP="00D213FE">
            <w:pPr>
              <w:pStyle w:val="TableTextBody"/>
            </w:pPr>
            <w:r w:rsidRPr="00A21D7D">
              <w:t>Freedom of movement</w:t>
            </w:r>
          </w:p>
        </w:tc>
        <w:tc>
          <w:tcPr>
            <w:tcW w:w="1842" w:type="dxa"/>
          </w:tcPr>
          <w:p w14:paraId="50D56DC8" w14:textId="77777777" w:rsidR="0099171C" w:rsidRPr="00A21D7D" w:rsidRDefault="0099171C" w:rsidP="00D213FE">
            <w:pPr>
              <w:pStyle w:val="TableTextBody"/>
              <w:jc w:val="right"/>
            </w:pPr>
            <w:r w:rsidRPr="00A21D7D">
              <w:t>15</w:t>
            </w:r>
          </w:p>
        </w:tc>
        <w:tc>
          <w:tcPr>
            <w:tcW w:w="2410" w:type="dxa"/>
          </w:tcPr>
          <w:p w14:paraId="26E17C95" w14:textId="395F0733" w:rsidR="0099171C" w:rsidRPr="00A21D7D" w:rsidRDefault="0099171C" w:rsidP="00D213FE">
            <w:pPr>
              <w:pStyle w:val="TableTextBody"/>
              <w:jc w:val="right"/>
            </w:pPr>
            <w:r w:rsidRPr="00A21D7D">
              <w:t>8.4</w:t>
            </w:r>
            <w:r>
              <w:t>%</w:t>
            </w:r>
          </w:p>
        </w:tc>
      </w:tr>
      <w:tr w:rsidR="0099171C" w:rsidRPr="00A21D7D" w14:paraId="4AA3DADD" w14:textId="77777777" w:rsidTr="00D213FE">
        <w:tc>
          <w:tcPr>
            <w:tcW w:w="3823" w:type="dxa"/>
          </w:tcPr>
          <w:p w14:paraId="2EA605A9" w14:textId="77777777" w:rsidR="0099171C" w:rsidRPr="00A21D7D" w:rsidRDefault="0099171C" w:rsidP="00D213FE">
            <w:pPr>
              <w:pStyle w:val="TableTextBody"/>
            </w:pPr>
            <w:r w:rsidRPr="00A21D7D">
              <w:t>Protection from torture &amp; cruel, inhuman or degrading treatment</w:t>
            </w:r>
          </w:p>
        </w:tc>
        <w:tc>
          <w:tcPr>
            <w:tcW w:w="1842" w:type="dxa"/>
          </w:tcPr>
          <w:p w14:paraId="0F3CFA84" w14:textId="77777777" w:rsidR="0099171C" w:rsidRPr="00A21D7D" w:rsidRDefault="0099171C" w:rsidP="00D213FE">
            <w:pPr>
              <w:pStyle w:val="TableTextBody"/>
              <w:jc w:val="right"/>
            </w:pPr>
            <w:r w:rsidRPr="00A21D7D">
              <w:t>15</w:t>
            </w:r>
          </w:p>
        </w:tc>
        <w:tc>
          <w:tcPr>
            <w:tcW w:w="2410" w:type="dxa"/>
          </w:tcPr>
          <w:p w14:paraId="31635440" w14:textId="2B8F239F" w:rsidR="0099171C" w:rsidRPr="00A21D7D" w:rsidRDefault="0099171C" w:rsidP="00D213FE">
            <w:pPr>
              <w:pStyle w:val="TableTextBody"/>
              <w:jc w:val="right"/>
            </w:pPr>
            <w:r w:rsidRPr="00A21D7D">
              <w:t>8.4</w:t>
            </w:r>
            <w:r>
              <w:t>%</w:t>
            </w:r>
          </w:p>
        </w:tc>
      </w:tr>
      <w:tr w:rsidR="0099171C" w:rsidRPr="00A21D7D" w14:paraId="4FF5461E" w14:textId="77777777" w:rsidTr="00D213FE">
        <w:tc>
          <w:tcPr>
            <w:tcW w:w="3823" w:type="dxa"/>
          </w:tcPr>
          <w:p w14:paraId="0B10324B" w14:textId="77777777" w:rsidR="0099171C" w:rsidRPr="00A21D7D" w:rsidRDefault="0099171C" w:rsidP="00D213FE">
            <w:pPr>
              <w:pStyle w:val="TableTextBody"/>
            </w:pPr>
            <w:r w:rsidRPr="00A21D7D">
              <w:t>Humane treatment when deprived of liberty</w:t>
            </w:r>
          </w:p>
        </w:tc>
        <w:tc>
          <w:tcPr>
            <w:tcW w:w="1842" w:type="dxa"/>
          </w:tcPr>
          <w:p w14:paraId="767A5614" w14:textId="77777777" w:rsidR="0099171C" w:rsidRPr="00A21D7D" w:rsidRDefault="0099171C" w:rsidP="00D213FE">
            <w:pPr>
              <w:pStyle w:val="TableTextBody"/>
              <w:jc w:val="right"/>
            </w:pPr>
            <w:r w:rsidRPr="00A21D7D">
              <w:t>14</w:t>
            </w:r>
          </w:p>
        </w:tc>
        <w:tc>
          <w:tcPr>
            <w:tcW w:w="2410" w:type="dxa"/>
          </w:tcPr>
          <w:p w14:paraId="4E453453" w14:textId="1FEB0A85" w:rsidR="0099171C" w:rsidRPr="00A21D7D" w:rsidRDefault="0099171C" w:rsidP="00D213FE">
            <w:pPr>
              <w:pStyle w:val="TableTextBody"/>
              <w:jc w:val="right"/>
            </w:pPr>
            <w:r w:rsidRPr="00A21D7D">
              <w:t>7.8</w:t>
            </w:r>
            <w:r>
              <w:t>%</w:t>
            </w:r>
          </w:p>
        </w:tc>
      </w:tr>
      <w:tr w:rsidR="0099171C" w:rsidRPr="00A21D7D" w14:paraId="42623907" w14:textId="77777777" w:rsidTr="00D213FE">
        <w:tc>
          <w:tcPr>
            <w:tcW w:w="3823" w:type="dxa"/>
          </w:tcPr>
          <w:p w14:paraId="0F8FD14E" w14:textId="77777777" w:rsidR="0099171C" w:rsidRPr="00A21D7D" w:rsidRDefault="0099171C" w:rsidP="00D213FE">
            <w:pPr>
              <w:pStyle w:val="TableTextBody"/>
            </w:pPr>
            <w:r w:rsidRPr="00A21D7D">
              <w:t>Freedom of expression</w:t>
            </w:r>
          </w:p>
        </w:tc>
        <w:tc>
          <w:tcPr>
            <w:tcW w:w="1842" w:type="dxa"/>
          </w:tcPr>
          <w:p w14:paraId="683C72DA" w14:textId="77777777" w:rsidR="0099171C" w:rsidRPr="00A21D7D" w:rsidRDefault="0099171C" w:rsidP="00D213FE">
            <w:pPr>
              <w:pStyle w:val="TableTextBody"/>
              <w:jc w:val="right"/>
            </w:pPr>
            <w:r w:rsidRPr="00A21D7D">
              <w:t xml:space="preserve"> 8</w:t>
            </w:r>
          </w:p>
        </w:tc>
        <w:tc>
          <w:tcPr>
            <w:tcW w:w="2410" w:type="dxa"/>
          </w:tcPr>
          <w:p w14:paraId="720EF1E1" w14:textId="2C38C297" w:rsidR="0099171C" w:rsidRPr="00A21D7D" w:rsidRDefault="0099171C" w:rsidP="00D213FE">
            <w:pPr>
              <w:pStyle w:val="TableTextBody"/>
              <w:jc w:val="right"/>
            </w:pPr>
            <w:r w:rsidRPr="00A21D7D">
              <w:t>4.5</w:t>
            </w:r>
            <w:r>
              <w:t>%</w:t>
            </w:r>
          </w:p>
        </w:tc>
      </w:tr>
      <w:tr w:rsidR="0099171C" w:rsidRPr="00A21D7D" w14:paraId="124135FF" w14:textId="77777777" w:rsidTr="00D213FE">
        <w:tc>
          <w:tcPr>
            <w:tcW w:w="3823" w:type="dxa"/>
          </w:tcPr>
          <w:p w14:paraId="4D3297C9" w14:textId="77777777" w:rsidR="0099171C" w:rsidRPr="00A21D7D" w:rsidRDefault="0099171C" w:rsidP="00D213FE">
            <w:pPr>
              <w:pStyle w:val="TableTextBody"/>
            </w:pPr>
            <w:r w:rsidRPr="00A21D7D">
              <w:t>Right to liberty</w:t>
            </w:r>
          </w:p>
        </w:tc>
        <w:tc>
          <w:tcPr>
            <w:tcW w:w="1842" w:type="dxa"/>
          </w:tcPr>
          <w:p w14:paraId="7A320C10" w14:textId="77777777" w:rsidR="0099171C" w:rsidRPr="00A21D7D" w:rsidRDefault="0099171C" w:rsidP="00D213FE">
            <w:pPr>
              <w:pStyle w:val="TableTextBody"/>
              <w:jc w:val="right"/>
            </w:pPr>
            <w:r w:rsidRPr="00A21D7D">
              <w:t>7</w:t>
            </w:r>
          </w:p>
        </w:tc>
        <w:tc>
          <w:tcPr>
            <w:tcW w:w="2410" w:type="dxa"/>
          </w:tcPr>
          <w:p w14:paraId="6D05CAC7" w14:textId="56358318" w:rsidR="0099171C" w:rsidRPr="00A21D7D" w:rsidRDefault="0099171C" w:rsidP="00D213FE">
            <w:pPr>
              <w:pStyle w:val="TableTextBody"/>
              <w:jc w:val="right"/>
            </w:pPr>
            <w:r w:rsidRPr="00A21D7D">
              <w:t>3.9</w:t>
            </w:r>
            <w:r>
              <w:t>%</w:t>
            </w:r>
          </w:p>
        </w:tc>
      </w:tr>
      <w:tr w:rsidR="0099171C" w:rsidRPr="00A21D7D" w14:paraId="4236E414" w14:textId="77777777" w:rsidTr="00D213FE">
        <w:tc>
          <w:tcPr>
            <w:tcW w:w="3823" w:type="dxa"/>
          </w:tcPr>
          <w:p w14:paraId="6AC13B4B" w14:textId="77777777" w:rsidR="0099171C" w:rsidRPr="00A21D7D" w:rsidRDefault="0099171C" w:rsidP="00D213FE">
            <w:pPr>
              <w:pStyle w:val="TableTextBody"/>
            </w:pPr>
            <w:r w:rsidRPr="00A21D7D">
              <w:t>Right to life</w:t>
            </w:r>
          </w:p>
        </w:tc>
        <w:tc>
          <w:tcPr>
            <w:tcW w:w="1842" w:type="dxa"/>
          </w:tcPr>
          <w:p w14:paraId="0B602808" w14:textId="77777777" w:rsidR="0099171C" w:rsidRPr="00A21D7D" w:rsidRDefault="0099171C" w:rsidP="00D213FE">
            <w:pPr>
              <w:pStyle w:val="TableTextBody"/>
              <w:jc w:val="right"/>
            </w:pPr>
            <w:r w:rsidRPr="00A21D7D">
              <w:t>6</w:t>
            </w:r>
          </w:p>
        </w:tc>
        <w:tc>
          <w:tcPr>
            <w:tcW w:w="2410" w:type="dxa"/>
          </w:tcPr>
          <w:p w14:paraId="02EC66F8" w14:textId="03FB183C" w:rsidR="0099171C" w:rsidRPr="00A21D7D" w:rsidRDefault="0099171C" w:rsidP="00D213FE">
            <w:pPr>
              <w:pStyle w:val="TableTextBody"/>
              <w:jc w:val="right"/>
            </w:pPr>
            <w:r w:rsidRPr="00A21D7D">
              <w:t>3.4</w:t>
            </w:r>
            <w:r>
              <w:t>%</w:t>
            </w:r>
          </w:p>
        </w:tc>
      </w:tr>
      <w:tr w:rsidR="0099171C" w:rsidRPr="00A21D7D" w14:paraId="5B014EC6" w14:textId="77777777" w:rsidTr="00D213FE">
        <w:tc>
          <w:tcPr>
            <w:tcW w:w="3823" w:type="dxa"/>
          </w:tcPr>
          <w:p w14:paraId="4ED89EA5" w14:textId="77777777" w:rsidR="0099171C" w:rsidRPr="00A21D7D" w:rsidRDefault="0099171C" w:rsidP="00D213FE">
            <w:pPr>
              <w:pStyle w:val="TableTextBody"/>
            </w:pPr>
            <w:r w:rsidRPr="00A21D7D">
              <w:t>Property rights</w:t>
            </w:r>
          </w:p>
        </w:tc>
        <w:tc>
          <w:tcPr>
            <w:tcW w:w="1842" w:type="dxa"/>
          </w:tcPr>
          <w:p w14:paraId="44430979" w14:textId="77777777" w:rsidR="0099171C" w:rsidRPr="00A21D7D" w:rsidRDefault="0099171C" w:rsidP="00D213FE">
            <w:pPr>
              <w:pStyle w:val="TableTextBody"/>
              <w:jc w:val="right"/>
            </w:pPr>
            <w:r w:rsidRPr="00A21D7D">
              <w:t>6</w:t>
            </w:r>
          </w:p>
        </w:tc>
        <w:tc>
          <w:tcPr>
            <w:tcW w:w="2410" w:type="dxa"/>
          </w:tcPr>
          <w:p w14:paraId="5ACF3A6D" w14:textId="77EF31AC" w:rsidR="0099171C" w:rsidRPr="00A21D7D" w:rsidRDefault="0099171C" w:rsidP="00D213FE">
            <w:pPr>
              <w:pStyle w:val="TableTextBody"/>
              <w:jc w:val="right"/>
            </w:pPr>
            <w:r w:rsidRPr="00A21D7D">
              <w:t>3.4</w:t>
            </w:r>
            <w:r>
              <w:t>%</w:t>
            </w:r>
          </w:p>
        </w:tc>
      </w:tr>
      <w:tr w:rsidR="0099171C" w:rsidRPr="00A21D7D" w14:paraId="4ACE4F0A" w14:textId="77777777" w:rsidTr="00D213FE">
        <w:tc>
          <w:tcPr>
            <w:tcW w:w="3823" w:type="dxa"/>
          </w:tcPr>
          <w:p w14:paraId="5C37E057" w14:textId="77777777" w:rsidR="0099171C" w:rsidRPr="00A21D7D" w:rsidRDefault="0099171C" w:rsidP="00D213FE">
            <w:pPr>
              <w:pStyle w:val="TableTextBody"/>
            </w:pPr>
            <w:r w:rsidRPr="00A21D7D">
              <w:t xml:space="preserve">Cultural rights – general </w:t>
            </w:r>
          </w:p>
        </w:tc>
        <w:tc>
          <w:tcPr>
            <w:tcW w:w="1842" w:type="dxa"/>
          </w:tcPr>
          <w:p w14:paraId="12B2C6E2" w14:textId="77777777" w:rsidR="0099171C" w:rsidRPr="00A21D7D" w:rsidRDefault="0099171C" w:rsidP="00D213FE">
            <w:pPr>
              <w:pStyle w:val="TableTextBody"/>
              <w:jc w:val="right"/>
            </w:pPr>
            <w:r w:rsidRPr="00A21D7D">
              <w:t>3</w:t>
            </w:r>
          </w:p>
        </w:tc>
        <w:tc>
          <w:tcPr>
            <w:tcW w:w="2410" w:type="dxa"/>
          </w:tcPr>
          <w:p w14:paraId="6F848AD0" w14:textId="7B11535B" w:rsidR="0099171C" w:rsidRPr="00A21D7D" w:rsidRDefault="0099171C" w:rsidP="00D213FE">
            <w:pPr>
              <w:pStyle w:val="TableTextBody"/>
              <w:jc w:val="right"/>
            </w:pPr>
            <w:r w:rsidRPr="00A21D7D">
              <w:t>1.7</w:t>
            </w:r>
            <w:r>
              <w:t>%</w:t>
            </w:r>
          </w:p>
        </w:tc>
      </w:tr>
      <w:tr w:rsidR="0099171C" w:rsidRPr="00A21D7D" w14:paraId="0D7854DF" w14:textId="77777777" w:rsidTr="00D213FE">
        <w:tc>
          <w:tcPr>
            <w:tcW w:w="3823" w:type="dxa"/>
          </w:tcPr>
          <w:p w14:paraId="67BB07AD" w14:textId="75D64CB9" w:rsidR="0099171C" w:rsidRPr="00A21D7D" w:rsidRDefault="0099171C" w:rsidP="00D213FE">
            <w:pPr>
              <w:pStyle w:val="TableTextBody"/>
            </w:pPr>
            <w:r w:rsidRPr="00A21D7D">
              <w:t>Cultural rights – Aboriginal people</w:t>
            </w:r>
            <w:r w:rsidR="00D11705">
              <w:t>s</w:t>
            </w:r>
            <w:r w:rsidRPr="00A21D7D">
              <w:t xml:space="preserve"> &amp; Torres Strait Islander peoples</w:t>
            </w:r>
          </w:p>
        </w:tc>
        <w:tc>
          <w:tcPr>
            <w:tcW w:w="1842" w:type="dxa"/>
          </w:tcPr>
          <w:p w14:paraId="799333DF" w14:textId="77777777" w:rsidR="0099171C" w:rsidRPr="00A21D7D" w:rsidRDefault="0099171C" w:rsidP="00D213FE">
            <w:pPr>
              <w:pStyle w:val="TableTextBody"/>
              <w:jc w:val="right"/>
            </w:pPr>
            <w:r w:rsidRPr="00A21D7D">
              <w:t>4</w:t>
            </w:r>
          </w:p>
        </w:tc>
        <w:tc>
          <w:tcPr>
            <w:tcW w:w="2410" w:type="dxa"/>
          </w:tcPr>
          <w:p w14:paraId="1F39F4FD" w14:textId="1F41770A" w:rsidR="0099171C" w:rsidRPr="00A21D7D" w:rsidRDefault="0099171C" w:rsidP="00D213FE">
            <w:pPr>
              <w:pStyle w:val="TableTextBody"/>
              <w:jc w:val="right"/>
            </w:pPr>
            <w:r w:rsidRPr="00A21D7D">
              <w:t>2.2</w:t>
            </w:r>
            <w:r>
              <w:t>%</w:t>
            </w:r>
          </w:p>
        </w:tc>
      </w:tr>
      <w:tr w:rsidR="0099171C" w:rsidRPr="00A21D7D" w14:paraId="41DB2568" w14:textId="77777777" w:rsidTr="00D213FE">
        <w:tc>
          <w:tcPr>
            <w:tcW w:w="3823" w:type="dxa"/>
          </w:tcPr>
          <w:p w14:paraId="5C5CA303" w14:textId="77777777" w:rsidR="0099171C" w:rsidRPr="00A21D7D" w:rsidRDefault="0099171C" w:rsidP="00D213FE">
            <w:pPr>
              <w:pStyle w:val="TableTextBody"/>
            </w:pPr>
            <w:r w:rsidRPr="00A21D7D">
              <w:t>Rights in criminal proceedings</w:t>
            </w:r>
          </w:p>
        </w:tc>
        <w:tc>
          <w:tcPr>
            <w:tcW w:w="1842" w:type="dxa"/>
          </w:tcPr>
          <w:p w14:paraId="6EB64F40" w14:textId="77777777" w:rsidR="0099171C" w:rsidRPr="00A21D7D" w:rsidRDefault="0099171C" w:rsidP="00D213FE">
            <w:pPr>
              <w:pStyle w:val="TableTextBody"/>
              <w:jc w:val="right"/>
            </w:pPr>
            <w:r w:rsidRPr="00A21D7D">
              <w:t>4</w:t>
            </w:r>
          </w:p>
        </w:tc>
        <w:tc>
          <w:tcPr>
            <w:tcW w:w="2410" w:type="dxa"/>
          </w:tcPr>
          <w:p w14:paraId="630B4176" w14:textId="2E371AE2" w:rsidR="0099171C" w:rsidRPr="00A21D7D" w:rsidRDefault="0099171C" w:rsidP="00D213FE">
            <w:pPr>
              <w:pStyle w:val="TableTextBody"/>
              <w:jc w:val="right"/>
            </w:pPr>
            <w:r w:rsidRPr="00A21D7D">
              <w:t>2.2</w:t>
            </w:r>
            <w:r>
              <w:t>%</w:t>
            </w:r>
          </w:p>
        </w:tc>
      </w:tr>
      <w:tr w:rsidR="0099171C" w:rsidRPr="00A21D7D" w14:paraId="395BBDF2" w14:textId="77777777" w:rsidTr="00D213FE">
        <w:tc>
          <w:tcPr>
            <w:tcW w:w="3823" w:type="dxa"/>
          </w:tcPr>
          <w:p w14:paraId="0F36E2F2" w14:textId="77777777" w:rsidR="0099171C" w:rsidRPr="00A21D7D" w:rsidRDefault="0099171C" w:rsidP="00D213FE">
            <w:pPr>
              <w:pStyle w:val="TableTextBody"/>
            </w:pPr>
            <w:r w:rsidRPr="00A21D7D">
              <w:t>Peaceful assembly</w:t>
            </w:r>
          </w:p>
        </w:tc>
        <w:tc>
          <w:tcPr>
            <w:tcW w:w="1842" w:type="dxa"/>
          </w:tcPr>
          <w:p w14:paraId="57E81F53" w14:textId="77777777" w:rsidR="0099171C" w:rsidRPr="00A21D7D" w:rsidRDefault="0099171C" w:rsidP="00D213FE">
            <w:pPr>
              <w:pStyle w:val="TableTextBody"/>
              <w:jc w:val="right"/>
            </w:pPr>
            <w:r w:rsidRPr="00A21D7D">
              <w:t>2</w:t>
            </w:r>
          </w:p>
        </w:tc>
        <w:tc>
          <w:tcPr>
            <w:tcW w:w="2410" w:type="dxa"/>
          </w:tcPr>
          <w:p w14:paraId="7F068CFD" w14:textId="34754A0E" w:rsidR="0099171C" w:rsidRPr="00A21D7D" w:rsidRDefault="0099171C" w:rsidP="00D213FE">
            <w:pPr>
              <w:pStyle w:val="TableTextBody"/>
              <w:jc w:val="right"/>
            </w:pPr>
            <w:r w:rsidRPr="00A21D7D">
              <w:t>1.1</w:t>
            </w:r>
            <w:r>
              <w:t>%</w:t>
            </w:r>
          </w:p>
        </w:tc>
      </w:tr>
      <w:tr w:rsidR="0099171C" w:rsidRPr="00A21D7D" w14:paraId="1B3CDBCA" w14:textId="77777777" w:rsidTr="00D213FE">
        <w:tc>
          <w:tcPr>
            <w:tcW w:w="3823" w:type="dxa"/>
          </w:tcPr>
          <w:p w14:paraId="0F92C675" w14:textId="77777777" w:rsidR="0099171C" w:rsidRPr="00D11705" w:rsidRDefault="0099171C" w:rsidP="00D213FE">
            <w:pPr>
              <w:pStyle w:val="TableTextBody"/>
              <w:rPr>
                <w:b/>
              </w:rPr>
            </w:pPr>
            <w:r w:rsidRPr="00D11705">
              <w:rPr>
                <w:b/>
              </w:rPr>
              <w:t>Sub-total civil and political rights</w:t>
            </w:r>
          </w:p>
        </w:tc>
        <w:tc>
          <w:tcPr>
            <w:tcW w:w="1842" w:type="dxa"/>
          </w:tcPr>
          <w:p w14:paraId="42B46FD9" w14:textId="77777777" w:rsidR="0099171C" w:rsidRPr="00D11705" w:rsidRDefault="0099171C" w:rsidP="00D213FE">
            <w:pPr>
              <w:pStyle w:val="TableTextBody"/>
              <w:jc w:val="right"/>
              <w:rPr>
                <w:b/>
              </w:rPr>
            </w:pPr>
            <w:r w:rsidRPr="00D11705">
              <w:rPr>
                <w:b/>
              </w:rPr>
              <w:t>164</w:t>
            </w:r>
          </w:p>
        </w:tc>
        <w:tc>
          <w:tcPr>
            <w:tcW w:w="2410" w:type="dxa"/>
          </w:tcPr>
          <w:p w14:paraId="1F33A490" w14:textId="180382CE" w:rsidR="0099171C" w:rsidRPr="00D11705" w:rsidRDefault="0099171C" w:rsidP="00D213FE">
            <w:pPr>
              <w:pStyle w:val="TableTextBody"/>
              <w:jc w:val="right"/>
              <w:rPr>
                <w:b/>
              </w:rPr>
            </w:pPr>
            <w:r w:rsidRPr="00D11705">
              <w:rPr>
                <w:b/>
              </w:rPr>
              <w:t>91.6%</w:t>
            </w:r>
          </w:p>
        </w:tc>
      </w:tr>
      <w:tr w:rsidR="0099171C" w:rsidRPr="00A21D7D" w14:paraId="7367C702" w14:textId="77777777" w:rsidTr="00D213FE">
        <w:tc>
          <w:tcPr>
            <w:tcW w:w="3823" w:type="dxa"/>
          </w:tcPr>
          <w:p w14:paraId="08C8A60F" w14:textId="77777777" w:rsidR="0099171C" w:rsidRPr="00A21D7D" w:rsidRDefault="0099171C" w:rsidP="00D213FE">
            <w:pPr>
              <w:pStyle w:val="TableTextBody"/>
            </w:pPr>
          </w:p>
        </w:tc>
        <w:tc>
          <w:tcPr>
            <w:tcW w:w="1842" w:type="dxa"/>
          </w:tcPr>
          <w:p w14:paraId="0991568D" w14:textId="77777777" w:rsidR="0099171C" w:rsidRPr="00A21D7D" w:rsidRDefault="0099171C" w:rsidP="00D213FE">
            <w:pPr>
              <w:pStyle w:val="TableTextBody"/>
            </w:pPr>
          </w:p>
        </w:tc>
        <w:tc>
          <w:tcPr>
            <w:tcW w:w="2410" w:type="dxa"/>
          </w:tcPr>
          <w:p w14:paraId="27B2049D" w14:textId="77777777" w:rsidR="0099171C" w:rsidRPr="00A21D7D" w:rsidRDefault="0099171C" w:rsidP="00D213FE">
            <w:pPr>
              <w:pStyle w:val="TableTextBody"/>
            </w:pPr>
          </w:p>
        </w:tc>
      </w:tr>
      <w:tr w:rsidR="0099171C" w:rsidRPr="00A21D7D" w14:paraId="24BCE8C9" w14:textId="77777777" w:rsidTr="00D213FE">
        <w:tc>
          <w:tcPr>
            <w:tcW w:w="3823" w:type="dxa"/>
          </w:tcPr>
          <w:p w14:paraId="6F4A9EF8" w14:textId="77777777" w:rsidR="0099171C" w:rsidRPr="00A21D7D" w:rsidRDefault="0099171C" w:rsidP="00D213FE">
            <w:pPr>
              <w:pStyle w:val="TableTextHeading"/>
            </w:pPr>
            <w:r w:rsidRPr="00A21D7D">
              <w:t>Economic, social and cultural rights</w:t>
            </w:r>
          </w:p>
        </w:tc>
        <w:tc>
          <w:tcPr>
            <w:tcW w:w="1842" w:type="dxa"/>
          </w:tcPr>
          <w:p w14:paraId="48004E69" w14:textId="77777777" w:rsidR="0099171C" w:rsidRPr="00A21D7D" w:rsidRDefault="0099171C" w:rsidP="00D213FE">
            <w:pPr>
              <w:pStyle w:val="TableTextHeading"/>
            </w:pPr>
            <w:r w:rsidRPr="00A21D7D">
              <w:t>Number</w:t>
            </w:r>
          </w:p>
        </w:tc>
        <w:tc>
          <w:tcPr>
            <w:tcW w:w="2410" w:type="dxa"/>
          </w:tcPr>
          <w:p w14:paraId="4ECCE012" w14:textId="77777777" w:rsidR="0099171C" w:rsidRPr="00A21D7D" w:rsidRDefault="0099171C" w:rsidP="00D213FE">
            <w:pPr>
              <w:pStyle w:val="TableTextHeading"/>
            </w:pPr>
            <w:r w:rsidRPr="00A21D7D">
              <w:t>Percentage</w:t>
            </w:r>
          </w:p>
        </w:tc>
      </w:tr>
      <w:tr w:rsidR="0099171C" w:rsidRPr="00A21D7D" w14:paraId="43E1E530" w14:textId="77777777" w:rsidTr="00D213FE">
        <w:tc>
          <w:tcPr>
            <w:tcW w:w="3823" w:type="dxa"/>
          </w:tcPr>
          <w:p w14:paraId="7E3B1D1D" w14:textId="77777777" w:rsidR="0099171C" w:rsidRPr="00A21D7D" w:rsidRDefault="0099171C" w:rsidP="00D213FE">
            <w:pPr>
              <w:pStyle w:val="TableTextBody"/>
            </w:pPr>
            <w:r w:rsidRPr="00A21D7D">
              <w:t>Right to education</w:t>
            </w:r>
          </w:p>
        </w:tc>
        <w:tc>
          <w:tcPr>
            <w:tcW w:w="1842" w:type="dxa"/>
          </w:tcPr>
          <w:p w14:paraId="682D97D6" w14:textId="77777777" w:rsidR="0099171C" w:rsidRPr="00A21D7D" w:rsidRDefault="0099171C" w:rsidP="00D213FE">
            <w:pPr>
              <w:pStyle w:val="TableTextBody"/>
              <w:jc w:val="right"/>
            </w:pPr>
            <w:r w:rsidRPr="00A21D7D">
              <w:t>7</w:t>
            </w:r>
          </w:p>
        </w:tc>
        <w:tc>
          <w:tcPr>
            <w:tcW w:w="2410" w:type="dxa"/>
          </w:tcPr>
          <w:p w14:paraId="3826CF0D" w14:textId="379290C6" w:rsidR="0099171C" w:rsidRPr="00A21D7D" w:rsidRDefault="0099171C" w:rsidP="00D213FE">
            <w:pPr>
              <w:pStyle w:val="TableTextBody"/>
              <w:jc w:val="right"/>
            </w:pPr>
            <w:r w:rsidRPr="00A21D7D">
              <w:t>3.9</w:t>
            </w:r>
            <w:r>
              <w:t>%</w:t>
            </w:r>
          </w:p>
        </w:tc>
      </w:tr>
      <w:tr w:rsidR="0099171C" w:rsidRPr="00A21D7D" w14:paraId="64874E40" w14:textId="77777777" w:rsidTr="00D213FE">
        <w:tc>
          <w:tcPr>
            <w:tcW w:w="3823" w:type="dxa"/>
          </w:tcPr>
          <w:p w14:paraId="4C223682" w14:textId="77777777" w:rsidR="0099171C" w:rsidRPr="00A21D7D" w:rsidRDefault="0099171C" w:rsidP="00D213FE">
            <w:pPr>
              <w:pStyle w:val="TableTextBody"/>
            </w:pPr>
            <w:r w:rsidRPr="00A21D7D">
              <w:t>Right to health services</w:t>
            </w:r>
          </w:p>
        </w:tc>
        <w:tc>
          <w:tcPr>
            <w:tcW w:w="1842" w:type="dxa"/>
          </w:tcPr>
          <w:p w14:paraId="1401720B" w14:textId="77777777" w:rsidR="0099171C" w:rsidRPr="00A21D7D" w:rsidRDefault="0099171C" w:rsidP="00D213FE">
            <w:pPr>
              <w:pStyle w:val="TableTextBody"/>
              <w:jc w:val="right"/>
            </w:pPr>
            <w:r w:rsidRPr="00A21D7D">
              <w:t>8</w:t>
            </w:r>
          </w:p>
        </w:tc>
        <w:tc>
          <w:tcPr>
            <w:tcW w:w="2410" w:type="dxa"/>
          </w:tcPr>
          <w:p w14:paraId="1680C160" w14:textId="22244A12" w:rsidR="0099171C" w:rsidRPr="00A21D7D" w:rsidRDefault="0099171C" w:rsidP="00D213FE">
            <w:pPr>
              <w:pStyle w:val="TableTextBody"/>
              <w:jc w:val="right"/>
            </w:pPr>
            <w:r w:rsidRPr="00A21D7D">
              <w:t>4.5</w:t>
            </w:r>
            <w:r>
              <w:t>%</w:t>
            </w:r>
          </w:p>
        </w:tc>
      </w:tr>
      <w:tr w:rsidR="0099171C" w:rsidRPr="00A21D7D" w14:paraId="00D06ABE" w14:textId="77777777" w:rsidTr="00D213FE">
        <w:tc>
          <w:tcPr>
            <w:tcW w:w="3823" w:type="dxa"/>
          </w:tcPr>
          <w:p w14:paraId="35D1C6F1" w14:textId="77777777" w:rsidR="0099171C" w:rsidRPr="00A21D7D" w:rsidRDefault="0099171C" w:rsidP="00D213FE">
            <w:pPr>
              <w:pStyle w:val="TableTextBody"/>
            </w:pPr>
            <w:r w:rsidRPr="00A21D7D">
              <w:t>Sub-total economic, social and cultural rights</w:t>
            </w:r>
          </w:p>
        </w:tc>
        <w:tc>
          <w:tcPr>
            <w:tcW w:w="1842" w:type="dxa"/>
          </w:tcPr>
          <w:p w14:paraId="18220527" w14:textId="77777777" w:rsidR="0099171C" w:rsidRPr="00A21D7D" w:rsidRDefault="0099171C" w:rsidP="00D213FE">
            <w:pPr>
              <w:pStyle w:val="TableTextBody"/>
              <w:jc w:val="right"/>
            </w:pPr>
            <w:r w:rsidRPr="00A21D7D">
              <w:t>15</w:t>
            </w:r>
          </w:p>
        </w:tc>
        <w:tc>
          <w:tcPr>
            <w:tcW w:w="2410" w:type="dxa"/>
          </w:tcPr>
          <w:p w14:paraId="6C2C76A4" w14:textId="4E441A94" w:rsidR="0099171C" w:rsidRPr="00A21D7D" w:rsidRDefault="0099171C" w:rsidP="00D213FE">
            <w:pPr>
              <w:pStyle w:val="TableTextBody"/>
              <w:jc w:val="right"/>
            </w:pPr>
            <w:r w:rsidRPr="00A21D7D">
              <w:t>8.4</w:t>
            </w:r>
            <w:r>
              <w:t>%</w:t>
            </w:r>
          </w:p>
        </w:tc>
      </w:tr>
      <w:tr w:rsidR="0099171C" w:rsidRPr="00A21D7D" w14:paraId="28FDBA99" w14:textId="77777777" w:rsidTr="00D213FE">
        <w:tc>
          <w:tcPr>
            <w:tcW w:w="3823" w:type="dxa"/>
          </w:tcPr>
          <w:p w14:paraId="569BA38F" w14:textId="1B721596" w:rsidR="0099171C" w:rsidRPr="00A21D7D" w:rsidRDefault="00D213FE" w:rsidP="00D213FE">
            <w:pPr>
              <w:pStyle w:val="TableTextHeading"/>
            </w:pPr>
            <w:r>
              <w:t>Total human r</w:t>
            </w:r>
            <w:r w:rsidR="0099171C" w:rsidRPr="00A21D7D">
              <w:t>ights identified</w:t>
            </w:r>
          </w:p>
        </w:tc>
        <w:tc>
          <w:tcPr>
            <w:tcW w:w="1842" w:type="dxa"/>
          </w:tcPr>
          <w:p w14:paraId="133CB6CE" w14:textId="77777777" w:rsidR="0099171C" w:rsidRPr="00A21D7D" w:rsidRDefault="0099171C" w:rsidP="00D213FE">
            <w:pPr>
              <w:pStyle w:val="TableTextHeading"/>
              <w:jc w:val="right"/>
            </w:pPr>
            <w:r w:rsidRPr="00A21D7D">
              <w:t>179</w:t>
            </w:r>
          </w:p>
        </w:tc>
        <w:tc>
          <w:tcPr>
            <w:tcW w:w="2410" w:type="dxa"/>
          </w:tcPr>
          <w:p w14:paraId="1B3DB2B6" w14:textId="77777777" w:rsidR="0099171C" w:rsidRPr="00A21D7D" w:rsidRDefault="0099171C" w:rsidP="00D213FE">
            <w:pPr>
              <w:pStyle w:val="TableTextHeading"/>
              <w:jc w:val="right"/>
            </w:pPr>
            <w:r w:rsidRPr="00A21D7D">
              <w:t>100%</w:t>
            </w:r>
          </w:p>
        </w:tc>
      </w:tr>
    </w:tbl>
    <w:p w14:paraId="28EC4830" w14:textId="66476197" w:rsidR="00126449" w:rsidRPr="00A21D7D" w:rsidRDefault="007B56F8" w:rsidP="00D213FE">
      <w:pPr>
        <w:pStyle w:val="Note"/>
      </w:pPr>
      <w:r>
        <w:t xml:space="preserve">Note: </w:t>
      </w:r>
      <w:r w:rsidR="00126449" w:rsidRPr="00A21D7D">
        <w:t>complaints can identify more than one right in each complaint</w:t>
      </w:r>
      <w:r>
        <w:t>.</w:t>
      </w:r>
    </w:p>
    <w:p w14:paraId="0B9A33A8" w14:textId="3D895C58" w:rsidR="00126449" w:rsidRPr="00A21D7D" w:rsidRDefault="007B56F8" w:rsidP="00D213FE">
      <w:pPr>
        <w:pStyle w:val="Note"/>
      </w:pPr>
      <w:r>
        <w:t xml:space="preserve">Note: </w:t>
      </w:r>
      <w:r w:rsidR="00126449" w:rsidRPr="00A21D7D">
        <w:t>this table counts each time a human rights allegation has been identified but may not have been accepted</w:t>
      </w:r>
      <w:r>
        <w:t>.</w:t>
      </w:r>
    </w:p>
    <w:p w14:paraId="24165640" w14:textId="77777777" w:rsidR="007B56F8" w:rsidRPr="007B56F8" w:rsidRDefault="007B56F8" w:rsidP="007B56F8">
      <w:pPr>
        <w:pStyle w:val="Note"/>
        <w:spacing w:before="0" w:after="0"/>
        <w:rPr>
          <w:lang w:eastAsia="en-AU"/>
        </w:rPr>
      </w:pPr>
      <w:r>
        <w:rPr>
          <w:lang w:eastAsia="en-AU"/>
        </w:rPr>
        <w:t>Note: Percentages in this table have been rounded to the nearest decimal point.</w:t>
      </w:r>
    </w:p>
    <w:p w14:paraId="2AC86C92" w14:textId="77777777" w:rsidR="003C2A6D" w:rsidRDefault="003C2A6D">
      <w:pPr>
        <w:ind w:right="0"/>
        <w:rPr>
          <w:rFonts w:cs="Arial"/>
          <w:lang w:eastAsia="en-AU"/>
        </w:rPr>
      </w:pPr>
      <w:r>
        <w:rPr>
          <w:rFonts w:cs="Arial"/>
          <w:lang w:eastAsia="en-AU"/>
        </w:rPr>
        <w:br w:type="page"/>
      </w:r>
    </w:p>
    <w:p w14:paraId="35BC5BD2" w14:textId="7E916479" w:rsidR="00126449" w:rsidRPr="00A21D7D" w:rsidRDefault="0099171C" w:rsidP="00126449">
      <w:pPr>
        <w:spacing w:before="120" w:after="120" w:line="240" w:lineRule="auto"/>
        <w:rPr>
          <w:rFonts w:cs="Arial"/>
          <w:lang w:eastAsia="en-AU"/>
        </w:rPr>
      </w:pPr>
      <w:r>
        <w:rPr>
          <w:rFonts w:cs="Arial"/>
          <w:lang w:eastAsia="en-AU"/>
        </w:rPr>
        <w:lastRenderedPageBreak/>
        <w:t xml:space="preserve">Table </w:t>
      </w:r>
      <w:r w:rsidRPr="00CC2FEA">
        <w:rPr>
          <w:rFonts w:cs="Arial"/>
          <w:lang w:eastAsia="en-AU"/>
        </w:rPr>
        <w:t>8</w:t>
      </w:r>
      <w:r w:rsidR="00126449" w:rsidRPr="00CC2FEA">
        <w:rPr>
          <w:rFonts w:cs="Arial"/>
          <w:lang w:eastAsia="en-AU"/>
        </w:rPr>
        <w:t>b</w:t>
      </w:r>
      <w:r w:rsidR="00126449" w:rsidRPr="00A21D7D">
        <w:rPr>
          <w:rFonts w:cs="Arial"/>
          <w:lang w:eastAsia="en-AU"/>
        </w:rPr>
        <w:t xml:space="preserve"> shows the human rights allegations that were accepted.</w:t>
      </w:r>
      <w:r w:rsidR="00B10E8B">
        <w:rPr>
          <w:rFonts w:cs="Arial"/>
          <w:lang w:eastAsia="en-AU"/>
        </w:rPr>
        <w:t xml:space="preserve"> </w:t>
      </w:r>
      <w:r w:rsidR="00126449" w:rsidRPr="00A21D7D">
        <w:rPr>
          <w:rFonts w:cs="Arial"/>
          <w:lang w:eastAsia="en-AU"/>
        </w:rPr>
        <w:t>The highest proportion of human rights allegations accepted were about the right to recognition and equality before the law.</w:t>
      </w:r>
      <w:r w:rsidR="00B10E8B">
        <w:rPr>
          <w:rFonts w:cs="Arial"/>
          <w:lang w:eastAsia="en-AU"/>
        </w:rPr>
        <w:t xml:space="preserve"> </w:t>
      </w:r>
      <w:r w:rsidR="00126449" w:rsidRPr="00A21D7D">
        <w:rPr>
          <w:rFonts w:cs="Arial"/>
          <w:lang w:eastAsia="en-AU"/>
        </w:rPr>
        <w:t>This was followed by the right to privacy and reputation (11.3%).</w:t>
      </w:r>
      <w:r w:rsidR="00B10E8B">
        <w:rPr>
          <w:rFonts w:cs="Arial"/>
          <w:lang w:eastAsia="en-AU"/>
        </w:rPr>
        <w:t xml:space="preserve"> </w:t>
      </w:r>
      <w:r w:rsidR="00126449" w:rsidRPr="00A21D7D">
        <w:rPr>
          <w:rFonts w:cs="Arial"/>
          <w:lang w:eastAsia="en-AU"/>
        </w:rPr>
        <w:t>Protection of families and children accounted for 10.2% of accepted human rights allegations, followed by freedom of movement (9.1%) and protection from torture and cruel, inhuman or degrading treatment (8%).</w:t>
      </w:r>
      <w:r w:rsidR="00B10E8B">
        <w:rPr>
          <w:rFonts w:cs="Arial"/>
          <w:lang w:eastAsia="en-AU"/>
        </w:rPr>
        <w:t xml:space="preserve"> </w:t>
      </w:r>
    </w:p>
    <w:p w14:paraId="0D6F2E1C" w14:textId="77777777" w:rsidR="00126449" w:rsidRPr="00A21D7D" w:rsidRDefault="00126449" w:rsidP="00126449">
      <w:pPr>
        <w:spacing w:before="120" w:after="120" w:line="240" w:lineRule="auto"/>
        <w:rPr>
          <w:rFonts w:cs="Arial"/>
          <w:i/>
          <w:sz w:val="28"/>
          <w:szCs w:val="22"/>
          <w:lang w:eastAsia="en-AU"/>
        </w:rPr>
      </w:pPr>
    </w:p>
    <w:p w14:paraId="161B4C13" w14:textId="415F838D" w:rsidR="00126449" w:rsidRPr="00BE6F07" w:rsidRDefault="00497E96" w:rsidP="003C2A6D">
      <w:pPr>
        <w:pStyle w:val="Caption"/>
      </w:pPr>
      <w:r w:rsidRPr="00BE6F07">
        <w:t>Table 8</w:t>
      </w:r>
      <w:r w:rsidR="00126449" w:rsidRPr="00BE6F07">
        <w:t>b</w:t>
      </w:r>
      <w:r w:rsidR="003C2A6D">
        <w:t>:</w:t>
      </w:r>
      <w:r w:rsidR="00126449" w:rsidRPr="00BE6F07">
        <w:t xml:space="preserve"> State-wide accepted Human Rights complaints by right</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1842"/>
        <w:gridCol w:w="2410"/>
      </w:tblGrid>
      <w:tr w:rsidR="00126449" w:rsidRPr="00D213FE" w14:paraId="36D67B07" w14:textId="77777777" w:rsidTr="00D213FE">
        <w:tc>
          <w:tcPr>
            <w:tcW w:w="3823" w:type="dxa"/>
          </w:tcPr>
          <w:p w14:paraId="30424501" w14:textId="77777777" w:rsidR="00126449" w:rsidRPr="00D213FE" w:rsidRDefault="00126449" w:rsidP="00D213FE">
            <w:pPr>
              <w:pStyle w:val="TableTextHeading"/>
            </w:pPr>
            <w:r w:rsidRPr="00D213FE">
              <w:t>Civil and political rights</w:t>
            </w:r>
          </w:p>
        </w:tc>
        <w:tc>
          <w:tcPr>
            <w:tcW w:w="1842" w:type="dxa"/>
          </w:tcPr>
          <w:p w14:paraId="795DF181" w14:textId="77777777" w:rsidR="00126449" w:rsidRPr="00D213FE" w:rsidRDefault="00126449" w:rsidP="00D213FE">
            <w:pPr>
              <w:pStyle w:val="TableTextHeading"/>
            </w:pPr>
            <w:r w:rsidRPr="00D213FE">
              <w:t>Number</w:t>
            </w:r>
          </w:p>
        </w:tc>
        <w:tc>
          <w:tcPr>
            <w:tcW w:w="2410" w:type="dxa"/>
          </w:tcPr>
          <w:p w14:paraId="2406E045" w14:textId="5E1046EE" w:rsidR="00126449" w:rsidRPr="00D213FE" w:rsidRDefault="00126449" w:rsidP="00D213FE">
            <w:pPr>
              <w:pStyle w:val="TableTextHeading"/>
            </w:pPr>
            <w:r w:rsidRPr="00D213FE">
              <w:t xml:space="preserve">Percentage of accepted human </w:t>
            </w:r>
            <w:r w:rsidR="00D213FE">
              <w:t xml:space="preserve"> </w:t>
            </w:r>
            <w:r w:rsidRPr="00D213FE">
              <w:t xml:space="preserve">rights allegations </w:t>
            </w:r>
          </w:p>
        </w:tc>
      </w:tr>
      <w:tr w:rsidR="00126449" w:rsidRPr="00A21D7D" w14:paraId="7B584C5B" w14:textId="77777777" w:rsidTr="00D213FE">
        <w:tc>
          <w:tcPr>
            <w:tcW w:w="3823" w:type="dxa"/>
          </w:tcPr>
          <w:p w14:paraId="5D3A8BB7" w14:textId="77777777" w:rsidR="00126449" w:rsidRPr="00A21D7D" w:rsidRDefault="00126449" w:rsidP="00D213FE">
            <w:pPr>
              <w:pStyle w:val="TableTextBody"/>
            </w:pPr>
            <w:r w:rsidRPr="00A21D7D">
              <w:t>Recognition and equality before the law</w:t>
            </w:r>
          </w:p>
        </w:tc>
        <w:tc>
          <w:tcPr>
            <w:tcW w:w="1842" w:type="dxa"/>
          </w:tcPr>
          <w:p w14:paraId="2A0ED2F5" w14:textId="77777777" w:rsidR="00126449" w:rsidRPr="00A21D7D" w:rsidRDefault="00126449" w:rsidP="00D213FE">
            <w:pPr>
              <w:pStyle w:val="TableTextBody"/>
              <w:jc w:val="right"/>
            </w:pPr>
            <w:r w:rsidRPr="00A21D7D">
              <w:t>25</w:t>
            </w:r>
          </w:p>
        </w:tc>
        <w:tc>
          <w:tcPr>
            <w:tcW w:w="2410" w:type="dxa"/>
          </w:tcPr>
          <w:p w14:paraId="15BFD4ED" w14:textId="33399BDA" w:rsidR="00126449" w:rsidRPr="00A21D7D" w:rsidRDefault="00126449" w:rsidP="00D213FE">
            <w:pPr>
              <w:pStyle w:val="TableTextBody"/>
              <w:jc w:val="right"/>
            </w:pPr>
            <w:r w:rsidRPr="00A21D7D">
              <w:t>28.4</w:t>
            </w:r>
            <w:r w:rsidR="0099171C">
              <w:t>%</w:t>
            </w:r>
          </w:p>
        </w:tc>
      </w:tr>
      <w:tr w:rsidR="00126449" w:rsidRPr="00A21D7D" w14:paraId="007E5D26" w14:textId="77777777" w:rsidTr="00D213FE">
        <w:tc>
          <w:tcPr>
            <w:tcW w:w="3823" w:type="dxa"/>
          </w:tcPr>
          <w:p w14:paraId="05762B1C" w14:textId="77777777" w:rsidR="00126449" w:rsidRPr="00A21D7D" w:rsidRDefault="00126449" w:rsidP="00D213FE">
            <w:pPr>
              <w:pStyle w:val="TableTextBody"/>
            </w:pPr>
            <w:r w:rsidRPr="00A21D7D">
              <w:t>Privacy and reputation</w:t>
            </w:r>
          </w:p>
        </w:tc>
        <w:tc>
          <w:tcPr>
            <w:tcW w:w="1842" w:type="dxa"/>
          </w:tcPr>
          <w:p w14:paraId="216081F4" w14:textId="77777777" w:rsidR="00126449" w:rsidRPr="00A21D7D" w:rsidRDefault="00126449" w:rsidP="00D213FE">
            <w:pPr>
              <w:pStyle w:val="TableTextBody"/>
              <w:jc w:val="right"/>
            </w:pPr>
            <w:r w:rsidRPr="00A21D7D">
              <w:t>10</w:t>
            </w:r>
          </w:p>
        </w:tc>
        <w:tc>
          <w:tcPr>
            <w:tcW w:w="2410" w:type="dxa"/>
          </w:tcPr>
          <w:p w14:paraId="0E662AA3" w14:textId="441CCFEA" w:rsidR="00126449" w:rsidRPr="00A21D7D" w:rsidRDefault="00126449" w:rsidP="00D213FE">
            <w:pPr>
              <w:pStyle w:val="TableTextBody"/>
              <w:jc w:val="right"/>
            </w:pPr>
            <w:r w:rsidRPr="00A21D7D">
              <w:t>11.3</w:t>
            </w:r>
            <w:r w:rsidR="0099171C">
              <w:t>%</w:t>
            </w:r>
          </w:p>
        </w:tc>
      </w:tr>
      <w:tr w:rsidR="00126449" w:rsidRPr="00A21D7D" w14:paraId="3F131302" w14:textId="77777777" w:rsidTr="00D213FE">
        <w:tc>
          <w:tcPr>
            <w:tcW w:w="3823" w:type="dxa"/>
          </w:tcPr>
          <w:p w14:paraId="0AC83B8C" w14:textId="77777777" w:rsidR="00126449" w:rsidRPr="00A21D7D" w:rsidRDefault="00126449" w:rsidP="00D213FE">
            <w:pPr>
              <w:pStyle w:val="TableTextBody"/>
            </w:pPr>
            <w:r w:rsidRPr="00A21D7D">
              <w:t>Protection of families and children</w:t>
            </w:r>
          </w:p>
        </w:tc>
        <w:tc>
          <w:tcPr>
            <w:tcW w:w="1842" w:type="dxa"/>
          </w:tcPr>
          <w:p w14:paraId="3EA11AF0" w14:textId="77777777" w:rsidR="00126449" w:rsidRPr="00A21D7D" w:rsidRDefault="00126449" w:rsidP="00D213FE">
            <w:pPr>
              <w:pStyle w:val="TableTextBody"/>
              <w:jc w:val="right"/>
            </w:pPr>
            <w:r w:rsidRPr="00A21D7D">
              <w:t>9</w:t>
            </w:r>
          </w:p>
        </w:tc>
        <w:tc>
          <w:tcPr>
            <w:tcW w:w="2410" w:type="dxa"/>
          </w:tcPr>
          <w:p w14:paraId="45934D8E" w14:textId="2061160E" w:rsidR="00126449" w:rsidRPr="00A21D7D" w:rsidRDefault="00126449" w:rsidP="00D213FE">
            <w:pPr>
              <w:pStyle w:val="TableTextBody"/>
              <w:jc w:val="right"/>
            </w:pPr>
            <w:r w:rsidRPr="00A21D7D">
              <w:t>10.2</w:t>
            </w:r>
            <w:r w:rsidR="0099171C">
              <w:t>%</w:t>
            </w:r>
          </w:p>
        </w:tc>
      </w:tr>
      <w:tr w:rsidR="00126449" w:rsidRPr="00A21D7D" w14:paraId="7A7B7327" w14:textId="77777777" w:rsidTr="00D213FE">
        <w:tc>
          <w:tcPr>
            <w:tcW w:w="3823" w:type="dxa"/>
          </w:tcPr>
          <w:p w14:paraId="59CD0612" w14:textId="77777777" w:rsidR="00126449" w:rsidRPr="00A21D7D" w:rsidRDefault="00126449" w:rsidP="00D213FE">
            <w:pPr>
              <w:pStyle w:val="TableTextBody"/>
            </w:pPr>
            <w:r w:rsidRPr="00A21D7D">
              <w:t>Freedom of movement</w:t>
            </w:r>
          </w:p>
        </w:tc>
        <w:tc>
          <w:tcPr>
            <w:tcW w:w="1842" w:type="dxa"/>
          </w:tcPr>
          <w:p w14:paraId="296ED248" w14:textId="77777777" w:rsidR="00126449" w:rsidRPr="00A21D7D" w:rsidRDefault="00126449" w:rsidP="00D213FE">
            <w:pPr>
              <w:pStyle w:val="TableTextBody"/>
              <w:jc w:val="right"/>
            </w:pPr>
            <w:r w:rsidRPr="00A21D7D">
              <w:t>8</w:t>
            </w:r>
          </w:p>
        </w:tc>
        <w:tc>
          <w:tcPr>
            <w:tcW w:w="2410" w:type="dxa"/>
          </w:tcPr>
          <w:p w14:paraId="1B85E3A8" w14:textId="4797ECF4" w:rsidR="00126449" w:rsidRPr="00A21D7D" w:rsidRDefault="00126449" w:rsidP="00D213FE">
            <w:pPr>
              <w:pStyle w:val="TableTextBody"/>
              <w:jc w:val="right"/>
            </w:pPr>
            <w:r w:rsidRPr="00A21D7D">
              <w:t>9.1</w:t>
            </w:r>
            <w:r w:rsidR="0099171C">
              <w:t>%</w:t>
            </w:r>
          </w:p>
        </w:tc>
      </w:tr>
      <w:tr w:rsidR="00126449" w:rsidRPr="00A21D7D" w14:paraId="1C9BC6C1" w14:textId="77777777" w:rsidTr="00D213FE">
        <w:tc>
          <w:tcPr>
            <w:tcW w:w="3823" w:type="dxa"/>
          </w:tcPr>
          <w:p w14:paraId="6CFD982D" w14:textId="77777777" w:rsidR="00126449" w:rsidRPr="00A21D7D" w:rsidRDefault="00126449" w:rsidP="00D213FE">
            <w:pPr>
              <w:pStyle w:val="TableTextBody"/>
            </w:pPr>
            <w:r w:rsidRPr="00A21D7D">
              <w:t>Protection from torture &amp; cruel, inhuman or degrading treatment</w:t>
            </w:r>
          </w:p>
        </w:tc>
        <w:tc>
          <w:tcPr>
            <w:tcW w:w="1842" w:type="dxa"/>
          </w:tcPr>
          <w:p w14:paraId="57C3DDAC" w14:textId="77777777" w:rsidR="00126449" w:rsidRPr="00A21D7D" w:rsidRDefault="00126449" w:rsidP="00D213FE">
            <w:pPr>
              <w:pStyle w:val="TableTextBody"/>
              <w:jc w:val="right"/>
            </w:pPr>
            <w:r w:rsidRPr="00A21D7D">
              <w:t>7</w:t>
            </w:r>
          </w:p>
        </w:tc>
        <w:tc>
          <w:tcPr>
            <w:tcW w:w="2410" w:type="dxa"/>
          </w:tcPr>
          <w:p w14:paraId="101BFBE9" w14:textId="70E87D7B" w:rsidR="00126449" w:rsidRPr="00A21D7D" w:rsidRDefault="00126449" w:rsidP="00D213FE">
            <w:pPr>
              <w:pStyle w:val="TableTextBody"/>
              <w:jc w:val="right"/>
            </w:pPr>
            <w:r w:rsidRPr="00A21D7D">
              <w:t>8.0</w:t>
            </w:r>
            <w:r w:rsidR="0099171C">
              <w:t>%</w:t>
            </w:r>
          </w:p>
        </w:tc>
      </w:tr>
      <w:tr w:rsidR="00126449" w:rsidRPr="00A21D7D" w14:paraId="1306BBA5" w14:textId="77777777" w:rsidTr="00D213FE">
        <w:tc>
          <w:tcPr>
            <w:tcW w:w="3823" w:type="dxa"/>
          </w:tcPr>
          <w:p w14:paraId="1F249AEE" w14:textId="77777777" w:rsidR="00126449" w:rsidRPr="00A21D7D" w:rsidRDefault="00126449" w:rsidP="00D213FE">
            <w:pPr>
              <w:pStyle w:val="TableTextBody"/>
            </w:pPr>
            <w:r w:rsidRPr="00A21D7D">
              <w:t>Human treatment when deprived of liberty</w:t>
            </w:r>
          </w:p>
        </w:tc>
        <w:tc>
          <w:tcPr>
            <w:tcW w:w="1842" w:type="dxa"/>
          </w:tcPr>
          <w:p w14:paraId="5A585482" w14:textId="77777777" w:rsidR="00126449" w:rsidRPr="00A21D7D" w:rsidRDefault="00126449" w:rsidP="00D213FE">
            <w:pPr>
              <w:pStyle w:val="TableTextBody"/>
              <w:jc w:val="right"/>
            </w:pPr>
            <w:r w:rsidRPr="00A21D7D">
              <w:t>5</w:t>
            </w:r>
          </w:p>
        </w:tc>
        <w:tc>
          <w:tcPr>
            <w:tcW w:w="2410" w:type="dxa"/>
          </w:tcPr>
          <w:p w14:paraId="09AED3F9" w14:textId="2222C4A2" w:rsidR="00126449" w:rsidRPr="00A21D7D" w:rsidRDefault="00126449" w:rsidP="00D213FE">
            <w:pPr>
              <w:pStyle w:val="TableTextBody"/>
              <w:jc w:val="right"/>
            </w:pPr>
            <w:r w:rsidRPr="00A21D7D">
              <w:t>5.7</w:t>
            </w:r>
            <w:r w:rsidR="0099171C">
              <w:t>%</w:t>
            </w:r>
          </w:p>
        </w:tc>
      </w:tr>
      <w:tr w:rsidR="00126449" w:rsidRPr="00A21D7D" w14:paraId="5B07A02E" w14:textId="77777777" w:rsidTr="00D213FE">
        <w:tc>
          <w:tcPr>
            <w:tcW w:w="3823" w:type="dxa"/>
          </w:tcPr>
          <w:p w14:paraId="045967A9" w14:textId="77777777" w:rsidR="00126449" w:rsidRPr="00A21D7D" w:rsidRDefault="00126449" w:rsidP="00D213FE">
            <w:pPr>
              <w:pStyle w:val="TableTextBody"/>
            </w:pPr>
            <w:r w:rsidRPr="00A21D7D">
              <w:t>Freedom of expression</w:t>
            </w:r>
          </w:p>
        </w:tc>
        <w:tc>
          <w:tcPr>
            <w:tcW w:w="1842" w:type="dxa"/>
          </w:tcPr>
          <w:p w14:paraId="74EA7324" w14:textId="77777777" w:rsidR="00126449" w:rsidRPr="00A21D7D" w:rsidRDefault="00126449" w:rsidP="00D213FE">
            <w:pPr>
              <w:pStyle w:val="TableTextBody"/>
              <w:jc w:val="right"/>
            </w:pPr>
            <w:r w:rsidRPr="00A21D7D">
              <w:t>4</w:t>
            </w:r>
          </w:p>
        </w:tc>
        <w:tc>
          <w:tcPr>
            <w:tcW w:w="2410" w:type="dxa"/>
          </w:tcPr>
          <w:p w14:paraId="6150277C" w14:textId="2ADE3286" w:rsidR="00126449" w:rsidRPr="00A21D7D" w:rsidRDefault="00126449" w:rsidP="00D213FE">
            <w:pPr>
              <w:pStyle w:val="TableTextBody"/>
              <w:jc w:val="right"/>
            </w:pPr>
            <w:r w:rsidRPr="00A21D7D">
              <w:t>4.5</w:t>
            </w:r>
            <w:r w:rsidR="0099171C">
              <w:t>%</w:t>
            </w:r>
          </w:p>
        </w:tc>
      </w:tr>
      <w:tr w:rsidR="00126449" w:rsidRPr="00A21D7D" w14:paraId="2319F105" w14:textId="77777777" w:rsidTr="00D213FE">
        <w:tc>
          <w:tcPr>
            <w:tcW w:w="3823" w:type="dxa"/>
          </w:tcPr>
          <w:p w14:paraId="4E98E046" w14:textId="77777777" w:rsidR="00126449" w:rsidRPr="00A21D7D" w:rsidRDefault="00126449" w:rsidP="00D213FE">
            <w:pPr>
              <w:pStyle w:val="TableTextBody"/>
            </w:pPr>
            <w:r w:rsidRPr="00A21D7D">
              <w:t>Right to liberty</w:t>
            </w:r>
          </w:p>
        </w:tc>
        <w:tc>
          <w:tcPr>
            <w:tcW w:w="1842" w:type="dxa"/>
          </w:tcPr>
          <w:p w14:paraId="59E0B5EB" w14:textId="77777777" w:rsidR="00126449" w:rsidRPr="00A21D7D" w:rsidRDefault="00126449" w:rsidP="00D213FE">
            <w:pPr>
              <w:pStyle w:val="TableTextBody"/>
              <w:jc w:val="right"/>
            </w:pPr>
            <w:r w:rsidRPr="00A21D7D">
              <w:t>3</w:t>
            </w:r>
          </w:p>
        </w:tc>
        <w:tc>
          <w:tcPr>
            <w:tcW w:w="2410" w:type="dxa"/>
          </w:tcPr>
          <w:p w14:paraId="1CAFE612" w14:textId="294516F2" w:rsidR="00126449" w:rsidRPr="00A21D7D" w:rsidRDefault="00126449" w:rsidP="00D213FE">
            <w:pPr>
              <w:pStyle w:val="TableTextBody"/>
              <w:jc w:val="right"/>
            </w:pPr>
            <w:r w:rsidRPr="00A21D7D">
              <w:t>3.4</w:t>
            </w:r>
            <w:r w:rsidR="0099171C">
              <w:t>%</w:t>
            </w:r>
          </w:p>
        </w:tc>
      </w:tr>
      <w:tr w:rsidR="00126449" w:rsidRPr="00A21D7D" w14:paraId="13107B35" w14:textId="77777777" w:rsidTr="00D213FE">
        <w:tc>
          <w:tcPr>
            <w:tcW w:w="3823" w:type="dxa"/>
          </w:tcPr>
          <w:p w14:paraId="3540144D" w14:textId="77777777" w:rsidR="00126449" w:rsidRPr="00A21D7D" w:rsidRDefault="00126449" w:rsidP="00D213FE">
            <w:pPr>
              <w:pStyle w:val="TableTextBody"/>
            </w:pPr>
            <w:r w:rsidRPr="00A21D7D">
              <w:t>Right to life</w:t>
            </w:r>
          </w:p>
        </w:tc>
        <w:tc>
          <w:tcPr>
            <w:tcW w:w="1842" w:type="dxa"/>
          </w:tcPr>
          <w:p w14:paraId="76578C63" w14:textId="77777777" w:rsidR="00126449" w:rsidRPr="00A21D7D" w:rsidRDefault="00126449" w:rsidP="00D213FE">
            <w:pPr>
              <w:pStyle w:val="TableTextBody"/>
              <w:jc w:val="right"/>
            </w:pPr>
            <w:r w:rsidRPr="00A21D7D">
              <w:t>2</w:t>
            </w:r>
          </w:p>
        </w:tc>
        <w:tc>
          <w:tcPr>
            <w:tcW w:w="2410" w:type="dxa"/>
          </w:tcPr>
          <w:p w14:paraId="17B19792" w14:textId="5A8E1AB4" w:rsidR="00126449" w:rsidRPr="00A21D7D" w:rsidRDefault="00126449" w:rsidP="00D213FE">
            <w:pPr>
              <w:pStyle w:val="TableTextBody"/>
              <w:jc w:val="right"/>
            </w:pPr>
            <w:r w:rsidRPr="00A21D7D">
              <w:t>2.2</w:t>
            </w:r>
            <w:r w:rsidR="0099171C">
              <w:t>%</w:t>
            </w:r>
          </w:p>
        </w:tc>
      </w:tr>
      <w:tr w:rsidR="00126449" w:rsidRPr="00A21D7D" w14:paraId="6A2392E5" w14:textId="77777777" w:rsidTr="00D213FE">
        <w:tc>
          <w:tcPr>
            <w:tcW w:w="3823" w:type="dxa"/>
          </w:tcPr>
          <w:p w14:paraId="7A535872" w14:textId="77777777" w:rsidR="00126449" w:rsidRPr="00A21D7D" w:rsidRDefault="00126449" w:rsidP="00D213FE">
            <w:pPr>
              <w:pStyle w:val="TableTextBody"/>
            </w:pPr>
            <w:r w:rsidRPr="00A21D7D">
              <w:t>Property rights</w:t>
            </w:r>
          </w:p>
        </w:tc>
        <w:tc>
          <w:tcPr>
            <w:tcW w:w="1842" w:type="dxa"/>
          </w:tcPr>
          <w:p w14:paraId="6A751675" w14:textId="77777777" w:rsidR="00126449" w:rsidRPr="00A21D7D" w:rsidRDefault="00126449" w:rsidP="00D213FE">
            <w:pPr>
              <w:pStyle w:val="TableTextBody"/>
              <w:jc w:val="right"/>
            </w:pPr>
            <w:r w:rsidRPr="00A21D7D">
              <w:t>2</w:t>
            </w:r>
          </w:p>
        </w:tc>
        <w:tc>
          <w:tcPr>
            <w:tcW w:w="2410" w:type="dxa"/>
          </w:tcPr>
          <w:p w14:paraId="28EB68E3" w14:textId="18A34E99" w:rsidR="00126449" w:rsidRPr="00A21D7D" w:rsidRDefault="00126449" w:rsidP="00D213FE">
            <w:pPr>
              <w:pStyle w:val="TableTextBody"/>
              <w:jc w:val="right"/>
            </w:pPr>
            <w:r w:rsidRPr="00A21D7D">
              <w:t>2.2</w:t>
            </w:r>
            <w:r w:rsidR="0099171C">
              <w:t>%</w:t>
            </w:r>
          </w:p>
        </w:tc>
      </w:tr>
      <w:tr w:rsidR="00126449" w:rsidRPr="00A21D7D" w14:paraId="2B64518D" w14:textId="77777777" w:rsidTr="00D213FE">
        <w:tc>
          <w:tcPr>
            <w:tcW w:w="3823" w:type="dxa"/>
          </w:tcPr>
          <w:p w14:paraId="71C75180" w14:textId="77777777" w:rsidR="00126449" w:rsidRPr="00A21D7D" w:rsidRDefault="00126449" w:rsidP="00D213FE">
            <w:pPr>
              <w:pStyle w:val="TableTextBody"/>
            </w:pPr>
            <w:r w:rsidRPr="00A21D7D">
              <w:t xml:space="preserve">Cultural rights – general </w:t>
            </w:r>
          </w:p>
        </w:tc>
        <w:tc>
          <w:tcPr>
            <w:tcW w:w="1842" w:type="dxa"/>
          </w:tcPr>
          <w:p w14:paraId="068E9470" w14:textId="77777777" w:rsidR="00126449" w:rsidRPr="00A21D7D" w:rsidRDefault="00126449" w:rsidP="00D213FE">
            <w:pPr>
              <w:pStyle w:val="TableTextBody"/>
              <w:jc w:val="right"/>
            </w:pPr>
            <w:r w:rsidRPr="00A21D7D">
              <w:t>1</w:t>
            </w:r>
          </w:p>
        </w:tc>
        <w:tc>
          <w:tcPr>
            <w:tcW w:w="2410" w:type="dxa"/>
          </w:tcPr>
          <w:p w14:paraId="26E146C2" w14:textId="4C0B09F0" w:rsidR="00126449" w:rsidRPr="00A21D7D" w:rsidRDefault="00126449" w:rsidP="00D213FE">
            <w:pPr>
              <w:pStyle w:val="TableTextBody"/>
              <w:jc w:val="right"/>
            </w:pPr>
            <w:r w:rsidRPr="00A21D7D">
              <w:t>1.2</w:t>
            </w:r>
            <w:r w:rsidR="0099171C">
              <w:t>%</w:t>
            </w:r>
          </w:p>
        </w:tc>
      </w:tr>
      <w:tr w:rsidR="00126449" w:rsidRPr="00A21D7D" w14:paraId="70B633A7" w14:textId="77777777" w:rsidTr="00D213FE">
        <w:tc>
          <w:tcPr>
            <w:tcW w:w="3823" w:type="dxa"/>
          </w:tcPr>
          <w:p w14:paraId="4299563B" w14:textId="77777777" w:rsidR="00126449" w:rsidRPr="00A21D7D" w:rsidRDefault="00126449" w:rsidP="00D213FE">
            <w:pPr>
              <w:pStyle w:val="TableTextBody"/>
            </w:pPr>
            <w:r w:rsidRPr="00A21D7D">
              <w:t>Cultural rights – Aboriginal people &amp; Torres Strait Islander peoples</w:t>
            </w:r>
          </w:p>
        </w:tc>
        <w:tc>
          <w:tcPr>
            <w:tcW w:w="1842" w:type="dxa"/>
          </w:tcPr>
          <w:p w14:paraId="0F8DDE44" w14:textId="77777777" w:rsidR="00126449" w:rsidRPr="00A21D7D" w:rsidRDefault="00126449" w:rsidP="00D213FE">
            <w:pPr>
              <w:pStyle w:val="TableTextBody"/>
              <w:jc w:val="right"/>
            </w:pPr>
            <w:r w:rsidRPr="00A21D7D">
              <w:t>1</w:t>
            </w:r>
          </w:p>
        </w:tc>
        <w:tc>
          <w:tcPr>
            <w:tcW w:w="2410" w:type="dxa"/>
          </w:tcPr>
          <w:p w14:paraId="50949F75" w14:textId="5E892B88" w:rsidR="00126449" w:rsidRPr="00A21D7D" w:rsidRDefault="00126449" w:rsidP="00D213FE">
            <w:pPr>
              <w:pStyle w:val="TableTextBody"/>
              <w:jc w:val="right"/>
            </w:pPr>
            <w:r w:rsidRPr="00A21D7D">
              <w:t>1.2</w:t>
            </w:r>
            <w:r w:rsidR="0099171C">
              <w:t>%</w:t>
            </w:r>
          </w:p>
        </w:tc>
      </w:tr>
      <w:tr w:rsidR="00126449" w:rsidRPr="00A21D7D" w14:paraId="65564CE9" w14:textId="77777777" w:rsidTr="00D213FE">
        <w:tc>
          <w:tcPr>
            <w:tcW w:w="3823" w:type="dxa"/>
          </w:tcPr>
          <w:p w14:paraId="18E879F1" w14:textId="77777777" w:rsidR="00126449" w:rsidRPr="00A21D7D" w:rsidRDefault="00126449" w:rsidP="00D213FE">
            <w:pPr>
              <w:pStyle w:val="TableTextBody"/>
            </w:pPr>
            <w:r w:rsidRPr="00A21D7D">
              <w:t>Rights in criminal proceedings</w:t>
            </w:r>
          </w:p>
        </w:tc>
        <w:tc>
          <w:tcPr>
            <w:tcW w:w="1842" w:type="dxa"/>
          </w:tcPr>
          <w:p w14:paraId="299AD829" w14:textId="77777777" w:rsidR="00126449" w:rsidRPr="00A21D7D" w:rsidRDefault="00126449" w:rsidP="00D213FE">
            <w:pPr>
              <w:pStyle w:val="TableTextBody"/>
              <w:jc w:val="right"/>
            </w:pPr>
            <w:r w:rsidRPr="00A21D7D">
              <w:t>1</w:t>
            </w:r>
          </w:p>
        </w:tc>
        <w:tc>
          <w:tcPr>
            <w:tcW w:w="2410" w:type="dxa"/>
          </w:tcPr>
          <w:p w14:paraId="34636CEB" w14:textId="4F57D719" w:rsidR="00126449" w:rsidRPr="00A21D7D" w:rsidRDefault="00126449" w:rsidP="00D213FE">
            <w:pPr>
              <w:pStyle w:val="TableTextBody"/>
              <w:jc w:val="right"/>
            </w:pPr>
            <w:r w:rsidRPr="00A21D7D">
              <w:t>1.2</w:t>
            </w:r>
            <w:r w:rsidR="0099171C">
              <w:t>%</w:t>
            </w:r>
          </w:p>
        </w:tc>
      </w:tr>
      <w:tr w:rsidR="00126449" w:rsidRPr="00A21D7D" w14:paraId="4C16B44F" w14:textId="77777777" w:rsidTr="00D213FE">
        <w:tc>
          <w:tcPr>
            <w:tcW w:w="3823" w:type="dxa"/>
          </w:tcPr>
          <w:p w14:paraId="3AD162CF" w14:textId="77777777" w:rsidR="00126449" w:rsidRPr="00A21D7D" w:rsidRDefault="00126449" w:rsidP="00D213FE">
            <w:pPr>
              <w:pStyle w:val="TableTextBody"/>
            </w:pPr>
            <w:r w:rsidRPr="00A21D7D">
              <w:t>Peaceful assembly</w:t>
            </w:r>
          </w:p>
        </w:tc>
        <w:tc>
          <w:tcPr>
            <w:tcW w:w="1842" w:type="dxa"/>
          </w:tcPr>
          <w:p w14:paraId="0DC862B7" w14:textId="77777777" w:rsidR="00126449" w:rsidRPr="00A21D7D" w:rsidRDefault="00126449" w:rsidP="00D213FE">
            <w:pPr>
              <w:pStyle w:val="TableTextBody"/>
              <w:jc w:val="right"/>
            </w:pPr>
            <w:r w:rsidRPr="00A21D7D">
              <w:t>1</w:t>
            </w:r>
          </w:p>
        </w:tc>
        <w:tc>
          <w:tcPr>
            <w:tcW w:w="2410" w:type="dxa"/>
          </w:tcPr>
          <w:p w14:paraId="5B7FACD8" w14:textId="77E3B9FD" w:rsidR="00126449" w:rsidRPr="00A21D7D" w:rsidRDefault="00126449" w:rsidP="00D213FE">
            <w:pPr>
              <w:pStyle w:val="TableTextBody"/>
              <w:jc w:val="right"/>
            </w:pPr>
            <w:r w:rsidRPr="00A21D7D">
              <w:t>1.2</w:t>
            </w:r>
            <w:r w:rsidR="0099171C">
              <w:t>%</w:t>
            </w:r>
          </w:p>
        </w:tc>
      </w:tr>
      <w:tr w:rsidR="00126449" w:rsidRPr="00A21D7D" w14:paraId="7AC94C31" w14:textId="77777777" w:rsidTr="00D213FE">
        <w:tc>
          <w:tcPr>
            <w:tcW w:w="3823" w:type="dxa"/>
          </w:tcPr>
          <w:p w14:paraId="1E100C60" w14:textId="77777777" w:rsidR="00126449" w:rsidRPr="00A21D7D" w:rsidRDefault="00126449" w:rsidP="003C2A6D">
            <w:pPr>
              <w:pStyle w:val="TableTextBold"/>
            </w:pPr>
            <w:r w:rsidRPr="00A21D7D">
              <w:t>Sub-total civil and political rights</w:t>
            </w:r>
          </w:p>
        </w:tc>
        <w:tc>
          <w:tcPr>
            <w:tcW w:w="1842" w:type="dxa"/>
          </w:tcPr>
          <w:p w14:paraId="68B771E6" w14:textId="77777777" w:rsidR="00126449" w:rsidRPr="00A21D7D" w:rsidRDefault="00126449" w:rsidP="000E1167">
            <w:pPr>
              <w:pStyle w:val="TableTextBold"/>
              <w:jc w:val="right"/>
            </w:pPr>
            <w:r w:rsidRPr="00A21D7D">
              <w:t>79</w:t>
            </w:r>
          </w:p>
        </w:tc>
        <w:tc>
          <w:tcPr>
            <w:tcW w:w="2410" w:type="dxa"/>
          </w:tcPr>
          <w:p w14:paraId="60997924" w14:textId="76630BEE" w:rsidR="00126449" w:rsidRPr="00A21D7D" w:rsidRDefault="00126449" w:rsidP="000E1167">
            <w:pPr>
              <w:pStyle w:val="TableTextBold"/>
              <w:jc w:val="right"/>
            </w:pPr>
            <w:r w:rsidRPr="00A21D7D">
              <w:t>89.8</w:t>
            </w:r>
            <w:r w:rsidR="0099171C">
              <w:t>%</w:t>
            </w:r>
          </w:p>
        </w:tc>
      </w:tr>
      <w:tr w:rsidR="00126449" w:rsidRPr="00A21D7D" w14:paraId="0D78A5E5" w14:textId="77777777" w:rsidTr="00D213FE">
        <w:tc>
          <w:tcPr>
            <w:tcW w:w="3823" w:type="dxa"/>
          </w:tcPr>
          <w:p w14:paraId="177CE625" w14:textId="77777777" w:rsidR="00126449" w:rsidRPr="00A21D7D" w:rsidRDefault="00126449" w:rsidP="00D213FE">
            <w:pPr>
              <w:pStyle w:val="TableTextBody"/>
            </w:pPr>
          </w:p>
        </w:tc>
        <w:tc>
          <w:tcPr>
            <w:tcW w:w="1842" w:type="dxa"/>
          </w:tcPr>
          <w:p w14:paraId="2D95D41D" w14:textId="77777777" w:rsidR="00126449" w:rsidRPr="00A21D7D" w:rsidRDefault="00126449" w:rsidP="00D213FE">
            <w:pPr>
              <w:pStyle w:val="TableTextBody"/>
              <w:jc w:val="right"/>
            </w:pPr>
          </w:p>
        </w:tc>
        <w:tc>
          <w:tcPr>
            <w:tcW w:w="2410" w:type="dxa"/>
          </w:tcPr>
          <w:p w14:paraId="67F718A0" w14:textId="77777777" w:rsidR="00126449" w:rsidRPr="00A21D7D" w:rsidRDefault="00126449" w:rsidP="00D213FE">
            <w:pPr>
              <w:pStyle w:val="TableTextBody"/>
              <w:jc w:val="right"/>
            </w:pPr>
          </w:p>
        </w:tc>
      </w:tr>
      <w:tr w:rsidR="00126449" w:rsidRPr="00A21D7D" w14:paraId="37D20A06" w14:textId="77777777" w:rsidTr="00D213FE">
        <w:tc>
          <w:tcPr>
            <w:tcW w:w="3823" w:type="dxa"/>
          </w:tcPr>
          <w:p w14:paraId="6880E7A7" w14:textId="77777777" w:rsidR="00126449" w:rsidRPr="00A21D7D" w:rsidRDefault="00126449" w:rsidP="00D213FE">
            <w:pPr>
              <w:pStyle w:val="TableTextHeading"/>
            </w:pPr>
            <w:r w:rsidRPr="00A21D7D">
              <w:t>Economic, social and cultural rights</w:t>
            </w:r>
          </w:p>
        </w:tc>
        <w:tc>
          <w:tcPr>
            <w:tcW w:w="1842" w:type="dxa"/>
          </w:tcPr>
          <w:p w14:paraId="3443EAFA" w14:textId="77777777" w:rsidR="00126449" w:rsidRPr="00A21D7D" w:rsidRDefault="00126449" w:rsidP="00D213FE">
            <w:pPr>
              <w:pStyle w:val="TableTextHeading"/>
            </w:pPr>
            <w:r w:rsidRPr="00A21D7D">
              <w:t>Number</w:t>
            </w:r>
          </w:p>
        </w:tc>
        <w:tc>
          <w:tcPr>
            <w:tcW w:w="2410" w:type="dxa"/>
          </w:tcPr>
          <w:p w14:paraId="2C9A5595" w14:textId="77777777" w:rsidR="00126449" w:rsidRPr="00A21D7D" w:rsidRDefault="00126449" w:rsidP="00D213FE">
            <w:pPr>
              <w:pStyle w:val="TableTextHeading"/>
            </w:pPr>
            <w:r w:rsidRPr="00A21D7D">
              <w:t>Percentage</w:t>
            </w:r>
          </w:p>
        </w:tc>
      </w:tr>
      <w:tr w:rsidR="00126449" w:rsidRPr="00A21D7D" w14:paraId="1C60C8D1" w14:textId="77777777" w:rsidTr="00D213FE">
        <w:tc>
          <w:tcPr>
            <w:tcW w:w="3823" w:type="dxa"/>
          </w:tcPr>
          <w:p w14:paraId="0FD75A4E" w14:textId="77777777" w:rsidR="00126449" w:rsidRPr="00A21D7D" w:rsidRDefault="00126449" w:rsidP="00D213FE">
            <w:pPr>
              <w:pStyle w:val="TableTextBody"/>
            </w:pPr>
            <w:r w:rsidRPr="00A21D7D">
              <w:t>Right to education</w:t>
            </w:r>
          </w:p>
        </w:tc>
        <w:tc>
          <w:tcPr>
            <w:tcW w:w="1842" w:type="dxa"/>
          </w:tcPr>
          <w:p w14:paraId="53B018CF" w14:textId="77777777" w:rsidR="00126449" w:rsidRPr="00A21D7D" w:rsidRDefault="00126449" w:rsidP="00D213FE">
            <w:pPr>
              <w:pStyle w:val="TableTextBody"/>
              <w:jc w:val="right"/>
            </w:pPr>
            <w:r w:rsidRPr="00A21D7D">
              <w:t>6</w:t>
            </w:r>
          </w:p>
        </w:tc>
        <w:tc>
          <w:tcPr>
            <w:tcW w:w="2410" w:type="dxa"/>
          </w:tcPr>
          <w:p w14:paraId="25B49910" w14:textId="31616169" w:rsidR="00126449" w:rsidRPr="00A21D7D" w:rsidRDefault="00126449" w:rsidP="00D213FE">
            <w:pPr>
              <w:pStyle w:val="TableTextBody"/>
              <w:jc w:val="right"/>
            </w:pPr>
            <w:r w:rsidRPr="00A21D7D">
              <w:t>6.8</w:t>
            </w:r>
            <w:r w:rsidR="0099171C">
              <w:t>%</w:t>
            </w:r>
          </w:p>
        </w:tc>
      </w:tr>
      <w:tr w:rsidR="00126449" w:rsidRPr="00A21D7D" w14:paraId="3A0C2FE3" w14:textId="77777777" w:rsidTr="00D213FE">
        <w:tc>
          <w:tcPr>
            <w:tcW w:w="3823" w:type="dxa"/>
          </w:tcPr>
          <w:p w14:paraId="4804B0C6" w14:textId="77777777" w:rsidR="00126449" w:rsidRPr="00A21D7D" w:rsidRDefault="00126449" w:rsidP="00D213FE">
            <w:pPr>
              <w:pStyle w:val="TableTextBody"/>
            </w:pPr>
            <w:r w:rsidRPr="00A21D7D">
              <w:t>Right to health services</w:t>
            </w:r>
          </w:p>
        </w:tc>
        <w:tc>
          <w:tcPr>
            <w:tcW w:w="1842" w:type="dxa"/>
          </w:tcPr>
          <w:p w14:paraId="76FE7444" w14:textId="77777777" w:rsidR="00126449" w:rsidRPr="00A21D7D" w:rsidRDefault="00126449" w:rsidP="00D213FE">
            <w:pPr>
              <w:pStyle w:val="TableTextBody"/>
              <w:jc w:val="right"/>
            </w:pPr>
            <w:r w:rsidRPr="00A21D7D">
              <w:t>3</w:t>
            </w:r>
          </w:p>
        </w:tc>
        <w:tc>
          <w:tcPr>
            <w:tcW w:w="2410" w:type="dxa"/>
          </w:tcPr>
          <w:p w14:paraId="1ABF5AD4" w14:textId="7FE2CE7C" w:rsidR="00126449" w:rsidRPr="00A21D7D" w:rsidRDefault="00126449" w:rsidP="00D213FE">
            <w:pPr>
              <w:pStyle w:val="TableTextBody"/>
              <w:jc w:val="right"/>
            </w:pPr>
            <w:r w:rsidRPr="00A21D7D">
              <w:t>3.4</w:t>
            </w:r>
            <w:r w:rsidR="0099171C">
              <w:t>%</w:t>
            </w:r>
          </w:p>
        </w:tc>
      </w:tr>
      <w:tr w:rsidR="00126449" w:rsidRPr="00A21D7D" w14:paraId="25584FA3" w14:textId="77777777" w:rsidTr="00D213FE">
        <w:tc>
          <w:tcPr>
            <w:tcW w:w="3823" w:type="dxa"/>
          </w:tcPr>
          <w:p w14:paraId="0095EC23" w14:textId="77777777" w:rsidR="00126449" w:rsidRPr="00A21D7D" w:rsidRDefault="00126449" w:rsidP="00D213FE">
            <w:pPr>
              <w:pStyle w:val="TableTextBody"/>
            </w:pPr>
            <w:r w:rsidRPr="00A21D7D">
              <w:t>Sub-total economic, social and cultural rights</w:t>
            </w:r>
          </w:p>
        </w:tc>
        <w:tc>
          <w:tcPr>
            <w:tcW w:w="1842" w:type="dxa"/>
          </w:tcPr>
          <w:p w14:paraId="1290B7EF" w14:textId="77777777" w:rsidR="00126449" w:rsidRPr="00A21D7D" w:rsidRDefault="00126449" w:rsidP="00D213FE">
            <w:pPr>
              <w:pStyle w:val="TableTextBody"/>
              <w:jc w:val="right"/>
            </w:pPr>
            <w:r w:rsidRPr="00A21D7D">
              <w:t>9</w:t>
            </w:r>
          </w:p>
        </w:tc>
        <w:tc>
          <w:tcPr>
            <w:tcW w:w="2410" w:type="dxa"/>
          </w:tcPr>
          <w:p w14:paraId="54ED0EA9" w14:textId="3B1866FB" w:rsidR="00126449" w:rsidRPr="00A21D7D" w:rsidRDefault="00126449" w:rsidP="00D213FE">
            <w:pPr>
              <w:pStyle w:val="TableTextBody"/>
              <w:jc w:val="right"/>
            </w:pPr>
            <w:r w:rsidRPr="00A21D7D">
              <w:t>10.2</w:t>
            </w:r>
            <w:r w:rsidR="0099171C">
              <w:t>%</w:t>
            </w:r>
          </w:p>
        </w:tc>
      </w:tr>
      <w:tr w:rsidR="00126449" w:rsidRPr="00A21D7D" w14:paraId="5091BA5A" w14:textId="77777777" w:rsidTr="00D213FE">
        <w:tc>
          <w:tcPr>
            <w:tcW w:w="3823" w:type="dxa"/>
          </w:tcPr>
          <w:p w14:paraId="47F3E11A" w14:textId="77777777" w:rsidR="00126449" w:rsidRPr="00A21D7D" w:rsidRDefault="00126449" w:rsidP="003C2A6D">
            <w:pPr>
              <w:pStyle w:val="TableTextBold"/>
            </w:pPr>
            <w:r w:rsidRPr="00A21D7D">
              <w:t>Total</w:t>
            </w:r>
          </w:p>
        </w:tc>
        <w:tc>
          <w:tcPr>
            <w:tcW w:w="1842" w:type="dxa"/>
          </w:tcPr>
          <w:p w14:paraId="720F87D2" w14:textId="77777777" w:rsidR="00126449" w:rsidRPr="00A21D7D" w:rsidRDefault="00126449" w:rsidP="000E1167">
            <w:pPr>
              <w:pStyle w:val="TableTextBold"/>
              <w:jc w:val="right"/>
            </w:pPr>
            <w:r w:rsidRPr="00A21D7D">
              <w:t>88</w:t>
            </w:r>
          </w:p>
        </w:tc>
        <w:tc>
          <w:tcPr>
            <w:tcW w:w="2410" w:type="dxa"/>
          </w:tcPr>
          <w:p w14:paraId="58DA7A46" w14:textId="77777777" w:rsidR="00126449" w:rsidRPr="00A21D7D" w:rsidRDefault="00126449" w:rsidP="000E1167">
            <w:pPr>
              <w:pStyle w:val="TableTextBold"/>
              <w:jc w:val="right"/>
            </w:pPr>
            <w:r w:rsidRPr="00A21D7D">
              <w:t>100%</w:t>
            </w:r>
          </w:p>
        </w:tc>
      </w:tr>
    </w:tbl>
    <w:p w14:paraId="01A6F042" w14:textId="2E745D35" w:rsidR="00126449" w:rsidRPr="00A21D7D" w:rsidRDefault="007B56F8" w:rsidP="00D213FE">
      <w:pPr>
        <w:pStyle w:val="Note"/>
      </w:pPr>
      <w:r>
        <w:t xml:space="preserve">Note: </w:t>
      </w:r>
      <w:r w:rsidR="00126449" w:rsidRPr="00A21D7D">
        <w:t>complaints can identify more than one right in each complaint</w:t>
      </w:r>
      <w:r>
        <w:t>.</w:t>
      </w:r>
    </w:p>
    <w:p w14:paraId="7C5BB41E" w14:textId="23C0E372" w:rsidR="00126449" w:rsidRPr="00A21D7D" w:rsidRDefault="007B56F8" w:rsidP="00D213FE">
      <w:pPr>
        <w:pStyle w:val="Note"/>
      </w:pPr>
      <w:r>
        <w:t xml:space="preserve">Note: </w:t>
      </w:r>
      <w:r w:rsidR="00126449" w:rsidRPr="00A21D7D">
        <w:t xml:space="preserve">accepted human rights complaints includes complaints dealt with under the </w:t>
      </w:r>
      <w:r w:rsidR="00FC6699" w:rsidRPr="00FC6699">
        <w:rPr>
          <w:i/>
        </w:rPr>
        <w:t>Anti-Discrimination Act 1991</w:t>
      </w:r>
      <w:r w:rsidR="00126449" w:rsidRPr="00A21D7D">
        <w:t xml:space="preserve"> where human rights allegations are identified as “piggy-back” allegations under section 59 of the </w:t>
      </w:r>
      <w:r w:rsidR="00FC6699" w:rsidRPr="00FC6699">
        <w:rPr>
          <w:i/>
        </w:rPr>
        <w:t>Human Rights Act 2019</w:t>
      </w:r>
      <w:r>
        <w:rPr>
          <w:i/>
        </w:rPr>
        <w:t>.</w:t>
      </w:r>
    </w:p>
    <w:p w14:paraId="0BFCB9D6" w14:textId="77777777" w:rsidR="007B56F8" w:rsidRPr="007B56F8" w:rsidRDefault="007B56F8" w:rsidP="007B56F8">
      <w:pPr>
        <w:pStyle w:val="Note"/>
        <w:spacing w:before="0" w:after="0"/>
        <w:rPr>
          <w:lang w:eastAsia="en-AU"/>
        </w:rPr>
      </w:pPr>
      <w:r>
        <w:rPr>
          <w:lang w:eastAsia="en-AU"/>
        </w:rPr>
        <w:t>Note: Percentages in this table have been rounded to the nearest decimal point.</w:t>
      </w:r>
    </w:p>
    <w:p w14:paraId="6519E02E" w14:textId="774F6943" w:rsidR="00126449" w:rsidRPr="00A21D7D" w:rsidRDefault="00126449" w:rsidP="00126449">
      <w:pPr>
        <w:spacing w:after="240" w:line="240" w:lineRule="auto"/>
        <w:rPr>
          <w:rFonts w:cs="Arial"/>
          <w:b/>
          <w:i/>
          <w:szCs w:val="22"/>
        </w:rPr>
      </w:pPr>
    </w:p>
    <w:p w14:paraId="3C861A0A" w14:textId="3DE4BE31" w:rsidR="00002DB6" w:rsidRPr="00A21D7D" w:rsidRDefault="00002DB6" w:rsidP="00126449">
      <w:pPr>
        <w:spacing w:after="240" w:line="240" w:lineRule="auto"/>
        <w:rPr>
          <w:rFonts w:cs="Arial"/>
          <w:b/>
          <w:i/>
          <w:szCs w:val="22"/>
        </w:rPr>
      </w:pPr>
    </w:p>
    <w:p w14:paraId="7B3898A2" w14:textId="083E6610" w:rsidR="00126449" w:rsidRPr="00A21D7D" w:rsidRDefault="00126449" w:rsidP="007D0F77">
      <w:pPr>
        <w:pStyle w:val="Heading2"/>
        <w:rPr>
          <w:sz w:val="22"/>
          <w:lang w:eastAsia="en-AU"/>
        </w:rPr>
      </w:pPr>
      <w:bookmarkStart w:id="58" w:name="_Toc49508897"/>
      <w:r w:rsidRPr="00A21D7D">
        <w:lastRenderedPageBreak/>
        <w:t>Settlement of complaints</w:t>
      </w:r>
      <w:bookmarkEnd w:id="58"/>
      <w:r w:rsidRPr="00A21D7D">
        <w:rPr>
          <w:sz w:val="22"/>
          <w:lang w:eastAsia="en-AU"/>
        </w:rPr>
        <w:t xml:space="preserve"> </w:t>
      </w:r>
    </w:p>
    <w:p w14:paraId="4544765D" w14:textId="1760C02C" w:rsidR="00126449" w:rsidRPr="00A21D7D" w:rsidRDefault="008E4CAF" w:rsidP="00126449">
      <w:pPr>
        <w:spacing w:before="120" w:after="120" w:line="240" w:lineRule="auto"/>
        <w:rPr>
          <w:rFonts w:cs="Arial"/>
          <w:i/>
          <w:lang w:eastAsia="en-AU"/>
        </w:rPr>
      </w:pPr>
      <w:r>
        <w:rPr>
          <w:rFonts w:cs="Arial"/>
          <w:lang w:eastAsia="en-AU"/>
        </w:rPr>
        <w:t>Our c</w:t>
      </w:r>
      <w:r w:rsidR="00126449" w:rsidRPr="00A21D7D">
        <w:rPr>
          <w:rFonts w:cs="Arial"/>
          <w:lang w:eastAsia="en-AU"/>
        </w:rPr>
        <w:t xml:space="preserve">onciliators at the Commission assist parties to resolve complaints under the </w:t>
      </w:r>
      <w:r w:rsidR="00FC6699" w:rsidRPr="00FC6699">
        <w:rPr>
          <w:rFonts w:cs="Arial"/>
          <w:i/>
          <w:lang w:eastAsia="en-AU"/>
        </w:rPr>
        <w:t>Anti-Discrimination Act 1991</w:t>
      </w:r>
      <w:r w:rsidR="00126449" w:rsidRPr="00A21D7D">
        <w:rPr>
          <w:rFonts w:cs="Arial"/>
          <w:lang w:eastAsia="en-AU"/>
        </w:rPr>
        <w:t xml:space="preserve"> and since 1 January 2020, the </w:t>
      </w:r>
      <w:r w:rsidR="00FC6699" w:rsidRPr="00FC6699">
        <w:rPr>
          <w:rFonts w:cs="Arial"/>
          <w:i/>
          <w:lang w:eastAsia="en-AU"/>
        </w:rPr>
        <w:t>Human Rights Act 2019</w:t>
      </w:r>
      <w:r w:rsidR="00126449" w:rsidRPr="00A21D7D">
        <w:rPr>
          <w:rFonts w:cs="Arial"/>
          <w:lang w:eastAsia="en-AU"/>
        </w:rPr>
        <w:t xml:space="preserve">. The conciliation conference allows the parties to explore each other’s perspective on the issues, identifying what they may have in common, and discuss options for settling the complaint. </w:t>
      </w:r>
    </w:p>
    <w:p w14:paraId="6E7D9CD5" w14:textId="069A870B" w:rsidR="00126449" w:rsidRPr="00A21D7D" w:rsidRDefault="00126449" w:rsidP="00126449">
      <w:pPr>
        <w:spacing w:before="120" w:after="120" w:line="240" w:lineRule="auto"/>
        <w:rPr>
          <w:rFonts w:cs="Arial"/>
          <w:i/>
          <w:lang w:eastAsia="en-AU"/>
        </w:rPr>
      </w:pPr>
      <w:r w:rsidRPr="00A21D7D">
        <w:rPr>
          <w:rFonts w:cs="Arial"/>
          <w:lang w:eastAsia="en-AU"/>
        </w:rPr>
        <w:t>This year saw the settlement rate of 53.8%, the same percentage as last year.</w:t>
      </w:r>
      <w:r w:rsidR="00B10E8B">
        <w:rPr>
          <w:rFonts w:cs="Arial"/>
          <w:lang w:eastAsia="en-AU"/>
        </w:rPr>
        <w:t xml:space="preserve"> </w:t>
      </w:r>
      <w:r w:rsidRPr="00A21D7D">
        <w:rPr>
          <w:rFonts w:cs="Arial"/>
          <w:lang w:eastAsia="en-AU"/>
        </w:rPr>
        <w:t xml:space="preserve">This is slightly below </w:t>
      </w:r>
      <w:r w:rsidR="008E4CAF">
        <w:rPr>
          <w:rFonts w:cs="Arial"/>
          <w:lang w:eastAsia="en-AU"/>
        </w:rPr>
        <w:t>our</w:t>
      </w:r>
      <w:r w:rsidRPr="00A21D7D">
        <w:rPr>
          <w:rFonts w:cs="Arial"/>
          <w:lang w:eastAsia="en-AU"/>
        </w:rPr>
        <w:t xml:space="preserve"> target of 55%</w:t>
      </w:r>
      <w:r w:rsidR="00D44255">
        <w:rPr>
          <w:rFonts w:cs="Arial"/>
          <w:lang w:eastAsia="en-AU"/>
        </w:rPr>
        <w:t>. H</w:t>
      </w:r>
      <w:r w:rsidRPr="00A21D7D">
        <w:rPr>
          <w:rFonts w:cs="Arial"/>
          <w:lang w:eastAsia="en-AU"/>
        </w:rPr>
        <w:t xml:space="preserve">owever this settlement rate demonstrates that </w:t>
      </w:r>
      <w:r w:rsidR="008E4CAF">
        <w:rPr>
          <w:rFonts w:cs="Arial"/>
          <w:lang w:eastAsia="en-AU"/>
        </w:rPr>
        <w:t>our</w:t>
      </w:r>
      <w:r w:rsidRPr="00A21D7D">
        <w:rPr>
          <w:rFonts w:cs="Arial"/>
          <w:lang w:eastAsia="en-AU"/>
        </w:rPr>
        <w:t xml:space="preserve"> conciliators continue their commitment to helping parties reach settlement, in a busy client-focused environment.</w:t>
      </w:r>
      <w:r w:rsidR="00B10E8B">
        <w:rPr>
          <w:rFonts w:cs="Arial"/>
          <w:lang w:eastAsia="en-AU"/>
        </w:rPr>
        <w:t xml:space="preserve"> </w:t>
      </w:r>
    </w:p>
    <w:p w14:paraId="63F6896B" w14:textId="2C74BF1F" w:rsidR="00126449" w:rsidRPr="00A21D7D" w:rsidRDefault="00126449" w:rsidP="00126449">
      <w:pPr>
        <w:spacing w:before="120" w:after="120" w:line="240" w:lineRule="auto"/>
        <w:rPr>
          <w:rFonts w:cs="Arial"/>
          <w:i/>
          <w:lang w:eastAsia="en-AU"/>
        </w:rPr>
      </w:pPr>
      <w:r w:rsidRPr="00A21D7D">
        <w:rPr>
          <w:rFonts w:cs="Arial"/>
          <w:lang w:eastAsia="en-AU"/>
        </w:rPr>
        <w:t>Referrals to Q</w:t>
      </w:r>
      <w:r w:rsidR="0099171C">
        <w:rPr>
          <w:rFonts w:cs="Arial"/>
          <w:lang w:eastAsia="en-AU"/>
        </w:rPr>
        <w:t xml:space="preserve">ueensland </w:t>
      </w:r>
      <w:r w:rsidRPr="00A21D7D">
        <w:rPr>
          <w:rFonts w:cs="Arial"/>
          <w:lang w:eastAsia="en-AU"/>
        </w:rPr>
        <w:t>I</w:t>
      </w:r>
      <w:r w:rsidR="0099171C">
        <w:rPr>
          <w:rFonts w:cs="Arial"/>
          <w:lang w:eastAsia="en-AU"/>
        </w:rPr>
        <w:t xml:space="preserve">ndustrial </w:t>
      </w:r>
      <w:r w:rsidRPr="00A21D7D">
        <w:rPr>
          <w:rFonts w:cs="Arial"/>
          <w:lang w:eastAsia="en-AU"/>
        </w:rPr>
        <w:t>R</w:t>
      </w:r>
      <w:r w:rsidR="0099171C">
        <w:rPr>
          <w:rFonts w:cs="Arial"/>
          <w:lang w:eastAsia="en-AU"/>
        </w:rPr>
        <w:t xml:space="preserve">elations </w:t>
      </w:r>
      <w:r w:rsidRPr="00A21D7D">
        <w:rPr>
          <w:rFonts w:cs="Arial"/>
          <w:lang w:eastAsia="en-AU"/>
        </w:rPr>
        <w:t>C</w:t>
      </w:r>
      <w:r w:rsidR="0099171C">
        <w:rPr>
          <w:rFonts w:cs="Arial"/>
          <w:lang w:eastAsia="en-AU"/>
        </w:rPr>
        <w:t>ommission (QIRC)</w:t>
      </w:r>
      <w:r w:rsidRPr="00A21D7D">
        <w:rPr>
          <w:rFonts w:cs="Arial"/>
          <w:lang w:eastAsia="en-AU"/>
        </w:rPr>
        <w:t xml:space="preserve"> continued this year for all work-related matters.</w:t>
      </w:r>
      <w:r w:rsidR="00B10E8B">
        <w:rPr>
          <w:rFonts w:cs="Arial"/>
          <w:lang w:eastAsia="en-AU"/>
        </w:rPr>
        <w:t xml:space="preserve"> </w:t>
      </w:r>
      <w:r w:rsidR="0099171C">
        <w:rPr>
          <w:rFonts w:cs="Arial"/>
          <w:lang w:eastAsia="en-AU"/>
        </w:rPr>
        <w:t xml:space="preserve">A total of </w:t>
      </w:r>
      <w:r w:rsidRPr="00A21D7D">
        <w:rPr>
          <w:rFonts w:cs="Arial"/>
          <w:lang w:eastAsia="en-AU"/>
        </w:rPr>
        <w:t>105 complaints were referred to QIRC (an increase from 98 last year).</w:t>
      </w:r>
      <w:r w:rsidR="00B10E8B">
        <w:rPr>
          <w:rFonts w:cs="Arial"/>
          <w:lang w:eastAsia="en-AU"/>
        </w:rPr>
        <w:t xml:space="preserve"> </w:t>
      </w:r>
      <w:r w:rsidR="0099171C">
        <w:rPr>
          <w:rFonts w:cs="Arial"/>
          <w:lang w:eastAsia="en-AU"/>
        </w:rPr>
        <w:t xml:space="preserve">A further </w:t>
      </w:r>
      <w:r w:rsidRPr="00A21D7D">
        <w:rPr>
          <w:rFonts w:cs="Arial"/>
          <w:lang w:eastAsia="en-AU"/>
        </w:rPr>
        <w:t>52 non-work related complaints were referred to Q</w:t>
      </w:r>
      <w:r w:rsidR="0099171C">
        <w:rPr>
          <w:rFonts w:cs="Arial"/>
          <w:lang w:eastAsia="en-AU"/>
        </w:rPr>
        <w:t xml:space="preserve">ueensland </w:t>
      </w:r>
      <w:r w:rsidRPr="00A21D7D">
        <w:rPr>
          <w:rFonts w:cs="Arial"/>
          <w:lang w:eastAsia="en-AU"/>
        </w:rPr>
        <w:t>C</w:t>
      </w:r>
      <w:r w:rsidR="0099171C">
        <w:rPr>
          <w:rFonts w:cs="Arial"/>
          <w:lang w:eastAsia="en-AU"/>
        </w:rPr>
        <w:t xml:space="preserve">ivil and </w:t>
      </w:r>
      <w:r w:rsidRPr="00A21D7D">
        <w:rPr>
          <w:rFonts w:cs="Arial"/>
          <w:lang w:eastAsia="en-AU"/>
        </w:rPr>
        <w:t>A</w:t>
      </w:r>
      <w:r w:rsidR="0099171C">
        <w:rPr>
          <w:rFonts w:cs="Arial"/>
          <w:lang w:eastAsia="en-AU"/>
        </w:rPr>
        <w:t xml:space="preserve">dministrative </w:t>
      </w:r>
      <w:r w:rsidRPr="00A21D7D">
        <w:rPr>
          <w:rFonts w:cs="Arial"/>
          <w:lang w:eastAsia="en-AU"/>
        </w:rPr>
        <w:t>T</w:t>
      </w:r>
      <w:r w:rsidR="0099171C">
        <w:rPr>
          <w:rFonts w:cs="Arial"/>
          <w:lang w:eastAsia="en-AU"/>
        </w:rPr>
        <w:t>ribunal (QCAT)</w:t>
      </w:r>
      <w:r w:rsidRPr="00A21D7D">
        <w:rPr>
          <w:rFonts w:cs="Arial"/>
          <w:lang w:eastAsia="en-AU"/>
        </w:rPr>
        <w:t>, a significant increase from the previous year’s 39 referrals.</w:t>
      </w:r>
      <w:r w:rsidR="00B10E8B">
        <w:rPr>
          <w:rFonts w:cs="Arial"/>
          <w:lang w:eastAsia="en-AU"/>
        </w:rPr>
        <w:t xml:space="preserve"> </w:t>
      </w:r>
    </w:p>
    <w:p w14:paraId="0402B966" w14:textId="61D88310" w:rsidR="00126449" w:rsidRPr="00A21D7D" w:rsidRDefault="00126449" w:rsidP="00126449">
      <w:pPr>
        <w:spacing w:before="120" w:after="120" w:line="240" w:lineRule="auto"/>
        <w:rPr>
          <w:rFonts w:cs="Arial"/>
          <w:i/>
          <w:lang w:eastAsia="en-AU"/>
        </w:rPr>
      </w:pPr>
      <w:r w:rsidRPr="00A21D7D">
        <w:rPr>
          <w:rFonts w:cs="Arial"/>
          <w:lang w:eastAsia="en-AU"/>
        </w:rPr>
        <w:t>Overall, there were 157 complaints referred to QIRC or QCAT, an increase from 137 the previous year.</w:t>
      </w:r>
      <w:r w:rsidR="00B10E8B">
        <w:rPr>
          <w:rFonts w:cs="Arial"/>
          <w:lang w:eastAsia="en-AU"/>
        </w:rPr>
        <w:t xml:space="preserve"> </w:t>
      </w:r>
      <w:r w:rsidRPr="00A21D7D">
        <w:rPr>
          <w:rFonts w:cs="Arial"/>
          <w:lang w:eastAsia="en-AU"/>
        </w:rPr>
        <w:t>This reflects the increase in overall complaint numbers and also a slight increase in the referral rate to 31.8%, from last year’s referral rate of 30.5%.</w:t>
      </w:r>
      <w:r w:rsidR="00B10E8B">
        <w:rPr>
          <w:rFonts w:cs="Arial"/>
          <w:lang w:eastAsia="en-AU"/>
        </w:rPr>
        <w:t xml:space="preserve"> </w:t>
      </w:r>
      <w:r w:rsidR="0099171C">
        <w:rPr>
          <w:rFonts w:cs="Arial"/>
          <w:lang w:eastAsia="en-AU"/>
        </w:rPr>
        <w:t>Twenty five complainants</w:t>
      </w:r>
      <w:r w:rsidRPr="00A21D7D">
        <w:rPr>
          <w:rFonts w:cs="Arial"/>
          <w:lang w:eastAsia="en-AU"/>
        </w:rPr>
        <w:t xml:space="preserve"> (5.1%) withdrew </w:t>
      </w:r>
      <w:r w:rsidR="0099171C">
        <w:rPr>
          <w:rFonts w:cs="Arial"/>
          <w:lang w:eastAsia="en-AU"/>
        </w:rPr>
        <w:t xml:space="preserve">their complaints and 34 (6.9%) </w:t>
      </w:r>
      <w:r w:rsidRPr="00A21D7D">
        <w:rPr>
          <w:rFonts w:cs="Arial"/>
          <w:lang w:eastAsia="en-AU"/>
        </w:rPr>
        <w:t>accepted complaints were unconciliated but not referred. This meant that, overall the Commission finalised 68.2% of accepted complaints within the Commission, below the target of 75%.</w:t>
      </w:r>
      <w:r w:rsidR="00B10E8B">
        <w:rPr>
          <w:rFonts w:cs="Arial"/>
          <w:lang w:eastAsia="en-AU"/>
        </w:rPr>
        <w:t xml:space="preserve"> </w:t>
      </w:r>
      <w:r w:rsidR="008E4CAF">
        <w:rPr>
          <w:rFonts w:cs="Arial"/>
          <w:lang w:eastAsia="en-AU"/>
        </w:rPr>
        <w:t>We</w:t>
      </w:r>
      <w:r w:rsidRPr="00A21D7D">
        <w:rPr>
          <w:rFonts w:cs="Arial"/>
          <w:lang w:eastAsia="en-AU"/>
        </w:rPr>
        <w:t xml:space="preserve"> continue to focus on resolving complaints between parties and to finalis</w:t>
      </w:r>
      <w:r w:rsidR="00E033BD">
        <w:rPr>
          <w:rFonts w:cs="Arial"/>
          <w:lang w:eastAsia="en-AU"/>
        </w:rPr>
        <w:t>e matters within the Commission</w:t>
      </w:r>
      <w:r w:rsidR="00C91558">
        <w:rPr>
          <w:rFonts w:cs="Arial"/>
          <w:lang w:eastAsia="en-AU"/>
        </w:rPr>
        <w:t>; h</w:t>
      </w:r>
      <w:r w:rsidRPr="00A21D7D">
        <w:rPr>
          <w:rFonts w:cs="Arial"/>
          <w:lang w:eastAsia="en-AU"/>
        </w:rPr>
        <w:t>owever</w:t>
      </w:r>
      <w:r w:rsidR="00C91558">
        <w:rPr>
          <w:rFonts w:cs="Arial"/>
          <w:lang w:eastAsia="en-AU"/>
        </w:rPr>
        <w:t>,</w:t>
      </w:r>
      <w:r w:rsidRPr="00A21D7D">
        <w:rPr>
          <w:rFonts w:cs="Arial"/>
          <w:lang w:eastAsia="en-AU"/>
        </w:rPr>
        <w:t xml:space="preserve"> there has been a continuing tendency for complainants to seek referr</w:t>
      </w:r>
      <w:r w:rsidR="00E033BD">
        <w:rPr>
          <w:rFonts w:cs="Arial"/>
          <w:lang w:eastAsia="en-AU"/>
        </w:rPr>
        <w:t xml:space="preserve">al of unconciliated complaints, </w:t>
      </w:r>
      <w:r w:rsidRPr="00A21D7D">
        <w:rPr>
          <w:rFonts w:cs="Arial"/>
          <w:lang w:eastAsia="en-AU"/>
        </w:rPr>
        <w:t xml:space="preserve">which is </w:t>
      </w:r>
      <w:r w:rsidR="00E033BD">
        <w:rPr>
          <w:rFonts w:cs="Arial"/>
          <w:lang w:eastAsia="en-AU"/>
        </w:rPr>
        <w:t>largely</w:t>
      </w:r>
      <w:r w:rsidRPr="00A21D7D">
        <w:rPr>
          <w:rFonts w:cs="Arial"/>
          <w:lang w:eastAsia="en-AU"/>
        </w:rPr>
        <w:t xml:space="preserve"> outside the Commission’</w:t>
      </w:r>
      <w:r w:rsidR="00E033BD">
        <w:rPr>
          <w:rFonts w:cs="Arial"/>
          <w:lang w:eastAsia="en-AU"/>
        </w:rPr>
        <w:t>s</w:t>
      </w:r>
      <w:r w:rsidRPr="00A21D7D">
        <w:rPr>
          <w:rFonts w:cs="Arial"/>
          <w:lang w:eastAsia="en-AU"/>
        </w:rPr>
        <w:t xml:space="preserve"> control. </w:t>
      </w:r>
    </w:p>
    <w:p w14:paraId="69C1610F" w14:textId="77777777" w:rsidR="00BF78C7" w:rsidRDefault="00BF78C7" w:rsidP="00126449">
      <w:pPr>
        <w:pStyle w:val="Caption"/>
        <w:rPr>
          <w:rFonts w:cs="Arial"/>
          <w:color w:val="auto"/>
        </w:rPr>
      </w:pPr>
    </w:p>
    <w:p w14:paraId="778F2444" w14:textId="44AADBDC" w:rsidR="00126449" w:rsidRPr="00BE6F07" w:rsidRDefault="00497E96" w:rsidP="00126449">
      <w:pPr>
        <w:pStyle w:val="Caption"/>
        <w:rPr>
          <w:rFonts w:cs="Arial"/>
          <w:color w:val="auto"/>
        </w:rPr>
      </w:pPr>
      <w:r w:rsidRPr="00BE6F07">
        <w:rPr>
          <w:rFonts w:cs="Arial"/>
          <w:color w:val="auto"/>
        </w:rPr>
        <w:t>Table 9</w:t>
      </w:r>
      <w:r w:rsidR="00126449" w:rsidRPr="00BE6F07">
        <w:rPr>
          <w:rFonts w:cs="Arial"/>
          <w:color w:val="auto"/>
        </w:rPr>
        <w:t>: State-wide outcomes for accepted complaints by region</w:t>
      </w:r>
    </w:p>
    <w:tbl>
      <w:tblPr>
        <w:tblpPr w:leftFromText="181" w:rightFromText="181" w:vertAnchor="text" w:horzAnchor="margin" w:tblpY="1"/>
        <w:tblW w:w="9493"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1E0" w:firstRow="1" w:lastRow="1" w:firstColumn="1" w:lastColumn="1" w:noHBand="0" w:noVBand="0"/>
      </w:tblPr>
      <w:tblGrid>
        <w:gridCol w:w="2405"/>
        <w:gridCol w:w="1276"/>
        <w:gridCol w:w="992"/>
        <w:gridCol w:w="992"/>
        <w:gridCol w:w="1134"/>
        <w:gridCol w:w="1276"/>
        <w:gridCol w:w="1418"/>
      </w:tblGrid>
      <w:tr w:rsidR="00126449" w:rsidRPr="00A21D7D" w14:paraId="4751D919" w14:textId="77777777" w:rsidTr="00426167">
        <w:trPr>
          <w:trHeight w:val="493"/>
        </w:trPr>
        <w:tc>
          <w:tcPr>
            <w:tcW w:w="2405" w:type="dxa"/>
            <w:vMerge w:val="restart"/>
          </w:tcPr>
          <w:p w14:paraId="496F36F8" w14:textId="77777777" w:rsidR="00126449" w:rsidRPr="00A21D7D" w:rsidRDefault="00126449" w:rsidP="00D213FE">
            <w:pPr>
              <w:pStyle w:val="TableTextHeading"/>
              <w:rPr>
                <w:lang w:eastAsia="en-AU"/>
              </w:rPr>
            </w:pPr>
            <w:bookmarkStart w:id="59" w:name="_Toc334451190"/>
          </w:p>
        </w:tc>
        <w:tc>
          <w:tcPr>
            <w:tcW w:w="1276" w:type="dxa"/>
            <w:vMerge w:val="restart"/>
          </w:tcPr>
          <w:p w14:paraId="4A9CA215" w14:textId="77777777" w:rsidR="00126449" w:rsidRPr="00A21D7D" w:rsidRDefault="00126449" w:rsidP="00D213FE">
            <w:pPr>
              <w:pStyle w:val="TableTextHeading"/>
              <w:rPr>
                <w:bCs/>
                <w:i/>
                <w:lang w:eastAsia="en-AU"/>
              </w:rPr>
            </w:pPr>
            <w:r w:rsidRPr="00A21D7D">
              <w:rPr>
                <w:bCs/>
                <w:lang w:eastAsia="en-AU"/>
              </w:rPr>
              <w:t>South-East</w:t>
            </w:r>
          </w:p>
        </w:tc>
        <w:tc>
          <w:tcPr>
            <w:tcW w:w="992" w:type="dxa"/>
            <w:vMerge w:val="restart"/>
          </w:tcPr>
          <w:p w14:paraId="7602DF3C" w14:textId="77777777" w:rsidR="00126449" w:rsidRPr="00A21D7D" w:rsidRDefault="00126449" w:rsidP="00D213FE">
            <w:pPr>
              <w:pStyle w:val="TableTextHeading"/>
              <w:rPr>
                <w:bCs/>
                <w:i/>
                <w:lang w:eastAsia="en-AU"/>
              </w:rPr>
            </w:pPr>
            <w:r w:rsidRPr="00A21D7D">
              <w:rPr>
                <w:bCs/>
                <w:lang w:eastAsia="en-AU"/>
              </w:rPr>
              <w:t>Central</w:t>
            </w:r>
          </w:p>
        </w:tc>
        <w:tc>
          <w:tcPr>
            <w:tcW w:w="992" w:type="dxa"/>
            <w:vMerge w:val="restart"/>
          </w:tcPr>
          <w:p w14:paraId="673AF84E" w14:textId="77777777" w:rsidR="00126449" w:rsidRPr="00A21D7D" w:rsidRDefault="00126449" w:rsidP="00D213FE">
            <w:pPr>
              <w:pStyle w:val="TableTextHeading"/>
              <w:rPr>
                <w:bCs/>
                <w:i/>
                <w:lang w:eastAsia="en-AU"/>
              </w:rPr>
            </w:pPr>
            <w:r w:rsidRPr="00A21D7D">
              <w:rPr>
                <w:bCs/>
                <w:lang w:eastAsia="en-AU"/>
              </w:rPr>
              <w:t>North</w:t>
            </w:r>
          </w:p>
        </w:tc>
        <w:tc>
          <w:tcPr>
            <w:tcW w:w="1134" w:type="dxa"/>
            <w:vMerge w:val="restart"/>
          </w:tcPr>
          <w:p w14:paraId="5C54BDBF" w14:textId="77777777" w:rsidR="00126449" w:rsidRPr="00A21D7D" w:rsidRDefault="00126449" w:rsidP="00D213FE">
            <w:pPr>
              <w:pStyle w:val="TableTextHeading"/>
              <w:rPr>
                <w:bCs/>
                <w:i/>
                <w:lang w:eastAsia="en-AU"/>
              </w:rPr>
            </w:pPr>
            <w:r w:rsidRPr="00A21D7D">
              <w:rPr>
                <w:bCs/>
                <w:lang w:eastAsia="en-AU"/>
              </w:rPr>
              <w:t>Far North</w:t>
            </w:r>
          </w:p>
        </w:tc>
        <w:tc>
          <w:tcPr>
            <w:tcW w:w="1276" w:type="dxa"/>
            <w:vMerge w:val="restart"/>
          </w:tcPr>
          <w:p w14:paraId="3A003A6E" w14:textId="77777777" w:rsidR="00126449" w:rsidRPr="00A21D7D" w:rsidRDefault="00126449" w:rsidP="00D213FE">
            <w:pPr>
              <w:pStyle w:val="TableTextHeading"/>
              <w:rPr>
                <w:bCs/>
                <w:i/>
                <w:lang w:eastAsia="en-AU"/>
              </w:rPr>
            </w:pPr>
            <w:r w:rsidRPr="00A21D7D">
              <w:rPr>
                <w:bCs/>
                <w:lang w:eastAsia="en-AU"/>
              </w:rPr>
              <w:t>State-wide</w:t>
            </w:r>
          </w:p>
        </w:tc>
        <w:tc>
          <w:tcPr>
            <w:tcW w:w="1418" w:type="dxa"/>
            <w:vMerge w:val="restart"/>
          </w:tcPr>
          <w:p w14:paraId="35CE52F9" w14:textId="77777777" w:rsidR="00126449" w:rsidRPr="00A21D7D" w:rsidRDefault="00126449" w:rsidP="00D213FE">
            <w:pPr>
              <w:pStyle w:val="TableTextHeading"/>
              <w:rPr>
                <w:bCs/>
                <w:i/>
                <w:lang w:eastAsia="en-AU"/>
              </w:rPr>
            </w:pPr>
            <w:r w:rsidRPr="00A21D7D">
              <w:rPr>
                <w:bCs/>
                <w:lang w:eastAsia="en-AU"/>
              </w:rPr>
              <w:t>% Outcome for accepted complaints state-wide</w:t>
            </w:r>
          </w:p>
        </w:tc>
      </w:tr>
      <w:tr w:rsidR="00126449" w:rsidRPr="00A21D7D" w14:paraId="0567AF9D" w14:textId="77777777" w:rsidTr="00426167">
        <w:trPr>
          <w:trHeight w:val="493"/>
        </w:trPr>
        <w:tc>
          <w:tcPr>
            <w:tcW w:w="2405" w:type="dxa"/>
            <w:vMerge/>
          </w:tcPr>
          <w:p w14:paraId="2A02683A" w14:textId="77777777" w:rsidR="00126449" w:rsidRPr="00A21D7D" w:rsidRDefault="00126449" w:rsidP="00967396">
            <w:pPr>
              <w:rPr>
                <w:rFonts w:cs="Arial"/>
                <w:color w:val="FF0000"/>
                <w:lang w:eastAsia="en-AU"/>
              </w:rPr>
            </w:pPr>
          </w:p>
        </w:tc>
        <w:tc>
          <w:tcPr>
            <w:tcW w:w="1276" w:type="dxa"/>
            <w:vMerge/>
          </w:tcPr>
          <w:p w14:paraId="3965523C" w14:textId="77777777" w:rsidR="00126449" w:rsidRPr="00A21D7D" w:rsidRDefault="00126449" w:rsidP="00967396">
            <w:pPr>
              <w:rPr>
                <w:rFonts w:cs="Arial"/>
                <w:b/>
                <w:bCs/>
                <w:i/>
                <w:lang w:eastAsia="en-AU"/>
              </w:rPr>
            </w:pPr>
          </w:p>
        </w:tc>
        <w:tc>
          <w:tcPr>
            <w:tcW w:w="992" w:type="dxa"/>
            <w:vMerge/>
          </w:tcPr>
          <w:p w14:paraId="7F10A77A" w14:textId="77777777" w:rsidR="00126449" w:rsidRPr="00A21D7D" w:rsidRDefault="00126449" w:rsidP="00967396">
            <w:pPr>
              <w:rPr>
                <w:rFonts w:cs="Arial"/>
                <w:b/>
                <w:bCs/>
                <w:i/>
                <w:lang w:eastAsia="en-AU"/>
              </w:rPr>
            </w:pPr>
          </w:p>
        </w:tc>
        <w:tc>
          <w:tcPr>
            <w:tcW w:w="992" w:type="dxa"/>
            <w:vMerge/>
          </w:tcPr>
          <w:p w14:paraId="3CF5F1CD" w14:textId="77777777" w:rsidR="00126449" w:rsidRPr="00A21D7D" w:rsidRDefault="00126449" w:rsidP="00967396">
            <w:pPr>
              <w:rPr>
                <w:rFonts w:cs="Arial"/>
                <w:b/>
                <w:bCs/>
                <w:i/>
                <w:lang w:eastAsia="en-AU"/>
              </w:rPr>
            </w:pPr>
          </w:p>
        </w:tc>
        <w:tc>
          <w:tcPr>
            <w:tcW w:w="1134" w:type="dxa"/>
            <w:vMerge/>
          </w:tcPr>
          <w:p w14:paraId="424A1054" w14:textId="77777777" w:rsidR="00126449" w:rsidRPr="00A21D7D" w:rsidRDefault="00126449" w:rsidP="00967396">
            <w:pPr>
              <w:rPr>
                <w:rFonts w:cs="Arial"/>
                <w:b/>
                <w:bCs/>
                <w:i/>
                <w:lang w:eastAsia="en-AU"/>
              </w:rPr>
            </w:pPr>
          </w:p>
        </w:tc>
        <w:tc>
          <w:tcPr>
            <w:tcW w:w="1276" w:type="dxa"/>
            <w:vMerge/>
          </w:tcPr>
          <w:p w14:paraId="2E612B9A" w14:textId="77777777" w:rsidR="00126449" w:rsidRPr="00A21D7D" w:rsidRDefault="00126449" w:rsidP="00967396">
            <w:pPr>
              <w:rPr>
                <w:rFonts w:cs="Arial"/>
                <w:b/>
                <w:bCs/>
                <w:i/>
                <w:lang w:eastAsia="en-AU"/>
              </w:rPr>
            </w:pPr>
          </w:p>
        </w:tc>
        <w:tc>
          <w:tcPr>
            <w:tcW w:w="1418" w:type="dxa"/>
            <w:vMerge/>
          </w:tcPr>
          <w:p w14:paraId="60D2788D" w14:textId="77777777" w:rsidR="00126449" w:rsidRPr="00A21D7D" w:rsidRDefault="00126449" w:rsidP="00967396">
            <w:pPr>
              <w:rPr>
                <w:rFonts w:cs="Arial"/>
                <w:b/>
                <w:bCs/>
                <w:i/>
                <w:lang w:eastAsia="en-AU"/>
              </w:rPr>
            </w:pPr>
          </w:p>
        </w:tc>
      </w:tr>
      <w:tr w:rsidR="00126449" w:rsidRPr="00A21D7D" w14:paraId="0A28B22B" w14:textId="77777777" w:rsidTr="00426167">
        <w:tc>
          <w:tcPr>
            <w:tcW w:w="2405" w:type="dxa"/>
          </w:tcPr>
          <w:p w14:paraId="75C8CD35" w14:textId="77777777" w:rsidR="00126449" w:rsidRPr="00A21D7D" w:rsidRDefault="00126449" w:rsidP="00D213FE">
            <w:pPr>
              <w:pStyle w:val="TableTextBody"/>
              <w:rPr>
                <w:i/>
                <w:lang w:eastAsia="en-AU"/>
              </w:rPr>
            </w:pPr>
            <w:r w:rsidRPr="00A21D7D">
              <w:rPr>
                <w:lang w:eastAsia="en-AU"/>
              </w:rPr>
              <w:t>Conciliated</w:t>
            </w:r>
          </w:p>
        </w:tc>
        <w:tc>
          <w:tcPr>
            <w:tcW w:w="1276" w:type="dxa"/>
          </w:tcPr>
          <w:p w14:paraId="33756CC8" w14:textId="77777777" w:rsidR="00126449" w:rsidRPr="00A21D7D" w:rsidRDefault="00126449" w:rsidP="00426167">
            <w:pPr>
              <w:pStyle w:val="TableTextBody"/>
              <w:jc w:val="right"/>
              <w:rPr>
                <w:i/>
                <w:lang w:eastAsia="en-AU"/>
              </w:rPr>
            </w:pPr>
            <w:r w:rsidRPr="00A21D7D">
              <w:rPr>
                <w:lang w:eastAsia="en-AU"/>
              </w:rPr>
              <w:t>137</w:t>
            </w:r>
          </w:p>
        </w:tc>
        <w:tc>
          <w:tcPr>
            <w:tcW w:w="992" w:type="dxa"/>
          </w:tcPr>
          <w:p w14:paraId="3ADAF851" w14:textId="77777777" w:rsidR="00126449" w:rsidRPr="00A21D7D" w:rsidRDefault="00126449" w:rsidP="00426167">
            <w:pPr>
              <w:pStyle w:val="TableTextBody"/>
              <w:jc w:val="right"/>
              <w:rPr>
                <w:i/>
                <w:lang w:eastAsia="en-AU"/>
              </w:rPr>
            </w:pPr>
            <w:r w:rsidRPr="00A21D7D">
              <w:rPr>
                <w:lang w:eastAsia="en-AU"/>
              </w:rPr>
              <w:t>43</w:t>
            </w:r>
          </w:p>
        </w:tc>
        <w:tc>
          <w:tcPr>
            <w:tcW w:w="992" w:type="dxa"/>
          </w:tcPr>
          <w:p w14:paraId="7D751616" w14:textId="77777777" w:rsidR="00126449" w:rsidRPr="00A21D7D" w:rsidRDefault="00126449" w:rsidP="00426167">
            <w:pPr>
              <w:pStyle w:val="TableTextBody"/>
              <w:jc w:val="right"/>
              <w:rPr>
                <w:i/>
                <w:lang w:eastAsia="en-AU"/>
              </w:rPr>
            </w:pPr>
            <w:r w:rsidRPr="00A21D7D">
              <w:rPr>
                <w:lang w:eastAsia="en-AU"/>
              </w:rPr>
              <w:t>37</w:t>
            </w:r>
          </w:p>
        </w:tc>
        <w:tc>
          <w:tcPr>
            <w:tcW w:w="1134" w:type="dxa"/>
          </w:tcPr>
          <w:p w14:paraId="0FDD41F5" w14:textId="77777777" w:rsidR="00126449" w:rsidRPr="00A21D7D" w:rsidRDefault="00126449" w:rsidP="00426167">
            <w:pPr>
              <w:pStyle w:val="TableTextBody"/>
              <w:jc w:val="right"/>
              <w:rPr>
                <w:i/>
                <w:lang w:eastAsia="en-AU"/>
              </w:rPr>
            </w:pPr>
            <w:r w:rsidRPr="00A21D7D">
              <w:rPr>
                <w:lang w:eastAsia="en-AU"/>
              </w:rPr>
              <w:t>47</w:t>
            </w:r>
          </w:p>
        </w:tc>
        <w:tc>
          <w:tcPr>
            <w:tcW w:w="1276" w:type="dxa"/>
          </w:tcPr>
          <w:p w14:paraId="36380023" w14:textId="77777777" w:rsidR="00126449" w:rsidRPr="00A21D7D" w:rsidRDefault="00126449" w:rsidP="00426167">
            <w:pPr>
              <w:pStyle w:val="TableTextBody"/>
              <w:jc w:val="right"/>
              <w:rPr>
                <w:i/>
                <w:lang w:eastAsia="en-AU"/>
              </w:rPr>
            </w:pPr>
            <w:r w:rsidRPr="00A21D7D">
              <w:rPr>
                <w:lang w:eastAsia="en-AU"/>
              </w:rPr>
              <w:t>264</w:t>
            </w:r>
          </w:p>
        </w:tc>
        <w:tc>
          <w:tcPr>
            <w:tcW w:w="1418" w:type="dxa"/>
          </w:tcPr>
          <w:p w14:paraId="1D6A1808" w14:textId="77777777" w:rsidR="00126449" w:rsidRPr="00A21D7D" w:rsidRDefault="00126449" w:rsidP="00426167">
            <w:pPr>
              <w:pStyle w:val="TableTextBody"/>
              <w:jc w:val="right"/>
              <w:rPr>
                <w:i/>
                <w:lang w:eastAsia="en-AU"/>
              </w:rPr>
            </w:pPr>
            <w:r w:rsidRPr="00A21D7D">
              <w:rPr>
                <w:lang w:eastAsia="en-AU"/>
              </w:rPr>
              <w:t>48.0%</w:t>
            </w:r>
          </w:p>
        </w:tc>
      </w:tr>
      <w:tr w:rsidR="00126449" w:rsidRPr="00A21D7D" w14:paraId="25180AB0" w14:textId="77777777" w:rsidTr="00426167">
        <w:tc>
          <w:tcPr>
            <w:tcW w:w="2405" w:type="dxa"/>
          </w:tcPr>
          <w:p w14:paraId="5647C521" w14:textId="77777777" w:rsidR="00126449" w:rsidRPr="00A21D7D" w:rsidRDefault="00126449" w:rsidP="00D213FE">
            <w:pPr>
              <w:pStyle w:val="TableTextBody"/>
              <w:rPr>
                <w:lang w:eastAsia="en-AU"/>
              </w:rPr>
            </w:pPr>
            <w:r w:rsidRPr="00A21D7D">
              <w:rPr>
                <w:lang w:eastAsia="en-AU"/>
              </w:rPr>
              <w:t>Unable to locate respondent</w:t>
            </w:r>
          </w:p>
        </w:tc>
        <w:tc>
          <w:tcPr>
            <w:tcW w:w="1276" w:type="dxa"/>
          </w:tcPr>
          <w:p w14:paraId="1A6274F5" w14:textId="77777777" w:rsidR="00126449" w:rsidRPr="00A21D7D" w:rsidRDefault="00126449" w:rsidP="00426167">
            <w:pPr>
              <w:pStyle w:val="TableTextBody"/>
              <w:jc w:val="right"/>
              <w:rPr>
                <w:lang w:eastAsia="en-AU"/>
              </w:rPr>
            </w:pPr>
            <w:r w:rsidRPr="00A21D7D">
              <w:rPr>
                <w:lang w:eastAsia="en-AU"/>
              </w:rPr>
              <w:t>-</w:t>
            </w:r>
          </w:p>
        </w:tc>
        <w:tc>
          <w:tcPr>
            <w:tcW w:w="992" w:type="dxa"/>
          </w:tcPr>
          <w:p w14:paraId="4E2D990B" w14:textId="77777777" w:rsidR="00126449" w:rsidRPr="00A21D7D" w:rsidRDefault="00126449" w:rsidP="00426167">
            <w:pPr>
              <w:pStyle w:val="TableTextBody"/>
              <w:jc w:val="right"/>
              <w:rPr>
                <w:lang w:eastAsia="en-AU"/>
              </w:rPr>
            </w:pPr>
            <w:r w:rsidRPr="00A21D7D">
              <w:rPr>
                <w:lang w:eastAsia="en-AU"/>
              </w:rPr>
              <w:t>-</w:t>
            </w:r>
          </w:p>
        </w:tc>
        <w:tc>
          <w:tcPr>
            <w:tcW w:w="992" w:type="dxa"/>
          </w:tcPr>
          <w:p w14:paraId="4655241F" w14:textId="77777777" w:rsidR="00126449" w:rsidRPr="00A21D7D" w:rsidRDefault="00126449" w:rsidP="00426167">
            <w:pPr>
              <w:pStyle w:val="TableTextBody"/>
              <w:jc w:val="right"/>
              <w:rPr>
                <w:lang w:eastAsia="en-AU"/>
              </w:rPr>
            </w:pPr>
            <w:r w:rsidRPr="00A21D7D">
              <w:rPr>
                <w:lang w:eastAsia="en-AU"/>
              </w:rPr>
              <w:t>1</w:t>
            </w:r>
          </w:p>
        </w:tc>
        <w:tc>
          <w:tcPr>
            <w:tcW w:w="1134" w:type="dxa"/>
          </w:tcPr>
          <w:p w14:paraId="4B578D08" w14:textId="77777777" w:rsidR="00126449" w:rsidRPr="00A21D7D" w:rsidRDefault="00126449" w:rsidP="00426167">
            <w:pPr>
              <w:pStyle w:val="TableTextBody"/>
              <w:jc w:val="right"/>
              <w:rPr>
                <w:lang w:eastAsia="en-AU"/>
              </w:rPr>
            </w:pPr>
            <w:r w:rsidRPr="00A21D7D">
              <w:rPr>
                <w:lang w:eastAsia="en-AU"/>
              </w:rPr>
              <w:t>1</w:t>
            </w:r>
          </w:p>
        </w:tc>
        <w:tc>
          <w:tcPr>
            <w:tcW w:w="1276" w:type="dxa"/>
          </w:tcPr>
          <w:p w14:paraId="78CA4897" w14:textId="77777777" w:rsidR="00126449" w:rsidRPr="00A21D7D" w:rsidRDefault="00126449" w:rsidP="00426167">
            <w:pPr>
              <w:pStyle w:val="TableTextBody"/>
              <w:jc w:val="right"/>
              <w:rPr>
                <w:lang w:eastAsia="en-AU"/>
              </w:rPr>
            </w:pPr>
            <w:r w:rsidRPr="00A21D7D">
              <w:rPr>
                <w:lang w:eastAsia="en-AU"/>
              </w:rPr>
              <w:t>2</w:t>
            </w:r>
          </w:p>
        </w:tc>
        <w:tc>
          <w:tcPr>
            <w:tcW w:w="1418" w:type="dxa"/>
          </w:tcPr>
          <w:p w14:paraId="034FBD26" w14:textId="77777777" w:rsidR="00126449" w:rsidRPr="00A21D7D" w:rsidRDefault="00126449" w:rsidP="00426167">
            <w:pPr>
              <w:pStyle w:val="TableTextBody"/>
              <w:jc w:val="right"/>
              <w:rPr>
                <w:i/>
                <w:lang w:eastAsia="en-AU"/>
              </w:rPr>
            </w:pPr>
            <w:r w:rsidRPr="00A21D7D">
              <w:rPr>
                <w:lang w:eastAsia="en-AU"/>
              </w:rPr>
              <w:t>0.4%</w:t>
            </w:r>
          </w:p>
        </w:tc>
      </w:tr>
      <w:tr w:rsidR="00126449" w:rsidRPr="00A21D7D" w14:paraId="45B7D8D4" w14:textId="77777777" w:rsidTr="00426167">
        <w:tc>
          <w:tcPr>
            <w:tcW w:w="2405" w:type="dxa"/>
          </w:tcPr>
          <w:p w14:paraId="265EB80A" w14:textId="77777777" w:rsidR="00126449" w:rsidRPr="00A21D7D" w:rsidRDefault="00126449" w:rsidP="00D213FE">
            <w:pPr>
              <w:pStyle w:val="TableTextBody"/>
              <w:rPr>
                <w:i/>
                <w:lang w:eastAsia="en-AU"/>
              </w:rPr>
            </w:pPr>
            <w:r w:rsidRPr="00A21D7D">
              <w:rPr>
                <w:lang w:eastAsia="en-AU"/>
              </w:rPr>
              <w:t>Lost contact (ADA s169)</w:t>
            </w:r>
          </w:p>
        </w:tc>
        <w:tc>
          <w:tcPr>
            <w:tcW w:w="1276" w:type="dxa"/>
          </w:tcPr>
          <w:p w14:paraId="1AC727A9" w14:textId="77777777" w:rsidR="00126449" w:rsidRPr="00A21D7D" w:rsidRDefault="00126449" w:rsidP="00426167">
            <w:pPr>
              <w:pStyle w:val="TableTextBody"/>
              <w:jc w:val="right"/>
              <w:rPr>
                <w:i/>
                <w:lang w:eastAsia="en-AU"/>
              </w:rPr>
            </w:pPr>
            <w:r w:rsidRPr="00A21D7D">
              <w:rPr>
                <w:lang w:eastAsia="en-AU"/>
              </w:rPr>
              <w:t>4</w:t>
            </w:r>
          </w:p>
        </w:tc>
        <w:tc>
          <w:tcPr>
            <w:tcW w:w="992" w:type="dxa"/>
          </w:tcPr>
          <w:p w14:paraId="65493192" w14:textId="77777777" w:rsidR="00126449" w:rsidRPr="00A21D7D" w:rsidRDefault="00126449" w:rsidP="00426167">
            <w:pPr>
              <w:pStyle w:val="TableTextBody"/>
              <w:jc w:val="right"/>
              <w:rPr>
                <w:i/>
                <w:lang w:eastAsia="en-AU"/>
              </w:rPr>
            </w:pPr>
            <w:r w:rsidRPr="00A21D7D">
              <w:rPr>
                <w:lang w:eastAsia="en-AU"/>
              </w:rPr>
              <w:t>4</w:t>
            </w:r>
          </w:p>
        </w:tc>
        <w:tc>
          <w:tcPr>
            <w:tcW w:w="992" w:type="dxa"/>
          </w:tcPr>
          <w:p w14:paraId="43FF8A33" w14:textId="77777777" w:rsidR="00126449" w:rsidRPr="00A21D7D" w:rsidRDefault="00126449" w:rsidP="00426167">
            <w:pPr>
              <w:pStyle w:val="TableTextBody"/>
              <w:jc w:val="right"/>
              <w:rPr>
                <w:i/>
                <w:lang w:eastAsia="en-AU"/>
              </w:rPr>
            </w:pPr>
            <w:r w:rsidRPr="00A21D7D">
              <w:rPr>
                <w:lang w:eastAsia="en-AU"/>
              </w:rPr>
              <w:t>1</w:t>
            </w:r>
          </w:p>
        </w:tc>
        <w:tc>
          <w:tcPr>
            <w:tcW w:w="1134" w:type="dxa"/>
          </w:tcPr>
          <w:p w14:paraId="3D65B067" w14:textId="77777777" w:rsidR="00126449" w:rsidRPr="00A21D7D" w:rsidRDefault="00126449" w:rsidP="00426167">
            <w:pPr>
              <w:pStyle w:val="TableTextBody"/>
              <w:jc w:val="right"/>
              <w:rPr>
                <w:i/>
                <w:lang w:eastAsia="en-AU"/>
              </w:rPr>
            </w:pPr>
            <w:r w:rsidRPr="00A21D7D">
              <w:rPr>
                <w:lang w:eastAsia="en-AU"/>
              </w:rPr>
              <w:t>-</w:t>
            </w:r>
          </w:p>
        </w:tc>
        <w:tc>
          <w:tcPr>
            <w:tcW w:w="1276" w:type="dxa"/>
          </w:tcPr>
          <w:p w14:paraId="012D2C26" w14:textId="77777777" w:rsidR="00126449" w:rsidRPr="00A21D7D" w:rsidRDefault="00126449" w:rsidP="00426167">
            <w:pPr>
              <w:pStyle w:val="TableTextBody"/>
              <w:jc w:val="right"/>
              <w:rPr>
                <w:i/>
                <w:lang w:eastAsia="en-AU"/>
              </w:rPr>
            </w:pPr>
            <w:r w:rsidRPr="00A21D7D">
              <w:rPr>
                <w:lang w:eastAsia="en-AU"/>
              </w:rPr>
              <w:t>9</w:t>
            </w:r>
          </w:p>
        </w:tc>
        <w:tc>
          <w:tcPr>
            <w:tcW w:w="1418" w:type="dxa"/>
          </w:tcPr>
          <w:p w14:paraId="3D036148" w14:textId="77777777" w:rsidR="00126449" w:rsidRPr="00A21D7D" w:rsidRDefault="00126449" w:rsidP="00426167">
            <w:pPr>
              <w:pStyle w:val="TableTextBody"/>
              <w:jc w:val="right"/>
              <w:rPr>
                <w:i/>
                <w:lang w:eastAsia="en-AU"/>
              </w:rPr>
            </w:pPr>
            <w:r w:rsidRPr="00A21D7D">
              <w:rPr>
                <w:lang w:eastAsia="en-AU"/>
              </w:rPr>
              <w:t>1.6%</w:t>
            </w:r>
          </w:p>
        </w:tc>
      </w:tr>
      <w:tr w:rsidR="00126449" w:rsidRPr="00A21D7D" w14:paraId="02FDEE12" w14:textId="77777777" w:rsidTr="00426167">
        <w:trPr>
          <w:trHeight w:val="268"/>
        </w:trPr>
        <w:tc>
          <w:tcPr>
            <w:tcW w:w="2405" w:type="dxa"/>
          </w:tcPr>
          <w:p w14:paraId="390621DF" w14:textId="77777777" w:rsidR="00126449" w:rsidRPr="00A21D7D" w:rsidRDefault="00126449" w:rsidP="00D213FE">
            <w:pPr>
              <w:pStyle w:val="TableTextBody"/>
              <w:rPr>
                <w:i/>
                <w:lang w:eastAsia="en-AU"/>
              </w:rPr>
            </w:pPr>
            <w:r w:rsidRPr="00A21D7D">
              <w:rPr>
                <w:lang w:eastAsia="en-AU"/>
              </w:rPr>
              <w:t>Referred to QCAT</w:t>
            </w:r>
          </w:p>
        </w:tc>
        <w:tc>
          <w:tcPr>
            <w:tcW w:w="1276" w:type="dxa"/>
          </w:tcPr>
          <w:p w14:paraId="3B4E2E38" w14:textId="77777777" w:rsidR="00126449" w:rsidRPr="00A21D7D" w:rsidRDefault="00126449" w:rsidP="00426167">
            <w:pPr>
              <w:pStyle w:val="TableTextBody"/>
              <w:jc w:val="right"/>
              <w:rPr>
                <w:i/>
                <w:lang w:eastAsia="en-AU"/>
              </w:rPr>
            </w:pPr>
            <w:r w:rsidRPr="00A21D7D">
              <w:rPr>
                <w:lang w:eastAsia="en-AU"/>
              </w:rPr>
              <w:t>30</w:t>
            </w:r>
          </w:p>
        </w:tc>
        <w:tc>
          <w:tcPr>
            <w:tcW w:w="992" w:type="dxa"/>
          </w:tcPr>
          <w:p w14:paraId="414FFBC0" w14:textId="77777777" w:rsidR="00126449" w:rsidRPr="00A21D7D" w:rsidRDefault="00126449" w:rsidP="00426167">
            <w:pPr>
              <w:pStyle w:val="TableTextBody"/>
              <w:jc w:val="right"/>
              <w:rPr>
                <w:i/>
                <w:lang w:eastAsia="en-AU"/>
              </w:rPr>
            </w:pPr>
            <w:r w:rsidRPr="00A21D7D">
              <w:rPr>
                <w:lang w:eastAsia="en-AU"/>
              </w:rPr>
              <w:t>9</w:t>
            </w:r>
          </w:p>
        </w:tc>
        <w:tc>
          <w:tcPr>
            <w:tcW w:w="992" w:type="dxa"/>
          </w:tcPr>
          <w:p w14:paraId="3479D3AF" w14:textId="77777777" w:rsidR="00126449" w:rsidRPr="00A21D7D" w:rsidRDefault="00126449" w:rsidP="00426167">
            <w:pPr>
              <w:pStyle w:val="TableTextBody"/>
              <w:jc w:val="right"/>
              <w:rPr>
                <w:i/>
                <w:lang w:eastAsia="en-AU"/>
              </w:rPr>
            </w:pPr>
            <w:r w:rsidRPr="00A21D7D">
              <w:rPr>
                <w:lang w:eastAsia="en-AU"/>
              </w:rPr>
              <w:t>15</w:t>
            </w:r>
          </w:p>
        </w:tc>
        <w:tc>
          <w:tcPr>
            <w:tcW w:w="1134" w:type="dxa"/>
          </w:tcPr>
          <w:p w14:paraId="40BABFBC" w14:textId="77777777" w:rsidR="00126449" w:rsidRPr="00A21D7D" w:rsidRDefault="00126449" w:rsidP="00426167">
            <w:pPr>
              <w:pStyle w:val="TableTextBody"/>
              <w:jc w:val="right"/>
              <w:rPr>
                <w:i/>
                <w:lang w:eastAsia="en-AU"/>
              </w:rPr>
            </w:pPr>
            <w:r w:rsidRPr="00A21D7D">
              <w:rPr>
                <w:lang w:eastAsia="en-AU"/>
              </w:rPr>
              <w:t>14</w:t>
            </w:r>
          </w:p>
        </w:tc>
        <w:tc>
          <w:tcPr>
            <w:tcW w:w="1276" w:type="dxa"/>
          </w:tcPr>
          <w:p w14:paraId="575A5CFF" w14:textId="77777777" w:rsidR="00126449" w:rsidRPr="00A21D7D" w:rsidRDefault="00126449" w:rsidP="00426167">
            <w:pPr>
              <w:pStyle w:val="TableTextBody"/>
              <w:jc w:val="right"/>
              <w:rPr>
                <w:i/>
                <w:lang w:eastAsia="en-AU"/>
              </w:rPr>
            </w:pPr>
            <w:r w:rsidRPr="00A21D7D">
              <w:rPr>
                <w:lang w:eastAsia="en-AU"/>
              </w:rPr>
              <w:t>68</w:t>
            </w:r>
          </w:p>
        </w:tc>
        <w:tc>
          <w:tcPr>
            <w:tcW w:w="1418" w:type="dxa"/>
          </w:tcPr>
          <w:p w14:paraId="40AE8A56" w14:textId="77777777" w:rsidR="00126449" w:rsidRPr="00A21D7D" w:rsidRDefault="00126449" w:rsidP="00426167">
            <w:pPr>
              <w:pStyle w:val="TableTextBody"/>
              <w:jc w:val="right"/>
              <w:rPr>
                <w:i/>
                <w:lang w:eastAsia="en-AU"/>
              </w:rPr>
            </w:pPr>
            <w:r w:rsidRPr="00A21D7D">
              <w:rPr>
                <w:lang w:eastAsia="en-AU"/>
              </w:rPr>
              <w:t>12.3%</w:t>
            </w:r>
          </w:p>
        </w:tc>
      </w:tr>
      <w:tr w:rsidR="00126449" w:rsidRPr="00A21D7D" w14:paraId="78708C8C" w14:textId="77777777" w:rsidTr="00426167">
        <w:trPr>
          <w:trHeight w:val="268"/>
        </w:trPr>
        <w:tc>
          <w:tcPr>
            <w:tcW w:w="2405" w:type="dxa"/>
          </w:tcPr>
          <w:p w14:paraId="62A2E06F" w14:textId="77777777" w:rsidR="00126449" w:rsidRPr="00A21D7D" w:rsidRDefault="00126449" w:rsidP="00D213FE">
            <w:pPr>
              <w:pStyle w:val="TableTextBody"/>
              <w:rPr>
                <w:i/>
                <w:lang w:eastAsia="en-AU"/>
              </w:rPr>
            </w:pPr>
            <w:r w:rsidRPr="00A21D7D">
              <w:rPr>
                <w:lang w:eastAsia="en-AU"/>
              </w:rPr>
              <w:t>Referred to QIRC</w:t>
            </w:r>
          </w:p>
        </w:tc>
        <w:tc>
          <w:tcPr>
            <w:tcW w:w="1276" w:type="dxa"/>
          </w:tcPr>
          <w:p w14:paraId="1D88EF80" w14:textId="77777777" w:rsidR="00126449" w:rsidRPr="00A21D7D" w:rsidRDefault="00126449" w:rsidP="00426167">
            <w:pPr>
              <w:pStyle w:val="TableTextBody"/>
              <w:jc w:val="right"/>
              <w:rPr>
                <w:i/>
                <w:color w:val="FF0000"/>
                <w:lang w:eastAsia="en-AU"/>
              </w:rPr>
            </w:pPr>
            <w:r w:rsidRPr="00A21D7D">
              <w:rPr>
                <w:lang w:eastAsia="en-AU"/>
              </w:rPr>
              <w:t>59</w:t>
            </w:r>
          </w:p>
        </w:tc>
        <w:tc>
          <w:tcPr>
            <w:tcW w:w="992" w:type="dxa"/>
          </w:tcPr>
          <w:p w14:paraId="2958BE91" w14:textId="77777777" w:rsidR="00126449" w:rsidRPr="00A21D7D" w:rsidRDefault="00126449" w:rsidP="00426167">
            <w:pPr>
              <w:pStyle w:val="TableTextBody"/>
              <w:jc w:val="right"/>
              <w:rPr>
                <w:i/>
                <w:lang w:eastAsia="en-AU"/>
              </w:rPr>
            </w:pPr>
            <w:r w:rsidRPr="00A21D7D">
              <w:rPr>
                <w:lang w:eastAsia="en-AU"/>
              </w:rPr>
              <w:t>29</w:t>
            </w:r>
          </w:p>
        </w:tc>
        <w:tc>
          <w:tcPr>
            <w:tcW w:w="992" w:type="dxa"/>
          </w:tcPr>
          <w:p w14:paraId="4C939BF0" w14:textId="77777777" w:rsidR="00126449" w:rsidRPr="00A21D7D" w:rsidRDefault="00126449" w:rsidP="00426167">
            <w:pPr>
              <w:pStyle w:val="TableTextBody"/>
              <w:jc w:val="right"/>
              <w:rPr>
                <w:i/>
                <w:lang w:eastAsia="en-AU"/>
              </w:rPr>
            </w:pPr>
            <w:r w:rsidRPr="00A21D7D">
              <w:rPr>
                <w:lang w:eastAsia="en-AU"/>
              </w:rPr>
              <w:t>18</w:t>
            </w:r>
          </w:p>
        </w:tc>
        <w:tc>
          <w:tcPr>
            <w:tcW w:w="1134" w:type="dxa"/>
          </w:tcPr>
          <w:p w14:paraId="55D2292B" w14:textId="77777777" w:rsidR="00126449" w:rsidRPr="00A21D7D" w:rsidRDefault="00126449" w:rsidP="00426167">
            <w:pPr>
              <w:pStyle w:val="TableTextBody"/>
              <w:jc w:val="right"/>
              <w:rPr>
                <w:i/>
                <w:color w:val="FF0000"/>
                <w:lang w:eastAsia="en-AU"/>
              </w:rPr>
            </w:pPr>
            <w:r w:rsidRPr="00A21D7D">
              <w:rPr>
                <w:lang w:eastAsia="en-AU"/>
              </w:rPr>
              <w:t>14</w:t>
            </w:r>
          </w:p>
        </w:tc>
        <w:tc>
          <w:tcPr>
            <w:tcW w:w="1276" w:type="dxa"/>
          </w:tcPr>
          <w:p w14:paraId="7A822E6F" w14:textId="77777777" w:rsidR="00126449" w:rsidRPr="00A21D7D" w:rsidRDefault="00126449" w:rsidP="00426167">
            <w:pPr>
              <w:pStyle w:val="TableTextBody"/>
              <w:jc w:val="right"/>
              <w:rPr>
                <w:i/>
                <w:lang w:eastAsia="en-AU"/>
              </w:rPr>
            </w:pPr>
            <w:r w:rsidRPr="00A21D7D">
              <w:rPr>
                <w:lang w:eastAsia="en-AU"/>
              </w:rPr>
              <w:t>120</w:t>
            </w:r>
          </w:p>
        </w:tc>
        <w:tc>
          <w:tcPr>
            <w:tcW w:w="1418" w:type="dxa"/>
          </w:tcPr>
          <w:p w14:paraId="6F3C5407" w14:textId="77777777" w:rsidR="00126449" w:rsidRPr="00A21D7D" w:rsidRDefault="00126449" w:rsidP="00426167">
            <w:pPr>
              <w:pStyle w:val="TableTextBody"/>
              <w:jc w:val="right"/>
              <w:rPr>
                <w:i/>
                <w:lang w:eastAsia="en-AU"/>
              </w:rPr>
            </w:pPr>
            <w:r w:rsidRPr="00A21D7D">
              <w:rPr>
                <w:lang w:eastAsia="en-AU"/>
              </w:rPr>
              <w:t>21.7%</w:t>
            </w:r>
          </w:p>
        </w:tc>
      </w:tr>
      <w:tr w:rsidR="00126449" w:rsidRPr="00A21D7D" w14:paraId="0C301CF3" w14:textId="77777777" w:rsidTr="00426167">
        <w:tc>
          <w:tcPr>
            <w:tcW w:w="2405" w:type="dxa"/>
          </w:tcPr>
          <w:p w14:paraId="10CCC861" w14:textId="77777777" w:rsidR="00126449" w:rsidRPr="00A21D7D" w:rsidRDefault="00126449" w:rsidP="00D213FE">
            <w:pPr>
              <w:pStyle w:val="TableTextBody"/>
              <w:rPr>
                <w:i/>
                <w:lang w:eastAsia="en-AU"/>
              </w:rPr>
            </w:pPr>
            <w:r w:rsidRPr="00A21D7D">
              <w:rPr>
                <w:lang w:eastAsia="en-AU"/>
              </w:rPr>
              <w:t>Lapsed (s168)</w:t>
            </w:r>
          </w:p>
        </w:tc>
        <w:tc>
          <w:tcPr>
            <w:tcW w:w="1276" w:type="dxa"/>
          </w:tcPr>
          <w:p w14:paraId="1B2FEBE9" w14:textId="77777777" w:rsidR="00126449" w:rsidRPr="00A21D7D" w:rsidRDefault="00126449" w:rsidP="00426167">
            <w:pPr>
              <w:pStyle w:val="TableTextBody"/>
              <w:jc w:val="right"/>
              <w:rPr>
                <w:i/>
                <w:lang w:eastAsia="en-AU"/>
              </w:rPr>
            </w:pPr>
            <w:r w:rsidRPr="00A21D7D">
              <w:rPr>
                <w:lang w:eastAsia="en-AU"/>
              </w:rPr>
              <w:t>1</w:t>
            </w:r>
          </w:p>
        </w:tc>
        <w:tc>
          <w:tcPr>
            <w:tcW w:w="992" w:type="dxa"/>
          </w:tcPr>
          <w:p w14:paraId="187A05BD" w14:textId="77777777" w:rsidR="00126449" w:rsidRPr="00A21D7D" w:rsidRDefault="00126449" w:rsidP="00426167">
            <w:pPr>
              <w:pStyle w:val="TableTextBody"/>
              <w:jc w:val="right"/>
              <w:rPr>
                <w:i/>
                <w:lang w:eastAsia="en-AU"/>
              </w:rPr>
            </w:pPr>
            <w:r w:rsidRPr="00A21D7D">
              <w:rPr>
                <w:lang w:eastAsia="en-AU"/>
              </w:rPr>
              <w:t>1</w:t>
            </w:r>
          </w:p>
        </w:tc>
        <w:tc>
          <w:tcPr>
            <w:tcW w:w="992" w:type="dxa"/>
          </w:tcPr>
          <w:p w14:paraId="1C3AF110" w14:textId="77777777" w:rsidR="00126449" w:rsidRPr="00A21D7D" w:rsidRDefault="00126449" w:rsidP="00426167">
            <w:pPr>
              <w:pStyle w:val="TableTextBody"/>
              <w:jc w:val="right"/>
              <w:rPr>
                <w:i/>
                <w:lang w:eastAsia="en-AU"/>
              </w:rPr>
            </w:pPr>
            <w:r w:rsidRPr="00A21D7D">
              <w:rPr>
                <w:lang w:eastAsia="en-AU"/>
              </w:rPr>
              <w:t>-</w:t>
            </w:r>
          </w:p>
        </w:tc>
        <w:tc>
          <w:tcPr>
            <w:tcW w:w="1134" w:type="dxa"/>
          </w:tcPr>
          <w:p w14:paraId="1C3EBEA4" w14:textId="77777777" w:rsidR="00126449" w:rsidRPr="00A21D7D" w:rsidRDefault="00126449" w:rsidP="00426167">
            <w:pPr>
              <w:pStyle w:val="TableTextBody"/>
              <w:jc w:val="right"/>
              <w:rPr>
                <w:i/>
                <w:lang w:eastAsia="en-AU"/>
              </w:rPr>
            </w:pPr>
            <w:r w:rsidRPr="00A21D7D">
              <w:rPr>
                <w:lang w:eastAsia="en-AU"/>
              </w:rPr>
              <w:t>1</w:t>
            </w:r>
          </w:p>
        </w:tc>
        <w:tc>
          <w:tcPr>
            <w:tcW w:w="1276" w:type="dxa"/>
          </w:tcPr>
          <w:p w14:paraId="2E246C86" w14:textId="77777777" w:rsidR="00126449" w:rsidRPr="00A21D7D" w:rsidRDefault="00126449" w:rsidP="00426167">
            <w:pPr>
              <w:pStyle w:val="TableTextBody"/>
              <w:jc w:val="right"/>
              <w:rPr>
                <w:i/>
                <w:lang w:eastAsia="en-AU"/>
              </w:rPr>
            </w:pPr>
            <w:r w:rsidRPr="00A21D7D">
              <w:rPr>
                <w:lang w:eastAsia="en-AU"/>
              </w:rPr>
              <w:t>3</w:t>
            </w:r>
          </w:p>
        </w:tc>
        <w:tc>
          <w:tcPr>
            <w:tcW w:w="1418" w:type="dxa"/>
          </w:tcPr>
          <w:p w14:paraId="46642D71" w14:textId="77777777" w:rsidR="00126449" w:rsidRPr="00A21D7D" w:rsidRDefault="00126449" w:rsidP="00426167">
            <w:pPr>
              <w:pStyle w:val="TableTextBody"/>
              <w:jc w:val="right"/>
              <w:rPr>
                <w:i/>
                <w:lang w:eastAsia="en-AU"/>
              </w:rPr>
            </w:pPr>
            <w:r w:rsidRPr="00A21D7D">
              <w:rPr>
                <w:lang w:eastAsia="en-AU"/>
              </w:rPr>
              <w:t>0.5%</w:t>
            </w:r>
          </w:p>
        </w:tc>
      </w:tr>
      <w:tr w:rsidR="00126449" w:rsidRPr="00A21D7D" w14:paraId="5485865C" w14:textId="77777777" w:rsidTr="00426167">
        <w:tc>
          <w:tcPr>
            <w:tcW w:w="2405" w:type="dxa"/>
          </w:tcPr>
          <w:p w14:paraId="2CD34209" w14:textId="77777777" w:rsidR="00126449" w:rsidRPr="00A21D7D" w:rsidRDefault="00126449" w:rsidP="00D213FE">
            <w:pPr>
              <w:pStyle w:val="TableTextBody"/>
              <w:rPr>
                <w:i/>
                <w:lang w:eastAsia="en-AU"/>
              </w:rPr>
            </w:pPr>
            <w:r w:rsidRPr="00A21D7D">
              <w:rPr>
                <w:lang w:eastAsia="en-AU"/>
              </w:rPr>
              <w:t>Unconciliable but not referred (ADA s167)</w:t>
            </w:r>
          </w:p>
        </w:tc>
        <w:tc>
          <w:tcPr>
            <w:tcW w:w="1276" w:type="dxa"/>
          </w:tcPr>
          <w:p w14:paraId="3F99301B" w14:textId="77777777" w:rsidR="00126449" w:rsidRPr="00A21D7D" w:rsidRDefault="00126449" w:rsidP="00426167">
            <w:pPr>
              <w:pStyle w:val="TableTextBody"/>
              <w:jc w:val="right"/>
              <w:rPr>
                <w:i/>
                <w:lang w:eastAsia="en-AU"/>
              </w:rPr>
            </w:pPr>
            <w:r w:rsidRPr="00A21D7D">
              <w:rPr>
                <w:lang w:eastAsia="en-AU"/>
              </w:rPr>
              <w:t>14</w:t>
            </w:r>
          </w:p>
        </w:tc>
        <w:tc>
          <w:tcPr>
            <w:tcW w:w="992" w:type="dxa"/>
          </w:tcPr>
          <w:p w14:paraId="72D757AB" w14:textId="77777777" w:rsidR="00126449" w:rsidRPr="00A21D7D" w:rsidRDefault="00126449" w:rsidP="00426167">
            <w:pPr>
              <w:pStyle w:val="TableTextBody"/>
              <w:jc w:val="right"/>
              <w:rPr>
                <w:i/>
                <w:lang w:eastAsia="en-AU"/>
              </w:rPr>
            </w:pPr>
            <w:r w:rsidRPr="00A21D7D">
              <w:rPr>
                <w:lang w:eastAsia="en-AU"/>
              </w:rPr>
              <w:t>7</w:t>
            </w:r>
          </w:p>
        </w:tc>
        <w:tc>
          <w:tcPr>
            <w:tcW w:w="992" w:type="dxa"/>
          </w:tcPr>
          <w:p w14:paraId="4A4B2F7C" w14:textId="77777777" w:rsidR="00126449" w:rsidRPr="00A21D7D" w:rsidRDefault="00126449" w:rsidP="00426167">
            <w:pPr>
              <w:pStyle w:val="TableTextBody"/>
              <w:jc w:val="right"/>
              <w:rPr>
                <w:i/>
                <w:lang w:eastAsia="en-AU"/>
              </w:rPr>
            </w:pPr>
            <w:r w:rsidRPr="00A21D7D">
              <w:rPr>
                <w:lang w:eastAsia="en-AU"/>
              </w:rPr>
              <w:t>11</w:t>
            </w:r>
          </w:p>
        </w:tc>
        <w:tc>
          <w:tcPr>
            <w:tcW w:w="1134" w:type="dxa"/>
          </w:tcPr>
          <w:p w14:paraId="41698555" w14:textId="77777777" w:rsidR="00126449" w:rsidRPr="00A21D7D" w:rsidRDefault="00126449" w:rsidP="00426167">
            <w:pPr>
              <w:pStyle w:val="TableTextBody"/>
              <w:jc w:val="right"/>
              <w:rPr>
                <w:i/>
                <w:lang w:eastAsia="en-AU"/>
              </w:rPr>
            </w:pPr>
            <w:r w:rsidRPr="00A21D7D">
              <w:rPr>
                <w:lang w:eastAsia="en-AU"/>
              </w:rPr>
              <w:t>12</w:t>
            </w:r>
          </w:p>
        </w:tc>
        <w:tc>
          <w:tcPr>
            <w:tcW w:w="1276" w:type="dxa"/>
          </w:tcPr>
          <w:p w14:paraId="082CED31" w14:textId="77777777" w:rsidR="00126449" w:rsidRPr="00A21D7D" w:rsidRDefault="00126449" w:rsidP="00426167">
            <w:pPr>
              <w:pStyle w:val="TableTextBody"/>
              <w:jc w:val="right"/>
              <w:rPr>
                <w:i/>
                <w:lang w:eastAsia="en-AU"/>
              </w:rPr>
            </w:pPr>
            <w:r w:rsidRPr="00A21D7D">
              <w:rPr>
                <w:lang w:eastAsia="en-AU"/>
              </w:rPr>
              <w:t>44</w:t>
            </w:r>
          </w:p>
        </w:tc>
        <w:tc>
          <w:tcPr>
            <w:tcW w:w="1418" w:type="dxa"/>
          </w:tcPr>
          <w:p w14:paraId="3E942613" w14:textId="77777777" w:rsidR="00126449" w:rsidRPr="00A21D7D" w:rsidRDefault="00126449" w:rsidP="00426167">
            <w:pPr>
              <w:pStyle w:val="TableTextBody"/>
              <w:jc w:val="right"/>
              <w:rPr>
                <w:i/>
                <w:lang w:eastAsia="en-AU"/>
              </w:rPr>
            </w:pPr>
            <w:r w:rsidRPr="00A21D7D">
              <w:rPr>
                <w:lang w:eastAsia="en-AU"/>
              </w:rPr>
              <w:t>8.0%</w:t>
            </w:r>
          </w:p>
        </w:tc>
      </w:tr>
      <w:tr w:rsidR="00126449" w:rsidRPr="00A21D7D" w14:paraId="21E65EC1" w14:textId="77777777" w:rsidTr="00426167">
        <w:trPr>
          <w:trHeight w:val="268"/>
        </w:trPr>
        <w:tc>
          <w:tcPr>
            <w:tcW w:w="2405" w:type="dxa"/>
          </w:tcPr>
          <w:p w14:paraId="218060FF" w14:textId="77777777" w:rsidR="00126449" w:rsidRPr="00A21D7D" w:rsidRDefault="00126449" w:rsidP="00D213FE">
            <w:pPr>
              <w:pStyle w:val="TableTextBody"/>
              <w:rPr>
                <w:i/>
                <w:lang w:eastAsia="en-AU"/>
              </w:rPr>
            </w:pPr>
            <w:r w:rsidRPr="00A21D7D">
              <w:rPr>
                <w:lang w:eastAsia="en-AU"/>
              </w:rPr>
              <w:t>Withdrawn</w:t>
            </w:r>
          </w:p>
        </w:tc>
        <w:tc>
          <w:tcPr>
            <w:tcW w:w="1276" w:type="dxa"/>
          </w:tcPr>
          <w:p w14:paraId="5515EDDA" w14:textId="77777777" w:rsidR="00126449" w:rsidRPr="00A21D7D" w:rsidRDefault="00126449" w:rsidP="00426167">
            <w:pPr>
              <w:pStyle w:val="TableTextBody"/>
              <w:jc w:val="right"/>
              <w:rPr>
                <w:i/>
                <w:lang w:eastAsia="en-AU"/>
              </w:rPr>
            </w:pPr>
            <w:r w:rsidRPr="00A21D7D">
              <w:rPr>
                <w:lang w:eastAsia="en-AU"/>
              </w:rPr>
              <w:t>17</w:t>
            </w:r>
          </w:p>
        </w:tc>
        <w:tc>
          <w:tcPr>
            <w:tcW w:w="992" w:type="dxa"/>
          </w:tcPr>
          <w:p w14:paraId="4552AE85" w14:textId="77777777" w:rsidR="00126449" w:rsidRPr="00A21D7D" w:rsidRDefault="00126449" w:rsidP="00426167">
            <w:pPr>
              <w:pStyle w:val="TableTextBody"/>
              <w:jc w:val="right"/>
              <w:rPr>
                <w:i/>
                <w:lang w:eastAsia="en-AU"/>
              </w:rPr>
            </w:pPr>
            <w:r w:rsidRPr="00A21D7D">
              <w:rPr>
                <w:lang w:eastAsia="en-AU"/>
              </w:rPr>
              <w:t>3</w:t>
            </w:r>
          </w:p>
        </w:tc>
        <w:tc>
          <w:tcPr>
            <w:tcW w:w="992" w:type="dxa"/>
          </w:tcPr>
          <w:p w14:paraId="0FFDF47E" w14:textId="77777777" w:rsidR="00126449" w:rsidRPr="00A21D7D" w:rsidRDefault="00126449" w:rsidP="00426167">
            <w:pPr>
              <w:pStyle w:val="TableTextBody"/>
              <w:jc w:val="right"/>
              <w:rPr>
                <w:i/>
                <w:lang w:eastAsia="en-AU"/>
              </w:rPr>
            </w:pPr>
            <w:r w:rsidRPr="00A21D7D">
              <w:rPr>
                <w:lang w:eastAsia="en-AU"/>
              </w:rPr>
              <w:t>16</w:t>
            </w:r>
          </w:p>
        </w:tc>
        <w:tc>
          <w:tcPr>
            <w:tcW w:w="1134" w:type="dxa"/>
          </w:tcPr>
          <w:p w14:paraId="1C9946E3" w14:textId="77777777" w:rsidR="00126449" w:rsidRPr="00A21D7D" w:rsidRDefault="00126449" w:rsidP="00426167">
            <w:pPr>
              <w:pStyle w:val="TableTextBody"/>
              <w:jc w:val="right"/>
              <w:rPr>
                <w:i/>
                <w:lang w:eastAsia="en-AU"/>
              </w:rPr>
            </w:pPr>
            <w:r w:rsidRPr="00A21D7D">
              <w:rPr>
                <w:lang w:eastAsia="en-AU"/>
              </w:rPr>
              <w:t>5</w:t>
            </w:r>
          </w:p>
        </w:tc>
        <w:tc>
          <w:tcPr>
            <w:tcW w:w="1276" w:type="dxa"/>
          </w:tcPr>
          <w:p w14:paraId="3F414663" w14:textId="77777777" w:rsidR="00126449" w:rsidRPr="00A21D7D" w:rsidRDefault="00126449" w:rsidP="00426167">
            <w:pPr>
              <w:pStyle w:val="TableTextBody"/>
              <w:jc w:val="right"/>
              <w:rPr>
                <w:i/>
                <w:lang w:eastAsia="en-AU"/>
              </w:rPr>
            </w:pPr>
            <w:r w:rsidRPr="00A21D7D">
              <w:rPr>
                <w:lang w:eastAsia="en-AU"/>
              </w:rPr>
              <w:t>41</w:t>
            </w:r>
          </w:p>
        </w:tc>
        <w:tc>
          <w:tcPr>
            <w:tcW w:w="1418" w:type="dxa"/>
          </w:tcPr>
          <w:p w14:paraId="46360839" w14:textId="77777777" w:rsidR="00126449" w:rsidRPr="00A21D7D" w:rsidRDefault="00126449" w:rsidP="00426167">
            <w:pPr>
              <w:pStyle w:val="TableTextBody"/>
              <w:jc w:val="right"/>
              <w:rPr>
                <w:i/>
                <w:lang w:eastAsia="en-AU"/>
              </w:rPr>
            </w:pPr>
            <w:r w:rsidRPr="00A21D7D">
              <w:rPr>
                <w:lang w:eastAsia="en-AU"/>
              </w:rPr>
              <w:t>7.5%</w:t>
            </w:r>
          </w:p>
        </w:tc>
      </w:tr>
      <w:tr w:rsidR="00126449" w:rsidRPr="00A21D7D" w14:paraId="47F200B6" w14:textId="77777777" w:rsidTr="00426167">
        <w:tc>
          <w:tcPr>
            <w:tcW w:w="2405" w:type="dxa"/>
          </w:tcPr>
          <w:p w14:paraId="1DCDE91C" w14:textId="77777777" w:rsidR="00126449" w:rsidRPr="00A21D7D" w:rsidRDefault="00126449" w:rsidP="00D213FE">
            <w:pPr>
              <w:pStyle w:val="TableTextBody"/>
              <w:rPr>
                <w:b/>
                <w:i/>
                <w:lang w:eastAsia="en-AU"/>
              </w:rPr>
            </w:pPr>
            <w:r w:rsidRPr="00A21D7D">
              <w:rPr>
                <w:b/>
                <w:lang w:eastAsia="en-AU"/>
              </w:rPr>
              <w:t>Total</w:t>
            </w:r>
          </w:p>
        </w:tc>
        <w:tc>
          <w:tcPr>
            <w:tcW w:w="1276" w:type="dxa"/>
          </w:tcPr>
          <w:p w14:paraId="7F748639" w14:textId="77777777" w:rsidR="00126449" w:rsidRPr="00A21D7D" w:rsidRDefault="00126449" w:rsidP="00426167">
            <w:pPr>
              <w:pStyle w:val="TableTextBody"/>
              <w:jc w:val="right"/>
              <w:rPr>
                <w:b/>
                <w:i/>
                <w:lang w:eastAsia="en-AU"/>
              </w:rPr>
            </w:pPr>
            <w:r w:rsidRPr="00A21D7D">
              <w:rPr>
                <w:b/>
                <w:lang w:eastAsia="en-AU"/>
              </w:rPr>
              <w:t>262</w:t>
            </w:r>
          </w:p>
        </w:tc>
        <w:tc>
          <w:tcPr>
            <w:tcW w:w="992" w:type="dxa"/>
          </w:tcPr>
          <w:p w14:paraId="344E3B9C" w14:textId="77777777" w:rsidR="00126449" w:rsidRPr="00A21D7D" w:rsidRDefault="00126449" w:rsidP="00426167">
            <w:pPr>
              <w:pStyle w:val="TableTextBody"/>
              <w:jc w:val="right"/>
              <w:rPr>
                <w:b/>
                <w:i/>
                <w:lang w:eastAsia="en-AU"/>
              </w:rPr>
            </w:pPr>
            <w:r w:rsidRPr="00A21D7D">
              <w:rPr>
                <w:b/>
                <w:lang w:eastAsia="en-AU"/>
              </w:rPr>
              <w:t>96</w:t>
            </w:r>
          </w:p>
        </w:tc>
        <w:tc>
          <w:tcPr>
            <w:tcW w:w="992" w:type="dxa"/>
          </w:tcPr>
          <w:p w14:paraId="38518FBD" w14:textId="77777777" w:rsidR="00126449" w:rsidRPr="00A21D7D" w:rsidRDefault="00126449" w:rsidP="00426167">
            <w:pPr>
              <w:pStyle w:val="TableTextBody"/>
              <w:jc w:val="right"/>
              <w:rPr>
                <w:b/>
                <w:i/>
                <w:lang w:eastAsia="en-AU"/>
              </w:rPr>
            </w:pPr>
            <w:r w:rsidRPr="00A21D7D">
              <w:rPr>
                <w:b/>
                <w:lang w:eastAsia="en-AU"/>
              </w:rPr>
              <w:t>99</w:t>
            </w:r>
          </w:p>
        </w:tc>
        <w:tc>
          <w:tcPr>
            <w:tcW w:w="1134" w:type="dxa"/>
          </w:tcPr>
          <w:p w14:paraId="2C0404C0" w14:textId="77777777" w:rsidR="00126449" w:rsidRPr="00A21D7D" w:rsidRDefault="00126449" w:rsidP="00426167">
            <w:pPr>
              <w:pStyle w:val="TableTextBody"/>
              <w:jc w:val="right"/>
              <w:rPr>
                <w:b/>
                <w:i/>
                <w:lang w:eastAsia="en-AU"/>
              </w:rPr>
            </w:pPr>
            <w:r w:rsidRPr="00A21D7D">
              <w:rPr>
                <w:b/>
                <w:lang w:eastAsia="en-AU"/>
              </w:rPr>
              <w:t>94</w:t>
            </w:r>
          </w:p>
        </w:tc>
        <w:tc>
          <w:tcPr>
            <w:tcW w:w="1276" w:type="dxa"/>
          </w:tcPr>
          <w:p w14:paraId="31371158" w14:textId="77777777" w:rsidR="00126449" w:rsidRPr="00A21D7D" w:rsidRDefault="00126449" w:rsidP="00426167">
            <w:pPr>
              <w:pStyle w:val="TableTextBody"/>
              <w:jc w:val="right"/>
              <w:rPr>
                <w:b/>
                <w:i/>
                <w:lang w:eastAsia="en-AU"/>
              </w:rPr>
            </w:pPr>
            <w:r w:rsidRPr="00A21D7D">
              <w:rPr>
                <w:b/>
                <w:lang w:eastAsia="en-AU"/>
              </w:rPr>
              <w:t>551</w:t>
            </w:r>
          </w:p>
        </w:tc>
        <w:tc>
          <w:tcPr>
            <w:tcW w:w="1418" w:type="dxa"/>
          </w:tcPr>
          <w:p w14:paraId="28A11D69" w14:textId="77777777" w:rsidR="00126449" w:rsidRPr="00A21D7D" w:rsidRDefault="00126449" w:rsidP="00426167">
            <w:pPr>
              <w:pStyle w:val="TableTextBody"/>
              <w:jc w:val="right"/>
              <w:rPr>
                <w:b/>
                <w:i/>
                <w:lang w:eastAsia="en-AU"/>
              </w:rPr>
            </w:pPr>
            <w:r w:rsidRPr="00A21D7D">
              <w:rPr>
                <w:b/>
                <w:lang w:eastAsia="en-AU"/>
              </w:rPr>
              <w:t>100%</w:t>
            </w:r>
          </w:p>
        </w:tc>
      </w:tr>
    </w:tbl>
    <w:p w14:paraId="509910EF" w14:textId="77777777" w:rsidR="007B56F8" w:rsidRPr="007B56F8" w:rsidRDefault="007B56F8" w:rsidP="007B56F8">
      <w:pPr>
        <w:pStyle w:val="Note"/>
        <w:spacing w:before="0" w:after="0"/>
        <w:rPr>
          <w:lang w:eastAsia="en-AU"/>
        </w:rPr>
      </w:pPr>
      <w:bookmarkStart w:id="60" w:name="_GoBack"/>
      <w:bookmarkEnd w:id="59"/>
      <w:bookmarkEnd w:id="60"/>
      <w:r>
        <w:rPr>
          <w:lang w:eastAsia="en-AU"/>
        </w:rPr>
        <w:t>Note: Percentages in this table have been rounded to the nearest decimal point.</w:t>
      </w:r>
    </w:p>
    <w:p w14:paraId="28B265A9" w14:textId="77777777" w:rsidR="00126449" w:rsidRPr="00A21D7D" w:rsidRDefault="00126449" w:rsidP="00126449">
      <w:pPr>
        <w:pageBreakBefore/>
        <w:spacing w:before="240" w:after="120" w:line="240" w:lineRule="auto"/>
        <w:rPr>
          <w:rFonts w:eastAsiaTheme="majorEastAsia" w:cs="Arial"/>
          <w:b/>
          <w:szCs w:val="22"/>
          <w:highlight w:val="yellow"/>
        </w:rPr>
        <w:sectPr w:rsidR="00126449" w:rsidRPr="00A21D7D" w:rsidSect="00196BED">
          <w:headerReference w:type="even" r:id="rId24"/>
          <w:pgSz w:w="11906" w:h="16838" w:code="9"/>
          <w:pgMar w:top="851" w:right="1077" w:bottom="902" w:left="1077" w:header="709" w:footer="709" w:gutter="0"/>
          <w:cols w:space="720"/>
          <w:docGrid w:linePitch="360"/>
        </w:sectPr>
      </w:pPr>
    </w:p>
    <w:p w14:paraId="41C4681E" w14:textId="77777777" w:rsidR="004E1C8E" w:rsidRPr="00A21D7D" w:rsidRDefault="004E1C8E" w:rsidP="007D0F77">
      <w:pPr>
        <w:pStyle w:val="Heading2"/>
        <w:rPr>
          <w:lang w:val="en-US"/>
        </w:rPr>
      </w:pPr>
      <w:bookmarkStart w:id="61" w:name="_Toc49508898"/>
      <w:r w:rsidRPr="00A21D7D">
        <w:rPr>
          <w:lang w:val="en-US"/>
        </w:rPr>
        <w:lastRenderedPageBreak/>
        <w:t>Improving complaint processes</w:t>
      </w:r>
      <w:bookmarkEnd w:id="61"/>
    </w:p>
    <w:p w14:paraId="26DB11C1" w14:textId="77777777" w:rsidR="004E1C8E" w:rsidRPr="00A21D7D" w:rsidRDefault="004E1C8E" w:rsidP="004E1C8E">
      <w:pPr>
        <w:spacing w:before="120" w:after="240"/>
        <w:rPr>
          <w:rFonts w:cs="Arial"/>
          <w:lang w:val="en-US"/>
        </w:rPr>
      </w:pPr>
      <w:r w:rsidRPr="00A21D7D">
        <w:rPr>
          <w:rFonts w:cs="Arial"/>
          <w:lang w:val="en-US"/>
        </w:rPr>
        <w:t>A significant increase in the number of complaints made to the Commission over the last few years has resulted in more complaints being accepted into the conciliation process, and an increase in the number of administrative decisions to be made on those complaints.</w:t>
      </w:r>
    </w:p>
    <w:p w14:paraId="3D44DE33" w14:textId="08CD07C7" w:rsidR="004E1C8E" w:rsidRPr="00A21D7D" w:rsidRDefault="004E1C8E" w:rsidP="004E1C8E">
      <w:pPr>
        <w:rPr>
          <w:rFonts w:cs="Arial"/>
        </w:rPr>
      </w:pPr>
      <w:r w:rsidRPr="00A21D7D">
        <w:rPr>
          <w:rFonts w:cs="Arial"/>
        </w:rPr>
        <w:t xml:space="preserve">Complaints are often lodged outside the one year time limit, which means </w:t>
      </w:r>
      <w:r w:rsidR="008E4CAF">
        <w:rPr>
          <w:rFonts w:cs="Arial"/>
        </w:rPr>
        <w:t>we have</w:t>
      </w:r>
      <w:r w:rsidRPr="00A21D7D">
        <w:rPr>
          <w:rFonts w:cs="Arial"/>
        </w:rPr>
        <w:t xml:space="preserve"> to consider whe</w:t>
      </w:r>
      <w:r w:rsidR="00D44255">
        <w:rPr>
          <w:rFonts w:cs="Arial"/>
        </w:rPr>
        <w:t>ther to exercise a discretion we</w:t>
      </w:r>
      <w:r w:rsidRPr="00A21D7D">
        <w:rPr>
          <w:rFonts w:cs="Arial"/>
        </w:rPr>
        <w:t xml:space="preserve"> ha</w:t>
      </w:r>
      <w:r w:rsidR="00D44255">
        <w:rPr>
          <w:rFonts w:cs="Arial"/>
        </w:rPr>
        <w:t>ve</w:t>
      </w:r>
      <w:r w:rsidRPr="00A21D7D">
        <w:rPr>
          <w:rFonts w:cs="Arial"/>
        </w:rPr>
        <w:t xml:space="preserve"> to accept those complaints.</w:t>
      </w:r>
      <w:r w:rsidR="00B10E8B">
        <w:rPr>
          <w:rFonts w:cs="Arial"/>
        </w:rPr>
        <w:t xml:space="preserve"> </w:t>
      </w:r>
      <w:r w:rsidRPr="00A21D7D">
        <w:rPr>
          <w:rFonts w:cs="Arial"/>
        </w:rPr>
        <w:t>It is essentially a decision whether to extend the time for accepting the complaint.</w:t>
      </w:r>
      <w:r w:rsidR="00B10E8B">
        <w:rPr>
          <w:rFonts w:cs="Arial"/>
        </w:rPr>
        <w:t xml:space="preserve"> </w:t>
      </w:r>
      <w:r w:rsidRPr="00A21D7D">
        <w:rPr>
          <w:rFonts w:cs="Arial"/>
        </w:rPr>
        <w:t>Natural justice requires that all parties have opportunities to make submissions about the exercise of the discretion, and as an up-front process, this can polarise the parties and make resolution through conciliation more difficult.</w:t>
      </w:r>
    </w:p>
    <w:p w14:paraId="160D1023" w14:textId="2CB7B28D" w:rsidR="004E1C8E" w:rsidRPr="00A21D7D" w:rsidRDefault="004E1C8E" w:rsidP="004E1C8E">
      <w:pPr>
        <w:rPr>
          <w:rFonts w:cs="Arial"/>
        </w:rPr>
      </w:pPr>
      <w:r w:rsidRPr="00A21D7D">
        <w:rPr>
          <w:rFonts w:cs="Arial"/>
        </w:rPr>
        <w:t xml:space="preserve">In order to improve efficiencies in the complaint process and outcomes for parties, </w:t>
      </w:r>
      <w:r w:rsidR="008E4CAF">
        <w:rPr>
          <w:rFonts w:cs="Arial"/>
        </w:rPr>
        <w:t xml:space="preserve">we </w:t>
      </w:r>
      <w:r w:rsidR="00D44255">
        <w:rPr>
          <w:rFonts w:cs="Arial"/>
        </w:rPr>
        <w:t>implemented a process whereby we</w:t>
      </w:r>
      <w:r w:rsidRPr="00A21D7D">
        <w:rPr>
          <w:rFonts w:cs="Arial"/>
        </w:rPr>
        <w:t xml:space="preserve"> may defer the decision-making for complaints that include both in-time and out-of-time components, and try to resolve the complaint through conciliation.</w:t>
      </w:r>
      <w:r w:rsidR="00B10E8B">
        <w:rPr>
          <w:rFonts w:cs="Arial"/>
        </w:rPr>
        <w:t xml:space="preserve"> </w:t>
      </w:r>
      <w:r w:rsidRPr="00A21D7D">
        <w:rPr>
          <w:rFonts w:cs="Arial"/>
        </w:rPr>
        <w:t>This has resulted in fewer administrative decisions and a more streamlined process for complaint parties.</w:t>
      </w:r>
    </w:p>
    <w:p w14:paraId="0E30DEBE" w14:textId="774F0367" w:rsidR="004E1C8E" w:rsidRPr="00A21D7D" w:rsidRDefault="008E4CAF" w:rsidP="004E1C8E">
      <w:pPr>
        <w:rPr>
          <w:rFonts w:cs="Arial"/>
          <w:i/>
        </w:rPr>
      </w:pPr>
      <w:r>
        <w:rPr>
          <w:rFonts w:cs="Arial"/>
        </w:rPr>
        <w:t>We</w:t>
      </w:r>
      <w:r w:rsidR="004E1C8E" w:rsidRPr="00A21D7D">
        <w:rPr>
          <w:rFonts w:cs="Arial"/>
        </w:rPr>
        <w:t xml:space="preserve"> also worked to have this process ratified through amendments to the </w:t>
      </w:r>
      <w:r w:rsidR="004E1C8E" w:rsidRPr="00FC6699">
        <w:rPr>
          <w:rFonts w:cs="Arial"/>
          <w:i/>
        </w:rPr>
        <w:t>Anti-Discrimination Act 1991</w:t>
      </w:r>
      <w:r w:rsidR="00034C1F">
        <w:rPr>
          <w:rFonts w:cs="Arial"/>
          <w:i/>
        </w:rPr>
        <w:t xml:space="preserve">, </w:t>
      </w:r>
      <w:r w:rsidR="00034C1F" w:rsidRPr="00034C1F">
        <w:rPr>
          <w:rFonts w:cs="Arial"/>
        </w:rPr>
        <w:t>which took effect from 25 May 2020</w:t>
      </w:r>
      <w:r w:rsidR="004E1C8E" w:rsidRPr="00A21D7D">
        <w:rPr>
          <w:rFonts w:cs="Arial"/>
          <w:i/>
        </w:rPr>
        <w:t>.</w:t>
      </w:r>
    </w:p>
    <w:p w14:paraId="03DDD234" w14:textId="03814836" w:rsidR="004E1C8E" w:rsidRPr="00A21D7D" w:rsidRDefault="004E1C8E" w:rsidP="004E1C8E">
      <w:pPr>
        <w:spacing w:before="120" w:after="240"/>
        <w:rPr>
          <w:rFonts w:cs="Arial"/>
          <w:lang w:val="en-US"/>
        </w:rPr>
      </w:pPr>
      <w:r w:rsidRPr="00A21D7D">
        <w:rPr>
          <w:rFonts w:cs="Arial"/>
        </w:rPr>
        <w:t>The amendments also clarify that certain decisions made by the Commission not to accept a complaint have the same finality as a decision to reject or to lapse a complaint.</w:t>
      </w:r>
      <w:r w:rsidR="00B10E8B">
        <w:rPr>
          <w:rFonts w:cs="Arial"/>
        </w:rPr>
        <w:t xml:space="preserve"> </w:t>
      </w:r>
      <w:r w:rsidRPr="00A21D7D">
        <w:rPr>
          <w:rFonts w:cs="Arial"/>
        </w:rPr>
        <w:t>These are the out-of-time decisions and decisions whether it is fair to accept a complaint despite the existence of a prior agreement not to complain.</w:t>
      </w:r>
      <w:r w:rsidR="00B10E8B">
        <w:rPr>
          <w:rFonts w:cs="Arial"/>
        </w:rPr>
        <w:t xml:space="preserve"> </w:t>
      </w:r>
      <w:r w:rsidRPr="00A21D7D">
        <w:rPr>
          <w:rFonts w:cs="Arial"/>
        </w:rPr>
        <w:t>For these types of decisions the parties have been afforded natural justice and the Commission has given thorough consideration to all relevant matters.</w:t>
      </w:r>
    </w:p>
    <w:p w14:paraId="043B5E44" w14:textId="77777777" w:rsidR="003B6F9D" w:rsidRDefault="004E1C8E" w:rsidP="003B6F9D">
      <w:pPr>
        <w:pStyle w:val="Keystatistics"/>
        <w:rPr>
          <w:lang w:val="en-US"/>
        </w:rPr>
      </w:pPr>
      <w:r w:rsidRPr="00A21D7D">
        <w:rPr>
          <w:lang w:val="en-US"/>
        </w:rPr>
        <w:t>The amendments both improve efficiencies and better ensure that parties to complaints have equal rights of review.</w:t>
      </w:r>
      <w:r w:rsidR="00B10E8B">
        <w:rPr>
          <w:lang w:val="en-US"/>
        </w:rPr>
        <w:t xml:space="preserve"> </w:t>
      </w:r>
    </w:p>
    <w:p w14:paraId="6FD5CAB0" w14:textId="675532EA" w:rsidR="004E1C8E" w:rsidRPr="00A21D7D" w:rsidRDefault="004E1C8E" w:rsidP="004E1C8E">
      <w:pPr>
        <w:spacing w:before="120" w:after="240"/>
        <w:rPr>
          <w:rFonts w:cs="Arial"/>
          <w:lang w:val="en-US"/>
        </w:rPr>
      </w:pPr>
    </w:p>
    <w:p w14:paraId="36C640E5" w14:textId="77777777" w:rsidR="003B6F9D" w:rsidRDefault="003B6F9D">
      <w:pPr>
        <w:ind w:right="0"/>
        <w:rPr>
          <w:rFonts w:eastAsiaTheme="majorEastAsia" w:cstheme="majorBidi"/>
          <w:color w:val="000000" w:themeColor="text1"/>
          <w:sz w:val="36"/>
          <w:szCs w:val="26"/>
        </w:rPr>
      </w:pPr>
      <w:bookmarkStart w:id="62" w:name="_Toc49508899"/>
      <w:r>
        <w:br w:type="page"/>
      </w:r>
    </w:p>
    <w:p w14:paraId="5EF2BDB7" w14:textId="48F33F0A" w:rsidR="00126449" w:rsidRPr="00A21D7D" w:rsidRDefault="007D0F77" w:rsidP="007D0F77">
      <w:pPr>
        <w:pStyle w:val="Heading2"/>
        <w:rPr>
          <w:i/>
        </w:rPr>
      </w:pPr>
      <w:r>
        <w:lastRenderedPageBreak/>
        <w:t>Administrative d</w:t>
      </w:r>
      <w:r w:rsidR="00126449" w:rsidRPr="00A21D7D">
        <w:t>ecisions</w:t>
      </w:r>
      <w:bookmarkEnd w:id="62"/>
      <w:r w:rsidR="00126449" w:rsidRPr="00A21D7D">
        <w:t xml:space="preserve"> </w:t>
      </w:r>
    </w:p>
    <w:p w14:paraId="010AF138" w14:textId="4C083C61" w:rsidR="00E033BD" w:rsidRDefault="00126449" w:rsidP="00126449">
      <w:pPr>
        <w:spacing w:after="120" w:line="240" w:lineRule="auto"/>
        <w:rPr>
          <w:rFonts w:eastAsiaTheme="majorEastAsia" w:cs="Arial"/>
          <w:szCs w:val="22"/>
        </w:rPr>
      </w:pPr>
      <w:r w:rsidRPr="00A21D7D">
        <w:rPr>
          <w:rFonts w:eastAsiaTheme="majorEastAsia" w:cs="Arial"/>
          <w:szCs w:val="22"/>
        </w:rPr>
        <w:t>Throughout the course of managing complaints, numerous administrative decisions are made.</w:t>
      </w:r>
      <w:r w:rsidR="00B10E8B">
        <w:rPr>
          <w:rFonts w:eastAsiaTheme="majorEastAsia" w:cs="Arial"/>
          <w:szCs w:val="22"/>
        </w:rPr>
        <w:t xml:space="preserve"> </w:t>
      </w:r>
      <w:r w:rsidRPr="00A21D7D">
        <w:rPr>
          <w:rFonts w:eastAsiaTheme="majorEastAsia" w:cs="Arial"/>
          <w:szCs w:val="22"/>
        </w:rPr>
        <w:t xml:space="preserve">These decisions require </w:t>
      </w:r>
      <w:r w:rsidR="00355C71">
        <w:rPr>
          <w:rFonts w:eastAsiaTheme="majorEastAsia" w:cs="Arial"/>
          <w:szCs w:val="22"/>
        </w:rPr>
        <w:t xml:space="preserve">that </w:t>
      </w:r>
      <w:r w:rsidRPr="00A21D7D">
        <w:rPr>
          <w:rFonts w:eastAsiaTheme="majorEastAsia" w:cs="Arial"/>
          <w:szCs w:val="22"/>
        </w:rPr>
        <w:t xml:space="preserve">natural justice </w:t>
      </w:r>
      <w:r w:rsidR="00355C71">
        <w:rPr>
          <w:rFonts w:eastAsiaTheme="majorEastAsia" w:cs="Arial"/>
          <w:szCs w:val="22"/>
        </w:rPr>
        <w:t xml:space="preserve">be provided </w:t>
      </w:r>
      <w:r w:rsidRPr="00A21D7D">
        <w:rPr>
          <w:rFonts w:eastAsiaTheme="majorEastAsia" w:cs="Arial"/>
          <w:szCs w:val="22"/>
        </w:rPr>
        <w:t>to both parties and the application of good decision making principles and practices including providing written reasons.</w:t>
      </w:r>
      <w:r w:rsidR="00B10E8B">
        <w:rPr>
          <w:rFonts w:eastAsiaTheme="majorEastAsia" w:cs="Arial"/>
          <w:szCs w:val="22"/>
        </w:rPr>
        <w:t xml:space="preserve"> </w:t>
      </w:r>
      <w:r w:rsidR="00355C71">
        <w:rPr>
          <w:rFonts w:eastAsiaTheme="majorEastAsia" w:cs="Arial"/>
          <w:szCs w:val="22"/>
        </w:rPr>
        <w:t>Administrative</w:t>
      </w:r>
      <w:r w:rsidR="00B10E8B">
        <w:rPr>
          <w:rFonts w:eastAsiaTheme="majorEastAsia" w:cs="Arial"/>
          <w:szCs w:val="22"/>
        </w:rPr>
        <w:t xml:space="preserve"> </w:t>
      </w:r>
      <w:r w:rsidRPr="00A21D7D">
        <w:rPr>
          <w:rFonts w:eastAsiaTheme="majorEastAsia" w:cs="Arial"/>
          <w:szCs w:val="22"/>
        </w:rPr>
        <w:t>decisions include</w:t>
      </w:r>
      <w:r w:rsidR="00E033BD">
        <w:rPr>
          <w:rFonts w:eastAsiaTheme="majorEastAsia" w:cs="Arial"/>
          <w:szCs w:val="22"/>
        </w:rPr>
        <w:t xml:space="preserve"> whether:</w:t>
      </w:r>
    </w:p>
    <w:p w14:paraId="48827D01" w14:textId="1398FDC0" w:rsidR="00E033BD" w:rsidRDefault="00126449" w:rsidP="00426167">
      <w:pPr>
        <w:pStyle w:val="ListParagraph"/>
        <w:ind w:left="851" w:hanging="284"/>
        <w:rPr>
          <w:rFonts w:eastAsiaTheme="majorEastAsia"/>
          <w:i/>
        </w:rPr>
      </w:pPr>
      <w:r w:rsidRPr="00E033BD">
        <w:rPr>
          <w:rFonts w:eastAsiaTheme="majorEastAsia"/>
        </w:rPr>
        <w:t>the complainant has shown good cause to accept a complaint made more than one year after the alleged acts of discrimination</w:t>
      </w:r>
      <w:r w:rsidR="00C91558">
        <w:rPr>
          <w:rFonts w:eastAsiaTheme="majorEastAsia"/>
        </w:rPr>
        <w:t>,</w:t>
      </w:r>
      <w:r w:rsidRPr="00E033BD">
        <w:rPr>
          <w:rFonts w:eastAsiaTheme="majorEastAsia"/>
        </w:rPr>
        <w:t xml:space="preserve"> pursuant to section 138 of the </w:t>
      </w:r>
      <w:r w:rsidR="00FC6699" w:rsidRPr="00FC6699">
        <w:rPr>
          <w:rFonts w:eastAsiaTheme="majorEastAsia"/>
          <w:i/>
        </w:rPr>
        <w:t>Anti-Discrimination Act 1991</w:t>
      </w:r>
      <w:r w:rsidR="00C91558" w:rsidRPr="00C91558">
        <w:rPr>
          <w:rFonts w:eastAsiaTheme="majorEastAsia"/>
        </w:rPr>
        <w:t>;</w:t>
      </w:r>
    </w:p>
    <w:p w14:paraId="46056CBF" w14:textId="623C3AE5" w:rsidR="00E033BD" w:rsidRPr="00E033BD" w:rsidRDefault="00126449" w:rsidP="00426167">
      <w:pPr>
        <w:pStyle w:val="ListParagraph"/>
        <w:ind w:left="851" w:hanging="284"/>
        <w:rPr>
          <w:rFonts w:eastAsiaTheme="majorEastAsia"/>
          <w:i/>
        </w:rPr>
      </w:pPr>
      <w:r w:rsidRPr="00E033BD">
        <w:rPr>
          <w:rFonts w:eastAsiaTheme="majorEastAsia"/>
        </w:rPr>
        <w:t>to reject or stay a complaint dealt with elsewhere</w:t>
      </w:r>
      <w:r w:rsidR="00C91558">
        <w:rPr>
          <w:rFonts w:eastAsiaTheme="majorEastAsia"/>
        </w:rPr>
        <w:t>,</w:t>
      </w:r>
      <w:r w:rsidRPr="00E033BD">
        <w:rPr>
          <w:rFonts w:eastAsiaTheme="majorEastAsia"/>
        </w:rPr>
        <w:t xml:space="preserve"> under section 140</w:t>
      </w:r>
      <w:r w:rsidR="00467FFA">
        <w:rPr>
          <w:rFonts w:eastAsiaTheme="majorEastAsia"/>
        </w:rPr>
        <w:t>;</w:t>
      </w:r>
    </w:p>
    <w:p w14:paraId="555200A5" w14:textId="67F69B05" w:rsidR="00E033BD" w:rsidRPr="00E033BD" w:rsidRDefault="00126449" w:rsidP="00426167">
      <w:pPr>
        <w:pStyle w:val="ListParagraph"/>
        <w:ind w:left="851" w:hanging="284"/>
        <w:rPr>
          <w:rFonts w:eastAsiaTheme="majorEastAsia"/>
          <w:i/>
        </w:rPr>
      </w:pPr>
      <w:r w:rsidRPr="00E033BD">
        <w:rPr>
          <w:rFonts w:eastAsiaTheme="majorEastAsia"/>
        </w:rPr>
        <w:t>to lapse a complaint</w:t>
      </w:r>
      <w:r w:rsidR="00C91558">
        <w:rPr>
          <w:rFonts w:eastAsiaTheme="majorEastAsia"/>
        </w:rPr>
        <w:t>,</w:t>
      </w:r>
      <w:r w:rsidRPr="00E033BD">
        <w:rPr>
          <w:rFonts w:eastAsiaTheme="majorEastAsia"/>
        </w:rPr>
        <w:t xml:space="preserve"> under sections 168 or 168A</w:t>
      </w:r>
      <w:r w:rsidR="00467FFA">
        <w:rPr>
          <w:rFonts w:eastAsiaTheme="majorEastAsia"/>
        </w:rPr>
        <w:t>;</w:t>
      </w:r>
    </w:p>
    <w:p w14:paraId="048546F1" w14:textId="7B0EABCF" w:rsidR="00E033BD" w:rsidRPr="00E033BD" w:rsidRDefault="00126449" w:rsidP="00426167">
      <w:pPr>
        <w:pStyle w:val="ListParagraph"/>
        <w:ind w:left="851" w:hanging="284"/>
        <w:rPr>
          <w:rFonts w:eastAsiaTheme="majorEastAsia"/>
          <w:i/>
        </w:rPr>
      </w:pPr>
      <w:r w:rsidRPr="00E033BD">
        <w:rPr>
          <w:rFonts w:eastAsiaTheme="majorEastAsia"/>
        </w:rPr>
        <w:t>to accept a complaint where a previous agreement has been reached</w:t>
      </w:r>
      <w:r w:rsidR="00467FFA">
        <w:rPr>
          <w:rFonts w:eastAsiaTheme="majorEastAsia"/>
        </w:rPr>
        <w:t>,</w:t>
      </w:r>
      <w:r w:rsidRPr="00E033BD">
        <w:rPr>
          <w:rFonts w:eastAsiaTheme="majorEastAsia"/>
        </w:rPr>
        <w:t xml:space="preserve"> pursuant to section 137</w:t>
      </w:r>
      <w:r w:rsidR="00467FFA">
        <w:rPr>
          <w:rFonts w:eastAsiaTheme="majorEastAsia"/>
        </w:rPr>
        <w:t>;</w:t>
      </w:r>
    </w:p>
    <w:p w14:paraId="282ABE58" w14:textId="07681824" w:rsidR="00E033BD" w:rsidRPr="00426167" w:rsidRDefault="00126449" w:rsidP="00426167">
      <w:pPr>
        <w:pStyle w:val="ListParagraph"/>
        <w:ind w:left="851" w:hanging="284"/>
        <w:rPr>
          <w:rFonts w:eastAsiaTheme="majorEastAsia"/>
          <w:i/>
        </w:rPr>
      </w:pPr>
      <w:r w:rsidRPr="00E033BD">
        <w:rPr>
          <w:rFonts w:eastAsiaTheme="majorEastAsia"/>
        </w:rPr>
        <w:t>to grant extensions of time to request referral of a complaint</w:t>
      </w:r>
      <w:r w:rsidR="00467FFA">
        <w:rPr>
          <w:rFonts w:eastAsiaTheme="majorEastAsia"/>
        </w:rPr>
        <w:t>,</w:t>
      </w:r>
      <w:r w:rsidRPr="00E033BD">
        <w:rPr>
          <w:rFonts w:eastAsiaTheme="majorEastAsia"/>
        </w:rPr>
        <w:t xml:space="preserve"> under section 166.</w:t>
      </w:r>
      <w:r w:rsidR="00B10E8B">
        <w:rPr>
          <w:rFonts w:eastAsiaTheme="majorEastAsia"/>
        </w:rPr>
        <w:t xml:space="preserve"> </w:t>
      </w:r>
      <w:r w:rsidRPr="00E033BD">
        <w:rPr>
          <w:rFonts w:eastAsiaTheme="majorEastAsia"/>
        </w:rPr>
        <w:t xml:space="preserve"> </w:t>
      </w:r>
    </w:p>
    <w:p w14:paraId="2164ED99" w14:textId="53364B55" w:rsidR="00126449" w:rsidRPr="00E033BD" w:rsidRDefault="00E033BD" w:rsidP="00E033BD">
      <w:pPr>
        <w:spacing w:after="120" w:line="240" w:lineRule="auto"/>
        <w:rPr>
          <w:rFonts w:eastAsiaTheme="majorEastAsia" w:cs="Arial"/>
          <w:i/>
          <w:szCs w:val="22"/>
        </w:rPr>
      </w:pPr>
      <w:r w:rsidRPr="00CC2FEA">
        <w:rPr>
          <w:rFonts w:eastAsiaTheme="majorEastAsia" w:cs="Arial"/>
          <w:szCs w:val="22"/>
        </w:rPr>
        <w:t>Table 10</w:t>
      </w:r>
      <w:r w:rsidR="00126449" w:rsidRPr="00CC2FEA">
        <w:rPr>
          <w:rFonts w:eastAsiaTheme="majorEastAsia" w:cs="Arial"/>
          <w:szCs w:val="22"/>
        </w:rPr>
        <w:t xml:space="preserve"> shows </w:t>
      </w:r>
      <w:r w:rsidR="008E4CAF">
        <w:rPr>
          <w:rFonts w:eastAsiaTheme="majorEastAsia" w:cs="Arial"/>
          <w:szCs w:val="22"/>
        </w:rPr>
        <w:t>we</w:t>
      </w:r>
      <w:r w:rsidR="00126449" w:rsidRPr="00CC2FEA">
        <w:rPr>
          <w:rFonts w:eastAsiaTheme="majorEastAsia" w:cs="Arial"/>
          <w:szCs w:val="22"/>
        </w:rPr>
        <w:t xml:space="preserve"> ha</w:t>
      </w:r>
      <w:r w:rsidR="008E4CAF">
        <w:rPr>
          <w:rFonts w:eastAsiaTheme="majorEastAsia" w:cs="Arial"/>
          <w:szCs w:val="22"/>
        </w:rPr>
        <w:t>ve</w:t>
      </w:r>
      <w:r w:rsidR="00126449" w:rsidRPr="00CC2FEA">
        <w:rPr>
          <w:rFonts w:eastAsiaTheme="majorEastAsia" w:cs="Arial"/>
          <w:szCs w:val="22"/>
        </w:rPr>
        <w:t xml:space="preserve"> written a significant number of decisions this year and</w:t>
      </w:r>
      <w:r w:rsidR="00355C71">
        <w:rPr>
          <w:rFonts w:eastAsiaTheme="majorEastAsia" w:cs="Arial"/>
          <w:szCs w:val="22"/>
        </w:rPr>
        <w:t>, despite the improvements in processes referred to above,</w:t>
      </w:r>
      <w:r w:rsidR="00B10E8B">
        <w:rPr>
          <w:rFonts w:eastAsiaTheme="majorEastAsia" w:cs="Arial"/>
          <w:szCs w:val="22"/>
        </w:rPr>
        <w:t xml:space="preserve"> </w:t>
      </w:r>
      <w:r w:rsidR="00126449" w:rsidRPr="00CC2FEA">
        <w:rPr>
          <w:rFonts w:eastAsiaTheme="majorEastAsia" w:cs="Arial"/>
          <w:szCs w:val="22"/>
        </w:rPr>
        <w:t>the most</w:t>
      </w:r>
      <w:r w:rsidR="00126449" w:rsidRPr="00E033BD">
        <w:rPr>
          <w:rFonts w:eastAsiaTheme="majorEastAsia" w:cs="Arial"/>
          <w:szCs w:val="22"/>
        </w:rPr>
        <w:t xml:space="preserve"> common type of decisions are out of time decisions *(s138).</w:t>
      </w:r>
      <w:r w:rsidR="00B10E8B">
        <w:rPr>
          <w:rFonts w:eastAsiaTheme="majorEastAsia" w:cs="Arial"/>
          <w:szCs w:val="22"/>
        </w:rPr>
        <w:t xml:space="preserve"> </w:t>
      </w:r>
    </w:p>
    <w:p w14:paraId="37FBD170" w14:textId="77777777" w:rsidR="00126449" w:rsidRPr="00A21D7D" w:rsidRDefault="00126449" w:rsidP="00126449">
      <w:pPr>
        <w:spacing w:after="120" w:line="240" w:lineRule="auto"/>
        <w:rPr>
          <w:rFonts w:eastAsiaTheme="majorEastAsia" w:cs="Arial"/>
          <w:i/>
          <w:szCs w:val="22"/>
        </w:rPr>
      </w:pPr>
    </w:p>
    <w:p w14:paraId="529E7AC5" w14:textId="45DA883F" w:rsidR="00126449" w:rsidRPr="00A21D7D" w:rsidRDefault="00497E96" w:rsidP="00426167">
      <w:pPr>
        <w:pStyle w:val="Caption"/>
        <w:rPr>
          <w:sz w:val="18"/>
        </w:rPr>
      </w:pPr>
      <w:r w:rsidRPr="00BE6F07">
        <w:t xml:space="preserve">Table </w:t>
      </w:r>
      <w:r w:rsidR="00E033BD" w:rsidRPr="00BE6F07">
        <w:t>10</w:t>
      </w:r>
      <w:r w:rsidR="00126449" w:rsidRPr="00BE6F07">
        <w:t>:</w:t>
      </w:r>
      <w:r w:rsidR="00B10E8B">
        <w:t xml:space="preserve"> </w:t>
      </w:r>
      <w:r w:rsidR="00126449" w:rsidRPr="00BE6F07">
        <w:t>Administrative decisions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3969"/>
        <w:gridCol w:w="1843"/>
      </w:tblGrid>
      <w:tr w:rsidR="00126449" w:rsidRPr="00A21D7D" w14:paraId="0FDDC3B4" w14:textId="77777777" w:rsidTr="00426167">
        <w:tc>
          <w:tcPr>
            <w:tcW w:w="2263" w:type="dxa"/>
          </w:tcPr>
          <w:p w14:paraId="24D8C38A" w14:textId="77777777" w:rsidR="00126449" w:rsidRPr="00A21D7D" w:rsidRDefault="00126449" w:rsidP="00426167">
            <w:pPr>
              <w:pStyle w:val="TableTextHeading"/>
            </w:pPr>
            <w:r w:rsidRPr="00A21D7D">
              <w:t>Anti-Discrimination Act</w:t>
            </w:r>
          </w:p>
        </w:tc>
        <w:tc>
          <w:tcPr>
            <w:tcW w:w="3969" w:type="dxa"/>
          </w:tcPr>
          <w:p w14:paraId="2AD25528" w14:textId="0B7978C3" w:rsidR="00126449" w:rsidRPr="00A21D7D" w:rsidRDefault="00126449" w:rsidP="00426167">
            <w:pPr>
              <w:pStyle w:val="TableTextHeading"/>
              <w:rPr>
                <w:i/>
              </w:rPr>
            </w:pPr>
            <w:r w:rsidRPr="00A21D7D">
              <w:t xml:space="preserve">Type of </w:t>
            </w:r>
            <w:r w:rsidR="00426167">
              <w:t>d</w:t>
            </w:r>
            <w:r w:rsidRPr="00A21D7D">
              <w:t>ecision</w:t>
            </w:r>
          </w:p>
        </w:tc>
        <w:tc>
          <w:tcPr>
            <w:tcW w:w="1843" w:type="dxa"/>
          </w:tcPr>
          <w:p w14:paraId="6219B912" w14:textId="2C69ABE8" w:rsidR="00126449" w:rsidRPr="00A21D7D" w:rsidRDefault="00426167" w:rsidP="00426167">
            <w:pPr>
              <w:pStyle w:val="TableTextHeading"/>
              <w:rPr>
                <w:i/>
              </w:rPr>
            </w:pPr>
            <w:r>
              <w:t>Number of d</w:t>
            </w:r>
            <w:r w:rsidR="00126449" w:rsidRPr="00A21D7D">
              <w:t>ecisions</w:t>
            </w:r>
          </w:p>
        </w:tc>
      </w:tr>
      <w:tr w:rsidR="00126449" w:rsidRPr="00A21D7D" w14:paraId="70A40E29" w14:textId="77777777" w:rsidTr="00426167">
        <w:tc>
          <w:tcPr>
            <w:tcW w:w="2263" w:type="dxa"/>
          </w:tcPr>
          <w:p w14:paraId="3CFB51E8" w14:textId="77777777" w:rsidR="00126449" w:rsidRPr="00A21D7D" w:rsidRDefault="00126449" w:rsidP="00426167">
            <w:pPr>
              <w:pStyle w:val="TableTextBody"/>
            </w:pPr>
            <w:r w:rsidRPr="00A21D7D">
              <w:t>Section 137</w:t>
            </w:r>
          </w:p>
        </w:tc>
        <w:tc>
          <w:tcPr>
            <w:tcW w:w="3969" w:type="dxa"/>
          </w:tcPr>
          <w:p w14:paraId="1081FF82" w14:textId="77777777" w:rsidR="00126449" w:rsidRPr="00A21D7D" w:rsidRDefault="00126449" w:rsidP="00426167">
            <w:pPr>
              <w:pStyle w:val="TableTextBody"/>
              <w:rPr>
                <w:i/>
              </w:rPr>
            </w:pPr>
            <w:r w:rsidRPr="00A21D7D">
              <w:t>Prior agreement not to complain</w:t>
            </w:r>
          </w:p>
        </w:tc>
        <w:tc>
          <w:tcPr>
            <w:tcW w:w="1843" w:type="dxa"/>
          </w:tcPr>
          <w:p w14:paraId="6633E9FA" w14:textId="77777777" w:rsidR="00126449" w:rsidRPr="00A21D7D" w:rsidRDefault="00126449" w:rsidP="00426167">
            <w:pPr>
              <w:pStyle w:val="TableTextBody"/>
              <w:rPr>
                <w:i/>
              </w:rPr>
            </w:pPr>
            <w:r w:rsidRPr="00A21D7D">
              <w:t>1</w:t>
            </w:r>
          </w:p>
        </w:tc>
      </w:tr>
      <w:tr w:rsidR="00126449" w:rsidRPr="00A21D7D" w14:paraId="55606039" w14:textId="77777777" w:rsidTr="00426167">
        <w:tc>
          <w:tcPr>
            <w:tcW w:w="2263" w:type="dxa"/>
          </w:tcPr>
          <w:p w14:paraId="60C01BC6" w14:textId="77777777" w:rsidR="00126449" w:rsidRPr="00A21D7D" w:rsidRDefault="00126449" w:rsidP="00426167">
            <w:pPr>
              <w:pStyle w:val="TableTextBody"/>
            </w:pPr>
            <w:r w:rsidRPr="00A21D7D">
              <w:t>Section 138</w:t>
            </w:r>
          </w:p>
        </w:tc>
        <w:tc>
          <w:tcPr>
            <w:tcW w:w="3969" w:type="dxa"/>
          </w:tcPr>
          <w:p w14:paraId="44F675E3" w14:textId="77777777" w:rsidR="00126449" w:rsidRPr="00A21D7D" w:rsidRDefault="00126449" w:rsidP="00426167">
            <w:pPr>
              <w:pStyle w:val="TableTextBody"/>
              <w:rPr>
                <w:i/>
              </w:rPr>
            </w:pPr>
            <w:r w:rsidRPr="00A21D7D">
              <w:t>Good cause for out of time allegations</w:t>
            </w:r>
          </w:p>
        </w:tc>
        <w:tc>
          <w:tcPr>
            <w:tcW w:w="1843" w:type="dxa"/>
          </w:tcPr>
          <w:p w14:paraId="3E156214" w14:textId="77777777" w:rsidR="00126449" w:rsidRPr="00A21D7D" w:rsidRDefault="00126449" w:rsidP="00426167">
            <w:pPr>
              <w:pStyle w:val="TableTextBody"/>
              <w:rPr>
                <w:i/>
              </w:rPr>
            </w:pPr>
            <w:r w:rsidRPr="00A21D7D">
              <w:t>65</w:t>
            </w:r>
          </w:p>
        </w:tc>
      </w:tr>
      <w:tr w:rsidR="00126449" w:rsidRPr="00A21D7D" w14:paraId="14F103B4" w14:textId="77777777" w:rsidTr="00426167">
        <w:tc>
          <w:tcPr>
            <w:tcW w:w="2263" w:type="dxa"/>
          </w:tcPr>
          <w:p w14:paraId="6D584511" w14:textId="77777777" w:rsidR="00126449" w:rsidRPr="00A21D7D" w:rsidRDefault="00126449" w:rsidP="00426167">
            <w:pPr>
              <w:pStyle w:val="TableTextBody"/>
            </w:pPr>
            <w:r w:rsidRPr="00A21D7D">
              <w:t>Section 139</w:t>
            </w:r>
          </w:p>
        </w:tc>
        <w:tc>
          <w:tcPr>
            <w:tcW w:w="3969" w:type="dxa"/>
          </w:tcPr>
          <w:p w14:paraId="6E5E9FA0" w14:textId="77777777" w:rsidR="00126449" w:rsidRPr="00A21D7D" w:rsidRDefault="00126449" w:rsidP="00426167">
            <w:pPr>
              <w:pStyle w:val="TableTextBody"/>
              <w:rPr>
                <w:i/>
              </w:rPr>
            </w:pPr>
            <w:r w:rsidRPr="00A21D7D">
              <w:t>Reject</w:t>
            </w:r>
          </w:p>
        </w:tc>
        <w:tc>
          <w:tcPr>
            <w:tcW w:w="1843" w:type="dxa"/>
          </w:tcPr>
          <w:p w14:paraId="3F1EA01B" w14:textId="77777777" w:rsidR="00126449" w:rsidRPr="00A21D7D" w:rsidRDefault="00126449" w:rsidP="00426167">
            <w:pPr>
              <w:pStyle w:val="TableTextBody"/>
              <w:rPr>
                <w:i/>
              </w:rPr>
            </w:pPr>
            <w:r w:rsidRPr="00A21D7D">
              <w:t>6</w:t>
            </w:r>
          </w:p>
        </w:tc>
      </w:tr>
      <w:tr w:rsidR="00126449" w:rsidRPr="00A21D7D" w14:paraId="1DCCB593" w14:textId="77777777" w:rsidTr="00426167">
        <w:tc>
          <w:tcPr>
            <w:tcW w:w="2263" w:type="dxa"/>
          </w:tcPr>
          <w:p w14:paraId="7D27C656" w14:textId="77777777" w:rsidR="00126449" w:rsidRPr="00A21D7D" w:rsidRDefault="00126449" w:rsidP="00426167">
            <w:pPr>
              <w:pStyle w:val="TableTextBody"/>
            </w:pPr>
            <w:r w:rsidRPr="00A21D7D">
              <w:t>Section 140</w:t>
            </w:r>
          </w:p>
        </w:tc>
        <w:tc>
          <w:tcPr>
            <w:tcW w:w="3969" w:type="dxa"/>
          </w:tcPr>
          <w:p w14:paraId="79F0C90D" w14:textId="77777777" w:rsidR="00126449" w:rsidRPr="00A21D7D" w:rsidRDefault="00126449" w:rsidP="00426167">
            <w:pPr>
              <w:pStyle w:val="TableTextBody"/>
              <w:rPr>
                <w:i/>
              </w:rPr>
            </w:pPr>
            <w:r w:rsidRPr="00A21D7D">
              <w:t>Reject or stay</w:t>
            </w:r>
          </w:p>
        </w:tc>
        <w:tc>
          <w:tcPr>
            <w:tcW w:w="1843" w:type="dxa"/>
          </w:tcPr>
          <w:p w14:paraId="255DE2A6" w14:textId="77777777" w:rsidR="00126449" w:rsidRPr="00A21D7D" w:rsidRDefault="00126449" w:rsidP="00426167">
            <w:pPr>
              <w:pStyle w:val="TableTextBody"/>
              <w:rPr>
                <w:i/>
              </w:rPr>
            </w:pPr>
            <w:r w:rsidRPr="00A21D7D">
              <w:t>12</w:t>
            </w:r>
          </w:p>
        </w:tc>
      </w:tr>
      <w:tr w:rsidR="00126449" w:rsidRPr="00A21D7D" w14:paraId="5CB1255A" w14:textId="77777777" w:rsidTr="00426167">
        <w:tc>
          <w:tcPr>
            <w:tcW w:w="2263" w:type="dxa"/>
          </w:tcPr>
          <w:p w14:paraId="515E95E1" w14:textId="77777777" w:rsidR="00126449" w:rsidRPr="00A21D7D" w:rsidRDefault="00126449" w:rsidP="00426167">
            <w:pPr>
              <w:pStyle w:val="TableTextBody"/>
            </w:pPr>
            <w:r w:rsidRPr="00A21D7D">
              <w:t>Section 166</w:t>
            </w:r>
          </w:p>
        </w:tc>
        <w:tc>
          <w:tcPr>
            <w:tcW w:w="3969" w:type="dxa"/>
          </w:tcPr>
          <w:p w14:paraId="34A8AB89" w14:textId="77777777" w:rsidR="00126449" w:rsidRPr="00A21D7D" w:rsidRDefault="00126449" w:rsidP="00426167">
            <w:pPr>
              <w:pStyle w:val="TableTextBody"/>
              <w:rPr>
                <w:i/>
              </w:rPr>
            </w:pPr>
            <w:r w:rsidRPr="00A21D7D">
              <w:t>Extension of time for referral</w:t>
            </w:r>
          </w:p>
        </w:tc>
        <w:tc>
          <w:tcPr>
            <w:tcW w:w="1843" w:type="dxa"/>
          </w:tcPr>
          <w:p w14:paraId="45C97598" w14:textId="77777777" w:rsidR="00126449" w:rsidRPr="00A21D7D" w:rsidRDefault="00126449" w:rsidP="00426167">
            <w:pPr>
              <w:pStyle w:val="TableTextBody"/>
              <w:rPr>
                <w:i/>
              </w:rPr>
            </w:pPr>
            <w:r w:rsidRPr="00A21D7D">
              <w:t>7</w:t>
            </w:r>
          </w:p>
        </w:tc>
      </w:tr>
      <w:tr w:rsidR="00126449" w:rsidRPr="00A21D7D" w14:paraId="66AA2A2D" w14:textId="77777777" w:rsidTr="00426167">
        <w:tc>
          <w:tcPr>
            <w:tcW w:w="2263" w:type="dxa"/>
          </w:tcPr>
          <w:p w14:paraId="12F2E56F" w14:textId="77777777" w:rsidR="00126449" w:rsidRPr="00A21D7D" w:rsidRDefault="00126449" w:rsidP="00426167">
            <w:pPr>
              <w:pStyle w:val="TableTextBody"/>
            </w:pPr>
            <w:r w:rsidRPr="00A21D7D">
              <w:t>Section 168</w:t>
            </w:r>
          </w:p>
        </w:tc>
        <w:tc>
          <w:tcPr>
            <w:tcW w:w="3969" w:type="dxa"/>
          </w:tcPr>
          <w:p w14:paraId="0B5890D8" w14:textId="77777777" w:rsidR="00126449" w:rsidRPr="00A21D7D" w:rsidRDefault="00126449" w:rsidP="00426167">
            <w:pPr>
              <w:pStyle w:val="TableTextBody"/>
              <w:rPr>
                <w:i/>
              </w:rPr>
            </w:pPr>
            <w:r w:rsidRPr="00A21D7D">
              <w:t>Lapse (frivolous etc)</w:t>
            </w:r>
          </w:p>
        </w:tc>
        <w:tc>
          <w:tcPr>
            <w:tcW w:w="1843" w:type="dxa"/>
          </w:tcPr>
          <w:p w14:paraId="5FB966D0" w14:textId="77777777" w:rsidR="00126449" w:rsidRPr="00A21D7D" w:rsidRDefault="00126449" w:rsidP="00426167">
            <w:pPr>
              <w:pStyle w:val="TableTextBody"/>
              <w:rPr>
                <w:i/>
              </w:rPr>
            </w:pPr>
            <w:r w:rsidRPr="00A21D7D">
              <w:t>14</w:t>
            </w:r>
          </w:p>
        </w:tc>
      </w:tr>
      <w:tr w:rsidR="00126449" w:rsidRPr="00A21D7D" w14:paraId="065C56F7" w14:textId="77777777" w:rsidTr="00426167">
        <w:tc>
          <w:tcPr>
            <w:tcW w:w="2263" w:type="dxa"/>
          </w:tcPr>
          <w:p w14:paraId="292100C7" w14:textId="77777777" w:rsidR="00126449" w:rsidRPr="00A21D7D" w:rsidRDefault="00126449" w:rsidP="00426167">
            <w:pPr>
              <w:pStyle w:val="TableTextBody"/>
            </w:pPr>
            <w:r w:rsidRPr="00A21D7D">
              <w:t>Section 168A</w:t>
            </w:r>
          </w:p>
        </w:tc>
        <w:tc>
          <w:tcPr>
            <w:tcW w:w="3969" w:type="dxa"/>
          </w:tcPr>
          <w:p w14:paraId="72279281" w14:textId="77777777" w:rsidR="00126449" w:rsidRPr="00A21D7D" w:rsidRDefault="00126449" w:rsidP="00426167">
            <w:pPr>
              <w:pStyle w:val="TableTextBody"/>
              <w:rPr>
                <w:i/>
              </w:rPr>
            </w:pPr>
            <w:r w:rsidRPr="00A21D7D">
              <w:t>Lapse (dealt with elsewhere)</w:t>
            </w:r>
          </w:p>
        </w:tc>
        <w:tc>
          <w:tcPr>
            <w:tcW w:w="1843" w:type="dxa"/>
          </w:tcPr>
          <w:p w14:paraId="732C5240" w14:textId="77777777" w:rsidR="00126449" w:rsidRPr="00A21D7D" w:rsidRDefault="00126449" w:rsidP="00426167">
            <w:pPr>
              <w:pStyle w:val="TableTextBody"/>
              <w:rPr>
                <w:i/>
              </w:rPr>
            </w:pPr>
            <w:r w:rsidRPr="00A21D7D">
              <w:t>4</w:t>
            </w:r>
          </w:p>
        </w:tc>
      </w:tr>
      <w:tr w:rsidR="00126449" w:rsidRPr="00A21D7D" w14:paraId="28CC12F2" w14:textId="77777777" w:rsidTr="00426167">
        <w:tc>
          <w:tcPr>
            <w:tcW w:w="2263" w:type="dxa"/>
          </w:tcPr>
          <w:p w14:paraId="1F8102FF" w14:textId="77777777" w:rsidR="00126449" w:rsidRPr="00A21D7D" w:rsidRDefault="00126449" w:rsidP="00426167">
            <w:pPr>
              <w:pStyle w:val="TableTextBody"/>
            </w:pPr>
            <w:r w:rsidRPr="00A21D7D">
              <w:t>Other</w:t>
            </w:r>
          </w:p>
        </w:tc>
        <w:tc>
          <w:tcPr>
            <w:tcW w:w="3969" w:type="dxa"/>
          </w:tcPr>
          <w:p w14:paraId="335CAC22" w14:textId="77777777" w:rsidR="00126449" w:rsidRPr="00A21D7D" w:rsidRDefault="00126449" w:rsidP="00426167">
            <w:pPr>
              <w:pStyle w:val="TableTextBody"/>
              <w:rPr>
                <w:i/>
              </w:rPr>
            </w:pPr>
            <w:r w:rsidRPr="00A21D7D">
              <w:t>Jurisdiction</w:t>
            </w:r>
          </w:p>
        </w:tc>
        <w:tc>
          <w:tcPr>
            <w:tcW w:w="1843" w:type="dxa"/>
          </w:tcPr>
          <w:p w14:paraId="0544505F" w14:textId="77777777" w:rsidR="00126449" w:rsidRPr="00A21D7D" w:rsidRDefault="00126449" w:rsidP="00426167">
            <w:pPr>
              <w:pStyle w:val="TableTextBody"/>
              <w:rPr>
                <w:i/>
              </w:rPr>
            </w:pPr>
            <w:r w:rsidRPr="00A21D7D">
              <w:t>1</w:t>
            </w:r>
          </w:p>
        </w:tc>
      </w:tr>
    </w:tbl>
    <w:p w14:paraId="37FF9DDD" w14:textId="77777777" w:rsidR="00126449" w:rsidRPr="00A21D7D" w:rsidRDefault="00126449" w:rsidP="00426167">
      <w:pPr>
        <w:pStyle w:val="Note"/>
      </w:pPr>
      <w:r w:rsidRPr="00A21D7D">
        <w:t>*some decisions consider a number of sections</w:t>
      </w:r>
    </w:p>
    <w:p w14:paraId="6457F9DB" w14:textId="77777777" w:rsidR="00126449" w:rsidRPr="00A21D7D" w:rsidRDefault="00126449" w:rsidP="00126449">
      <w:pPr>
        <w:spacing w:after="120" w:line="240" w:lineRule="auto"/>
        <w:rPr>
          <w:rFonts w:cs="Arial"/>
          <w:b/>
          <w:i/>
          <w:szCs w:val="22"/>
        </w:rPr>
      </w:pPr>
    </w:p>
    <w:p w14:paraId="0F918C22" w14:textId="77777777" w:rsidR="003B6F9D" w:rsidRDefault="003B6F9D">
      <w:pPr>
        <w:ind w:right="0"/>
        <w:rPr>
          <w:rFonts w:eastAsiaTheme="majorEastAsia" w:cstheme="majorBidi"/>
          <w:color w:val="000000" w:themeColor="text1"/>
          <w:sz w:val="36"/>
          <w:szCs w:val="26"/>
        </w:rPr>
      </w:pPr>
      <w:bookmarkStart w:id="63" w:name="_Toc49508900"/>
      <w:r>
        <w:br w:type="page"/>
      </w:r>
    </w:p>
    <w:p w14:paraId="1E1926D8" w14:textId="03D7F9A9" w:rsidR="00126449" w:rsidRPr="00A21D7D" w:rsidRDefault="00126449" w:rsidP="007D0F77">
      <w:pPr>
        <w:pStyle w:val="Heading2"/>
        <w:rPr>
          <w:i/>
        </w:rPr>
      </w:pPr>
      <w:r w:rsidRPr="00A21D7D">
        <w:lastRenderedPageBreak/>
        <w:t>Timeliness</w:t>
      </w:r>
      <w:bookmarkEnd w:id="63"/>
    </w:p>
    <w:p w14:paraId="45F3EF9B" w14:textId="3AA42AD1" w:rsidR="00126449" w:rsidRPr="00A21D7D" w:rsidRDefault="00D049DE" w:rsidP="00126449">
      <w:pPr>
        <w:spacing w:before="120" w:after="120" w:line="240" w:lineRule="auto"/>
        <w:rPr>
          <w:rFonts w:cs="Arial"/>
          <w:i/>
          <w:lang w:eastAsia="en-AU"/>
        </w:rPr>
      </w:pPr>
      <w:r>
        <w:rPr>
          <w:rFonts w:cs="Arial"/>
          <w:lang w:eastAsia="en-AU"/>
        </w:rPr>
        <w:t>In 2019-</w:t>
      </w:r>
      <w:r w:rsidR="00126449" w:rsidRPr="00A21D7D">
        <w:rPr>
          <w:rFonts w:cs="Arial"/>
          <w:lang w:eastAsia="en-AU"/>
        </w:rPr>
        <w:t xml:space="preserve">20, </w:t>
      </w:r>
      <w:r w:rsidR="008E4CAF">
        <w:rPr>
          <w:rFonts w:cs="Arial"/>
          <w:lang w:eastAsia="en-AU"/>
        </w:rPr>
        <w:t>we</w:t>
      </w:r>
      <w:r w:rsidR="00126449" w:rsidRPr="00A21D7D">
        <w:rPr>
          <w:rFonts w:cs="Arial"/>
          <w:lang w:eastAsia="en-AU"/>
        </w:rPr>
        <w:t xml:space="preserve"> continued to deliver an efficient and accessible complaint management service</w:t>
      </w:r>
      <w:r w:rsidR="00E033BD">
        <w:rPr>
          <w:rFonts w:cs="Arial"/>
          <w:lang w:eastAsia="en-AU"/>
        </w:rPr>
        <w:t>. H</w:t>
      </w:r>
      <w:r w:rsidR="00126449" w:rsidRPr="00A21D7D">
        <w:rPr>
          <w:rFonts w:cs="Arial"/>
          <w:lang w:eastAsia="en-AU"/>
        </w:rPr>
        <w:t>owever</w:t>
      </w:r>
      <w:r w:rsidR="00467FFA">
        <w:rPr>
          <w:rFonts w:cs="Arial"/>
          <w:lang w:eastAsia="en-AU"/>
        </w:rPr>
        <w:t>,</w:t>
      </w:r>
      <w:r w:rsidR="00126449" w:rsidRPr="00A21D7D">
        <w:rPr>
          <w:rFonts w:cs="Arial"/>
          <w:lang w:eastAsia="en-AU"/>
        </w:rPr>
        <w:t xml:space="preserve"> due to the</w:t>
      </w:r>
      <w:r w:rsidR="00E033BD">
        <w:rPr>
          <w:rFonts w:cs="Arial"/>
          <w:lang w:eastAsia="en-AU"/>
        </w:rPr>
        <w:t xml:space="preserve"> increase in complaints and </w:t>
      </w:r>
      <w:r w:rsidR="00126449" w:rsidRPr="00A21D7D">
        <w:rPr>
          <w:rFonts w:cs="Arial"/>
          <w:lang w:eastAsia="en-AU"/>
        </w:rPr>
        <w:t>unplanned staff absences, combined with the introduction of a new complaint system and the C</w:t>
      </w:r>
      <w:r w:rsidR="00E033BD">
        <w:rPr>
          <w:rFonts w:cs="Arial"/>
          <w:lang w:eastAsia="en-AU"/>
        </w:rPr>
        <w:t>OVID</w:t>
      </w:r>
      <w:r w:rsidR="00126449" w:rsidRPr="00A21D7D">
        <w:rPr>
          <w:rFonts w:cs="Arial"/>
          <w:lang w:eastAsia="en-AU"/>
        </w:rPr>
        <w:t>-19 pandemic, a backlog in complaints developed</w:t>
      </w:r>
      <w:r w:rsidR="00E033BD">
        <w:rPr>
          <w:rFonts w:cs="Arial"/>
          <w:lang w:eastAsia="en-AU"/>
        </w:rPr>
        <w:t xml:space="preserve">. </w:t>
      </w:r>
      <w:r w:rsidR="008E4CAF">
        <w:rPr>
          <w:rFonts w:cs="Arial"/>
          <w:lang w:eastAsia="en-AU"/>
        </w:rPr>
        <w:t>We</w:t>
      </w:r>
      <w:r w:rsidR="00126449" w:rsidRPr="00A21D7D">
        <w:rPr>
          <w:rFonts w:cs="Arial"/>
          <w:lang w:eastAsia="en-AU"/>
        </w:rPr>
        <w:t xml:space="preserve"> </w:t>
      </w:r>
      <w:r w:rsidR="00E033BD">
        <w:rPr>
          <w:rFonts w:cs="Arial"/>
          <w:lang w:eastAsia="en-AU"/>
        </w:rPr>
        <w:t xml:space="preserve">also </w:t>
      </w:r>
      <w:r w:rsidR="00126449" w:rsidRPr="00A21D7D">
        <w:rPr>
          <w:rFonts w:cs="Arial"/>
          <w:lang w:eastAsia="en-AU"/>
        </w:rPr>
        <w:t xml:space="preserve">did not meet all of </w:t>
      </w:r>
      <w:r w:rsidR="008E4CAF">
        <w:rPr>
          <w:rFonts w:cs="Arial"/>
          <w:lang w:eastAsia="en-AU"/>
        </w:rPr>
        <w:t>our</w:t>
      </w:r>
      <w:r w:rsidR="00126449" w:rsidRPr="00A21D7D">
        <w:rPr>
          <w:rFonts w:cs="Arial"/>
          <w:lang w:eastAsia="en-AU"/>
        </w:rPr>
        <w:t xml:space="preserve"> timeliness targets</w:t>
      </w:r>
      <w:r w:rsidR="00E033BD">
        <w:rPr>
          <w:rFonts w:cs="Arial"/>
          <w:lang w:eastAsia="en-AU"/>
        </w:rPr>
        <w:t>,</w:t>
      </w:r>
      <w:r w:rsidR="00126449" w:rsidRPr="00A21D7D">
        <w:rPr>
          <w:rFonts w:cs="Arial"/>
          <w:lang w:eastAsia="en-AU"/>
        </w:rPr>
        <w:t xml:space="preserve"> particularly</w:t>
      </w:r>
      <w:r w:rsidR="00E033BD">
        <w:rPr>
          <w:rFonts w:cs="Arial"/>
          <w:lang w:eastAsia="en-AU"/>
        </w:rPr>
        <w:t xml:space="preserve"> in relation to</w:t>
      </w:r>
      <w:r w:rsidR="00126449" w:rsidRPr="00A21D7D">
        <w:rPr>
          <w:rFonts w:cs="Arial"/>
          <w:lang w:eastAsia="en-AU"/>
        </w:rPr>
        <w:t xml:space="preserve"> the initial notification to the complainant </w:t>
      </w:r>
      <w:r w:rsidR="00467FFA">
        <w:rPr>
          <w:rFonts w:cs="Arial"/>
          <w:lang w:eastAsia="en-AU"/>
        </w:rPr>
        <w:t xml:space="preserve">regarding </w:t>
      </w:r>
      <w:r w:rsidR="00126449" w:rsidRPr="00A21D7D">
        <w:rPr>
          <w:rFonts w:cs="Arial"/>
          <w:lang w:eastAsia="en-AU"/>
        </w:rPr>
        <w:t>whether their complaint had been accepted.</w:t>
      </w:r>
      <w:r w:rsidR="00B10E8B">
        <w:rPr>
          <w:rFonts w:cs="Arial"/>
          <w:lang w:eastAsia="en-AU"/>
        </w:rPr>
        <w:t xml:space="preserve"> </w:t>
      </w:r>
    </w:p>
    <w:p w14:paraId="3A3BDD8F" w14:textId="499CCBFF" w:rsidR="00126449" w:rsidRPr="00A21D7D" w:rsidRDefault="00126449" w:rsidP="00126449">
      <w:pPr>
        <w:spacing w:before="120" w:after="120" w:line="240" w:lineRule="auto"/>
        <w:rPr>
          <w:rFonts w:cs="Arial"/>
          <w:i/>
          <w:lang w:eastAsia="en-AU"/>
        </w:rPr>
      </w:pPr>
      <w:r w:rsidRPr="00A21D7D">
        <w:rPr>
          <w:rFonts w:cs="Arial"/>
          <w:lang w:eastAsia="en-AU"/>
        </w:rPr>
        <w:t xml:space="preserve">Despite these challenges, </w:t>
      </w:r>
      <w:r w:rsidR="008E4CAF">
        <w:rPr>
          <w:rFonts w:cs="Arial"/>
          <w:lang w:eastAsia="en-AU"/>
        </w:rPr>
        <w:t>our</w:t>
      </w:r>
      <w:r w:rsidRPr="00A21D7D">
        <w:rPr>
          <w:rFonts w:cs="Arial"/>
          <w:lang w:eastAsia="en-AU"/>
        </w:rPr>
        <w:t xml:space="preserve"> complaint management team provided respectful and timely communication with complainants about the status of their complaint, including anticipated delays.</w:t>
      </w:r>
      <w:r w:rsidR="00B10E8B">
        <w:rPr>
          <w:rFonts w:cs="Arial"/>
          <w:lang w:eastAsia="en-AU"/>
        </w:rPr>
        <w:t xml:space="preserve"> </w:t>
      </w:r>
    </w:p>
    <w:p w14:paraId="25AF7F08" w14:textId="0DEC1EB7" w:rsidR="00126449" w:rsidRPr="00A21D7D" w:rsidRDefault="00126449" w:rsidP="00126449">
      <w:pPr>
        <w:spacing w:before="120" w:after="120" w:line="240" w:lineRule="auto"/>
        <w:rPr>
          <w:rFonts w:cs="Arial"/>
          <w:i/>
          <w:lang w:eastAsia="en-AU"/>
        </w:rPr>
      </w:pPr>
      <w:r w:rsidRPr="00A21D7D">
        <w:rPr>
          <w:rFonts w:cs="Arial"/>
          <w:lang w:eastAsia="en-AU"/>
        </w:rPr>
        <w:t xml:space="preserve">Although </w:t>
      </w:r>
      <w:r w:rsidR="008E4CAF">
        <w:rPr>
          <w:rFonts w:cs="Arial"/>
          <w:lang w:eastAsia="en-AU"/>
        </w:rPr>
        <w:t>our</w:t>
      </w:r>
      <w:r w:rsidRPr="00A21D7D">
        <w:rPr>
          <w:rFonts w:cs="Arial"/>
          <w:lang w:eastAsia="en-AU"/>
        </w:rPr>
        <w:t xml:space="preserve"> complaint management team were under high pressure from </w:t>
      </w:r>
      <w:r w:rsidR="00E033BD">
        <w:rPr>
          <w:rFonts w:cs="Arial"/>
          <w:lang w:eastAsia="en-AU"/>
        </w:rPr>
        <w:t xml:space="preserve">increased </w:t>
      </w:r>
      <w:r w:rsidRPr="00A21D7D">
        <w:rPr>
          <w:rFonts w:cs="Arial"/>
          <w:lang w:eastAsia="en-AU"/>
        </w:rPr>
        <w:t xml:space="preserve">complaint numbers, they acted expeditiously in relation to urgent human rights complaints, sometimes receiving and resolving them within days of lodgement. </w:t>
      </w:r>
    </w:p>
    <w:p w14:paraId="58A925B4" w14:textId="6BEA77F3" w:rsidR="00126449" w:rsidRPr="00A21D7D" w:rsidRDefault="00E033BD" w:rsidP="00126449">
      <w:pPr>
        <w:spacing w:before="120" w:after="120" w:line="240" w:lineRule="auto"/>
        <w:rPr>
          <w:rFonts w:cs="Arial"/>
          <w:i/>
          <w:lang w:eastAsia="en-AU"/>
        </w:rPr>
      </w:pPr>
      <w:r>
        <w:rPr>
          <w:rFonts w:cs="Arial"/>
          <w:lang w:eastAsia="en-AU"/>
        </w:rPr>
        <w:t xml:space="preserve">A total of </w:t>
      </w:r>
      <w:r w:rsidR="00126449" w:rsidRPr="00A21D7D">
        <w:rPr>
          <w:rFonts w:cs="Arial"/>
          <w:lang w:eastAsia="en-AU"/>
        </w:rPr>
        <w:t xml:space="preserve">63% of complaints were finalised within three months from assessment notification, and a further 28% were finalised within six months. This means a total of 91% of complaints were finalised within six months of acceptance. </w:t>
      </w:r>
    </w:p>
    <w:p w14:paraId="6C185563" w14:textId="12D42786" w:rsidR="00126449" w:rsidRPr="00A21D7D" w:rsidRDefault="00E033BD" w:rsidP="00126449">
      <w:pPr>
        <w:spacing w:before="120" w:after="120" w:line="240" w:lineRule="auto"/>
        <w:rPr>
          <w:rFonts w:cs="Arial"/>
          <w:i/>
          <w:lang w:eastAsia="en-AU"/>
        </w:rPr>
      </w:pPr>
      <w:r>
        <w:rPr>
          <w:rFonts w:cs="Arial"/>
          <w:lang w:eastAsia="en-AU"/>
        </w:rPr>
        <w:t>Thirty-nine per cent*</w:t>
      </w:r>
      <w:r w:rsidR="00126449" w:rsidRPr="00A21D7D">
        <w:rPr>
          <w:rFonts w:cs="Arial"/>
          <w:lang w:eastAsia="en-AU"/>
        </w:rPr>
        <w:t xml:space="preserve"> of accepted complaints were assessed and notified within 28 days of lodgement</w:t>
      </w:r>
      <w:r>
        <w:rPr>
          <w:rFonts w:cs="Arial"/>
          <w:lang w:eastAsia="en-AU"/>
        </w:rPr>
        <w:t>,</w:t>
      </w:r>
      <w:r w:rsidR="00126449" w:rsidRPr="00A21D7D">
        <w:rPr>
          <w:rFonts w:cs="Arial"/>
          <w:lang w:eastAsia="en-AU"/>
        </w:rPr>
        <w:t xml:space="preserve"> which was well below </w:t>
      </w:r>
      <w:r w:rsidR="008E4CAF">
        <w:rPr>
          <w:rFonts w:cs="Arial"/>
          <w:lang w:eastAsia="en-AU"/>
        </w:rPr>
        <w:t>our</w:t>
      </w:r>
      <w:r w:rsidR="00126449" w:rsidRPr="00A21D7D">
        <w:rPr>
          <w:rFonts w:cs="Arial"/>
          <w:lang w:eastAsia="en-AU"/>
        </w:rPr>
        <w:t xml:space="preserve"> target of 60%.</w:t>
      </w:r>
      <w:r w:rsidR="00B10E8B">
        <w:rPr>
          <w:rFonts w:cs="Arial"/>
          <w:lang w:eastAsia="en-AU"/>
        </w:rPr>
        <w:t xml:space="preserve"> </w:t>
      </w:r>
      <w:r w:rsidR="00126449" w:rsidRPr="00A21D7D">
        <w:rPr>
          <w:rFonts w:cs="Arial"/>
          <w:lang w:eastAsia="en-AU"/>
        </w:rPr>
        <w:t>This reflects the complaint backlog that developed this year, as complaints could not be allocated to complaint handlers within the statutory time-frame.</w:t>
      </w:r>
      <w:r w:rsidR="00B10E8B">
        <w:rPr>
          <w:rFonts w:cs="Arial"/>
          <w:lang w:eastAsia="en-AU"/>
        </w:rPr>
        <w:t xml:space="preserve"> </w:t>
      </w:r>
      <w:r w:rsidR="00126449" w:rsidRPr="00A21D7D">
        <w:rPr>
          <w:rFonts w:cs="Arial"/>
          <w:lang w:eastAsia="en-AU"/>
        </w:rPr>
        <w:t>As referred to above, strategies have been developed to manage the backlog including temporary recruitment of staff and early identification of complaints that are not covered by the Act</w:t>
      </w:r>
      <w:r w:rsidR="00D04CDB">
        <w:rPr>
          <w:rFonts w:cs="Arial"/>
          <w:lang w:eastAsia="en-AU"/>
        </w:rPr>
        <w:t>s</w:t>
      </w:r>
      <w:r w:rsidR="00126449" w:rsidRPr="00A21D7D">
        <w:rPr>
          <w:rFonts w:cs="Arial"/>
          <w:lang w:eastAsia="en-AU"/>
        </w:rPr>
        <w:t xml:space="preserve"> </w:t>
      </w:r>
      <w:r w:rsidR="00187F1A">
        <w:rPr>
          <w:rFonts w:cs="Arial"/>
          <w:lang w:eastAsia="en-AU"/>
        </w:rPr>
        <w:t>which can be</w:t>
      </w:r>
      <w:r w:rsidR="00126449" w:rsidRPr="00A21D7D">
        <w:rPr>
          <w:rFonts w:cs="Arial"/>
          <w:lang w:eastAsia="en-AU"/>
        </w:rPr>
        <w:t xml:space="preserve"> dealt with early where possible.</w:t>
      </w:r>
      <w:r w:rsidR="00B10E8B">
        <w:rPr>
          <w:rFonts w:cs="Arial"/>
          <w:lang w:eastAsia="en-AU"/>
        </w:rPr>
        <w:t xml:space="preserve"> </w:t>
      </w:r>
    </w:p>
    <w:p w14:paraId="7C909F7D" w14:textId="6408D06F" w:rsidR="00126449" w:rsidRPr="00A21D7D" w:rsidRDefault="00126449" w:rsidP="00126449">
      <w:pPr>
        <w:spacing w:before="120" w:after="120" w:line="240" w:lineRule="auto"/>
        <w:rPr>
          <w:rFonts w:cs="Arial"/>
          <w:i/>
          <w:lang w:eastAsia="en-AU"/>
        </w:rPr>
      </w:pPr>
      <w:r w:rsidRPr="00A21D7D">
        <w:rPr>
          <w:rFonts w:cs="Arial"/>
          <w:lang w:eastAsia="en-AU"/>
        </w:rPr>
        <w:t>Despite the delays in notification of complaints, 73% of accepted complaints reached conference within the 42-day statutory timeframe from notification of decision until conciliation conference.</w:t>
      </w:r>
      <w:r w:rsidR="00B10E8B">
        <w:rPr>
          <w:rFonts w:cs="Arial"/>
          <w:lang w:eastAsia="en-AU"/>
        </w:rPr>
        <w:t xml:space="preserve"> </w:t>
      </w:r>
      <w:r w:rsidRPr="00A21D7D">
        <w:rPr>
          <w:rFonts w:cs="Arial"/>
          <w:lang w:eastAsia="en-AU"/>
        </w:rPr>
        <w:t xml:space="preserve">This exceeded </w:t>
      </w:r>
      <w:r w:rsidR="007335BF">
        <w:rPr>
          <w:rFonts w:cs="Arial"/>
          <w:lang w:eastAsia="en-AU"/>
        </w:rPr>
        <w:t>our</w:t>
      </w:r>
      <w:r w:rsidRPr="00A21D7D">
        <w:rPr>
          <w:rFonts w:cs="Arial"/>
          <w:lang w:eastAsia="en-AU"/>
        </w:rPr>
        <w:t xml:space="preserve"> target of 70%</w:t>
      </w:r>
      <w:r w:rsidR="007335BF">
        <w:rPr>
          <w:rFonts w:cs="Arial"/>
          <w:lang w:eastAsia="en-AU"/>
        </w:rPr>
        <w:t xml:space="preserve"> and</w:t>
      </w:r>
      <w:r w:rsidRPr="00A21D7D">
        <w:rPr>
          <w:rFonts w:cs="Arial"/>
          <w:lang w:eastAsia="en-AU"/>
        </w:rPr>
        <w:t xml:space="preserve"> demonstrates that once complaints were allocated to complaint handlers, they were managed efficiently and with minimum delay.</w:t>
      </w:r>
      <w:r w:rsidR="00B10E8B">
        <w:rPr>
          <w:rFonts w:cs="Arial"/>
          <w:lang w:eastAsia="en-AU"/>
        </w:rPr>
        <w:t xml:space="preserve"> </w:t>
      </w:r>
    </w:p>
    <w:p w14:paraId="5343673C" w14:textId="5E3521F1" w:rsidR="00126449" w:rsidRPr="00A21D7D" w:rsidRDefault="007335BF" w:rsidP="00126449">
      <w:pPr>
        <w:spacing w:before="120" w:after="120" w:line="240" w:lineRule="auto"/>
        <w:rPr>
          <w:rFonts w:cs="Arial"/>
          <w:i/>
          <w:lang w:eastAsia="en-AU"/>
        </w:rPr>
      </w:pPr>
      <w:r>
        <w:rPr>
          <w:rFonts w:cs="Arial"/>
          <w:lang w:eastAsia="en-AU"/>
        </w:rPr>
        <w:t>We also demonstrated our</w:t>
      </w:r>
      <w:r w:rsidR="00126449" w:rsidRPr="00A21D7D">
        <w:rPr>
          <w:rFonts w:cs="Arial"/>
          <w:lang w:eastAsia="en-AU"/>
        </w:rPr>
        <w:t xml:space="preserve"> efficient complaint management work through busy times by achieving a clearance rate of 94% of overall complaints received.**</w:t>
      </w:r>
    </w:p>
    <w:p w14:paraId="5BDC4721" w14:textId="0C849D9D" w:rsidR="00126449" w:rsidRPr="00A21D7D" w:rsidRDefault="00126449" w:rsidP="00426167">
      <w:pPr>
        <w:pStyle w:val="Note"/>
        <w:rPr>
          <w:i/>
        </w:rPr>
      </w:pPr>
      <w:r w:rsidRPr="00A21D7D">
        <w:t>*39% includes 88 complaints that were treated as enquiries and complainants informed early their complaint could not be dealt with</w:t>
      </w:r>
      <w:r w:rsidR="00467FFA">
        <w:t>.</w:t>
      </w:r>
    </w:p>
    <w:p w14:paraId="2CA1B121" w14:textId="5A1D1306" w:rsidR="00126449" w:rsidRDefault="00126449" w:rsidP="00426167">
      <w:pPr>
        <w:pStyle w:val="Note"/>
      </w:pPr>
      <w:r w:rsidRPr="00A21D7D">
        <w:t>**Clearance rate is calculated by the number of complaints received over the number of complaints finalised.</w:t>
      </w:r>
    </w:p>
    <w:p w14:paraId="286FC4FE" w14:textId="3D7E93EB" w:rsidR="003B6F9D" w:rsidRDefault="003B6F9D" w:rsidP="003B6F9D"/>
    <w:p w14:paraId="3BFD6E78" w14:textId="77777777" w:rsidR="003B6F9D" w:rsidRPr="003B6F9D" w:rsidRDefault="003B6F9D" w:rsidP="003B6F9D"/>
    <w:p w14:paraId="4B2DA123" w14:textId="77777777" w:rsidR="003B6F9D" w:rsidRDefault="003B6F9D" w:rsidP="003B6F9D">
      <w:pPr>
        <w:pStyle w:val="Keystatistics"/>
        <w:rPr>
          <w:lang w:val="en" w:eastAsia="en-AU"/>
        </w:rPr>
      </w:pPr>
      <w:bookmarkStart w:id="64" w:name="_Toc49508901"/>
      <w:r>
        <w:rPr>
          <w:lang w:val="en" w:eastAsia="en-AU"/>
        </w:rPr>
        <w:t>“</w:t>
      </w:r>
      <w:r w:rsidRPr="00A21D7D">
        <w:rPr>
          <w:lang w:val="en" w:eastAsia="en-AU"/>
        </w:rPr>
        <w:t xml:space="preserve">Our Conciliator and Human Rights Officer was fantastic. </w:t>
      </w:r>
    </w:p>
    <w:p w14:paraId="03DE359A" w14:textId="77777777" w:rsidR="003B6F9D" w:rsidRDefault="003B6F9D" w:rsidP="003B6F9D">
      <w:pPr>
        <w:pStyle w:val="Keystatistics"/>
        <w:rPr>
          <w:lang w:val="en" w:eastAsia="en-AU"/>
        </w:rPr>
      </w:pPr>
      <w:r w:rsidRPr="00A21D7D">
        <w:rPr>
          <w:lang w:val="en" w:eastAsia="en-AU"/>
        </w:rPr>
        <w:t>She was very informative and easy to communicate with</w:t>
      </w:r>
    </w:p>
    <w:p w14:paraId="051F0462" w14:textId="77777777" w:rsidR="003B6F9D" w:rsidRDefault="003B6F9D" w:rsidP="003B6F9D">
      <w:pPr>
        <w:pStyle w:val="Keystatistics"/>
        <w:rPr>
          <w:lang w:val="en" w:eastAsia="en-AU"/>
        </w:rPr>
      </w:pPr>
      <w:r w:rsidRPr="00A21D7D">
        <w:rPr>
          <w:lang w:val="en" w:eastAsia="en-AU"/>
        </w:rPr>
        <w:t xml:space="preserve"> and trustworthy. Regardless of the outcome</w:t>
      </w:r>
    </w:p>
    <w:p w14:paraId="4FEB3D67" w14:textId="73D9C9C8" w:rsidR="003B6F9D" w:rsidRDefault="003B6F9D" w:rsidP="003B6F9D">
      <w:pPr>
        <w:pStyle w:val="Keystatistics"/>
        <w:rPr>
          <w:lang w:val="en" w:eastAsia="en-AU"/>
        </w:rPr>
      </w:pPr>
      <w:r w:rsidRPr="00A21D7D">
        <w:rPr>
          <w:lang w:val="en" w:eastAsia="en-AU"/>
        </w:rPr>
        <w:t xml:space="preserve"> the process was excellent.</w:t>
      </w:r>
      <w:r>
        <w:rPr>
          <w:lang w:val="en" w:eastAsia="en-AU"/>
        </w:rPr>
        <w:t>”</w:t>
      </w:r>
      <w:r w:rsidRPr="00A21D7D">
        <w:rPr>
          <w:lang w:val="en" w:eastAsia="en-AU"/>
        </w:rPr>
        <w:t xml:space="preserve"> </w:t>
      </w:r>
    </w:p>
    <w:p w14:paraId="7DBA8808" w14:textId="2119702C" w:rsidR="003B6F9D" w:rsidRPr="003B6F9D" w:rsidRDefault="003B6F9D" w:rsidP="003B6F9D">
      <w:pPr>
        <w:pStyle w:val="Keystatistics"/>
        <w:numPr>
          <w:ilvl w:val="0"/>
          <w:numId w:val="41"/>
        </w:numPr>
      </w:pPr>
      <w:r>
        <w:rPr>
          <w:lang w:val="en" w:eastAsia="en-AU"/>
        </w:rPr>
        <w:t>Feedback from a r</w:t>
      </w:r>
      <w:r w:rsidRPr="00A21D7D">
        <w:rPr>
          <w:lang w:val="en" w:eastAsia="en-AU"/>
        </w:rPr>
        <w:t>espondent</w:t>
      </w:r>
      <w:r>
        <w:rPr>
          <w:lang w:val="en" w:eastAsia="en-AU"/>
        </w:rPr>
        <w:t xml:space="preserve"> received in 2019-20</w:t>
      </w:r>
    </w:p>
    <w:p w14:paraId="49B1D1C6" w14:textId="77777777" w:rsidR="003B6F9D" w:rsidRDefault="003B6F9D">
      <w:pPr>
        <w:ind w:right="0"/>
        <w:rPr>
          <w:rFonts w:eastAsiaTheme="majorEastAsia" w:cstheme="majorBidi"/>
          <w:color w:val="000000" w:themeColor="text1"/>
          <w:sz w:val="36"/>
          <w:szCs w:val="26"/>
        </w:rPr>
      </w:pPr>
    </w:p>
    <w:p w14:paraId="5215074B" w14:textId="0D31C727" w:rsidR="00126449" w:rsidRPr="00A21D7D" w:rsidRDefault="00126449" w:rsidP="007D0F77">
      <w:pPr>
        <w:pStyle w:val="Heading2"/>
        <w:rPr>
          <w:i/>
        </w:rPr>
      </w:pPr>
      <w:r w:rsidRPr="00A21D7D">
        <w:lastRenderedPageBreak/>
        <w:t>Conciliated outcomes</w:t>
      </w:r>
      <w:bookmarkEnd w:id="64"/>
    </w:p>
    <w:p w14:paraId="0BC5ACF4" w14:textId="35604DAE" w:rsidR="00126449" w:rsidRPr="00A21D7D" w:rsidRDefault="00126449" w:rsidP="00126449">
      <w:pPr>
        <w:spacing w:before="120" w:after="120" w:line="240" w:lineRule="auto"/>
        <w:rPr>
          <w:rFonts w:cs="Arial"/>
          <w:i/>
          <w:szCs w:val="22"/>
          <w:lang w:eastAsia="en-AU"/>
        </w:rPr>
      </w:pPr>
      <w:r w:rsidRPr="00A21D7D">
        <w:rPr>
          <w:rFonts w:cs="Arial"/>
          <w:szCs w:val="22"/>
          <w:lang w:eastAsia="en-AU"/>
        </w:rPr>
        <w:t xml:space="preserve">The following are examples of complaints made to </w:t>
      </w:r>
      <w:r w:rsidR="007335BF">
        <w:rPr>
          <w:rFonts w:cs="Arial"/>
          <w:szCs w:val="22"/>
          <w:lang w:eastAsia="en-AU"/>
        </w:rPr>
        <w:t>the Commission</w:t>
      </w:r>
      <w:r w:rsidR="00D049DE">
        <w:rPr>
          <w:rFonts w:cs="Arial"/>
          <w:szCs w:val="22"/>
          <w:lang w:eastAsia="en-AU"/>
        </w:rPr>
        <w:t xml:space="preserve"> in 2019-</w:t>
      </w:r>
      <w:r w:rsidRPr="00A21D7D">
        <w:rPr>
          <w:rFonts w:cs="Arial"/>
          <w:szCs w:val="22"/>
          <w:lang w:eastAsia="en-AU"/>
        </w:rPr>
        <w:t>20 that were successfully resolved through conciliation.</w:t>
      </w:r>
    </w:p>
    <w:p w14:paraId="4EF7084B" w14:textId="7B86E5BB" w:rsidR="00126449" w:rsidRPr="00F1220C" w:rsidRDefault="00126449" w:rsidP="00F1220C">
      <w:pPr>
        <w:pStyle w:val="Heading3"/>
        <w:rPr>
          <w:i/>
          <w:lang w:eastAsia="en-AU"/>
        </w:rPr>
      </w:pPr>
      <w:bookmarkStart w:id="65" w:name="_Toc49508902"/>
      <w:r w:rsidRPr="00F1220C">
        <w:rPr>
          <w:lang w:eastAsia="en-AU"/>
        </w:rPr>
        <w:t>Sexual harassment at work drinks including rape and alleged victimisation</w:t>
      </w:r>
      <w:bookmarkEnd w:id="65"/>
    </w:p>
    <w:p w14:paraId="7606036E" w14:textId="70D8F292" w:rsidR="00126449" w:rsidRPr="00A21D7D" w:rsidRDefault="00126449" w:rsidP="00126449">
      <w:pPr>
        <w:rPr>
          <w:rFonts w:cs="Arial"/>
          <w:i/>
          <w:lang w:eastAsia="en-AU"/>
        </w:rPr>
      </w:pPr>
      <w:r w:rsidRPr="00A21D7D">
        <w:rPr>
          <w:rFonts w:cs="Arial"/>
          <w:lang w:eastAsia="en-AU"/>
        </w:rPr>
        <w:t xml:space="preserve">The </w:t>
      </w:r>
      <w:r w:rsidR="000F1B5F">
        <w:rPr>
          <w:rFonts w:cs="Arial"/>
          <w:lang w:eastAsia="en-AU"/>
        </w:rPr>
        <w:t>c</w:t>
      </w:r>
      <w:r w:rsidRPr="00A21D7D">
        <w:rPr>
          <w:rFonts w:cs="Arial"/>
          <w:lang w:eastAsia="en-AU"/>
        </w:rPr>
        <w:t>omplainant had been employed as an office administrator with the respondent company for 6 weeks when the allegations in her complaint arose.</w:t>
      </w:r>
    </w:p>
    <w:p w14:paraId="5FBE7929" w14:textId="736345A8" w:rsidR="00126449" w:rsidRPr="00A21D7D" w:rsidRDefault="00126449" w:rsidP="00126449">
      <w:pPr>
        <w:rPr>
          <w:rFonts w:cs="Arial"/>
          <w:i/>
          <w:lang w:eastAsia="en-AU"/>
        </w:rPr>
      </w:pPr>
      <w:r w:rsidRPr="00A21D7D">
        <w:rPr>
          <w:rFonts w:cs="Arial"/>
          <w:lang w:eastAsia="en-AU"/>
        </w:rPr>
        <w:t xml:space="preserve">The </w:t>
      </w:r>
      <w:r w:rsidR="000F1B5F">
        <w:rPr>
          <w:rFonts w:cs="Arial"/>
          <w:lang w:eastAsia="en-AU"/>
        </w:rPr>
        <w:t>c</w:t>
      </w:r>
      <w:r w:rsidRPr="00A21D7D">
        <w:rPr>
          <w:rFonts w:cs="Arial"/>
          <w:lang w:eastAsia="en-AU"/>
        </w:rPr>
        <w:t>omplainant was part of a service delivery team, one of a number of teams under the purview of the individual respondent who held a senior position in the company.</w:t>
      </w:r>
      <w:r w:rsidR="00B10E8B">
        <w:rPr>
          <w:rFonts w:cs="Arial"/>
          <w:lang w:eastAsia="en-AU"/>
        </w:rPr>
        <w:t xml:space="preserve"> </w:t>
      </w:r>
      <w:r w:rsidRPr="00A21D7D">
        <w:rPr>
          <w:rFonts w:cs="Arial"/>
          <w:lang w:eastAsia="en-AU"/>
        </w:rPr>
        <w:t>The complaint alleged that during one of their monthly after work drinks, the individual respondent subjected her to multiple, escalating unsolicited acts of physical intimacy including rape.</w:t>
      </w:r>
      <w:r w:rsidR="00B10E8B">
        <w:rPr>
          <w:rFonts w:cs="Arial"/>
          <w:lang w:eastAsia="en-AU"/>
        </w:rPr>
        <w:t xml:space="preserve"> </w:t>
      </w:r>
    </w:p>
    <w:p w14:paraId="293B10CF" w14:textId="00731653" w:rsidR="00126449" w:rsidRPr="00A21D7D" w:rsidRDefault="00126449" w:rsidP="00126449">
      <w:pPr>
        <w:rPr>
          <w:rFonts w:cs="Arial"/>
          <w:i/>
          <w:lang w:eastAsia="en-AU"/>
        </w:rPr>
      </w:pPr>
      <w:r w:rsidRPr="00A21D7D">
        <w:rPr>
          <w:rFonts w:cs="Arial"/>
          <w:lang w:eastAsia="en-AU"/>
        </w:rPr>
        <w:t xml:space="preserve">The </w:t>
      </w:r>
      <w:r w:rsidR="000F1B5F">
        <w:rPr>
          <w:rFonts w:cs="Arial"/>
          <w:lang w:eastAsia="en-AU"/>
        </w:rPr>
        <w:t>c</w:t>
      </w:r>
      <w:r w:rsidRPr="00A21D7D">
        <w:rPr>
          <w:rFonts w:cs="Arial"/>
          <w:lang w:eastAsia="en-AU"/>
        </w:rPr>
        <w:t>omplainant contacted her fiancée and brother immediately and with their support she contacted the police.</w:t>
      </w:r>
      <w:r w:rsidR="00B10E8B">
        <w:rPr>
          <w:rFonts w:cs="Arial"/>
          <w:lang w:eastAsia="en-AU"/>
        </w:rPr>
        <w:t xml:space="preserve"> </w:t>
      </w:r>
      <w:r w:rsidRPr="00A21D7D">
        <w:rPr>
          <w:rFonts w:cs="Arial"/>
          <w:lang w:eastAsia="en-AU"/>
        </w:rPr>
        <w:t xml:space="preserve">The </w:t>
      </w:r>
      <w:r w:rsidR="000F1B5F">
        <w:rPr>
          <w:rFonts w:cs="Arial"/>
          <w:lang w:eastAsia="en-AU"/>
        </w:rPr>
        <w:t>c</w:t>
      </w:r>
      <w:r w:rsidRPr="00A21D7D">
        <w:rPr>
          <w:rFonts w:cs="Arial"/>
          <w:lang w:eastAsia="en-AU"/>
        </w:rPr>
        <w:t xml:space="preserve">omplainant had a rape kit performed and provided an official statement the following day. </w:t>
      </w:r>
    </w:p>
    <w:p w14:paraId="5A0092CA" w14:textId="13E4B4B0" w:rsidR="00126449" w:rsidRPr="00A21D7D" w:rsidRDefault="00126449" w:rsidP="00126449">
      <w:pPr>
        <w:rPr>
          <w:rFonts w:cs="Arial"/>
          <w:i/>
          <w:lang w:eastAsia="en-AU"/>
        </w:rPr>
      </w:pPr>
      <w:r w:rsidRPr="00A21D7D">
        <w:rPr>
          <w:rFonts w:cs="Arial"/>
          <w:lang w:eastAsia="en-AU"/>
        </w:rPr>
        <w:t>The complaint included allegations that she was victimised by her employer including by directing her to attend a hotel room to provide a verbal statement of the allegations, after she had already provided them with her police statement and informed her employer that this would cause further trauma for her.</w:t>
      </w:r>
    </w:p>
    <w:p w14:paraId="630C350F" w14:textId="1F68B4B3" w:rsidR="00126449" w:rsidRPr="00A21D7D" w:rsidRDefault="00126449" w:rsidP="00126449">
      <w:pPr>
        <w:rPr>
          <w:rFonts w:cs="Arial"/>
          <w:i/>
          <w:lang w:eastAsia="en-AU"/>
        </w:rPr>
      </w:pPr>
      <w:r w:rsidRPr="00A21D7D">
        <w:rPr>
          <w:rFonts w:cs="Arial"/>
          <w:lang w:eastAsia="en-AU"/>
        </w:rPr>
        <w:t>The complaint alleged the incident had caused an ongoing psychological injury at the time of the conference, and that she had not been able to return to work.</w:t>
      </w:r>
      <w:r w:rsidR="00B10E8B">
        <w:rPr>
          <w:rFonts w:cs="Arial"/>
          <w:lang w:eastAsia="en-AU"/>
        </w:rPr>
        <w:t xml:space="preserve"> </w:t>
      </w:r>
      <w:r w:rsidRPr="00A21D7D">
        <w:rPr>
          <w:rFonts w:cs="Arial"/>
          <w:lang w:eastAsia="en-AU"/>
        </w:rPr>
        <w:t>The complaint settled for $135,000 damages.</w:t>
      </w:r>
      <w:r w:rsidR="00B10E8B">
        <w:rPr>
          <w:rFonts w:cs="Arial"/>
          <w:lang w:eastAsia="en-AU"/>
        </w:rPr>
        <w:t xml:space="preserve"> </w:t>
      </w:r>
    </w:p>
    <w:p w14:paraId="02CC5A5B" w14:textId="5AD4C181" w:rsidR="00126449" w:rsidRPr="00F1220C" w:rsidRDefault="00126449" w:rsidP="00F1220C">
      <w:pPr>
        <w:pStyle w:val="Heading3"/>
        <w:rPr>
          <w:i/>
          <w:lang w:eastAsia="en-AU"/>
        </w:rPr>
      </w:pPr>
      <w:bookmarkStart w:id="66" w:name="_Toc49508903"/>
      <w:r w:rsidRPr="00F1220C">
        <w:rPr>
          <w:lang w:eastAsia="en-AU"/>
        </w:rPr>
        <w:t>Unreasonab</w:t>
      </w:r>
      <w:r w:rsidR="00467FFA" w:rsidRPr="00F1220C">
        <w:rPr>
          <w:lang w:eastAsia="en-AU"/>
        </w:rPr>
        <w:t>le restrictions in insurance p</w:t>
      </w:r>
      <w:r w:rsidRPr="00F1220C">
        <w:rPr>
          <w:lang w:eastAsia="en-AU"/>
        </w:rPr>
        <w:t>olicy</w:t>
      </w:r>
      <w:bookmarkEnd w:id="66"/>
    </w:p>
    <w:p w14:paraId="74B311BF" w14:textId="133A561C" w:rsidR="00126449" w:rsidRPr="00A21D7D" w:rsidRDefault="00126449" w:rsidP="00126449">
      <w:pPr>
        <w:rPr>
          <w:rFonts w:cs="Arial"/>
          <w:i/>
          <w:lang w:eastAsia="en-AU"/>
        </w:rPr>
      </w:pPr>
      <w:r w:rsidRPr="00A21D7D">
        <w:rPr>
          <w:rFonts w:cs="Arial"/>
          <w:lang w:eastAsia="en-AU"/>
        </w:rPr>
        <w:t>In 2018, the complainant applied for life, total and permanent disability (TPD) and income protection insurance through the trustee for her superannuation fund</w:t>
      </w:r>
      <w:r w:rsidR="000F1B5F">
        <w:rPr>
          <w:rFonts w:cs="Arial"/>
          <w:lang w:eastAsia="en-AU"/>
        </w:rPr>
        <w:t>. She</w:t>
      </w:r>
      <w:r w:rsidRPr="00A21D7D">
        <w:rPr>
          <w:rFonts w:cs="Arial"/>
          <w:lang w:eastAsia="en-AU"/>
        </w:rPr>
        <w:t xml:space="preserve"> disclosed in her application that she had a history of depression and anxiety, but </w:t>
      </w:r>
      <w:r w:rsidR="000F1B5F">
        <w:rPr>
          <w:rFonts w:cs="Arial"/>
          <w:lang w:eastAsia="en-AU"/>
        </w:rPr>
        <w:t xml:space="preserve">was </w:t>
      </w:r>
      <w:r w:rsidRPr="00A21D7D">
        <w:rPr>
          <w:rFonts w:cs="Arial"/>
          <w:lang w:eastAsia="en-AU"/>
        </w:rPr>
        <w:t xml:space="preserve">not currently on any medication and </w:t>
      </w:r>
      <w:r w:rsidR="000F1B5F">
        <w:rPr>
          <w:rFonts w:cs="Arial"/>
          <w:lang w:eastAsia="en-AU"/>
        </w:rPr>
        <w:t xml:space="preserve">was </w:t>
      </w:r>
      <w:r w:rsidRPr="00A21D7D">
        <w:rPr>
          <w:rFonts w:cs="Arial"/>
          <w:lang w:eastAsia="en-AU"/>
        </w:rPr>
        <w:t>self-managing with occasional psychologist visits</w:t>
      </w:r>
      <w:r w:rsidR="000F1B5F">
        <w:rPr>
          <w:rFonts w:cs="Arial"/>
          <w:lang w:eastAsia="en-AU"/>
        </w:rPr>
        <w:t>. She further disclosed</w:t>
      </w:r>
      <w:r w:rsidRPr="00A21D7D">
        <w:rPr>
          <w:rFonts w:cs="Arial"/>
          <w:lang w:eastAsia="en-AU"/>
        </w:rPr>
        <w:t xml:space="preserve"> an abnormal blood test result as a result of a bleeding episode post-surgery in 2012. </w:t>
      </w:r>
    </w:p>
    <w:p w14:paraId="14BCD18A" w14:textId="61BC6F9A" w:rsidR="00126449" w:rsidRPr="00A21D7D" w:rsidRDefault="00126449" w:rsidP="00126449">
      <w:pPr>
        <w:rPr>
          <w:rFonts w:cs="Arial"/>
          <w:i/>
          <w:lang w:eastAsia="en-AU"/>
        </w:rPr>
      </w:pPr>
      <w:r w:rsidRPr="00A21D7D">
        <w:rPr>
          <w:rFonts w:cs="Arial"/>
          <w:lang w:eastAsia="en-AU"/>
        </w:rPr>
        <w:t>The trustee of the superannuation fund asked the complainant to undergo a blood test and the results were normal.</w:t>
      </w:r>
      <w:r w:rsidR="00B10E8B">
        <w:rPr>
          <w:rFonts w:cs="Arial"/>
          <w:lang w:eastAsia="en-AU"/>
        </w:rPr>
        <w:t xml:space="preserve"> </w:t>
      </w:r>
      <w:r w:rsidRPr="00A21D7D">
        <w:rPr>
          <w:rFonts w:cs="Arial"/>
          <w:lang w:eastAsia="en-AU"/>
        </w:rPr>
        <w:t>After that, the trustee offered the complainant insurance but with a broad exclusion clause for TPD and income protection, excluding liability to pay any benefit under the policy arising from specific psychological type illnesses, or disorders relating to substance abuse or dependence including alcohol and drugs.</w:t>
      </w:r>
      <w:r w:rsidR="00B10E8B">
        <w:rPr>
          <w:rFonts w:cs="Arial"/>
          <w:lang w:eastAsia="en-AU"/>
        </w:rPr>
        <w:t xml:space="preserve"> </w:t>
      </w:r>
      <w:r w:rsidRPr="00A21D7D">
        <w:rPr>
          <w:rFonts w:cs="Arial"/>
          <w:lang w:eastAsia="en-AU"/>
        </w:rPr>
        <w:t xml:space="preserve">The offer also stipulated a 100% loading on the premium payable "due to a history of mild urge incontinence and history of mild bleeding disorder." </w:t>
      </w:r>
    </w:p>
    <w:p w14:paraId="7986423D" w14:textId="77777777" w:rsidR="00BF78C7" w:rsidRDefault="000F1B5F" w:rsidP="00126449">
      <w:pPr>
        <w:rPr>
          <w:rFonts w:cs="Arial"/>
          <w:lang w:eastAsia="en-AU"/>
        </w:rPr>
      </w:pPr>
      <w:r>
        <w:rPr>
          <w:rFonts w:cs="Arial"/>
          <w:lang w:eastAsia="en-AU"/>
        </w:rPr>
        <w:t>The complainant</w:t>
      </w:r>
      <w:r w:rsidR="00126449" w:rsidRPr="00A21D7D">
        <w:rPr>
          <w:rFonts w:cs="Arial"/>
          <w:lang w:eastAsia="en-AU"/>
        </w:rPr>
        <w:t xml:space="preserve"> requested a review of the decision and asked the insurer to provide evidence to justify why she was considered to be at higher risk.</w:t>
      </w:r>
      <w:r w:rsidR="00B10E8B">
        <w:rPr>
          <w:rFonts w:cs="Arial"/>
          <w:lang w:eastAsia="en-AU"/>
        </w:rPr>
        <w:t xml:space="preserve"> </w:t>
      </w:r>
    </w:p>
    <w:p w14:paraId="2ABF5CFF" w14:textId="0FACF6D7" w:rsidR="00126449" w:rsidRPr="00A21D7D" w:rsidRDefault="00126449" w:rsidP="00126449">
      <w:pPr>
        <w:rPr>
          <w:rFonts w:cs="Arial"/>
          <w:i/>
          <w:lang w:eastAsia="en-AU"/>
        </w:rPr>
      </w:pPr>
      <w:r w:rsidRPr="00A21D7D">
        <w:rPr>
          <w:rFonts w:cs="Arial"/>
          <w:lang w:eastAsia="en-AU"/>
        </w:rPr>
        <w:lastRenderedPageBreak/>
        <w:t>The company issued an amended offer which reduced the loading to 50% but retained</w:t>
      </w:r>
      <w:r w:rsidR="000F1B5F">
        <w:rPr>
          <w:rFonts w:cs="Arial"/>
          <w:lang w:eastAsia="en-AU"/>
        </w:rPr>
        <w:t xml:space="preserve"> the mental health exclusion.</w:t>
      </w:r>
      <w:r w:rsidR="00B10E8B">
        <w:rPr>
          <w:rFonts w:cs="Arial"/>
          <w:lang w:eastAsia="en-AU"/>
        </w:rPr>
        <w:t xml:space="preserve"> </w:t>
      </w:r>
      <w:r w:rsidR="000F1B5F">
        <w:rPr>
          <w:rFonts w:cs="Arial"/>
          <w:lang w:eastAsia="en-AU"/>
        </w:rPr>
        <w:t>The complainant</w:t>
      </w:r>
      <w:r w:rsidRPr="00A21D7D">
        <w:rPr>
          <w:rFonts w:cs="Arial"/>
          <w:lang w:eastAsia="en-AU"/>
        </w:rPr>
        <w:t xml:space="preserve"> argued there was a lack of evidence to justify such a broad exclusion or the loading.</w:t>
      </w:r>
      <w:r w:rsidR="00B10E8B">
        <w:rPr>
          <w:rFonts w:cs="Arial"/>
          <w:lang w:eastAsia="en-AU"/>
        </w:rPr>
        <w:t xml:space="preserve"> </w:t>
      </w:r>
    </w:p>
    <w:p w14:paraId="0A5F6F84" w14:textId="77777777" w:rsidR="00126449" w:rsidRPr="00A21D7D" w:rsidRDefault="00126449" w:rsidP="00126449">
      <w:pPr>
        <w:rPr>
          <w:rFonts w:cs="Arial"/>
          <w:i/>
          <w:lang w:eastAsia="en-AU"/>
        </w:rPr>
      </w:pPr>
      <w:r w:rsidRPr="00A21D7D">
        <w:rPr>
          <w:rFonts w:cs="Arial"/>
          <w:lang w:eastAsia="en-AU"/>
        </w:rPr>
        <w:t>Both the trustee of the superannuation and the insurer were named as respondents.</w:t>
      </w:r>
    </w:p>
    <w:p w14:paraId="0A45DC5E" w14:textId="1FE01AFD" w:rsidR="00126449" w:rsidRPr="00A21D7D" w:rsidRDefault="00126449" w:rsidP="00126449">
      <w:pPr>
        <w:rPr>
          <w:rFonts w:cs="Arial"/>
          <w:i/>
          <w:lang w:eastAsia="en-AU"/>
        </w:rPr>
      </w:pPr>
      <w:r w:rsidRPr="00A21D7D">
        <w:rPr>
          <w:rFonts w:cs="Arial"/>
          <w:lang w:eastAsia="en-AU"/>
        </w:rPr>
        <w:t>The respondents argued that the exclusion and loading placed on the offer of insurance were not discriminatory.</w:t>
      </w:r>
      <w:r w:rsidR="00B10E8B">
        <w:rPr>
          <w:rFonts w:cs="Arial"/>
          <w:lang w:eastAsia="en-AU"/>
        </w:rPr>
        <w:t xml:space="preserve"> </w:t>
      </w:r>
      <w:r w:rsidRPr="00A21D7D">
        <w:rPr>
          <w:rFonts w:cs="Arial"/>
          <w:lang w:eastAsia="en-AU"/>
        </w:rPr>
        <w:t>They provided a significant amount of published information about the</w:t>
      </w:r>
      <w:r w:rsidR="000F1B5F">
        <w:rPr>
          <w:rFonts w:cs="Arial"/>
          <w:lang w:eastAsia="en-AU"/>
        </w:rPr>
        <w:t xml:space="preserve"> psychiatric conditions, and </w:t>
      </w:r>
      <w:r w:rsidR="00EE6378" w:rsidRPr="00EE6378">
        <w:rPr>
          <w:rFonts w:cs="Arial"/>
          <w:lang w:eastAsia="en-AU"/>
        </w:rPr>
        <w:t xml:space="preserve">how </w:t>
      </w:r>
      <w:r w:rsidR="000F1B5F" w:rsidRPr="00EE6378">
        <w:rPr>
          <w:rFonts w:cs="Arial"/>
          <w:lang w:eastAsia="en-AU"/>
        </w:rPr>
        <w:t>that</w:t>
      </w:r>
      <w:r w:rsidRPr="00EE6378">
        <w:rPr>
          <w:rFonts w:cs="Arial"/>
          <w:lang w:eastAsia="en-AU"/>
        </w:rPr>
        <w:t xml:space="preserve"> applied to</w:t>
      </w:r>
      <w:r w:rsidRPr="00A21D7D">
        <w:rPr>
          <w:rFonts w:cs="Arial"/>
          <w:lang w:eastAsia="en-AU"/>
        </w:rPr>
        <w:t xml:space="preserve"> make the decision about what terms to place on the offer of insurance to the complainant.</w:t>
      </w:r>
    </w:p>
    <w:p w14:paraId="3523CB94" w14:textId="7AC8B4F7" w:rsidR="00126449" w:rsidRPr="00A21D7D" w:rsidRDefault="00126449" w:rsidP="00126449">
      <w:pPr>
        <w:rPr>
          <w:rFonts w:cs="Arial"/>
          <w:i/>
          <w:lang w:eastAsia="en-AU"/>
        </w:rPr>
      </w:pPr>
      <w:r w:rsidRPr="00A21D7D">
        <w:rPr>
          <w:rFonts w:cs="Arial"/>
          <w:lang w:eastAsia="en-AU"/>
        </w:rPr>
        <w:t>Separate agreements were reached with each of the respondents including mutual non- disparagement and confidentiality with one of the respondents.</w:t>
      </w:r>
      <w:r w:rsidR="00B10E8B">
        <w:rPr>
          <w:rFonts w:cs="Arial"/>
          <w:lang w:eastAsia="en-AU"/>
        </w:rPr>
        <w:t xml:space="preserve"> </w:t>
      </w:r>
      <w:r w:rsidRPr="00A21D7D">
        <w:rPr>
          <w:rFonts w:cs="Arial"/>
          <w:lang w:eastAsia="en-AU"/>
        </w:rPr>
        <w:t>An agreement was reached with the other respondent to provide insurance at standard rates with a much less restrictive exclusion clause relating to anxiety, depression and stress, and subject to completion and assessment of a current underwriting health declaration.</w:t>
      </w:r>
      <w:r w:rsidR="00B10E8B">
        <w:rPr>
          <w:rFonts w:cs="Arial"/>
          <w:lang w:eastAsia="en-AU"/>
        </w:rPr>
        <w:t xml:space="preserve"> </w:t>
      </w:r>
      <w:r w:rsidRPr="00A21D7D">
        <w:rPr>
          <w:rFonts w:cs="Arial"/>
          <w:lang w:eastAsia="en-AU"/>
        </w:rPr>
        <w:t>The respondent also reserved the right to obtain further supporting medical verification and information on any future increases or alteration in cover in the event of an increase in risk.</w:t>
      </w:r>
      <w:r w:rsidR="00B10E8B">
        <w:rPr>
          <w:rFonts w:cs="Arial"/>
          <w:lang w:eastAsia="en-AU"/>
        </w:rPr>
        <w:t xml:space="preserve"> </w:t>
      </w:r>
    </w:p>
    <w:p w14:paraId="44EC7977" w14:textId="77777777" w:rsidR="00126449" w:rsidRPr="00A21D7D" w:rsidRDefault="00126449" w:rsidP="007D0F77">
      <w:pPr>
        <w:pStyle w:val="Heading3"/>
        <w:rPr>
          <w:i/>
          <w:lang w:eastAsia="en-AU"/>
        </w:rPr>
      </w:pPr>
      <w:bookmarkStart w:id="67" w:name="_Toc49508904"/>
      <w:r w:rsidRPr="00A21D7D">
        <w:rPr>
          <w:lang w:eastAsia="en-AU"/>
        </w:rPr>
        <w:t>Unnecessary questions in online job application</w:t>
      </w:r>
      <w:bookmarkEnd w:id="67"/>
    </w:p>
    <w:p w14:paraId="3EFC9323" w14:textId="19050D79" w:rsidR="00126449" w:rsidRPr="00A21D7D" w:rsidRDefault="00126449" w:rsidP="00126449">
      <w:pPr>
        <w:rPr>
          <w:rFonts w:cs="Arial"/>
          <w:i/>
          <w:lang w:eastAsia="en-AU"/>
        </w:rPr>
      </w:pPr>
      <w:r w:rsidRPr="00A21D7D">
        <w:rPr>
          <w:rFonts w:cs="Arial"/>
          <w:lang w:eastAsia="en-AU"/>
        </w:rPr>
        <w:t xml:space="preserve">The </w:t>
      </w:r>
      <w:r w:rsidR="00C824C3">
        <w:rPr>
          <w:rFonts w:cs="Arial"/>
          <w:lang w:eastAsia="en-AU"/>
        </w:rPr>
        <w:t>c</w:t>
      </w:r>
      <w:r w:rsidRPr="00A21D7D">
        <w:rPr>
          <w:rFonts w:cs="Arial"/>
          <w:lang w:eastAsia="en-AU"/>
        </w:rPr>
        <w:t>omplain</w:t>
      </w:r>
      <w:r w:rsidR="00C824C3">
        <w:rPr>
          <w:rFonts w:cs="Arial"/>
          <w:lang w:eastAsia="en-AU"/>
        </w:rPr>
        <w:t>an</w:t>
      </w:r>
      <w:r w:rsidRPr="00A21D7D">
        <w:rPr>
          <w:rFonts w:cs="Arial"/>
          <w:lang w:eastAsia="en-AU"/>
        </w:rPr>
        <w:t xml:space="preserve">t wished to apply for a job and noticed that the online application form required applicants to provide details about their sex and age. These were mandatory fields without which the complainant’s application could not proceed. </w:t>
      </w:r>
    </w:p>
    <w:p w14:paraId="7AA5756F" w14:textId="4AFED9B5" w:rsidR="00126449" w:rsidRPr="00A21D7D" w:rsidRDefault="00126449" w:rsidP="00126449">
      <w:pPr>
        <w:rPr>
          <w:rFonts w:cs="Arial"/>
          <w:i/>
          <w:lang w:eastAsia="en-AU"/>
        </w:rPr>
      </w:pPr>
      <w:r w:rsidRPr="00A21D7D">
        <w:rPr>
          <w:rFonts w:cs="Arial"/>
          <w:lang w:eastAsia="en-AU"/>
        </w:rPr>
        <w:t>The respondents argued that they did not access the information, that it was requested by a third party, and they did not require it for a discriminatory purpose.</w:t>
      </w:r>
      <w:r w:rsidR="00B10E8B">
        <w:rPr>
          <w:rFonts w:cs="Arial"/>
          <w:lang w:eastAsia="en-AU"/>
        </w:rPr>
        <w:t xml:space="preserve"> </w:t>
      </w:r>
      <w:r w:rsidRPr="00A21D7D">
        <w:rPr>
          <w:rFonts w:cs="Arial"/>
          <w:lang w:eastAsia="en-AU"/>
        </w:rPr>
        <w:t>They also said there were other ways of applying for the role.</w:t>
      </w:r>
    </w:p>
    <w:p w14:paraId="38972DB8" w14:textId="77777777" w:rsidR="00126449" w:rsidRPr="00A21D7D" w:rsidRDefault="00126449" w:rsidP="00126449">
      <w:pPr>
        <w:rPr>
          <w:rFonts w:cs="Arial"/>
          <w:i/>
          <w:lang w:eastAsia="en-AU"/>
        </w:rPr>
      </w:pPr>
      <w:r w:rsidRPr="00A21D7D">
        <w:rPr>
          <w:rFonts w:cs="Arial"/>
          <w:lang w:eastAsia="en-AU"/>
        </w:rPr>
        <w:t>The respondent agreed to make changes to the online material and delete questions about gender, sex or age. They also agreed to provide the complainant with a list of all the available positions and pay the complainant $4,500 damages.</w:t>
      </w:r>
    </w:p>
    <w:p w14:paraId="13DE3DE0" w14:textId="77777777" w:rsidR="00126449" w:rsidRPr="00A21D7D" w:rsidRDefault="00126449" w:rsidP="007D0F77">
      <w:pPr>
        <w:pStyle w:val="Heading3"/>
        <w:rPr>
          <w:i/>
          <w:lang w:eastAsia="en-AU"/>
        </w:rPr>
      </w:pPr>
      <w:bookmarkStart w:id="68" w:name="_Toc49508905"/>
      <w:r w:rsidRPr="00A21D7D">
        <w:rPr>
          <w:lang w:eastAsia="en-AU"/>
        </w:rPr>
        <w:t>Entry refused to a customer with assistance dog</w:t>
      </w:r>
      <w:bookmarkEnd w:id="68"/>
      <w:r w:rsidRPr="00A21D7D">
        <w:rPr>
          <w:lang w:eastAsia="en-AU"/>
        </w:rPr>
        <w:t xml:space="preserve"> </w:t>
      </w:r>
    </w:p>
    <w:p w14:paraId="4FF86AB4" w14:textId="3BE3EDA3" w:rsidR="00126449" w:rsidRPr="00A21D7D" w:rsidRDefault="00126449" w:rsidP="00126449">
      <w:pPr>
        <w:rPr>
          <w:rFonts w:cs="Arial"/>
          <w:i/>
          <w:lang w:eastAsia="en-AU"/>
        </w:rPr>
      </w:pPr>
      <w:r w:rsidRPr="00A21D7D">
        <w:rPr>
          <w:rFonts w:cs="Arial"/>
          <w:lang w:eastAsia="en-AU"/>
        </w:rPr>
        <w:t>The complainant has physical disability</w:t>
      </w:r>
      <w:r w:rsidR="00C824C3">
        <w:rPr>
          <w:rFonts w:cs="Arial"/>
          <w:lang w:eastAsia="en-AU"/>
        </w:rPr>
        <w:t xml:space="preserve">, </w:t>
      </w:r>
      <w:r w:rsidRPr="00A21D7D">
        <w:rPr>
          <w:rFonts w:cs="Arial"/>
          <w:lang w:eastAsia="en-AU"/>
        </w:rPr>
        <w:t>psychiatric disability and ha</w:t>
      </w:r>
      <w:r w:rsidR="00C824C3">
        <w:rPr>
          <w:rFonts w:cs="Arial"/>
          <w:lang w:eastAsia="en-AU"/>
        </w:rPr>
        <w:t>s</w:t>
      </w:r>
      <w:r w:rsidRPr="00A21D7D">
        <w:rPr>
          <w:rFonts w:cs="Arial"/>
          <w:lang w:eastAsia="en-AU"/>
        </w:rPr>
        <w:t xml:space="preserve"> an accredited assistant dog. They went for a tour of a venue that was open to public. On arrival they were told that the assistant dog would not be let in. The complainant was not able to complete the tour and left.</w:t>
      </w:r>
    </w:p>
    <w:p w14:paraId="08225B4D" w14:textId="42721E57" w:rsidR="00126449" w:rsidRPr="00A21D7D" w:rsidRDefault="00126449" w:rsidP="00126449">
      <w:pPr>
        <w:rPr>
          <w:rFonts w:cs="Arial"/>
          <w:i/>
          <w:lang w:eastAsia="en-AU"/>
        </w:rPr>
      </w:pPr>
      <w:r w:rsidRPr="00A21D7D">
        <w:rPr>
          <w:rFonts w:cs="Arial"/>
          <w:lang w:eastAsia="en-AU"/>
        </w:rPr>
        <w:t>The respondents cited biosecurity risks as the reason for putting restricti</w:t>
      </w:r>
      <w:r w:rsidR="00C824C3">
        <w:rPr>
          <w:rFonts w:cs="Arial"/>
          <w:lang w:eastAsia="en-AU"/>
        </w:rPr>
        <w:t>ons on animals entering the venue</w:t>
      </w:r>
      <w:r w:rsidRPr="00A21D7D">
        <w:rPr>
          <w:rFonts w:cs="Arial"/>
          <w:lang w:eastAsia="en-AU"/>
        </w:rPr>
        <w:t>.</w:t>
      </w:r>
    </w:p>
    <w:p w14:paraId="29155FA2" w14:textId="03DFA6A4" w:rsidR="00126449" w:rsidRPr="00A21D7D" w:rsidRDefault="00126449" w:rsidP="00126449">
      <w:pPr>
        <w:rPr>
          <w:rFonts w:cs="Arial"/>
          <w:i/>
          <w:lang w:eastAsia="en-AU"/>
        </w:rPr>
      </w:pPr>
      <w:r w:rsidRPr="00A21D7D">
        <w:rPr>
          <w:rFonts w:cs="Arial"/>
          <w:lang w:eastAsia="en-AU"/>
        </w:rPr>
        <w:t>The parties agreed that the respondents change their policies on dogs and allow assistant dogs to the venue</w:t>
      </w:r>
      <w:r w:rsidR="00C824C3">
        <w:rPr>
          <w:rFonts w:cs="Arial"/>
          <w:lang w:eastAsia="en-AU"/>
        </w:rPr>
        <w:t>,</w:t>
      </w:r>
      <w:r w:rsidRPr="00A21D7D">
        <w:rPr>
          <w:rFonts w:cs="Arial"/>
          <w:lang w:eastAsia="en-AU"/>
        </w:rPr>
        <w:t xml:space="preserve"> provided they met </w:t>
      </w:r>
      <w:r w:rsidR="00C824C3">
        <w:rPr>
          <w:rFonts w:cs="Arial"/>
          <w:lang w:eastAsia="en-AU"/>
        </w:rPr>
        <w:t xml:space="preserve">a </w:t>
      </w:r>
      <w:r w:rsidRPr="00A21D7D">
        <w:rPr>
          <w:rFonts w:cs="Arial"/>
          <w:lang w:eastAsia="en-AU"/>
        </w:rPr>
        <w:t xml:space="preserve">public access test and </w:t>
      </w:r>
      <w:r w:rsidR="00C824C3">
        <w:rPr>
          <w:rFonts w:cs="Arial"/>
          <w:lang w:eastAsia="en-AU"/>
        </w:rPr>
        <w:t xml:space="preserve">applicable </w:t>
      </w:r>
      <w:r w:rsidRPr="00A21D7D">
        <w:rPr>
          <w:rFonts w:cs="Arial"/>
          <w:lang w:eastAsia="en-AU"/>
        </w:rPr>
        <w:t>regulations</w:t>
      </w:r>
      <w:r w:rsidR="00C824C3">
        <w:rPr>
          <w:rFonts w:cs="Arial"/>
          <w:lang w:eastAsia="en-AU"/>
        </w:rPr>
        <w:t>.</w:t>
      </w:r>
      <w:r w:rsidRPr="00A21D7D">
        <w:rPr>
          <w:rFonts w:cs="Arial"/>
          <w:lang w:eastAsia="en-AU"/>
        </w:rPr>
        <w:t xml:space="preserve"> The respondent also agreed to review their policy regarding tours by persons with assistance dogs. It was also agreed that the complainant share suggestions for policy review with the respondent.</w:t>
      </w:r>
    </w:p>
    <w:p w14:paraId="60355E2D" w14:textId="77777777" w:rsidR="00126449" w:rsidRPr="00A21D7D" w:rsidRDefault="00126449" w:rsidP="007D0F77">
      <w:pPr>
        <w:pStyle w:val="Heading3"/>
        <w:rPr>
          <w:i/>
          <w:lang w:eastAsia="en-AU"/>
        </w:rPr>
      </w:pPr>
      <w:bookmarkStart w:id="69" w:name="_Toc49508906"/>
      <w:r w:rsidRPr="00A21D7D">
        <w:rPr>
          <w:lang w:eastAsia="en-AU"/>
        </w:rPr>
        <w:lastRenderedPageBreak/>
        <w:t>Oppressive accommodation clauses for tenant with a disability</w:t>
      </w:r>
      <w:bookmarkEnd w:id="69"/>
    </w:p>
    <w:p w14:paraId="7A6AC5C0" w14:textId="620BF739" w:rsidR="00126449" w:rsidRPr="00A21D7D" w:rsidRDefault="00126449" w:rsidP="00126449">
      <w:pPr>
        <w:rPr>
          <w:rFonts w:cs="Arial"/>
          <w:i/>
          <w:lang w:eastAsia="en-AU"/>
        </w:rPr>
      </w:pPr>
      <w:r w:rsidRPr="00A21D7D">
        <w:rPr>
          <w:rFonts w:cs="Arial"/>
          <w:lang w:eastAsia="en-AU"/>
        </w:rPr>
        <w:t>The complainant suffered from post-traumatic stress disorder (PTSD).</w:t>
      </w:r>
      <w:r w:rsidR="00B10E8B">
        <w:rPr>
          <w:rFonts w:cs="Arial"/>
          <w:lang w:eastAsia="en-AU"/>
        </w:rPr>
        <w:t xml:space="preserve"> </w:t>
      </w:r>
      <w:r w:rsidRPr="00A21D7D">
        <w:rPr>
          <w:rFonts w:cs="Arial"/>
          <w:lang w:eastAsia="en-AU"/>
        </w:rPr>
        <w:t>She applied for rental accommodation with the respondent at a unit complex.</w:t>
      </w:r>
      <w:r w:rsidR="00B10E8B">
        <w:rPr>
          <w:rFonts w:cs="Arial"/>
          <w:lang w:eastAsia="en-AU"/>
        </w:rPr>
        <w:t xml:space="preserve"> </w:t>
      </w:r>
      <w:r w:rsidRPr="00A21D7D">
        <w:rPr>
          <w:rFonts w:cs="Arial"/>
          <w:lang w:eastAsia="en-AU"/>
        </w:rPr>
        <w:t>The respondent required clauses in her lease that she must provide all relevant medical information in relation to her current medical condition, that she consent and agree to be examined and assessed by their medical practitioner, that she follow any certificate provided by the practitioner, and that the manager could enter her unit at any time without warning.</w:t>
      </w:r>
    </w:p>
    <w:p w14:paraId="6D315C0C" w14:textId="395985B4" w:rsidR="00126449" w:rsidRPr="00A21D7D" w:rsidRDefault="00126449" w:rsidP="00126449">
      <w:pPr>
        <w:rPr>
          <w:rFonts w:cs="Arial"/>
          <w:i/>
          <w:lang w:eastAsia="en-AU"/>
        </w:rPr>
      </w:pPr>
      <w:r w:rsidRPr="00A21D7D">
        <w:rPr>
          <w:rFonts w:cs="Arial"/>
          <w:lang w:eastAsia="en-AU"/>
        </w:rPr>
        <w:t>The organisational respondent representatives were new to the organisation.</w:t>
      </w:r>
      <w:r w:rsidR="00B10E8B">
        <w:rPr>
          <w:rFonts w:cs="Arial"/>
          <w:lang w:eastAsia="en-AU"/>
        </w:rPr>
        <w:t xml:space="preserve"> </w:t>
      </w:r>
      <w:r w:rsidRPr="00A21D7D">
        <w:rPr>
          <w:rFonts w:cs="Arial"/>
          <w:lang w:eastAsia="en-AU"/>
        </w:rPr>
        <w:t>They agreed that matters had been handled poorly and there were serious issues in relation to the management of the unit complex. Prior to the conference all tenant leases were remade to omit the additional clauses and the complex manager was disciplined.</w:t>
      </w:r>
    </w:p>
    <w:p w14:paraId="19A51799" w14:textId="77777777" w:rsidR="00126449" w:rsidRPr="00A21D7D" w:rsidRDefault="00126449" w:rsidP="00126449">
      <w:pPr>
        <w:rPr>
          <w:rFonts w:cs="Arial"/>
          <w:i/>
          <w:lang w:eastAsia="en-AU"/>
        </w:rPr>
      </w:pPr>
      <w:r w:rsidRPr="00A21D7D">
        <w:rPr>
          <w:rFonts w:cs="Arial"/>
          <w:lang w:eastAsia="en-AU"/>
        </w:rPr>
        <w:t>The complaint was resolved on the basis of $4000 general damages and $4000 economic loss (for a home based business the complainant could not continue due to lack of privacy), an apology, and training in discrimination for the complex manager.</w:t>
      </w:r>
    </w:p>
    <w:p w14:paraId="6DBD25EA" w14:textId="77777777" w:rsidR="00126449" w:rsidRPr="00A21D7D" w:rsidRDefault="00126449" w:rsidP="007D0F77">
      <w:pPr>
        <w:pStyle w:val="Heading3"/>
        <w:rPr>
          <w:i/>
          <w:lang w:eastAsia="en-AU"/>
        </w:rPr>
      </w:pPr>
      <w:bookmarkStart w:id="70" w:name="_Toc49508907"/>
      <w:r w:rsidRPr="00A21D7D">
        <w:rPr>
          <w:lang w:eastAsia="en-AU"/>
        </w:rPr>
        <w:t>Body Corporate denied disability access</w:t>
      </w:r>
      <w:bookmarkEnd w:id="70"/>
    </w:p>
    <w:p w14:paraId="0C64673D" w14:textId="0EEF408B" w:rsidR="00126449" w:rsidRPr="00A21D7D" w:rsidRDefault="00126449" w:rsidP="00126449">
      <w:pPr>
        <w:rPr>
          <w:rFonts w:cs="Arial"/>
          <w:i/>
          <w:lang w:eastAsia="en-AU"/>
        </w:rPr>
      </w:pPr>
      <w:r w:rsidRPr="00A21D7D">
        <w:rPr>
          <w:rFonts w:cs="Arial"/>
          <w:lang w:eastAsia="en-AU"/>
        </w:rPr>
        <w:t>The complainant is in a wheelchair and was unable to trigger the swipe lock for the door into her apartment complex and then manoeuvre her wheelchair to open and close the heavy door. She had asked the Body Corporate to install an automatic door opening mechanism but they did not believe this was an appropriate way to spend their money.</w:t>
      </w:r>
    </w:p>
    <w:p w14:paraId="02D951ED" w14:textId="77777777" w:rsidR="00126449" w:rsidRPr="00A21D7D" w:rsidRDefault="00126449" w:rsidP="00126449">
      <w:pPr>
        <w:rPr>
          <w:rFonts w:cs="Arial"/>
          <w:i/>
          <w:lang w:eastAsia="en-AU"/>
        </w:rPr>
      </w:pPr>
      <w:r w:rsidRPr="00A21D7D">
        <w:rPr>
          <w:rFonts w:cs="Arial"/>
          <w:lang w:eastAsia="en-AU"/>
        </w:rPr>
        <w:t>The Body Corporate were compassionate to the complainant's situation but did not believe it was their responsibility to install the automatic mechanism.</w:t>
      </w:r>
    </w:p>
    <w:p w14:paraId="66289E81" w14:textId="77777777" w:rsidR="00126449" w:rsidRPr="00A21D7D" w:rsidRDefault="00126449" w:rsidP="00126449">
      <w:pPr>
        <w:rPr>
          <w:rFonts w:cs="Arial"/>
          <w:i/>
          <w:lang w:eastAsia="en-AU"/>
        </w:rPr>
      </w:pPr>
      <w:r w:rsidRPr="00A21D7D">
        <w:rPr>
          <w:rFonts w:cs="Arial"/>
          <w:lang w:eastAsia="en-AU"/>
        </w:rPr>
        <w:t>Following conciliation the Body Corporate agreed to install the automatic mechanism.</w:t>
      </w:r>
    </w:p>
    <w:p w14:paraId="3F55978D" w14:textId="1D0DDD48" w:rsidR="00126449" w:rsidRPr="00A21D7D" w:rsidRDefault="007B2140" w:rsidP="007D0F77">
      <w:pPr>
        <w:pStyle w:val="Heading3"/>
        <w:rPr>
          <w:i/>
          <w:lang w:eastAsia="en-AU"/>
        </w:rPr>
      </w:pPr>
      <w:bookmarkStart w:id="71" w:name="_Toc49508908"/>
      <w:r>
        <w:rPr>
          <w:lang w:eastAsia="en-AU"/>
        </w:rPr>
        <w:t>Piercing service r</w:t>
      </w:r>
      <w:r w:rsidR="00126449" w:rsidRPr="00A21D7D">
        <w:rPr>
          <w:lang w:eastAsia="en-AU"/>
        </w:rPr>
        <w:t>efused to HIV positive customer</w:t>
      </w:r>
      <w:bookmarkEnd w:id="71"/>
    </w:p>
    <w:p w14:paraId="51A3E126" w14:textId="0C6F1E9C" w:rsidR="00126449" w:rsidRPr="00A21D7D" w:rsidRDefault="00126449" w:rsidP="00126449">
      <w:pPr>
        <w:rPr>
          <w:rFonts w:cs="Arial"/>
          <w:i/>
          <w:lang w:eastAsia="en-AU"/>
        </w:rPr>
      </w:pPr>
      <w:r w:rsidRPr="00A21D7D">
        <w:rPr>
          <w:rFonts w:cs="Arial"/>
          <w:lang w:eastAsia="en-AU"/>
        </w:rPr>
        <w:t>The complainant was refused service to have his nipple pierced after disclosing that he was HIV positive.</w:t>
      </w:r>
      <w:r w:rsidR="00B10E8B">
        <w:rPr>
          <w:rFonts w:cs="Arial"/>
          <w:lang w:eastAsia="en-AU"/>
        </w:rPr>
        <w:t xml:space="preserve"> </w:t>
      </w:r>
      <w:r w:rsidRPr="00A21D7D">
        <w:rPr>
          <w:rFonts w:cs="Arial"/>
          <w:lang w:eastAsia="en-AU"/>
        </w:rPr>
        <w:t>The respondent company also asked questions about whether the client was HIV positive on a form the complainant had been asked to complete.</w:t>
      </w:r>
      <w:r w:rsidR="00B10E8B">
        <w:rPr>
          <w:rFonts w:cs="Arial"/>
          <w:lang w:eastAsia="en-AU"/>
        </w:rPr>
        <w:t xml:space="preserve"> </w:t>
      </w:r>
    </w:p>
    <w:p w14:paraId="17016259" w14:textId="77777777" w:rsidR="00126449" w:rsidRPr="00A21D7D" w:rsidRDefault="00126449" w:rsidP="00126449">
      <w:pPr>
        <w:rPr>
          <w:rFonts w:cs="Arial"/>
          <w:i/>
          <w:lang w:eastAsia="en-AU"/>
        </w:rPr>
      </w:pPr>
      <w:r w:rsidRPr="00A21D7D">
        <w:rPr>
          <w:rFonts w:cs="Arial"/>
          <w:lang w:eastAsia="en-AU"/>
        </w:rPr>
        <w:t>The respondent organisation indicated that they did not believe the question on the form was discriminatory because the question was asked as a precaution if the client suffered adverse symptoms as a result of the piercing. The individual respondent stated that she was following employer policy and would have pierced the complainant if he had provided a doctor's certificate to indicate it was safe to do so.</w:t>
      </w:r>
    </w:p>
    <w:p w14:paraId="2B26A742" w14:textId="62A62C5A" w:rsidR="00126449" w:rsidRPr="00A21D7D" w:rsidRDefault="00126449" w:rsidP="00126449">
      <w:pPr>
        <w:rPr>
          <w:rFonts w:cs="Arial"/>
          <w:i/>
          <w:lang w:eastAsia="en-AU"/>
        </w:rPr>
      </w:pPr>
      <w:r w:rsidRPr="00A21D7D">
        <w:rPr>
          <w:rFonts w:cs="Arial"/>
          <w:lang w:eastAsia="en-AU"/>
        </w:rPr>
        <w:t>The complaint was resolve</w:t>
      </w:r>
      <w:r w:rsidR="00E55888">
        <w:rPr>
          <w:rFonts w:cs="Arial"/>
          <w:lang w:eastAsia="en-AU"/>
        </w:rPr>
        <w:t>d</w:t>
      </w:r>
      <w:r w:rsidRPr="00A21D7D">
        <w:rPr>
          <w:rFonts w:cs="Arial"/>
          <w:lang w:eastAsia="en-AU"/>
        </w:rPr>
        <w:t xml:space="preserve"> by payment of compensation to the complainant of $2,000 plus $25 refund of piercing deposit.</w:t>
      </w:r>
      <w:r w:rsidR="00B10E8B">
        <w:rPr>
          <w:rFonts w:cs="Arial"/>
          <w:lang w:eastAsia="en-AU"/>
        </w:rPr>
        <w:t xml:space="preserve"> </w:t>
      </w:r>
      <w:r w:rsidRPr="00A21D7D">
        <w:rPr>
          <w:rFonts w:cs="Arial"/>
          <w:lang w:eastAsia="en-AU"/>
        </w:rPr>
        <w:t>Training for all staff in "occupational exposure and discrimination principles relating to HIV"</w:t>
      </w:r>
      <w:r w:rsidR="00E55888">
        <w:rPr>
          <w:rFonts w:cs="Arial"/>
          <w:lang w:eastAsia="en-AU"/>
        </w:rPr>
        <w:t xml:space="preserve"> was agreed</w:t>
      </w:r>
      <w:r w:rsidRPr="00A21D7D">
        <w:rPr>
          <w:rFonts w:cs="Arial"/>
          <w:lang w:eastAsia="en-AU"/>
        </w:rPr>
        <w:t>.</w:t>
      </w:r>
      <w:r w:rsidR="00B10E8B">
        <w:rPr>
          <w:rFonts w:cs="Arial"/>
          <w:lang w:eastAsia="en-AU"/>
        </w:rPr>
        <w:t xml:space="preserve"> </w:t>
      </w:r>
      <w:r w:rsidRPr="00A21D7D">
        <w:rPr>
          <w:rFonts w:cs="Arial"/>
          <w:lang w:eastAsia="en-AU"/>
        </w:rPr>
        <w:t xml:space="preserve">The questions regarding HIV were removed from the </w:t>
      </w:r>
      <w:r w:rsidR="00E55888">
        <w:rPr>
          <w:rFonts w:cs="Arial"/>
          <w:lang w:eastAsia="en-AU"/>
        </w:rPr>
        <w:t>c</w:t>
      </w:r>
      <w:r w:rsidRPr="00A21D7D">
        <w:rPr>
          <w:rFonts w:cs="Arial"/>
          <w:lang w:eastAsia="en-AU"/>
        </w:rPr>
        <w:t xml:space="preserve">onsent </w:t>
      </w:r>
      <w:r w:rsidR="00E55888">
        <w:rPr>
          <w:rFonts w:cs="Arial"/>
          <w:lang w:eastAsia="en-AU"/>
        </w:rPr>
        <w:t>f</w:t>
      </w:r>
      <w:r w:rsidRPr="00A21D7D">
        <w:rPr>
          <w:rFonts w:cs="Arial"/>
          <w:lang w:eastAsia="en-AU"/>
        </w:rPr>
        <w:t>orm.</w:t>
      </w:r>
    </w:p>
    <w:p w14:paraId="5133045F" w14:textId="77777777" w:rsidR="00126449" w:rsidRPr="00A21D7D" w:rsidRDefault="00126449" w:rsidP="007D0F77">
      <w:pPr>
        <w:pStyle w:val="Heading3"/>
        <w:rPr>
          <w:i/>
          <w:lang w:eastAsia="en-AU"/>
        </w:rPr>
      </w:pPr>
      <w:bookmarkStart w:id="72" w:name="_Toc49508909"/>
      <w:r w:rsidRPr="00A21D7D">
        <w:rPr>
          <w:lang w:eastAsia="en-AU"/>
        </w:rPr>
        <w:lastRenderedPageBreak/>
        <w:t>Workplace prank not funny</w:t>
      </w:r>
      <w:bookmarkEnd w:id="72"/>
    </w:p>
    <w:p w14:paraId="2D3B8FF9" w14:textId="2349AB87" w:rsidR="00126449" w:rsidRPr="00A21D7D" w:rsidRDefault="00126449" w:rsidP="00126449">
      <w:pPr>
        <w:rPr>
          <w:rFonts w:cs="Arial"/>
          <w:i/>
          <w:lang w:eastAsia="en-AU"/>
        </w:rPr>
      </w:pPr>
      <w:r w:rsidRPr="00A21D7D">
        <w:rPr>
          <w:rFonts w:cs="Arial"/>
          <w:lang w:eastAsia="en-AU"/>
        </w:rPr>
        <w:t>The complainant was a 15 year old boy working at a retail butchery. As an intended prank, the two supervising butchers took the complainants mobile phone and took a photo of one of the supervisor</w:t>
      </w:r>
      <w:r w:rsidR="00E55888">
        <w:rPr>
          <w:rFonts w:cs="Arial"/>
          <w:lang w:eastAsia="en-AU"/>
        </w:rPr>
        <w:t>’</w:t>
      </w:r>
      <w:r w:rsidRPr="00A21D7D">
        <w:rPr>
          <w:rFonts w:cs="Arial"/>
          <w:lang w:eastAsia="en-AU"/>
        </w:rPr>
        <w:t>s genitals and asked the complainant to check their phone.</w:t>
      </w:r>
    </w:p>
    <w:p w14:paraId="610F06AB" w14:textId="0C7C2968" w:rsidR="00126449" w:rsidRPr="00A21D7D" w:rsidRDefault="00126449" w:rsidP="00126449">
      <w:pPr>
        <w:rPr>
          <w:rFonts w:cs="Arial"/>
          <w:i/>
          <w:lang w:eastAsia="en-AU"/>
        </w:rPr>
      </w:pPr>
      <w:r w:rsidRPr="00A21D7D">
        <w:rPr>
          <w:rFonts w:cs="Arial"/>
          <w:lang w:eastAsia="en-AU"/>
        </w:rPr>
        <w:t>The respondents admitted to the allegations</w:t>
      </w:r>
      <w:r w:rsidR="00E55888">
        <w:rPr>
          <w:rFonts w:cs="Arial"/>
          <w:lang w:eastAsia="en-AU"/>
        </w:rPr>
        <w:t>,</w:t>
      </w:r>
      <w:r w:rsidRPr="00A21D7D">
        <w:rPr>
          <w:rFonts w:cs="Arial"/>
          <w:lang w:eastAsia="en-AU"/>
        </w:rPr>
        <w:t xml:space="preserve"> stating that it was a joke and that they believe</w:t>
      </w:r>
      <w:r w:rsidR="007B2140">
        <w:rPr>
          <w:rFonts w:cs="Arial"/>
          <w:lang w:eastAsia="en-AU"/>
        </w:rPr>
        <w:t>d</w:t>
      </w:r>
      <w:r w:rsidRPr="00A21D7D">
        <w:rPr>
          <w:rFonts w:cs="Arial"/>
          <w:lang w:eastAsia="en-AU"/>
        </w:rPr>
        <w:t xml:space="preserve"> the complainant was not </w:t>
      </w:r>
      <w:r w:rsidR="00A21D7D">
        <w:rPr>
          <w:rFonts w:cs="Arial"/>
          <w:lang w:eastAsia="en-AU"/>
        </w:rPr>
        <w:t>a</w:t>
      </w:r>
      <w:r w:rsidRPr="00A21D7D">
        <w:rPr>
          <w:rFonts w:cs="Arial"/>
          <w:lang w:eastAsia="en-AU"/>
        </w:rPr>
        <w:t xml:space="preserve">ffected because his response was jovial. </w:t>
      </w:r>
    </w:p>
    <w:p w14:paraId="187FA557" w14:textId="77777777" w:rsidR="00126449" w:rsidRPr="00A21D7D" w:rsidRDefault="00126449" w:rsidP="00126449">
      <w:pPr>
        <w:rPr>
          <w:rFonts w:cs="Arial"/>
          <w:i/>
          <w:lang w:eastAsia="en-AU"/>
        </w:rPr>
      </w:pPr>
      <w:r w:rsidRPr="00A21D7D">
        <w:rPr>
          <w:rFonts w:cs="Arial"/>
          <w:lang w:eastAsia="en-AU"/>
        </w:rPr>
        <w:t>The complainant attended the conference represented by an advocate and he explained the significant impact the events had caused. An agreement was reached for written apologies from the two supervisors and $50,000 as general damages.</w:t>
      </w:r>
    </w:p>
    <w:p w14:paraId="5BF990D9" w14:textId="77777777" w:rsidR="00126449" w:rsidRPr="00A21D7D" w:rsidRDefault="00126449" w:rsidP="007D0F77">
      <w:pPr>
        <w:pStyle w:val="Heading3"/>
        <w:rPr>
          <w:i/>
          <w:lang w:eastAsia="en-AU"/>
        </w:rPr>
      </w:pPr>
      <w:bookmarkStart w:id="73" w:name="_Toc49508910"/>
      <w:r w:rsidRPr="00A21D7D">
        <w:rPr>
          <w:lang w:eastAsia="en-AU"/>
        </w:rPr>
        <w:t>Mother’s anaphylactic allergy not understood by childcare centre</w:t>
      </w:r>
      <w:bookmarkEnd w:id="73"/>
    </w:p>
    <w:p w14:paraId="1036BC76" w14:textId="77777777" w:rsidR="00126449" w:rsidRPr="00A21D7D" w:rsidRDefault="00126449" w:rsidP="00126449">
      <w:pPr>
        <w:rPr>
          <w:rFonts w:cs="Arial"/>
          <w:i/>
          <w:lang w:eastAsia="en-AU"/>
        </w:rPr>
      </w:pPr>
      <w:r w:rsidRPr="00A21D7D">
        <w:rPr>
          <w:rFonts w:cs="Arial"/>
          <w:lang w:eastAsia="en-AU"/>
        </w:rPr>
        <w:t xml:space="preserve">The complainant has a life threatening allergy to latex that included the transfer of airborne particles. The respondent childcare centre where the complainant’s children were enrolled had been informed of the complainant’s condition and had agreed to an allergy management plan that included not using latex balloons. </w:t>
      </w:r>
    </w:p>
    <w:p w14:paraId="1EE8B65D" w14:textId="77777777" w:rsidR="00126449" w:rsidRPr="00A21D7D" w:rsidRDefault="00126449" w:rsidP="00126449">
      <w:pPr>
        <w:rPr>
          <w:rFonts w:cs="Arial"/>
          <w:i/>
          <w:lang w:eastAsia="en-AU"/>
        </w:rPr>
      </w:pPr>
      <w:r w:rsidRPr="00A21D7D">
        <w:rPr>
          <w:rFonts w:cs="Arial"/>
          <w:lang w:eastAsia="en-AU"/>
        </w:rPr>
        <w:t>The respondent arranged a Christmas party at the centre including the use of latex balloons. The complainant reminded the centre of the allergy management plan and supplied latex free alternatives at her own cost. Despite this the latex balloons were used as were the alternatives.</w:t>
      </w:r>
    </w:p>
    <w:p w14:paraId="60A8C9CD" w14:textId="31CDB1BA" w:rsidR="00126449" w:rsidRPr="00A21D7D" w:rsidRDefault="00126449" w:rsidP="00126449">
      <w:pPr>
        <w:rPr>
          <w:rFonts w:cs="Arial"/>
          <w:i/>
          <w:lang w:eastAsia="en-AU"/>
        </w:rPr>
      </w:pPr>
      <w:r w:rsidRPr="00A21D7D">
        <w:rPr>
          <w:rFonts w:cs="Arial"/>
          <w:lang w:eastAsia="en-AU"/>
        </w:rPr>
        <w:t xml:space="preserve">After the party airborne particles transferred onto the children’s clothing and the complainant suffered a reaction, developed complications and was off work and unable to socialise for </w:t>
      </w:r>
      <w:r w:rsidR="001E0180">
        <w:rPr>
          <w:rFonts w:cs="Arial"/>
          <w:lang w:eastAsia="en-AU"/>
        </w:rPr>
        <w:t>five</w:t>
      </w:r>
      <w:r w:rsidRPr="00A21D7D">
        <w:rPr>
          <w:rFonts w:cs="Arial"/>
          <w:lang w:eastAsia="en-AU"/>
        </w:rPr>
        <w:t xml:space="preserve"> weeks. The complainant moved her children to another centre.</w:t>
      </w:r>
    </w:p>
    <w:p w14:paraId="4652AA45" w14:textId="2F65DD1B" w:rsidR="00126449" w:rsidRPr="00A21D7D" w:rsidRDefault="00126449" w:rsidP="00126449">
      <w:pPr>
        <w:rPr>
          <w:rFonts w:cs="Arial"/>
          <w:i/>
          <w:lang w:eastAsia="en-AU"/>
        </w:rPr>
      </w:pPr>
      <w:r w:rsidRPr="00A21D7D">
        <w:rPr>
          <w:rFonts w:cs="Arial"/>
          <w:lang w:eastAsia="en-AU"/>
        </w:rPr>
        <w:t xml:space="preserve">At conference the respondent explained they did not understand the complexity of </w:t>
      </w:r>
      <w:r w:rsidR="001E0180">
        <w:rPr>
          <w:rFonts w:cs="Arial"/>
          <w:lang w:eastAsia="en-AU"/>
        </w:rPr>
        <w:t xml:space="preserve">the </w:t>
      </w:r>
      <w:r w:rsidRPr="00A21D7D">
        <w:rPr>
          <w:rFonts w:cs="Arial"/>
          <w:lang w:eastAsia="en-AU"/>
        </w:rPr>
        <w:t>situation. They thought they had minimised the risk as the balloons were blown up after the children had left, they were stored in another room overnight, they were hung high before the children arrived, they were removed when the children were not in the room and the children did not touch the balloons.</w:t>
      </w:r>
      <w:r w:rsidR="007B2140">
        <w:rPr>
          <w:rFonts w:cs="Arial"/>
          <w:lang w:eastAsia="en-AU"/>
        </w:rPr>
        <w:t xml:space="preserve"> </w:t>
      </w:r>
      <w:r w:rsidRPr="00A21D7D">
        <w:rPr>
          <w:rFonts w:cs="Arial"/>
          <w:lang w:eastAsia="en-AU"/>
        </w:rPr>
        <w:t>They just wanted to make all the kids and parents happ</w:t>
      </w:r>
      <w:r w:rsidR="001E0180">
        <w:rPr>
          <w:rFonts w:cs="Arial"/>
          <w:lang w:eastAsia="en-AU"/>
        </w:rPr>
        <w:t xml:space="preserve">y. They </w:t>
      </w:r>
      <w:r w:rsidRPr="00A21D7D">
        <w:rPr>
          <w:rFonts w:cs="Arial"/>
          <w:lang w:eastAsia="en-AU"/>
        </w:rPr>
        <w:t>apologised for the stress and advised there was no deliberate intention to harm the complainant.</w:t>
      </w:r>
    </w:p>
    <w:p w14:paraId="6C5AE903" w14:textId="5D24A685" w:rsidR="00126449" w:rsidRPr="00A21D7D" w:rsidRDefault="00126449" w:rsidP="00126449">
      <w:pPr>
        <w:rPr>
          <w:rFonts w:cs="Arial"/>
          <w:i/>
          <w:lang w:eastAsia="en-AU"/>
        </w:rPr>
      </w:pPr>
      <w:r w:rsidRPr="00A21D7D">
        <w:rPr>
          <w:rFonts w:cs="Arial"/>
          <w:lang w:eastAsia="en-AU"/>
        </w:rPr>
        <w:t xml:space="preserve">The complaint was resolved with the establishment of an Allergy Management Policy in line with the </w:t>
      </w:r>
      <w:r w:rsidR="001E0180">
        <w:rPr>
          <w:rFonts w:cs="Arial"/>
          <w:lang w:eastAsia="en-AU"/>
        </w:rPr>
        <w:t>n</w:t>
      </w:r>
      <w:r w:rsidRPr="00A21D7D">
        <w:rPr>
          <w:rFonts w:cs="Arial"/>
          <w:lang w:eastAsia="en-AU"/>
        </w:rPr>
        <w:t xml:space="preserve">ational </w:t>
      </w:r>
      <w:r w:rsidR="001E0180">
        <w:rPr>
          <w:rFonts w:cs="Arial"/>
          <w:lang w:eastAsia="en-AU"/>
        </w:rPr>
        <w:t>l</w:t>
      </w:r>
      <w:r w:rsidRPr="00A21D7D">
        <w:rPr>
          <w:rFonts w:cs="Arial"/>
          <w:lang w:eastAsia="en-AU"/>
        </w:rPr>
        <w:t xml:space="preserve">aws and </w:t>
      </w:r>
      <w:r w:rsidR="001E0180">
        <w:rPr>
          <w:rFonts w:cs="Arial"/>
          <w:lang w:eastAsia="en-AU"/>
        </w:rPr>
        <w:t>r</w:t>
      </w:r>
      <w:r w:rsidRPr="00A21D7D">
        <w:rPr>
          <w:rFonts w:cs="Arial"/>
          <w:lang w:eastAsia="en-AU"/>
        </w:rPr>
        <w:t>egulations, a financial donation to a specific allergy organisation,</w:t>
      </w:r>
      <w:r w:rsidR="001E0180">
        <w:rPr>
          <w:rFonts w:cs="Arial"/>
          <w:lang w:eastAsia="en-AU"/>
        </w:rPr>
        <w:t xml:space="preserve"> and</w:t>
      </w:r>
      <w:r w:rsidRPr="00A21D7D">
        <w:rPr>
          <w:rFonts w:cs="Arial"/>
          <w:lang w:eastAsia="en-AU"/>
        </w:rPr>
        <w:t xml:space="preserve"> the individual respondent agree</w:t>
      </w:r>
      <w:r w:rsidR="007B2140">
        <w:rPr>
          <w:rFonts w:cs="Arial"/>
          <w:lang w:eastAsia="en-AU"/>
        </w:rPr>
        <w:t>ing</w:t>
      </w:r>
      <w:r w:rsidRPr="00A21D7D">
        <w:rPr>
          <w:rFonts w:cs="Arial"/>
          <w:lang w:eastAsia="en-AU"/>
        </w:rPr>
        <w:t xml:space="preserve"> to attend discrimination and anaphylaxis training.</w:t>
      </w:r>
    </w:p>
    <w:p w14:paraId="41008A8B" w14:textId="63310B6D" w:rsidR="003B6F9D" w:rsidRDefault="003B6F9D" w:rsidP="003B6F9D">
      <w:pPr>
        <w:pStyle w:val="Keystatistics"/>
        <w:rPr>
          <w:lang w:val="en" w:eastAsia="en-AU"/>
        </w:rPr>
      </w:pPr>
      <w:bookmarkStart w:id="74" w:name="_Toc49508911"/>
      <w:r>
        <w:rPr>
          <w:lang w:val="en" w:eastAsia="en-AU"/>
        </w:rPr>
        <w:t>“</w:t>
      </w:r>
      <w:r w:rsidRPr="00A21D7D">
        <w:rPr>
          <w:lang w:val="en" w:eastAsia="en-AU"/>
        </w:rPr>
        <w:t>I would to like to thank you for your kind support, compassion and understanding through this difficult time for me, (Conciliator) from the HRC and (advocate) thank you both</w:t>
      </w:r>
      <w:r>
        <w:rPr>
          <w:lang w:val="en" w:eastAsia="en-AU"/>
        </w:rPr>
        <w:t xml:space="preserve">.” </w:t>
      </w:r>
    </w:p>
    <w:p w14:paraId="531EFC14" w14:textId="2DC2A359" w:rsidR="003B6F9D" w:rsidRPr="00A21D7D" w:rsidRDefault="003B6F9D" w:rsidP="003B6F9D">
      <w:pPr>
        <w:pStyle w:val="Keystatistics"/>
        <w:numPr>
          <w:ilvl w:val="0"/>
          <w:numId w:val="41"/>
        </w:numPr>
        <w:rPr>
          <w:lang w:val="en" w:eastAsia="en-AU"/>
        </w:rPr>
      </w:pPr>
      <w:r>
        <w:rPr>
          <w:lang w:val="en" w:eastAsia="en-AU"/>
        </w:rPr>
        <w:t>Feedback from a c</w:t>
      </w:r>
      <w:r w:rsidRPr="00A21D7D">
        <w:rPr>
          <w:lang w:val="en" w:eastAsia="en-AU"/>
        </w:rPr>
        <w:t>omplainant</w:t>
      </w:r>
      <w:r>
        <w:rPr>
          <w:lang w:val="en" w:eastAsia="en-AU"/>
        </w:rPr>
        <w:t xml:space="preserve"> received in 2019-20</w:t>
      </w:r>
    </w:p>
    <w:p w14:paraId="7B01117D" w14:textId="77777777" w:rsidR="003B6F9D" w:rsidRDefault="003B6F9D" w:rsidP="003B6F9D">
      <w:pPr>
        <w:pStyle w:val="Keystatistics"/>
        <w:rPr>
          <w:rFonts w:eastAsiaTheme="majorEastAsia" w:cstheme="majorBidi"/>
          <w:sz w:val="36"/>
          <w:szCs w:val="26"/>
        </w:rPr>
      </w:pPr>
      <w:r>
        <w:br w:type="page"/>
      </w:r>
    </w:p>
    <w:p w14:paraId="76AA1105" w14:textId="3095B9AE" w:rsidR="00126449" w:rsidRPr="00A21D7D" w:rsidRDefault="00126449" w:rsidP="007D0F77">
      <w:pPr>
        <w:pStyle w:val="Heading2"/>
        <w:rPr>
          <w:i/>
        </w:rPr>
      </w:pPr>
      <w:r w:rsidRPr="00A21D7D">
        <w:lastRenderedPageBreak/>
        <w:t>Evaluation</w:t>
      </w:r>
      <w:bookmarkEnd w:id="74"/>
    </w:p>
    <w:p w14:paraId="755BF39C" w14:textId="150426F9" w:rsidR="00126449" w:rsidRPr="00A21D7D" w:rsidRDefault="00126449" w:rsidP="00126449">
      <w:pPr>
        <w:spacing w:before="120" w:after="120" w:line="240" w:lineRule="auto"/>
        <w:rPr>
          <w:rFonts w:cs="Arial"/>
          <w:i/>
          <w:lang w:eastAsia="en-AU"/>
        </w:rPr>
      </w:pPr>
      <w:r w:rsidRPr="00A21D7D">
        <w:rPr>
          <w:rFonts w:cs="Arial"/>
          <w:lang w:eastAsia="en-AU"/>
        </w:rPr>
        <w:t xml:space="preserve">Following each conciliation conference, complaint parties are asked to evaluate </w:t>
      </w:r>
      <w:r w:rsidR="00B60390">
        <w:rPr>
          <w:rFonts w:cs="Arial"/>
          <w:lang w:eastAsia="en-AU"/>
        </w:rPr>
        <w:t>our</w:t>
      </w:r>
      <w:r w:rsidRPr="00A21D7D">
        <w:rPr>
          <w:rFonts w:cs="Arial"/>
          <w:lang w:eastAsia="en-AU"/>
        </w:rPr>
        <w:t xml:space="preserve"> complaint process based on a variety of factors including:</w:t>
      </w:r>
    </w:p>
    <w:p w14:paraId="639D9F2E" w14:textId="0CA57FA1" w:rsidR="00126449" w:rsidRPr="00A21D7D" w:rsidRDefault="00126449" w:rsidP="00426167">
      <w:pPr>
        <w:pStyle w:val="ListParagraph"/>
        <w:ind w:left="851" w:hanging="284"/>
        <w:rPr>
          <w:i/>
          <w:lang w:val="en" w:eastAsia="en-AU"/>
        </w:rPr>
      </w:pPr>
      <w:r w:rsidRPr="00A21D7D">
        <w:rPr>
          <w:lang w:val="en" w:eastAsia="en-AU"/>
        </w:rPr>
        <w:t>outcome of the complaint</w:t>
      </w:r>
      <w:r w:rsidR="007B2140">
        <w:rPr>
          <w:lang w:val="en" w:eastAsia="en-AU"/>
        </w:rPr>
        <w:t>;</w:t>
      </w:r>
    </w:p>
    <w:p w14:paraId="30F09D20" w14:textId="403C01FD" w:rsidR="00126449" w:rsidRPr="00A21D7D" w:rsidRDefault="00126449" w:rsidP="00426167">
      <w:pPr>
        <w:pStyle w:val="ListParagraph"/>
        <w:ind w:left="851" w:hanging="284"/>
        <w:rPr>
          <w:i/>
          <w:lang w:val="en" w:eastAsia="en-AU"/>
        </w:rPr>
      </w:pPr>
      <w:r w:rsidRPr="00A21D7D">
        <w:rPr>
          <w:lang w:val="en" w:eastAsia="en-AU"/>
        </w:rPr>
        <w:t>fairness of the process</w:t>
      </w:r>
      <w:r w:rsidR="007B2140">
        <w:rPr>
          <w:lang w:val="en" w:eastAsia="en-AU"/>
        </w:rPr>
        <w:t>;</w:t>
      </w:r>
    </w:p>
    <w:p w14:paraId="19C8A04E" w14:textId="210E16C0" w:rsidR="00126449" w:rsidRPr="00A21D7D" w:rsidRDefault="00126449" w:rsidP="00426167">
      <w:pPr>
        <w:pStyle w:val="ListParagraph"/>
        <w:ind w:left="851" w:hanging="284"/>
        <w:rPr>
          <w:i/>
          <w:lang w:val="en" w:eastAsia="en-AU"/>
        </w:rPr>
      </w:pPr>
      <w:r w:rsidRPr="00A21D7D">
        <w:rPr>
          <w:lang w:val="en" w:eastAsia="en-AU"/>
        </w:rPr>
        <w:t>clarity of letters and brochures provided</w:t>
      </w:r>
      <w:r w:rsidR="007B2140">
        <w:rPr>
          <w:lang w:val="en" w:eastAsia="en-AU"/>
        </w:rPr>
        <w:t>;</w:t>
      </w:r>
    </w:p>
    <w:p w14:paraId="40BA9558" w14:textId="1FE4D626" w:rsidR="00126449" w:rsidRPr="00A21D7D" w:rsidRDefault="00126449" w:rsidP="00426167">
      <w:pPr>
        <w:pStyle w:val="ListParagraph"/>
        <w:ind w:left="851" w:hanging="284"/>
        <w:rPr>
          <w:i/>
          <w:lang w:val="en" w:eastAsia="en-AU"/>
        </w:rPr>
      </w:pPr>
      <w:r w:rsidRPr="00A21D7D">
        <w:rPr>
          <w:lang w:val="en" w:eastAsia="en-AU"/>
        </w:rPr>
        <w:t>reliability of information provided</w:t>
      </w:r>
      <w:r w:rsidR="007B2140">
        <w:rPr>
          <w:lang w:val="en" w:eastAsia="en-AU"/>
        </w:rPr>
        <w:t>;</w:t>
      </w:r>
    </w:p>
    <w:p w14:paraId="510035F9" w14:textId="0757E9C3" w:rsidR="00126449" w:rsidRPr="00A21D7D" w:rsidRDefault="00126449" w:rsidP="00426167">
      <w:pPr>
        <w:pStyle w:val="ListParagraph"/>
        <w:ind w:left="851" w:hanging="284"/>
        <w:rPr>
          <w:i/>
          <w:lang w:val="en" w:eastAsia="en-AU"/>
        </w:rPr>
      </w:pPr>
      <w:r w:rsidRPr="00A21D7D">
        <w:rPr>
          <w:lang w:val="en" w:eastAsia="en-AU"/>
        </w:rPr>
        <w:t>timeliness of the process</w:t>
      </w:r>
      <w:r w:rsidR="007B2140">
        <w:rPr>
          <w:lang w:val="en" w:eastAsia="en-AU"/>
        </w:rPr>
        <w:t>;</w:t>
      </w:r>
    </w:p>
    <w:p w14:paraId="1023659B" w14:textId="62B2E4F7" w:rsidR="00126449" w:rsidRPr="00A21D7D" w:rsidRDefault="007B2140" w:rsidP="00426167">
      <w:pPr>
        <w:pStyle w:val="ListParagraph"/>
        <w:ind w:left="851" w:hanging="284"/>
        <w:rPr>
          <w:i/>
          <w:lang w:val="en" w:eastAsia="en-AU"/>
        </w:rPr>
      </w:pPr>
      <w:r>
        <w:rPr>
          <w:lang w:val="en" w:eastAsia="en-AU"/>
        </w:rPr>
        <w:t>conciliator’s skills;</w:t>
      </w:r>
      <w:r w:rsidR="00126449" w:rsidRPr="00A21D7D">
        <w:rPr>
          <w:lang w:val="en" w:eastAsia="en-AU"/>
        </w:rPr>
        <w:t xml:space="preserve"> and</w:t>
      </w:r>
    </w:p>
    <w:p w14:paraId="38FD9E1C" w14:textId="77777777" w:rsidR="00126449" w:rsidRPr="00A21D7D" w:rsidRDefault="00126449" w:rsidP="00426167">
      <w:pPr>
        <w:pStyle w:val="ListParagraph"/>
        <w:ind w:left="851" w:hanging="284"/>
        <w:rPr>
          <w:rFonts w:eastAsia="Times New Roman"/>
          <w:i/>
          <w:lang w:eastAsia="en-AU"/>
        </w:rPr>
      </w:pPr>
      <w:r w:rsidRPr="00A21D7D">
        <w:rPr>
          <w:lang w:val="en" w:eastAsia="en-AU"/>
        </w:rPr>
        <w:t>impact of the process on understanding of rights</w:t>
      </w:r>
      <w:r w:rsidRPr="00A21D7D">
        <w:rPr>
          <w:rFonts w:eastAsia="Times New Roman"/>
          <w:lang w:eastAsia="en-AU"/>
        </w:rPr>
        <w:t xml:space="preserve"> and responsibilities under anti-discrimination law.</w:t>
      </w:r>
    </w:p>
    <w:p w14:paraId="74A777DA" w14:textId="77777777" w:rsidR="00126449" w:rsidRPr="00A21D7D" w:rsidRDefault="00126449" w:rsidP="00002DB6">
      <w:pPr>
        <w:spacing w:before="120" w:after="120" w:line="240" w:lineRule="auto"/>
        <w:rPr>
          <w:rFonts w:cs="Arial"/>
          <w:i/>
        </w:rPr>
      </w:pPr>
      <w:r w:rsidRPr="00A21D7D">
        <w:rPr>
          <w:rFonts w:cs="Arial"/>
        </w:rPr>
        <w:t>A sample of responses from 2019-20 conciliation parties follows:</w:t>
      </w:r>
    </w:p>
    <w:p w14:paraId="452A8BB3" w14:textId="10DA2508" w:rsidR="00126449" w:rsidRPr="00A21D7D" w:rsidRDefault="00126449" w:rsidP="003B6F9D">
      <w:pPr>
        <w:pStyle w:val="Quote"/>
        <w:rPr>
          <w:lang w:val="en" w:eastAsia="en-AU"/>
        </w:rPr>
      </w:pPr>
      <w:r w:rsidRPr="00A21D7D">
        <w:rPr>
          <w:lang w:val="en" w:eastAsia="en-AU"/>
        </w:rPr>
        <w:t>(The conciliator) managed our otherwise extremely difficult conciliation matter with the greatest professionalism. I was quite at ease talking with (conciliator). She did not attempt to interrupt either one of us at any stage. Her calming influence helped to steer the discussion in a civil manner. (Respondent)</w:t>
      </w:r>
    </w:p>
    <w:p w14:paraId="4AC936EE" w14:textId="3FF5DE76" w:rsidR="00126449" w:rsidRPr="00A21D7D" w:rsidRDefault="00126449" w:rsidP="003B6F9D">
      <w:pPr>
        <w:pStyle w:val="Quote"/>
        <w:rPr>
          <w:lang w:val="en" w:eastAsia="en-AU"/>
        </w:rPr>
      </w:pPr>
      <w:r w:rsidRPr="00A21D7D">
        <w:rPr>
          <w:lang w:val="en" w:eastAsia="en-AU"/>
        </w:rPr>
        <w:t>I wish to thank (conciliator) for her understanding and making me feel comfortable th</w:t>
      </w:r>
      <w:r w:rsidR="007A703A">
        <w:rPr>
          <w:lang w:val="en" w:eastAsia="en-AU"/>
        </w:rPr>
        <w:t>r</w:t>
      </w:r>
      <w:r w:rsidRPr="00A21D7D">
        <w:rPr>
          <w:lang w:val="en" w:eastAsia="en-AU"/>
        </w:rPr>
        <w:t>oughout the process, it was a very stressful time. (</w:t>
      </w:r>
      <w:r w:rsidR="00A21D7D">
        <w:rPr>
          <w:lang w:val="en" w:eastAsia="en-AU"/>
        </w:rPr>
        <w:t>C</w:t>
      </w:r>
      <w:r w:rsidRPr="00A21D7D">
        <w:rPr>
          <w:lang w:val="en" w:eastAsia="en-AU"/>
        </w:rPr>
        <w:t>onciliator) was a great listener and explained things very clearly</w:t>
      </w:r>
      <w:r w:rsidR="007A703A">
        <w:rPr>
          <w:lang w:val="en" w:eastAsia="en-AU"/>
        </w:rPr>
        <w:t xml:space="preserve"> so</w:t>
      </w:r>
      <w:r w:rsidRPr="00A21D7D">
        <w:rPr>
          <w:lang w:val="en" w:eastAsia="en-AU"/>
        </w:rPr>
        <w:t xml:space="preserve"> that I understood every process and procedure. I wish to thank her from the bottom of my heart. THANKYOU (Complainant)</w:t>
      </w:r>
    </w:p>
    <w:p w14:paraId="3CB12696" w14:textId="77777777" w:rsidR="00126449" w:rsidRPr="00A21D7D" w:rsidRDefault="00126449" w:rsidP="003B6F9D">
      <w:pPr>
        <w:pStyle w:val="Quote"/>
        <w:rPr>
          <w:lang w:val="en" w:eastAsia="en-AU"/>
        </w:rPr>
      </w:pPr>
      <w:r w:rsidRPr="00A21D7D">
        <w:rPr>
          <w:lang w:val="en" w:eastAsia="en-AU"/>
        </w:rPr>
        <w:t xml:space="preserve">I would like to Personally thank (conciliator) , And to ALL the staff , And the People , who were involved , With My Complaint, Thank You All , Much Appreciated .(Complainant). </w:t>
      </w:r>
    </w:p>
    <w:p w14:paraId="7FE5048A" w14:textId="27F31904" w:rsidR="00126449" w:rsidRPr="00A21D7D" w:rsidRDefault="00126449" w:rsidP="003B6F9D">
      <w:pPr>
        <w:pStyle w:val="Quote"/>
        <w:rPr>
          <w:lang w:val="en" w:eastAsia="en-AU"/>
        </w:rPr>
      </w:pPr>
      <w:r w:rsidRPr="00A21D7D">
        <w:rPr>
          <w:lang w:val="en" w:eastAsia="en-AU"/>
        </w:rPr>
        <w:t>(Conciliator)</w:t>
      </w:r>
      <w:r w:rsidR="00B10E8B">
        <w:rPr>
          <w:lang w:val="en" w:eastAsia="en-AU"/>
        </w:rPr>
        <w:t xml:space="preserve"> </w:t>
      </w:r>
      <w:r w:rsidRPr="00A21D7D">
        <w:rPr>
          <w:lang w:val="en" w:eastAsia="en-AU"/>
        </w:rPr>
        <w:t>is very friendly and supportive. (Respondent)</w:t>
      </w:r>
    </w:p>
    <w:p w14:paraId="6EF9E57D" w14:textId="53D12883" w:rsidR="00126449" w:rsidRPr="00A21D7D" w:rsidRDefault="00126449" w:rsidP="003B6F9D">
      <w:pPr>
        <w:pStyle w:val="Quote"/>
        <w:rPr>
          <w:lang w:val="en" w:eastAsia="en-AU"/>
        </w:rPr>
      </w:pPr>
      <w:r w:rsidRPr="00A21D7D">
        <w:rPr>
          <w:lang w:val="en" w:eastAsia="en-AU"/>
        </w:rPr>
        <w:t xml:space="preserve">Accommodated a ridiculous claim </w:t>
      </w:r>
      <w:r w:rsidR="00A21D7D">
        <w:rPr>
          <w:lang w:val="en" w:eastAsia="en-AU"/>
        </w:rPr>
        <w:t>(R</w:t>
      </w:r>
      <w:r w:rsidRPr="00A21D7D">
        <w:rPr>
          <w:lang w:val="en" w:eastAsia="en-AU"/>
        </w:rPr>
        <w:t>espondent)</w:t>
      </w:r>
    </w:p>
    <w:p w14:paraId="25E6FDE4" w14:textId="77777777" w:rsidR="00126449" w:rsidRPr="00A21D7D" w:rsidRDefault="00126449" w:rsidP="003B6F9D">
      <w:pPr>
        <w:pStyle w:val="Quote"/>
        <w:rPr>
          <w:lang w:val="en" w:eastAsia="en-AU"/>
        </w:rPr>
      </w:pPr>
      <w:r w:rsidRPr="00A21D7D">
        <w:rPr>
          <w:lang w:val="en" w:eastAsia="en-AU"/>
        </w:rPr>
        <w:t>Very</w:t>
      </w:r>
      <w:r w:rsidRPr="00A21D7D">
        <w:t xml:space="preserve"> </w:t>
      </w:r>
      <w:r w:rsidRPr="00A21D7D">
        <w:rPr>
          <w:lang w:val="en" w:eastAsia="en-AU"/>
        </w:rPr>
        <w:t>appreciative of the support and guidance provided for me during this process. (Respondent)</w:t>
      </w:r>
    </w:p>
    <w:p w14:paraId="01C24446" w14:textId="77777777" w:rsidR="00126449" w:rsidRPr="00A21D7D" w:rsidRDefault="00126449" w:rsidP="003B6F9D">
      <w:pPr>
        <w:pStyle w:val="Quote"/>
        <w:rPr>
          <w:lang w:val="en" w:eastAsia="en-AU"/>
        </w:rPr>
      </w:pPr>
      <w:r w:rsidRPr="00A21D7D">
        <w:rPr>
          <w:lang w:val="en" w:eastAsia="en-AU"/>
        </w:rPr>
        <w:t>The Conciliator was very professional, helpful, and made engagement with the process a positive experience for myself as an Employee Relations officer. (Respondent’s advocate)</w:t>
      </w:r>
    </w:p>
    <w:p w14:paraId="6E54BFFF" w14:textId="581303AE" w:rsidR="00126449" w:rsidRPr="00A21D7D" w:rsidRDefault="00126449" w:rsidP="003B6F9D">
      <w:pPr>
        <w:pStyle w:val="Quote"/>
        <w:rPr>
          <w:lang w:val="en" w:eastAsia="en-AU"/>
        </w:rPr>
      </w:pPr>
      <w:r w:rsidRPr="00A21D7D">
        <w:rPr>
          <w:lang w:val="en" w:eastAsia="en-AU"/>
        </w:rPr>
        <w:t>Conciliator excellent in explaining process to complainant and in assisting parties in reach</w:t>
      </w:r>
      <w:r w:rsidR="007A703A">
        <w:rPr>
          <w:lang w:val="en" w:eastAsia="en-AU"/>
        </w:rPr>
        <w:t>ing</w:t>
      </w:r>
      <w:r w:rsidRPr="00A21D7D">
        <w:rPr>
          <w:lang w:val="en" w:eastAsia="en-AU"/>
        </w:rPr>
        <w:t xml:space="preserve"> a settlement in an impartial manner. (Complainant’s advocate)</w:t>
      </w:r>
    </w:p>
    <w:p w14:paraId="456A8C1E" w14:textId="34EC9940" w:rsidR="00126449" w:rsidRPr="00A21D7D" w:rsidRDefault="00126449" w:rsidP="003B6F9D">
      <w:pPr>
        <w:pStyle w:val="Quote"/>
        <w:rPr>
          <w:lang w:val="en" w:eastAsia="en-AU"/>
        </w:rPr>
      </w:pPr>
      <w:r w:rsidRPr="00A21D7D">
        <w:rPr>
          <w:lang w:val="en" w:eastAsia="en-AU"/>
        </w:rPr>
        <w:t>The process was made a lot easier with the way (Conciliator) handle</w:t>
      </w:r>
      <w:r w:rsidR="007A703A">
        <w:rPr>
          <w:lang w:val="en" w:eastAsia="en-AU"/>
        </w:rPr>
        <w:t>d</w:t>
      </w:r>
      <w:r w:rsidRPr="00A21D7D">
        <w:rPr>
          <w:lang w:val="en" w:eastAsia="en-AU"/>
        </w:rPr>
        <w:t xml:space="preserve"> both sides. He was fair to both sides in listening to each of us </w:t>
      </w:r>
      <w:r w:rsidR="003B6F9D">
        <w:rPr>
          <w:lang w:val="en" w:eastAsia="en-AU"/>
        </w:rPr>
        <w:t xml:space="preserve">and </w:t>
      </w:r>
      <w:r w:rsidRPr="00A21D7D">
        <w:rPr>
          <w:lang w:val="en" w:eastAsia="en-AU"/>
        </w:rPr>
        <w:t>I appreciate that and everything that was done on the day (Complainant).</w:t>
      </w:r>
    </w:p>
    <w:p w14:paraId="2033F7B9" w14:textId="691EDC6C" w:rsidR="00126449" w:rsidRPr="00A21D7D" w:rsidRDefault="00126449" w:rsidP="003B6F9D">
      <w:pPr>
        <w:pStyle w:val="Quote"/>
        <w:rPr>
          <w:lang w:val="en" w:eastAsia="en-AU"/>
        </w:rPr>
      </w:pPr>
      <w:r w:rsidRPr="00A21D7D">
        <w:rPr>
          <w:lang w:val="en" w:eastAsia="en-AU"/>
        </w:rPr>
        <w:t xml:space="preserve">Dear QHRC, Thank you very kindly for assisting me in my matter. I have resolved the matter with the </w:t>
      </w:r>
      <w:r w:rsidR="007A703A">
        <w:rPr>
          <w:lang w:val="en" w:eastAsia="en-AU"/>
        </w:rPr>
        <w:t>r</w:t>
      </w:r>
      <w:r w:rsidRPr="00A21D7D">
        <w:rPr>
          <w:lang w:val="en" w:eastAsia="en-AU"/>
        </w:rPr>
        <w:t>espondents</w:t>
      </w:r>
      <w:r w:rsidR="007A703A">
        <w:rPr>
          <w:lang w:val="en" w:eastAsia="en-AU"/>
        </w:rPr>
        <w:t xml:space="preserve"> to my c</w:t>
      </w:r>
      <w:r w:rsidRPr="00A21D7D">
        <w:rPr>
          <w:lang w:val="en" w:eastAsia="en-AU"/>
        </w:rPr>
        <w:t>omplaint and I thank your commission for their assistance. I truly feel vindicated. (Conciliators)</w:t>
      </w:r>
      <w:r w:rsidR="00B10E8B">
        <w:rPr>
          <w:lang w:val="en" w:eastAsia="en-AU"/>
        </w:rPr>
        <w:t xml:space="preserve"> </w:t>
      </w:r>
      <w:r w:rsidRPr="00A21D7D">
        <w:rPr>
          <w:lang w:val="en" w:eastAsia="en-AU"/>
        </w:rPr>
        <w:t>were both great, knowledgeable, professional. (Complainant)</w:t>
      </w:r>
    </w:p>
    <w:p w14:paraId="04B34549" w14:textId="77777777" w:rsidR="00126449" w:rsidRPr="00A21D7D" w:rsidRDefault="00126449" w:rsidP="003B6F9D">
      <w:pPr>
        <w:pStyle w:val="Quote"/>
        <w:rPr>
          <w:lang w:val="en" w:eastAsia="en-AU"/>
        </w:rPr>
      </w:pPr>
    </w:p>
    <w:p w14:paraId="7B1B6C65" w14:textId="77777777" w:rsidR="00126449" w:rsidRPr="00A21D7D" w:rsidRDefault="00126449" w:rsidP="00126449">
      <w:pPr>
        <w:rPr>
          <w:rFonts w:cs="Arial"/>
          <w:i/>
          <w:lang w:val="en" w:eastAsia="en-AU"/>
        </w:rPr>
      </w:pPr>
    </w:p>
    <w:p w14:paraId="52BB8816" w14:textId="69E9A8C9" w:rsidR="006F5840" w:rsidRPr="00A21D7D" w:rsidRDefault="000728D4" w:rsidP="007D0F77">
      <w:pPr>
        <w:pStyle w:val="Heading1"/>
      </w:pPr>
      <w:bookmarkStart w:id="75" w:name="_Toc49508912"/>
      <w:r w:rsidRPr="00A21D7D">
        <w:lastRenderedPageBreak/>
        <w:t>Influencing government policy and legislation</w:t>
      </w:r>
      <w:bookmarkEnd w:id="75"/>
      <w:r w:rsidRPr="00A21D7D">
        <w:t xml:space="preserve"> </w:t>
      </w:r>
    </w:p>
    <w:p w14:paraId="6CD4D664" w14:textId="07C32E5B" w:rsidR="0070246E" w:rsidRPr="00A21D7D" w:rsidRDefault="00D049DE" w:rsidP="0070246E">
      <w:pPr>
        <w:keepNext/>
        <w:spacing w:before="360" w:after="120"/>
        <w:rPr>
          <w:rFonts w:cs="Arial"/>
        </w:rPr>
      </w:pPr>
      <w:r>
        <w:rPr>
          <w:rFonts w:cs="Arial"/>
        </w:rPr>
        <w:t>In 2019-</w:t>
      </w:r>
      <w:r w:rsidR="0070246E" w:rsidRPr="00A21D7D">
        <w:rPr>
          <w:rFonts w:cs="Arial"/>
        </w:rPr>
        <w:t xml:space="preserve">20 </w:t>
      </w:r>
      <w:r w:rsidR="00AB7AB7">
        <w:rPr>
          <w:rFonts w:cs="Arial"/>
        </w:rPr>
        <w:t>we</w:t>
      </w:r>
      <w:r w:rsidR="0070246E" w:rsidRPr="00A21D7D">
        <w:rPr>
          <w:rFonts w:cs="Arial"/>
        </w:rPr>
        <w:t xml:space="preserve"> provided </w:t>
      </w:r>
      <w:r w:rsidR="006503DE">
        <w:rPr>
          <w:rFonts w:cs="Arial"/>
        </w:rPr>
        <w:t xml:space="preserve">more than 20 </w:t>
      </w:r>
      <w:r w:rsidR="0070246E" w:rsidRPr="00A21D7D">
        <w:rPr>
          <w:rFonts w:cs="Arial"/>
        </w:rPr>
        <w:t>submissions to various bodies on the development of government policies and legislation</w:t>
      </w:r>
      <w:r w:rsidR="006503DE">
        <w:rPr>
          <w:rFonts w:cs="Arial"/>
        </w:rPr>
        <w:t>, including:</w:t>
      </w:r>
    </w:p>
    <w:p w14:paraId="3C31BE0D" w14:textId="77777777" w:rsidR="0070246E" w:rsidRPr="00A21D7D" w:rsidRDefault="0070246E" w:rsidP="0070246E">
      <w:pPr>
        <w:keepNext/>
        <w:spacing w:before="360" w:after="120"/>
        <w:rPr>
          <w:rFonts w:cs="Arial"/>
          <w:i/>
        </w:rPr>
      </w:pPr>
      <w:r w:rsidRPr="00A21D7D">
        <w:rPr>
          <w:rFonts w:cs="Arial"/>
          <w:b/>
        </w:rPr>
        <w:t xml:space="preserve">Youth Justice and Other Legislation Amendment Bill 2019 </w:t>
      </w:r>
      <w:r w:rsidRPr="00A21D7D">
        <w:rPr>
          <w:rFonts w:cs="Arial"/>
        </w:rPr>
        <w:t>to the Legal Affairs and Community Safety Committee</w:t>
      </w:r>
    </w:p>
    <w:p w14:paraId="5B54DF26" w14:textId="77777777" w:rsidR="0070246E" w:rsidRPr="00A21D7D" w:rsidRDefault="0070246E" w:rsidP="0070246E">
      <w:pPr>
        <w:spacing w:before="120" w:after="120"/>
        <w:rPr>
          <w:rFonts w:cs="Arial"/>
        </w:rPr>
      </w:pPr>
      <w:r w:rsidRPr="00A21D7D">
        <w:rPr>
          <w:rFonts w:cs="Arial"/>
        </w:rPr>
        <w:t>The objectives of the Bill were to improve efficiencies in finalising proceedings for young people in order to reduce demand pressures on youth detention centres and watch houses, and to enable more young people to be granted bail.</w:t>
      </w:r>
    </w:p>
    <w:p w14:paraId="62019A41" w14:textId="08977D77" w:rsidR="0070246E" w:rsidRPr="00A21D7D" w:rsidRDefault="0070246E" w:rsidP="0070246E">
      <w:pPr>
        <w:spacing w:before="120" w:after="120"/>
        <w:rPr>
          <w:rFonts w:cs="Arial"/>
        </w:rPr>
      </w:pPr>
      <w:r w:rsidRPr="00A21D7D">
        <w:rPr>
          <w:rFonts w:cs="Arial"/>
        </w:rPr>
        <w:t>The number of young people detained in watch houses for lengthy periods of time is of great concern to the Commission.</w:t>
      </w:r>
      <w:r w:rsidR="00B10E8B">
        <w:rPr>
          <w:rFonts w:cs="Arial"/>
        </w:rPr>
        <w:t xml:space="preserve"> </w:t>
      </w:r>
      <w:r w:rsidR="00AB7AB7">
        <w:rPr>
          <w:rFonts w:cs="Arial"/>
        </w:rPr>
        <w:t>We</w:t>
      </w:r>
      <w:r w:rsidRPr="00A21D7D">
        <w:rPr>
          <w:rFonts w:cs="Arial"/>
        </w:rPr>
        <w:t xml:space="preserve"> supported the Bill, and recommended the additional measures of increasing the age of criminal responsibility to 12 years, introducing a minimum age for detention of 14 years, and introducing a statutory prohibition on prolonged detention in watch houses.</w:t>
      </w:r>
    </w:p>
    <w:p w14:paraId="7287AD91" w14:textId="01ADAC2F" w:rsidR="0070246E" w:rsidRPr="00A21D7D" w:rsidRDefault="00AB7AB7" w:rsidP="0070246E">
      <w:pPr>
        <w:spacing w:before="120" w:after="120"/>
        <w:rPr>
          <w:rFonts w:cs="Arial"/>
        </w:rPr>
      </w:pPr>
      <w:r>
        <w:rPr>
          <w:rFonts w:cs="Arial"/>
        </w:rPr>
        <w:t>We</w:t>
      </w:r>
      <w:r w:rsidR="0070246E" w:rsidRPr="00A21D7D">
        <w:rPr>
          <w:rFonts w:cs="Arial"/>
        </w:rPr>
        <w:t xml:space="preserve"> also suggested that there should be a statutory review of the use of body-worn cameras in youth detention centres, and an amendment to this effect was made during debate of the Bill.</w:t>
      </w:r>
    </w:p>
    <w:p w14:paraId="5A1A7A7A" w14:textId="77777777" w:rsidR="0070246E" w:rsidRPr="00A21D7D" w:rsidRDefault="0070246E" w:rsidP="0070246E">
      <w:pPr>
        <w:keepNext/>
        <w:spacing w:before="360" w:after="120"/>
        <w:rPr>
          <w:rFonts w:cs="Arial"/>
          <w:i/>
        </w:rPr>
      </w:pPr>
      <w:r w:rsidRPr="00A21D7D">
        <w:rPr>
          <w:rFonts w:cs="Arial"/>
          <w:b/>
        </w:rPr>
        <w:t xml:space="preserve">Agriculture and Other Legislation Amendment Bill 2019 </w:t>
      </w:r>
      <w:r w:rsidRPr="00A21D7D">
        <w:rPr>
          <w:rFonts w:cs="Arial"/>
        </w:rPr>
        <w:t>to the State Development, Natural Resources and Agricultural Industry Development Committee</w:t>
      </w:r>
    </w:p>
    <w:p w14:paraId="44D97C40" w14:textId="77777777" w:rsidR="0070246E" w:rsidRPr="00A21D7D" w:rsidRDefault="0070246E" w:rsidP="0070246E">
      <w:pPr>
        <w:spacing w:before="120" w:after="120"/>
        <w:rPr>
          <w:rFonts w:cs="Arial"/>
        </w:rPr>
      </w:pPr>
      <w:r w:rsidRPr="00A21D7D">
        <w:rPr>
          <w:rFonts w:cs="Arial"/>
        </w:rPr>
        <w:t>The Bill amended various legislation to address concerns about animal activists entering places where animals are kept, and included broadening the offence of unlawful assembly and authorising the use of body-worn cameras for various officials.</w:t>
      </w:r>
    </w:p>
    <w:p w14:paraId="66808C99" w14:textId="1832DBB8" w:rsidR="0070246E" w:rsidRPr="00A21D7D" w:rsidRDefault="00AB7AB7" w:rsidP="0070246E">
      <w:pPr>
        <w:spacing w:before="120" w:after="120"/>
        <w:rPr>
          <w:rFonts w:cs="Arial"/>
        </w:rPr>
      </w:pPr>
      <w:r>
        <w:rPr>
          <w:rFonts w:cs="Arial"/>
        </w:rPr>
        <w:t>We</w:t>
      </w:r>
      <w:r w:rsidR="0070246E" w:rsidRPr="00A21D7D">
        <w:rPr>
          <w:rFonts w:cs="Arial"/>
        </w:rPr>
        <w:t xml:space="preserve"> considered there was insufficient evidence to justify broadening the offence, and urged the Committee to consider both matters in terms of compatibility with human rights.</w:t>
      </w:r>
      <w:r w:rsidR="003B6F9D">
        <w:rPr>
          <w:rFonts w:cs="Arial"/>
        </w:rPr>
        <w:t xml:space="preserve"> </w:t>
      </w:r>
    </w:p>
    <w:p w14:paraId="6C9EB241" w14:textId="77777777" w:rsidR="0070246E" w:rsidRPr="00A21D7D" w:rsidRDefault="0070246E" w:rsidP="0070246E">
      <w:pPr>
        <w:spacing w:before="120" w:after="120"/>
        <w:rPr>
          <w:rFonts w:cs="Arial"/>
        </w:rPr>
      </w:pPr>
      <w:r w:rsidRPr="00A21D7D">
        <w:rPr>
          <w:rFonts w:cs="Arial"/>
        </w:rPr>
        <w:t>The Bill was passed with amendments made during debate.</w:t>
      </w:r>
    </w:p>
    <w:p w14:paraId="1F295E4D" w14:textId="77777777" w:rsidR="0070246E" w:rsidRPr="00A21D7D" w:rsidRDefault="0070246E" w:rsidP="0070246E">
      <w:pPr>
        <w:keepNext/>
        <w:spacing w:before="360" w:after="120"/>
        <w:rPr>
          <w:rFonts w:cs="Arial"/>
        </w:rPr>
      </w:pPr>
      <w:r w:rsidRPr="00A21D7D">
        <w:rPr>
          <w:rFonts w:cs="Arial"/>
          <w:b/>
        </w:rPr>
        <w:t xml:space="preserve">Religious Discrimination Bill – Exposure Drafts </w:t>
      </w:r>
      <w:r w:rsidRPr="00A21D7D">
        <w:rPr>
          <w:rFonts w:cs="Arial"/>
        </w:rPr>
        <w:t>to the Australian Government, Department of Attorney-General</w:t>
      </w:r>
    </w:p>
    <w:p w14:paraId="11137F06" w14:textId="099DA1D3" w:rsidR="0070246E" w:rsidRPr="00A21D7D" w:rsidRDefault="00AB7AB7" w:rsidP="0070246E">
      <w:pPr>
        <w:spacing w:before="120" w:after="120"/>
        <w:rPr>
          <w:rFonts w:cs="Arial"/>
        </w:rPr>
      </w:pPr>
      <w:r>
        <w:rPr>
          <w:rFonts w:cs="Arial"/>
        </w:rPr>
        <w:t>We</w:t>
      </w:r>
      <w:r w:rsidR="0070246E" w:rsidRPr="00A21D7D">
        <w:rPr>
          <w:rFonts w:cs="Arial"/>
        </w:rPr>
        <w:t xml:space="preserve"> made submissions on the initial draft Bill as well as a second draft Bill.</w:t>
      </w:r>
      <w:r w:rsidR="00B10E8B">
        <w:rPr>
          <w:rFonts w:cs="Arial"/>
        </w:rPr>
        <w:t xml:space="preserve"> </w:t>
      </w:r>
      <w:r w:rsidR="0070246E" w:rsidRPr="00A21D7D">
        <w:rPr>
          <w:rFonts w:cs="Arial"/>
        </w:rPr>
        <w:t>The purpose of the draft Bill is to implement three of the recommendations of the Religious Freedom Review, primarily to make it unlawful to discriminate on the basis of religious belief or activity.</w:t>
      </w:r>
      <w:r w:rsidR="00B10E8B">
        <w:rPr>
          <w:rFonts w:cs="Arial"/>
        </w:rPr>
        <w:t xml:space="preserve"> </w:t>
      </w:r>
    </w:p>
    <w:p w14:paraId="33FCD4DC" w14:textId="4300A86F" w:rsidR="0070246E" w:rsidRPr="00A21D7D" w:rsidRDefault="00AB7AB7" w:rsidP="0070246E">
      <w:pPr>
        <w:spacing w:before="120" w:after="120"/>
        <w:rPr>
          <w:rFonts w:cs="Arial"/>
        </w:rPr>
      </w:pPr>
      <w:r>
        <w:rPr>
          <w:rFonts w:cs="Arial"/>
        </w:rPr>
        <w:t>We</w:t>
      </w:r>
      <w:r w:rsidR="0070246E" w:rsidRPr="00A21D7D">
        <w:rPr>
          <w:rFonts w:cs="Arial"/>
        </w:rPr>
        <w:t xml:space="preserve"> support the provisions that would make it unlawful to discriminate on the ground of religious belief or activity, including not holding a religious belief, and prohibiting both direct and indirect discrimination.</w:t>
      </w:r>
      <w:r w:rsidR="00B10E8B">
        <w:rPr>
          <w:rFonts w:cs="Arial"/>
        </w:rPr>
        <w:t xml:space="preserve"> </w:t>
      </w:r>
      <w:r w:rsidR="0070246E" w:rsidRPr="00A21D7D">
        <w:rPr>
          <w:rFonts w:cs="Arial"/>
        </w:rPr>
        <w:t>This is consistent with the framework of existing anti-discrimination legislation.</w:t>
      </w:r>
    </w:p>
    <w:p w14:paraId="51BCF1FD" w14:textId="77777777" w:rsidR="003B6F9D" w:rsidRDefault="003B6F9D">
      <w:pPr>
        <w:ind w:right="0"/>
        <w:rPr>
          <w:rFonts w:cs="Arial"/>
        </w:rPr>
      </w:pPr>
      <w:r>
        <w:rPr>
          <w:rFonts w:cs="Arial"/>
        </w:rPr>
        <w:br w:type="page"/>
      </w:r>
    </w:p>
    <w:p w14:paraId="057EC0EF" w14:textId="3DE9E9D9" w:rsidR="0070246E" w:rsidRPr="00A21D7D" w:rsidRDefault="0070246E" w:rsidP="0070246E">
      <w:pPr>
        <w:spacing w:before="120" w:after="120"/>
        <w:rPr>
          <w:rFonts w:cs="Arial"/>
        </w:rPr>
      </w:pPr>
      <w:r w:rsidRPr="00A21D7D">
        <w:rPr>
          <w:rFonts w:cs="Arial"/>
        </w:rPr>
        <w:lastRenderedPageBreak/>
        <w:t xml:space="preserve">However, </w:t>
      </w:r>
      <w:r w:rsidR="00AB7AB7">
        <w:rPr>
          <w:rFonts w:cs="Arial"/>
        </w:rPr>
        <w:t>we</w:t>
      </w:r>
      <w:r w:rsidRPr="00A21D7D">
        <w:rPr>
          <w:rFonts w:cs="Arial"/>
        </w:rPr>
        <w:t xml:space="preserve"> ha</w:t>
      </w:r>
      <w:r w:rsidR="00AB7AB7">
        <w:rPr>
          <w:rFonts w:cs="Arial"/>
        </w:rPr>
        <w:t>ve</w:t>
      </w:r>
      <w:r w:rsidRPr="00A21D7D">
        <w:rPr>
          <w:rFonts w:cs="Arial"/>
        </w:rPr>
        <w:t xml:space="preserve"> concerns about the provisions that allow the making statements of belief and that deem codes of conduct relating to statements of belief are unreasonable, and the overriding </w:t>
      </w:r>
      <w:r w:rsidR="00E64C36">
        <w:rPr>
          <w:rFonts w:cs="Arial"/>
        </w:rPr>
        <w:t xml:space="preserve">of </w:t>
      </w:r>
      <w:r w:rsidRPr="00A21D7D">
        <w:rPr>
          <w:rFonts w:cs="Arial"/>
        </w:rPr>
        <w:t>State anti-discrimination legislation.</w:t>
      </w:r>
      <w:r w:rsidR="00B10E8B">
        <w:rPr>
          <w:rFonts w:cs="Arial"/>
        </w:rPr>
        <w:t xml:space="preserve"> </w:t>
      </w:r>
      <w:r w:rsidRPr="00A21D7D">
        <w:rPr>
          <w:rFonts w:cs="Arial"/>
        </w:rPr>
        <w:t xml:space="preserve">Aspects of the Bill would be inconsistent with Queensland </w:t>
      </w:r>
      <w:r w:rsidR="00FC6699" w:rsidRPr="00FC6699">
        <w:rPr>
          <w:rFonts w:cs="Arial"/>
          <w:i/>
        </w:rPr>
        <w:t>Anti-Discrimination Act 1991</w:t>
      </w:r>
      <w:r w:rsidRPr="00A21D7D">
        <w:rPr>
          <w:rFonts w:cs="Arial"/>
          <w:i/>
        </w:rPr>
        <w:t xml:space="preserve"> </w:t>
      </w:r>
      <w:r w:rsidRPr="00A21D7D">
        <w:rPr>
          <w:rFonts w:cs="Arial"/>
        </w:rPr>
        <w:t xml:space="preserve">and the </w:t>
      </w:r>
      <w:r w:rsidR="00FC6699" w:rsidRPr="00FC6699">
        <w:rPr>
          <w:rFonts w:cs="Arial"/>
          <w:i/>
        </w:rPr>
        <w:t>Human Rights Act 2019</w:t>
      </w:r>
      <w:r w:rsidRPr="00A21D7D">
        <w:rPr>
          <w:rFonts w:cs="Arial"/>
          <w:i/>
        </w:rPr>
        <w:t>.</w:t>
      </w:r>
    </w:p>
    <w:p w14:paraId="6ABC4F76" w14:textId="77777777" w:rsidR="0070246E" w:rsidRPr="00A21D7D" w:rsidRDefault="0070246E" w:rsidP="0070246E">
      <w:pPr>
        <w:spacing w:before="120" w:after="120"/>
        <w:rPr>
          <w:rFonts w:cs="Arial"/>
        </w:rPr>
      </w:pPr>
      <w:r w:rsidRPr="00A21D7D">
        <w:rPr>
          <w:rFonts w:cs="Arial"/>
        </w:rPr>
        <w:t>Potential adverse impacts of the Bill include: diminishing the ability of health service providers to ensure their services are accessible to all and increasing gaps in access to health services; limiting the ability of employers to regulate the conduct of employees; increasing the complexity of workplace laws; affecting the morale, health, and productivity of workplaces; and increasing division in communities rather than respecting diversity and inclusion.</w:t>
      </w:r>
    </w:p>
    <w:p w14:paraId="55415C60" w14:textId="596D9DB9" w:rsidR="0070246E" w:rsidRPr="00A21D7D" w:rsidRDefault="00AB7AB7" w:rsidP="0070246E">
      <w:pPr>
        <w:spacing w:before="120" w:after="120"/>
        <w:rPr>
          <w:rFonts w:cs="Arial"/>
        </w:rPr>
      </w:pPr>
      <w:r>
        <w:rPr>
          <w:rFonts w:cs="Arial"/>
        </w:rPr>
        <w:t>We</w:t>
      </w:r>
      <w:r w:rsidR="0070246E" w:rsidRPr="00A21D7D">
        <w:rPr>
          <w:rFonts w:cs="Arial"/>
        </w:rPr>
        <w:t xml:space="preserve"> also questioned the constitutionality of aspects of the Bill that are inconsistent with the international human rights agreements that it purports to implement.</w:t>
      </w:r>
    </w:p>
    <w:p w14:paraId="4781A80A" w14:textId="77777777" w:rsidR="0070246E" w:rsidRPr="00A21D7D" w:rsidRDefault="0070246E" w:rsidP="0070246E">
      <w:pPr>
        <w:keepNext/>
        <w:spacing w:before="360" w:after="120"/>
        <w:rPr>
          <w:rFonts w:cs="Arial"/>
        </w:rPr>
      </w:pPr>
      <w:r w:rsidRPr="00A21D7D">
        <w:rPr>
          <w:rFonts w:cs="Arial"/>
          <w:b/>
        </w:rPr>
        <w:t xml:space="preserve">Summary Offences and Other Legislation Amendment Bill 2019 </w:t>
      </w:r>
      <w:r w:rsidRPr="00A21D7D">
        <w:rPr>
          <w:rFonts w:cs="Arial"/>
        </w:rPr>
        <w:t>to the Legal Affairs and Community Safety Committee</w:t>
      </w:r>
    </w:p>
    <w:p w14:paraId="54186751" w14:textId="20BACB76" w:rsidR="0070246E" w:rsidRPr="00A21D7D" w:rsidRDefault="0070246E" w:rsidP="0070246E">
      <w:pPr>
        <w:spacing w:before="120" w:after="120"/>
        <w:rPr>
          <w:rFonts w:cs="Arial"/>
        </w:rPr>
      </w:pPr>
      <w:r w:rsidRPr="00A21D7D">
        <w:rPr>
          <w:rFonts w:cs="Arial"/>
        </w:rPr>
        <w:t>The Bill created new offences in response to the use of attachment devices at protests, and gave police addition</w:t>
      </w:r>
      <w:r w:rsidR="00431789">
        <w:rPr>
          <w:rFonts w:cs="Arial"/>
        </w:rPr>
        <w:t>al</w:t>
      </w:r>
      <w:r w:rsidRPr="00A21D7D">
        <w:rPr>
          <w:rFonts w:cs="Arial"/>
        </w:rPr>
        <w:t xml:space="preserve"> powers of search, seizure, and disposal, as well as the option to issue penalty infringement notices for the new offences.</w:t>
      </w:r>
    </w:p>
    <w:p w14:paraId="4740668B" w14:textId="6AA8EC8A" w:rsidR="0070246E" w:rsidRPr="00A21D7D" w:rsidRDefault="00AB7AB7" w:rsidP="0070246E">
      <w:pPr>
        <w:spacing w:before="120" w:after="120"/>
        <w:rPr>
          <w:rFonts w:cs="Arial"/>
        </w:rPr>
      </w:pPr>
      <w:r>
        <w:rPr>
          <w:rFonts w:cs="Arial"/>
        </w:rPr>
        <w:t>We</w:t>
      </w:r>
      <w:r w:rsidR="0070246E" w:rsidRPr="00A21D7D">
        <w:rPr>
          <w:rFonts w:cs="Arial"/>
        </w:rPr>
        <w:t xml:space="preserve"> provided information about international law on the right to peaceful assembly, and the need to consider necessity and proportionality of the proposed measures.</w:t>
      </w:r>
      <w:r w:rsidR="00B10E8B">
        <w:rPr>
          <w:rFonts w:cs="Arial"/>
        </w:rPr>
        <w:t xml:space="preserve"> </w:t>
      </w:r>
      <w:r>
        <w:rPr>
          <w:rFonts w:cs="Arial"/>
        </w:rPr>
        <w:t xml:space="preserve">We </w:t>
      </w:r>
      <w:r w:rsidR="0070246E" w:rsidRPr="00A21D7D">
        <w:rPr>
          <w:rFonts w:cs="Arial"/>
        </w:rPr>
        <w:t>recommended that further information was required in relation to necessity and proportionality for devices that do not contain dangerous substances or things.</w:t>
      </w:r>
    </w:p>
    <w:p w14:paraId="0CAAAD5A" w14:textId="77777777" w:rsidR="0070246E" w:rsidRPr="00A21D7D" w:rsidRDefault="0070246E" w:rsidP="0070246E">
      <w:pPr>
        <w:spacing w:before="120" w:after="120"/>
        <w:rPr>
          <w:rFonts w:cs="Arial"/>
        </w:rPr>
      </w:pPr>
      <w:r w:rsidRPr="00A21D7D">
        <w:rPr>
          <w:rFonts w:cs="Arial"/>
        </w:rPr>
        <w:t>The Bill was passed with an amendment relating to reporting, and the new provisions took effect from 30 October 2019.</w:t>
      </w:r>
    </w:p>
    <w:p w14:paraId="0AC91AC8" w14:textId="77777777" w:rsidR="0070246E" w:rsidRPr="00A21D7D" w:rsidRDefault="0070246E" w:rsidP="0070246E">
      <w:pPr>
        <w:keepNext/>
        <w:spacing w:before="360" w:after="120"/>
        <w:rPr>
          <w:rFonts w:cs="Arial"/>
        </w:rPr>
      </w:pPr>
      <w:r w:rsidRPr="00A21D7D">
        <w:rPr>
          <w:rFonts w:cs="Arial"/>
          <w:b/>
        </w:rPr>
        <w:t xml:space="preserve">Path to Treaty </w:t>
      </w:r>
      <w:r w:rsidRPr="00A21D7D">
        <w:rPr>
          <w:rFonts w:cs="Arial"/>
        </w:rPr>
        <w:t>to the Department of Aboriginal and Torres Strait Islander Partnerships</w:t>
      </w:r>
    </w:p>
    <w:p w14:paraId="60153043" w14:textId="77777777" w:rsidR="0070246E" w:rsidRPr="00A21D7D" w:rsidRDefault="0070246E" w:rsidP="0070246E">
      <w:pPr>
        <w:spacing w:before="120" w:after="120"/>
        <w:rPr>
          <w:rFonts w:cs="Arial"/>
        </w:rPr>
      </w:pPr>
      <w:r w:rsidRPr="00A21D7D">
        <w:rPr>
          <w:rFonts w:cs="Arial"/>
        </w:rPr>
        <w:t>The Path to Treaty is part of a package of staged reforms aimed at reframing the relationship between the Queensland government and Aboriginal and Torres Strait Islander peoples in Queensland, and is intended to start negotiations towards treaties.</w:t>
      </w:r>
    </w:p>
    <w:p w14:paraId="27E970BA" w14:textId="2C97D39E" w:rsidR="0070246E" w:rsidRPr="00A21D7D" w:rsidRDefault="00AB7AB7" w:rsidP="0070246E">
      <w:pPr>
        <w:spacing w:before="120" w:after="120"/>
        <w:rPr>
          <w:rFonts w:cs="Arial"/>
        </w:rPr>
      </w:pPr>
      <w:r>
        <w:rPr>
          <w:rFonts w:cs="Arial"/>
        </w:rPr>
        <w:t>We</w:t>
      </w:r>
      <w:r w:rsidR="0070246E" w:rsidRPr="00A21D7D">
        <w:rPr>
          <w:rFonts w:cs="Arial"/>
        </w:rPr>
        <w:t xml:space="preserve"> referred to the special importance of human rights for Aboriginal peoples and Torres Strait Islander peoples, and cultural rights, both of which are recognised in the </w:t>
      </w:r>
      <w:r w:rsidR="00FC6699" w:rsidRPr="00FC6699">
        <w:rPr>
          <w:rFonts w:cs="Arial"/>
          <w:i/>
        </w:rPr>
        <w:t>Human Rights Act 2019</w:t>
      </w:r>
      <w:r w:rsidR="0070246E" w:rsidRPr="00A21D7D">
        <w:rPr>
          <w:rFonts w:cs="Arial"/>
          <w:i/>
        </w:rPr>
        <w:t>.</w:t>
      </w:r>
      <w:r w:rsidR="00B10E8B">
        <w:rPr>
          <w:rFonts w:cs="Arial"/>
        </w:rPr>
        <w:t xml:space="preserve"> </w:t>
      </w:r>
      <w:r>
        <w:rPr>
          <w:rFonts w:cs="Arial"/>
        </w:rPr>
        <w:t>We</w:t>
      </w:r>
      <w:r w:rsidR="0070246E" w:rsidRPr="00A21D7D">
        <w:rPr>
          <w:rFonts w:cs="Arial"/>
        </w:rPr>
        <w:t xml:space="preserve"> submitted that cultural rights should be used to guide the identification of issues to be considered in developing treaties, and that the right to self-determination must be forefront in developing a pathway that is accessible to everyone in the State.</w:t>
      </w:r>
    </w:p>
    <w:p w14:paraId="4196691C" w14:textId="77777777" w:rsidR="0070246E" w:rsidRPr="00A21D7D" w:rsidRDefault="0070246E" w:rsidP="0070246E">
      <w:pPr>
        <w:keepNext/>
        <w:spacing w:before="360" w:after="120"/>
        <w:rPr>
          <w:rFonts w:cs="Arial"/>
        </w:rPr>
      </w:pPr>
      <w:r w:rsidRPr="00A21D7D">
        <w:rPr>
          <w:rFonts w:cs="Arial"/>
          <w:b/>
        </w:rPr>
        <w:lastRenderedPageBreak/>
        <w:t xml:space="preserve">Operation Impala: An examination of the improper access and dissemination of confidential information by public sector agencies </w:t>
      </w:r>
      <w:r w:rsidRPr="00A21D7D">
        <w:rPr>
          <w:rFonts w:cs="Arial"/>
        </w:rPr>
        <w:t>to the Crime and Corruption Commission</w:t>
      </w:r>
    </w:p>
    <w:p w14:paraId="424B3355" w14:textId="18C9343E" w:rsidR="0070246E" w:rsidRPr="00A21D7D" w:rsidRDefault="0070246E" w:rsidP="0070246E">
      <w:pPr>
        <w:spacing w:before="120" w:after="120"/>
        <w:rPr>
          <w:rFonts w:cs="Arial"/>
        </w:rPr>
      </w:pPr>
      <w:r w:rsidRPr="00A21D7D">
        <w:rPr>
          <w:rFonts w:cs="Arial"/>
        </w:rPr>
        <w:t xml:space="preserve">The Crime and Corruption Commission conducted an examination of the improper access and dissemination of confidential information by public sector entities. The </w:t>
      </w:r>
      <w:r w:rsidR="00AB7AB7">
        <w:rPr>
          <w:rFonts w:cs="Arial"/>
        </w:rPr>
        <w:t xml:space="preserve">Queensland </w:t>
      </w:r>
      <w:r w:rsidRPr="00A21D7D">
        <w:rPr>
          <w:rFonts w:cs="Arial"/>
        </w:rPr>
        <w:t xml:space="preserve">Human Rights Commissioner was asked to give evidence at the public hearing in relation to </w:t>
      </w:r>
      <w:r w:rsidR="00FC6699" w:rsidRPr="00FC6699">
        <w:rPr>
          <w:rFonts w:cs="Arial"/>
          <w:i/>
        </w:rPr>
        <w:t>Human Rights Act 2019</w:t>
      </w:r>
      <w:r w:rsidRPr="00A21D7D">
        <w:rPr>
          <w:rFonts w:cs="Arial"/>
        </w:rPr>
        <w:t xml:space="preserve"> implications. </w:t>
      </w:r>
    </w:p>
    <w:p w14:paraId="59FD2DC0" w14:textId="4CB67C97" w:rsidR="0070246E" w:rsidRPr="00A21D7D" w:rsidRDefault="00AB7AB7" w:rsidP="0070246E">
      <w:pPr>
        <w:spacing w:before="120" w:after="120"/>
        <w:rPr>
          <w:rFonts w:cs="Arial"/>
        </w:rPr>
      </w:pPr>
      <w:r>
        <w:rPr>
          <w:rFonts w:cs="Arial"/>
        </w:rPr>
        <w:t>We</w:t>
      </w:r>
      <w:r w:rsidR="0070246E" w:rsidRPr="00A21D7D">
        <w:rPr>
          <w:rFonts w:cs="Arial"/>
        </w:rPr>
        <w:t xml:space="preserve"> provided a supplementary written submission giving an overview of international case law on the right to privacy, as well as making recommendations to strengthen existing protections under the </w:t>
      </w:r>
      <w:r w:rsidR="0070246E" w:rsidRPr="00A21D7D">
        <w:rPr>
          <w:rFonts w:cs="Arial"/>
          <w:i/>
        </w:rPr>
        <w:t>Information Privacy Act 2009.</w:t>
      </w:r>
    </w:p>
    <w:p w14:paraId="60D111D7" w14:textId="62186309" w:rsidR="0070246E" w:rsidRPr="00A21D7D" w:rsidRDefault="0070246E" w:rsidP="0070246E">
      <w:pPr>
        <w:spacing w:before="120" w:after="120"/>
        <w:rPr>
          <w:rFonts w:cs="Arial"/>
        </w:rPr>
      </w:pPr>
      <w:r w:rsidRPr="00A21D7D">
        <w:rPr>
          <w:rFonts w:cs="Arial"/>
        </w:rPr>
        <w:t>The report was released in February 2020 and discussed the human rights framework</w:t>
      </w:r>
      <w:r w:rsidR="00E64C36">
        <w:rPr>
          <w:rFonts w:cs="Arial"/>
        </w:rPr>
        <w:t xml:space="preserve"> </w:t>
      </w:r>
      <w:r w:rsidR="00E64C36" w:rsidRPr="00A21D7D">
        <w:rPr>
          <w:rFonts w:cs="Arial"/>
        </w:rPr>
        <w:t>in detail</w:t>
      </w:r>
      <w:r w:rsidRPr="00A21D7D">
        <w:rPr>
          <w:rFonts w:cs="Arial"/>
        </w:rPr>
        <w:t>.</w:t>
      </w:r>
    </w:p>
    <w:p w14:paraId="4FA63EF2" w14:textId="77777777" w:rsidR="0070246E" w:rsidRPr="00A21D7D" w:rsidRDefault="0070246E" w:rsidP="0070246E">
      <w:pPr>
        <w:keepNext/>
        <w:spacing w:before="360" w:after="120"/>
        <w:rPr>
          <w:rFonts w:cs="Arial"/>
        </w:rPr>
      </w:pPr>
      <w:r w:rsidRPr="00A21D7D">
        <w:rPr>
          <w:rFonts w:cs="Arial"/>
          <w:b/>
        </w:rPr>
        <w:t xml:space="preserve">Health Legislation Amendment Bill 2019 </w:t>
      </w:r>
      <w:r w:rsidRPr="00A21D7D">
        <w:rPr>
          <w:rFonts w:cs="Arial"/>
        </w:rPr>
        <w:t>to the Health, Communities, Disability Services and Domestic and Family Violence Prevention Committee</w:t>
      </w:r>
    </w:p>
    <w:p w14:paraId="37C99B96" w14:textId="77777777" w:rsidR="0070246E" w:rsidRPr="00A21D7D" w:rsidRDefault="0070246E" w:rsidP="0070246E">
      <w:pPr>
        <w:spacing w:before="120" w:after="120"/>
        <w:rPr>
          <w:rFonts w:cs="Arial"/>
          <w:i/>
        </w:rPr>
      </w:pPr>
      <w:r w:rsidRPr="00A21D7D">
        <w:rPr>
          <w:rFonts w:cs="Arial"/>
        </w:rPr>
        <w:t xml:space="preserve">The Bill amends various legislation in the health portfolio, including the </w:t>
      </w:r>
      <w:r w:rsidRPr="00A21D7D">
        <w:rPr>
          <w:rFonts w:cs="Arial"/>
          <w:i/>
        </w:rPr>
        <w:t>Public Health Act 2005</w:t>
      </w:r>
      <w:r w:rsidRPr="00A21D7D">
        <w:rPr>
          <w:rFonts w:cs="Arial"/>
        </w:rPr>
        <w:t xml:space="preserve"> and</w:t>
      </w:r>
      <w:r w:rsidRPr="00A21D7D">
        <w:rPr>
          <w:rFonts w:cs="Arial"/>
          <w:i/>
        </w:rPr>
        <w:t xml:space="preserve"> </w:t>
      </w:r>
      <w:r w:rsidRPr="00A21D7D">
        <w:rPr>
          <w:rFonts w:cs="Arial"/>
        </w:rPr>
        <w:t xml:space="preserve">to </w:t>
      </w:r>
      <w:r w:rsidRPr="00A21D7D">
        <w:rPr>
          <w:rFonts w:cs="Arial"/>
          <w:i/>
        </w:rPr>
        <w:t>Health and Hospital Boards Act 2011.</w:t>
      </w:r>
    </w:p>
    <w:p w14:paraId="4C62A2E2" w14:textId="77777777" w:rsidR="0070246E" w:rsidRPr="00A21D7D" w:rsidRDefault="0070246E" w:rsidP="0070246E">
      <w:pPr>
        <w:spacing w:before="120" w:after="120"/>
        <w:rPr>
          <w:rFonts w:cs="Arial"/>
        </w:rPr>
      </w:pPr>
      <w:r w:rsidRPr="00A21D7D">
        <w:rPr>
          <w:rFonts w:cs="Arial"/>
        </w:rPr>
        <w:t>Amendments to the</w:t>
      </w:r>
      <w:r w:rsidRPr="00A21D7D">
        <w:rPr>
          <w:rFonts w:cs="Arial"/>
          <w:i/>
        </w:rPr>
        <w:t xml:space="preserve"> Public Health Act 2005 </w:t>
      </w:r>
      <w:r w:rsidRPr="00A21D7D">
        <w:rPr>
          <w:rFonts w:cs="Arial"/>
        </w:rPr>
        <w:t>prohibit the practice of conversion therapy by health service providers in Queensland. The objective is to protect the lesbian, gay, bisexual, transgender, intersex, and queer (LGBTIQ+) community from harm caused by conversion therapy and to send the strong message that being an LGBTIQ+ person is not a disorder that requires treatment or correction.</w:t>
      </w:r>
    </w:p>
    <w:p w14:paraId="7F0F8653" w14:textId="77777777" w:rsidR="0070246E" w:rsidRPr="00A21D7D" w:rsidRDefault="0070246E" w:rsidP="0070246E">
      <w:pPr>
        <w:spacing w:before="120" w:after="240"/>
        <w:rPr>
          <w:rFonts w:cs="Arial"/>
        </w:rPr>
      </w:pPr>
      <w:r w:rsidRPr="00A21D7D">
        <w:rPr>
          <w:rFonts w:cs="Arial"/>
        </w:rPr>
        <w:t>The Commissioner strongly supported the amendments and commended the Queensland government for its continued efforts to promote the human rights of LGBTIQ+ people and in leading the way on this issue.</w:t>
      </w:r>
    </w:p>
    <w:p w14:paraId="11A11045" w14:textId="5C282B71" w:rsidR="0070246E" w:rsidRPr="00A21D7D" w:rsidRDefault="00AB7AB7" w:rsidP="0070246E">
      <w:pPr>
        <w:spacing w:before="120" w:after="240"/>
        <w:rPr>
          <w:rFonts w:cs="Arial"/>
        </w:rPr>
      </w:pPr>
      <w:r>
        <w:rPr>
          <w:rFonts w:cs="Arial"/>
        </w:rPr>
        <w:t>We</w:t>
      </w:r>
      <w:r w:rsidR="0070246E" w:rsidRPr="00A21D7D">
        <w:rPr>
          <w:rFonts w:cs="Arial"/>
        </w:rPr>
        <w:t xml:space="preserve"> also supported amendments to the </w:t>
      </w:r>
      <w:r w:rsidR="0070246E" w:rsidRPr="00A21D7D">
        <w:rPr>
          <w:rFonts w:cs="Arial"/>
          <w:i/>
        </w:rPr>
        <w:t>Health and Hospital Boards Act 2011</w:t>
      </w:r>
      <w:r w:rsidR="0070246E" w:rsidRPr="00A21D7D">
        <w:rPr>
          <w:rFonts w:cs="Arial"/>
        </w:rPr>
        <w:t xml:space="preserve"> that strengthen health equity for Aboriginal people and Torres Strait Island people. </w:t>
      </w:r>
    </w:p>
    <w:p w14:paraId="6AF9F31E" w14:textId="77777777" w:rsidR="0070246E" w:rsidRPr="00A21D7D" w:rsidRDefault="0070246E" w:rsidP="0070246E">
      <w:pPr>
        <w:keepNext/>
        <w:spacing w:before="360" w:after="120"/>
        <w:rPr>
          <w:rFonts w:cs="Arial"/>
        </w:rPr>
      </w:pPr>
      <w:r w:rsidRPr="00A21D7D">
        <w:rPr>
          <w:rFonts w:cs="Arial"/>
          <w:b/>
        </w:rPr>
        <w:t xml:space="preserve">Justice and Other Legislation Amendment Bill 2019 </w:t>
      </w:r>
      <w:r w:rsidRPr="00A21D7D">
        <w:rPr>
          <w:rFonts w:cs="Arial"/>
        </w:rPr>
        <w:t>to the Legal Affairs and Community Safety Committee</w:t>
      </w:r>
    </w:p>
    <w:p w14:paraId="11F0ADC1" w14:textId="4B3FDEAD" w:rsidR="0070246E" w:rsidRPr="00A21D7D" w:rsidRDefault="0070246E" w:rsidP="0070246E">
      <w:pPr>
        <w:spacing w:before="120" w:after="120"/>
        <w:rPr>
          <w:rFonts w:cs="Arial"/>
        </w:rPr>
      </w:pPr>
      <w:r w:rsidRPr="00A21D7D">
        <w:rPr>
          <w:rFonts w:cs="Arial"/>
        </w:rPr>
        <w:t xml:space="preserve">The Bill amended various legislation in the justice portfolio, including the </w:t>
      </w:r>
      <w:r w:rsidR="00FC6699" w:rsidRPr="00FC6699">
        <w:rPr>
          <w:rFonts w:cs="Arial"/>
          <w:i/>
        </w:rPr>
        <w:t>Anti-Discrimination Act 1991</w:t>
      </w:r>
      <w:r w:rsidRPr="00A21D7D">
        <w:rPr>
          <w:rFonts w:cs="Arial"/>
        </w:rPr>
        <w:t>.</w:t>
      </w:r>
      <w:r w:rsidR="00B10E8B">
        <w:rPr>
          <w:rFonts w:cs="Arial"/>
        </w:rPr>
        <w:t xml:space="preserve"> </w:t>
      </w:r>
    </w:p>
    <w:p w14:paraId="59466F4C" w14:textId="16703BD7" w:rsidR="0070246E" w:rsidRPr="00A21D7D" w:rsidRDefault="0070246E" w:rsidP="0070246E">
      <w:pPr>
        <w:spacing w:before="120" w:after="120"/>
        <w:rPr>
          <w:rFonts w:cs="Arial"/>
        </w:rPr>
      </w:pPr>
      <w:r w:rsidRPr="00A21D7D">
        <w:rPr>
          <w:rFonts w:cs="Arial"/>
        </w:rPr>
        <w:t xml:space="preserve">The amendments to the </w:t>
      </w:r>
      <w:r w:rsidR="00FC6699" w:rsidRPr="00FC6699">
        <w:rPr>
          <w:rFonts w:cs="Arial"/>
          <w:i/>
        </w:rPr>
        <w:t>Anti-Discrimination Act 1991</w:t>
      </w:r>
      <w:r w:rsidRPr="00A21D7D">
        <w:rPr>
          <w:rFonts w:cs="Arial"/>
        </w:rPr>
        <w:t xml:space="preserve"> give effect to improved processes for dealing with complaints that include both in-time and out-of-time claims.</w:t>
      </w:r>
      <w:r w:rsidR="00B10E8B">
        <w:rPr>
          <w:rFonts w:cs="Arial"/>
        </w:rPr>
        <w:t xml:space="preserve"> </w:t>
      </w:r>
      <w:r w:rsidRPr="00A21D7D">
        <w:rPr>
          <w:rFonts w:cs="Arial"/>
        </w:rPr>
        <w:t>In these cases, the Commission may require the parties to participate in a conciliation conference before making a decision whether to accept the claims that are outside the time limit for making a complaint.</w:t>
      </w:r>
    </w:p>
    <w:p w14:paraId="7E289A8F" w14:textId="22E464BC" w:rsidR="0070246E" w:rsidRPr="00A21D7D" w:rsidRDefault="0070246E" w:rsidP="0070246E">
      <w:pPr>
        <w:spacing w:before="120" w:after="120"/>
        <w:rPr>
          <w:rFonts w:cs="Arial"/>
        </w:rPr>
      </w:pPr>
      <w:r w:rsidRPr="00A21D7D">
        <w:rPr>
          <w:rFonts w:cs="Arial"/>
        </w:rPr>
        <w:t>The amendments also clarify that a decision not to accept a complaint in certain circumstances has the same effect as a decision to reject a complaint.</w:t>
      </w:r>
      <w:r w:rsidR="00B10E8B">
        <w:rPr>
          <w:rFonts w:cs="Arial"/>
        </w:rPr>
        <w:t xml:space="preserve"> </w:t>
      </w:r>
      <w:r w:rsidRPr="00A21D7D">
        <w:rPr>
          <w:rFonts w:cs="Arial"/>
        </w:rPr>
        <w:t>The complaint lapses, and the person cannot make another complaint about the same subject.</w:t>
      </w:r>
    </w:p>
    <w:p w14:paraId="76BE6BFD" w14:textId="264622EA" w:rsidR="0070246E" w:rsidRPr="00A21D7D" w:rsidRDefault="00AB7AB7" w:rsidP="0070246E">
      <w:pPr>
        <w:spacing w:before="120" w:after="120"/>
        <w:rPr>
          <w:rFonts w:cs="Arial"/>
        </w:rPr>
      </w:pPr>
      <w:r>
        <w:rPr>
          <w:rFonts w:cs="Arial"/>
        </w:rPr>
        <w:lastRenderedPageBreak/>
        <w:t>Our</w:t>
      </w:r>
      <w:r w:rsidR="0070246E" w:rsidRPr="00A21D7D">
        <w:rPr>
          <w:rFonts w:cs="Arial"/>
        </w:rPr>
        <w:t xml:space="preserve"> submission outlined the processes and implications, and supported the amendments to the </w:t>
      </w:r>
      <w:r w:rsidR="00FC6699" w:rsidRPr="00FC6699">
        <w:rPr>
          <w:rFonts w:cs="Arial"/>
          <w:i/>
        </w:rPr>
        <w:t>Anti-Discrimination Act 1991</w:t>
      </w:r>
      <w:r w:rsidR="0070246E" w:rsidRPr="00A21D7D">
        <w:rPr>
          <w:rFonts w:cs="Arial"/>
        </w:rPr>
        <w:t>.</w:t>
      </w:r>
    </w:p>
    <w:p w14:paraId="0241B57C" w14:textId="07061102" w:rsidR="0070246E" w:rsidRPr="00A21D7D" w:rsidRDefault="0070246E" w:rsidP="0070246E">
      <w:pPr>
        <w:spacing w:before="120" w:after="120"/>
        <w:rPr>
          <w:rFonts w:cs="Arial"/>
        </w:rPr>
      </w:pPr>
      <w:r w:rsidRPr="00A21D7D">
        <w:rPr>
          <w:rFonts w:cs="Arial"/>
        </w:rPr>
        <w:t xml:space="preserve">The Bill was passed on 21 May 2020 and the amendments to the </w:t>
      </w:r>
      <w:r w:rsidR="00FC6699" w:rsidRPr="00FC6699">
        <w:rPr>
          <w:rFonts w:cs="Arial"/>
          <w:i/>
        </w:rPr>
        <w:t>Anti-Discrimination Act 1991</w:t>
      </w:r>
      <w:r w:rsidRPr="00A21D7D">
        <w:rPr>
          <w:rFonts w:cs="Arial"/>
        </w:rPr>
        <w:t xml:space="preserve"> took effect from 25 May 2020.</w:t>
      </w:r>
    </w:p>
    <w:p w14:paraId="2DDC112B" w14:textId="77777777" w:rsidR="0070246E" w:rsidRPr="00A21D7D" w:rsidRDefault="0070246E" w:rsidP="0070246E">
      <w:pPr>
        <w:keepNext/>
        <w:spacing w:before="360" w:after="120"/>
        <w:rPr>
          <w:rFonts w:cs="Arial"/>
        </w:rPr>
      </w:pPr>
      <w:r w:rsidRPr="00A21D7D">
        <w:rPr>
          <w:rFonts w:cs="Arial"/>
          <w:b/>
        </w:rPr>
        <w:t xml:space="preserve">A Better Renting Future – Consultation Regulatory Impact Statement </w:t>
      </w:r>
      <w:r w:rsidRPr="00A21D7D">
        <w:rPr>
          <w:rFonts w:cs="Arial"/>
        </w:rPr>
        <w:t xml:space="preserve">to the Department of Housing and Public Works. </w:t>
      </w:r>
    </w:p>
    <w:p w14:paraId="6E8B5E29" w14:textId="79C6A8CD" w:rsidR="0070246E" w:rsidRPr="00A21D7D" w:rsidRDefault="00AB7AB7" w:rsidP="0070246E">
      <w:pPr>
        <w:spacing w:before="120" w:after="120"/>
        <w:rPr>
          <w:rFonts w:cs="Arial"/>
          <w:i/>
        </w:rPr>
      </w:pPr>
      <w:r>
        <w:rPr>
          <w:rFonts w:cs="Arial"/>
        </w:rPr>
        <w:t>We</w:t>
      </w:r>
      <w:r w:rsidR="0070246E" w:rsidRPr="00A21D7D">
        <w:rPr>
          <w:rFonts w:cs="Arial"/>
        </w:rPr>
        <w:t xml:space="preserve"> outlined the implications of proposed changes to residential tenancy law, and commented on the need for improvements to address accessibility, climate and energy efficiency.</w:t>
      </w:r>
      <w:r w:rsidR="00B10E8B">
        <w:rPr>
          <w:rFonts w:cs="Arial"/>
        </w:rPr>
        <w:t xml:space="preserve"> </w:t>
      </w:r>
      <w:r>
        <w:rPr>
          <w:rFonts w:cs="Arial"/>
        </w:rPr>
        <w:t>We</w:t>
      </w:r>
      <w:r w:rsidR="0070246E" w:rsidRPr="00A21D7D">
        <w:rPr>
          <w:rFonts w:cs="Arial"/>
        </w:rPr>
        <w:t xml:space="preserve"> recommended that provisions regulating ending tenancies on grounds of illegal activity and disrupting the quiet enjoyment of other tenants be amended or repealed. </w:t>
      </w:r>
    </w:p>
    <w:p w14:paraId="73A83CEF" w14:textId="77777777" w:rsidR="0070246E" w:rsidRPr="00A21D7D" w:rsidRDefault="0070246E" w:rsidP="0070246E">
      <w:pPr>
        <w:keepNext/>
        <w:spacing w:before="360" w:after="120"/>
        <w:rPr>
          <w:rFonts w:cs="Arial"/>
        </w:rPr>
      </w:pPr>
      <w:r w:rsidRPr="00A21D7D">
        <w:rPr>
          <w:rFonts w:cs="Arial"/>
          <w:b/>
        </w:rPr>
        <w:t xml:space="preserve">Criminal Code (Child Sexual Offences Reform) and Other Legislation Amendment Bill 2019 </w:t>
      </w:r>
      <w:r w:rsidRPr="00A21D7D">
        <w:rPr>
          <w:rFonts w:cs="Arial"/>
        </w:rPr>
        <w:t>to the Legal Affairs and Community Safety Committee</w:t>
      </w:r>
    </w:p>
    <w:p w14:paraId="18368859" w14:textId="372D1A4E" w:rsidR="0070246E" w:rsidRPr="00A21D7D" w:rsidRDefault="0070246E" w:rsidP="0070246E">
      <w:pPr>
        <w:spacing w:before="120" w:after="120"/>
        <w:rPr>
          <w:rFonts w:cs="Arial"/>
        </w:rPr>
      </w:pPr>
      <w:r w:rsidRPr="00A21D7D">
        <w:rPr>
          <w:rFonts w:cs="Arial"/>
        </w:rPr>
        <w:t xml:space="preserve">The Bill would amend the </w:t>
      </w:r>
      <w:r w:rsidRPr="00A21D7D">
        <w:rPr>
          <w:rFonts w:cs="Arial"/>
          <w:i/>
        </w:rPr>
        <w:t>Criminal Code</w:t>
      </w:r>
      <w:r w:rsidRPr="00A21D7D">
        <w:rPr>
          <w:rFonts w:cs="Arial"/>
        </w:rPr>
        <w:t xml:space="preserve"> and other legislation to implement recommendations from the Royal Commission into Institutional Responses to Child Sexual Abuse, and recommendations of the Queensland Sentencing Advisory Council.</w:t>
      </w:r>
      <w:r w:rsidR="00B10E8B">
        <w:rPr>
          <w:rFonts w:cs="Arial"/>
        </w:rPr>
        <w:t xml:space="preserve"> </w:t>
      </w:r>
      <w:r w:rsidRPr="00A21D7D">
        <w:rPr>
          <w:rFonts w:cs="Arial"/>
        </w:rPr>
        <w:t>This included creating new offences in relation to failing to report and protect children from sexual offences, and the application of contemporary sentencing standards to historical offences.</w:t>
      </w:r>
    </w:p>
    <w:p w14:paraId="7F198AFB" w14:textId="50CEDE23" w:rsidR="0070246E" w:rsidRPr="00A21D7D" w:rsidRDefault="0070246E" w:rsidP="0070246E">
      <w:pPr>
        <w:spacing w:before="120" w:after="120"/>
        <w:rPr>
          <w:rFonts w:cs="Arial"/>
        </w:rPr>
      </w:pPr>
      <w:r w:rsidRPr="00A21D7D">
        <w:rPr>
          <w:rFonts w:cs="Arial"/>
        </w:rPr>
        <w:t>The Commission</w:t>
      </w:r>
      <w:r w:rsidR="00AB7AB7">
        <w:rPr>
          <w:rFonts w:cs="Arial"/>
        </w:rPr>
        <w:t>’s submission</w:t>
      </w:r>
      <w:r w:rsidRPr="00A21D7D">
        <w:rPr>
          <w:rFonts w:cs="Arial"/>
        </w:rPr>
        <w:t xml:space="preserve"> was generally supportive of the proposed amendments, although suggested that more consideration needed to be given to the human rights impact of retrospective laws, the right to privacy in information sharing and reporting regimes, and the reverse onus of proof imposed on defendants in relation to new child abuse object offences. </w:t>
      </w:r>
    </w:p>
    <w:p w14:paraId="11F5B86C" w14:textId="77777777" w:rsidR="0070246E" w:rsidRPr="00A21D7D" w:rsidRDefault="0070246E" w:rsidP="0070246E">
      <w:pPr>
        <w:keepNext/>
        <w:spacing w:before="360" w:after="120"/>
        <w:rPr>
          <w:rFonts w:cs="Arial"/>
        </w:rPr>
      </w:pPr>
      <w:r w:rsidRPr="00A21D7D">
        <w:rPr>
          <w:rFonts w:cs="Arial"/>
          <w:b/>
        </w:rPr>
        <w:t xml:space="preserve">Electoral and Other Legislation (Accountability, Integrity and Other Matters) Amendment Bill 2019 and Inquiry into the feasibility of introducing expenditure caps for Queensland local government elections </w:t>
      </w:r>
      <w:r w:rsidRPr="00A21D7D">
        <w:rPr>
          <w:rFonts w:cs="Arial"/>
        </w:rPr>
        <w:t xml:space="preserve">to the Economics and Governance Committee. </w:t>
      </w:r>
    </w:p>
    <w:p w14:paraId="1AB0B6D1" w14:textId="5C60A84D" w:rsidR="0070246E" w:rsidRPr="00A21D7D" w:rsidRDefault="0070246E" w:rsidP="0070246E">
      <w:pPr>
        <w:spacing w:before="120" w:after="120"/>
        <w:rPr>
          <w:rFonts w:cs="Arial"/>
        </w:rPr>
      </w:pPr>
      <w:r w:rsidRPr="00A21D7D">
        <w:rPr>
          <w:rFonts w:cs="Arial"/>
        </w:rPr>
        <w:t>This Bill proposed several changes to Queensland electoral laws, including further limits on political donations and expenditure. The Commission submitted that limitations on the right to take part in public life and the right to freedom of expression need to be proportionate to the objective of enhancing the democratic rights of all Queenslanders.</w:t>
      </w:r>
      <w:r w:rsidR="00B10E8B">
        <w:rPr>
          <w:rFonts w:cs="Arial"/>
        </w:rPr>
        <w:t xml:space="preserve"> </w:t>
      </w:r>
      <w:r w:rsidR="00AB7AB7">
        <w:rPr>
          <w:rFonts w:cs="Arial"/>
        </w:rPr>
        <w:t>We</w:t>
      </w:r>
      <w:r w:rsidRPr="00A21D7D">
        <w:rPr>
          <w:rFonts w:cs="Arial"/>
        </w:rPr>
        <w:t xml:space="preserve"> w</w:t>
      </w:r>
      <w:r w:rsidR="00AB7AB7">
        <w:rPr>
          <w:rFonts w:cs="Arial"/>
        </w:rPr>
        <w:t>ere</w:t>
      </w:r>
      <w:r w:rsidRPr="00A21D7D">
        <w:rPr>
          <w:rFonts w:cs="Arial"/>
        </w:rPr>
        <w:t xml:space="preserve"> of the view that further evidence was needed to justify some of the limitations on rights, particularly the proposed caps on expenditure and gifts to ‘third parties’, which could disproportionately impact charitable and other small non-government organisations.</w:t>
      </w:r>
      <w:r w:rsidR="00B10E8B">
        <w:rPr>
          <w:rFonts w:cs="Arial"/>
        </w:rPr>
        <w:t xml:space="preserve"> </w:t>
      </w:r>
      <w:r w:rsidRPr="00A21D7D">
        <w:rPr>
          <w:rFonts w:cs="Arial"/>
        </w:rPr>
        <w:t xml:space="preserve">In its response to the Committee, the government indicated it would give further consideration to this issue. </w:t>
      </w:r>
    </w:p>
    <w:p w14:paraId="08623085" w14:textId="77777777" w:rsidR="0070246E" w:rsidRPr="00A21D7D" w:rsidRDefault="0070246E" w:rsidP="0070246E">
      <w:pPr>
        <w:keepNext/>
        <w:spacing w:before="360" w:after="120"/>
        <w:rPr>
          <w:rFonts w:cs="Arial"/>
        </w:rPr>
      </w:pPr>
      <w:r w:rsidRPr="00A21D7D">
        <w:rPr>
          <w:rFonts w:cs="Arial"/>
          <w:b/>
        </w:rPr>
        <w:lastRenderedPageBreak/>
        <w:t xml:space="preserve">Penalties for assaults on police and other frontline emergency service workers, corrective services officers and other public officers </w:t>
      </w:r>
      <w:r w:rsidRPr="00A21D7D">
        <w:rPr>
          <w:rFonts w:cs="Arial"/>
        </w:rPr>
        <w:t>to the Queensland Sentencing Advisory Council</w:t>
      </w:r>
    </w:p>
    <w:p w14:paraId="39EC0175" w14:textId="46C08000" w:rsidR="0070246E" w:rsidRPr="00A21D7D" w:rsidRDefault="0070246E" w:rsidP="0070246E">
      <w:pPr>
        <w:spacing w:before="120" w:after="120"/>
        <w:rPr>
          <w:rFonts w:cs="Arial"/>
        </w:rPr>
      </w:pPr>
      <w:r w:rsidRPr="00A21D7D">
        <w:rPr>
          <w:rFonts w:cs="Arial"/>
        </w:rPr>
        <w:t>The Commission observed that when considering increasing penalties for the assault of police and other front line workers, the rights of both the offender and the victims need to be taken into account.</w:t>
      </w:r>
      <w:r w:rsidR="00B10E8B">
        <w:rPr>
          <w:rFonts w:cs="Arial"/>
        </w:rPr>
        <w:t xml:space="preserve"> </w:t>
      </w:r>
      <w:r w:rsidR="00AB7AB7">
        <w:rPr>
          <w:rFonts w:cs="Arial"/>
        </w:rPr>
        <w:t>We</w:t>
      </w:r>
      <w:r w:rsidRPr="00A21D7D">
        <w:rPr>
          <w:rFonts w:cs="Arial"/>
        </w:rPr>
        <w:t xml:space="preserve"> recommended the Council consider research and data relevant to the effectiveness of increased penalties in protecting police and other front line workers from harm.</w:t>
      </w:r>
      <w:r w:rsidR="00B10E8B">
        <w:rPr>
          <w:rFonts w:cs="Arial"/>
        </w:rPr>
        <w:t xml:space="preserve"> </w:t>
      </w:r>
      <w:r w:rsidR="00AB7AB7">
        <w:rPr>
          <w:rFonts w:cs="Arial"/>
        </w:rPr>
        <w:t>We</w:t>
      </w:r>
      <w:r w:rsidRPr="00A21D7D">
        <w:rPr>
          <w:rFonts w:cs="Arial"/>
        </w:rPr>
        <w:t xml:space="preserve"> raised human rights considerations, highlighting the need for proportionality in any proposed changes and alternative measures to address the identified concerns.</w:t>
      </w:r>
    </w:p>
    <w:p w14:paraId="2E00C69D" w14:textId="77777777" w:rsidR="0070246E" w:rsidRPr="00A21D7D" w:rsidRDefault="0070246E" w:rsidP="0070246E">
      <w:pPr>
        <w:keepNext/>
        <w:spacing w:before="360" w:after="120"/>
        <w:rPr>
          <w:rFonts w:cs="Arial"/>
        </w:rPr>
      </w:pPr>
      <w:r w:rsidRPr="00A21D7D">
        <w:rPr>
          <w:rFonts w:cs="Arial"/>
          <w:b/>
        </w:rPr>
        <w:t xml:space="preserve">Review of consent laws and the excuse of mistake of fact </w:t>
      </w:r>
      <w:r w:rsidRPr="00A21D7D">
        <w:rPr>
          <w:rFonts w:cs="Arial"/>
        </w:rPr>
        <w:t>to the Queensland Law Reform Commission (QLRC)</w:t>
      </w:r>
    </w:p>
    <w:p w14:paraId="6ED03818" w14:textId="77777777" w:rsidR="0070246E" w:rsidRPr="00A21D7D" w:rsidRDefault="0070246E" w:rsidP="0070246E">
      <w:pPr>
        <w:spacing w:before="120" w:after="120"/>
        <w:rPr>
          <w:rFonts w:cs="Arial"/>
        </w:rPr>
      </w:pPr>
      <w:r w:rsidRPr="00A21D7D">
        <w:rPr>
          <w:rFonts w:cs="Arial"/>
        </w:rPr>
        <w:t>A consultation paper by the QLRC canvassed a broad range of possible reforms on offences of sexual assault and consent, including the defence of mistakenly believing there was consent.</w:t>
      </w:r>
    </w:p>
    <w:p w14:paraId="4504E05D" w14:textId="0A54538C" w:rsidR="0070246E" w:rsidRPr="00A21D7D" w:rsidRDefault="00AB7AB7" w:rsidP="0070246E">
      <w:pPr>
        <w:spacing w:before="120" w:after="120"/>
        <w:rPr>
          <w:rFonts w:cs="Arial"/>
        </w:rPr>
      </w:pPr>
      <w:r>
        <w:rPr>
          <w:rFonts w:cs="Arial"/>
        </w:rPr>
        <w:t>We</w:t>
      </w:r>
      <w:r w:rsidR="0070246E" w:rsidRPr="00A21D7D">
        <w:rPr>
          <w:rFonts w:cs="Arial"/>
        </w:rPr>
        <w:t xml:space="preserve"> supported in principle a statutory definition of consent, and raised concerns about the presumption that an ‘impaired’ person is unable to consent.</w:t>
      </w:r>
    </w:p>
    <w:p w14:paraId="67201C23" w14:textId="77777777" w:rsidR="0070246E" w:rsidRPr="00A21D7D" w:rsidRDefault="0070246E" w:rsidP="0070246E">
      <w:pPr>
        <w:keepNext/>
        <w:spacing w:before="360" w:after="120"/>
        <w:rPr>
          <w:rFonts w:cs="Arial"/>
        </w:rPr>
      </w:pPr>
      <w:r w:rsidRPr="00A21D7D">
        <w:rPr>
          <w:rFonts w:cs="Arial"/>
          <w:b/>
        </w:rPr>
        <w:t xml:space="preserve">Minimum age of criminal responsibility </w:t>
      </w:r>
      <w:r w:rsidRPr="00A21D7D">
        <w:rPr>
          <w:rFonts w:cs="Arial"/>
        </w:rPr>
        <w:t>to the Council of Attorneys-General</w:t>
      </w:r>
    </w:p>
    <w:p w14:paraId="55E44813" w14:textId="01D23545" w:rsidR="0070246E" w:rsidRPr="00A21D7D" w:rsidRDefault="0070246E" w:rsidP="0070246E">
      <w:pPr>
        <w:spacing w:before="120" w:after="120"/>
        <w:rPr>
          <w:rFonts w:cs="Arial"/>
        </w:rPr>
      </w:pPr>
      <w:r w:rsidRPr="00A21D7D">
        <w:rPr>
          <w:rFonts w:cs="Arial"/>
        </w:rPr>
        <w:t>This inquiry was considering the age at which a young person should be held criminally accountable for their conduct.</w:t>
      </w:r>
      <w:r w:rsidR="00B10E8B">
        <w:rPr>
          <w:rFonts w:cs="Arial"/>
        </w:rPr>
        <w:t xml:space="preserve"> </w:t>
      </w:r>
      <w:r w:rsidRPr="00A21D7D">
        <w:rPr>
          <w:rFonts w:cs="Arial"/>
        </w:rPr>
        <w:t>Currently, a child as young as 10 years of age can be held criminally liable.</w:t>
      </w:r>
      <w:r w:rsidR="00B10E8B">
        <w:rPr>
          <w:rFonts w:cs="Arial"/>
        </w:rPr>
        <w:t xml:space="preserve"> </w:t>
      </w:r>
      <w:r w:rsidR="00AB7AB7">
        <w:rPr>
          <w:rFonts w:cs="Arial"/>
        </w:rPr>
        <w:t>We</w:t>
      </w:r>
      <w:r w:rsidRPr="00A21D7D">
        <w:rPr>
          <w:rFonts w:cs="Arial"/>
        </w:rPr>
        <w:t xml:space="preserve"> recommended this age be incrementally increased to 14 years of age, and that a justice reinvestment approach be taken to address the needs of younger children.</w:t>
      </w:r>
    </w:p>
    <w:p w14:paraId="31ADE72E" w14:textId="77777777" w:rsidR="0070246E" w:rsidRPr="00A21D7D" w:rsidRDefault="0070246E" w:rsidP="0070246E">
      <w:pPr>
        <w:keepNext/>
        <w:spacing w:before="360" w:after="120"/>
        <w:rPr>
          <w:rFonts w:cs="Arial"/>
        </w:rPr>
      </w:pPr>
      <w:r w:rsidRPr="00A21D7D">
        <w:rPr>
          <w:rFonts w:cs="Arial"/>
          <w:b/>
        </w:rPr>
        <w:t xml:space="preserve">Human rights and addressing violence against people with disability </w:t>
      </w:r>
      <w:r w:rsidRPr="00A21D7D">
        <w:rPr>
          <w:rFonts w:cs="Arial"/>
        </w:rPr>
        <w:t>to the Royal Commission into Violence, Abuse, Neglect, and Exploitation of People with Disability (Disability Royal Commission)</w:t>
      </w:r>
    </w:p>
    <w:p w14:paraId="778AA739" w14:textId="7EB7FE4F" w:rsidR="0070246E" w:rsidRPr="00A21D7D" w:rsidRDefault="00AB7AB7" w:rsidP="0070246E">
      <w:pPr>
        <w:spacing w:before="120" w:after="120"/>
        <w:rPr>
          <w:rFonts w:cs="Arial"/>
        </w:rPr>
      </w:pPr>
      <w:r>
        <w:rPr>
          <w:rFonts w:cs="Arial"/>
        </w:rPr>
        <w:t>Our</w:t>
      </w:r>
      <w:r w:rsidR="0070246E" w:rsidRPr="00A21D7D">
        <w:rPr>
          <w:rFonts w:cs="Arial"/>
        </w:rPr>
        <w:t xml:space="preserve"> submission to this inquiry considered how the problem of violence and other ill-harm experienced by people with disability might be addressed using a human rights framework. </w:t>
      </w:r>
    </w:p>
    <w:p w14:paraId="1D3E3BE8" w14:textId="4F87A23E" w:rsidR="0070246E" w:rsidRPr="00A21D7D" w:rsidRDefault="0070246E" w:rsidP="0070246E">
      <w:pPr>
        <w:spacing w:before="120" w:after="120"/>
        <w:rPr>
          <w:rFonts w:cs="Arial"/>
        </w:rPr>
      </w:pPr>
      <w:r w:rsidRPr="00A21D7D">
        <w:rPr>
          <w:rFonts w:cs="Arial"/>
        </w:rPr>
        <w:t xml:space="preserve">Overall, </w:t>
      </w:r>
      <w:r w:rsidR="00AB7AB7">
        <w:rPr>
          <w:rFonts w:cs="Arial"/>
        </w:rPr>
        <w:t>we</w:t>
      </w:r>
      <w:r w:rsidRPr="00A21D7D">
        <w:rPr>
          <w:rFonts w:cs="Arial"/>
        </w:rPr>
        <w:t xml:space="preserve"> recommended the implementation of a national human rights instrument that incorporates Australia’s international human rights obligations, including those contained in the </w:t>
      </w:r>
      <w:r w:rsidRPr="00A21D7D">
        <w:rPr>
          <w:rFonts w:cs="Arial"/>
          <w:i/>
          <w:iCs/>
        </w:rPr>
        <w:t>Convention on the Rights of Persons with Disabilities.</w:t>
      </w:r>
    </w:p>
    <w:p w14:paraId="778CF30B" w14:textId="1B1E9A50" w:rsidR="0070246E" w:rsidRPr="00A21D7D" w:rsidRDefault="00AB7AB7" w:rsidP="0070246E">
      <w:pPr>
        <w:spacing w:before="120" w:after="120"/>
        <w:rPr>
          <w:rFonts w:cs="Arial"/>
        </w:rPr>
      </w:pPr>
      <w:r>
        <w:rPr>
          <w:rFonts w:cs="Arial"/>
        </w:rPr>
        <w:t>We</w:t>
      </w:r>
      <w:r w:rsidR="0070246E" w:rsidRPr="00A21D7D">
        <w:rPr>
          <w:rFonts w:cs="Arial"/>
        </w:rPr>
        <w:t xml:space="preserve"> also suggested that the Royal Commission: identify and address contributing social disadvantage that renders people with disability vulnerable to harm; carefully examine systems that perpetuate harm to people with disability; and ensure that any solutions incorporate measures that address the stigma of people with disability, training for people who support people with disability, collection and publication of data to enhance transparency and accountability, and meaningful measures by which people with disability can enforce their rights.</w:t>
      </w:r>
    </w:p>
    <w:p w14:paraId="7554DCF0" w14:textId="77777777" w:rsidR="0070246E" w:rsidRPr="00A21D7D" w:rsidRDefault="0070246E" w:rsidP="0070246E">
      <w:pPr>
        <w:keepNext/>
        <w:spacing w:before="360" w:after="120"/>
        <w:rPr>
          <w:rFonts w:cs="Arial"/>
        </w:rPr>
      </w:pPr>
      <w:r w:rsidRPr="00A21D7D">
        <w:rPr>
          <w:rFonts w:cs="Arial"/>
          <w:b/>
        </w:rPr>
        <w:lastRenderedPageBreak/>
        <w:t xml:space="preserve">Corrective Services and Other Legislation Amendment Bill 2020 </w:t>
      </w:r>
      <w:r w:rsidRPr="00A21D7D">
        <w:rPr>
          <w:rFonts w:cs="Arial"/>
        </w:rPr>
        <w:t>to the Legal Affairs and Community Safety Committee</w:t>
      </w:r>
    </w:p>
    <w:p w14:paraId="53ACCB69" w14:textId="35151084" w:rsidR="0070246E" w:rsidRPr="00A21D7D" w:rsidRDefault="0070246E" w:rsidP="0070246E">
      <w:pPr>
        <w:spacing w:before="120" w:after="120"/>
        <w:rPr>
          <w:rFonts w:cs="Arial"/>
        </w:rPr>
      </w:pPr>
      <w:r w:rsidRPr="00A21D7D">
        <w:rPr>
          <w:rFonts w:cs="Arial"/>
        </w:rPr>
        <w:t xml:space="preserve">The Bill is in response to risks identified in the Crime and Corruption Commission’s </w:t>
      </w:r>
      <w:r w:rsidRPr="00A21D7D">
        <w:rPr>
          <w:rFonts w:cs="Arial"/>
          <w:i/>
        </w:rPr>
        <w:t>Taskforce Flaxton: An examination of corruption risks and corruption in Queensland prisons</w:t>
      </w:r>
      <w:r w:rsidRPr="00A21D7D">
        <w:rPr>
          <w:rFonts w:cs="Arial"/>
        </w:rPr>
        <w:t>, and implements recommendations from the Queensland Parole System Review.</w:t>
      </w:r>
      <w:r w:rsidR="00B10E8B">
        <w:rPr>
          <w:rFonts w:cs="Arial"/>
        </w:rPr>
        <w:t xml:space="preserve"> </w:t>
      </w:r>
      <w:r w:rsidRPr="00A21D7D">
        <w:rPr>
          <w:rFonts w:cs="Arial"/>
        </w:rPr>
        <w:t>Amendments include alcohol and drug testing and searching of corrective services staff, prohibiting staff from having an intimate relationship with a prisoner, and prohibiting prisoners convicted of certain offences from being accommodated in low custody facilities.</w:t>
      </w:r>
    </w:p>
    <w:p w14:paraId="27046E76" w14:textId="42530930" w:rsidR="0070246E" w:rsidRPr="00A21D7D" w:rsidRDefault="00BD42FE" w:rsidP="0070246E">
      <w:pPr>
        <w:spacing w:before="120" w:after="120"/>
        <w:rPr>
          <w:rFonts w:cs="Arial"/>
        </w:rPr>
      </w:pPr>
      <w:r>
        <w:rPr>
          <w:rFonts w:cs="Arial"/>
        </w:rPr>
        <w:t>We</w:t>
      </w:r>
      <w:r w:rsidR="0070246E" w:rsidRPr="00A21D7D">
        <w:rPr>
          <w:rFonts w:cs="Arial"/>
        </w:rPr>
        <w:t xml:space="preserve"> recommended that in applying human rights principles, the blanket prohibition relating to low custody for some prisoners was inappropriate, and that the provisions relating to alcohol and drug testing of staff should be amended so that these measures are the least invasive.</w:t>
      </w:r>
    </w:p>
    <w:p w14:paraId="700E6D3F" w14:textId="77777777" w:rsidR="0070246E" w:rsidRPr="00A21D7D" w:rsidRDefault="0070246E" w:rsidP="0070246E">
      <w:pPr>
        <w:keepNext/>
        <w:spacing w:before="360" w:after="120"/>
        <w:rPr>
          <w:rFonts w:cs="Arial"/>
        </w:rPr>
      </w:pPr>
      <w:r w:rsidRPr="00A21D7D">
        <w:rPr>
          <w:rFonts w:cs="Arial"/>
          <w:b/>
        </w:rPr>
        <w:t xml:space="preserve">Australian Government’s response to the COVID-19 pandemic </w:t>
      </w:r>
      <w:r w:rsidRPr="00A21D7D">
        <w:rPr>
          <w:rFonts w:cs="Arial"/>
        </w:rPr>
        <w:t>to the Senate Select Committee on COVID-19</w:t>
      </w:r>
    </w:p>
    <w:p w14:paraId="7481F58E" w14:textId="0B48124B" w:rsidR="0070246E" w:rsidRPr="00A21D7D" w:rsidRDefault="00BD42FE" w:rsidP="0070246E">
      <w:pPr>
        <w:spacing w:before="120" w:after="120"/>
        <w:rPr>
          <w:rFonts w:cs="Arial"/>
        </w:rPr>
      </w:pPr>
      <w:r>
        <w:rPr>
          <w:rFonts w:cs="Arial"/>
        </w:rPr>
        <w:t>We</w:t>
      </w:r>
      <w:r w:rsidR="0070246E" w:rsidRPr="00A21D7D">
        <w:rPr>
          <w:rFonts w:cs="Arial"/>
        </w:rPr>
        <w:t xml:space="preserve"> reported the benefits of having human rights legislation to guide government responses to the COVID-19 pandemic, and submitted there was a need for a national campaign to support groups exposed to racial hatred and vilification and to improve community cohesion, as well as a nationally consistent ethical framework for the allocation of emergency care medical resources.</w:t>
      </w:r>
    </w:p>
    <w:p w14:paraId="38B6498A" w14:textId="77777777" w:rsidR="0070246E" w:rsidRPr="00A21D7D" w:rsidRDefault="0070246E" w:rsidP="0070246E">
      <w:pPr>
        <w:spacing w:before="120" w:after="120"/>
        <w:rPr>
          <w:rFonts w:cs="Arial"/>
        </w:rPr>
      </w:pPr>
    </w:p>
    <w:p w14:paraId="4521DC40" w14:textId="77777777" w:rsidR="007D0F77" w:rsidRDefault="007D0F77">
      <w:pPr>
        <w:rPr>
          <w:rFonts w:eastAsiaTheme="minorEastAsia"/>
          <w:b/>
          <w:bCs/>
          <w:i/>
          <w:iCs/>
          <w:color w:val="000000" w:themeColor="text1"/>
          <w:sz w:val="20"/>
          <w:szCs w:val="18"/>
        </w:rPr>
      </w:pPr>
      <w:r>
        <w:br w:type="page"/>
      </w:r>
    </w:p>
    <w:p w14:paraId="366D3335" w14:textId="51D72135" w:rsidR="000728D4" w:rsidRPr="00A21D7D" w:rsidRDefault="000728D4" w:rsidP="007D0F77">
      <w:pPr>
        <w:pStyle w:val="Heading1"/>
      </w:pPr>
      <w:bookmarkStart w:id="76" w:name="_Toc49508913"/>
      <w:r w:rsidRPr="00A21D7D">
        <w:lastRenderedPageBreak/>
        <w:t>Legal information</w:t>
      </w:r>
      <w:bookmarkEnd w:id="76"/>
      <w:r w:rsidRPr="00A21D7D">
        <w:t xml:space="preserve"> </w:t>
      </w:r>
    </w:p>
    <w:p w14:paraId="165243B6" w14:textId="77777777" w:rsidR="000728D4" w:rsidRPr="00A21D7D" w:rsidRDefault="000728D4" w:rsidP="007D0F77">
      <w:pPr>
        <w:pStyle w:val="Heading2"/>
      </w:pPr>
      <w:bookmarkStart w:id="77" w:name="_Toc49508914"/>
      <w:r w:rsidRPr="00A21D7D">
        <w:t>Applications to the Tribunal for review</w:t>
      </w:r>
      <w:bookmarkEnd w:id="77"/>
      <w:r w:rsidRPr="00A21D7D">
        <w:t xml:space="preserve"> </w:t>
      </w:r>
    </w:p>
    <w:p w14:paraId="599B5624" w14:textId="0AE16CC6" w:rsidR="00F74DA7" w:rsidRPr="00A21D7D" w:rsidRDefault="00F74DA7" w:rsidP="00F74DA7">
      <w:pPr>
        <w:spacing w:before="120" w:after="240"/>
        <w:rPr>
          <w:rFonts w:cs="Arial"/>
        </w:rPr>
      </w:pPr>
      <w:r w:rsidRPr="00A21D7D">
        <w:rPr>
          <w:rFonts w:cs="Arial"/>
        </w:rPr>
        <w:t xml:space="preserve">Under section 169 of the </w:t>
      </w:r>
      <w:r w:rsidR="00FC6699" w:rsidRPr="00FC6699">
        <w:rPr>
          <w:rFonts w:cs="Arial"/>
          <w:i/>
        </w:rPr>
        <w:t>Anti-Discrimination Act 1991</w:t>
      </w:r>
      <w:r w:rsidRPr="00A21D7D">
        <w:rPr>
          <w:rFonts w:cs="Arial"/>
          <w:i/>
        </w:rPr>
        <w:t xml:space="preserve"> </w:t>
      </w:r>
      <w:r w:rsidRPr="00A21D7D">
        <w:rPr>
          <w:rFonts w:cs="Arial"/>
        </w:rPr>
        <w:t>a complainant may apply to the tribunal for review of a decision to lapse a complaint where the Commissioner has formed the opinion that the complainant had lost interest in continuing with the complaint.</w:t>
      </w:r>
    </w:p>
    <w:p w14:paraId="3744810A" w14:textId="77777777" w:rsidR="00F74DA7" w:rsidRPr="00A21D7D" w:rsidRDefault="00F74DA7" w:rsidP="00F74DA7">
      <w:pPr>
        <w:spacing w:before="120" w:after="240"/>
        <w:rPr>
          <w:rFonts w:cs="Arial"/>
        </w:rPr>
      </w:pPr>
      <w:r w:rsidRPr="00A21D7D">
        <w:rPr>
          <w:rFonts w:cs="Arial"/>
        </w:rPr>
        <w:t>For work-related matters the tribunal is the Queensland Industrial Relations Commission, and for all other matters the tribunal is the Queensland Civil and Administrative Tribunal.</w:t>
      </w:r>
    </w:p>
    <w:p w14:paraId="5A172DEE" w14:textId="77777777" w:rsidR="00F74DA7" w:rsidRPr="00A21D7D" w:rsidRDefault="00F74DA7" w:rsidP="00F74DA7">
      <w:pPr>
        <w:spacing w:before="120" w:after="240"/>
        <w:rPr>
          <w:rFonts w:cs="Arial"/>
        </w:rPr>
      </w:pPr>
      <w:r w:rsidRPr="00A21D7D">
        <w:rPr>
          <w:rFonts w:cs="Arial"/>
        </w:rPr>
        <w:t xml:space="preserve">There were no applications to the tribunal for review during the period. </w:t>
      </w:r>
    </w:p>
    <w:p w14:paraId="262B4EB6" w14:textId="77777777" w:rsidR="000728D4" w:rsidRPr="00A21D7D" w:rsidRDefault="000728D4" w:rsidP="007D0F77">
      <w:pPr>
        <w:pStyle w:val="Heading2"/>
      </w:pPr>
      <w:bookmarkStart w:id="78" w:name="_Toc49508915"/>
      <w:r w:rsidRPr="00A21D7D">
        <w:t>Judicial review of decisions</w:t>
      </w:r>
      <w:bookmarkEnd w:id="78"/>
      <w:r w:rsidRPr="00A21D7D">
        <w:t xml:space="preserve"> </w:t>
      </w:r>
    </w:p>
    <w:p w14:paraId="6104E95E" w14:textId="77777777" w:rsidR="009C1E9F" w:rsidRPr="00A21D7D" w:rsidRDefault="009C1E9F" w:rsidP="009C1E9F">
      <w:pPr>
        <w:spacing w:before="120" w:after="240"/>
        <w:rPr>
          <w:rFonts w:cs="Arial"/>
        </w:rPr>
      </w:pPr>
      <w:r w:rsidRPr="00A21D7D">
        <w:rPr>
          <w:rFonts w:cs="Arial"/>
        </w:rPr>
        <w:t xml:space="preserve">Decisions of the Commissioner may be judicially reviewed by the Queensland Supreme Court under the </w:t>
      </w:r>
      <w:r w:rsidRPr="00A21D7D">
        <w:rPr>
          <w:rFonts w:cs="Arial"/>
          <w:i/>
        </w:rPr>
        <w:t>Judicial Review Act 1991.</w:t>
      </w:r>
    </w:p>
    <w:p w14:paraId="14799E48" w14:textId="78CF4435" w:rsidR="009C1E9F" w:rsidRPr="00A21D7D" w:rsidRDefault="009C1E9F" w:rsidP="009C1E9F">
      <w:pPr>
        <w:spacing w:before="120" w:after="240"/>
        <w:rPr>
          <w:rFonts w:cs="Arial"/>
        </w:rPr>
      </w:pPr>
      <w:r w:rsidRPr="00A21D7D">
        <w:rPr>
          <w:rFonts w:cs="Arial"/>
        </w:rPr>
        <w:t>There was one application for judicial review made about a decision not to accept a complaint that was made outside the statutory time limit of one year.</w:t>
      </w:r>
      <w:r w:rsidR="00B10E8B">
        <w:rPr>
          <w:rFonts w:cs="Arial"/>
        </w:rPr>
        <w:t xml:space="preserve"> </w:t>
      </w:r>
      <w:r w:rsidRPr="00A21D7D">
        <w:rPr>
          <w:rFonts w:cs="Arial"/>
        </w:rPr>
        <w:t>The application has not been heard yet.</w:t>
      </w:r>
    </w:p>
    <w:p w14:paraId="0EF25552" w14:textId="6D46D940" w:rsidR="000728D4" w:rsidRPr="00A21D7D" w:rsidRDefault="000728D4" w:rsidP="007D0F77">
      <w:pPr>
        <w:pStyle w:val="Heading2"/>
      </w:pPr>
      <w:bookmarkStart w:id="79" w:name="_Toc49508916"/>
      <w:r w:rsidRPr="00A21D7D">
        <w:t>Intervention in proceedings</w:t>
      </w:r>
      <w:bookmarkEnd w:id="79"/>
      <w:r w:rsidRPr="00A21D7D">
        <w:t xml:space="preserve"> </w:t>
      </w:r>
    </w:p>
    <w:p w14:paraId="72F1D3B7" w14:textId="44EB9605" w:rsidR="009C1E9F" w:rsidRPr="00A21D7D" w:rsidRDefault="00BD42FE" w:rsidP="009C1E9F">
      <w:pPr>
        <w:spacing w:before="120" w:after="240"/>
        <w:rPr>
          <w:rFonts w:cs="Arial"/>
        </w:rPr>
      </w:pPr>
      <w:r>
        <w:rPr>
          <w:rFonts w:cs="Arial"/>
        </w:rPr>
        <w:t>Our</w:t>
      </w:r>
      <w:r w:rsidR="009C1E9F" w:rsidRPr="00A21D7D">
        <w:rPr>
          <w:rFonts w:cs="Arial"/>
        </w:rPr>
        <w:t xml:space="preserve"> functions under the </w:t>
      </w:r>
      <w:r w:rsidR="00FC6699" w:rsidRPr="00FC6699">
        <w:rPr>
          <w:rFonts w:cs="Arial"/>
          <w:i/>
        </w:rPr>
        <w:t>Anti-Discrimination Act 1991</w:t>
      </w:r>
      <w:r w:rsidR="009C1E9F" w:rsidRPr="00A21D7D">
        <w:rPr>
          <w:rFonts w:cs="Arial"/>
        </w:rPr>
        <w:t xml:space="preserve"> include intervening in a proceeding that involves human rights issues, with the leave of the court hearing the proceeding, if the Commission considers it appropriate to do so.</w:t>
      </w:r>
    </w:p>
    <w:p w14:paraId="42540A51" w14:textId="000CB5F9" w:rsidR="009C1E9F" w:rsidRPr="00A21D7D" w:rsidRDefault="009C1E9F" w:rsidP="009C1E9F">
      <w:pPr>
        <w:spacing w:before="120" w:after="240"/>
        <w:rPr>
          <w:rFonts w:cs="Arial"/>
        </w:rPr>
      </w:pPr>
      <w:r w:rsidRPr="00A21D7D">
        <w:rPr>
          <w:rFonts w:cs="Arial"/>
        </w:rPr>
        <w:t xml:space="preserve">Under the </w:t>
      </w:r>
      <w:r w:rsidR="00FC6699" w:rsidRPr="00FC6699">
        <w:rPr>
          <w:rFonts w:cs="Arial"/>
          <w:i/>
        </w:rPr>
        <w:t>Human Rights Act 2019</w:t>
      </w:r>
      <w:r w:rsidRPr="00A21D7D">
        <w:rPr>
          <w:rFonts w:cs="Arial"/>
        </w:rPr>
        <w:t xml:space="preserve">, </w:t>
      </w:r>
      <w:r w:rsidR="00BD42FE">
        <w:rPr>
          <w:rFonts w:cs="Arial"/>
        </w:rPr>
        <w:t>we</w:t>
      </w:r>
      <w:r w:rsidRPr="00A21D7D">
        <w:rPr>
          <w:rFonts w:cs="Arial"/>
        </w:rPr>
        <w:t xml:space="preserve"> may also intervene in a proceeding in a court or tribunal where there is a question of law about the application of the </w:t>
      </w:r>
      <w:r w:rsidR="00FC6699" w:rsidRPr="00FC6699">
        <w:rPr>
          <w:rFonts w:cs="Arial"/>
          <w:i/>
        </w:rPr>
        <w:t>Human Rights Act 2019</w:t>
      </w:r>
      <w:r w:rsidRPr="00A21D7D">
        <w:rPr>
          <w:rFonts w:cs="Arial"/>
        </w:rPr>
        <w:t xml:space="preserve">, or a question in relation to the interpretation of statutory provision in accordance with the </w:t>
      </w:r>
      <w:r w:rsidR="00FC6699" w:rsidRPr="00FC6699">
        <w:rPr>
          <w:rFonts w:cs="Arial"/>
          <w:i/>
        </w:rPr>
        <w:t>Human Rights Act 2019</w:t>
      </w:r>
      <w:r w:rsidRPr="00A21D7D">
        <w:rPr>
          <w:rFonts w:cs="Arial"/>
        </w:rPr>
        <w:t>.</w:t>
      </w:r>
    </w:p>
    <w:p w14:paraId="2D1CA290" w14:textId="210E659F" w:rsidR="009C1E9F" w:rsidRDefault="00BD42FE" w:rsidP="009C1E9F">
      <w:pPr>
        <w:spacing w:before="120" w:after="240"/>
        <w:rPr>
          <w:rFonts w:cs="Arial"/>
        </w:rPr>
      </w:pPr>
      <w:r>
        <w:rPr>
          <w:rFonts w:cs="Arial"/>
        </w:rPr>
        <w:t>We</w:t>
      </w:r>
      <w:r w:rsidR="009C1E9F" w:rsidRPr="00A21D7D">
        <w:rPr>
          <w:rFonts w:cs="Arial"/>
        </w:rPr>
        <w:t xml:space="preserve"> developed a guideline as to when </w:t>
      </w:r>
      <w:r>
        <w:rPr>
          <w:rFonts w:cs="Arial"/>
        </w:rPr>
        <w:t xml:space="preserve">we </w:t>
      </w:r>
      <w:r w:rsidR="009C1E9F" w:rsidRPr="00A21D7D">
        <w:rPr>
          <w:rFonts w:cs="Arial"/>
        </w:rPr>
        <w:t xml:space="preserve">might exercise the power under the </w:t>
      </w:r>
      <w:r w:rsidR="00FC6699" w:rsidRPr="00FC6699">
        <w:rPr>
          <w:rFonts w:cs="Arial"/>
          <w:i/>
        </w:rPr>
        <w:t>Human Rights Act 2019</w:t>
      </w:r>
      <w:r w:rsidR="009C1E9F" w:rsidRPr="00A21D7D">
        <w:rPr>
          <w:rFonts w:cs="Arial"/>
        </w:rPr>
        <w:t xml:space="preserve"> to intervene in proceedings.</w:t>
      </w:r>
      <w:r w:rsidR="00B10E8B">
        <w:rPr>
          <w:rFonts w:cs="Arial"/>
        </w:rPr>
        <w:t xml:space="preserve"> </w:t>
      </w:r>
      <w:r w:rsidR="009C1E9F" w:rsidRPr="00A21D7D">
        <w:rPr>
          <w:rFonts w:cs="Arial"/>
        </w:rPr>
        <w:t xml:space="preserve">The guideline is published on </w:t>
      </w:r>
      <w:r>
        <w:rPr>
          <w:rFonts w:cs="Arial"/>
        </w:rPr>
        <w:t>our</w:t>
      </w:r>
      <w:r w:rsidR="009C1E9F" w:rsidRPr="00A21D7D">
        <w:rPr>
          <w:rFonts w:cs="Arial"/>
        </w:rPr>
        <w:t xml:space="preserve"> website.</w:t>
      </w:r>
    </w:p>
    <w:p w14:paraId="405D4D5E" w14:textId="44CA99BA" w:rsidR="006503DE" w:rsidRPr="00A21D7D" w:rsidRDefault="006503DE" w:rsidP="006503DE">
      <w:pPr>
        <w:pStyle w:val="Keystatistics"/>
        <w:rPr>
          <w:rFonts w:cs="Arial"/>
        </w:rPr>
      </w:pPr>
      <w:r>
        <w:t xml:space="preserve">We conducted our first intervention involving the interpretation of the </w:t>
      </w:r>
      <w:r w:rsidRPr="002E0EBF">
        <w:t>Human Rights Act 2019</w:t>
      </w:r>
      <w:r>
        <w:t xml:space="preserve"> in Supreme Court this year.</w:t>
      </w:r>
    </w:p>
    <w:p w14:paraId="02774BC7" w14:textId="77777777" w:rsidR="006503DE" w:rsidRDefault="00BD42FE" w:rsidP="00E64C36">
      <w:pPr>
        <w:rPr>
          <w:lang w:val="en"/>
        </w:rPr>
      </w:pPr>
      <w:r>
        <w:rPr>
          <w:lang w:val="en"/>
        </w:rPr>
        <w:t>We</w:t>
      </w:r>
      <w:r w:rsidR="009C1E9F" w:rsidRPr="00A21D7D">
        <w:rPr>
          <w:lang w:val="en"/>
        </w:rPr>
        <w:t xml:space="preserve"> intervened in an application by a company described as a political think tank for a declaration relating to the interpretation of certain provisions of the </w:t>
      </w:r>
      <w:r w:rsidR="009C1E9F" w:rsidRPr="00A21D7D">
        <w:rPr>
          <w:i/>
          <w:lang w:val="en"/>
        </w:rPr>
        <w:t xml:space="preserve">Electoral Act 1992 </w:t>
      </w:r>
      <w:r w:rsidR="009C1E9F" w:rsidRPr="00A21D7D">
        <w:rPr>
          <w:lang w:val="en"/>
        </w:rPr>
        <w:t>that prohibit donations from ‘prohibited donors’ for electoral expenditure.</w:t>
      </w:r>
      <w:r w:rsidR="00B10E8B">
        <w:rPr>
          <w:lang w:val="en"/>
        </w:rPr>
        <w:t xml:space="preserve"> </w:t>
      </w:r>
      <w:r>
        <w:rPr>
          <w:lang w:val="en"/>
        </w:rPr>
        <w:t>We</w:t>
      </w:r>
      <w:r w:rsidR="009C1E9F" w:rsidRPr="00A21D7D">
        <w:rPr>
          <w:lang w:val="en"/>
        </w:rPr>
        <w:t xml:space="preserve"> made submissions about how the interpretation requirement in section 48 of the </w:t>
      </w:r>
      <w:r w:rsidR="00FC6699" w:rsidRPr="00FC6699">
        <w:rPr>
          <w:i/>
          <w:lang w:val="en"/>
        </w:rPr>
        <w:t>Human Rights Act 2019</w:t>
      </w:r>
      <w:r w:rsidR="009C1E9F" w:rsidRPr="00A21D7D">
        <w:rPr>
          <w:i/>
          <w:lang w:val="en"/>
        </w:rPr>
        <w:t xml:space="preserve"> </w:t>
      </w:r>
      <w:r w:rsidR="009C1E9F" w:rsidRPr="00A21D7D">
        <w:rPr>
          <w:lang w:val="en"/>
        </w:rPr>
        <w:t>should be applied.</w:t>
      </w:r>
      <w:r w:rsidR="00B10E8B">
        <w:rPr>
          <w:lang w:val="en"/>
        </w:rPr>
        <w:t xml:space="preserve"> </w:t>
      </w:r>
    </w:p>
    <w:p w14:paraId="3E953FAF" w14:textId="52FB018C" w:rsidR="009C1E9F" w:rsidRPr="00A21D7D" w:rsidRDefault="009C1E9F" w:rsidP="00E64C36">
      <w:pPr>
        <w:rPr>
          <w:lang w:val="en"/>
        </w:rPr>
      </w:pPr>
      <w:r w:rsidRPr="00A21D7D">
        <w:rPr>
          <w:lang w:val="en"/>
        </w:rPr>
        <w:lastRenderedPageBreak/>
        <w:t xml:space="preserve">The Court considered that the prohibition in </w:t>
      </w:r>
      <w:r w:rsidRPr="00A21D7D">
        <w:rPr>
          <w:i/>
          <w:lang w:val="en"/>
        </w:rPr>
        <w:t xml:space="preserve">Electoral Act 1992 </w:t>
      </w:r>
      <w:r w:rsidRPr="00A21D7D">
        <w:rPr>
          <w:lang w:val="en"/>
        </w:rPr>
        <w:t>is capable of limiting the freedom of expression and the right of individuals to take part in public life.</w:t>
      </w:r>
      <w:r w:rsidR="00B10E8B">
        <w:rPr>
          <w:lang w:val="en"/>
        </w:rPr>
        <w:t xml:space="preserve"> </w:t>
      </w:r>
      <w:r w:rsidRPr="00A21D7D">
        <w:rPr>
          <w:lang w:val="en"/>
        </w:rPr>
        <w:t xml:space="preserve">The Court considered the factors set out in section 13 of the </w:t>
      </w:r>
      <w:r w:rsidR="00FC6699" w:rsidRPr="00FC6699">
        <w:rPr>
          <w:i/>
          <w:lang w:val="en"/>
        </w:rPr>
        <w:t>Human Rights Act 2019</w:t>
      </w:r>
      <w:r w:rsidRPr="00A21D7D">
        <w:rPr>
          <w:i/>
          <w:lang w:val="en"/>
        </w:rPr>
        <w:t xml:space="preserve"> </w:t>
      </w:r>
      <w:r w:rsidRPr="00A21D7D">
        <w:rPr>
          <w:lang w:val="en"/>
        </w:rPr>
        <w:t>in determining that the prohibition on certain political donations is compatible with human rights.</w:t>
      </w:r>
      <w:r w:rsidR="00B10E8B">
        <w:rPr>
          <w:lang w:val="en"/>
        </w:rPr>
        <w:t xml:space="preserve"> </w:t>
      </w:r>
      <w:r w:rsidRPr="00A21D7D">
        <w:rPr>
          <w:lang w:val="en"/>
        </w:rPr>
        <w:t xml:space="preserve">Balancing the importance of the human rights and the important purpose of reducing corruption and enhancing our democratic society, the </w:t>
      </w:r>
      <w:r w:rsidR="00E64C36">
        <w:rPr>
          <w:lang w:val="en"/>
        </w:rPr>
        <w:t xml:space="preserve">Court </w:t>
      </w:r>
      <w:r w:rsidRPr="00A21D7D">
        <w:rPr>
          <w:lang w:val="en"/>
        </w:rPr>
        <w:t>concluded that the limitation on human rights is reasonable and justified.</w:t>
      </w:r>
    </w:p>
    <w:p w14:paraId="36C4BF23" w14:textId="77777777" w:rsidR="000728D4" w:rsidRPr="00A21D7D" w:rsidRDefault="000728D4" w:rsidP="007D0F77">
      <w:pPr>
        <w:pStyle w:val="Heading2"/>
      </w:pPr>
      <w:bookmarkStart w:id="80" w:name="_Toc49508917"/>
      <w:r w:rsidRPr="00A21D7D">
        <w:t>Exemption applications</w:t>
      </w:r>
      <w:bookmarkEnd w:id="80"/>
      <w:r w:rsidRPr="00A21D7D">
        <w:t xml:space="preserve"> </w:t>
      </w:r>
    </w:p>
    <w:p w14:paraId="74822BD6" w14:textId="22F9A3FC" w:rsidR="009C1E9F" w:rsidRPr="00A21D7D" w:rsidRDefault="009C1E9F" w:rsidP="009C1E9F">
      <w:pPr>
        <w:spacing w:before="120" w:after="240"/>
        <w:rPr>
          <w:rFonts w:cs="Arial"/>
        </w:rPr>
      </w:pPr>
      <w:r w:rsidRPr="00A21D7D">
        <w:rPr>
          <w:rFonts w:cs="Arial"/>
        </w:rPr>
        <w:t xml:space="preserve">Under section 113 of the </w:t>
      </w:r>
      <w:r w:rsidR="00FC6699" w:rsidRPr="00FC6699">
        <w:rPr>
          <w:rFonts w:cs="Arial"/>
          <w:i/>
        </w:rPr>
        <w:t>Anti-Discrimination Act 1991</w:t>
      </w:r>
      <w:r w:rsidRPr="00A21D7D">
        <w:rPr>
          <w:rFonts w:cs="Arial"/>
        </w:rPr>
        <w:t xml:space="preserve"> the tribunal is required to consult the Commission before deciding an application for an exemption from the operation of a specified provision of the </w:t>
      </w:r>
      <w:r w:rsidR="00FC6699" w:rsidRPr="00FC6699">
        <w:rPr>
          <w:rFonts w:cs="Arial"/>
          <w:i/>
        </w:rPr>
        <w:t>Anti-Discrimination Act 1991</w:t>
      </w:r>
      <w:r w:rsidRPr="00A21D7D">
        <w:rPr>
          <w:rFonts w:cs="Arial"/>
          <w:i/>
        </w:rPr>
        <w:t>.</w:t>
      </w:r>
      <w:r w:rsidR="00B10E8B">
        <w:rPr>
          <w:rFonts w:cs="Arial"/>
        </w:rPr>
        <w:t xml:space="preserve"> </w:t>
      </w:r>
      <w:r w:rsidRPr="00A21D7D">
        <w:rPr>
          <w:rFonts w:cs="Arial"/>
        </w:rPr>
        <w:t>For work-related applications the tribunal is the Queensland Industrial Relations Commission (QIRC), and for all other applications, the tribunal is the Queensland Civil and Administrative Tribunal (QCAT)</w:t>
      </w:r>
    </w:p>
    <w:p w14:paraId="40D8B5E4" w14:textId="15DF36F7" w:rsidR="009C1E9F" w:rsidRPr="00A21D7D" w:rsidRDefault="009C1E9F" w:rsidP="009C1E9F">
      <w:pPr>
        <w:spacing w:before="120" w:after="240"/>
        <w:rPr>
          <w:rFonts w:cs="Arial"/>
        </w:rPr>
      </w:pPr>
      <w:r w:rsidRPr="00A21D7D">
        <w:rPr>
          <w:rFonts w:cs="Arial"/>
        </w:rPr>
        <w:t xml:space="preserve">During the period </w:t>
      </w:r>
      <w:r w:rsidR="00BD42FE">
        <w:rPr>
          <w:rFonts w:cs="Arial"/>
        </w:rPr>
        <w:t>we</w:t>
      </w:r>
      <w:r w:rsidR="00E64C36">
        <w:rPr>
          <w:rFonts w:cs="Arial"/>
        </w:rPr>
        <w:t xml:space="preserve"> made one submission</w:t>
      </w:r>
      <w:r w:rsidRPr="00A21D7D">
        <w:rPr>
          <w:rFonts w:cs="Arial"/>
        </w:rPr>
        <w:t xml:space="preserve"> to QCAT and two submissions to QIRC on applications for exemption from the operation of the </w:t>
      </w:r>
      <w:r w:rsidR="00FC6699" w:rsidRPr="00FC6699">
        <w:rPr>
          <w:rFonts w:cs="Arial"/>
          <w:i/>
        </w:rPr>
        <w:t>Anti-Discrimination Act 1991</w:t>
      </w:r>
      <w:r w:rsidRPr="00A21D7D">
        <w:rPr>
          <w:rFonts w:cs="Arial"/>
          <w:i/>
        </w:rPr>
        <w:t>.</w:t>
      </w:r>
      <w:r w:rsidR="00B10E8B">
        <w:rPr>
          <w:rFonts w:cs="Arial"/>
        </w:rPr>
        <w:t xml:space="preserve"> </w:t>
      </w:r>
    </w:p>
    <w:p w14:paraId="6226A63E" w14:textId="77777777" w:rsidR="000728D4" w:rsidRPr="00A21D7D" w:rsidRDefault="000728D4" w:rsidP="007D0F77">
      <w:pPr>
        <w:pStyle w:val="Heading2"/>
      </w:pPr>
      <w:bookmarkStart w:id="81" w:name="_Toc49508918"/>
      <w:r w:rsidRPr="00A21D7D">
        <w:t>Tribunal and court decisions</w:t>
      </w:r>
      <w:bookmarkEnd w:id="81"/>
      <w:r w:rsidRPr="00A21D7D">
        <w:t xml:space="preserve"> </w:t>
      </w:r>
    </w:p>
    <w:p w14:paraId="015BF13E" w14:textId="4F6F68CF" w:rsidR="009C1E9F" w:rsidRPr="00A21D7D" w:rsidRDefault="009C1E9F" w:rsidP="009C1E9F">
      <w:pPr>
        <w:spacing w:before="120" w:after="120"/>
        <w:rPr>
          <w:rFonts w:cs="Arial"/>
        </w:rPr>
      </w:pPr>
      <w:r w:rsidRPr="00A21D7D">
        <w:rPr>
          <w:rFonts w:cs="Arial"/>
        </w:rPr>
        <w:t xml:space="preserve">Under the </w:t>
      </w:r>
      <w:r w:rsidR="00FC6699" w:rsidRPr="00FC6699">
        <w:rPr>
          <w:rFonts w:cs="Arial"/>
          <w:i/>
        </w:rPr>
        <w:t>Anti-Discrimination Act 1991</w:t>
      </w:r>
      <w:r w:rsidRPr="00A21D7D">
        <w:rPr>
          <w:rFonts w:cs="Arial"/>
        </w:rPr>
        <w:t>, the tribunals have the functions of:</w:t>
      </w:r>
    </w:p>
    <w:p w14:paraId="3F42939E" w14:textId="77777777" w:rsidR="009C1E9F" w:rsidRPr="00A21D7D" w:rsidRDefault="009C1E9F" w:rsidP="006503DE">
      <w:pPr>
        <w:pStyle w:val="ListParagraph"/>
        <w:numPr>
          <w:ilvl w:val="0"/>
          <w:numId w:val="42"/>
        </w:numPr>
      </w:pPr>
      <w:r w:rsidRPr="00A21D7D">
        <w:t>hearing and determining complaints referred by the Commissioner;</w:t>
      </w:r>
      <w:r w:rsidRPr="00A21D7D">
        <w:rPr>
          <w:rStyle w:val="FootnoteReference"/>
          <w:rFonts w:cs="Arial"/>
        </w:rPr>
        <w:footnoteReference w:id="1"/>
      </w:r>
    </w:p>
    <w:p w14:paraId="7825E1CC" w14:textId="77777777" w:rsidR="009C1E9F" w:rsidRPr="00A21D7D" w:rsidRDefault="009C1E9F" w:rsidP="006503DE">
      <w:pPr>
        <w:pStyle w:val="ListParagraph"/>
        <w:numPr>
          <w:ilvl w:val="0"/>
          <w:numId w:val="42"/>
        </w:numPr>
      </w:pPr>
      <w:r w:rsidRPr="00A21D7D">
        <w:t>hearing and determining applications for exemptions;</w:t>
      </w:r>
      <w:r w:rsidRPr="00A21D7D">
        <w:rPr>
          <w:rStyle w:val="FootnoteReference"/>
          <w:rFonts w:cs="Arial"/>
        </w:rPr>
        <w:footnoteReference w:id="2"/>
      </w:r>
    </w:p>
    <w:p w14:paraId="60544CC3" w14:textId="77777777" w:rsidR="009C1E9F" w:rsidRPr="00A21D7D" w:rsidRDefault="009C1E9F" w:rsidP="006503DE">
      <w:pPr>
        <w:pStyle w:val="ListParagraph"/>
        <w:numPr>
          <w:ilvl w:val="0"/>
          <w:numId w:val="42"/>
        </w:numPr>
      </w:pPr>
      <w:r w:rsidRPr="00A21D7D">
        <w:t>hearing and determining applications for interim orders before referral of a complaint;</w:t>
      </w:r>
      <w:r w:rsidRPr="00A21D7D">
        <w:rPr>
          <w:rStyle w:val="FootnoteReference"/>
          <w:rFonts w:cs="Arial"/>
        </w:rPr>
        <w:footnoteReference w:id="3"/>
      </w:r>
    </w:p>
    <w:p w14:paraId="1D11C635" w14:textId="77777777" w:rsidR="009C1E9F" w:rsidRPr="00A21D7D" w:rsidRDefault="009C1E9F" w:rsidP="006503DE">
      <w:pPr>
        <w:pStyle w:val="ListParagraph"/>
        <w:numPr>
          <w:ilvl w:val="0"/>
          <w:numId w:val="42"/>
        </w:numPr>
      </w:pPr>
      <w:r w:rsidRPr="00A21D7D">
        <w:t>considering applications for review of a decision that a complainant has lost interest;</w:t>
      </w:r>
      <w:r w:rsidRPr="00A21D7D">
        <w:rPr>
          <w:rStyle w:val="FootnoteReference"/>
          <w:rFonts w:cs="Arial"/>
        </w:rPr>
        <w:footnoteReference w:id="4"/>
      </w:r>
      <w:r w:rsidRPr="00A21D7D">
        <w:t xml:space="preserve"> and</w:t>
      </w:r>
    </w:p>
    <w:p w14:paraId="4DEDB246" w14:textId="77777777" w:rsidR="009C1E9F" w:rsidRPr="00A21D7D" w:rsidRDefault="009C1E9F" w:rsidP="006503DE">
      <w:pPr>
        <w:pStyle w:val="ListParagraph"/>
        <w:numPr>
          <w:ilvl w:val="0"/>
          <w:numId w:val="42"/>
        </w:numPr>
      </w:pPr>
      <w:r w:rsidRPr="00A21D7D">
        <w:t>providing opinions about the application of the Act.</w:t>
      </w:r>
      <w:r w:rsidRPr="00A21D7D">
        <w:rPr>
          <w:rStyle w:val="FootnoteReference"/>
          <w:rFonts w:cs="Arial"/>
        </w:rPr>
        <w:footnoteReference w:id="5"/>
      </w:r>
    </w:p>
    <w:p w14:paraId="32DD0B29" w14:textId="77777777" w:rsidR="009C1E9F" w:rsidRPr="00A21D7D" w:rsidRDefault="009C1E9F" w:rsidP="009C1E9F">
      <w:pPr>
        <w:spacing w:before="240" w:after="240"/>
        <w:rPr>
          <w:rFonts w:cs="Arial"/>
        </w:rPr>
      </w:pPr>
      <w:r w:rsidRPr="00A21D7D">
        <w:rPr>
          <w:rFonts w:cs="Arial"/>
        </w:rPr>
        <w:t>The Queensland Industrial Relations Commission (QIRC) is the tribunal for all work-related matters, and the Queensland Civil and Administrative Tribunal (QCAT) is the tribunal for all other matters.</w:t>
      </w:r>
    </w:p>
    <w:p w14:paraId="32C700A4" w14:textId="77777777" w:rsidR="006503DE" w:rsidRDefault="006503DE">
      <w:pPr>
        <w:ind w:right="0"/>
        <w:rPr>
          <w:rFonts w:cs="Arial"/>
        </w:rPr>
      </w:pPr>
      <w:r>
        <w:rPr>
          <w:rFonts w:cs="Arial"/>
        </w:rPr>
        <w:br w:type="page"/>
      </w:r>
    </w:p>
    <w:p w14:paraId="6501F4AA" w14:textId="1CCE5607" w:rsidR="009C1E9F" w:rsidRDefault="009C1E9F" w:rsidP="009C1E9F">
      <w:pPr>
        <w:spacing w:before="240" w:after="240"/>
        <w:rPr>
          <w:rFonts w:cs="Arial"/>
        </w:rPr>
      </w:pPr>
      <w:r w:rsidRPr="00A21D7D">
        <w:rPr>
          <w:rFonts w:cs="Arial"/>
        </w:rPr>
        <w:lastRenderedPageBreak/>
        <w:t>There were 26 decisions of the tribunals published for the period, made up as follows:</w:t>
      </w:r>
    </w:p>
    <w:p w14:paraId="4CEE94CA" w14:textId="66E26674" w:rsidR="00426167" w:rsidRDefault="00426167" w:rsidP="00426167">
      <w:pPr>
        <w:pStyle w:val="Caption"/>
      </w:pPr>
      <w:r>
        <w:t>Table 11: Tribunal decisions</w:t>
      </w:r>
    </w:p>
    <w:tbl>
      <w:tblPr>
        <w:tblpPr w:leftFromText="180" w:rightFromText="180" w:vertAnchor="text" w:horzAnchor="margin" w:tblpY="3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1418"/>
        <w:gridCol w:w="1275"/>
        <w:gridCol w:w="1133"/>
      </w:tblGrid>
      <w:tr w:rsidR="00426167" w:rsidRPr="00A21D7D" w14:paraId="346400FD" w14:textId="77777777" w:rsidTr="00426167">
        <w:tc>
          <w:tcPr>
            <w:tcW w:w="2835" w:type="dxa"/>
          </w:tcPr>
          <w:p w14:paraId="130B668B" w14:textId="77777777" w:rsidR="00426167" w:rsidRPr="00A21D7D" w:rsidRDefault="00426167" w:rsidP="00426167">
            <w:pPr>
              <w:pStyle w:val="TableTextHeading"/>
            </w:pPr>
          </w:p>
        </w:tc>
        <w:tc>
          <w:tcPr>
            <w:tcW w:w="1418" w:type="dxa"/>
          </w:tcPr>
          <w:p w14:paraId="3769A782" w14:textId="77777777" w:rsidR="00426167" w:rsidRPr="00A21D7D" w:rsidRDefault="00426167" w:rsidP="00426167">
            <w:pPr>
              <w:pStyle w:val="TableTextHeading"/>
            </w:pPr>
            <w:r w:rsidRPr="00A21D7D">
              <w:t>QIRC</w:t>
            </w:r>
          </w:p>
        </w:tc>
        <w:tc>
          <w:tcPr>
            <w:tcW w:w="1275" w:type="dxa"/>
          </w:tcPr>
          <w:p w14:paraId="6B4BE4DD" w14:textId="77777777" w:rsidR="00426167" w:rsidRPr="00A21D7D" w:rsidRDefault="00426167" w:rsidP="00426167">
            <w:pPr>
              <w:pStyle w:val="TableTextHeading"/>
            </w:pPr>
            <w:r w:rsidRPr="00A21D7D">
              <w:t>QCAT</w:t>
            </w:r>
          </w:p>
        </w:tc>
        <w:tc>
          <w:tcPr>
            <w:tcW w:w="1133" w:type="dxa"/>
          </w:tcPr>
          <w:p w14:paraId="5997ECCB" w14:textId="77777777" w:rsidR="00426167" w:rsidRPr="00A21D7D" w:rsidRDefault="00426167" w:rsidP="00426167">
            <w:pPr>
              <w:pStyle w:val="TableTextHeading"/>
            </w:pPr>
            <w:r w:rsidRPr="00A21D7D">
              <w:t>Totals</w:t>
            </w:r>
          </w:p>
        </w:tc>
      </w:tr>
      <w:tr w:rsidR="00426167" w:rsidRPr="00A21D7D" w14:paraId="2426C762" w14:textId="77777777" w:rsidTr="00426167">
        <w:tc>
          <w:tcPr>
            <w:tcW w:w="2835" w:type="dxa"/>
          </w:tcPr>
          <w:p w14:paraId="7B86AA32" w14:textId="77777777" w:rsidR="00426167" w:rsidRPr="00A21D7D" w:rsidRDefault="00426167" w:rsidP="00426167">
            <w:pPr>
              <w:pStyle w:val="TableTextBody"/>
            </w:pPr>
            <w:r w:rsidRPr="00A21D7D">
              <w:t>Final hearings</w:t>
            </w:r>
          </w:p>
        </w:tc>
        <w:tc>
          <w:tcPr>
            <w:tcW w:w="1418" w:type="dxa"/>
          </w:tcPr>
          <w:p w14:paraId="783C3A85" w14:textId="77777777" w:rsidR="00426167" w:rsidRPr="00A21D7D" w:rsidRDefault="00426167" w:rsidP="00426167">
            <w:pPr>
              <w:pStyle w:val="TableTextBody"/>
            </w:pPr>
            <w:r w:rsidRPr="00A21D7D">
              <w:t>6</w:t>
            </w:r>
          </w:p>
        </w:tc>
        <w:tc>
          <w:tcPr>
            <w:tcW w:w="1275" w:type="dxa"/>
          </w:tcPr>
          <w:p w14:paraId="399DF1FC" w14:textId="77777777" w:rsidR="00426167" w:rsidRPr="00A21D7D" w:rsidRDefault="00426167" w:rsidP="00426167">
            <w:pPr>
              <w:pStyle w:val="TableTextBody"/>
            </w:pPr>
            <w:r w:rsidRPr="00A21D7D">
              <w:t>3</w:t>
            </w:r>
          </w:p>
        </w:tc>
        <w:tc>
          <w:tcPr>
            <w:tcW w:w="1133" w:type="dxa"/>
          </w:tcPr>
          <w:p w14:paraId="7B591926" w14:textId="77777777" w:rsidR="00426167" w:rsidRPr="00A21D7D" w:rsidRDefault="00426167" w:rsidP="00426167">
            <w:pPr>
              <w:pStyle w:val="TableTextBody"/>
            </w:pPr>
            <w:r w:rsidRPr="00A21D7D">
              <w:t>9</w:t>
            </w:r>
          </w:p>
        </w:tc>
      </w:tr>
      <w:tr w:rsidR="00426167" w:rsidRPr="00A21D7D" w14:paraId="5B4FCC2B" w14:textId="77777777" w:rsidTr="00426167">
        <w:tc>
          <w:tcPr>
            <w:tcW w:w="2835" w:type="dxa"/>
          </w:tcPr>
          <w:p w14:paraId="7EBBC8C0" w14:textId="77777777" w:rsidR="00426167" w:rsidRPr="00A21D7D" w:rsidRDefault="00426167" w:rsidP="00426167">
            <w:pPr>
              <w:pStyle w:val="TableTextBody"/>
            </w:pPr>
            <w:r w:rsidRPr="00A21D7D">
              <w:t>Dismiss/strike out</w:t>
            </w:r>
          </w:p>
        </w:tc>
        <w:tc>
          <w:tcPr>
            <w:tcW w:w="1418" w:type="dxa"/>
          </w:tcPr>
          <w:p w14:paraId="051158E7" w14:textId="77777777" w:rsidR="00426167" w:rsidRPr="00A21D7D" w:rsidRDefault="00426167" w:rsidP="00426167">
            <w:pPr>
              <w:pStyle w:val="TableTextBody"/>
            </w:pPr>
            <w:r w:rsidRPr="00A21D7D">
              <w:t>4</w:t>
            </w:r>
          </w:p>
        </w:tc>
        <w:tc>
          <w:tcPr>
            <w:tcW w:w="1275" w:type="dxa"/>
          </w:tcPr>
          <w:p w14:paraId="058C3FCF" w14:textId="77777777" w:rsidR="00426167" w:rsidRPr="00A21D7D" w:rsidRDefault="00426167" w:rsidP="00426167">
            <w:pPr>
              <w:pStyle w:val="TableTextBody"/>
            </w:pPr>
            <w:r w:rsidRPr="00A21D7D">
              <w:t>1</w:t>
            </w:r>
          </w:p>
        </w:tc>
        <w:tc>
          <w:tcPr>
            <w:tcW w:w="1133" w:type="dxa"/>
          </w:tcPr>
          <w:p w14:paraId="707889EA" w14:textId="77777777" w:rsidR="00426167" w:rsidRPr="00A21D7D" w:rsidRDefault="00426167" w:rsidP="00426167">
            <w:pPr>
              <w:pStyle w:val="TableTextBody"/>
            </w:pPr>
            <w:r w:rsidRPr="00A21D7D">
              <w:t>5</w:t>
            </w:r>
          </w:p>
        </w:tc>
      </w:tr>
      <w:tr w:rsidR="00426167" w:rsidRPr="00A21D7D" w14:paraId="7762BEE6" w14:textId="77777777" w:rsidTr="00426167">
        <w:tc>
          <w:tcPr>
            <w:tcW w:w="2835" w:type="dxa"/>
          </w:tcPr>
          <w:p w14:paraId="1F5878B2" w14:textId="77777777" w:rsidR="00426167" w:rsidRPr="00A21D7D" w:rsidRDefault="00426167" w:rsidP="00426167">
            <w:pPr>
              <w:pStyle w:val="TableTextBody"/>
            </w:pPr>
            <w:r w:rsidRPr="00A21D7D">
              <w:t>Out-of-time (s 175)</w:t>
            </w:r>
          </w:p>
        </w:tc>
        <w:tc>
          <w:tcPr>
            <w:tcW w:w="1418" w:type="dxa"/>
          </w:tcPr>
          <w:p w14:paraId="201B0DCC" w14:textId="77777777" w:rsidR="00426167" w:rsidRPr="00A21D7D" w:rsidRDefault="00426167" w:rsidP="00426167">
            <w:pPr>
              <w:pStyle w:val="TableTextBody"/>
            </w:pPr>
            <w:r w:rsidRPr="00A21D7D">
              <w:t>1</w:t>
            </w:r>
          </w:p>
        </w:tc>
        <w:tc>
          <w:tcPr>
            <w:tcW w:w="1275" w:type="dxa"/>
          </w:tcPr>
          <w:p w14:paraId="48ED0960" w14:textId="0C4362BF" w:rsidR="00426167" w:rsidRPr="00A21D7D" w:rsidRDefault="00431789" w:rsidP="00426167">
            <w:pPr>
              <w:pStyle w:val="TableTextBody"/>
            </w:pPr>
            <w:r w:rsidRPr="002E0EBF">
              <w:rPr>
                <w:rFonts w:eastAsia="Times New Roman"/>
                <w:lang w:eastAsia="en-AU"/>
              </w:rPr>
              <w:t>—</w:t>
            </w:r>
          </w:p>
        </w:tc>
        <w:tc>
          <w:tcPr>
            <w:tcW w:w="1133" w:type="dxa"/>
          </w:tcPr>
          <w:p w14:paraId="488D7F8A" w14:textId="77777777" w:rsidR="00426167" w:rsidRPr="00A21D7D" w:rsidRDefault="00426167" w:rsidP="00426167">
            <w:pPr>
              <w:pStyle w:val="TableTextBody"/>
            </w:pPr>
            <w:r w:rsidRPr="00A21D7D">
              <w:t>1</w:t>
            </w:r>
          </w:p>
        </w:tc>
      </w:tr>
      <w:tr w:rsidR="00426167" w:rsidRPr="00A21D7D" w14:paraId="01C85E62" w14:textId="77777777" w:rsidTr="00426167">
        <w:tc>
          <w:tcPr>
            <w:tcW w:w="2835" w:type="dxa"/>
          </w:tcPr>
          <w:p w14:paraId="224281BB" w14:textId="77777777" w:rsidR="00426167" w:rsidRPr="00A21D7D" w:rsidRDefault="00426167" w:rsidP="00426167">
            <w:pPr>
              <w:pStyle w:val="TableTextBody"/>
            </w:pPr>
            <w:r w:rsidRPr="00A21D7D">
              <w:t>Produce documents</w:t>
            </w:r>
          </w:p>
        </w:tc>
        <w:tc>
          <w:tcPr>
            <w:tcW w:w="1418" w:type="dxa"/>
          </w:tcPr>
          <w:p w14:paraId="6C77A64B" w14:textId="77777777" w:rsidR="00426167" w:rsidRPr="00A21D7D" w:rsidRDefault="00426167" w:rsidP="00426167">
            <w:pPr>
              <w:pStyle w:val="TableTextBody"/>
            </w:pPr>
            <w:r w:rsidRPr="00A21D7D">
              <w:t>2</w:t>
            </w:r>
          </w:p>
        </w:tc>
        <w:tc>
          <w:tcPr>
            <w:tcW w:w="1275" w:type="dxa"/>
          </w:tcPr>
          <w:p w14:paraId="45337066" w14:textId="6E18F9FC" w:rsidR="00426167" w:rsidRPr="00A21D7D" w:rsidRDefault="00431789" w:rsidP="00426167">
            <w:pPr>
              <w:pStyle w:val="TableTextBody"/>
            </w:pPr>
            <w:r w:rsidRPr="002E0EBF">
              <w:rPr>
                <w:rFonts w:eastAsia="Times New Roman"/>
                <w:lang w:eastAsia="en-AU"/>
              </w:rPr>
              <w:t>—</w:t>
            </w:r>
          </w:p>
        </w:tc>
        <w:tc>
          <w:tcPr>
            <w:tcW w:w="1133" w:type="dxa"/>
          </w:tcPr>
          <w:p w14:paraId="616BDB49" w14:textId="77777777" w:rsidR="00426167" w:rsidRPr="00A21D7D" w:rsidRDefault="00426167" w:rsidP="00426167">
            <w:pPr>
              <w:pStyle w:val="TableTextBody"/>
            </w:pPr>
            <w:r w:rsidRPr="00A21D7D">
              <w:t>2</w:t>
            </w:r>
          </w:p>
        </w:tc>
      </w:tr>
      <w:tr w:rsidR="00426167" w:rsidRPr="00A21D7D" w14:paraId="5D7C081A" w14:textId="77777777" w:rsidTr="00426167">
        <w:tc>
          <w:tcPr>
            <w:tcW w:w="2835" w:type="dxa"/>
          </w:tcPr>
          <w:p w14:paraId="7ED9876D" w14:textId="77777777" w:rsidR="00426167" w:rsidRPr="00A21D7D" w:rsidRDefault="00426167" w:rsidP="00426167">
            <w:pPr>
              <w:pStyle w:val="TableTextBody"/>
            </w:pPr>
            <w:r w:rsidRPr="00A21D7D">
              <w:t>Costs</w:t>
            </w:r>
          </w:p>
        </w:tc>
        <w:tc>
          <w:tcPr>
            <w:tcW w:w="1418" w:type="dxa"/>
          </w:tcPr>
          <w:p w14:paraId="7A2D58C8" w14:textId="18A4A9F1" w:rsidR="00426167" w:rsidRPr="00A21D7D" w:rsidRDefault="00431789" w:rsidP="00426167">
            <w:pPr>
              <w:pStyle w:val="TableTextBody"/>
            </w:pPr>
            <w:r w:rsidRPr="002E0EBF">
              <w:rPr>
                <w:rFonts w:eastAsia="Times New Roman"/>
                <w:lang w:eastAsia="en-AU"/>
              </w:rPr>
              <w:t>—</w:t>
            </w:r>
          </w:p>
        </w:tc>
        <w:tc>
          <w:tcPr>
            <w:tcW w:w="1275" w:type="dxa"/>
          </w:tcPr>
          <w:p w14:paraId="38B3EF10" w14:textId="77777777" w:rsidR="00426167" w:rsidRPr="00A21D7D" w:rsidRDefault="00426167" w:rsidP="00426167">
            <w:pPr>
              <w:pStyle w:val="TableTextBody"/>
            </w:pPr>
            <w:r w:rsidRPr="00A21D7D">
              <w:t>1</w:t>
            </w:r>
          </w:p>
        </w:tc>
        <w:tc>
          <w:tcPr>
            <w:tcW w:w="1133" w:type="dxa"/>
          </w:tcPr>
          <w:p w14:paraId="69E6FCC5" w14:textId="77777777" w:rsidR="00426167" w:rsidRPr="00A21D7D" w:rsidRDefault="00426167" w:rsidP="00426167">
            <w:pPr>
              <w:pStyle w:val="TableTextBody"/>
            </w:pPr>
            <w:r w:rsidRPr="00A21D7D">
              <w:t>1</w:t>
            </w:r>
          </w:p>
        </w:tc>
      </w:tr>
      <w:tr w:rsidR="00426167" w:rsidRPr="00A21D7D" w14:paraId="23A35D74" w14:textId="77777777" w:rsidTr="00426167">
        <w:tc>
          <w:tcPr>
            <w:tcW w:w="2835" w:type="dxa"/>
          </w:tcPr>
          <w:p w14:paraId="7A4FB4EB" w14:textId="77777777" w:rsidR="00426167" w:rsidRPr="00A21D7D" w:rsidRDefault="00426167" w:rsidP="00426167">
            <w:pPr>
              <w:pStyle w:val="TableTextBody"/>
            </w:pPr>
            <w:r w:rsidRPr="00A21D7D">
              <w:t>Security for costs</w:t>
            </w:r>
          </w:p>
        </w:tc>
        <w:tc>
          <w:tcPr>
            <w:tcW w:w="1418" w:type="dxa"/>
          </w:tcPr>
          <w:p w14:paraId="5EDC95A7" w14:textId="77777777" w:rsidR="00426167" w:rsidRPr="00A21D7D" w:rsidRDefault="00426167" w:rsidP="00426167">
            <w:pPr>
              <w:pStyle w:val="TableTextBody"/>
            </w:pPr>
            <w:r w:rsidRPr="00A21D7D">
              <w:t>1</w:t>
            </w:r>
          </w:p>
        </w:tc>
        <w:tc>
          <w:tcPr>
            <w:tcW w:w="1275" w:type="dxa"/>
          </w:tcPr>
          <w:p w14:paraId="4F66124A" w14:textId="454683E8" w:rsidR="00426167" w:rsidRPr="00A21D7D" w:rsidRDefault="00431789" w:rsidP="00426167">
            <w:pPr>
              <w:pStyle w:val="TableTextBody"/>
            </w:pPr>
            <w:r w:rsidRPr="002E0EBF">
              <w:rPr>
                <w:rFonts w:eastAsia="Times New Roman"/>
                <w:lang w:eastAsia="en-AU"/>
              </w:rPr>
              <w:t>—</w:t>
            </w:r>
          </w:p>
        </w:tc>
        <w:tc>
          <w:tcPr>
            <w:tcW w:w="1133" w:type="dxa"/>
          </w:tcPr>
          <w:p w14:paraId="19D88CEF" w14:textId="77777777" w:rsidR="00426167" w:rsidRPr="00A21D7D" w:rsidRDefault="00426167" w:rsidP="00426167">
            <w:pPr>
              <w:pStyle w:val="TableTextBody"/>
            </w:pPr>
            <w:r w:rsidRPr="00A21D7D">
              <w:t>1</w:t>
            </w:r>
          </w:p>
        </w:tc>
      </w:tr>
      <w:tr w:rsidR="00426167" w:rsidRPr="00A21D7D" w14:paraId="18827997" w14:textId="77777777" w:rsidTr="00426167">
        <w:tc>
          <w:tcPr>
            <w:tcW w:w="2835" w:type="dxa"/>
          </w:tcPr>
          <w:p w14:paraId="4D45008F" w14:textId="77777777" w:rsidR="00426167" w:rsidRPr="00A21D7D" w:rsidRDefault="00426167" w:rsidP="00426167">
            <w:pPr>
              <w:pStyle w:val="TableTextBody"/>
            </w:pPr>
            <w:r w:rsidRPr="00A21D7D">
              <w:t>Interim orders before referral (s 144)</w:t>
            </w:r>
          </w:p>
        </w:tc>
        <w:tc>
          <w:tcPr>
            <w:tcW w:w="1418" w:type="dxa"/>
          </w:tcPr>
          <w:p w14:paraId="6B334A7C" w14:textId="77777777" w:rsidR="00426167" w:rsidRPr="00A21D7D" w:rsidRDefault="00426167" w:rsidP="00426167">
            <w:pPr>
              <w:pStyle w:val="TableTextBody"/>
            </w:pPr>
            <w:r w:rsidRPr="00A21D7D">
              <w:t>1</w:t>
            </w:r>
          </w:p>
        </w:tc>
        <w:tc>
          <w:tcPr>
            <w:tcW w:w="1275" w:type="dxa"/>
          </w:tcPr>
          <w:p w14:paraId="29BD5D67" w14:textId="02FDE416" w:rsidR="00426167" w:rsidRPr="00A21D7D" w:rsidRDefault="00431789" w:rsidP="00426167">
            <w:pPr>
              <w:pStyle w:val="TableTextBody"/>
            </w:pPr>
            <w:r w:rsidRPr="002E0EBF">
              <w:rPr>
                <w:rFonts w:eastAsia="Times New Roman"/>
                <w:lang w:eastAsia="en-AU"/>
              </w:rPr>
              <w:t>—</w:t>
            </w:r>
          </w:p>
        </w:tc>
        <w:tc>
          <w:tcPr>
            <w:tcW w:w="1133" w:type="dxa"/>
          </w:tcPr>
          <w:p w14:paraId="60B4F0B0" w14:textId="77777777" w:rsidR="00426167" w:rsidRPr="00A21D7D" w:rsidRDefault="00426167" w:rsidP="00426167">
            <w:pPr>
              <w:pStyle w:val="TableTextBody"/>
            </w:pPr>
            <w:r w:rsidRPr="00A21D7D">
              <w:t>1</w:t>
            </w:r>
          </w:p>
        </w:tc>
      </w:tr>
      <w:tr w:rsidR="00426167" w:rsidRPr="00A21D7D" w14:paraId="6C512BA4" w14:textId="77777777" w:rsidTr="00426167">
        <w:tc>
          <w:tcPr>
            <w:tcW w:w="2835" w:type="dxa"/>
          </w:tcPr>
          <w:p w14:paraId="607F4DAD" w14:textId="77777777" w:rsidR="00426167" w:rsidRPr="00A21D7D" w:rsidRDefault="00426167" w:rsidP="00426167">
            <w:pPr>
              <w:pStyle w:val="TableTextBody"/>
            </w:pPr>
            <w:r w:rsidRPr="00A21D7D">
              <w:t>Miscellaneous process</w:t>
            </w:r>
          </w:p>
        </w:tc>
        <w:tc>
          <w:tcPr>
            <w:tcW w:w="1418" w:type="dxa"/>
          </w:tcPr>
          <w:p w14:paraId="0ED3CC0E" w14:textId="77777777" w:rsidR="00426167" w:rsidRPr="00A21D7D" w:rsidRDefault="00426167" w:rsidP="00426167">
            <w:pPr>
              <w:pStyle w:val="TableTextBody"/>
            </w:pPr>
            <w:r w:rsidRPr="00A21D7D">
              <w:t>2</w:t>
            </w:r>
          </w:p>
        </w:tc>
        <w:tc>
          <w:tcPr>
            <w:tcW w:w="1275" w:type="dxa"/>
          </w:tcPr>
          <w:p w14:paraId="6E47DF45" w14:textId="77777777" w:rsidR="00426167" w:rsidRPr="00A21D7D" w:rsidRDefault="00426167" w:rsidP="00426167">
            <w:pPr>
              <w:pStyle w:val="TableTextBody"/>
            </w:pPr>
            <w:r w:rsidRPr="00A21D7D">
              <w:t>2</w:t>
            </w:r>
          </w:p>
        </w:tc>
        <w:tc>
          <w:tcPr>
            <w:tcW w:w="1133" w:type="dxa"/>
          </w:tcPr>
          <w:p w14:paraId="564D3E05" w14:textId="77777777" w:rsidR="00426167" w:rsidRPr="00A21D7D" w:rsidRDefault="00426167" w:rsidP="00426167">
            <w:pPr>
              <w:pStyle w:val="TableTextBody"/>
            </w:pPr>
            <w:r w:rsidRPr="00A21D7D">
              <w:t>4</w:t>
            </w:r>
          </w:p>
        </w:tc>
      </w:tr>
      <w:tr w:rsidR="00426167" w:rsidRPr="00A21D7D" w14:paraId="2C215129" w14:textId="77777777" w:rsidTr="00426167">
        <w:tc>
          <w:tcPr>
            <w:tcW w:w="2835" w:type="dxa"/>
          </w:tcPr>
          <w:p w14:paraId="01042D04" w14:textId="77777777" w:rsidR="00426167" w:rsidRPr="00A21D7D" w:rsidRDefault="00426167" w:rsidP="00426167">
            <w:pPr>
              <w:pStyle w:val="TableTextBody"/>
            </w:pPr>
            <w:r w:rsidRPr="00A21D7D">
              <w:t>Exemption applications</w:t>
            </w:r>
          </w:p>
        </w:tc>
        <w:tc>
          <w:tcPr>
            <w:tcW w:w="1418" w:type="dxa"/>
          </w:tcPr>
          <w:p w14:paraId="183F9E70" w14:textId="77777777" w:rsidR="00426167" w:rsidRPr="00A21D7D" w:rsidRDefault="00426167" w:rsidP="00426167">
            <w:pPr>
              <w:pStyle w:val="TableTextBody"/>
            </w:pPr>
            <w:r w:rsidRPr="00A21D7D">
              <w:t>2</w:t>
            </w:r>
          </w:p>
        </w:tc>
        <w:tc>
          <w:tcPr>
            <w:tcW w:w="1275" w:type="dxa"/>
          </w:tcPr>
          <w:p w14:paraId="5BADFA11" w14:textId="5BE7E7DF" w:rsidR="00426167" w:rsidRPr="00A21D7D" w:rsidRDefault="00431789" w:rsidP="00426167">
            <w:pPr>
              <w:pStyle w:val="TableTextBody"/>
            </w:pPr>
            <w:r w:rsidRPr="002E0EBF">
              <w:rPr>
                <w:rFonts w:eastAsia="Times New Roman"/>
                <w:lang w:eastAsia="en-AU"/>
              </w:rPr>
              <w:t>—</w:t>
            </w:r>
          </w:p>
        </w:tc>
        <w:tc>
          <w:tcPr>
            <w:tcW w:w="1133" w:type="dxa"/>
          </w:tcPr>
          <w:p w14:paraId="3C5F392D" w14:textId="77777777" w:rsidR="00426167" w:rsidRPr="00A21D7D" w:rsidRDefault="00426167" w:rsidP="00426167">
            <w:pPr>
              <w:pStyle w:val="TableTextBody"/>
            </w:pPr>
            <w:r w:rsidRPr="00A21D7D">
              <w:t>2</w:t>
            </w:r>
          </w:p>
        </w:tc>
      </w:tr>
      <w:tr w:rsidR="00426167" w:rsidRPr="00A21D7D" w14:paraId="50AE645A" w14:textId="77777777" w:rsidTr="00426167">
        <w:tc>
          <w:tcPr>
            <w:tcW w:w="2835" w:type="dxa"/>
          </w:tcPr>
          <w:p w14:paraId="15335542" w14:textId="77777777" w:rsidR="00426167" w:rsidRPr="00A21D7D" w:rsidRDefault="00426167" w:rsidP="00426167">
            <w:pPr>
              <w:pStyle w:val="TableTextBold"/>
            </w:pPr>
          </w:p>
        </w:tc>
        <w:tc>
          <w:tcPr>
            <w:tcW w:w="1418" w:type="dxa"/>
          </w:tcPr>
          <w:p w14:paraId="6D5A83C4" w14:textId="77777777" w:rsidR="00426167" w:rsidRPr="00A21D7D" w:rsidRDefault="00426167" w:rsidP="00426167">
            <w:pPr>
              <w:pStyle w:val="TableTextBold"/>
            </w:pPr>
            <w:r w:rsidRPr="00A21D7D">
              <w:t>19</w:t>
            </w:r>
          </w:p>
        </w:tc>
        <w:tc>
          <w:tcPr>
            <w:tcW w:w="1275" w:type="dxa"/>
          </w:tcPr>
          <w:p w14:paraId="447DD849" w14:textId="77777777" w:rsidR="00426167" w:rsidRPr="00A21D7D" w:rsidRDefault="00426167" w:rsidP="00426167">
            <w:pPr>
              <w:pStyle w:val="TableTextBold"/>
            </w:pPr>
            <w:r w:rsidRPr="00A21D7D">
              <w:t>7</w:t>
            </w:r>
          </w:p>
        </w:tc>
        <w:tc>
          <w:tcPr>
            <w:tcW w:w="1133" w:type="dxa"/>
          </w:tcPr>
          <w:p w14:paraId="2ADF3985" w14:textId="77777777" w:rsidR="00426167" w:rsidRPr="00A21D7D" w:rsidRDefault="00426167" w:rsidP="00426167">
            <w:pPr>
              <w:pStyle w:val="TableTextBold"/>
            </w:pPr>
            <w:r w:rsidRPr="00A21D7D">
              <w:t>26</w:t>
            </w:r>
          </w:p>
        </w:tc>
      </w:tr>
    </w:tbl>
    <w:p w14:paraId="1C715C88" w14:textId="77777777" w:rsidR="009C1E9F" w:rsidRPr="00A21D7D" w:rsidRDefault="009C1E9F" w:rsidP="009C1E9F">
      <w:pPr>
        <w:spacing w:before="240" w:after="240"/>
        <w:rPr>
          <w:rFonts w:cs="Arial"/>
        </w:rPr>
      </w:pPr>
      <w:r w:rsidRPr="00A21D7D">
        <w:rPr>
          <w:rFonts w:cs="Arial"/>
        </w:rPr>
        <w:t>The following is a selection of the published decisions.</w:t>
      </w:r>
    </w:p>
    <w:p w14:paraId="3191A6DC" w14:textId="29002B8C" w:rsidR="000728D4" w:rsidRPr="00A21D7D" w:rsidRDefault="009C1E9F" w:rsidP="00EA3E47">
      <w:pPr>
        <w:pStyle w:val="Heading3"/>
      </w:pPr>
      <w:bookmarkStart w:id="82" w:name="_Toc49508919"/>
      <w:r w:rsidRPr="00A21D7D">
        <w:t>C</w:t>
      </w:r>
      <w:r w:rsidR="000728D4" w:rsidRPr="00A21D7D">
        <w:t>omplaints</w:t>
      </w:r>
      <w:bookmarkEnd w:id="82"/>
      <w:r w:rsidR="000728D4" w:rsidRPr="00A21D7D">
        <w:t xml:space="preserve"> </w:t>
      </w:r>
    </w:p>
    <w:p w14:paraId="1BE4188C" w14:textId="77777777" w:rsidR="009C1E9F" w:rsidRPr="00A21D7D" w:rsidRDefault="009C1E9F" w:rsidP="009C1E9F">
      <w:pPr>
        <w:keepNext/>
        <w:spacing w:before="120" w:after="120"/>
        <w:rPr>
          <w:rFonts w:cs="Arial"/>
          <w:b/>
        </w:rPr>
      </w:pPr>
      <w:r w:rsidRPr="00A21D7D">
        <w:rPr>
          <w:rFonts w:cs="Arial"/>
          <w:b/>
        </w:rPr>
        <w:t>Dialysis banned at work</w:t>
      </w:r>
    </w:p>
    <w:p w14:paraId="188E6F08" w14:textId="7A229533" w:rsidR="009C1E9F" w:rsidRPr="00A21D7D" w:rsidRDefault="009C1E9F" w:rsidP="009C1E9F">
      <w:pPr>
        <w:spacing w:before="120" w:after="240"/>
        <w:rPr>
          <w:rFonts w:cs="Arial"/>
        </w:rPr>
      </w:pPr>
      <w:r w:rsidRPr="00A21D7D">
        <w:rPr>
          <w:rFonts w:cs="Arial"/>
        </w:rPr>
        <w:t>A residential care officer developed a chronic kidney disease and had to undertake a type of dialysis twice during a 12 hour shift, and once during an 8 hour shift.</w:t>
      </w:r>
      <w:r w:rsidR="00B10E8B">
        <w:rPr>
          <w:rFonts w:cs="Arial"/>
        </w:rPr>
        <w:t xml:space="preserve"> </w:t>
      </w:r>
      <w:r w:rsidRPr="00A21D7D">
        <w:rPr>
          <w:rFonts w:cs="Arial"/>
        </w:rPr>
        <w:t>At the time, the officer worked three 12 hour day shifts, three 12 hour night shifts, and one 8 hour variable shift each fortnight.</w:t>
      </w:r>
      <w:r w:rsidR="00B10E8B">
        <w:rPr>
          <w:rFonts w:cs="Arial"/>
        </w:rPr>
        <w:t xml:space="preserve"> </w:t>
      </w:r>
      <w:r w:rsidRPr="00A21D7D">
        <w:rPr>
          <w:rFonts w:cs="Arial"/>
        </w:rPr>
        <w:t>He conducted the dialysis during his breaks.</w:t>
      </w:r>
      <w:r w:rsidR="00B10E8B">
        <w:rPr>
          <w:rFonts w:cs="Arial"/>
        </w:rPr>
        <w:t xml:space="preserve"> </w:t>
      </w:r>
    </w:p>
    <w:p w14:paraId="3F425FB7" w14:textId="0EDB375C" w:rsidR="009C1E9F" w:rsidRPr="00A21D7D" w:rsidRDefault="009C1E9F" w:rsidP="009C1E9F">
      <w:pPr>
        <w:spacing w:before="120" w:after="240"/>
        <w:rPr>
          <w:rFonts w:cs="Arial"/>
        </w:rPr>
      </w:pPr>
      <w:r w:rsidRPr="00A21D7D">
        <w:rPr>
          <w:rFonts w:cs="Arial"/>
        </w:rPr>
        <w:t>At the time he developed the condition, the officer had worked as a residential care officer for 16 years and had been caring for three intellectually disabled people in a residence.</w:t>
      </w:r>
      <w:r w:rsidR="006503DE">
        <w:rPr>
          <w:rFonts w:cs="Arial"/>
        </w:rPr>
        <w:t xml:space="preserve"> </w:t>
      </w:r>
      <w:r w:rsidRPr="00A21D7D">
        <w:rPr>
          <w:rFonts w:cs="Arial"/>
        </w:rPr>
        <w:t>The department determined that the officer could not continue as a residential care officer (RCO) while he needed to undertake the dialysis, and he was redeployed to an administrative position.</w:t>
      </w:r>
      <w:r w:rsidR="00B10E8B">
        <w:rPr>
          <w:rFonts w:cs="Arial"/>
        </w:rPr>
        <w:t xml:space="preserve"> </w:t>
      </w:r>
      <w:r w:rsidRPr="00A21D7D">
        <w:rPr>
          <w:rFonts w:cs="Arial"/>
        </w:rPr>
        <w:t>He returned to working as a residential care officer 11 months later, after having a successful kidney transplant.</w:t>
      </w:r>
    </w:p>
    <w:p w14:paraId="705EC2CC" w14:textId="77777777" w:rsidR="009C1E9F" w:rsidRPr="00A21D7D" w:rsidRDefault="009C1E9F" w:rsidP="009C1E9F">
      <w:pPr>
        <w:spacing w:before="120" w:after="240"/>
        <w:rPr>
          <w:rFonts w:cs="Arial"/>
        </w:rPr>
      </w:pPr>
      <w:r w:rsidRPr="00A21D7D">
        <w:rPr>
          <w:rFonts w:cs="Arial"/>
        </w:rPr>
        <w:t>The tribunal held that the need to undergo dialysis is a characteristic that a person with chronic kidney disease generally possesses and was, therefore, part of the protected attribute of impairment.</w:t>
      </w:r>
    </w:p>
    <w:p w14:paraId="7E640BB5" w14:textId="1F2630D1" w:rsidR="009C1E9F" w:rsidRPr="00A21D7D" w:rsidRDefault="009C1E9F" w:rsidP="009C1E9F">
      <w:pPr>
        <w:spacing w:before="120" w:after="240"/>
        <w:rPr>
          <w:rFonts w:cs="Arial"/>
        </w:rPr>
      </w:pPr>
      <w:r w:rsidRPr="00A21D7D">
        <w:rPr>
          <w:rFonts w:cs="Arial"/>
        </w:rPr>
        <w:t>In this case, the tribunal considered that the circumstances for comparison include that the comparator is partially restricted for 20 minutes, and absolutely restricted for 30 seconds, from attending the needs of service users, and that the restriction occurs during a crib break.</w:t>
      </w:r>
      <w:r w:rsidR="00B10E8B">
        <w:rPr>
          <w:rFonts w:cs="Arial"/>
        </w:rPr>
        <w:t xml:space="preserve"> </w:t>
      </w:r>
      <w:r w:rsidRPr="00A21D7D">
        <w:rPr>
          <w:rFonts w:cs="Arial"/>
        </w:rPr>
        <w:t>As the self-administered medical procedure is a characteristic of the impairment, it should not form part of the ‘circumstances’ for the purpose of assessing direct discrimination.</w:t>
      </w:r>
    </w:p>
    <w:p w14:paraId="7F3063B8" w14:textId="77777777" w:rsidR="00BF78C7" w:rsidRDefault="00BF78C7" w:rsidP="009C1E9F">
      <w:pPr>
        <w:spacing w:before="120" w:after="120"/>
        <w:rPr>
          <w:rFonts w:cs="Arial"/>
        </w:rPr>
      </w:pPr>
    </w:p>
    <w:p w14:paraId="5F222BD8" w14:textId="23B55952" w:rsidR="009C1E9F" w:rsidRPr="00A21D7D" w:rsidRDefault="009C1E9F" w:rsidP="009C1E9F">
      <w:pPr>
        <w:spacing w:before="120" w:after="120"/>
        <w:rPr>
          <w:rFonts w:cs="Arial"/>
        </w:rPr>
      </w:pPr>
      <w:r w:rsidRPr="00A21D7D">
        <w:rPr>
          <w:rFonts w:cs="Arial"/>
        </w:rPr>
        <w:lastRenderedPageBreak/>
        <w:t>The tribunal found it was less favourable treatment of the officer to:</w:t>
      </w:r>
    </w:p>
    <w:p w14:paraId="3CF8D882" w14:textId="77777777" w:rsidR="009C1E9F" w:rsidRPr="00A21D7D" w:rsidRDefault="009C1E9F" w:rsidP="00426167">
      <w:pPr>
        <w:pStyle w:val="ListParagraph"/>
        <w:ind w:left="851" w:hanging="284"/>
      </w:pPr>
      <w:r w:rsidRPr="00A21D7D">
        <w:t>direct him not to perform the dialysis treatment in his crib break, when he was just as responsive as another RCO who was otherwise occupied in their crib break; and</w:t>
      </w:r>
    </w:p>
    <w:p w14:paraId="3196C14E" w14:textId="77777777" w:rsidR="009C1E9F" w:rsidRPr="00A21D7D" w:rsidRDefault="009C1E9F" w:rsidP="00426167">
      <w:pPr>
        <w:pStyle w:val="ListParagraph"/>
        <w:ind w:left="851" w:hanging="284"/>
      </w:pPr>
      <w:r w:rsidRPr="00A21D7D">
        <w:t>decide not to continue to backfill in circumstances where it completely eliminated any risks to service users and cost less than employing the officer in a supernumerary administrative role; and</w:t>
      </w:r>
    </w:p>
    <w:p w14:paraId="7F828B26" w14:textId="77777777" w:rsidR="009C1E9F" w:rsidRPr="00A21D7D" w:rsidRDefault="009C1E9F" w:rsidP="00426167">
      <w:pPr>
        <w:pStyle w:val="ListParagraph"/>
        <w:ind w:left="851" w:hanging="284"/>
      </w:pPr>
      <w:r w:rsidRPr="00A21D7D">
        <w:t>not pay his projected RCO roster, including shift penalties, when he was transferred to alternative duties.</w:t>
      </w:r>
    </w:p>
    <w:p w14:paraId="698A5518" w14:textId="4D666D65" w:rsidR="009C1E9F" w:rsidRPr="00A21D7D" w:rsidRDefault="009C1E9F" w:rsidP="009C1E9F">
      <w:pPr>
        <w:spacing w:before="120" w:after="240"/>
        <w:rPr>
          <w:rFonts w:cs="Arial"/>
        </w:rPr>
      </w:pPr>
      <w:r w:rsidRPr="00A21D7D">
        <w:rPr>
          <w:rFonts w:cs="Arial"/>
        </w:rPr>
        <w:t>There was also a greater expectation of the officer (in relation to the performance of his duties as an RCO) than applied to other RCOs, and the respondents applied more onerous requirements than they expected of others.</w:t>
      </w:r>
      <w:r w:rsidR="00BF78C7">
        <w:rPr>
          <w:rFonts w:cs="Arial"/>
        </w:rPr>
        <w:t xml:space="preserve"> </w:t>
      </w:r>
      <w:r w:rsidRPr="00A21D7D">
        <w:rPr>
          <w:rFonts w:cs="Arial"/>
        </w:rPr>
        <w:t>There was no material increase in the risk to service providers in the officer performing the dialysis treatment during his crib breaks.</w:t>
      </w:r>
      <w:r w:rsidR="00B10E8B">
        <w:rPr>
          <w:rFonts w:cs="Arial"/>
        </w:rPr>
        <w:t xml:space="preserve"> </w:t>
      </w:r>
      <w:r w:rsidRPr="00A21D7D">
        <w:rPr>
          <w:rFonts w:cs="Arial"/>
        </w:rPr>
        <w:t>He kept the service users in his line of sight when administering the treatment, whereas other officers using the bathroom, hanging out washing, or smoking outside during their crib breaks, for example, were not more responsive than this officer.</w:t>
      </w:r>
      <w:r w:rsidR="00B10E8B">
        <w:rPr>
          <w:rFonts w:cs="Arial"/>
        </w:rPr>
        <w:t xml:space="preserve"> </w:t>
      </w:r>
    </w:p>
    <w:p w14:paraId="2D7D11BF" w14:textId="189D5D8A" w:rsidR="009C1E9F" w:rsidRPr="00A21D7D" w:rsidRDefault="009C1E9F" w:rsidP="009C1E9F">
      <w:pPr>
        <w:spacing w:before="120" w:after="240"/>
        <w:rPr>
          <w:rFonts w:cs="Arial"/>
        </w:rPr>
      </w:pPr>
      <w:r w:rsidRPr="00A21D7D">
        <w:rPr>
          <w:rFonts w:cs="Arial"/>
        </w:rPr>
        <w:t>The tribunal found that the officer’s position could be fulfilled and performed notwithstanding that over a crib break a person might be occupied in a manner that rendered them unable to respond to a situation for 30 seconds.</w:t>
      </w:r>
      <w:r w:rsidR="006503DE">
        <w:rPr>
          <w:rFonts w:cs="Arial"/>
        </w:rPr>
        <w:t xml:space="preserve"> </w:t>
      </w:r>
      <w:r w:rsidRPr="00A21D7D">
        <w:rPr>
          <w:rFonts w:cs="Arial"/>
        </w:rPr>
        <w:t>The less favourable treatment of the officer was because of his impairment and the need to perform the dialysis treatment during his crib breaks.</w:t>
      </w:r>
      <w:r w:rsidR="006503DE">
        <w:rPr>
          <w:rFonts w:cs="Arial"/>
        </w:rPr>
        <w:t xml:space="preserve"> </w:t>
      </w:r>
      <w:r w:rsidRPr="00A21D7D">
        <w:rPr>
          <w:rFonts w:cs="Arial"/>
        </w:rPr>
        <w:t>The tribunal also found</w:t>
      </w:r>
      <w:r w:rsidR="002F482E">
        <w:rPr>
          <w:rFonts w:cs="Arial"/>
        </w:rPr>
        <w:t>:</w:t>
      </w:r>
      <w:r w:rsidRPr="00A21D7D">
        <w:rPr>
          <w:rFonts w:cs="Arial"/>
        </w:rPr>
        <w:t xml:space="preserve"> that the respondents imposed a term that the officer not perform the dialysis treatment at work; that the officer could not comply with that term whereas officers without his impairment could comply; and that the term was not reasonable.</w:t>
      </w:r>
      <w:r w:rsidR="00B10E8B">
        <w:rPr>
          <w:rFonts w:cs="Arial"/>
        </w:rPr>
        <w:t xml:space="preserve"> </w:t>
      </w:r>
      <w:r w:rsidRPr="00A21D7D">
        <w:rPr>
          <w:rFonts w:cs="Arial"/>
        </w:rPr>
        <w:t>There was therefore both direct and indirect discrimination of the officer on the basis of his impairment.</w:t>
      </w:r>
    </w:p>
    <w:p w14:paraId="321E8FC0" w14:textId="405BD4CA" w:rsidR="009C1E9F" w:rsidRPr="00A21D7D" w:rsidRDefault="009C1E9F" w:rsidP="009C1E9F">
      <w:pPr>
        <w:spacing w:before="120" w:after="240"/>
        <w:rPr>
          <w:rFonts w:cs="Arial"/>
        </w:rPr>
      </w:pPr>
      <w:r w:rsidRPr="00A21D7D">
        <w:rPr>
          <w:rFonts w:cs="Arial"/>
        </w:rPr>
        <w:t>The tribunal considered the exemptions of: imposing genuine occupational requirements (s 25); special services or facilities required that impose unjustifiable hardship (s 35); circumstances of impairment impose unjustifiable hardship (s 36); and protecting the health and safety of people at a workplace (s 108).</w:t>
      </w:r>
      <w:r w:rsidR="00B10E8B">
        <w:rPr>
          <w:rFonts w:cs="Arial"/>
        </w:rPr>
        <w:t xml:space="preserve"> </w:t>
      </w:r>
      <w:r w:rsidRPr="00A21D7D">
        <w:rPr>
          <w:rFonts w:cs="Arial"/>
        </w:rPr>
        <w:t>It found that there was no requirement to actively and continually support and supervise the service users for the entire duration of a 12-hour shift; that there was no need for special requirements for the officer; there was no unjustifiable hardship on the employer; and removing the officer from the workplace was not reasonably necessary.</w:t>
      </w:r>
    </w:p>
    <w:p w14:paraId="597D778A" w14:textId="1B837EA8" w:rsidR="009C1E9F" w:rsidRPr="00A21D7D" w:rsidRDefault="009C1E9F" w:rsidP="009C1E9F">
      <w:pPr>
        <w:spacing w:before="120" w:after="120"/>
        <w:rPr>
          <w:rFonts w:cs="Arial"/>
        </w:rPr>
      </w:pPr>
      <w:r w:rsidRPr="00A21D7D">
        <w:rPr>
          <w:rFonts w:cs="Arial"/>
        </w:rPr>
        <w:t>The tribunal awarded the offi</w:t>
      </w:r>
      <w:r w:rsidR="006503DE">
        <w:rPr>
          <w:rFonts w:cs="Arial"/>
        </w:rPr>
        <w:t>cer compensation of $33,906.16</w:t>
      </w:r>
      <w:r w:rsidRPr="00A21D7D">
        <w:rPr>
          <w:rFonts w:cs="Arial"/>
        </w:rPr>
        <w:t>:</w:t>
      </w:r>
    </w:p>
    <w:p w14:paraId="3D5FCB37" w14:textId="77777777" w:rsidR="009C1E9F" w:rsidRPr="00A21D7D" w:rsidRDefault="009C1E9F" w:rsidP="006503DE">
      <w:pPr>
        <w:pStyle w:val="ListParagraph"/>
        <w:numPr>
          <w:ilvl w:val="0"/>
          <w:numId w:val="43"/>
        </w:numPr>
        <w:ind w:left="851" w:hanging="284"/>
      </w:pPr>
      <w:r w:rsidRPr="00A21D7D">
        <w:t>$10,000.00 (general damages)</w:t>
      </w:r>
    </w:p>
    <w:p w14:paraId="1F03CDE8" w14:textId="77777777" w:rsidR="009C1E9F" w:rsidRPr="00A21D7D" w:rsidRDefault="009C1E9F" w:rsidP="006503DE">
      <w:pPr>
        <w:pStyle w:val="ListParagraph"/>
        <w:numPr>
          <w:ilvl w:val="0"/>
          <w:numId w:val="43"/>
        </w:numPr>
        <w:ind w:left="851" w:hanging="284"/>
      </w:pPr>
      <w:r w:rsidRPr="00A21D7D">
        <w:t>$11,372.00 (loss of salary)</w:t>
      </w:r>
    </w:p>
    <w:p w14:paraId="6FFEF759" w14:textId="6113A693" w:rsidR="009C1E9F" w:rsidRPr="00A21D7D" w:rsidRDefault="009C1E9F" w:rsidP="006503DE">
      <w:pPr>
        <w:pStyle w:val="ListParagraph"/>
        <w:numPr>
          <w:ilvl w:val="0"/>
          <w:numId w:val="43"/>
        </w:numPr>
        <w:ind w:left="851" w:hanging="284"/>
      </w:pPr>
      <w:r w:rsidRPr="00A21D7D">
        <w:t>$</w:t>
      </w:r>
      <w:r w:rsidR="00B10E8B">
        <w:t xml:space="preserve"> </w:t>
      </w:r>
      <w:r w:rsidRPr="00A21D7D">
        <w:t>1,043.30 (lost recreational leave)</w:t>
      </w:r>
    </w:p>
    <w:p w14:paraId="236408C5" w14:textId="3A2B77CA" w:rsidR="009C1E9F" w:rsidRPr="00A21D7D" w:rsidRDefault="009C1E9F" w:rsidP="006503DE">
      <w:pPr>
        <w:pStyle w:val="ListParagraph"/>
        <w:numPr>
          <w:ilvl w:val="0"/>
          <w:numId w:val="43"/>
        </w:numPr>
        <w:ind w:left="851" w:hanging="284"/>
      </w:pPr>
      <w:r w:rsidRPr="00A21D7D">
        <w:t>$</w:t>
      </w:r>
      <w:r w:rsidR="00B10E8B">
        <w:t xml:space="preserve"> </w:t>
      </w:r>
      <w:r w:rsidRPr="00A21D7D">
        <w:t>3,546.75 (two weeks leave without pay)</w:t>
      </w:r>
    </w:p>
    <w:p w14:paraId="4FB135B9" w14:textId="69B74C82" w:rsidR="009C1E9F" w:rsidRPr="00A21D7D" w:rsidRDefault="009C1E9F" w:rsidP="006503DE">
      <w:pPr>
        <w:pStyle w:val="ListParagraph"/>
        <w:numPr>
          <w:ilvl w:val="0"/>
          <w:numId w:val="43"/>
        </w:numPr>
        <w:ind w:left="851" w:hanging="284"/>
      </w:pPr>
      <w:r w:rsidRPr="00A21D7D">
        <w:t>$</w:t>
      </w:r>
      <w:r w:rsidR="00B10E8B">
        <w:t xml:space="preserve"> </w:t>
      </w:r>
      <w:r w:rsidRPr="00A21D7D">
        <w:t>7,944.11 (lost penalty payments)</w:t>
      </w:r>
    </w:p>
    <w:p w14:paraId="5C66D0F9" w14:textId="77777777" w:rsidR="009C1E9F" w:rsidRPr="00A21D7D" w:rsidRDefault="009C1E9F" w:rsidP="009C1E9F">
      <w:pPr>
        <w:spacing w:before="120" w:after="120"/>
        <w:rPr>
          <w:rFonts w:cs="Arial"/>
        </w:rPr>
      </w:pPr>
      <w:r w:rsidRPr="00A21D7D">
        <w:rPr>
          <w:rFonts w:cs="Arial"/>
          <w:i/>
        </w:rPr>
        <w:t>Vale v State of Queensland &amp; Ors</w:t>
      </w:r>
      <w:r w:rsidRPr="00A21D7D">
        <w:rPr>
          <w:rFonts w:cs="Arial"/>
        </w:rPr>
        <w:t xml:space="preserve"> [2019] QCAT</w:t>
      </w:r>
    </w:p>
    <w:p w14:paraId="6F6BC755" w14:textId="77777777" w:rsidR="009C1E9F" w:rsidRPr="00A21D7D" w:rsidRDefault="009C1E9F" w:rsidP="009C1E9F">
      <w:pPr>
        <w:keepNext/>
        <w:spacing w:before="360" w:after="120"/>
        <w:rPr>
          <w:rFonts w:cs="Arial"/>
          <w:b/>
        </w:rPr>
      </w:pPr>
      <w:r w:rsidRPr="00A21D7D">
        <w:rPr>
          <w:rFonts w:cs="Arial"/>
          <w:b/>
        </w:rPr>
        <w:lastRenderedPageBreak/>
        <w:t>Tenant evicted for having an assistance dog</w:t>
      </w:r>
    </w:p>
    <w:p w14:paraId="14CAF0C8" w14:textId="4DCF7293" w:rsidR="009C1E9F" w:rsidRPr="00A21D7D" w:rsidRDefault="009C1E9F" w:rsidP="009C1E9F">
      <w:pPr>
        <w:spacing w:before="120" w:after="240"/>
        <w:rPr>
          <w:rFonts w:cs="Arial"/>
        </w:rPr>
      </w:pPr>
      <w:r w:rsidRPr="00A21D7D">
        <w:rPr>
          <w:rFonts w:cs="Arial"/>
        </w:rPr>
        <w:t>At the suggestion of her doctor, a woman who had been diagnosed with chronic depression, anxiety, and post-traumatic stress disorder obtained an assistance dog to help alleviate her symptoms of depression and anxiety.</w:t>
      </w:r>
      <w:r w:rsidR="00B10E8B">
        <w:rPr>
          <w:rFonts w:cs="Arial"/>
        </w:rPr>
        <w:t xml:space="preserve"> </w:t>
      </w:r>
      <w:r w:rsidRPr="00A21D7D">
        <w:rPr>
          <w:rFonts w:cs="Arial"/>
        </w:rPr>
        <w:t>The dog was a cavoodle named ‘Muffin’.</w:t>
      </w:r>
      <w:r w:rsidR="00B10E8B">
        <w:rPr>
          <w:rFonts w:cs="Arial"/>
        </w:rPr>
        <w:t xml:space="preserve"> </w:t>
      </w:r>
    </w:p>
    <w:p w14:paraId="4883E785" w14:textId="22A51FE4" w:rsidR="009C1E9F" w:rsidRPr="00A21D7D" w:rsidRDefault="009C1E9F" w:rsidP="009C1E9F">
      <w:pPr>
        <w:spacing w:before="120" w:after="240"/>
        <w:rPr>
          <w:rFonts w:cs="Arial"/>
        </w:rPr>
      </w:pPr>
      <w:r w:rsidRPr="00A21D7D">
        <w:rPr>
          <w:rFonts w:cs="Arial"/>
        </w:rPr>
        <w:t>The woman and her husband lived in a unit that they rented.</w:t>
      </w:r>
      <w:r w:rsidR="00B10E8B">
        <w:rPr>
          <w:rFonts w:cs="Arial"/>
        </w:rPr>
        <w:t xml:space="preserve"> </w:t>
      </w:r>
      <w:r w:rsidRPr="00A21D7D">
        <w:rPr>
          <w:rFonts w:cs="Arial"/>
        </w:rPr>
        <w:t>She applied for permission to keep the dog and was told that dogs were not allowed.</w:t>
      </w:r>
      <w:r w:rsidR="00B10E8B">
        <w:rPr>
          <w:rFonts w:cs="Arial"/>
        </w:rPr>
        <w:t xml:space="preserve"> </w:t>
      </w:r>
      <w:r w:rsidRPr="00A21D7D">
        <w:rPr>
          <w:rFonts w:cs="Arial"/>
        </w:rPr>
        <w:t>The woman and her husband were later given a notice to leave the premises on the basis that they were in breach of the lease by having the dog on the premises.</w:t>
      </w:r>
    </w:p>
    <w:p w14:paraId="0755C25F" w14:textId="29824F32" w:rsidR="009C1E9F" w:rsidRPr="00A21D7D" w:rsidRDefault="009C1E9F" w:rsidP="009C1E9F">
      <w:pPr>
        <w:spacing w:before="120" w:after="240"/>
        <w:rPr>
          <w:rFonts w:cs="Arial"/>
        </w:rPr>
      </w:pPr>
      <w:r w:rsidRPr="00A21D7D">
        <w:rPr>
          <w:rFonts w:cs="Arial"/>
        </w:rPr>
        <w:t xml:space="preserve">The </w:t>
      </w:r>
      <w:r w:rsidR="00FC6699" w:rsidRPr="00FC6699">
        <w:rPr>
          <w:rFonts w:cs="Arial"/>
          <w:i/>
        </w:rPr>
        <w:t>Anti-Discrimination Act 1991</w:t>
      </w:r>
      <w:r w:rsidRPr="00A21D7D">
        <w:rPr>
          <w:rFonts w:cs="Arial"/>
        </w:rPr>
        <w:t xml:space="preserve"> prohibits discrimination in refusing to allow a guide, hearing, or assistance dog in accommodation.</w:t>
      </w:r>
      <w:r w:rsidR="00B10E8B">
        <w:rPr>
          <w:rFonts w:cs="Arial"/>
        </w:rPr>
        <w:t xml:space="preserve"> </w:t>
      </w:r>
      <w:r w:rsidRPr="00A21D7D">
        <w:rPr>
          <w:rFonts w:cs="Arial"/>
        </w:rPr>
        <w:t>An assistance dog is a dog that is trained to perform tasks and behaviours to assist a person with a disability to reduce the person’s need for support.</w:t>
      </w:r>
      <w:r w:rsidR="00B10E8B">
        <w:rPr>
          <w:rFonts w:cs="Arial"/>
        </w:rPr>
        <w:t xml:space="preserve"> </w:t>
      </w:r>
      <w:r w:rsidRPr="00A21D7D">
        <w:rPr>
          <w:rFonts w:cs="Arial"/>
        </w:rPr>
        <w:t>There is no requirement that the dog be certified.</w:t>
      </w:r>
      <w:r w:rsidR="00B10E8B">
        <w:rPr>
          <w:rFonts w:cs="Arial"/>
        </w:rPr>
        <w:t xml:space="preserve"> </w:t>
      </w:r>
      <w:r w:rsidRPr="00A21D7D">
        <w:rPr>
          <w:rFonts w:cs="Arial"/>
        </w:rPr>
        <w:t xml:space="preserve">This is different to the position under the </w:t>
      </w:r>
      <w:r w:rsidRPr="00A21D7D">
        <w:rPr>
          <w:rFonts w:cs="Arial"/>
          <w:i/>
        </w:rPr>
        <w:t>Guide, Hearing and Assistance Dogs Act 2009</w:t>
      </w:r>
      <w:r w:rsidRPr="00A21D7D">
        <w:rPr>
          <w:rFonts w:cs="Arial"/>
        </w:rPr>
        <w:t xml:space="preserve"> where it is an offence (that is, a criminal penalty) to refuse to rent accommodation to a person with a disability because they have a certified assistance dog.</w:t>
      </w:r>
    </w:p>
    <w:p w14:paraId="000E5CF4" w14:textId="2F07E65F" w:rsidR="009C1E9F" w:rsidRPr="00A21D7D" w:rsidRDefault="009C1E9F" w:rsidP="009C1E9F">
      <w:pPr>
        <w:spacing w:before="120" w:after="240"/>
        <w:rPr>
          <w:rFonts w:cs="Arial"/>
        </w:rPr>
      </w:pPr>
      <w:r w:rsidRPr="00A21D7D">
        <w:rPr>
          <w:rFonts w:cs="Arial"/>
        </w:rPr>
        <w:t xml:space="preserve">For the purpose of the </w:t>
      </w:r>
      <w:r w:rsidR="00FC6699" w:rsidRPr="00FC6699">
        <w:rPr>
          <w:rFonts w:cs="Arial"/>
          <w:i/>
        </w:rPr>
        <w:t>Anti-Discrimination Act 1991</w:t>
      </w:r>
      <w:r w:rsidRPr="00A21D7D">
        <w:rPr>
          <w:rFonts w:cs="Arial"/>
        </w:rPr>
        <w:t>, the dog needs to be trained to perform tasks and behaviours to assist the person with disability.</w:t>
      </w:r>
      <w:r w:rsidR="00B10E8B">
        <w:rPr>
          <w:rFonts w:cs="Arial"/>
        </w:rPr>
        <w:t xml:space="preserve"> </w:t>
      </w:r>
      <w:r w:rsidRPr="00A21D7D">
        <w:rPr>
          <w:rFonts w:cs="Arial"/>
        </w:rPr>
        <w:t>The tribunal found that it is not necessary that the dog is trained by an accredited or a recognised dog training body.</w:t>
      </w:r>
    </w:p>
    <w:p w14:paraId="4210B716" w14:textId="377629A2" w:rsidR="009C1E9F" w:rsidRPr="00A21D7D" w:rsidRDefault="009C1E9F" w:rsidP="009C1E9F">
      <w:pPr>
        <w:spacing w:before="120" w:after="240"/>
        <w:rPr>
          <w:rFonts w:cs="Arial"/>
        </w:rPr>
      </w:pPr>
      <w:r w:rsidRPr="00A21D7D">
        <w:rPr>
          <w:rFonts w:cs="Arial"/>
        </w:rPr>
        <w:t>In this case Muffin had been to puppy school and was in a psychiatric service dog training program.</w:t>
      </w:r>
      <w:r w:rsidR="00B10E8B">
        <w:rPr>
          <w:rFonts w:cs="Arial"/>
        </w:rPr>
        <w:t xml:space="preserve"> </w:t>
      </w:r>
      <w:r w:rsidRPr="00A21D7D">
        <w:rPr>
          <w:rFonts w:cs="Arial"/>
        </w:rPr>
        <w:t>Muffin was able to sense when the woman was upset or anxious and had been trained to jump up on her chest to distract or comfort her.</w:t>
      </w:r>
      <w:r w:rsidR="00B10E8B">
        <w:rPr>
          <w:rFonts w:cs="Arial"/>
        </w:rPr>
        <w:t xml:space="preserve"> </w:t>
      </w:r>
      <w:r w:rsidRPr="00A21D7D">
        <w:rPr>
          <w:rFonts w:cs="Arial"/>
        </w:rPr>
        <w:t>Muffin could also assist the woman by her steady presence and companionship.</w:t>
      </w:r>
      <w:r w:rsidR="00B10E8B">
        <w:rPr>
          <w:rFonts w:cs="Arial"/>
        </w:rPr>
        <w:t xml:space="preserve"> </w:t>
      </w:r>
    </w:p>
    <w:p w14:paraId="164C948C" w14:textId="7D53A7CE" w:rsidR="009C1E9F" w:rsidRPr="00A21D7D" w:rsidRDefault="009C1E9F" w:rsidP="009C1E9F">
      <w:pPr>
        <w:spacing w:before="120" w:after="240"/>
        <w:rPr>
          <w:rFonts w:cs="Arial"/>
        </w:rPr>
      </w:pPr>
      <w:r w:rsidRPr="00A21D7D">
        <w:rPr>
          <w:rFonts w:cs="Arial"/>
        </w:rPr>
        <w:t>The tribunal was satisfied that Muffin had been trained to perform tasks and behaviours that assisted the woman to reduce her need for support.</w:t>
      </w:r>
      <w:r w:rsidR="00B10E8B">
        <w:rPr>
          <w:rFonts w:cs="Arial"/>
        </w:rPr>
        <w:t xml:space="preserve"> </w:t>
      </w:r>
      <w:r w:rsidRPr="00A21D7D">
        <w:rPr>
          <w:rFonts w:cs="Arial"/>
        </w:rPr>
        <w:t>The tribunal found therefore that at the time the notice to leave was given to the woman and her husband, Muffin was an assistance dog.</w:t>
      </w:r>
      <w:r w:rsidR="00B10E8B">
        <w:rPr>
          <w:rFonts w:cs="Arial"/>
        </w:rPr>
        <w:t xml:space="preserve"> </w:t>
      </w:r>
      <w:r w:rsidRPr="00A21D7D">
        <w:rPr>
          <w:rFonts w:cs="Arial"/>
        </w:rPr>
        <w:t>Although Muffin had not completed the formal training, she had been sufficiently trained to assist the woman.</w:t>
      </w:r>
    </w:p>
    <w:p w14:paraId="12EB7FE6" w14:textId="77777777" w:rsidR="009C1E9F" w:rsidRPr="00A21D7D" w:rsidRDefault="009C1E9F" w:rsidP="009C1E9F">
      <w:pPr>
        <w:spacing w:before="120" w:after="240"/>
        <w:rPr>
          <w:rFonts w:cs="Arial"/>
        </w:rPr>
      </w:pPr>
      <w:r w:rsidRPr="00A21D7D">
        <w:rPr>
          <w:rFonts w:cs="Arial"/>
        </w:rPr>
        <w:t>The tribunal found that evicting the woman from the premises was both direct and indirect discrimination of her.</w:t>
      </w:r>
    </w:p>
    <w:p w14:paraId="6F966781" w14:textId="77777777" w:rsidR="009C1E9F" w:rsidRPr="00A21D7D" w:rsidRDefault="009C1E9F" w:rsidP="009C1E9F">
      <w:pPr>
        <w:spacing w:before="120" w:after="240"/>
        <w:rPr>
          <w:rFonts w:cs="Arial"/>
        </w:rPr>
      </w:pPr>
      <w:r w:rsidRPr="00A21D7D">
        <w:rPr>
          <w:rFonts w:cs="Arial"/>
        </w:rPr>
        <w:t>The woman suffered a significant degree of stress from being evicted, and she and her husband lived in camp sites and caravan parks and lost contact with friends.</w:t>
      </w:r>
    </w:p>
    <w:p w14:paraId="780DAE9B" w14:textId="77777777" w:rsidR="009C1E9F" w:rsidRPr="00A21D7D" w:rsidRDefault="009C1E9F" w:rsidP="009C1E9F">
      <w:pPr>
        <w:spacing w:before="120" w:after="120"/>
        <w:rPr>
          <w:rFonts w:cs="Arial"/>
        </w:rPr>
      </w:pPr>
      <w:r w:rsidRPr="00A21D7D">
        <w:rPr>
          <w:rFonts w:cs="Arial"/>
        </w:rPr>
        <w:t>The tribunal awarded the woman general damages of $10,000.00 for stress, humiliation, and loss of dignity, as well as $3,115 for costs of storing furniture and belongings.</w:t>
      </w:r>
    </w:p>
    <w:p w14:paraId="3FF05C21" w14:textId="77777777" w:rsidR="009C1E9F" w:rsidRPr="00A21D7D" w:rsidRDefault="009C1E9F" w:rsidP="009C1E9F">
      <w:pPr>
        <w:spacing w:before="120" w:after="240"/>
        <w:rPr>
          <w:rFonts w:cs="Arial"/>
        </w:rPr>
      </w:pPr>
      <w:r w:rsidRPr="00A21D7D">
        <w:rPr>
          <w:rFonts w:cs="Arial"/>
          <w:i/>
        </w:rPr>
        <w:t xml:space="preserve">Jackson v Ocean Blue Queensland Pty Ltd &amp; Anor </w:t>
      </w:r>
      <w:r w:rsidRPr="00A21D7D">
        <w:rPr>
          <w:rFonts w:cs="Arial"/>
        </w:rPr>
        <w:t>[2020] QCAT 23</w:t>
      </w:r>
    </w:p>
    <w:p w14:paraId="1262A8AC" w14:textId="00062AAB" w:rsidR="000728D4" w:rsidRPr="00A21D7D" w:rsidRDefault="000728D4" w:rsidP="007D0F77">
      <w:pPr>
        <w:pStyle w:val="Heading3"/>
      </w:pPr>
      <w:bookmarkStart w:id="83" w:name="_Toc49508920"/>
      <w:r w:rsidRPr="00A21D7D">
        <w:lastRenderedPageBreak/>
        <w:t>Application for an interim order</w:t>
      </w:r>
      <w:bookmarkEnd w:id="83"/>
      <w:r w:rsidRPr="00A21D7D">
        <w:t xml:space="preserve"> </w:t>
      </w:r>
    </w:p>
    <w:p w14:paraId="7A796BD6" w14:textId="77777777" w:rsidR="009C1E9F" w:rsidRPr="00A21D7D" w:rsidRDefault="009C1E9F" w:rsidP="009C1E9F">
      <w:pPr>
        <w:keepNext/>
        <w:spacing w:before="120" w:after="120"/>
        <w:rPr>
          <w:rFonts w:cs="Arial"/>
          <w:b/>
        </w:rPr>
      </w:pPr>
      <w:r w:rsidRPr="00A21D7D">
        <w:rPr>
          <w:rFonts w:cs="Arial"/>
          <w:b/>
        </w:rPr>
        <w:t>Employer stopped from dismissing ill worker</w:t>
      </w:r>
    </w:p>
    <w:p w14:paraId="1F2AFD76" w14:textId="411DCD30" w:rsidR="009C1E9F" w:rsidRPr="00A21D7D" w:rsidRDefault="009C1E9F" w:rsidP="009C1E9F">
      <w:pPr>
        <w:spacing w:before="120" w:after="240"/>
        <w:rPr>
          <w:rFonts w:cs="Arial"/>
        </w:rPr>
      </w:pPr>
      <w:r w:rsidRPr="00A21D7D">
        <w:rPr>
          <w:rFonts w:cs="Arial"/>
        </w:rPr>
        <w:t xml:space="preserve">This was an application made by a complainant for an order under section 144 of the </w:t>
      </w:r>
      <w:r w:rsidR="00FC6699" w:rsidRPr="00FC6699">
        <w:rPr>
          <w:rFonts w:cs="Arial"/>
          <w:i/>
        </w:rPr>
        <w:t>Anti-Discrimination Act 1991</w:t>
      </w:r>
      <w:r w:rsidRPr="00A21D7D">
        <w:rPr>
          <w:rFonts w:cs="Arial"/>
          <w:i/>
        </w:rPr>
        <w:t>.</w:t>
      </w:r>
      <w:r w:rsidR="00B10E8B">
        <w:rPr>
          <w:rFonts w:cs="Arial"/>
          <w:i/>
        </w:rPr>
        <w:t xml:space="preserve"> </w:t>
      </w:r>
      <w:r w:rsidRPr="00A21D7D">
        <w:rPr>
          <w:rFonts w:cs="Arial"/>
        </w:rPr>
        <w:t>That section allows the tribunal to make an order, before a complaint is referred to it, to stop a person from doing an act that might prejudice the investigation or conciliation of a complaint, or an order the tribunal might make after a hearing.</w:t>
      </w:r>
      <w:r w:rsidR="00B10E8B">
        <w:rPr>
          <w:rFonts w:cs="Arial"/>
        </w:rPr>
        <w:t xml:space="preserve"> </w:t>
      </w:r>
    </w:p>
    <w:p w14:paraId="4F4A5023" w14:textId="7E394F8A" w:rsidR="009C1E9F" w:rsidRPr="00A21D7D" w:rsidRDefault="009C1E9F" w:rsidP="009C1E9F">
      <w:pPr>
        <w:spacing w:before="120" w:after="240"/>
        <w:rPr>
          <w:rFonts w:cs="Arial"/>
        </w:rPr>
      </w:pPr>
      <w:r w:rsidRPr="00A21D7D">
        <w:rPr>
          <w:rFonts w:cs="Arial"/>
        </w:rPr>
        <w:t>A woman lodged a complaint of impairment discrimination with the Queensland Human Rights Commission (QHRC).</w:t>
      </w:r>
      <w:r w:rsidR="00B10E8B">
        <w:rPr>
          <w:rFonts w:cs="Arial"/>
        </w:rPr>
        <w:t xml:space="preserve"> </w:t>
      </w:r>
      <w:r w:rsidRPr="00A21D7D">
        <w:rPr>
          <w:rFonts w:cs="Arial"/>
        </w:rPr>
        <w:t>She had been off work for over a year due to breast cancer, and claimed she had been discriminated against in the workplace.</w:t>
      </w:r>
    </w:p>
    <w:p w14:paraId="70F1385C" w14:textId="77777777" w:rsidR="009C1E9F" w:rsidRPr="00A21D7D" w:rsidRDefault="009C1E9F" w:rsidP="009C1E9F">
      <w:pPr>
        <w:spacing w:before="120" w:after="240"/>
        <w:rPr>
          <w:rFonts w:cs="Arial"/>
        </w:rPr>
      </w:pPr>
      <w:r w:rsidRPr="00A21D7D">
        <w:rPr>
          <w:rFonts w:cs="Arial"/>
        </w:rPr>
        <w:t xml:space="preserve">Two months later, the woman received a ‘show cause’ letter advising that her employer was considering terminating her employment because of her ongoing inability to perform her job. </w:t>
      </w:r>
    </w:p>
    <w:p w14:paraId="710C25F8" w14:textId="51B28F9B" w:rsidR="009C1E9F" w:rsidRPr="00A21D7D" w:rsidRDefault="009C1E9F" w:rsidP="009C1E9F">
      <w:pPr>
        <w:spacing w:before="120" w:after="240"/>
        <w:rPr>
          <w:rFonts w:cs="Arial"/>
        </w:rPr>
      </w:pPr>
      <w:r w:rsidRPr="00A21D7D">
        <w:rPr>
          <w:rFonts w:cs="Arial"/>
        </w:rPr>
        <w:t>The woman then applied to the Queensland Industrial Relations Commission (the tribunal) for an order to stop the employer from terminating her employment, as it would prejudice the conciliation of her complaint, or an order that might be made if the complaint was referred to the tribunal.</w:t>
      </w:r>
      <w:r w:rsidR="00B10E8B">
        <w:rPr>
          <w:rFonts w:cs="Arial"/>
        </w:rPr>
        <w:t xml:space="preserve"> </w:t>
      </w:r>
      <w:r w:rsidRPr="00A21D7D">
        <w:rPr>
          <w:rFonts w:cs="Arial"/>
        </w:rPr>
        <w:t>At the time of the application the complaint had not been accepted by the QHRC, however the QHRC had written to the complainant saying the complaint appeared to be covered by the Act, but the timing of events needed to be clarified.</w:t>
      </w:r>
    </w:p>
    <w:p w14:paraId="7A19815E" w14:textId="7DB6F9C8" w:rsidR="009C1E9F" w:rsidRPr="00A21D7D" w:rsidRDefault="009C1E9F" w:rsidP="009C1E9F">
      <w:pPr>
        <w:spacing w:before="120" w:after="240"/>
        <w:rPr>
          <w:rFonts w:cs="Arial"/>
        </w:rPr>
      </w:pPr>
      <w:r w:rsidRPr="00A21D7D">
        <w:rPr>
          <w:rFonts w:cs="Arial"/>
        </w:rPr>
        <w:t xml:space="preserve">The tribunal examined whether a complaint must be accepted before it can make an order under section 144, and concluded that although there is a preference that complaints be accepted, the correct interpretation of section 144 is that a complaint has been made in accordance with section 136 of the </w:t>
      </w:r>
      <w:r w:rsidRPr="00A21D7D">
        <w:rPr>
          <w:rFonts w:cs="Arial"/>
          <w:i/>
          <w:iCs/>
        </w:rPr>
        <w:t>Anti-Discrimination Act</w:t>
      </w:r>
      <w:r w:rsidRPr="00A21D7D">
        <w:rPr>
          <w:rFonts w:cs="Arial"/>
        </w:rPr>
        <w:t>.</w:t>
      </w:r>
      <w:r w:rsidR="00B10E8B">
        <w:rPr>
          <w:rFonts w:cs="Arial"/>
        </w:rPr>
        <w:t xml:space="preserve"> </w:t>
      </w:r>
      <w:r w:rsidRPr="00A21D7D">
        <w:rPr>
          <w:rFonts w:cs="Arial"/>
        </w:rPr>
        <w:t>In this case the tribunal was satisfied there was a complaint that complied with section 136.</w:t>
      </w:r>
    </w:p>
    <w:p w14:paraId="3F84F11A" w14:textId="6AF32FDC" w:rsidR="009C1E9F" w:rsidRPr="00A21D7D" w:rsidRDefault="009C1E9F" w:rsidP="009C1E9F">
      <w:pPr>
        <w:spacing w:before="120" w:after="240"/>
        <w:rPr>
          <w:rFonts w:cs="Arial"/>
        </w:rPr>
      </w:pPr>
      <w:r w:rsidRPr="00A21D7D">
        <w:rPr>
          <w:rFonts w:cs="Arial"/>
        </w:rPr>
        <w:t>The tribunal then considered whether there is a serious question to be tried and the balance of convenience.</w:t>
      </w:r>
      <w:r w:rsidR="00B10E8B">
        <w:rPr>
          <w:rFonts w:cs="Arial"/>
        </w:rPr>
        <w:t xml:space="preserve"> </w:t>
      </w:r>
      <w:r w:rsidRPr="00A21D7D">
        <w:rPr>
          <w:rFonts w:cs="Arial"/>
        </w:rPr>
        <w:t>The tribunal needs to be satisfied there is a sufficient likelihood that the complaint will succeed to justify preserving the status quo, and consider any prejudice that the parties might experience.</w:t>
      </w:r>
    </w:p>
    <w:p w14:paraId="6A225952" w14:textId="77777777" w:rsidR="009C1E9F" w:rsidRPr="00A21D7D" w:rsidRDefault="009C1E9F" w:rsidP="009C1E9F">
      <w:pPr>
        <w:spacing w:before="120" w:after="240"/>
        <w:rPr>
          <w:rFonts w:cs="Arial"/>
        </w:rPr>
      </w:pPr>
      <w:r w:rsidRPr="00A21D7D">
        <w:rPr>
          <w:rFonts w:cs="Arial"/>
        </w:rPr>
        <w:t xml:space="preserve">The tribunal was satisfied that if the allegations made in the complaint are supported by credible evidence at a hearing, the complaint has sound prospects of success. </w:t>
      </w:r>
    </w:p>
    <w:p w14:paraId="42C987B0" w14:textId="77777777" w:rsidR="009C1E9F" w:rsidRPr="00A21D7D" w:rsidRDefault="009C1E9F" w:rsidP="009C1E9F">
      <w:pPr>
        <w:spacing w:before="120" w:after="240"/>
        <w:rPr>
          <w:rFonts w:cs="Arial"/>
        </w:rPr>
      </w:pPr>
      <w:r w:rsidRPr="00A21D7D">
        <w:rPr>
          <w:rFonts w:cs="Arial"/>
        </w:rPr>
        <w:t>The tribunal was also satisfied that a potential order for reinstatement may be prejudiced by virtue of the woman’s ability to re-engage with the workplace following the psychological impact of being terminated.</w:t>
      </w:r>
    </w:p>
    <w:p w14:paraId="4867502A" w14:textId="77777777" w:rsidR="009C1E9F" w:rsidRPr="00A21D7D" w:rsidRDefault="009C1E9F" w:rsidP="009C1E9F">
      <w:pPr>
        <w:spacing w:before="120" w:after="120"/>
        <w:rPr>
          <w:rFonts w:cs="Arial"/>
        </w:rPr>
      </w:pPr>
      <w:r w:rsidRPr="00A21D7D">
        <w:rPr>
          <w:rFonts w:cs="Arial"/>
        </w:rPr>
        <w:t>The tribunal accepted that the balance of convenience favoured the woman because she was not currently working or being paid, and the financial impact on the employer of continuing her employment would be minimal.</w:t>
      </w:r>
    </w:p>
    <w:p w14:paraId="3E7B444F" w14:textId="77777777" w:rsidR="009C1E9F" w:rsidRPr="00A21D7D" w:rsidRDefault="009C1E9F" w:rsidP="009C1E9F">
      <w:pPr>
        <w:spacing w:before="120" w:after="240"/>
        <w:rPr>
          <w:rFonts w:cs="Arial"/>
          <w:i/>
        </w:rPr>
      </w:pPr>
      <w:r w:rsidRPr="00A21D7D">
        <w:rPr>
          <w:rFonts w:cs="Arial"/>
          <w:i/>
        </w:rPr>
        <w:t>Bond v Multicap Limited</w:t>
      </w:r>
      <w:r w:rsidRPr="00A21D7D">
        <w:rPr>
          <w:rFonts w:cs="Arial"/>
        </w:rPr>
        <w:t xml:space="preserve"> [2020] QIRC 51</w:t>
      </w:r>
      <w:r w:rsidRPr="00A21D7D">
        <w:rPr>
          <w:rFonts w:cs="Arial"/>
          <w:i/>
        </w:rPr>
        <w:t xml:space="preserve"> </w:t>
      </w:r>
    </w:p>
    <w:p w14:paraId="19F85781" w14:textId="77777777" w:rsidR="009C1E9F" w:rsidRPr="007D0F77" w:rsidRDefault="009C1E9F" w:rsidP="006503DE">
      <w:pPr>
        <w:pStyle w:val="Heading3"/>
      </w:pPr>
      <w:r w:rsidRPr="007D0F77">
        <w:lastRenderedPageBreak/>
        <w:t>Complaint made more than one year after event</w:t>
      </w:r>
    </w:p>
    <w:p w14:paraId="6741AA4E" w14:textId="021122B0" w:rsidR="009C1E9F" w:rsidRPr="00A21D7D" w:rsidRDefault="009C1E9F" w:rsidP="009C1E9F">
      <w:pPr>
        <w:spacing w:before="120" w:after="240"/>
        <w:rPr>
          <w:rFonts w:cs="Arial"/>
        </w:rPr>
      </w:pPr>
      <w:r w:rsidRPr="00A21D7D">
        <w:rPr>
          <w:rFonts w:cs="Arial"/>
        </w:rPr>
        <w:t>A complaint of sexual harassment and sex discrimination was not resolved at the Commission and referred to the Queensland Industrial Relations Commission (the tribunal).</w:t>
      </w:r>
      <w:r w:rsidR="00B10E8B">
        <w:rPr>
          <w:rFonts w:cs="Arial"/>
        </w:rPr>
        <w:t xml:space="preserve"> </w:t>
      </w:r>
      <w:r w:rsidRPr="00A21D7D">
        <w:rPr>
          <w:rFonts w:cs="Arial"/>
        </w:rPr>
        <w:t>Some of the incidents in the complaint occurred within one year of the complaint being lodged with the Commission, and some occurred earlier (out-of-time).</w:t>
      </w:r>
      <w:r w:rsidR="00B10E8B">
        <w:rPr>
          <w:rFonts w:cs="Arial"/>
        </w:rPr>
        <w:t xml:space="preserve"> </w:t>
      </w:r>
      <w:r w:rsidRPr="00A21D7D">
        <w:rPr>
          <w:rFonts w:cs="Arial"/>
        </w:rPr>
        <w:t xml:space="preserve">The Commission was satisfied the complainant had shown good cause, and exercised the discretion in section 138 of the </w:t>
      </w:r>
      <w:r w:rsidR="00FC6699" w:rsidRPr="00FC6699">
        <w:rPr>
          <w:rFonts w:cs="Arial"/>
          <w:i/>
        </w:rPr>
        <w:t>Anti-Discrimination Act 1991</w:t>
      </w:r>
      <w:r w:rsidRPr="00A21D7D">
        <w:rPr>
          <w:rFonts w:cs="Arial"/>
        </w:rPr>
        <w:t xml:space="preserve"> to accept the complaint.</w:t>
      </w:r>
    </w:p>
    <w:p w14:paraId="5D2F6640" w14:textId="664A08BA" w:rsidR="009C1E9F" w:rsidRPr="00A21D7D" w:rsidRDefault="009C1E9F" w:rsidP="009C1E9F">
      <w:pPr>
        <w:spacing w:before="120" w:after="240"/>
        <w:rPr>
          <w:rFonts w:cs="Arial"/>
        </w:rPr>
      </w:pPr>
      <w:r w:rsidRPr="00A21D7D">
        <w:rPr>
          <w:rFonts w:cs="Arial"/>
        </w:rPr>
        <w:t>The tribunal has a discretion to deal with a complaint made more than one year after the alleged contravention, if the tribunal considers that, on the balance of fairness, it would be reasonable to do so.</w:t>
      </w:r>
      <w:r w:rsidR="00B10E8B">
        <w:rPr>
          <w:rFonts w:cs="Arial"/>
        </w:rPr>
        <w:t xml:space="preserve"> </w:t>
      </w:r>
      <w:r w:rsidRPr="00A21D7D">
        <w:rPr>
          <w:rFonts w:cs="Arial"/>
        </w:rPr>
        <w:t>The respondents to the complaint opposed the exercise of the discretion for the out-of-time part of the complaint.</w:t>
      </w:r>
    </w:p>
    <w:p w14:paraId="7E727F03" w14:textId="77777777" w:rsidR="009C1E9F" w:rsidRPr="00A21D7D" w:rsidRDefault="009C1E9F" w:rsidP="009C1E9F">
      <w:pPr>
        <w:spacing w:before="120" w:after="240"/>
        <w:rPr>
          <w:rFonts w:cs="Arial"/>
        </w:rPr>
      </w:pPr>
      <w:r w:rsidRPr="00A21D7D">
        <w:rPr>
          <w:rFonts w:cs="Arial"/>
        </w:rPr>
        <w:t>The tribunal noted that the discretion for the Commissioner to accept a complaint under section 138 of the Act is different to the discretion under section 175 for the tribunal to deal with a complaint, and that the tribunal is not bound by the decision made by the Commissioner.</w:t>
      </w:r>
    </w:p>
    <w:p w14:paraId="097F8729" w14:textId="77777777" w:rsidR="009C1E9F" w:rsidRPr="00A21D7D" w:rsidRDefault="009C1E9F" w:rsidP="009C1E9F">
      <w:pPr>
        <w:spacing w:before="120" w:after="240"/>
        <w:rPr>
          <w:rFonts w:cs="Arial"/>
          <w:lang w:val="en-US"/>
        </w:rPr>
      </w:pPr>
      <w:r w:rsidRPr="00A21D7D">
        <w:rPr>
          <w:rFonts w:cs="Arial"/>
          <w:lang w:val="en-US"/>
        </w:rPr>
        <w:t>The tribunal considered the length of the delay, the explanation for the delay, and any prejudice to the respondents. As to the merits of the complaint, the tribunal said it was difficult, if not impossible to determine the relative merits or otherwise of the complainant’s case, particularly in the absence of the statement of facts and contentions.</w:t>
      </w:r>
    </w:p>
    <w:p w14:paraId="7C70E71D" w14:textId="77777777" w:rsidR="009C1E9F" w:rsidRPr="00A21D7D" w:rsidRDefault="009C1E9F" w:rsidP="009C1E9F">
      <w:pPr>
        <w:spacing w:before="120" w:after="240"/>
        <w:rPr>
          <w:rFonts w:cs="Arial"/>
          <w:lang w:val="en-US"/>
        </w:rPr>
      </w:pPr>
      <w:r w:rsidRPr="00A21D7D">
        <w:rPr>
          <w:rFonts w:cs="Arial"/>
          <w:lang w:val="en-US"/>
        </w:rPr>
        <w:t>In this case there was an alleged pattern of behavior that was continuing in nature. The tribunal considered the correct approach is not to examine each alleged incident or episode in isolation, but rather to view it in the context in which the behavior is said to have occurred.</w:t>
      </w:r>
    </w:p>
    <w:p w14:paraId="125F3EB8" w14:textId="77777777" w:rsidR="009C1E9F" w:rsidRPr="00A21D7D" w:rsidRDefault="009C1E9F" w:rsidP="009C1E9F">
      <w:pPr>
        <w:spacing w:before="120" w:after="120"/>
        <w:rPr>
          <w:rFonts w:cs="Arial"/>
          <w:lang w:val="en-US"/>
        </w:rPr>
      </w:pPr>
      <w:r w:rsidRPr="00A21D7D">
        <w:rPr>
          <w:rFonts w:cs="Arial"/>
          <w:lang w:val="en-US"/>
        </w:rPr>
        <w:t>The tribunal concluded that on the balance of fairness between the parties, it was reasonable to permit the out-of-time matters to be included with the claim.</w:t>
      </w:r>
    </w:p>
    <w:p w14:paraId="6AF5E3FF" w14:textId="77777777" w:rsidR="009C1E9F" w:rsidRPr="00A21D7D" w:rsidRDefault="009C1E9F" w:rsidP="009C1E9F">
      <w:pPr>
        <w:spacing w:before="120" w:after="240"/>
        <w:rPr>
          <w:rFonts w:cs="Arial"/>
        </w:rPr>
      </w:pPr>
      <w:r w:rsidRPr="00A21D7D">
        <w:rPr>
          <w:rFonts w:cs="Arial"/>
          <w:i/>
        </w:rPr>
        <w:t xml:space="preserve">Noble v Whitelock &amp; Ors </w:t>
      </w:r>
      <w:r w:rsidRPr="00A21D7D">
        <w:rPr>
          <w:rFonts w:cs="Arial"/>
        </w:rPr>
        <w:t>[2020] QIRC 69</w:t>
      </w:r>
    </w:p>
    <w:p w14:paraId="4EC467D4" w14:textId="64D71F3D" w:rsidR="000728D4" w:rsidRPr="007D0F77" w:rsidRDefault="000728D4" w:rsidP="006503DE">
      <w:pPr>
        <w:pStyle w:val="Heading3"/>
      </w:pPr>
      <w:r w:rsidRPr="007D0F77">
        <w:t xml:space="preserve">Exemption applications </w:t>
      </w:r>
    </w:p>
    <w:p w14:paraId="2EFBCA18" w14:textId="3161446D" w:rsidR="009C1E9F" w:rsidRPr="00A21D7D" w:rsidRDefault="009C1E9F" w:rsidP="009C1E9F">
      <w:pPr>
        <w:spacing w:before="120" w:after="240"/>
        <w:rPr>
          <w:rFonts w:cs="Arial"/>
        </w:rPr>
      </w:pPr>
      <w:r w:rsidRPr="00A21D7D">
        <w:rPr>
          <w:rFonts w:cs="Arial"/>
        </w:rPr>
        <w:t xml:space="preserve">During the period there were two decisions of the QIRC on applications for exemption from the operation of the </w:t>
      </w:r>
      <w:r w:rsidR="00D04CDB" w:rsidRPr="00D04CDB">
        <w:rPr>
          <w:rFonts w:cs="Arial"/>
          <w:i/>
        </w:rPr>
        <w:t xml:space="preserve">Anti-Discrimination </w:t>
      </w:r>
      <w:r w:rsidRPr="00D04CDB">
        <w:rPr>
          <w:rFonts w:cs="Arial"/>
          <w:i/>
        </w:rPr>
        <w:t>Act</w:t>
      </w:r>
      <w:r w:rsidR="00D04CDB" w:rsidRPr="00D04CDB">
        <w:rPr>
          <w:rFonts w:cs="Arial"/>
          <w:i/>
        </w:rPr>
        <w:t xml:space="preserve"> 1991</w:t>
      </w:r>
      <w:r w:rsidRPr="00A21D7D">
        <w:rPr>
          <w:rFonts w:cs="Arial"/>
        </w:rPr>
        <w:t>.</w:t>
      </w:r>
      <w:r w:rsidR="00B10E8B">
        <w:rPr>
          <w:rFonts w:cs="Arial"/>
        </w:rPr>
        <w:t xml:space="preserve"> </w:t>
      </w:r>
      <w:r w:rsidRPr="00A21D7D">
        <w:rPr>
          <w:rFonts w:cs="Arial"/>
        </w:rPr>
        <w:t>The QCAT dismissed an application where the applicant failed to comply with its directions.</w:t>
      </w:r>
      <w:r w:rsidR="00B10E8B">
        <w:rPr>
          <w:rFonts w:cs="Arial"/>
        </w:rPr>
        <w:t xml:space="preserve"> </w:t>
      </w:r>
      <w:r w:rsidRPr="00A21D7D">
        <w:rPr>
          <w:rFonts w:cs="Arial"/>
        </w:rPr>
        <w:t>In some cases, applications are not pursued after the Commission makes submissions about the application.</w:t>
      </w:r>
    </w:p>
    <w:p w14:paraId="0C84D456" w14:textId="61DFF1D8" w:rsidR="009C1E9F" w:rsidRPr="00A21D7D" w:rsidRDefault="009C1E9F" w:rsidP="009C1E9F">
      <w:pPr>
        <w:spacing w:before="120" w:after="240"/>
        <w:rPr>
          <w:rFonts w:cs="Arial"/>
        </w:rPr>
      </w:pPr>
      <w:r w:rsidRPr="00A21D7D">
        <w:rPr>
          <w:rFonts w:cs="Arial"/>
        </w:rPr>
        <w:t>An exemption for five years was granted to Kalwun Development Corporation Limited to allow it to advertise for and recruit specifically either female or male Young Wellbeing Workers for its Child and Family Support Services division as the need determined.</w:t>
      </w:r>
      <w:r w:rsidR="00B10E8B">
        <w:rPr>
          <w:rFonts w:cs="Arial"/>
        </w:rPr>
        <w:t xml:space="preserve"> </w:t>
      </w:r>
      <w:r w:rsidRPr="00A21D7D">
        <w:rPr>
          <w:rFonts w:cs="Arial"/>
        </w:rPr>
        <w:t>The primary focus of the position is to provide support for Aboriginal and Torres Strait Islander children living within at-risk families.</w:t>
      </w:r>
      <w:r w:rsidR="00B10E8B">
        <w:rPr>
          <w:rFonts w:cs="Arial"/>
        </w:rPr>
        <w:t xml:space="preserve"> </w:t>
      </w:r>
      <w:r w:rsidRPr="00A21D7D">
        <w:rPr>
          <w:rFonts w:cs="Arial"/>
        </w:rPr>
        <w:t xml:space="preserve">It is culturally more </w:t>
      </w:r>
      <w:r w:rsidRPr="00A21D7D">
        <w:rPr>
          <w:rFonts w:cs="Arial"/>
        </w:rPr>
        <w:lastRenderedPageBreak/>
        <w:t>appropriate for male workers to work with male children and for female workers to work with female children.</w:t>
      </w:r>
      <w:r w:rsidRPr="00A21D7D">
        <w:rPr>
          <w:rStyle w:val="FootnoteReference"/>
          <w:rFonts w:cs="Arial"/>
        </w:rPr>
        <w:footnoteReference w:id="6"/>
      </w:r>
      <w:r w:rsidR="00B10E8B">
        <w:rPr>
          <w:rFonts w:cs="Arial"/>
        </w:rPr>
        <w:t xml:space="preserve"> </w:t>
      </w:r>
    </w:p>
    <w:p w14:paraId="5ED2A402" w14:textId="310C918A" w:rsidR="009C1E9F" w:rsidRPr="00A21D7D" w:rsidRDefault="009C1E9F" w:rsidP="009C1E9F">
      <w:pPr>
        <w:spacing w:before="120" w:after="240"/>
        <w:rPr>
          <w:rFonts w:cs="Arial"/>
        </w:rPr>
      </w:pPr>
      <w:r w:rsidRPr="00A21D7D">
        <w:rPr>
          <w:rFonts w:cs="Arial"/>
        </w:rPr>
        <w:t>A labour hire company was granted an exemption for two years to allow it to undertake targeted recruitment of women to complete a Certificate II in Resources and Work Infrastructure, with a view to working in the construction industry.</w:t>
      </w:r>
      <w:r w:rsidR="00B10E8B">
        <w:rPr>
          <w:rFonts w:cs="Arial"/>
        </w:rPr>
        <w:t xml:space="preserve"> </w:t>
      </w:r>
      <w:r w:rsidRPr="00A21D7D">
        <w:rPr>
          <w:rFonts w:cs="Arial"/>
        </w:rPr>
        <w:t>The program was developed to increase the participation of women in the construction industry.</w:t>
      </w:r>
      <w:r w:rsidRPr="00A21D7D">
        <w:rPr>
          <w:rStyle w:val="FootnoteReference"/>
          <w:rFonts w:cs="Arial"/>
        </w:rPr>
        <w:footnoteReference w:id="7"/>
      </w:r>
    </w:p>
    <w:p w14:paraId="5FD0068E" w14:textId="39945682" w:rsidR="000728D4" w:rsidRPr="00A21D7D" w:rsidRDefault="000728D4" w:rsidP="000728D4">
      <w:pPr>
        <w:rPr>
          <w:rFonts w:cs="Arial"/>
        </w:rPr>
      </w:pPr>
      <w:r w:rsidRPr="00A21D7D">
        <w:rPr>
          <w:rFonts w:cs="Arial"/>
        </w:rPr>
        <w:t xml:space="preserve"> </w:t>
      </w:r>
    </w:p>
    <w:p w14:paraId="4A986DEC" w14:textId="77777777" w:rsidR="000728D4" w:rsidRPr="00A21D7D" w:rsidRDefault="000728D4" w:rsidP="007D0F77">
      <w:pPr>
        <w:pStyle w:val="Heading2"/>
      </w:pPr>
      <w:bookmarkStart w:id="84" w:name="_Toc49508921"/>
      <w:r w:rsidRPr="00A21D7D">
        <w:t>QCAT Appeal Tribunal</w:t>
      </w:r>
      <w:bookmarkEnd w:id="84"/>
      <w:r w:rsidRPr="00A21D7D">
        <w:t xml:space="preserve"> </w:t>
      </w:r>
    </w:p>
    <w:p w14:paraId="7346F565" w14:textId="68C54C98" w:rsidR="009C1E9F" w:rsidRPr="00A21D7D" w:rsidRDefault="009C1E9F" w:rsidP="009C1E9F">
      <w:pPr>
        <w:spacing w:before="120" w:after="240"/>
        <w:rPr>
          <w:rFonts w:cs="Arial"/>
        </w:rPr>
      </w:pPr>
      <w:r w:rsidRPr="00A21D7D">
        <w:rPr>
          <w:rFonts w:cs="Arial"/>
        </w:rPr>
        <w:t>A party to proceedings in QCAT may appeal a decision on a question of law, and apply for leave to appeal a decision on questions of fact, or questions of mixed fact and law.</w:t>
      </w:r>
      <w:r w:rsidR="00B10E8B">
        <w:rPr>
          <w:rFonts w:cs="Arial"/>
        </w:rPr>
        <w:t xml:space="preserve"> </w:t>
      </w:r>
      <w:r w:rsidRPr="00A21D7D">
        <w:rPr>
          <w:rFonts w:cs="Arial"/>
        </w:rPr>
        <w:t>There were two decisions of the QCAT Appeal Tribunal published in the period.</w:t>
      </w:r>
    </w:p>
    <w:p w14:paraId="04410900" w14:textId="77777777" w:rsidR="009C1E9F" w:rsidRPr="00A21D7D" w:rsidRDefault="009C1E9F" w:rsidP="009C1E9F">
      <w:pPr>
        <w:keepNext/>
        <w:spacing w:before="360" w:after="120"/>
        <w:rPr>
          <w:rFonts w:cs="Arial"/>
          <w:b/>
          <w:lang w:val="en-US"/>
        </w:rPr>
      </w:pPr>
      <w:r w:rsidRPr="00A21D7D">
        <w:rPr>
          <w:rFonts w:cs="Arial"/>
          <w:b/>
          <w:lang w:val="en-US"/>
        </w:rPr>
        <w:t>Misgendering a transgender prisoner</w:t>
      </w:r>
    </w:p>
    <w:p w14:paraId="4E02E84A" w14:textId="4234AA99" w:rsidR="009C1E9F" w:rsidRPr="00A21D7D" w:rsidRDefault="009C1E9F" w:rsidP="009C1E9F">
      <w:pPr>
        <w:spacing w:before="120" w:after="240"/>
        <w:rPr>
          <w:rFonts w:cs="Arial"/>
        </w:rPr>
      </w:pPr>
      <w:r w:rsidRPr="00A21D7D">
        <w:rPr>
          <w:rFonts w:cs="Arial"/>
        </w:rPr>
        <w:t>A transgender woman was incarcerated in a male high security prison.</w:t>
      </w:r>
      <w:r w:rsidR="00B10E8B">
        <w:rPr>
          <w:rFonts w:cs="Arial"/>
        </w:rPr>
        <w:t xml:space="preserve"> </w:t>
      </w:r>
      <w:r w:rsidRPr="00A21D7D">
        <w:rPr>
          <w:rFonts w:cs="Arial"/>
        </w:rPr>
        <w:t>Prison officers referred to her as a man, and used male pronouns (misgendering).</w:t>
      </w:r>
      <w:r w:rsidR="00B10E8B">
        <w:rPr>
          <w:rFonts w:cs="Arial"/>
        </w:rPr>
        <w:t xml:space="preserve"> </w:t>
      </w:r>
      <w:r w:rsidRPr="00A21D7D">
        <w:rPr>
          <w:rFonts w:cs="Arial"/>
        </w:rPr>
        <w:t>She was put on Intensive Management Plans to mitigate her ‘sexually-laden behaviour’.</w:t>
      </w:r>
      <w:r w:rsidR="00B10E8B">
        <w:rPr>
          <w:rFonts w:cs="Arial"/>
        </w:rPr>
        <w:t xml:space="preserve"> </w:t>
      </w:r>
      <w:r w:rsidRPr="00A21D7D">
        <w:rPr>
          <w:rFonts w:cs="Arial"/>
        </w:rPr>
        <w:t>The woman complained that the conduct was discrimination of her on the basis of her gender identity, and that the prison required her to ‘be a man’.</w:t>
      </w:r>
      <w:r w:rsidR="00B10E8B">
        <w:rPr>
          <w:rFonts w:cs="Arial"/>
        </w:rPr>
        <w:t xml:space="preserve"> </w:t>
      </w:r>
      <w:r w:rsidRPr="00A21D7D">
        <w:rPr>
          <w:rFonts w:cs="Arial"/>
        </w:rPr>
        <w:t>She appealed the decision of the tribunal that found she was not treated less favourably and the conduct was not otherwise discrimination of her.</w:t>
      </w:r>
    </w:p>
    <w:p w14:paraId="60964DED" w14:textId="77A1BB80" w:rsidR="009C1E9F" w:rsidRPr="00A21D7D" w:rsidRDefault="009C1E9F" w:rsidP="009C1E9F">
      <w:pPr>
        <w:spacing w:before="120" w:after="240"/>
        <w:rPr>
          <w:rFonts w:cs="Arial"/>
        </w:rPr>
      </w:pPr>
      <w:r w:rsidRPr="00A21D7D">
        <w:rPr>
          <w:rFonts w:cs="Arial"/>
        </w:rPr>
        <w:t xml:space="preserve">The </w:t>
      </w:r>
      <w:r w:rsidR="00FC6699" w:rsidRPr="00FC6699">
        <w:rPr>
          <w:rFonts w:cs="Arial"/>
          <w:i/>
        </w:rPr>
        <w:t>Anti-Discrimination Act 1991</w:t>
      </w:r>
      <w:r w:rsidRPr="00A21D7D">
        <w:rPr>
          <w:rFonts w:cs="Arial"/>
        </w:rPr>
        <w:t xml:space="preserve"> has a modified application in the prison setting.</w:t>
      </w:r>
      <w:r w:rsidR="00B10E8B">
        <w:rPr>
          <w:rFonts w:cs="Arial"/>
        </w:rPr>
        <w:t xml:space="preserve"> </w:t>
      </w:r>
      <w:r w:rsidRPr="00A21D7D">
        <w:rPr>
          <w:rFonts w:cs="Arial"/>
        </w:rPr>
        <w:t>Discrimination will not be unlawful if the conduct is ‘reasonable’ within the correctional environment, and the payment of compensation is limited.</w:t>
      </w:r>
    </w:p>
    <w:p w14:paraId="01385E49" w14:textId="057892B6" w:rsidR="009C1E9F" w:rsidRPr="00A21D7D" w:rsidRDefault="009C1E9F" w:rsidP="009C1E9F">
      <w:pPr>
        <w:spacing w:before="120" w:after="240"/>
        <w:rPr>
          <w:rFonts w:cs="Arial"/>
        </w:rPr>
      </w:pPr>
      <w:r w:rsidRPr="00A21D7D">
        <w:rPr>
          <w:rFonts w:cs="Arial"/>
        </w:rPr>
        <w:t>The Appeal Tribunal found there was an error in the tribunal’s decision in considering whether there had been indirect discrimination of the woman by using male pronouns (for example, ‘he’, rather than ‘she’).</w:t>
      </w:r>
      <w:r w:rsidR="00B10E8B">
        <w:rPr>
          <w:rFonts w:cs="Arial"/>
        </w:rPr>
        <w:t xml:space="preserve"> </w:t>
      </w:r>
      <w:r w:rsidRPr="00A21D7D">
        <w:rPr>
          <w:rFonts w:cs="Arial"/>
        </w:rPr>
        <w:t>It considered that the use of male pronouns in addressing and referring to the woman amounted to a term being imposed that she ‘identify as a man’.</w:t>
      </w:r>
      <w:r w:rsidR="00B10E8B">
        <w:rPr>
          <w:rFonts w:cs="Arial"/>
        </w:rPr>
        <w:t xml:space="preserve"> </w:t>
      </w:r>
      <w:r w:rsidRPr="00A21D7D">
        <w:rPr>
          <w:rFonts w:cs="Arial"/>
        </w:rPr>
        <w:t>She could not comply with this term because it required her to compromise her gender identity, and a higher proportion of prisoners without the attribute could comply with it.</w:t>
      </w:r>
    </w:p>
    <w:p w14:paraId="6A85BA2F" w14:textId="2EAD1D4F" w:rsidR="009C1E9F" w:rsidRPr="00A21D7D" w:rsidRDefault="009C1E9F" w:rsidP="009C1E9F">
      <w:pPr>
        <w:spacing w:before="120" w:after="240"/>
        <w:rPr>
          <w:rFonts w:cs="Arial"/>
        </w:rPr>
      </w:pPr>
      <w:r w:rsidRPr="00A21D7D">
        <w:rPr>
          <w:rFonts w:cs="Arial"/>
        </w:rPr>
        <w:t xml:space="preserve">There was also error in not considering submissions about the factors set out in the </w:t>
      </w:r>
      <w:r w:rsidRPr="00A21D7D">
        <w:rPr>
          <w:rFonts w:cs="Arial"/>
          <w:i/>
        </w:rPr>
        <w:t>Corrective Services Act</w:t>
      </w:r>
      <w:r w:rsidR="009158BB">
        <w:rPr>
          <w:rFonts w:cs="Arial"/>
          <w:i/>
        </w:rPr>
        <w:t xml:space="preserve"> 2006 </w:t>
      </w:r>
      <w:r w:rsidRPr="00A21D7D">
        <w:rPr>
          <w:rFonts w:cs="Arial"/>
        </w:rPr>
        <w:t xml:space="preserve"> for considering whether conduct was reasonable.</w:t>
      </w:r>
      <w:r w:rsidR="00B10E8B">
        <w:rPr>
          <w:rFonts w:cs="Arial"/>
        </w:rPr>
        <w:t xml:space="preserve"> </w:t>
      </w:r>
      <w:r w:rsidRPr="00A21D7D">
        <w:rPr>
          <w:rFonts w:cs="Arial"/>
        </w:rPr>
        <w:t>The Appeal Tribunal noted that the good order and security of the prison is not the sole or paramount consideration that is relevant, and the cost and resource implications of requiring prison staff to address transgender prisoners by their ‘acquired gender’ were not of sufficient weight to justify the discriminatory practice of using male pronouns to address the woman.</w:t>
      </w:r>
    </w:p>
    <w:p w14:paraId="27448899" w14:textId="525F77F7" w:rsidR="009C1E9F" w:rsidRPr="00A21D7D" w:rsidRDefault="009C1E9F" w:rsidP="009C1E9F">
      <w:pPr>
        <w:spacing w:before="120" w:after="240"/>
        <w:rPr>
          <w:rFonts w:cs="Arial"/>
        </w:rPr>
      </w:pPr>
      <w:r w:rsidRPr="00A21D7D">
        <w:rPr>
          <w:rFonts w:cs="Arial"/>
        </w:rPr>
        <w:lastRenderedPageBreak/>
        <w:t>Relevant to considering reasonableness was that the Custodial Operations Practice Directive (which is an operational guide) has been changed to require transgender prisoners to be referred to in a manner consistent with their gender identity.</w:t>
      </w:r>
      <w:r w:rsidR="00B10E8B">
        <w:rPr>
          <w:rFonts w:cs="Arial"/>
        </w:rPr>
        <w:t xml:space="preserve"> </w:t>
      </w:r>
      <w:r w:rsidRPr="00A21D7D">
        <w:rPr>
          <w:rFonts w:cs="Arial"/>
        </w:rPr>
        <w:t>It was also relevant that the woman’s suggestion that she be called by her name was an option available under the Custodial Operations Practice Directive at the time.</w:t>
      </w:r>
    </w:p>
    <w:p w14:paraId="0B392DA0" w14:textId="21376109" w:rsidR="009C1E9F" w:rsidRPr="00A21D7D" w:rsidRDefault="009C1E9F" w:rsidP="009C1E9F">
      <w:pPr>
        <w:spacing w:before="120" w:after="240"/>
        <w:rPr>
          <w:rFonts w:cs="Arial"/>
        </w:rPr>
      </w:pPr>
      <w:r w:rsidRPr="00A21D7D">
        <w:rPr>
          <w:rFonts w:cs="Arial"/>
        </w:rPr>
        <w:t xml:space="preserve">The Appeal Tribunal concluded that the treatment of the woman in referring to her by male pronouns was indirect discrimination, and was not reasonable within the meaning of the </w:t>
      </w:r>
      <w:r w:rsidRPr="00A21D7D">
        <w:rPr>
          <w:rFonts w:cs="Arial"/>
          <w:i/>
        </w:rPr>
        <w:t>Anti-Discrimination Act</w:t>
      </w:r>
      <w:r w:rsidR="009158BB">
        <w:rPr>
          <w:rFonts w:cs="Arial"/>
          <w:i/>
        </w:rPr>
        <w:t xml:space="preserve"> 1991</w:t>
      </w:r>
      <w:r w:rsidRPr="00A21D7D">
        <w:rPr>
          <w:rFonts w:cs="Arial"/>
        </w:rPr>
        <w:t xml:space="preserve"> and the </w:t>
      </w:r>
      <w:r w:rsidRPr="00A21D7D">
        <w:rPr>
          <w:rFonts w:cs="Arial"/>
          <w:i/>
        </w:rPr>
        <w:t>Corrective Services Act</w:t>
      </w:r>
      <w:r w:rsidR="009158BB">
        <w:rPr>
          <w:rFonts w:cs="Arial"/>
          <w:i/>
        </w:rPr>
        <w:t xml:space="preserve"> 2006</w:t>
      </w:r>
      <w:r w:rsidRPr="00A21D7D">
        <w:rPr>
          <w:rFonts w:cs="Arial"/>
        </w:rPr>
        <w:t>.</w:t>
      </w:r>
    </w:p>
    <w:p w14:paraId="2B981703" w14:textId="53E32A74" w:rsidR="009C1E9F" w:rsidRPr="00A21D7D" w:rsidRDefault="009C1E9F" w:rsidP="009C1E9F">
      <w:pPr>
        <w:spacing w:before="120" w:after="240"/>
        <w:rPr>
          <w:rFonts w:cs="Arial"/>
        </w:rPr>
      </w:pPr>
      <w:r w:rsidRPr="00A21D7D">
        <w:rPr>
          <w:rFonts w:cs="Arial"/>
        </w:rPr>
        <w:t>However, there was no error in the tribunal finding that the Intensive Management Plans focused on addressing overt sexual behaviour that is not a characteristic of the attribute of gender identity, and was not less favourable treatment on the basis of gender identity.</w:t>
      </w:r>
      <w:r w:rsidR="00B10E8B">
        <w:rPr>
          <w:rFonts w:cs="Arial"/>
        </w:rPr>
        <w:t xml:space="preserve"> </w:t>
      </w:r>
      <w:r w:rsidRPr="00A21D7D">
        <w:rPr>
          <w:rFonts w:cs="Arial"/>
        </w:rPr>
        <w:t>Even if the plans had been discriminatory, the Appeal Tribunal considered it would find they were reasonable in the circumstances.</w:t>
      </w:r>
    </w:p>
    <w:p w14:paraId="04B7974C" w14:textId="544871FB" w:rsidR="009C1E9F" w:rsidRPr="00A21D7D" w:rsidRDefault="009C1E9F" w:rsidP="009C1E9F">
      <w:pPr>
        <w:spacing w:before="120" w:after="120"/>
        <w:rPr>
          <w:rFonts w:cs="Arial"/>
        </w:rPr>
      </w:pPr>
      <w:r w:rsidRPr="00A21D7D">
        <w:rPr>
          <w:rFonts w:cs="Arial"/>
        </w:rPr>
        <w:t>The Appeal Tribunal agreed that there was no bad faith on the part of the respondents, which meant that a remedy of compensation was not available.</w:t>
      </w:r>
      <w:r w:rsidR="00B10E8B">
        <w:rPr>
          <w:rFonts w:cs="Arial"/>
        </w:rPr>
        <w:t xml:space="preserve"> </w:t>
      </w:r>
      <w:r w:rsidRPr="00A21D7D">
        <w:rPr>
          <w:rFonts w:cs="Arial"/>
        </w:rPr>
        <w:t>The tribunal ordered the respondents to make a private apology to the woman.</w:t>
      </w:r>
      <w:r w:rsidR="00B10E8B">
        <w:rPr>
          <w:rFonts w:cs="Arial"/>
        </w:rPr>
        <w:t xml:space="preserve"> </w:t>
      </w:r>
      <w:r w:rsidRPr="00A21D7D">
        <w:rPr>
          <w:rFonts w:cs="Arial"/>
        </w:rPr>
        <w:t>It was not necessary to make orders for the implementation of policies, because it is now a requirement that transgender prisoners are addressed consistently with their gender identity.</w:t>
      </w:r>
    </w:p>
    <w:p w14:paraId="123403D9" w14:textId="77777777" w:rsidR="009C1E9F" w:rsidRPr="00A21D7D" w:rsidRDefault="009C1E9F" w:rsidP="009C1E9F">
      <w:pPr>
        <w:spacing w:before="120" w:after="240"/>
        <w:rPr>
          <w:rFonts w:cs="Arial"/>
          <w:lang w:val="en-US"/>
        </w:rPr>
      </w:pPr>
      <w:r w:rsidRPr="00A21D7D">
        <w:rPr>
          <w:rFonts w:cs="Arial"/>
          <w:i/>
          <w:lang w:val="en-US"/>
        </w:rPr>
        <w:t xml:space="preserve">Tafao v State of Queensland </w:t>
      </w:r>
      <w:r w:rsidRPr="00A21D7D">
        <w:rPr>
          <w:rFonts w:cs="Arial"/>
          <w:lang w:val="en-US"/>
        </w:rPr>
        <w:t>[2020] QCATA 76</w:t>
      </w:r>
    </w:p>
    <w:p w14:paraId="70844903" w14:textId="77777777" w:rsidR="009C1E9F" w:rsidRPr="00A21D7D" w:rsidRDefault="009C1E9F" w:rsidP="009C1E9F">
      <w:pPr>
        <w:rPr>
          <w:rFonts w:cs="Arial"/>
          <w:lang w:val="en-US"/>
        </w:rPr>
      </w:pPr>
    </w:p>
    <w:p w14:paraId="7EDEC5C5" w14:textId="77777777" w:rsidR="007D0F77" w:rsidRDefault="007D0F77">
      <w:pPr>
        <w:rPr>
          <w:rFonts w:eastAsiaTheme="minorEastAsia"/>
          <w:b/>
          <w:bCs/>
          <w:i/>
          <w:iCs/>
          <w:color w:val="000000" w:themeColor="text1"/>
          <w:sz w:val="20"/>
          <w:szCs w:val="18"/>
        </w:rPr>
      </w:pPr>
      <w:r>
        <w:br w:type="page"/>
      </w:r>
    </w:p>
    <w:p w14:paraId="0A5BE7D7" w14:textId="52C58727" w:rsidR="000728D4" w:rsidRPr="00A21D7D" w:rsidRDefault="000728D4" w:rsidP="007D0F77">
      <w:pPr>
        <w:pStyle w:val="Heading1"/>
      </w:pPr>
      <w:bookmarkStart w:id="85" w:name="_Toc49508922"/>
      <w:r w:rsidRPr="00A21D7D">
        <w:lastRenderedPageBreak/>
        <w:t>Corporate governance</w:t>
      </w:r>
      <w:bookmarkEnd w:id="85"/>
      <w:r w:rsidRPr="00A21D7D">
        <w:t xml:space="preserve"> </w:t>
      </w:r>
    </w:p>
    <w:p w14:paraId="02D9D8C2" w14:textId="4AC62EFC" w:rsidR="000728D4" w:rsidRPr="00A21D7D" w:rsidRDefault="000728D4" w:rsidP="007D0F77">
      <w:pPr>
        <w:pStyle w:val="Heading2"/>
      </w:pPr>
      <w:bookmarkStart w:id="86" w:name="_Toc49508923"/>
      <w:r w:rsidRPr="00A21D7D">
        <w:t>Governance framework</w:t>
      </w:r>
      <w:bookmarkEnd w:id="86"/>
      <w:r w:rsidRPr="00A21D7D">
        <w:t xml:space="preserve"> </w:t>
      </w:r>
    </w:p>
    <w:p w14:paraId="30055FE6" w14:textId="5193C4C7" w:rsidR="007939C6" w:rsidRPr="00A21D7D" w:rsidRDefault="0046123F" w:rsidP="007939C6">
      <w:pPr>
        <w:rPr>
          <w:rFonts w:cs="Arial"/>
        </w:rPr>
      </w:pPr>
      <w:r w:rsidRPr="00A21D7D">
        <w:rPr>
          <w:rFonts w:cs="Arial"/>
        </w:rPr>
        <w:t xml:space="preserve">While </w:t>
      </w:r>
      <w:r w:rsidR="009158BB">
        <w:rPr>
          <w:rFonts w:cs="Arial"/>
        </w:rPr>
        <w:t xml:space="preserve">the Commission is </w:t>
      </w:r>
      <w:r w:rsidRPr="00A21D7D">
        <w:rPr>
          <w:rFonts w:cs="Arial"/>
        </w:rPr>
        <w:t xml:space="preserve">an independent statutory body, </w:t>
      </w:r>
      <w:r w:rsidR="00BD42FE">
        <w:rPr>
          <w:rFonts w:cs="Arial"/>
        </w:rPr>
        <w:t>we are</w:t>
      </w:r>
      <w:r w:rsidRPr="00A21D7D">
        <w:rPr>
          <w:rFonts w:cs="Arial"/>
        </w:rPr>
        <w:t xml:space="preserve"> accountable to the Queensland Parliament through the Attorney-General and Minister for Justice. </w:t>
      </w:r>
    </w:p>
    <w:p w14:paraId="4C870178" w14:textId="5B3144B0" w:rsidR="000728D4" w:rsidRPr="00A21D7D" w:rsidRDefault="002F482E" w:rsidP="007D0F77">
      <w:pPr>
        <w:pStyle w:val="Heading2"/>
      </w:pPr>
      <w:bookmarkStart w:id="87" w:name="_Toc49508924"/>
      <w:r>
        <w:t>Executive m</w:t>
      </w:r>
      <w:r w:rsidR="003E3A7C" w:rsidRPr="00A21D7D">
        <w:t>anagement</w:t>
      </w:r>
      <w:bookmarkEnd w:id="87"/>
    </w:p>
    <w:p w14:paraId="3B2029CA" w14:textId="0471E55E" w:rsidR="003E3A7C" w:rsidRPr="00A21D7D" w:rsidRDefault="003E3A7C" w:rsidP="003E3A7C">
      <w:pPr>
        <w:rPr>
          <w:rFonts w:cs="Arial"/>
          <w:i/>
        </w:rPr>
      </w:pPr>
      <w:r w:rsidRPr="00A21D7D">
        <w:rPr>
          <w:rFonts w:cs="Arial"/>
        </w:rPr>
        <w:t xml:space="preserve">Accountability for </w:t>
      </w:r>
      <w:r w:rsidR="00BD42FE">
        <w:rPr>
          <w:rFonts w:cs="Arial"/>
        </w:rPr>
        <w:t>our</w:t>
      </w:r>
      <w:r w:rsidRPr="00A21D7D">
        <w:rPr>
          <w:rFonts w:cs="Arial"/>
        </w:rPr>
        <w:t xml:space="preserve"> operations under the </w:t>
      </w:r>
      <w:r w:rsidRPr="00A21D7D">
        <w:rPr>
          <w:rFonts w:cs="Arial"/>
          <w:i/>
        </w:rPr>
        <w:t>Financial Accountability Act 2009</w:t>
      </w:r>
      <w:r w:rsidRPr="00A21D7D">
        <w:rPr>
          <w:rFonts w:cs="Arial"/>
        </w:rPr>
        <w:t xml:space="preserve"> resides solely with the Commissioner as the Accountable Officer. </w:t>
      </w:r>
    </w:p>
    <w:p w14:paraId="4BB94DA8" w14:textId="6BEB7345" w:rsidR="003E3A7C" w:rsidRPr="00A21D7D" w:rsidRDefault="003E3A7C" w:rsidP="003E3A7C">
      <w:pPr>
        <w:rPr>
          <w:rFonts w:cs="Arial"/>
        </w:rPr>
      </w:pPr>
      <w:r w:rsidRPr="00A21D7D">
        <w:rPr>
          <w:rFonts w:cs="Arial"/>
        </w:rPr>
        <w:t xml:space="preserve">The Commissioner is appointed under section 238 of the </w:t>
      </w:r>
      <w:r w:rsidR="00FC6699" w:rsidRPr="00FC6699">
        <w:rPr>
          <w:rFonts w:cs="Arial"/>
          <w:i/>
        </w:rPr>
        <w:t>Anti-Discrimination Act 1991</w:t>
      </w:r>
      <w:r w:rsidRPr="00A21D7D">
        <w:rPr>
          <w:rFonts w:cs="Arial"/>
        </w:rPr>
        <w:t xml:space="preserve"> for a term of no longer than seven years.</w:t>
      </w:r>
      <w:r w:rsidR="00E66365" w:rsidRPr="00A21D7D">
        <w:rPr>
          <w:rFonts w:cs="Arial"/>
        </w:rPr>
        <w:t xml:space="preserve"> The appointment of the current Commissioner is for four years, until October 2022.</w:t>
      </w:r>
    </w:p>
    <w:p w14:paraId="39956D3C" w14:textId="72F8993A" w:rsidR="00E66365" w:rsidRPr="00A21D7D" w:rsidRDefault="00E66365" w:rsidP="00E66365">
      <w:pPr>
        <w:autoSpaceDE w:val="0"/>
        <w:autoSpaceDN w:val="0"/>
        <w:adjustRightInd w:val="0"/>
        <w:rPr>
          <w:rFonts w:cs="Arial"/>
          <w:b/>
          <w:szCs w:val="22"/>
          <w:lang w:val="en-US"/>
        </w:rPr>
      </w:pPr>
      <w:r w:rsidRPr="00A21D7D">
        <w:rPr>
          <w:rFonts w:cs="Arial"/>
          <w:szCs w:val="22"/>
          <w:lang w:val="en-US"/>
        </w:rPr>
        <w:t>The Executive Leadership Team (ELT) is one of the key strategic advisory bodies for the Commission.</w:t>
      </w:r>
      <w:r w:rsidR="00B10E8B">
        <w:rPr>
          <w:rFonts w:cs="Arial"/>
          <w:szCs w:val="22"/>
          <w:lang w:val="en-US"/>
        </w:rPr>
        <w:t xml:space="preserve"> </w:t>
      </w:r>
      <w:r w:rsidRPr="00A21D7D">
        <w:rPr>
          <w:rFonts w:cs="Arial"/>
          <w:color w:val="000000"/>
          <w:szCs w:val="22"/>
          <w:lang w:val="en-US"/>
        </w:rPr>
        <w:t>It supports the Commissioner in providing the strategic direction for the Commission as part of the overall corporate governance framework. It also oversees the Commission’s strategic performance and acts as the Audit Committee, Risk Management Committee and Finance Committee.</w:t>
      </w:r>
    </w:p>
    <w:p w14:paraId="09543FB4" w14:textId="77777777" w:rsidR="00E66365" w:rsidRPr="00A21D7D" w:rsidRDefault="00E66365" w:rsidP="00E66365">
      <w:pPr>
        <w:autoSpaceDE w:val="0"/>
        <w:autoSpaceDN w:val="0"/>
        <w:adjustRightInd w:val="0"/>
        <w:rPr>
          <w:rFonts w:cs="Arial"/>
          <w:b/>
          <w:szCs w:val="22"/>
          <w:lang w:val="en-US"/>
        </w:rPr>
      </w:pPr>
      <w:r w:rsidRPr="00A21D7D">
        <w:rPr>
          <w:rFonts w:cs="Arial"/>
          <w:szCs w:val="22"/>
          <w:lang w:val="en-US"/>
        </w:rPr>
        <w:t>The group provides advice to the Commissioner in the following areas:</w:t>
      </w:r>
    </w:p>
    <w:p w14:paraId="62830C6C" w14:textId="65C508D4" w:rsidR="00E66365" w:rsidRPr="00A21D7D" w:rsidRDefault="00E66365" w:rsidP="007A5833">
      <w:pPr>
        <w:pStyle w:val="ListParagraph"/>
        <w:ind w:left="851" w:hanging="284"/>
        <w:rPr>
          <w:b/>
          <w:lang w:val="en-US"/>
        </w:rPr>
      </w:pPr>
      <w:r w:rsidRPr="00A21D7D">
        <w:rPr>
          <w:lang w:val="en-US"/>
        </w:rPr>
        <w:t>establishing priorities</w:t>
      </w:r>
      <w:r w:rsidR="002F482E">
        <w:rPr>
          <w:lang w:val="en-US"/>
        </w:rPr>
        <w:t>;</w:t>
      </w:r>
      <w:r w:rsidRPr="00A21D7D">
        <w:rPr>
          <w:lang w:val="en-US"/>
        </w:rPr>
        <w:t xml:space="preserve"> </w:t>
      </w:r>
    </w:p>
    <w:p w14:paraId="58807ACE" w14:textId="04AC7858" w:rsidR="00E66365" w:rsidRPr="00A21D7D" w:rsidRDefault="00E66365" w:rsidP="007A5833">
      <w:pPr>
        <w:pStyle w:val="ListParagraph"/>
        <w:ind w:left="851" w:hanging="284"/>
        <w:rPr>
          <w:b/>
          <w:lang w:val="en-US"/>
        </w:rPr>
      </w:pPr>
      <w:r w:rsidRPr="00A21D7D">
        <w:rPr>
          <w:lang w:val="en-US"/>
        </w:rPr>
        <w:t>developing an overarching fiscal strategy</w:t>
      </w:r>
      <w:r w:rsidR="002F482E">
        <w:rPr>
          <w:lang w:val="en-US"/>
        </w:rPr>
        <w:t>;</w:t>
      </w:r>
    </w:p>
    <w:p w14:paraId="53F40474" w14:textId="5CE38F4E" w:rsidR="00E66365" w:rsidRPr="00A21D7D" w:rsidRDefault="00E66365" w:rsidP="007A5833">
      <w:pPr>
        <w:pStyle w:val="ListParagraph"/>
        <w:ind w:left="851" w:hanging="284"/>
        <w:rPr>
          <w:b/>
          <w:lang w:val="en-US"/>
        </w:rPr>
      </w:pPr>
      <w:r w:rsidRPr="00A21D7D">
        <w:rPr>
          <w:lang w:val="en-US"/>
        </w:rPr>
        <w:t>maintaining the corporate governance framework</w:t>
      </w:r>
      <w:r w:rsidR="002F482E">
        <w:rPr>
          <w:lang w:val="en-US"/>
        </w:rPr>
        <w:t>;</w:t>
      </w:r>
    </w:p>
    <w:p w14:paraId="535BCB41" w14:textId="7B9B0185" w:rsidR="00E66365" w:rsidRPr="00A21D7D" w:rsidRDefault="00E66365" w:rsidP="007A5833">
      <w:pPr>
        <w:pStyle w:val="ListParagraph"/>
        <w:ind w:left="851" w:hanging="284"/>
        <w:rPr>
          <w:b/>
          <w:lang w:val="en-US"/>
        </w:rPr>
      </w:pPr>
      <w:r w:rsidRPr="00A21D7D">
        <w:rPr>
          <w:lang w:val="en-US"/>
        </w:rPr>
        <w:t>overseeing major initiatives and projects</w:t>
      </w:r>
      <w:r w:rsidR="002F482E">
        <w:rPr>
          <w:lang w:val="en-US"/>
        </w:rPr>
        <w:t>;</w:t>
      </w:r>
    </w:p>
    <w:p w14:paraId="039152C9" w14:textId="7515663D" w:rsidR="00E66365" w:rsidRPr="00A21D7D" w:rsidRDefault="00E66365" w:rsidP="007A5833">
      <w:pPr>
        <w:pStyle w:val="ListParagraph"/>
        <w:ind w:left="851" w:hanging="284"/>
        <w:rPr>
          <w:b/>
          <w:lang w:val="en-US"/>
        </w:rPr>
      </w:pPr>
      <w:r w:rsidRPr="00A21D7D">
        <w:rPr>
          <w:lang w:val="en-US"/>
        </w:rPr>
        <w:t>managing external relationships</w:t>
      </w:r>
      <w:r w:rsidR="002F482E">
        <w:rPr>
          <w:lang w:val="en-US"/>
        </w:rPr>
        <w:t>;</w:t>
      </w:r>
    </w:p>
    <w:p w14:paraId="79219825" w14:textId="2CF853BA" w:rsidR="00E66365" w:rsidRPr="00A21D7D" w:rsidRDefault="00E66365" w:rsidP="007A5833">
      <w:pPr>
        <w:pStyle w:val="ListParagraph"/>
        <w:ind w:left="851" w:hanging="284"/>
        <w:rPr>
          <w:b/>
          <w:lang w:val="en-US"/>
        </w:rPr>
      </w:pPr>
      <w:r w:rsidRPr="00A21D7D">
        <w:rPr>
          <w:lang w:val="en-US"/>
        </w:rPr>
        <w:t>setting corporate performance objectives</w:t>
      </w:r>
      <w:r w:rsidR="002F482E">
        <w:rPr>
          <w:lang w:val="en-US"/>
        </w:rPr>
        <w:t>;</w:t>
      </w:r>
    </w:p>
    <w:p w14:paraId="18D6CD50" w14:textId="4933E264" w:rsidR="00E66365" w:rsidRPr="00A21D7D" w:rsidRDefault="00E66365" w:rsidP="007A5833">
      <w:pPr>
        <w:pStyle w:val="ListParagraph"/>
        <w:ind w:left="851" w:hanging="284"/>
        <w:rPr>
          <w:b/>
          <w:lang w:val="en-US"/>
        </w:rPr>
      </w:pPr>
      <w:r w:rsidRPr="00A21D7D">
        <w:rPr>
          <w:lang w:val="en-US"/>
        </w:rPr>
        <w:t>fostering an appropriate corporate culture that supports the Commission’s values and code of conduct</w:t>
      </w:r>
      <w:r w:rsidR="002F482E">
        <w:rPr>
          <w:lang w:val="en-US"/>
        </w:rPr>
        <w:t>;</w:t>
      </w:r>
    </w:p>
    <w:p w14:paraId="038F31EF" w14:textId="7A95C7ED" w:rsidR="00E66365" w:rsidRPr="00A21D7D" w:rsidRDefault="00E66365" w:rsidP="007A5833">
      <w:pPr>
        <w:pStyle w:val="ListParagraph"/>
        <w:ind w:left="851" w:hanging="284"/>
        <w:rPr>
          <w:b/>
          <w:lang w:val="en-US"/>
        </w:rPr>
      </w:pPr>
      <w:r w:rsidRPr="00A21D7D">
        <w:rPr>
          <w:lang w:val="en-US"/>
        </w:rPr>
        <w:t>ensuring business continuity</w:t>
      </w:r>
      <w:r w:rsidR="002F482E">
        <w:rPr>
          <w:lang w:val="en-US"/>
        </w:rPr>
        <w:t>; and</w:t>
      </w:r>
    </w:p>
    <w:p w14:paraId="277B5652" w14:textId="146D221A" w:rsidR="00E66365" w:rsidRPr="00A21D7D" w:rsidRDefault="00E66365" w:rsidP="007A5833">
      <w:pPr>
        <w:pStyle w:val="ListParagraph"/>
        <w:ind w:left="851" w:hanging="284"/>
        <w:rPr>
          <w:b/>
          <w:lang w:val="en-US"/>
        </w:rPr>
      </w:pPr>
      <w:r w:rsidRPr="00A21D7D">
        <w:rPr>
          <w:lang w:val="en-US"/>
        </w:rPr>
        <w:t>providing the strategic focus for corporate communications and marketing.</w:t>
      </w:r>
    </w:p>
    <w:p w14:paraId="7A76FA20" w14:textId="77777777" w:rsidR="00E66365" w:rsidRPr="00A21D7D" w:rsidRDefault="00E66365" w:rsidP="00E66365">
      <w:pPr>
        <w:rPr>
          <w:rFonts w:cs="Arial"/>
          <w:b/>
          <w:szCs w:val="22"/>
          <w:lang w:val="en-US"/>
        </w:rPr>
      </w:pPr>
      <w:r w:rsidRPr="00A21D7D">
        <w:rPr>
          <w:rFonts w:cs="Arial"/>
          <w:szCs w:val="22"/>
          <w:lang w:val="en-US"/>
        </w:rPr>
        <w:t>The members of the ELT are:</w:t>
      </w:r>
    </w:p>
    <w:p w14:paraId="17B65981" w14:textId="4AA0133B" w:rsidR="00E66365" w:rsidRPr="00A21D7D" w:rsidRDefault="00E66365" w:rsidP="007A5833">
      <w:pPr>
        <w:pStyle w:val="ListParagraph"/>
        <w:ind w:left="851" w:hanging="284"/>
        <w:rPr>
          <w:b/>
          <w:lang w:val="en-US"/>
        </w:rPr>
      </w:pPr>
      <w:r w:rsidRPr="00A21D7D">
        <w:rPr>
          <w:lang w:val="en-US"/>
        </w:rPr>
        <w:t>Scott McDougall, Human Rights Commissioner (Chair)</w:t>
      </w:r>
      <w:r w:rsidR="002F482E">
        <w:rPr>
          <w:lang w:val="en-US"/>
        </w:rPr>
        <w:t>;</w:t>
      </w:r>
    </w:p>
    <w:p w14:paraId="49946CB3" w14:textId="380CD65D" w:rsidR="00E66365" w:rsidRPr="00A21D7D" w:rsidRDefault="00E66365" w:rsidP="007A5833">
      <w:pPr>
        <w:pStyle w:val="ListParagraph"/>
        <w:ind w:left="851" w:hanging="284"/>
        <w:rPr>
          <w:b/>
          <w:lang w:val="en-US"/>
        </w:rPr>
      </w:pPr>
      <w:r w:rsidRPr="00A21D7D">
        <w:rPr>
          <w:lang w:val="en-US"/>
        </w:rPr>
        <w:t>Neroli Holmes, Deputy Commissioner (Deputy Chair)</w:t>
      </w:r>
      <w:r w:rsidR="002F482E">
        <w:rPr>
          <w:lang w:val="en-US"/>
        </w:rPr>
        <w:t>;</w:t>
      </w:r>
    </w:p>
    <w:p w14:paraId="5E1AE9C4" w14:textId="0643DA9E" w:rsidR="00E66365" w:rsidRPr="00A21D7D" w:rsidRDefault="00E66365" w:rsidP="007A5833">
      <w:pPr>
        <w:pStyle w:val="ListParagraph"/>
        <w:ind w:left="851" w:hanging="284"/>
        <w:rPr>
          <w:b/>
          <w:lang w:val="en-US"/>
        </w:rPr>
      </w:pPr>
      <w:r w:rsidRPr="00A21D7D">
        <w:rPr>
          <w:lang w:val="en-US"/>
        </w:rPr>
        <w:t>Deborah Keenan, Director, Complaint Services</w:t>
      </w:r>
      <w:r w:rsidR="002F482E">
        <w:rPr>
          <w:lang w:val="en-US"/>
        </w:rPr>
        <w:t>;</w:t>
      </w:r>
    </w:p>
    <w:p w14:paraId="4986DCC5" w14:textId="1A921C2D" w:rsidR="00E66365" w:rsidRPr="00A21D7D" w:rsidRDefault="00E66365" w:rsidP="007A5833">
      <w:pPr>
        <w:pStyle w:val="ListParagraph"/>
        <w:ind w:left="851" w:hanging="284"/>
        <w:rPr>
          <w:b/>
          <w:lang w:val="en-US"/>
        </w:rPr>
      </w:pPr>
      <w:r w:rsidRPr="00A21D7D">
        <w:rPr>
          <w:lang w:val="en-US"/>
        </w:rPr>
        <w:t>Mackayla Jeffries, Director, Engagement &amp; Corporate Services</w:t>
      </w:r>
      <w:r w:rsidR="002F482E">
        <w:rPr>
          <w:lang w:val="en-US"/>
        </w:rPr>
        <w:t>.</w:t>
      </w:r>
    </w:p>
    <w:p w14:paraId="72502F35" w14:textId="1CA65CBC" w:rsidR="000728D4" w:rsidRPr="00A21D7D" w:rsidRDefault="00E66365" w:rsidP="000728D4">
      <w:pPr>
        <w:rPr>
          <w:rFonts w:cs="Arial"/>
        </w:rPr>
      </w:pPr>
      <w:r w:rsidRPr="00A21D7D">
        <w:rPr>
          <w:rFonts w:cs="Arial"/>
        </w:rPr>
        <w:t>The areas of operational responsibility for e</w:t>
      </w:r>
      <w:r w:rsidR="00580D51" w:rsidRPr="00A21D7D">
        <w:rPr>
          <w:rFonts w:cs="Arial"/>
        </w:rPr>
        <w:t xml:space="preserve">ach ELT member are outlined in the organisational structure at Appendix </w:t>
      </w:r>
      <w:r w:rsidR="00D06997" w:rsidRPr="00A21D7D">
        <w:rPr>
          <w:rFonts w:cs="Arial"/>
        </w:rPr>
        <w:t>C</w:t>
      </w:r>
      <w:r w:rsidR="00580D51" w:rsidRPr="00A21D7D">
        <w:rPr>
          <w:rFonts w:cs="Arial"/>
        </w:rPr>
        <w:t>.</w:t>
      </w:r>
      <w:r w:rsidR="00B10E8B">
        <w:rPr>
          <w:rFonts w:cs="Arial"/>
        </w:rPr>
        <w:t xml:space="preserve"> </w:t>
      </w:r>
    </w:p>
    <w:p w14:paraId="726CF8B3" w14:textId="5AF47E02" w:rsidR="00E66365" w:rsidRPr="00A21D7D" w:rsidRDefault="00E66365" w:rsidP="00E66365">
      <w:pPr>
        <w:autoSpaceDE w:val="0"/>
        <w:autoSpaceDN w:val="0"/>
        <w:adjustRightInd w:val="0"/>
        <w:spacing w:after="240"/>
        <w:rPr>
          <w:rFonts w:cs="Arial"/>
          <w:b/>
          <w:szCs w:val="22"/>
          <w:lang w:val="en-US"/>
        </w:rPr>
      </w:pPr>
      <w:r w:rsidRPr="00A21D7D">
        <w:rPr>
          <w:rFonts w:cs="Arial"/>
          <w:szCs w:val="22"/>
          <w:lang w:val="en-US"/>
        </w:rPr>
        <w:t>The Leadership Group is a sub-committee of the Executive Leadership Team (ELT).</w:t>
      </w:r>
      <w:r w:rsidR="00B10E8B">
        <w:rPr>
          <w:rFonts w:cs="Arial"/>
          <w:szCs w:val="22"/>
          <w:lang w:val="en-US"/>
        </w:rPr>
        <w:t xml:space="preserve"> </w:t>
      </w:r>
      <w:r w:rsidRPr="00A21D7D">
        <w:rPr>
          <w:rFonts w:cs="Arial"/>
          <w:color w:val="000000"/>
          <w:szCs w:val="22"/>
          <w:lang w:val="en-US"/>
        </w:rPr>
        <w:t xml:space="preserve">It supports the Commissioner </w:t>
      </w:r>
      <w:r w:rsidRPr="00A21D7D">
        <w:rPr>
          <w:rFonts w:cs="Arial"/>
          <w:szCs w:val="22"/>
          <w:lang w:val="en-US"/>
        </w:rPr>
        <w:t xml:space="preserve">by ensuring that operational activity aligns with the strategic direction of the </w:t>
      </w:r>
      <w:r w:rsidRPr="00A21D7D">
        <w:rPr>
          <w:rFonts w:cs="Arial"/>
          <w:szCs w:val="22"/>
          <w:lang w:val="en-US"/>
        </w:rPr>
        <w:lastRenderedPageBreak/>
        <w:t>Commission as set by the ELT.</w:t>
      </w:r>
      <w:r w:rsidR="00B10E8B">
        <w:rPr>
          <w:rFonts w:cs="Arial"/>
          <w:szCs w:val="22"/>
          <w:lang w:val="en-US"/>
        </w:rPr>
        <w:t xml:space="preserve"> </w:t>
      </w:r>
      <w:r w:rsidRPr="00A21D7D">
        <w:rPr>
          <w:rFonts w:cs="Arial"/>
          <w:szCs w:val="22"/>
          <w:lang w:val="en-US"/>
        </w:rPr>
        <w:t xml:space="preserve">The group is responsible for providing advice to the Commissioner, and contributing to operational decision making where delegated. </w:t>
      </w:r>
    </w:p>
    <w:p w14:paraId="598DE862" w14:textId="77777777" w:rsidR="00E66365" w:rsidRPr="00A21D7D" w:rsidRDefault="00E66365" w:rsidP="00E66365">
      <w:pPr>
        <w:autoSpaceDE w:val="0"/>
        <w:autoSpaceDN w:val="0"/>
        <w:adjustRightInd w:val="0"/>
        <w:spacing w:after="240"/>
        <w:rPr>
          <w:rFonts w:cs="Arial"/>
          <w:b/>
          <w:szCs w:val="22"/>
          <w:lang w:val="en-US"/>
        </w:rPr>
      </w:pPr>
      <w:r w:rsidRPr="00A21D7D">
        <w:rPr>
          <w:rFonts w:cs="Arial"/>
          <w:szCs w:val="22"/>
          <w:lang w:val="en-US"/>
        </w:rPr>
        <w:t xml:space="preserve">Responsibilities of the Leadership Group include: </w:t>
      </w:r>
    </w:p>
    <w:p w14:paraId="3418CD19" w14:textId="1107F84D" w:rsidR="00E66365" w:rsidRPr="00A21D7D" w:rsidRDefault="00E66365" w:rsidP="007A5833">
      <w:pPr>
        <w:pStyle w:val="ListParagraph"/>
        <w:ind w:left="851" w:hanging="284"/>
        <w:rPr>
          <w:b/>
          <w:lang w:val="en-US"/>
        </w:rPr>
      </w:pPr>
      <w:r w:rsidRPr="00A21D7D">
        <w:rPr>
          <w:lang w:val="en-US"/>
        </w:rPr>
        <w:t>overseeing implementation of strategic and operational plans to ensure progress toward goals and performance measures is aligned with overarching priorities</w:t>
      </w:r>
      <w:r w:rsidR="002F482E">
        <w:rPr>
          <w:lang w:val="en-US"/>
        </w:rPr>
        <w:t>;</w:t>
      </w:r>
    </w:p>
    <w:p w14:paraId="3680F539" w14:textId="7765A4AE" w:rsidR="00E66365" w:rsidRPr="00A21D7D" w:rsidRDefault="00E66365" w:rsidP="007A5833">
      <w:pPr>
        <w:pStyle w:val="ListParagraph"/>
        <w:ind w:left="851" w:hanging="284"/>
        <w:rPr>
          <w:b/>
          <w:lang w:val="en-US"/>
        </w:rPr>
      </w:pPr>
      <w:r w:rsidRPr="00A21D7D">
        <w:rPr>
          <w:lang w:val="en-US"/>
        </w:rPr>
        <w:t>monitoring performance to ensure services are being delivered to the required level and quality and providing input on strategies for continuous improvement</w:t>
      </w:r>
      <w:r w:rsidR="002F482E">
        <w:rPr>
          <w:lang w:val="en-US"/>
        </w:rPr>
        <w:t>;</w:t>
      </w:r>
    </w:p>
    <w:p w14:paraId="0C4C6DF1" w14:textId="7808A63F" w:rsidR="00E66365" w:rsidRPr="00A21D7D" w:rsidRDefault="00E66365" w:rsidP="007A5833">
      <w:pPr>
        <w:pStyle w:val="ListParagraph"/>
        <w:ind w:left="851" w:hanging="284"/>
        <w:rPr>
          <w:b/>
          <w:lang w:val="en-US"/>
        </w:rPr>
      </w:pPr>
      <w:r w:rsidRPr="00A21D7D">
        <w:rPr>
          <w:lang w:val="en-US"/>
        </w:rPr>
        <w:t>ensuring that consistent, integrated and high quality service is provided through effective representation of individual operational areas including regional offices</w:t>
      </w:r>
      <w:r w:rsidR="002F482E">
        <w:rPr>
          <w:lang w:val="en-US"/>
        </w:rPr>
        <w:t>;</w:t>
      </w:r>
    </w:p>
    <w:p w14:paraId="6B226F0B" w14:textId="33366393" w:rsidR="00E66365" w:rsidRPr="00A21D7D" w:rsidRDefault="00E66365" w:rsidP="007A5833">
      <w:pPr>
        <w:pStyle w:val="ListParagraph"/>
        <w:ind w:left="851" w:hanging="284"/>
        <w:rPr>
          <w:b/>
          <w:lang w:val="en-US"/>
        </w:rPr>
      </w:pPr>
      <w:r w:rsidRPr="00A21D7D">
        <w:rPr>
          <w:lang w:val="en-US"/>
        </w:rPr>
        <w:t>providing holistic leadership of service provision through collaboration, robust discussion, interrogation of performance information and the sharing and analysis of relevant data and research</w:t>
      </w:r>
      <w:r w:rsidR="002F482E">
        <w:rPr>
          <w:lang w:val="en-US"/>
        </w:rPr>
        <w:t>;</w:t>
      </w:r>
    </w:p>
    <w:p w14:paraId="230AF78D" w14:textId="2A1CA9A3" w:rsidR="00E66365" w:rsidRPr="00A21D7D" w:rsidRDefault="00E66365" w:rsidP="007A5833">
      <w:pPr>
        <w:pStyle w:val="ListParagraph"/>
        <w:ind w:left="851" w:hanging="284"/>
        <w:rPr>
          <w:b/>
          <w:lang w:val="en-US"/>
        </w:rPr>
      </w:pPr>
      <w:r w:rsidRPr="00A21D7D">
        <w:rPr>
          <w:lang w:val="en-US"/>
        </w:rPr>
        <w:t>identifying the need for review of governance practices including policies and procedures</w:t>
      </w:r>
      <w:r w:rsidR="002F482E">
        <w:rPr>
          <w:lang w:val="en-US"/>
        </w:rPr>
        <w:t>;</w:t>
      </w:r>
    </w:p>
    <w:p w14:paraId="76C7AE1E" w14:textId="35D56982" w:rsidR="00E66365" w:rsidRPr="00A21D7D" w:rsidRDefault="00E66365" w:rsidP="007A5833">
      <w:pPr>
        <w:pStyle w:val="ListParagraph"/>
        <w:ind w:left="851" w:hanging="284"/>
        <w:rPr>
          <w:b/>
          <w:lang w:val="en-US"/>
        </w:rPr>
      </w:pPr>
      <w:r w:rsidRPr="00A21D7D">
        <w:rPr>
          <w:lang w:val="en-US"/>
        </w:rPr>
        <w:t>ensuring that planning and performance management decisions are based on an informed understanding of operational issues and constraints</w:t>
      </w:r>
      <w:r w:rsidR="002F482E">
        <w:rPr>
          <w:lang w:val="en-US"/>
        </w:rPr>
        <w:t>;</w:t>
      </w:r>
    </w:p>
    <w:p w14:paraId="656FA331" w14:textId="17B285A5" w:rsidR="00E66365" w:rsidRPr="00A21D7D" w:rsidRDefault="00E66365" w:rsidP="007A5833">
      <w:pPr>
        <w:pStyle w:val="ListParagraph"/>
        <w:ind w:left="851" w:hanging="284"/>
        <w:rPr>
          <w:b/>
          <w:lang w:val="en-US"/>
        </w:rPr>
      </w:pPr>
      <w:r w:rsidRPr="00A21D7D">
        <w:rPr>
          <w:lang w:val="en-US"/>
        </w:rPr>
        <w:t>identifying issues relevant to maintaining satisfactory relationships and partnerships with stakeholders</w:t>
      </w:r>
      <w:r w:rsidR="002F482E">
        <w:rPr>
          <w:lang w:val="en-US"/>
        </w:rPr>
        <w:t>;</w:t>
      </w:r>
    </w:p>
    <w:p w14:paraId="06D47708" w14:textId="2F499C14" w:rsidR="00E66365" w:rsidRPr="00A21D7D" w:rsidRDefault="00E66365" w:rsidP="007A5833">
      <w:pPr>
        <w:pStyle w:val="ListParagraph"/>
        <w:ind w:left="851" w:hanging="284"/>
        <w:rPr>
          <w:b/>
          <w:lang w:val="en-US"/>
        </w:rPr>
      </w:pPr>
      <w:r w:rsidRPr="00A21D7D">
        <w:rPr>
          <w:lang w:val="en-US"/>
        </w:rPr>
        <w:t>acting as champions for the Commission’s strategic direction within operational teams and externally</w:t>
      </w:r>
      <w:r w:rsidR="002F482E">
        <w:rPr>
          <w:lang w:val="en-US"/>
        </w:rPr>
        <w:t>;</w:t>
      </w:r>
    </w:p>
    <w:p w14:paraId="1FE7146C" w14:textId="3B8BECF2" w:rsidR="00E66365" w:rsidRPr="00A21D7D" w:rsidRDefault="00E66365" w:rsidP="007A5833">
      <w:pPr>
        <w:pStyle w:val="ListParagraph"/>
        <w:ind w:left="851" w:hanging="284"/>
        <w:rPr>
          <w:b/>
          <w:lang w:val="en-US"/>
        </w:rPr>
      </w:pPr>
      <w:r w:rsidRPr="00A21D7D">
        <w:rPr>
          <w:lang w:val="en-US"/>
        </w:rPr>
        <w:t>leading a culture of team collegiality in which diversity of opinion and areas of expertise are recognised and valued</w:t>
      </w:r>
      <w:r w:rsidR="005F06D9">
        <w:rPr>
          <w:lang w:val="en-US"/>
        </w:rPr>
        <w:t xml:space="preserve">; </w:t>
      </w:r>
    </w:p>
    <w:p w14:paraId="7F0734A5" w14:textId="4FB9883F" w:rsidR="00E66365" w:rsidRPr="00A21D7D" w:rsidRDefault="00E66365" w:rsidP="007A5833">
      <w:pPr>
        <w:pStyle w:val="ListParagraph"/>
        <w:ind w:left="851" w:hanging="284"/>
        <w:rPr>
          <w:b/>
          <w:lang w:val="en-US"/>
        </w:rPr>
      </w:pPr>
      <w:r w:rsidRPr="00A21D7D">
        <w:rPr>
          <w:lang w:val="en-US"/>
        </w:rPr>
        <w:t>actively demonstrating the Commission’s agreed values of independence, respect,</w:t>
      </w:r>
      <w:r w:rsidR="00B10E8B">
        <w:rPr>
          <w:lang w:val="en-US"/>
        </w:rPr>
        <w:t xml:space="preserve"> </w:t>
      </w:r>
      <w:r w:rsidRPr="00A21D7D">
        <w:rPr>
          <w:lang w:val="en-US"/>
        </w:rPr>
        <w:t>inclusion, diversity and integrity.</w:t>
      </w:r>
    </w:p>
    <w:p w14:paraId="29DE45CF" w14:textId="77777777" w:rsidR="00E66365" w:rsidRPr="00A21D7D" w:rsidRDefault="00E66365" w:rsidP="00E66365">
      <w:pPr>
        <w:spacing w:after="240"/>
        <w:rPr>
          <w:rFonts w:cs="Arial"/>
          <w:b/>
          <w:szCs w:val="22"/>
          <w:lang w:val="en-US"/>
        </w:rPr>
      </w:pPr>
      <w:r w:rsidRPr="00A21D7D">
        <w:rPr>
          <w:rFonts w:cs="Arial"/>
          <w:szCs w:val="22"/>
          <w:lang w:val="en-US"/>
        </w:rPr>
        <w:t>The members of the Leadership Group are:</w:t>
      </w:r>
    </w:p>
    <w:p w14:paraId="4F28E6F9" w14:textId="60D6D46A" w:rsidR="00E66365" w:rsidRPr="00A21D7D" w:rsidRDefault="00E66365" w:rsidP="007A5833">
      <w:pPr>
        <w:pStyle w:val="ListParagraph"/>
        <w:ind w:left="851" w:hanging="284"/>
        <w:rPr>
          <w:b/>
          <w:lang w:val="en-US"/>
        </w:rPr>
      </w:pPr>
      <w:r w:rsidRPr="00A21D7D">
        <w:rPr>
          <w:lang w:val="en-US"/>
        </w:rPr>
        <w:t>Human Rights Commissioner</w:t>
      </w:r>
      <w:r w:rsidR="002F482E">
        <w:rPr>
          <w:lang w:val="en-US"/>
        </w:rPr>
        <w:t>;</w:t>
      </w:r>
    </w:p>
    <w:p w14:paraId="6F31B0F3" w14:textId="14BB520A" w:rsidR="00E66365" w:rsidRPr="00A21D7D" w:rsidRDefault="00E66365" w:rsidP="007A5833">
      <w:pPr>
        <w:pStyle w:val="ListParagraph"/>
        <w:ind w:left="851" w:hanging="284"/>
        <w:rPr>
          <w:b/>
          <w:lang w:val="en-US"/>
        </w:rPr>
      </w:pPr>
      <w:r w:rsidRPr="00A21D7D">
        <w:rPr>
          <w:lang w:val="en-US"/>
        </w:rPr>
        <w:t>Deputy Commissioner</w:t>
      </w:r>
      <w:r w:rsidR="002F482E">
        <w:rPr>
          <w:lang w:val="en-US"/>
        </w:rPr>
        <w:t>;</w:t>
      </w:r>
    </w:p>
    <w:p w14:paraId="605E59F4" w14:textId="0684D782" w:rsidR="00E66365" w:rsidRPr="00A21D7D" w:rsidRDefault="00E66365" w:rsidP="007A5833">
      <w:pPr>
        <w:pStyle w:val="ListParagraph"/>
        <w:ind w:left="851" w:hanging="284"/>
        <w:rPr>
          <w:b/>
          <w:lang w:val="en-US"/>
        </w:rPr>
      </w:pPr>
      <w:r w:rsidRPr="00A21D7D">
        <w:rPr>
          <w:lang w:val="en-US"/>
        </w:rPr>
        <w:t>Director, Complaint Services</w:t>
      </w:r>
      <w:r w:rsidR="002F482E">
        <w:rPr>
          <w:lang w:val="en-US"/>
        </w:rPr>
        <w:t>;</w:t>
      </w:r>
    </w:p>
    <w:p w14:paraId="1EADD343" w14:textId="4F60986A" w:rsidR="00E66365" w:rsidRPr="00A21D7D" w:rsidRDefault="00E66365" w:rsidP="007A5833">
      <w:pPr>
        <w:pStyle w:val="ListParagraph"/>
        <w:ind w:left="851" w:hanging="284"/>
        <w:rPr>
          <w:b/>
          <w:lang w:val="en-US"/>
        </w:rPr>
      </w:pPr>
      <w:r w:rsidRPr="00A21D7D">
        <w:rPr>
          <w:lang w:val="en-US"/>
        </w:rPr>
        <w:t>Director, Engagement &amp; Corporate Services</w:t>
      </w:r>
      <w:r w:rsidR="002F482E">
        <w:rPr>
          <w:lang w:val="en-US"/>
        </w:rPr>
        <w:t>;</w:t>
      </w:r>
    </w:p>
    <w:p w14:paraId="0D8E8138" w14:textId="3A622642" w:rsidR="00E66365" w:rsidRPr="00A21D7D" w:rsidRDefault="00E66365" w:rsidP="007A5833">
      <w:pPr>
        <w:pStyle w:val="ListParagraph"/>
        <w:ind w:left="851" w:hanging="284"/>
        <w:rPr>
          <w:b/>
          <w:lang w:val="en-US"/>
        </w:rPr>
      </w:pPr>
      <w:r w:rsidRPr="00A21D7D">
        <w:rPr>
          <w:lang w:val="en-US"/>
        </w:rPr>
        <w:t>Business Manager</w:t>
      </w:r>
      <w:r w:rsidR="002F482E">
        <w:rPr>
          <w:lang w:val="en-US"/>
        </w:rPr>
        <w:t>;</w:t>
      </w:r>
    </w:p>
    <w:p w14:paraId="2EFFE696" w14:textId="4B656374" w:rsidR="00E66365" w:rsidRPr="00A21D7D" w:rsidRDefault="00E66365" w:rsidP="007A5833">
      <w:pPr>
        <w:pStyle w:val="ListParagraph"/>
        <w:ind w:left="851" w:hanging="284"/>
        <w:rPr>
          <w:b/>
          <w:lang w:val="en-US"/>
        </w:rPr>
      </w:pPr>
      <w:r w:rsidRPr="00A21D7D">
        <w:rPr>
          <w:lang w:val="en-US"/>
        </w:rPr>
        <w:t>Principal Lawyers</w:t>
      </w:r>
      <w:r w:rsidR="002F482E">
        <w:rPr>
          <w:lang w:val="en-US"/>
        </w:rPr>
        <w:t>;</w:t>
      </w:r>
    </w:p>
    <w:p w14:paraId="2A3DC689" w14:textId="69B7B2E6" w:rsidR="00E66365" w:rsidRPr="00A21D7D" w:rsidRDefault="00E66365" w:rsidP="007A5833">
      <w:pPr>
        <w:pStyle w:val="ListParagraph"/>
        <w:ind w:left="851" w:hanging="284"/>
        <w:rPr>
          <w:b/>
          <w:lang w:val="en-US"/>
        </w:rPr>
      </w:pPr>
      <w:r w:rsidRPr="00A21D7D">
        <w:rPr>
          <w:lang w:val="en-US"/>
        </w:rPr>
        <w:t>Manager, Cairns Region</w:t>
      </w:r>
      <w:r w:rsidR="002F482E">
        <w:rPr>
          <w:lang w:val="en-US"/>
        </w:rPr>
        <w:t>;</w:t>
      </w:r>
    </w:p>
    <w:p w14:paraId="1EF63888" w14:textId="16CCD470" w:rsidR="00E66365" w:rsidRPr="00A21D7D" w:rsidRDefault="00E66365" w:rsidP="007A5833">
      <w:pPr>
        <w:pStyle w:val="ListParagraph"/>
        <w:ind w:left="851" w:hanging="284"/>
        <w:rPr>
          <w:b/>
          <w:lang w:val="en-US"/>
        </w:rPr>
      </w:pPr>
      <w:r w:rsidRPr="00A21D7D">
        <w:rPr>
          <w:lang w:val="en-US"/>
        </w:rPr>
        <w:t>Manager, Townsville Region</w:t>
      </w:r>
      <w:r w:rsidR="002F482E">
        <w:rPr>
          <w:lang w:val="en-US"/>
        </w:rPr>
        <w:t>;</w:t>
      </w:r>
    </w:p>
    <w:p w14:paraId="66E38D2D" w14:textId="418C59FD" w:rsidR="00E66365" w:rsidRPr="00A21D7D" w:rsidRDefault="00E66365" w:rsidP="007A5833">
      <w:pPr>
        <w:pStyle w:val="ListParagraph"/>
        <w:ind w:left="851" w:hanging="284"/>
        <w:rPr>
          <w:b/>
          <w:lang w:val="en-US"/>
        </w:rPr>
      </w:pPr>
      <w:r w:rsidRPr="00A21D7D">
        <w:rPr>
          <w:lang w:val="en-US"/>
        </w:rPr>
        <w:t>Manager, Rockhampton Region</w:t>
      </w:r>
      <w:r w:rsidR="002F482E">
        <w:rPr>
          <w:lang w:val="en-US"/>
        </w:rPr>
        <w:t>;</w:t>
      </w:r>
    </w:p>
    <w:p w14:paraId="42ABD409" w14:textId="3A14D9FE" w:rsidR="00E66365" w:rsidRPr="00A21D7D" w:rsidRDefault="00E66365" w:rsidP="007A5833">
      <w:pPr>
        <w:pStyle w:val="ListParagraph"/>
        <w:ind w:left="851" w:hanging="284"/>
        <w:rPr>
          <w:b/>
          <w:lang w:val="en-US"/>
        </w:rPr>
      </w:pPr>
      <w:r w:rsidRPr="00A21D7D">
        <w:rPr>
          <w:lang w:val="en-US"/>
        </w:rPr>
        <w:t>Managers, Brisbane Complaint Team</w:t>
      </w:r>
      <w:r w:rsidR="002F482E">
        <w:rPr>
          <w:lang w:val="en-US"/>
        </w:rPr>
        <w:t>;</w:t>
      </w:r>
    </w:p>
    <w:p w14:paraId="54F22B32" w14:textId="5D2D4750" w:rsidR="00E66365" w:rsidRPr="00A21D7D" w:rsidRDefault="00E66365" w:rsidP="007A5833">
      <w:pPr>
        <w:pStyle w:val="ListParagraph"/>
        <w:ind w:left="851" w:hanging="284"/>
        <w:rPr>
          <w:b/>
          <w:lang w:val="en-US"/>
        </w:rPr>
      </w:pPr>
      <w:r w:rsidRPr="00A21D7D">
        <w:rPr>
          <w:lang w:val="en-US"/>
        </w:rPr>
        <w:t>Aboriginal &amp; Torres Strait Islander</w:t>
      </w:r>
      <w:r w:rsidR="00B10E8B">
        <w:rPr>
          <w:lang w:val="en-US"/>
        </w:rPr>
        <w:t xml:space="preserve"> </w:t>
      </w:r>
      <w:r w:rsidRPr="00A21D7D">
        <w:rPr>
          <w:lang w:val="en-US"/>
        </w:rPr>
        <w:t>Community Engagement Coordinator</w:t>
      </w:r>
      <w:r w:rsidR="002F482E">
        <w:rPr>
          <w:lang w:val="en-US"/>
        </w:rPr>
        <w:t>;</w:t>
      </w:r>
    </w:p>
    <w:p w14:paraId="696FF368" w14:textId="6B5C7953" w:rsidR="00E66365" w:rsidRPr="00A21D7D" w:rsidRDefault="00E66365" w:rsidP="007A5833">
      <w:pPr>
        <w:pStyle w:val="ListParagraph"/>
        <w:ind w:left="851" w:hanging="284"/>
        <w:rPr>
          <w:b/>
          <w:lang w:val="en-US"/>
        </w:rPr>
      </w:pPr>
      <w:r w:rsidRPr="00A21D7D">
        <w:rPr>
          <w:lang w:val="en-US"/>
        </w:rPr>
        <w:t>Senior Communications Officer</w:t>
      </w:r>
      <w:r w:rsidR="002F482E">
        <w:rPr>
          <w:lang w:val="en-US"/>
        </w:rPr>
        <w:t>;</w:t>
      </w:r>
    </w:p>
    <w:p w14:paraId="06D9B93F" w14:textId="364C0F6D" w:rsidR="00E66365" w:rsidRPr="00A21D7D" w:rsidRDefault="00E66365" w:rsidP="007A5833">
      <w:pPr>
        <w:pStyle w:val="ListParagraph"/>
        <w:ind w:left="851" w:hanging="284"/>
        <w:rPr>
          <w:b/>
          <w:lang w:val="en-US"/>
        </w:rPr>
      </w:pPr>
      <w:r w:rsidRPr="00A21D7D">
        <w:rPr>
          <w:lang w:val="en-US"/>
        </w:rPr>
        <w:t>Senior Policy Officer</w:t>
      </w:r>
      <w:r w:rsidR="002F482E">
        <w:rPr>
          <w:lang w:val="en-US"/>
        </w:rPr>
        <w:t>.</w:t>
      </w:r>
    </w:p>
    <w:p w14:paraId="09300390" w14:textId="13FB3E5F" w:rsidR="000728D4" w:rsidRPr="00A21D7D" w:rsidRDefault="00BD42FE" w:rsidP="007D0F77">
      <w:pPr>
        <w:pStyle w:val="Heading2"/>
      </w:pPr>
      <w:bookmarkStart w:id="88" w:name="_Toc49508925"/>
      <w:r>
        <w:lastRenderedPageBreak/>
        <w:t>Our</w:t>
      </w:r>
      <w:r w:rsidR="000728D4" w:rsidRPr="00A21D7D">
        <w:t xml:space="preserve"> staff</w:t>
      </w:r>
      <w:bookmarkEnd w:id="88"/>
      <w:r w:rsidR="000728D4" w:rsidRPr="00A21D7D">
        <w:t xml:space="preserve"> </w:t>
      </w:r>
    </w:p>
    <w:p w14:paraId="767F3D6D" w14:textId="0C770C2E" w:rsidR="00E07EC4" w:rsidRPr="00A21D7D" w:rsidRDefault="00E07EC4" w:rsidP="00E07EC4">
      <w:pPr>
        <w:rPr>
          <w:rFonts w:cs="Arial"/>
        </w:rPr>
      </w:pPr>
      <w:r w:rsidRPr="00A21D7D">
        <w:rPr>
          <w:rFonts w:cs="Arial"/>
        </w:rPr>
        <w:t xml:space="preserve">The </w:t>
      </w:r>
      <w:r w:rsidR="00BD42FE">
        <w:rPr>
          <w:rFonts w:cs="Arial"/>
        </w:rPr>
        <w:t>Commission</w:t>
      </w:r>
      <w:r w:rsidRPr="00A21D7D">
        <w:rPr>
          <w:rFonts w:cs="Arial"/>
        </w:rPr>
        <w:t xml:space="preserve"> maintains offices in Brisbane, Cairns, Townsville and Rockhampton. At 30 June 2020, we employed 4</w:t>
      </w:r>
      <w:r w:rsidR="003C62F7" w:rsidRPr="00A21D7D">
        <w:rPr>
          <w:rFonts w:cs="Arial"/>
        </w:rPr>
        <w:t>0.22</w:t>
      </w:r>
      <w:r w:rsidRPr="00A21D7D">
        <w:rPr>
          <w:rFonts w:cs="Arial"/>
        </w:rPr>
        <w:t xml:space="preserve"> full-time equivalent permanent and temporary staff. The permanent staff separation rate in 2019-20 </w:t>
      </w:r>
      <w:r w:rsidR="00055335" w:rsidRPr="00A21D7D">
        <w:rPr>
          <w:rFonts w:cs="Arial"/>
        </w:rPr>
        <w:t xml:space="preserve">was 10.3 per cent, </w:t>
      </w:r>
      <w:r w:rsidRPr="00A21D7D">
        <w:rPr>
          <w:rFonts w:cs="Arial"/>
        </w:rPr>
        <w:t xml:space="preserve">higher than the previous year’s rate of 3%. This increase can be attributed primarily to an organisational restructure that resulted in two positions being identified as surplus to requirements. One affected staff member secured employment outside </w:t>
      </w:r>
      <w:r w:rsidR="00BD42FE">
        <w:rPr>
          <w:rFonts w:cs="Arial"/>
        </w:rPr>
        <w:t>the Commission</w:t>
      </w:r>
      <w:r w:rsidRPr="00A21D7D">
        <w:rPr>
          <w:rFonts w:cs="Arial"/>
        </w:rPr>
        <w:t xml:space="preserve"> and the second was offered a redundancy.</w:t>
      </w:r>
      <w:r w:rsidR="00B10E8B">
        <w:rPr>
          <w:rFonts w:cs="Arial"/>
        </w:rPr>
        <w:t xml:space="preserve"> </w:t>
      </w:r>
    </w:p>
    <w:p w14:paraId="32D73208" w14:textId="506D08A4" w:rsidR="00EC4199" w:rsidRPr="00A21D7D" w:rsidRDefault="00BD42FE" w:rsidP="00E07EC4">
      <w:pPr>
        <w:rPr>
          <w:rFonts w:cs="Arial"/>
        </w:rPr>
      </w:pPr>
      <w:r>
        <w:rPr>
          <w:rFonts w:cs="Arial"/>
        </w:rPr>
        <w:t>We are</w:t>
      </w:r>
      <w:r w:rsidR="00EC4199" w:rsidRPr="00A21D7D">
        <w:rPr>
          <w:rFonts w:cs="Arial"/>
        </w:rPr>
        <w:t xml:space="preserve"> committed to maintaining a diverse and inclusive workplace where the contributions of all staff are valued. Strategies that have been implemented to promote diversity and inclusion include:</w:t>
      </w:r>
    </w:p>
    <w:p w14:paraId="6BAB806A" w14:textId="79DD681E" w:rsidR="00EC4199" w:rsidRPr="00A21D7D" w:rsidRDefault="00EC4199" w:rsidP="007A5833">
      <w:pPr>
        <w:pStyle w:val="ListParagraph"/>
        <w:ind w:left="851" w:hanging="284"/>
      </w:pPr>
      <w:r w:rsidRPr="00A21D7D">
        <w:t>active promotion of flexible work including compressed hours, part-time and working from home arrangements</w:t>
      </w:r>
      <w:r w:rsidR="002F482E">
        <w:t>;</w:t>
      </w:r>
    </w:p>
    <w:p w14:paraId="63D964B6" w14:textId="5CEA0FFF" w:rsidR="00EC4199" w:rsidRPr="00A21D7D" w:rsidRDefault="00EC4199" w:rsidP="007A5833">
      <w:pPr>
        <w:pStyle w:val="ListParagraph"/>
        <w:ind w:left="851" w:hanging="284"/>
      </w:pPr>
      <w:r w:rsidRPr="00A21D7D">
        <w:t>the provision of a parenting/prayer room</w:t>
      </w:r>
      <w:r w:rsidR="002F482E">
        <w:t>;</w:t>
      </w:r>
    </w:p>
    <w:p w14:paraId="4688AEEF" w14:textId="3D2F0A64" w:rsidR="00EC4199" w:rsidRPr="00A21D7D" w:rsidRDefault="00EC4199" w:rsidP="007A5833">
      <w:pPr>
        <w:pStyle w:val="ListParagraph"/>
        <w:ind w:left="851" w:hanging="284"/>
      </w:pPr>
      <w:r w:rsidRPr="00A21D7D">
        <w:t>provision of highly accessible office spaces where possible</w:t>
      </w:r>
      <w:r w:rsidR="002F482E">
        <w:t>;</w:t>
      </w:r>
    </w:p>
    <w:p w14:paraId="10446FC6" w14:textId="0BEFABEA" w:rsidR="00EC4199" w:rsidRPr="00A21D7D" w:rsidRDefault="00EC4199" w:rsidP="007A5833">
      <w:pPr>
        <w:pStyle w:val="ListParagraph"/>
        <w:ind w:left="851" w:hanging="284"/>
      </w:pPr>
      <w:r w:rsidRPr="00A21D7D">
        <w:t>appointment of four Equity Contact Officers</w:t>
      </w:r>
      <w:r w:rsidR="002F482E">
        <w:t>;</w:t>
      </w:r>
      <w:r w:rsidRPr="00A21D7D">
        <w:t xml:space="preserve"> </w:t>
      </w:r>
    </w:p>
    <w:p w14:paraId="353696E2" w14:textId="0240481B" w:rsidR="00EC4199" w:rsidRPr="00A21D7D" w:rsidRDefault="00EC4199" w:rsidP="007A5833">
      <w:pPr>
        <w:pStyle w:val="ListParagraph"/>
        <w:ind w:left="851" w:hanging="284"/>
      </w:pPr>
      <w:r w:rsidRPr="00A21D7D">
        <w:t>LGBTIQ+ and Aboriginal and Torres Strait Islander liaison officers</w:t>
      </w:r>
      <w:r w:rsidR="002F482E">
        <w:t>;</w:t>
      </w:r>
    </w:p>
    <w:p w14:paraId="7EB63F0E" w14:textId="6BD5E53C" w:rsidR="00EC4199" w:rsidRPr="00A21D7D" w:rsidRDefault="00EC4199" w:rsidP="007A5833">
      <w:pPr>
        <w:pStyle w:val="ListParagraph"/>
        <w:ind w:left="851" w:hanging="284"/>
      </w:pPr>
      <w:r w:rsidRPr="00A21D7D">
        <w:t>Clear induction and performance management policies</w:t>
      </w:r>
      <w:r w:rsidR="002F482E">
        <w:t>;</w:t>
      </w:r>
    </w:p>
    <w:p w14:paraId="350BC659" w14:textId="6831F8B3" w:rsidR="00EC4199" w:rsidRPr="00A21D7D" w:rsidRDefault="00EC4199" w:rsidP="007A5833">
      <w:pPr>
        <w:pStyle w:val="ListParagraph"/>
        <w:ind w:left="851" w:hanging="284"/>
      </w:pPr>
      <w:r w:rsidRPr="00A21D7D">
        <w:t>Professional development of all staff on a continuing basis</w:t>
      </w:r>
      <w:r w:rsidR="002F482E">
        <w:t>; and</w:t>
      </w:r>
    </w:p>
    <w:p w14:paraId="486492BB" w14:textId="11FC2FC3" w:rsidR="00EC4199" w:rsidRPr="005F06D9" w:rsidRDefault="000213AE" w:rsidP="005F06D9">
      <w:pPr>
        <w:pStyle w:val="ListParagraph"/>
        <w:ind w:left="851" w:hanging="284"/>
      </w:pPr>
      <w:r w:rsidRPr="00A21D7D">
        <w:t>Transition to electronic timesheet management for improved monitoring of leave</w:t>
      </w:r>
      <w:r w:rsidR="002F482E">
        <w:t>.</w:t>
      </w:r>
      <w:r w:rsidRPr="00A21D7D">
        <w:t xml:space="preserve"> </w:t>
      </w:r>
    </w:p>
    <w:p w14:paraId="4BAC052D" w14:textId="2EEA636D" w:rsidR="000728D4" w:rsidRPr="00A21D7D" w:rsidRDefault="002F7BE6" w:rsidP="007D0F77">
      <w:pPr>
        <w:pStyle w:val="Heading2"/>
      </w:pPr>
      <w:bookmarkStart w:id="89" w:name="_Toc49508926"/>
      <w:r w:rsidRPr="00A21D7D">
        <w:t>Corporate</w:t>
      </w:r>
      <w:r w:rsidR="000728D4" w:rsidRPr="00A21D7D">
        <w:t xml:space="preserve"> services</w:t>
      </w:r>
      <w:bookmarkEnd w:id="89"/>
      <w:r w:rsidR="000728D4" w:rsidRPr="00A21D7D">
        <w:t xml:space="preserve"> </w:t>
      </w:r>
    </w:p>
    <w:p w14:paraId="4B570722" w14:textId="5A4CE865" w:rsidR="002B23ED" w:rsidRPr="00A21D7D" w:rsidRDefault="002F7BE6" w:rsidP="002B23ED">
      <w:pPr>
        <w:rPr>
          <w:rFonts w:cs="Arial"/>
        </w:rPr>
      </w:pPr>
      <w:r w:rsidRPr="00A21D7D">
        <w:rPr>
          <w:rFonts w:cs="Arial"/>
        </w:rPr>
        <w:t xml:space="preserve">In house corporate services provided by our staff are supplemented through service level agreements </w:t>
      </w:r>
      <w:r w:rsidR="002B23ED" w:rsidRPr="00A21D7D">
        <w:rPr>
          <w:rFonts w:cs="Arial"/>
        </w:rPr>
        <w:t xml:space="preserve">with the Department of Justice and Attorney-General and Queensland Shared Services for the provision of financial, human resource, internal audit and processing services. These arrangements benefit </w:t>
      </w:r>
      <w:r w:rsidR="00BD42FE">
        <w:rPr>
          <w:rFonts w:cs="Arial"/>
        </w:rPr>
        <w:t>the Commission</w:t>
      </w:r>
      <w:r w:rsidR="002B23ED" w:rsidRPr="00A21D7D">
        <w:rPr>
          <w:rFonts w:cs="Arial"/>
        </w:rPr>
        <w:t xml:space="preserve"> by providing a cost-effective processing environment and access to a greater range of skills than it can maintain internally given its size, and allows the organis</w:t>
      </w:r>
      <w:r w:rsidR="00C2274D" w:rsidRPr="00A21D7D">
        <w:rPr>
          <w:rFonts w:cs="Arial"/>
        </w:rPr>
        <w:t>ation to focus on core business</w:t>
      </w:r>
      <w:r w:rsidR="002F482E">
        <w:rPr>
          <w:rFonts w:cs="Arial"/>
        </w:rPr>
        <w:t>.</w:t>
      </w:r>
    </w:p>
    <w:p w14:paraId="421CDB07" w14:textId="77777777" w:rsidR="005F06D9" w:rsidRDefault="005F06D9">
      <w:pPr>
        <w:ind w:right="0"/>
        <w:rPr>
          <w:rFonts w:eastAsiaTheme="majorEastAsia" w:cstheme="majorBidi"/>
          <w:color w:val="000000" w:themeColor="text1"/>
          <w:sz w:val="36"/>
          <w:szCs w:val="26"/>
        </w:rPr>
      </w:pPr>
      <w:bookmarkStart w:id="90" w:name="_Toc49508927"/>
      <w:r>
        <w:br w:type="page"/>
      </w:r>
    </w:p>
    <w:p w14:paraId="4C349F81" w14:textId="364CF9ED" w:rsidR="00E85EC8" w:rsidRPr="00A21D7D" w:rsidRDefault="00E85EC8" w:rsidP="007D0F77">
      <w:pPr>
        <w:pStyle w:val="Heading2"/>
      </w:pPr>
      <w:r w:rsidRPr="00A21D7D">
        <w:lastRenderedPageBreak/>
        <w:t>Information and communications technology</w:t>
      </w:r>
      <w:r w:rsidR="00EA4698" w:rsidRPr="00A21D7D">
        <w:t xml:space="preserve"> (ICT)</w:t>
      </w:r>
      <w:bookmarkEnd w:id="90"/>
    </w:p>
    <w:p w14:paraId="40E624B8" w14:textId="77777777" w:rsidR="005F06D9" w:rsidRDefault="00BD42FE" w:rsidP="009D744B">
      <w:pPr>
        <w:rPr>
          <w:rFonts w:cs="Arial"/>
        </w:rPr>
      </w:pPr>
      <w:r>
        <w:rPr>
          <w:rFonts w:cs="Arial"/>
        </w:rPr>
        <w:t>Our</w:t>
      </w:r>
      <w:r w:rsidR="009D744B" w:rsidRPr="00A21D7D">
        <w:rPr>
          <w:rFonts w:cs="Arial"/>
        </w:rPr>
        <w:t xml:space="preserve"> standar</w:t>
      </w:r>
      <w:r w:rsidR="002F482E">
        <w:rPr>
          <w:rFonts w:cs="Arial"/>
        </w:rPr>
        <w:t xml:space="preserve">d operating environment </w:t>
      </w:r>
      <w:r>
        <w:rPr>
          <w:rFonts w:cs="Arial"/>
        </w:rPr>
        <w:t>is Wi</w:t>
      </w:r>
      <w:r w:rsidR="009D744B" w:rsidRPr="00A21D7D">
        <w:rPr>
          <w:rFonts w:cs="Arial"/>
        </w:rPr>
        <w:t xml:space="preserve">ndows 10 and Office 2016 and all core software is supported by appropriate support agreements and software assurance. </w:t>
      </w:r>
      <w:r w:rsidR="006E73F9">
        <w:rPr>
          <w:rFonts w:cs="Arial"/>
        </w:rPr>
        <w:t>We</w:t>
      </w:r>
      <w:r w:rsidR="009D744B" w:rsidRPr="00A21D7D">
        <w:rPr>
          <w:rFonts w:cs="Arial"/>
        </w:rPr>
        <w:t xml:space="preserve"> ha</w:t>
      </w:r>
      <w:r w:rsidR="006E73F9">
        <w:rPr>
          <w:rFonts w:cs="Arial"/>
        </w:rPr>
        <w:t>ve</w:t>
      </w:r>
      <w:r w:rsidR="009D744B" w:rsidRPr="00A21D7D">
        <w:rPr>
          <w:rFonts w:cs="Arial"/>
        </w:rPr>
        <w:t xml:space="preserve"> migrated from laptops to Surface Pro </w:t>
      </w:r>
      <w:r w:rsidR="00055335" w:rsidRPr="00A21D7D">
        <w:rPr>
          <w:rFonts w:cs="Arial"/>
        </w:rPr>
        <w:t>tablet devices</w:t>
      </w:r>
      <w:r w:rsidR="009D744B" w:rsidRPr="00A21D7D">
        <w:rPr>
          <w:rFonts w:cs="Arial"/>
        </w:rPr>
        <w:t xml:space="preserve"> </w:t>
      </w:r>
      <w:r w:rsidR="00EA4698" w:rsidRPr="00A21D7D">
        <w:rPr>
          <w:rFonts w:cs="Arial"/>
        </w:rPr>
        <w:t xml:space="preserve">and operate cloud based provision of computing and telecommunications services. </w:t>
      </w:r>
      <w:r w:rsidR="00055335" w:rsidRPr="00A21D7D">
        <w:rPr>
          <w:rFonts w:cs="Arial"/>
        </w:rPr>
        <w:t>These operating systems and equipment</w:t>
      </w:r>
      <w:r w:rsidR="00EA4698" w:rsidRPr="00A21D7D">
        <w:rPr>
          <w:rFonts w:cs="Arial"/>
        </w:rPr>
        <w:t xml:space="preserve"> have reduced costs, increased mobility and business continuity, and reduced risks associated with in-house management of computing services. </w:t>
      </w:r>
    </w:p>
    <w:p w14:paraId="72740B48" w14:textId="07396BB8" w:rsidR="009D744B" w:rsidRPr="00A21D7D" w:rsidRDefault="00EA4698" w:rsidP="009D744B">
      <w:pPr>
        <w:rPr>
          <w:rFonts w:cs="Arial"/>
          <w:i/>
        </w:rPr>
      </w:pPr>
      <w:r w:rsidRPr="00A21D7D">
        <w:rPr>
          <w:rFonts w:cs="Arial"/>
        </w:rPr>
        <w:t xml:space="preserve">They also </w:t>
      </w:r>
      <w:r w:rsidR="00055335" w:rsidRPr="00A21D7D">
        <w:rPr>
          <w:rFonts w:cs="Arial"/>
        </w:rPr>
        <w:t>a</w:t>
      </w:r>
      <w:r w:rsidRPr="00A21D7D">
        <w:rPr>
          <w:rFonts w:cs="Arial"/>
        </w:rPr>
        <w:t xml:space="preserve">llowed all </w:t>
      </w:r>
      <w:r w:rsidR="006E73F9">
        <w:rPr>
          <w:rFonts w:cs="Arial"/>
        </w:rPr>
        <w:t>staff</w:t>
      </w:r>
      <w:r w:rsidRPr="00A21D7D">
        <w:rPr>
          <w:rFonts w:cs="Arial"/>
        </w:rPr>
        <w:t xml:space="preserve"> to work remotely during the COVID-19 pandemic and maintain almost uninterrupted service delivery. </w:t>
      </w:r>
    </w:p>
    <w:p w14:paraId="68E1B281" w14:textId="273AEDCA" w:rsidR="009D744B" w:rsidRPr="006E73F9" w:rsidRDefault="00EA4698" w:rsidP="009D744B">
      <w:pPr>
        <w:rPr>
          <w:rFonts w:cs="Arial"/>
        </w:rPr>
      </w:pPr>
      <w:r w:rsidRPr="006E73F9">
        <w:rPr>
          <w:rFonts w:cs="Arial"/>
        </w:rPr>
        <w:t xml:space="preserve">In addition to the successful and sustained transition remote working, key achievements in ICT this period include: </w:t>
      </w:r>
    </w:p>
    <w:p w14:paraId="724DB087" w14:textId="6B91344D" w:rsidR="004A3D9E" w:rsidRPr="00A21D7D" w:rsidRDefault="00B45EC5" w:rsidP="007A5833">
      <w:pPr>
        <w:pStyle w:val="ListParagraph"/>
        <w:ind w:left="851" w:hanging="284"/>
        <w:rPr>
          <w:lang w:val="en-US"/>
        </w:rPr>
      </w:pPr>
      <w:r w:rsidRPr="00A21D7D">
        <w:rPr>
          <w:lang w:val="en-US"/>
        </w:rPr>
        <w:t>Increased wide area network (</w:t>
      </w:r>
      <w:r w:rsidR="004A3D9E" w:rsidRPr="00A21D7D">
        <w:rPr>
          <w:lang w:val="en-US"/>
        </w:rPr>
        <w:t>WAN</w:t>
      </w:r>
      <w:r w:rsidRPr="00A21D7D">
        <w:rPr>
          <w:lang w:val="en-US"/>
        </w:rPr>
        <w:t>)</w:t>
      </w:r>
      <w:r w:rsidR="004A3D9E" w:rsidRPr="00A21D7D">
        <w:rPr>
          <w:lang w:val="en-US"/>
        </w:rPr>
        <w:t xml:space="preserve"> links to all</w:t>
      </w:r>
      <w:r w:rsidRPr="00A21D7D">
        <w:rPr>
          <w:lang w:val="en-US"/>
        </w:rPr>
        <w:t xml:space="preserve"> four QHRC office locations to improve system performance</w:t>
      </w:r>
      <w:r w:rsidR="005B752F">
        <w:rPr>
          <w:lang w:val="en-US"/>
        </w:rPr>
        <w:t>;</w:t>
      </w:r>
      <w:r w:rsidRPr="00A21D7D">
        <w:rPr>
          <w:lang w:val="en-US"/>
        </w:rPr>
        <w:t xml:space="preserve"> </w:t>
      </w:r>
    </w:p>
    <w:p w14:paraId="297A1D9C" w14:textId="5AEA7EB6" w:rsidR="004A3D9E" w:rsidRPr="00A21D7D" w:rsidRDefault="004A3D9E" w:rsidP="007A5833">
      <w:pPr>
        <w:pStyle w:val="ListParagraph"/>
        <w:ind w:left="851" w:hanging="284"/>
        <w:rPr>
          <w:lang w:val="en-US"/>
        </w:rPr>
      </w:pPr>
      <w:r w:rsidRPr="00A21D7D">
        <w:rPr>
          <w:lang w:val="en-US"/>
        </w:rPr>
        <w:t xml:space="preserve">Commenced process </w:t>
      </w:r>
      <w:r w:rsidR="00B45EC5" w:rsidRPr="00A21D7D">
        <w:rPr>
          <w:lang w:val="en-US"/>
        </w:rPr>
        <w:t xml:space="preserve">of wireless installation in </w:t>
      </w:r>
      <w:r w:rsidR="005B752F">
        <w:rPr>
          <w:lang w:val="en-US"/>
        </w:rPr>
        <w:t>regional offices;</w:t>
      </w:r>
      <w:r w:rsidRPr="00A21D7D">
        <w:rPr>
          <w:lang w:val="en-US"/>
        </w:rPr>
        <w:t xml:space="preserve"> </w:t>
      </w:r>
    </w:p>
    <w:p w14:paraId="4CCEB92C" w14:textId="64B2ED4F" w:rsidR="004A3D9E" w:rsidRPr="00A21D7D" w:rsidRDefault="004A3D9E" w:rsidP="007A5833">
      <w:pPr>
        <w:pStyle w:val="ListParagraph"/>
        <w:ind w:left="851" w:hanging="284"/>
        <w:rPr>
          <w:lang w:val="en-US"/>
        </w:rPr>
      </w:pPr>
      <w:r w:rsidRPr="00A21D7D">
        <w:rPr>
          <w:lang w:val="en-US"/>
        </w:rPr>
        <w:t>Commenced transition to Office 365</w:t>
      </w:r>
      <w:r w:rsidR="005B752F">
        <w:rPr>
          <w:lang w:val="en-US"/>
        </w:rPr>
        <w:t>;</w:t>
      </w:r>
    </w:p>
    <w:p w14:paraId="60CB292D" w14:textId="572CBDAD" w:rsidR="004A3D9E" w:rsidRPr="00A21D7D" w:rsidRDefault="003B0131" w:rsidP="007A5833">
      <w:pPr>
        <w:pStyle w:val="ListParagraph"/>
        <w:ind w:left="851" w:hanging="284"/>
        <w:rPr>
          <w:lang w:val="en-US"/>
        </w:rPr>
      </w:pPr>
      <w:r w:rsidRPr="00A21D7D">
        <w:rPr>
          <w:lang w:val="en-US"/>
        </w:rPr>
        <w:t>Partial completion of a data management and business intelligence project to enhance performance reporting capabilities through Power BI.</w:t>
      </w:r>
      <w:r w:rsidR="00B10E8B">
        <w:rPr>
          <w:lang w:val="en-US"/>
        </w:rPr>
        <w:t xml:space="preserve"> </w:t>
      </w:r>
    </w:p>
    <w:p w14:paraId="7DCCA048" w14:textId="77777777" w:rsidR="000728D4" w:rsidRPr="00A21D7D" w:rsidRDefault="000728D4" w:rsidP="007D0F77">
      <w:pPr>
        <w:pStyle w:val="Heading2"/>
      </w:pPr>
      <w:bookmarkStart w:id="91" w:name="_Toc49508928"/>
      <w:r w:rsidRPr="00A21D7D">
        <w:t>Statutory obligations</w:t>
      </w:r>
      <w:bookmarkEnd w:id="91"/>
      <w:r w:rsidRPr="00A21D7D">
        <w:t xml:space="preserve"> </w:t>
      </w:r>
    </w:p>
    <w:p w14:paraId="4105EE8A" w14:textId="77D5D444" w:rsidR="00D346B2" w:rsidRPr="00A21D7D" w:rsidRDefault="006F421F" w:rsidP="007D0F77">
      <w:pPr>
        <w:pStyle w:val="Heading3"/>
      </w:pPr>
      <w:bookmarkStart w:id="92" w:name="_Toc49508929"/>
      <w:r w:rsidRPr="00A21D7D">
        <w:t>Ethical behaviour</w:t>
      </w:r>
      <w:bookmarkEnd w:id="92"/>
    </w:p>
    <w:p w14:paraId="324B4A03" w14:textId="77777777" w:rsidR="007B3183" w:rsidRPr="00A21D7D" w:rsidRDefault="007B3183" w:rsidP="00D346B2">
      <w:pPr>
        <w:rPr>
          <w:rFonts w:cs="Arial"/>
        </w:rPr>
      </w:pPr>
      <w:r w:rsidRPr="00A21D7D">
        <w:rPr>
          <w:rFonts w:cs="Arial"/>
        </w:rPr>
        <w:t xml:space="preserve">The Code of Conduct for the Queensland Public Service applies to our staff as we are prescribed as a public service agency under the </w:t>
      </w:r>
      <w:r w:rsidRPr="00A21D7D">
        <w:rPr>
          <w:rFonts w:cs="Arial"/>
          <w:i/>
        </w:rPr>
        <w:t>Public Sector Ethics Regulation 2010</w:t>
      </w:r>
      <w:r w:rsidRPr="00A21D7D">
        <w:rPr>
          <w:rFonts w:cs="Arial"/>
        </w:rPr>
        <w:t xml:space="preserve">. In accordance with section 23 of the </w:t>
      </w:r>
      <w:r w:rsidRPr="00A21D7D">
        <w:rPr>
          <w:rFonts w:cs="Arial"/>
          <w:i/>
        </w:rPr>
        <w:t>Public Sector Ethics Act 1994</w:t>
      </w:r>
      <w:r w:rsidRPr="00A21D7D">
        <w:rPr>
          <w:rFonts w:cs="Arial"/>
        </w:rPr>
        <w:t xml:space="preserve">, all new starters are provided with information about the Code of Conduct as part of their induction program and are asked to confirm their understanding and ability to apply the code. </w:t>
      </w:r>
    </w:p>
    <w:p w14:paraId="15233852" w14:textId="0A9D77F0" w:rsidR="007B3183" w:rsidRPr="00A21D7D" w:rsidRDefault="007B3183" w:rsidP="00D346B2">
      <w:pPr>
        <w:rPr>
          <w:rFonts w:cs="Arial"/>
        </w:rPr>
      </w:pPr>
      <w:r w:rsidRPr="00A21D7D">
        <w:rPr>
          <w:rFonts w:cs="Arial"/>
        </w:rPr>
        <w:t xml:space="preserve">Staff can readily access the code through our intranet and it is referenced in a variety of </w:t>
      </w:r>
      <w:r w:rsidR="006E73F9">
        <w:rPr>
          <w:rFonts w:cs="Arial"/>
        </w:rPr>
        <w:t>Commission</w:t>
      </w:r>
      <w:r w:rsidRPr="00A21D7D">
        <w:rPr>
          <w:rFonts w:cs="Arial"/>
        </w:rPr>
        <w:t xml:space="preserve"> policies and staff documents including the Workplace Behaviour policy and the staff induction manual. All staff are required to complete annual refresher training on the Code of Conduct which is monitored through the performance and development management process and an annual internal audit of staff mandatory training records. </w:t>
      </w:r>
    </w:p>
    <w:p w14:paraId="441F723C" w14:textId="35DF767B" w:rsidR="007B3183" w:rsidRPr="00A21D7D" w:rsidRDefault="007B3183" w:rsidP="007B3183">
      <w:pPr>
        <w:rPr>
          <w:rFonts w:cs="Arial"/>
        </w:rPr>
      </w:pPr>
      <w:r w:rsidRPr="00A21D7D">
        <w:rPr>
          <w:rFonts w:cs="Arial"/>
        </w:rPr>
        <w:t xml:space="preserve">Additionally, all staff complete annual training on Right to Information Act, information privacy, domestic and family violence awareness and cultural capability. </w:t>
      </w:r>
    </w:p>
    <w:p w14:paraId="5C01A6A0" w14:textId="2B3D2D60" w:rsidR="00D346B2" w:rsidRPr="00A21D7D" w:rsidRDefault="00D346B2" w:rsidP="007D0F77">
      <w:pPr>
        <w:pStyle w:val="Heading3"/>
      </w:pPr>
      <w:bookmarkStart w:id="93" w:name="_Toc49508930"/>
      <w:r w:rsidRPr="00A21D7D">
        <w:lastRenderedPageBreak/>
        <w:t>Human rights</w:t>
      </w:r>
      <w:bookmarkEnd w:id="93"/>
    </w:p>
    <w:p w14:paraId="08AEF02B" w14:textId="58E3A76A" w:rsidR="00500E63" w:rsidRPr="00A21D7D" w:rsidRDefault="00500E63" w:rsidP="00500E63">
      <w:pPr>
        <w:autoSpaceDE w:val="0"/>
        <w:autoSpaceDN w:val="0"/>
        <w:adjustRightInd w:val="0"/>
        <w:spacing w:after="30" w:line="240" w:lineRule="auto"/>
        <w:rPr>
          <w:rFonts w:cs="Arial"/>
          <w:color w:val="000000"/>
        </w:rPr>
      </w:pPr>
      <w:r w:rsidRPr="00A21D7D">
        <w:rPr>
          <w:rFonts w:cs="Arial"/>
          <w:color w:val="000000"/>
        </w:rPr>
        <w:t xml:space="preserve">As Queensland’s leading human rights agency, </w:t>
      </w:r>
      <w:r w:rsidR="006E73F9">
        <w:rPr>
          <w:rFonts w:cs="Arial"/>
          <w:color w:val="000000"/>
        </w:rPr>
        <w:t>our</w:t>
      </w:r>
      <w:r w:rsidRPr="00A21D7D">
        <w:rPr>
          <w:rFonts w:cs="Arial"/>
          <w:color w:val="000000"/>
        </w:rPr>
        <w:t xml:space="preserve"> core business is to further the objects of the </w:t>
      </w:r>
      <w:r w:rsidR="00FC6699" w:rsidRPr="00FC6699">
        <w:rPr>
          <w:rFonts w:cs="Arial"/>
          <w:i/>
          <w:color w:val="000000"/>
        </w:rPr>
        <w:t>Human Rights Act 2019</w:t>
      </w:r>
      <w:r w:rsidRPr="00A21D7D">
        <w:rPr>
          <w:rFonts w:cs="Arial"/>
          <w:color w:val="000000"/>
        </w:rPr>
        <w:t>.</w:t>
      </w:r>
      <w:r w:rsidR="00B10E8B">
        <w:rPr>
          <w:rFonts w:cs="Arial"/>
          <w:color w:val="000000"/>
        </w:rPr>
        <w:t xml:space="preserve"> </w:t>
      </w:r>
      <w:r w:rsidRPr="00A21D7D">
        <w:rPr>
          <w:rFonts w:cs="Arial"/>
          <w:color w:val="000000"/>
        </w:rPr>
        <w:t xml:space="preserve">Central to the delivery of all frontline services is the objective of promoting understanding, acceptance and public discussion of human rights. In 2019-20 we were focussed more than ever on this objective as our organisational name and functions changed to incorporate the new legislation. </w:t>
      </w:r>
    </w:p>
    <w:p w14:paraId="14393964" w14:textId="35314FD7" w:rsidR="00500E63" w:rsidRPr="00A21D7D" w:rsidRDefault="00500E63" w:rsidP="00500E63">
      <w:pPr>
        <w:autoSpaceDE w:val="0"/>
        <w:autoSpaceDN w:val="0"/>
        <w:adjustRightInd w:val="0"/>
        <w:spacing w:after="30" w:line="240" w:lineRule="auto"/>
        <w:rPr>
          <w:rFonts w:cs="Arial"/>
          <w:color w:val="000000"/>
        </w:rPr>
      </w:pPr>
    </w:p>
    <w:p w14:paraId="3FD0B8F5" w14:textId="71E3EED4" w:rsidR="006E724E" w:rsidRPr="00A21D7D" w:rsidRDefault="006E724E" w:rsidP="00500E63">
      <w:pPr>
        <w:autoSpaceDE w:val="0"/>
        <w:autoSpaceDN w:val="0"/>
        <w:adjustRightInd w:val="0"/>
        <w:spacing w:after="30" w:line="240" w:lineRule="auto"/>
        <w:rPr>
          <w:rFonts w:cs="Arial"/>
          <w:color w:val="000000"/>
        </w:rPr>
      </w:pPr>
      <w:r w:rsidRPr="00A21D7D">
        <w:rPr>
          <w:rFonts w:cs="Arial"/>
          <w:color w:val="000000"/>
        </w:rPr>
        <w:t xml:space="preserve">In relation to obligations of public entities under the Act, </w:t>
      </w:r>
      <w:r w:rsidR="006E73F9">
        <w:rPr>
          <w:rFonts w:cs="Arial"/>
          <w:color w:val="000000"/>
        </w:rPr>
        <w:t xml:space="preserve">we </w:t>
      </w:r>
      <w:r w:rsidRPr="00A21D7D">
        <w:rPr>
          <w:rFonts w:cs="Arial"/>
          <w:color w:val="000000"/>
        </w:rPr>
        <w:t>undertook the following activities during 2019-20:</w:t>
      </w:r>
    </w:p>
    <w:p w14:paraId="784DF4B1" w14:textId="77777777" w:rsidR="00500E63" w:rsidRPr="00A21D7D" w:rsidRDefault="00500E63" w:rsidP="00500E63">
      <w:pPr>
        <w:autoSpaceDE w:val="0"/>
        <w:autoSpaceDN w:val="0"/>
        <w:adjustRightInd w:val="0"/>
        <w:spacing w:after="30" w:line="240" w:lineRule="auto"/>
        <w:rPr>
          <w:rFonts w:cs="Arial"/>
          <w:color w:val="000000"/>
        </w:rPr>
      </w:pPr>
    </w:p>
    <w:p w14:paraId="22A4D3FF" w14:textId="42A90B72" w:rsidR="00500E63" w:rsidRPr="00A21D7D" w:rsidRDefault="006E724E" w:rsidP="007A5833">
      <w:pPr>
        <w:pStyle w:val="ListParagraph"/>
        <w:ind w:left="851" w:hanging="284"/>
      </w:pPr>
      <w:r w:rsidRPr="00A21D7D">
        <w:t xml:space="preserve">Revised our complaint management process </w:t>
      </w:r>
      <w:r w:rsidR="00500E63" w:rsidRPr="00A21D7D">
        <w:t>to include robust front-end assessment of complaints to identify potential Human Rights Act breaches</w:t>
      </w:r>
      <w:r w:rsidR="005B752F">
        <w:t>;</w:t>
      </w:r>
    </w:p>
    <w:p w14:paraId="13B514AF" w14:textId="3C81FBA8" w:rsidR="006E724E" w:rsidRPr="00A21D7D" w:rsidRDefault="006E724E" w:rsidP="007A5833">
      <w:pPr>
        <w:pStyle w:val="ListParagraph"/>
        <w:ind w:left="851" w:hanging="284"/>
      </w:pPr>
      <w:r w:rsidRPr="00A21D7D">
        <w:t xml:space="preserve">Conducted a series of staff training sessions on key elements of the </w:t>
      </w:r>
      <w:r w:rsidR="00FC6699" w:rsidRPr="00FC6699">
        <w:rPr>
          <w:i/>
        </w:rPr>
        <w:t>Human Rights Act 2019</w:t>
      </w:r>
      <w:r w:rsidRPr="00A21D7D">
        <w:t xml:space="preserve"> including an examination o</w:t>
      </w:r>
      <w:r w:rsidR="005B752F">
        <w:t>f the scope of each human right;</w:t>
      </w:r>
    </w:p>
    <w:p w14:paraId="2C4717E7" w14:textId="793C218A" w:rsidR="006E724E" w:rsidRPr="00A21D7D" w:rsidRDefault="006E724E" w:rsidP="007A5833">
      <w:pPr>
        <w:pStyle w:val="ListParagraph"/>
        <w:ind w:left="851" w:hanging="284"/>
      </w:pPr>
      <w:r w:rsidRPr="00A21D7D">
        <w:t>Ran a social media campaign introducing the Human Rights Act and each human right individuall</w:t>
      </w:r>
      <w:r w:rsidR="005B752F">
        <w:t>y to raise community awareness;</w:t>
      </w:r>
    </w:p>
    <w:p w14:paraId="2CDBB7E0" w14:textId="4606FEEC" w:rsidR="006E724E" w:rsidRPr="00A21D7D" w:rsidRDefault="006E724E" w:rsidP="007A5833">
      <w:pPr>
        <w:pStyle w:val="ListParagraph"/>
        <w:ind w:left="851" w:hanging="284"/>
      </w:pPr>
      <w:r w:rsidRPr="00A21D7D">
        <w:t>Reviewed and updated organisational policies to ensure compatibility with human rights, including the client complaint policy and procedur</w:t>
      </w:r>
      <w:r w:rsidR="005B752F">
        <w:t>es and the social media policy;</w:t>
      </w:r>
    </w:p>
    <w:p w14:paraId="38BDE11E" w14:textId="0625C98B" w:rsidR="006E724E" w:rsidRPr="00A21D7D" w:rsidRDefault="006E724E" w:rsidP="007A5833">
      <w:pPr>
        <w:pStyle w:val="ListParagraph"/>
        <w:ind w:left="851" w:hanging="284"/>
      </w:pPr>
      <w:r w:rsidRPr="00A21D7D">
        <w:t>Commenced investigating options for audio recording of complaints to make our com</w:t>
      </w:r>
      <w:r w:rsidR="005B752F">
        <w:t>plaint process more accessible;</w:t>
      </w:r>
    </w:p>
    <w:p w14:paraId="3F8CE2D8" w14:textId="486409EC" w:rsidR="00421C2D" w:rsidRPr="00A21D7D" w:rsidRDefault="006E724E" w:rsidP="007A5833">
      <w:pPr>
        <w:pStyle w:val="ListParagraph"/>
        <w:ind w:left="851" w:hanging="284"/>
      </w:pPr>
      <w:r w:rsidRPr="00A21D7D">
        <w:t>Ran the Human Rights Month campaign in November-December 2019 to raise awareness of the Act</w:t>
      </w:r>
      <w:r w:rsidR="005B752F">
        <w:t xml:space="preserve">, including </w:t>
      </w:r>
      <w:r w:rsidRPr="00A21D7D">
        <w:t>a speaker series focus</w:t>
      </w:r>
      <w:r w:rsidR="005B752F">
        <w:t>sing on particular human rights;</w:t>
      </w:r>
    </w:p>
    <w:p w14:paraId="3003448C" w14:textId="0B0D93EC" w:rsidR="006E724E" w:rsidRDefault="00421C2D" w:rsidP="007A5833">
      <w:pPr>
        <w:pStyle w:val="ListParagraph"/>
        <w:ind w:left="851" w:hanging="284"/>
      </w:pPr>
      <w:r w:rsidRPr="00A21D7D">
        <w:t xml:space="preserve">Delivered 149 face-to-face training sessions and webinars on the </w:t>
      </w:r>
      <w:r w:rsidR="00FC6699" w:rsidRPr="00FC6699">
        <w:rPr>
          <w:i/>
        </w:rPr>
        <w:t>Human Rights Act 2019</w:t>
      </w:r>
      <w:r w:rsidR="005B752F">
        <w:t>; and</w:t>
      </w:r>
    </w:p>
    <w:p w14:paraId="505DD488" w14:textId="77777777" w:rsidR="005B752F" w:rsidRDefault="005B752F" w:rsidP="007A5833">
      <w:pPr>
        <w:pStyle w:val="ListParagraph"/>
        <w:ind w:left="851" w:hanging="284"/>
        <w:rPr>
          <w:szCs w:val="22"/>
        </w:rPr>
      </w:pPr>
      <w:r>
        <w:t>Developed a pilot process for review of a public entity’s polices, programs, procedures and practices in relation to their compatibility with human rights in collaboration with Bric Housing, a social housing company. We ran a series of workshops reviewing the tenant experience from application to the end of the tenancy, with a view to undertaking policy and service improvements to be implemented in the next financial year.</w:t>
      </w:r>
    </w:p>
    <w:p w14:paraId="77441053" w14:textId="463C4427" w:rsidR="006E724E" w:rsidRPr="00A21D7D" w:rsidRDefault="006E724E" w:rsidP="006E724E">
      <w:pPr>
        <w:rPr>
          <w:rFonts w:cs="Arial"/>
          <w:iCs/>
          <w:szCs w:val="22"/>
        </w:rPr>
      </w:pPr>
      <w:r w:rsidRPr="00A21D7D">
        <w:rPr>
          <w:rFonts w:cs="Arial"/>
          <w:iCs/>
          <w:szCs w:val="22"/>
        </w:rPr>
        <w:t xml:space="preserve">During the COVID-19 pandemic, </w:t>
      </w:r>
      <w:r w:rsidR="006E73F9">
        <w:rPr>
          <w:rFonts w:cs="Arial"/>
          <w:iCs/>
          <w:szCs w:val="22"/>
        </w:rPr>
        <w:t>we</w:t>
      </w:r>
      <w:r w:rsidRPr="00A21D7D">
        <w:rPr>
          <w:rFonts w:cs="Arial"/>
          <w:iCs/>
          <w:szCs w:val="22"/>
        </w:rPr>
        <w:t xml:space="preserve"> continued to provide </w:t>
      </w:r>
      <w:r w:rsidR="006E73F9">
        <w:rPr>
          <w:rFonts w:cs="Arial"/>
          <w:iCs/>
          <w:szCs w:val="22"/>
        </w:rPr>
        <w:t xml:space="preserve">our </w:t>
      </w:r>
      <w:r w:rsidRPr="00A21D7D">
        <w:rPr>
          <w:rFonts w:cs="Arial"/>
          <w:iCs/>
          <w:szCs w:val="22"/>
        </w:rPr>
        <w:t xml:space="preserve">information, complaint management and training services for Queenslanders consistent with the human rights of Queenslanders, including to have access on general terms of equality to the public service. </w:t>
      </w:r>
    </w:p>
    <w:p w14:paraId="161EC99D" w14:textId="77777777" w:rsidR="005F06D9" w:rsidRDefault="005F06D9">
      <w:pPr>
        <w:ind w:right="0"/>
        <w:rPr>
          <w:rFonts w:cs="Arial"/>
          <w:color w:val="000000"/>
        </w:rPr>
      </w:pPr>
      <w:r>
        <w:rPr>
          <w:rFonts w:cs="Arial"/>
          <w:color w:val="000000"/>
        </w:rPr>
        <w:br w:type="page"/>
      </w:r>
    </w:p>
    <w:p w14:paraId="5ACB76E7" w14:textId="296B5814" w:rsidR="00524B7E" w:rsidRPr="00A21D7D" w:rsidRDefault="00524B7E" w:rsidP="00524B7E">
      <w:pPr>
        <w:autoSpaceDE w:val="0"/>
        <w:autoSpaceDN w:val="0"/>
        <w:adjustRightInd w:val="0"/>
        <w:spacing w:after="30" w:line="240" w:lineRule="auto"/>
        <w:rPr>
          <w:rFonts w:cs="Arial"/>
          <w:color w:val="000000"/>
        </w:rPr>
      </w:pPr>
      <w:r w:rsidRPr="00A21D7D">
        <w:rPr>
          <w:rFonts w:cs="Arial"/>
          <w:color w:val="000000"/>
        </w:rPr>
        <w:lastRenderedPageBreak/>
        <w:t xml:space="preserve">Between January and June 2020, four client complaints </w:t>
      </w:r>
      <w:r w:rsidR="006E73F9">
        <w:rPr>
          <w:rFonts w:cs="Arial"/>
          <w:color w:val="000000"/>
        </w:rPr>
        <w:t xml:space="preserve">regarding our service delivery </w:t>
      </w:r>
      <w:r w:rsidRPr="00A21D7D">
        <w:rPr>
          <w:rFonts w:cs="Arial"/>
          <w:color w:val="000000"/>
        </w:rPr>
        <w:t xml:space="preserve">were received by </w:t>
      </w:r>
      <w:r w:rsidR="006E73F9">
        <w:rPr>
          <w:rFonts w:cs="Arial"/>
          <w:color w:val="000000"/>
        </w:rPr>
        <w:t>the Commission</w:t>
      </w:r>
      <w:r w:rsidRPr="00A21D7D">
        <w:rPr>
          <w:rFonts w:cs="Arial"/>
          <w:color w:val="000000"/>
        </w:rPr>
        <w:t xml:space="preserve"> which were assessed as being human rights complaints. None of the complainants identified human rights in their complaints. During the process of assessing and investigating the complaints </w:t>
      </w:r>
      <w:r w:rsidR="006E73F9">
        <w:rPr>
          <w:rFonts w:cs="Arial"/>
          <w:color w:val="000000"/>
        </w:rPr>
        <w:t>our</w:t>
      </w:r>
      <w:r w:rsidRPr="00A21D7D">
        <w:rPr>
          <w:rFonts w:cs="Arial"/>
          <w:color w:val="000000"/>
        </w:rPr>
        <w:t xml:space="preserve"> staff identified human rights that were engaged by the actions and decisions of the Commission which formed the basis of the complaints about service delivery.</w:t>
      </w:r>
      <w:r w:rsidR="00B10E8B">
        <w:rPr>
          <w:rFonts w:cs="Arial"/>
          <w:color w:val="000000"/>
        </w:rPr>
        <w:t xml:space="preserve"> </w:t>
      </w:r>
      <w:r w:rsidRPr="00A21D7D">
        <w:rPr>
          <w:rFonts w:cs="Arial"/>
          <w:color w:val="000000"/>
        </w:rPr>
        <w:t xml:space="preserve">In all instances it was determined through investigation that human rights were not unjustifiably limited. All complaints were resolved through an explanation of legislative requirements and procedures relating to the conciliation process. </w:t>
      </w:r>
    </w:p>
    <w:p w14:paraId="4A9D6CE9" w14:textId="77777777" w:rsidR="00524B7E" w:rsidRPr="00A21D7D" w:rsidRDefault="00524B7E" w:rsidP="00524B7E">
      <w:pPr>
        <w:autoSpaceDE w:val="0"/>
        <w:autoSpaceDN w:val="0"/>
        <w:adjustRightInd w:val="0"/>
        <w:spacing w:after="30" w:line="240" w:lineRule="auto"/>
        <w:rPr>
          <w:rFonts w:cs="Arial"/>
          <w:color w:val="000000"/>
        </w:rPr>
      </w:pPr>
    </w:p>
    <w:p w14:paraId="1467FD31" w14:textId="77777777" w:rsidR="00524B7E" w:rsidRPr="00A21D7D" w:rsidRDefault="00524B7E" w:rsidP="00524B7E">
      <w:pPr>
        <w:autoSpaceDE w:val="0"/>
        <w:autoSpaceDN w:val="0"/>
        <w:adjustRightInd w:val="0"/>
        <w:spacing w:after="30" w:line="240" w:lineRule="auto"/>
        <w:rPr>
          <w:rFonts w:cs="Arial"/>
          <w:color w:val="000000"/>
        </w:rPr>
      </w:pPr>
      <w:r w:rsidRPr="00A21D7D">
        <w:rPr>
          <w:rFonts w:cs="Arial"/>
          <w:color w:val="000000"/>
        </w:rPr>
        <w:t xml:space="preserve">Human rights identified in client complaints included: </w:t>
      </w:r>
    </w:p>
    <w:p w14:paraId="7468EC68" w14:textId="38BD1264" w:rsidR="00524B7E" w:rsidRPr="00A21D7D" w:rsidRDefault="00524B7E" w:rsidP="00227095">
      <w:pPr>
        <w:pStyle w:val="ListParagraph"/>
        <w:numPr>
          <w:ilvl w:val="0"/>
          <w:numId w:val="24"/>
        </w:numPr>
        <w:autoSpaceDE w:val="0"/>
        <w:autoSpaceDN w:val="0"/>
        <w:adjustRightInd w:val="0"/>
        <w:spacing w:after="30" w:line="240" w:lineRule="auto"/>
        <w:rPr>
          <w:rFonts w:cs="Arial"/>
          <w:color w:val="000000"/>
        </w:rPr>
      </w:pPr>
      <w:r w:rsidRPr="00A21D7D">
        <w:rPr>
          <w:rFonts w:cs="Arial"/>
          <w:color w:val="000000"/>
        </w:rPr>
        <w:t>Right to recognition and equality before the law</w:t>
      </w:r>
      <w:r w:rsidR="005B752F">
        <w:rPr>
          <w:rFonts w:cs="Arial"/>
          <w:color w:val="000000"/>
        </w:rPr>
        <w:t>;</w:t>
      </w:r>
    </w:p>
    <w:p w14:paraId="7842470A" w14:textId="7FD9EE0F" w:rsidR="00524B7E" w:rsidRPr="00A21D7D" w:rsidRDefault="00524B7E" w:rsidP="00227095">
      <w:pPr>
        <w:pStyle w:val="ListParagraph"/>
        <w:numPr>
          <w:ilvl w:val="0"/>
          <w:numId w:val="24"/>
        </w:numPr>
        <w:autoSpaceDE w:val="0"/>
        <w:autoSpaceDN w:val="0"/>
        <w:adjustRightInd w:val="0"/>
        <w:spacing w:after="30" w:line="240" w:lineRule="auto"/>
        <w:rPr>
          <w:rFonts w:cs="Arial"/>
          <w:color w:val="000000"/>
        </w:rPr>
      </w:pPr>
      <w:r w:rsidRPr="00A21D7D">
        <w:rPr>
          <w:rFonts w:cs="Arial"/>
          <w:color w:val="000000"/>
        </w:rPr>
        <w:t>Right to privacy and reputation</w:t>
      </w:r>
      <w:r w:rsidR="005B752F">
        <w:rPr>
          <w:rFonts w:cs="Arial"/>
          <w:color w:val="000000"/>
        </w:rPr>
        <w:t>; and</w:t>
      </w:r>
    </w:p>
    <w:p w14:paraId="21AC552D" w14:textId="238685FA" w:rsidR="00524B7E" w:rsidRPr="00A21D7D" w:rsidRDefault="00524B7E" w:rsidP="00227095">
      <w:pPr>
        <w:pStyle w:val="ListParagraph"/>
        <w:numPr>
          <w:ilvl w:val="0"/>
          <w:numId w:val="24"/>
        </w:numPr>
        <w:autoSpaceDE w:val="0"/>
        <w:autoSpaceDN w:val="0"/>
        <w:adjustRightInd w:val="0"/>
        <w:spacing w:after="30" w:line="240" w:lineRule="auto"/>
        <w:rPr>
          <w:rFonts w:cs="Arial"/>
          <w:color w:val="000000"/>
        </w:rPr>
      </w:pPr>
      <w:r w:rsidRPr="00A21D7D">
        <w:rPr>
          <w:rFonts w:cs="Arial"/>
          <w:color w:val="000000"/>
        </w:rPr>
        <w:t>Right to a fair hearing</w:t>
      </w:r>
      <w:r w:rsidR="005B752F">
        <w:rPr>
          <w:rFonts w:cs="Arial"/>
          <w:color w:val="000000"/>
        </w:rPr>
        <w:t>.</w:t>
      </w:r>
    </w:p>
    <w:p w14:paraId="3F13746C" w14:textId="77777777" w:rsidR="006E724E" w:rsidRPr="00A21D7D" w:rsidRDefault="006E724E" w:rsidP="00500E63">
      <w:pPr>
        <w:autoSpaceDE w:val="0"/>
        <w:autoSpaceDN w:val="0"/>
        <w:adjustRightInd w:val="0"/>
        <w:spacing w:after="0" w:line="240" w:lineRule="auto"/>
        <w:rPr>
          <w:rFonts w:cs="Arial"/>
          <w:color w:val="000000"/>
          <w:szCs w:val="22"/>
          <w:highlight w:val="yellow"/>
        </w:rPr>
      </w:pPr>
    </w:p>
    <w:p w14:paraId="003EEAC7" w14:textId="771D77CD" w:rsidR="00D346B2" w:rsidRPr="00A21D7D" w:rsidRDefault="006F421F" w:rsidP="00C71D43">
      <w:pPr>
        <w:pStyle w:val="Heading3"/>
      </w:pPr>
      <w:bookmarkStart w:id="94" w:name="_Toc49508931"/>
      <w:r w:rsidRPr="00A21D7D">
        <w:t>Client complaints</w:t>
      </w:r>
      <w:bookmarkEnd w:id="94"/>
    </w:p>
    <w:p w14:paraId="2AB8B6F6" w14:textId="4679D2BC" w:rsidR="00524B7E" w:rsidRPr="00A21D7D" w:rsidRDefault="00524B7E" w:rsidP="00524B7E">
      <w:pPr>
        <w:rPr>
          <w:rFonts w:cs="Arial"/>
          <w:i/>
        </w:rPr>
      </w:pPr>
      <w:r w:rsidRPr="00A21D7D">
        <w:rPr>
          <w:rFonts w:cs="Arial"/>
        </w:rPr>
        <w:t xml:space="preserve">Six complaints about </w:t>
      </w:r>
      <w:r w:rsidR="006E73F9">
        <w:rPr>
          <w:rFonts w:cs="Arial"/>
        </w:rPr>
        <w:t>our</w:t>
      </w:r>
      <w:r w:rsidRPr="00A21D7D">
        <w:rPr>
          <w:rFonts w:cs="Arial"/>
        </w:rPr>
        <w:t xml:space="preserve"> service delivery were received during 2019-20</w:t>
      </w:r>
      <w:r w:rsidR="006E73F9">
        <w:rPr>
          <w:rFonts w:cs="Arial"/>
        </w:rPr>
        <w:t>,</w:t>
      </w:r>
      <w:r w:rsidRPr="00A21D7D">
        <w:rPr>
          <w:rFonts w:cs="Arial"/>
        </w:rPr>
        <w:t xml:space="preserve"> compared to seven in 2018-19. All complaints were resolved with an explanation being provided to the complainants. All complaints were investigated and managed in accordance with </w:t>
      </w:r>
      <w:r w:rsidR="00692BFF">
        <w:rPr>
          <w:rFonts w:cs="Arial"/>
        </w:rPr>
        <w:t>our</w:t>
      </w:r>
      <w:r w:rsidRPr="00A21D7D">
        <w:rPr>
          <w:rFonts w:cs="Arial"/>
        </w:rPr>
        <w:t xml:space="preserve"> client complaint management policy. As a result of one complaint, a review of </w:t>
      </w:r>
      <w:r w:rsidR="00692BFF">
        <w:rPr>
          <w:rFonts w:cs="Arial"/>
        </w:rPr>
        <w:t>our</w:t>
      </w:r>
      <w:r w:rsidRPr="00A21D7D">
        <w:rPr>
          <w:rFonts w:cs="Arial"/>
        </w:rPr>
        <w:t xml:space="preserve"> arrangements for interpreters </w:t>
      </w:r>
      <w:r w:rsidR="001431BB">
        <w:rPr>
          <w:rFonts w:cs="Arial"/>
        </w:rPr>
        <w:t>was</w:t>
      </w:r>
      <w:r w:rsidRPr="00A21D7D">
        <w:rPr>
          <w:rFonts w:cs="Arial"/>
        </w:rPr>
        <w:t xml:space="preserve"> undertaken with a view to improving the availability of interpreters and technology used. Beyond this, no client complaint investigations indicated the existence of any systemic problems.</w:t>
      </w:r>
    </w:p>
    <w:p w14:paraId="657137A4" w14:textId="77777777" w:rsidR="00154957" w:rsidRPr="00A21D7D" w:rsidRDefault="000728D4" w:rsidP="00C71D43">
      <w:pPr>
        <w:pStyle w:val="Heading3"/>
      </w:pPr>
      <w:bookmarkStart w:id="95" w:name="_Toc49508932"/>
      <w:r w:rsidRPr="00A21D7D">
        <w:t>Information systems and recordkeeping</w:t>
      </w:r>
      <w:bookmarkEnd w:id="95"/>
    </w:p>
    <w:p w14:paraId="47EFCA45" w14:textId="58264E11" w:rsidR="00154957" w:rsidRPr="00A21D7D" w:rsidRDefault="00154957" w:rsidP="00154957">
      <w:pPr>
        <w:rPr>
          <w:rFonts w:cs="Arial"/>
        </w:rPr>
      </w:pPr>
      <w:r w:rsidRPr="00A21D7D">
        <w:rPr>
          <w:rFonts w:cs="Arial"/>
        </w:rPr>
        <w:t xml:space="preserve">The Commission recognises the significant value of </w:t>
      </w:r>
      <w:r w:rsidR="00692BFF">
        <w:rPr>
          <w:rFonts w:cs="Arial"/>
        </w:rPr>
        <w:t>our</w:t>
      </w:r>
      <w:r w:rsidRPr="00A21D7D">
        <w:rPr>
          <w:rFonts w:cs="Arial"/>
        </w:rPr>
        <w:t xml:space="preserve"> information resources and as such records management is a priority. Upon commencement at </w:t>
      </w:r>
      <w:r w:rsidR="00692BFF">
        <w:rPr>
          <w:rFonts w:cs="Arial"/>
        </w:rPr>
        <w:t>the Commission</w:t>
      </w:r>
      <w:r w:rsidRPr="00A21D7D">
        <w:rPr>
          <w:rFonts w:cs="Arial"/>
        </w:rPr>
        <w:t xml:space="preserve">, all staff undertake an online records management tutorial provided by Queensland State Archives in addition to an induction conducted by our records management officer. </w:t>
      </w:r>
    </w:p>
    <w:p w14:paraId="30E6AFCB" w14:textId="304C4C91" w:rsidR="000728D4" w:rsidRPr="00A21D7D" w:rsidRDefault="00154957" w:rsidP="00154957">
      <w:pPr>
        <w:rPr>
          <w:rFonts w:cs="Arial"/>
        </w:rPr>
      </w:pPr>
      <w:r w:rsidRPr="00A21D7D">
        <w:rPr>
          <w:rFonts w:cs="Arial"/>
        </w:rPr>
        <w:t>The records management officer provides regular updates to the Executive Leadership Team about records management practices and ensures policies and procedures manuals are reviewed and updated accordingly.</w:t>
      </w:r>
      <w:r w:rsidR="00B10E8B">
        <w:rPr>
          <w:rFonts w:cs="Arial"/>
        </w:rPr>
        <w:t xml:space="preserve"> </w:t>
      </w:r>
    </w:p>
    <w:p w14:paraId="0A03D7DB" w14:textId="6CFD3BB4" w:rsidR="00154957" w:rsidRPr="00A21D7D" w:rsidRDefault="00692BFF" w:rsidP="00154957">
      <w:pPr>
        <w:rPr>
          <w:rFonts w:cs="Arial"/>
        </w:rPr>
      </w:pPr>
      <w:r>
        <w:rPr>
          <w:rFonts w:cs="Arial"/>
        </w:rPr>
        <w:t>The Commission</w:t>
      </w:r>
      <w:r w:rsidR="00154957" w:rsidRPr="00A21D7D">
        <w:rPr>
          <w:rFonts w:cs="Arial"/>
        </w:rPr>
        <w:t xml:space="preserve"> uses RecFind as its electronic documents and records management system (EDRMS). We have been transitioning to digital records since 2014</w:t>
      </w:r>
      <w:r w:rsidR="00FB0F1D" w:rsidRPr="00A21D7D">
        <w:rPr>
          <w:rFonts w:cs="Arial"/>
        </w:rPr>
        <w:t xml:space="preserve"> but continue to use some paper files depending on the source of the documents. A General Records Authority is currently under development to enable the destruction of physical source records in compliance with the General Records and Disposal Schedule (GRDS) reference 2074.</w:t>
      </w:r>
      <w:r w:rsidR="008F7113" w:rsidRPr="00A21D7D">
        <w:rPr>
          <w:rFonts w:cs="Arial"/>
        </w:rPr>
        <w:t xml:space="preserve"> </w:t>
      </w:r>
      <w:r>
        <w:rPr>
          <w:rFonts w:cs="Arial"/>
        </w:rPr>
        <w:t>Our</w:t>
      </w:r>
      <w:r w:rsidR="008F7113" w:rsidRPr="00A21D7D">
        <w:rPr>
          <w:rFonts w:cs="Arial"/>
        </w:rPr>
        <w:t xml:space="preserve"> core Retention and Disposal Schedule is QDAN568 v2; last reviewed 14 January 2015.</w:t>
      </w:r>
    </w:p>
    <w:p w14:paraId="7B02EA26" w14:textId="77777777" w:rsidR="005F06D9" w:rsidRDefault="005F06D9">
      <w:pPr>
        <w:ind w:right="0"/>
      </w:pPr>
      <w:r>
        <w:br w:type="page"/>
      </w:r>
    </w:p>
    <w:p w14:paraId="1E1468BF" w14:textId="5A6BF781" w:rsidR="008F7113" w:rsidRPr="00A21D7D" w:rsidRDefault="00FB0F1D" w:rsidP="007A5833">
      <w:r w:rsidRPr="00A21D7D">
        <w:lastRenderedPageBreak/>
        <w:t xml:space="preserve">Until the disposal freeze for children’s files in 2018, all </w:t>
      </w:r>
      <w:r w:rsidR="00692BFF">
        <w:t>Commission</w:t>
      </w:r>
      <w:r w:rsidRPr="00A21D7D">
        <w:t xml:space="preserve"> destructions were up to date in accordance with general and core retention and disposal schedules and relevant legislation.</w:t>
      </w:r>
      <w:r w:rsidR="008F7113" w:rsidRPr="00A21D7D">
        <w:t xml:space="preserve"> Destructions have not resumed since the lifting of the disposal freeze earlier this year but will resume post COVID-19 when staff return to working from the office. </w:t>
      </w:r>
    </w:p>
    <w:p w14:paraId="2F127001" w14:textId="7EF1EAE8" w:rsidR="006F421F" w:rsidRPr="00A21D7D" w:rsidRDefault="006F421F" w:rsidP="007A5833">
      <w:r w:rsidRPr="00A21D7D">
        <w:t>As a result of the updated general retention and disposal schedule that now includes sentencing of complaints involving vulnerable people</w:t>
      </w:r>
      <w:r w:rsidR="00692BFF">
        <w:t>,</w:t>
      </w:r>
      <w:r w:rsidRPr="00A21D7D">
        <w:t xml:space="preserve"> the Commission has made the decision to retain all complaint files for 100 years</w:t>
      </w:r>
      <w:r w:rsidR="008F7113" w:rsidRPr="00A21D7D">
        <w:t>.</w:t>
      </w:r>
      <w:r w:rsidR="00B10E8B">
        <w:t xml:space="preserve"> </w:t>
      </w:r>
    </w:p>
    <w:p w14:paraId="0DBC84D6" w14:textId="1650387B" w:rsidR="006F421F" w:rsidRPr="00A21D7D" w:rsidRDefault="00692BFF" w:rsidP="007A5833">
      <w:r>
        <w:t>We have</w:t>
      </w:r>
      <w:r w:rsidR="006F421F" w:rsidRPr="00A21D7D">
        <w:t xml:space="preserve"> not transferred any records to Queensland State Archives</w:t>
      </w:r>
      <w:r w:rsidR="008F7113" w:rsidRPr="00A21D7D">
        <w:t xml:space="preserve">. As a result of the establishment of Queensland Civil and Administrative Tribunal (QCAT) in 2009, signed conciliation agreements are transferred to QCAT. </w:t>
      </w:r>
    </w:p>
    <w:p w14:paraId="13D1B6B7" w14:textId="49F5D7B1" w:rsidR="006F421F" w:rsidRPr="00A21D7D" w:rsidRDefault="008F7113" w:rsidP="007A5833">
      <w:r w:rsidRPr="00A21D7D">
        <w:t xml:space="preserve">There have not been any known </w:t>
      </w:r>
      <w:r w:rsidR="0000605D" w:rsidRPr="00A21D7D">
        <w:t>information security breaches or loss</w:t>
      </w:r>
      <w:r w:rsidRPr="00A21D7D">
        <w:t xml:space="preserve"> of </w:t>
      </w:r>
      <w:r w:rsidR="00692BFF">
        <w:t xml:space="preserve">Commission </w:t>
      </w:r>
      <w:r w:rsidRPr="00A21D7D">
        <w:t>records d</w:t>
      </w:r>
      <w:r w:rsidR="0000605D" w:rsidRPr="00A21D7D">
        <w:t>ue to disaster or other reasons this reporting period.</w:t>
      </w:r>
      <w:r w:rsidR="00B10E8B">
        <w:t xml:space="preserve"> </w:t>
      </w:r>
    </w:p>
    <w:p w14:paraId="2957FC17" w14:textId="77777777" w:rsidR="000728D4" w:rsidRPr="00A21D7D" w:rsidRDefault="006206B9" w:rsidP="00C71D43">
      <w:pPr>
        <w:pStyle w:val="Heading3"/>
      </w:pPr>
      <w:bookmarkStart w:id="96" w:name="_Toc49508933"/>
      <w:r w:rsidRPr="00A21D7D">
        <w:t>Internal and external audit</w:t>
      </w:r>
      <w:bookmarkEnd w:id="96"/>
      <w:r w:rsidRPr="00A21D7D">
        <w:t xml:space="preserve"> </w:t>
      </w:r>
    </w:p>
    <w:p w14:paraId="2F6ED2E0" w14:textId="68A6405D" w:rsidR="006206B9" w:rsidRPr="00A21D7D" w:rsidRDefault="003233C4" w:rsidP="006206B9">
      <w:pPr>
        <w:rPr>
          <w:rFonts w:cs="Arial"/>
          <w:color w:val="FF0000"/>
        </w:rPr>
      </w:pPr>
      <w:r w:rsidRPr="00A21D7D">
        <w:rPr>
          <w:rFonts w:cs="Arial"/>
        </w:rPr>
        <w:t xml:space="preserve">Internal audit services are provided on an “as needed” basis to the </w:t>
      </w:r>
      <w:r w:rsidR="00692BFF">
        <w:rPr>
          <w:rFonts w:cs="Arial"/>
        </w:rPr>
        <w:t>Commission</w:t>
      </w:r>
      <w:r w:rsidRPr="00A21D7D">
        <w:rPr>
          <w:rFonts w:cs="Arial"/>
        </w:rPr>
        <w:t xml:space="preserve"> under a service level agreement with the Department of Justice and Attorney-General. The size of the </w:t>
      </w:r>
      <w:r w:rsidR="00692BFF">
        <w:rPr>
          <w:rFonts w:cs="Arial"/>
        </w:rPr>
        <w:t>Commission</w:t>
      </w:r>
      <w:r w:rsidRPr="00A21D7D">
        <w:rPr>
          <w:rFonts w:cs="Arial"/>
        </w:rPr>
        <w:t xml:space="preserve"> is such that a formal Audit Committee is not required. The responsibilities associated with internal audit and the maintenance of an appropriate internal control framework are discharged by the Executive Leadership Team. A copy of the external audit report and certificate of our financial statements are supplied with this report. </w:t>
      </w:r>
    </w:p>
    <w:p w14:paraId="499CB105" w14:textId="77777777" w:rsidR="006206B9" w:rsidRPr="00A21D7D" w:rsidRDefault="006206B9" w:rsidP="00C71D43">
      <w:pPr>
        <w:pStyle w:val="Heading3"/>
      </w:pPr>
      <w:bookmarkStart w:id="97" w:name="_Toc49508934"/>
      <w:r w:rsidRPr="00A21D7D">
        <w:t>Risk management</w:t>
      </w:r>
      <w:bookmarkEnd w:id="97"/>
      <w:r w:rsidRPr="00A21D7D">
        <w:t xml:space="preserve"> </w:t>
      </w:r>
    </w:p>
    <w:p w14:paraId="6B733251" w14:textId="75E93A7B" w:rsidR="006206B9" w:rsidRPr="00A21D7D" w:rsidRDefault="00960835" w:rsidP="00816262">
      <w:pPr>
        <w:rPr>
          <w:rFonts w:cs="Arial"/>
        </w:rPr>
      </w:pPr>
      <w:r w:rsidRPr="00A21D7D">
        <w:rPr>
          <w:rFonts w:cs="Arial"/>
        </w:rPr>
        <w:t>Our governance and assurance strategies for risk management reflect the functions and size of our</w:t>
      </w:r>
      <w:r w:rsidR="003E3A7C" w:rsidRPr="00A21D7D">
        <w:rPr>
          <w:rFonts w:cs="Arial"/>
        </w:rPr>
        <w:t xml:space="preserve"> agency. The Executive Leadership Team </w:t>
      </w:r>
      <w:r w:rsidRPr="00A21D7D">
        <w:rPr>
          <w:rFonts w:cs="Arial"/>
        </w:rPr>
        <w:t>provides oversight of our risk management framework and operational management of risks.</w:t>
      </w:r>
      <w:r w:rsidR="003E3A7C" w:rsidRPr="00A21D7D">
        <w:rPr>
          <w:rFonts w:cs="Arial"/>
        </w:rPr>
        <w:t xml:space="preserve"> In response to Queensland Audit Office feedback, the Commission’s risk register was reviewed and updated this period to increase recognition and mitigation of financial risks. </w:t>
      </w:r>
    </w:p>
    <w:p w14:paraId="3D5E44F0" w14:textId="77777777" w:rsidR="006206B9" w:rsidRPr="00A21D7D" w:rsidRDefault="006206B9" w:rsidP="00C71D43">
      <w:pPr>
        <w:pStyle w:val="Heading3"/>
      </w:pPr>
      <w:bookmarkStart w:id="98" w:name="_Toc49508935"/>
      <w:r w:rsidRPr="00A21D7D">
        <w:t>Early retirement, redundancy and retrenchment</w:t>
      </w:r>
      <w:bookmarkEnd w:id="98"/>
      <w:r w:rsidRPr="00A21D7D">
        <w:t xml:space="preserve"> </w:t>
      </w:r>
    </w:p>
    <w:p w14:paraId="7142525B" w14:textId="4D3B5BE6" w:rsidR="00816262" w:rsidRPr="00A21D7D" w:rsidRDefault="00816262" w:rsidP="00816262">
      <w:pPr>
        <w:autoSpaceDE w:val="0"/>
        <w:autoSpaceDN w:val="0"/>
        <w:adjustRightInd w:val="0"/>
        <w:spacing w:after="0" w:line="240" w:lineRule="auto"/>
        <w:rPr>
          <w:rFonts w:cs="Arial"/>
          <w:iCs/>
          <w:color w:val="000000"/>
          <w:szCs w:val="18"/>
        </w:rPr>
      </w:pPr>
      <w:r w:rsidRPr="00A21D7D">
        <w:rPr>
          <w:rFonts w:cs="Arial"/>
          <w:iCs/>
          <w:color w:val="000000"/>
          <w:szCs w:val="18"/>
        </w:rPr>
        <w:t xml:space="preserve">During the period, one employee received a redundancy package at a cost of $81,641 plus $44,331.92 in leave entitlements. </w:t>
      </w:r>
    </w:p>
    <w:p w14:paraId="70DB5ADA" w14:textId="2C8FA35E" w:rsidR="00816262" w:rsidRPr="00A21D7D" w:rsidRDefault="00816262" w:rsidP="00C71D43">
      <w:pPr>
        <w:pStyle w:val="Heading3"/>
      </w:pPr>
      <w:bookmarkStart w:id="99" w:name="_Toc49508936"/>
      <w:r w:rsidRPr="00A21D7D">
        <w:t>Open data</w:t>
      </w:r>
      <w:bookmarkEnd w:id="99"/>
    </w:p>
    <w:p w14:paraId="1D7B086B" w14:textId="2C86FE36" w:rsidR="00816262" w:rsidRPr="00A21D7D" w:rsidRDefault="003E3A7C" w:rsidP="00816262">
      <w:pPr>
        <w:rPr>
          <w:rFonts w:cs="Arial"/>
        </w:rPr>
      </w:pPr>
      <w:r w:rsidRPr="00A21D7D">
        <w:rPr>
          <w:rFonts w:cs="Arial"/>
        </w:rPr>
        <w:t xml:space="preserve">The Commission publishes annual data on consultancies, overseas travel and language services </w:t>
      </w:r>
      <w:r w:rsidR="003B0131" w:rsidRPr="00A21D7D">
        <w:rPr>
          <w:rFonts w:cs="Arial"/>
        </w:rPr>
        <w:t xml:space="preserve">at </w:t>
      </w:r>
      <w:hyperlink r:id="rId25" w:history="1">
        <w:r w:rsidR="003B0131" w:rsidRPr="00A21D7D">
          <w:rPr>
            <w:rStyle w:val="Hyperlink"/>
            <w:rFonts w:cs="Arial"/>
          </w:rPr>
          <w:t>https://data.qld.gov.au</w:t>
        </w:r>
      </w:hyperlink>
      <w:r w:rsidR="003B0131" w:rsidRPr="00A21D7D">
        <w:rPr>
          <w:rFonts w:cs="Arial"/>
        </w:rPr>
        <w:t>.</w:t>
      </w:r>
      <w:r w:rsidR="00B10E8B">
        <w:rPr>
          <w:rFonts w:cs="Arial"/>
        </w:rPr>
        <w:t xml:space="preserve"> </w:t>
      </w:r>
    </w:p>
    <w:p w14:paraId="7A29806F" w14:textId="77777777" w:rsidR="007A5833" w:rsidRDefault="007A5833">
      <w:pPr>
        <w:ind w:right="0"/>
        <w:rPr>
          <w:rFonts w:eastAsia="Times New Roman" w:cs="Arial"/>
          <w:bCs/>
          <w:color w:val="000000" w:themeColor="text1"/>
          <w:kern w:val="36"/>
          <w:sz w:val="48"/>
          <w:szCs w:val="48"/>
          <w:lang w:eastAsia="en-AU"/>
        </w:rPr>
      </w:pPr>
      <w:r>
        <w:rPr>
          <w:rFonts w:cs="Arial"/>
        </w:rPr>
        <w:br w:type="page"/>
      </w:r>
    </w:p>
    <w:p w14:paraId="3C6941D7" w14:textId="048EED12" w:rsidR="006206B9" w:rsidRPr="00A21D7D" w:rsidRDefault="006206B9" w:rsidP="00470437">
      <w:pPr>
        <w:pStyle w:val="Heading1"/>
        <w:rPr>
          <w:rFonts w:cs="Arial"/>
        </w:rPr>
      </w:pPr>
      <w:bookmarkStart w:id="100" w:name="_Toc49508937"/>
      <w:r w:rsidRPr="00A21D7D">
        <w:rPr>
          <w:rFonts w:cs="Arial"/>
        </w:rPr>
        <w:lastRenderedPageBreak/>
        <w:t xml:space="preserve">Summary of financial </w:t>
      </w:r>
      <w:r w:rsidR="009A0CC5" w:rsidRPr="00A21D7D">
        <w:rPr>
          <w:rFonts w:cs="Arial"/>
        </w:rPr>
        <w:t>performance</w:t>
      </w:r>
      <w:bookmarkEnd w:id="100"/>
      <w:r w:rsidRPr="00A21D7D">
        <w:rPr>
          <w:rFonts w:cs="Arial"/>
        </w:rPr>
        <w:t xml:space="preserve"> </w:t>
      </w:r>
    </w:p>
    <w:p w14:paraId="52EC17F9" w14:textId="03CCDDEB" w:rsidR="00FF3147" w:rsidRPr="00A21D7D" w:rsidRDefault="00C71D43" w:rsidP="00C71D43">
      <w:pPr>
        <w:pStyle w:val="Heading2"/>
      </w:pPr>
      <w:bookmarkStart w:id="101" w:name="_Toc49508938"/>
      <w:r>
        <w:t>Financial g</w:t>
      </w:r>
      <w:r w:rsidR="00FF3147" w:rsidRPr="00A21D7D">
        <w:t>overnance</w:t>
      </w:r>
      <w:bookmarkEnd w:id="101"/>
    </w:p>
    <w:p w14:paraId="466084FF" w14:textId="46798C3A" w:rsidR="00FF3147" w:rsidRPr="009C6263" w:rsidRDefault="00FF3147" w:rsidP="00FF3147">
      <w:pPr>
        <w:rPr>
          <w:rFonts w:cs="Arial"/>
        </w:rPr>
      </w:pPr>
      <w:r w:rsidRPr="00A21D7D">
        <w:rPr>
          <w:rFonts w:cs="Arial"/>
        </w:rPr>
        <w:t xml:space="preserve">The Commission is managed in accordance with the requirements of the </w:t>
      </w:r>
      <w:r w:rsidRPr="00A21D7D">
        <w:rPr>
          <w:rFonts w:cs="Arial"/>
          <w:i/>
        </w:rPr>
        <w:t>Financial Accountability Act 2009</w:t>
      </w:r>
      <w:r w:rsidRPr="00A21D7D">
        <w:rPr>
          <w:rFonts w:cs="Arial"/>
        </w:rPr>
        <w:t xml:space="preserve">, the </w:t>
      </w:r>
      <w:r w:rsidRPr="00A21D7D">
        <w:rPr>
          <w:rFonts w:cs="Arial"/>
          <w:i/>
        </w:rPr>
        <w:t>Financial and Performance Management Standard 2019</w:t>
      </w:r>
      <w:r w:rsidRPr="00A21D7D">
        <w:rPr>
          <w:rFonts w:cs="Arial"/>
        </w:rPr>
        <w:t xml:space="preserve">, the </w:t>
      </w:r>
      <w:r w:rsidRPr="00A21D7D">
        <w:rPr>
          <w:rFonts w:cs="Arial"/>
          <w:i/>
        </w:rPr>
        <w:t>Statutory Bodies Financial Arrangements Act 1982</w:t>
      </w:r>
      <w:r w:rsidRPr="00A21D7D">
        <w:rPr>
          <w:rFonts w:cs="Arial"/>
        </w:rPr>
        <w:t xml:space="preserve">, the </w:t>
      </w:r>
      <w:r w:rsidR="00FC6699" w:rsidRPr="00FC6699">
        <w:rPr>
          <w:rFonts w:cs="Arial"/>
          <w:i/>
        </w:rPr>
        <w:t>Anti-Discrimination Act 1991</w:t>
      </w:r>
      <w:r w:rsidRPr="00A21D7D">
        <w:rPr>
          <w:rFonts w:cs="Arial"/>
        </w:rPr>
        <w:t xml:space="preserve"> and the </w:t>
      </w:r>
      <w:r w:rsidR="00FC6699" w:rsidRPr="009C6263">
        <w:rPr>
          <w:rFonts w:cs="Arial"/>
          <w:i/>
        </w:rPr>
        <w:t>Human Rights Act 2019</w:t>
      </w:r>
      <w:r w:rsidRPr="009C6263">
        <w:rPr>
          <w:rFonts w:cs="Arial"/>
        </w:rPr>
        <w:t>.</w:t>
      </w:r>
    </w:p>
    <w:p w14:paraId="7961E7E1" w14:textId="77777777" w:rsidR="009A0CC5" w:rsidRPr="00A21D7D" w:rsidRDefault="009A0CC5" w:rsidP="00C71D43">
      <w:pPr>
        <w:pStyle w:val="Heading2"/>
      </w:pPr>
      <w:bookmarkStart w:id="102" w:name="_Toc49508939"/>
      <w:r w:rsidRPr="009C6263">
        <w:t>Financial summary 2019-20</w:t>
      </w:r>
      <w:bookmarkEnd w:id="102"/>
    </w:p>
    <w:p w14:paraId="3C09AA5C" w14:textId="30110A62" w:rsidR="009A0CC5" w:rsidRPr="00A21D7D" w:rsidRDefault="009A0CC5" w:rsidP="009A0CC5">
      <w:pPr>
        <w:rPr>
          <w:rFonts w:cs="Arial"/>
        </w:rPr>
      </w:pPr>
      <w:r w:rsidRPr="00A21D7D">
        <w:rPr>
          <w:rFonts w:cs="Arial"/>
        </w:rPr>
        <w:t xml:space="preserve">This summary provides an overview of </w:t>
      </w:r>
      <w:r w:rsidR="00692BFF">
        <w:rPr>
          <w:rFonts w:cs="Arial"/>
        </w:rPr>
        <w:t xml:space="preserve">our </w:t>
      </w:r>
      <w:r w:rsidRPr="00A21D7D">
        <w:rPr>
          <w:rFonts w:cs="Arial"/>
        </w:rPr>
        <w:t>financial performance for 2019-20 and a comparison with 2018-19.</w:t>
      </w:r>
      <w:r w:rsidR="00B10E8B">
        <w:rPr>
          <w:rFonts w:cs="Arial"/>
        </w:rPr>
        <w:t xml:space="preserve"> </w:t>
      </w:r>
      <w:r w:rsidRPr="00A21D7D">
        <w:rPr>
          <w:rFonts w:cs="Arial"/>
        </w:rPr>
        <w:t xml:space="preserve">A detailed view of the financial performance for 2019-20 is provided in the financial statements included in Appendix </w:t>
      </w:r>
      <w:r w:rsidR="00D06997" w:rsidRPr="00A21D7D">
        <w:rPr>
          <w:rFonts w:cs="Arial"/>
        </w:rPr>
        <w:t>D</w:t>
      </w:r>
      <w:r w:rsidRPr="00A21D7D">
        <w:rPr>
          <w:rFonts w:cs="Arial"/>
        </w:rPr>
        <w:t xml:space="preserve"> of this annual report and can be viewed at </w:t>
      </w:r>
      <w:hyperlink r:id="rId26" w:history="1">
        <w:r w:rsidRPr="00A21D7D">
          <w:rPr>
            <w:rStyle w:val="Hyperlink"/>
            <w:rFonts w:cs="Arial"/>
          </w:rPr>
          <w:t>www.qhrc.qld.gov.au</w:t>
        </w:r>
      </w:hyperlink>
      <w:r w:rsidRPr="00A21D7D">
        <w:rPr>
          <w:rFonts w:cs="Arial"/>
        </w:rPr>
        <w:t xml:space="preserve">. </w:t>
      </w:r>
    </w:p>
    <w:p w14:paraId="59D95C91" w14:textId="39454295" w:rsidR="009A0CC5" w:rsidRPr="00A21D7D" w:rsidRDefault="009A0CC5" w:rsidP="009A0CC5">
      <w:pPr>
        <w:rPr>
          <w:rFonts w:cs="Arial"/>
        </w:rPr>
      </w:pPr>
      <w:r w:rsidRPr="00A21D7D">
        <w:rPr>
          <w:rFonts w:cs="Arial"/>
        </w:rPr>
        <w:t>The operating result for the Commission for 2019-20 was a deficit of approximately $</w:t>
      </w:r>
      <w:r w:rsidR="00DB0D51">
        <w:rPr>
          <w:rFonts w:cs="Arial"/>
        </w:rPr>
        <w:t>61</w:t>
      </w:r>
      <w:r w:rsidRPr="00A21D7D">
        <w:rPr>
          <w:rFonts w:cs="Arial"/>
        </w:rPr>
        <w:t>,000.</w:t>
      </w:r>
      <w:r w:rsidR="00B10E8B">
        <w:rPr>
          <w:rFonts w:cs="Arial"/>
        </w:rPr>
        <w:t xml:space="preserve"> </w:t>
      </w:r>
    </w:p>
    <w:p w14:paraId="3EFCFECD" w14:textId="56BF896B" w:rsidR="004A7CE1" w:rsidRPr="00A21D7D" w:rsidRDefault="004A7CE1" w:rsidP="009A0CC5">
      <w:pPr>
        <w:rPr>
          <w:rFonts w:cs="Arial"/>
        </w:rPr>
      </w:pPr>
      <w:r w:rsidRPr="00A21D7D">
        <w:rPr>
          <w:rFonts w:cs="Arial"/>
        </w:rPr>
        <w:t xml:space="preserve">The deficit was primarily caused by funding two displaced staff members for part of the 2019-20 financial year following the 2018-19 organisational restructure. The displaced staff have since left the organisation. The deficit, while one-off in nature, will have a cash flow impact on the 2020-21 budget. </w:t>
      </w:r>
    </w:p>
    <w:p w14:paraId="0D07B5E0" w14:textId="03FBDE49" w:rsidR="004A7CE1" w:rsidRPr="00A21D7D" w:rsidRDefault="004A7CE1" w:rsidP="009A0CC5">
      <w:pPr>
        <w:rPr>
          <w:rFonts w:cs="Arial"/>
        </w:rPr>
      </w:pPr>
      <w:r w:rsidRPr="00A21D7D">
        <w:rPr>
          <w:rFonts w:cs="Arial"/>
        </w:rPr>
        <w:t xml:space="preserve">Performance in the remaining budget areas was sound. </w:t>
      </w:r>
    </w:p>
    <w:p w14:paraId="02C11C04" w14:textId="0535789E" w:rsidR="009A0CC5" w:rsidRPr="00A21D7D" w:rsidRDefault="009A0CC5" w:rsidP="009A0CC5">
      <w:pPr>
        <w:rPr>
          <w:rFonts w:cs="Arial"/>
        </w:rPr>
      </w:pPr>
      <w:r w:rsidRPr="00A21D7D">
        <w:rPr>
          <w:rFonts w:cs="Arial"/>
        </w:rPr>
        <w:t>The Commission had to return</w:t>
      </w:r>
      <w:r w:rsidR="004A7CE1" w:rsidRPr="00A21D7D">
        <w:rPr>
          <w:rFonts w:cs="Arial"/>
        </w:rPr>
        <w:t xml:space="preserve"> approximately $</w:t>
      </w:r>
      <w:r w:rsidR="00DB0D51">
        <w:rPr>
          <w:rFonts w:cs="Arial"/>
        </w:rPr>
        <w:t>436</w:t>
      </w:r>
      <w:r w:rsidR="004A7CE1" w:rsidRPr="00A21D7D">
        <w:rPr>
          <w:rFonts w:cs="Arial"/>
        </w:rPr>
        <w:t>,000 of</w:t>
      </w:r>
      <w:r w:rsidRPr="00A21D7D">
        <w:rPr>
          <w:rFonts w:cs="Arial"/>
        </w:rPr>
        <w:t xml:space="preserve"> unspent grant funds in relation to recruitment of 10 newly funded positions which weren’t on-board by </w:t>
      </w:r>
      <w:r w:rsidR="004B0EFE">
        <w:rPr>
          <w:rFonts w:cs="Arial"/>
        </w:rPr>
        <w:t xml:space="preserve">the </w:t>
      </w:r>
      <w:r w:rsidRPr="00A21D7D">
        <w:rPr>
          <w:rFonts w:cs="Arial"/>
        </w:rPr>
        <w:t>1 July 2019 milestone as per funding requirements.</w:t>
      </w:r>
      <w:r w:rsidR="00B10E8B">
        <w:rPr>
          <w:rFonts w:cs="Arial"/>
        </w:rPr>
        <w:t xml:space="preserve"> </w:t>
      </w:r>
      <w:r w:rsidRPr="00A21D7D">
        <w:rPr>
          <w:rFonts w:cs="Arial"/>
        </w:rPr>
        <w:t>This has been reflected in the financial statements</w:t>
      </w:r>
      <w:r w:rsidR="004A7CE1" w:rsidRPr="00A21D7D">
        <w:rPr>
          <w:rFonts w:cs="Arial"/>
        </w:rPr>
        <w:t xml:space="preserve"> as an expense and current liability</w:t>
      </w:r>
      <w:r w:rsidRPr="00A21D7D">
        <w:rPr>
          <w:rFonts w:cs="Arial"/>
        </w:rPr>
        <w:t>.</w:t>
      </w:r>
    </w:p>
    <w:p w14:paraId="455C8A2A" w14:textId="1E34D0AF" w:rsidR="009A0CC5" w:rsidRPr="00A21D7D" w:rsidRDefault="009A0CC5" w:rsidP="009A0CC5">
      <w:pPr>
        <w:rPr>
          <w:rFonts w:cs="Arial"/>
        </w:rPr>
      </w:pPr>
      <w:r w:rsidRPr="00A21D7D">
        <w:rPr>
          <w:rFonts w:cs="Arial"/>
        </w:rPr>
        <w:t xml:space="preserve">As a result of COVID-19, the main financial impact to </w:t>
      </w:r>
      <w:r w:rsidR="00692BFF">
        <w:rPr>
          <w:rFonts w:cs="Arial"/>
        </w:rPr>
        <w:t>our</w:t>
      </w:r>
      <w:r w:rsidRPr="00A21D7D">
        <w:rPr>
          <w:rFonts w:cs="Arial"/>
        </w:rPr>
        <w:t xml:space="preserve"> operations was suspending face-to-face training sessions from 18 March to 30 June.</w:t>
      </w:r>
      <w:r w:rsidR="00B10E8B">
        <w:rPr>
          <w:rFonts w:cs="Arial"/>
        </w:rPr>
        <w:t xml:space="preserve"> </w:t>
      </w:r>
      <w:r w:rsidRPr="00A21D7D">
        <w:rPr>
          <w:rFonts w:cs="Arial"/>
        </w:rPr>
        <w:t xml:space="preserve">While suspending face-to-face training dropped the projected revenue outcome, </w:t>
      </w:r>
      <w:r w:rsidR="00692BFF">
        <w:rPr>
          <w:rFonts w:cs="Arial"/>
        </w:rPr>
        <w:t>we</w:t>
      </w:r>
      <w:r w:rsidRPr="00A21D7D">
        <w:rPr>
          <w:rFonts w:cs="Arial"/>
        </w:rPr>
        <w:t xml:space="preserve"> had already exceeded training targets when face-to-face training stopped and as such, </w:t>
      </w:r>
      <w:r w:rsidR="004B0EFE">
        <w:rPr>
          <w:rFonts w:cs="Arial"/>
        </w:rPr>
        <w:t xml:space="preserve">it </w:t>
      </w:r>
      <w:r w:rsidRPr="00A21D7D">
        <w:rPr>
          <w:rFonts w:cs="Arial"/>
        </w:rPr>
        <w:t>had no material impact on overall finances.</w:t>
      </w:r>
      <w:r w:rsidR="00B10E8B">
        <w:rPr>
          <w:rFonts w:cs="Arial"/>
        </w:rPr>
        <w:t xml:space="preserve"> </w:t>
      </w:r>
    </w:p>
    <w:p w14:paraId="038C6F9A" w14:textId="67135B0D" w:rsidR="009A0CC5" w:rsidRPr="00A21D7D" w:rsidRDefault="004A7CE1" w:rsidP="009A0CC5">
      <w:pPr>
        <w:rPr>
          <w:rFonts w:cs="Arial"/>
        </w:rPr>
      </w:pPr>
      <w:r w:rsidRPr="00A21D7D">
        <w:rPr>
          <w:rFonts w:cs="Arial"/>
        </w:rPr>
        <w:t xml:space="preserve">While the Commission still has the ability to continue paying liabilities, with the uncertainty </w:t>
      </w:r>
      <w:r w:rsidR="00692BFF">
        <w:rPr>
          <w:rFonts w:cs="Arial"/>
        </w:rPr>
        <w:t>we are</w:t>
      </w:r>
      <w:r w:rsidRPr="00A21D7D">
        <w:rPr>
          <w:rFonts w:cs="Arial"/>
        </w:rPr>
        <w:t xml:space="preserve"> facing in regards to future training demand as a fallout from COVID-19, and no cash reserves after the 2019-20 deficit, management is focussing on reducing 2020-21 discretionary expenditure to ensure availability of funds for future activities. </w:t>
      </w:r>
    </w:p>
    <w:p w14:paraId="33F10561" w14:textId="77777777" w:rsidR="004A7CE1" w:rsidRPr="00A21D7D" w:rsidRDefault="004A7CE1" w:rsidP="009A0CC5">
      <w:pPr>
        <w:rPr>
          <w:rFonts w:cs="Arial"/>
        </w:rPr>
      </w:pPr>
    </w:p>
    <w:p w14:paraId="1DA97D2C" w14:textId="77777777" w:rsidR="005F06D9" w:rsidRDefault="005F06D9">
      <w:pPr>
        <w:ind w:right="0"/>
        <w:rPr>
          <w:rFonts w:eastAsiaTheme="minorEastAsia" w:cs="Arial"/>
          <w:b/>
          <w:bCs/>
          <w:i/>
          <w:iCs/>
          <w:color w:val="000000" w:themeColor="text1"/>
          <w:sz w:val="20"/>
          <w:szCs w:val="18"/>
        </w:rPr>
      </w:pPr>
      <w:r>
        <w:rPr>
          <w:rFonts w:cs="Arial"/>
        </w:rPr>
        <w:br w:type="page"/>
      </w:r>
    </w:p>
    <w:p w14:paraId="25406231" w14:textId="77777777" w:rsidR="009A0CC5" w:rsidRPr="00A21D7D" w:rsidRDefault="009A0CC5" w:rsidP="00C71D43">
      <w:pPr>
        <w:pStyle w:val="Heading2"/>
      </w:pPr>
      <w:bookmarkStart w:id="103" w:name="_Toc49508940"/>
      <w:r w:rsidRPr="00A21D7D">
        <w:lastRenderedPageBreak/>
        <w:t>Income</w:t>
      </w:r>
      <w:bookmarkEnd w:id="103"/>
    </w:p>
    <w:p w14:paraId="3203CABE" w14:textId="20FD1530" w:rsidR="009A0CC5" w:rsidRPr="00A21D7D" w:rsidRDefault="009A0CC5" w:rsidP="009A0CC5">
      <w:pPr>
        <w:rPr>
          <w:rFonts w:cs="Arial"/>
        </w:rPr>
      </w:pPr>
      <w:r w:rsidRPr="00A21D7D">
        <w:rPr>
          <w:rFonts w:cs="Arial"/>
        </w:rPr>
        <w:t xml:space="preserve">The Commission derives most of </w:t>
      </w:r>
      <w:r w:rsidR="00692BFF">
        <w:rPr>
          <w:rFonts w:cs="Arial"/>
        </w:rPr>
        <w:t>our</w:t>
      </w:r>
      <w:r w:rsidRPr="00A21D7D">
        <w:rPr>
          <w:rFonts w:cs="Arial"/>
        </w:rPr>
        <w:t xml:space="preserve"> income from the Queensland Government, through a grant paid by the Department of Justice and Attorney-General.</w:t>
      </w:r>
      <w:r w:rsidR="00B10E8B">
        <w:rPr>
          <w:rFonts w:cs="Arial"/>
        </w:rPr>
        <w:t xml:space="preserve"> </w:t>
      </w:r>
      <w:r w:rsidR="00692BFF">
        <w:rPr>
          <w:rFonts w:cs="Arial"/>
        </w:rPr>
        <w:t>We</w:t>
      </w:r>
      <w:r w:rsidRPr="00A21D7D">
        <w:rPr>
          <w:rFonts w:cs="Arial"/>
        </w:rPr>
        <w:t xml:space="preserve"> also generate funds through the provision of training on a fee-for-service basis, and investment of surplus cash in interest bearing deposits.</w:t>
      </w:r>
    </w:p>
    <w:p w14:paraId="5685A5CD" w14:textId="228BE200" w:rsidR="009A0CC5" w:rsidRPr="00A244E6" w:rsidRDefault="009A0CC5" w:rsidP="009A0CC5">
      <w:pPr>
        <w:rPr>
          <w:rFonts w:cs="Arial"/>
        </w:rPr>
      </w:pPr>
      <w:r w:rsidRPr="00A244E6">
        <w:rPr>
          <w:rFonts w:cs="Arial"/>
        </w:rPr>
        <w:t xml:space="preserve">In 2019-20, </w:t>
      </w:r>
      <w:r w:rsidR="00692BFF" w:rsidRPr="00A244E6">
        <w:rPr>
          <w:rFonts w:cs="Arial"/>
        </w:rPr>
        <w:t>we</w:t>
      </w:r>
      <w:r w:rsidRPr="00A244E6">
        <w:rPr>
          <w:rFonts w:cs="Arial"/>
        </w:rPr>
        <w:t xml:space="preserve"> received an additional ongoing grant of $1.3</w:t>
      </w:r>
      <w:r w:rsidR="004A7CE1" w:rsidRPr="00A244E6">
        <w:rPr>
          <w:rFonts w:cs="Arial"/>
        </w:rPr>
        <w:t>00</w:t>
      </w:r>
      <w:r w:rsidRPr="00A244E6">
        <w:rPr>
          <w:rFonts w:cs="Arial"/>
        </w:rPr>
        <w:t xml:space="preserve"> million (23%</w:t>
      </w:r>
      <w:r w:rsidR="00692BFF" w:rsidRPr="00A244E6">
        <w:rPr>
          <w:rFonts w:cs="Arial"/>
        </w:rPr>
        <w:t xml:space="preserve"> increase from </w:t>
      </w:r>
      <w:r w:rsidRPr="00A244E6">
        <w:rPr>
          <w:rFonts w:cs="Arial"/>
        </w:rPr>
        <w:t>2018-19</w:t>
      </w:r>
      <w:r w:rsidR="00692BFF" w:rsidRPr="00A244E6">
        <w:rPr>
          <w:rFonts w:cs="Arial"/>
        </w:rPr>
        <w:t>)</w:t>
      </w:r>
      <w:r w:rsidR="004B0EFE" w:rsidRPr="00A244E6">
        <w:rPr>
          <w:rFonts w:cs="Arial"/>
        </w:rPr>
        <w:t>,</w:t>
      </w:r>
      <w:r w:rsidRPr="00A244E6">
        <w:rPr>
          <w:rFonts w:cs="Arial"/>
        </w:rPr>
        <w:t xml:space="preserve"> to deliver the new functions required of the Commission under the </w:t>
      </w:r>
      <w:r w:rsidR="00FC6699" w:rsidRPr="00A244E6">
        <w:rPr>
          <w:rFonts w:cs="Arial"/>
          <w:i/>
        </w:rPr>
        <w:t>Human Rights Act 2019</w:t>
      </w:r>
      <w:r w:rsidRPr="00A244E6">
        <w:rPr>
          <w:rFonts w:cs="Arial"/>
        </w:rPr>
        <w:t>.</w:t>
      </w:r>
      <w:r w:rsidR="00B10E8B" w:rsidRPr="00A244E6">
        <w:rPr>
          <w:rFonts w:cs="Arial"/>
        </w:rPr>
        <w:t xml:space="preserve"> </w:t>
      </w:r>
    </w:p>
    <w:p w14:paraId="60368DF3" w14:textId="696E5605" w:rsidR="009A0CC5" w:rsidRPr="00A21D7D" w:rsidRDefault="00B3611B" w:rsidP="009A0CC5">
      <w:pPr>
        <w:rPr>
          <w:rFonts w:cs="Arial"/>
        </w:rPr>
      </w:pPr>
      <w:r w:rsidRPr="00A244E6">
        <w:rPr>
          <w:rFonts w:cs="Arial"/>
        </w:rPr>
        <w:t>Training revenue also rose</w:t>
      </w:r>
      <w:r w:rsidR="009A0CC5" w:rsidRPr="00A244E6">
        <w:rPr>
          <w:rFonts w:cs="Arial"/>
        </w:rPr>
        <w:t xml:space="preserve"> by $0.2</w:t>
      </w:r>
      <w:r w:rsidR="004A7CE1" w:rsidRPr="00A244E6">
        <w:rPr>
          <w:rFonts w:cs="Arial"/>
        </w:rPr>
        <w:t>08</w:t>
      </w:r>
      <w:r w:rsidR="009A0CC5" w:rsidRPr="00A244E6">
        <w:rPr>
          <w:rFonts w:cs="Arial"/>
        </w:rPr>
        <w:t xml:space="preserve"> million (110%</w:t>
      </w:r>
      <w:r w:rsidRPr="00A244E6">
        <w:rPr>
          <w:rFonts w:cs="Arial"/>
        </w:rPr>
        <w:t xml:space="preserve"> increase from </w:t>
      </w:r>
      <w:r w:rsidR="009A0CC5" w:rsidRPr="00A244E6">
        <w:rPr>
          <w:rFonts w:cs="Arial"/>
        </w:rPr>
        <w:t>2018-19</w:t>
      </w:r>
      <w:r w:rsidRPr="00A244E6">
        <w:rPr>
          <w:rFonts w:cs="Arial"/>
        </w:rPr>
        <w:t>)</w:t>
      </w:r>
      <w:r w:rsidR="009A0CC5" w:rsidRPr="00A244E6">
        <w:rPr>
          <w:rFonts w:cs="Arial"/>
        </w:rPr>
        <w:t xml:space="preserve"> due to an increased demand </w:t>
      </w:r>
      <w:r w:rsidR="004B0EFE" w:rsidRPr="00A244E6">
        <w:rPr>
          <w:rFonts w:cs="Arial"/>
        </w:rPr>
        <w:t xml:space="preserve">for training </w:t>
      </w:r>
      <w:r w:rsidR="009A0CC5" w:rsidRPr="00A244E6">
        <w:rPr>
          <w:rFonts w:cs="Arial"/>
        </w:rPr>
        <w:t xml:space="preserve">driven by the introduction of the </w:t>
      </w:r>
      <w:r w:rsidR="00FC6699" w:rsidRPr="00A244E6">
        <w:rPr>
          <w:rFonts w:cs="Arial"/>
          <w:i/>
        </w:rPr>
        <w:t>Human Rights Act 2019</w:t>
      </w:r>
      <w:r w:rsidR="009A0CC5" w:rsidRPr="00A244E6">
        <w:rPr>
          <w:rFonts w:cs="Arial"/>
        </w:rPr>
        <w:t>.</w:t>
      </w:r>
      <w:r w:rsidR="00B10E8B">
        <w:rPr>
          <w:rFonts w:cs="Arial"/>
        </w:rPr>
        <w:t xml:space="preserve"> </w:t>
      </w:r>
    </w:p>
    <w:p w14:paraId="3C7330E1" w14:textId="77777777" w:rsidR="005F06D9" w:rsidRDefault="005F06D9" w:rsidP="005F06D9">
      <w:pPr>
        <w:pStyle w:val="Caption"/>
        <w:rPr>
          <w:rFonts w:cs="Arial"/>
        </w:rPr>
      </w:pPr>
    </w:p>
    <w:p w14:paraId="1DD4D5AE" w14:textId="28721A99" w:rsidR="005F06D9" w:rsidRPr="00EE6378" w:rsidRDefault="005F06D9" w:rsidP="005F06D9">
      <w:pPr>
        <w:pStyle w:val="Caption"/>
        <w:rPr>
          <w:rFonts w:cs="Arial"/>
        </w:rPr>
      </w:pPr>
      <w:r w:rsidRPr="00EE6378">
        <w:rPr>
          <w:rFonts w:cs="Arial"/>
        </w:rPr>
        <w:t xml:space="preserve">Table 12: </w:t>
      </w:r>
      <w:r>
        <w:rPr>
          <w:rFonts w:cs="Arial"/>
        </w:rPr>
        <w:t>Statement of c</w:t>
      </w:r>
      <w:r w:rsidRPr="00EE6378">
        <w:rPr>
          <w:rFonts w:cs="Arial"/>
        </w:rPr>
        <w:t xml:space="preserve">omprehensive </w:t>
      </w:r>
      <w:r>
        <w:rPr>
          <w:rFonts w:cs="Arial"/>
        </w:rPr>
        <w:t>i</w:t>
      </w:r>
      <w:r w:rsidRPr="00EE6378">
        <w:rPr>
          <w:rFonts w:cs="Arial"/>
        </w:rPr>
        <w:t>ncome</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0"/>
        <w:gridCol w:w="1842"/>
        <w:gridCol w:w="1843"/>
      </w:tblGrid>
      <w:tr w:rsidR="005F06D9" w:rsidRPr="00EA3E47" w14:paraId="64055B92" w14:textId="77777777" w:rsidTr="00421D4B">
        <w:tc>
          <w:tcPr>
            <w:tcW w:w="4390" w:type="dxa"/>
            <w:shd w:val="clear" w:color="auto" w:fill="auto"/>
          </w:tcPr>
          <w:p w14:paraId="09162A63" w14:textId="77777777" w:rsidR="005F06D9" w:rsidRPr="00EA3E47" w:rsidRDefault="005F06D9" w:rsidP="00421D4B">
            <w:pPr>
              <w:pStyle w:val="TableTextHeading"/>
            </w:pPr>
          </w:p>
        </w:tc>
        <w:tc>
          <w:tcPr>
            <w:tcW w:w="1842" w:type="dxa"/>
            <w:shd w:val="clear" w:color="auto" w:fill="auto"/>
          </w:tcPr>
          <w:p w14:paraId="3264D7F4" w14:textId="77777777" w:rsidR="005F06D9" w:rsidRPr="00EA3E47" w:rsidRDefault="005F06D9" w:rsidP="00421D4B">
            <w:pPr>
              <w:pStyle w:val="TableTextHeading"/>
              <w:jc w:val="right"/>
            </w:pPr>
            <w:r w:rsidRPr="00EA3E47">
              <w:t>2019-20</w:t>
            </w:r>
          </w:p>
          <w:p w14:paraId="61BD8A20" w14:textId="77777777" w:rsidR="005F06D9" w:rsidRPr="00EA3E47" w:rsidRDefault="005F06D9" w:rsidP="00421D4B">
            <w:pPr>
              <w:pStyle w:val="TableTextHeading"/>
              <w:jc w:val="right"/>
            </w:pPr>
            <w:r w:rsidRPr="00EA3E47">
              <w:t>($’000)</w:t>
            </w:r>
          </w:p>
        </w:tc>
        <w:tc>
          <w:tcPr>
            <w:tcW w:w="1843" w:type="dxa"/>
            <w:shd w:val="clear" w:color="auto" w:fill="auto"/>
          </w:tcPr>
          <w:p w14:paraId="3F68C956" w14:textId="77777777" w:rsidR="005F06D9" w:rsidRPr="00EA3E47" w:rsidRDefault="005F06D9" w:rsidP="00421D4B">
            <w:pPr>
              <w:pStyle w:val="TableTextHeading"/>
              <w:jc w:val="right"/>
            </w:pPr>
            <w:r w:rsidRPr="00EA3E47">
              <w:t>2018-19</w:t>
            </w:r>
          </w:p>
          <w:p w14:paraId="3200CEAC" w14:textId="77777777" w:rsidR="005F06D9" w:rsidRPr="00EA3E47" w:rsidRDefault="005F06D9" w:rsidP="00421D4B">
            <w:pPr>
              <w:pStyle w:val="TableTextHeading"/>
              <w:jc w:val="right"/>
            </w:pPr>
            <w:r w:rsidRPr="00EA3E47">
              <w:t>($’000)</w:t>
            </w:r>
          </w:p>
        </w:tc>
      </w:tr>
      <w:tr w:rsidR="005F06D9" w:rsidRPr="00EA3E47" w14:paraId="78F8F6BA" w14:textId="77777777" w:rsidTr="00421D4B">
        <w:tc>
          <w:tcPr>
            <w:tcW w:w="4390" w:type="dxa"/>
            <w:shd w:val="clear" w:color="auto" w:fill="auto"/>
          </w:tcPr>
          <w:p w14:paraId="3C96EDFE" w14:textId="77777777" w:rsidR="005F06D9" w:rsidRPr="00EA3E47" w:rsidRDefault="005F06D9" w:rsidP="00421D4B">
            <w:pPr>
              <w:pStyle w:val="TableTextBody"/>
            </w:pPr>
            <w:r w:rsidRPr="00EA3E47">
              <w:t>User charges and fees</w:t>
            </w:r>
          </w:p>
        </w:tc>
        <w:tc>
          <w:tcPr>
            <w:tcW w:w="1842" w:type="dxa"/>
            <w:shd w:val="clear" w:color="auto" w:fill="auto"/>
          </w:tcPr>
          <w:p w14:paraId="05351014" w14:textId="77777777" w:rsidR="005F06D9" w:rsidRPr="00EA3E47" w:rsidRDefault="005F06D9" w:rsidP="00421D4B">
            <w:pPr>
              <w:pStyle w:val="TableTextBody"/>
              <w:jc w:val="right"/>
            </w:pPr>
            <w:r w:rsidRPr="00EA3E47">
              <w:t>399</w:t>
            </w:r>
          </w:p>
        </w:tc>
        <w:tc>
          <w:tcPr>
            <w:tcW w:w="1843" w:type="dxa"/>
            <w:shd w:val="clear" w:color="auto" w:fill="auto"/>
          </w:tcPr>
          <w:p w14:paraId="5FB68AD5" w14:textId="77777777" w:rsidR="005F06D9" w:rsidRPr="00EA3E47" w:rsidRDefault="005F06D9" w:rsidP="00421D4B">
            <w:pPr>
              <w:pStyle w:val="TableTextBody"/>
              <w:jc w:val="right"/>
            </w:pPr>
            <w:r w:rsidRPr="00EA3E47">
              <w:t>190</w:t>
            </w:r>
          </w:p>
        </w:tc>
      </w:tr>
      <w:tr w:rsidR="005F06D9" w:rsidRPr="00EA3E47" w14:paraId="15E541B2" w14:textId="77777777" w:rsidTr="00421D4B">
        <w:tc>
          <w:tcPr>
            <w:tcW w:w="4390" w:type="dxa"/>
            <w:shd w:val="clear" w:color="auto" w:fill="auto"/>
          </w:tcPr>
          <w:p w14:paraId="021E2640" w14:textId="77777777" w:rsidR="005F06D9" w:rsidRPr="00EA3E47" w:rsidRDefault="005F06D9" w:rsidP="00421D4B">
            <w:pPr>
              <w:pStyle w:val="TableTextBody"/>
            </w:pPr>
            <w:r w:rsidRPr="00EA3E47">
              <w:t>Grants and other contributions</w:t>
            </w:r>
          </w:p>
        </w:tc>
        <w:tc>
          <w:tcPr>
            <w:tcW w:w="1842" w:type="dxa"/>
            <w:shd w:val="clear" w:color="auto" w:fill="auto"/>
          </w:tcPr>
          <w:p w14:paraId="59AE0F49" w14:textId="77777777" w:rsidR="005F06D9" w:rsidRPr="00EA3E47" w:rsidRDefault="005F06D9" w:rsidP="00421D4B">
            <w:pPr>
              <w:pStyle w:val="TableTextBody"/>
              <w:jc w:val="right"/>
            </w:pPr>
            <w:r w:rsidRPr="00EA3E47">
              <w:t>7,394</w:t>
            </w:r>
          </w:p>
        </w:tc>
        <w:tc>
          <w:tcPr>
            <w:tcW w:w="1843" w:type="dxa"/>
            <w:shd w:val="clear" w:color="auto" w:fill="auto"/>
          </w:tcPr>
          <w:p w14:paraId="058D398B" w14:textId="77777777" w:rsidR="005F06D9" w:rsidRPr="00EA3E47" w:rsidRDefault="005F06D9" w:rsidP="00421D4B">
            <w:pPr>
              <w:pStyle w:val="TableTextBody"/>
              <w:jc w:val="right"/>
            </w:pPr>
            <w:r w:rsidRPr="00EA3E47">
              <w:t>5,872</w:t>
            </w:r>
          </w:p>
        </w:tc>
      </w:tr>
      <w:tr w:rsidR="005F06D9" w:rsidRPr="00EA3E47" w14:paraId="5138453B" w14:textId="77777777" w:rsidTr="00421D4B">
        <w:tc>
          <w:tcPr>
            <w:tcW w:w="4390" w:type="dxa"/>
            <w:shd w:val="clear" w:color="auto" w:fill="auto"/>
          </w:tcPr>
          <w:p w14:paraId="171605FC" w14:textId="77777777" w:rsidR="005F06D9" w:rsidRPr="00EA3E47" w:rsidRDefault="005F06D9" w:rsidP="00421D4B">
            <w:pPr>
              <w:pStyle w:val="TableTextBody"/>
            </w:pPr>
            <w:r w:rsidRPr="00EA3E47">
              <w:t>Interest and other revenue</w:t>
            </w:r>
          </w:p>
        </w:tc>
        <w:tc>
          <w:tcPr>
            <w:tcW w:w="1842" w:type="dxa"/>
            <w:shd w:val="clear" w:color="auto" w:fill="auto"/>
          </w:tcPr>
          <w:p w14:paraId="42F0507D" w14:textId="77777777" w:rsidR="005F06D9" w:rsidRPr="00EA3E47" w:rsidRDefault="005F06D9" w:rsidP="00421D4B">
            <w:pPr>
              <w:pStyle w:val="TableTextBody"/>
              <w:jc w:val="right"/>
            </w:pPr>
            <w:r w:rsidRPr="00EA3E47">
              <w:t>18</w:t>
            </w:r>
          </w:p>
        </w:tc>
        <w:tc>
          <w:tcPr>
            <w:tcW w:w="1843" w:type="dxa"/>
            <w:shd w:val="clear" w:color="auto" w:fill="auto"/>
          </w:tcPr>
          <w:p w14:paraId="184CB13E" w14:textId="77777777" w:rsidR="005F06D9" w:rsidRPr="00EA3E47" w:rsidRDefault="005F06D9" w:rsidP="00421D4B">
            <w:pPr>
              <w:pStyle w:val="TableTextBody"/>
              <w:jc w:val="right"/>
            </w:pPr>
            <w:r w:rsidRPr="00EA3E47">
              <w:t>20</w:t>
            </w:r>
          </w:p>
        </w:tc>
      </w:tr>
      <w:tr w:rsidR="005F06D9" w:rsidRPr="00EA3E47" w14:paraId="7715C25B" w14:textId="77777777" w:rsidTr="00421D4B">
        <w:tc>
          <w:tcPr>
            <w:tcW w:w="4390" w:type="dxa"/>
            <w:shd w:val="clear" w:color="auto" w:fill="auto"/>
          </w:tcPr>
          <w:p w14:paraId="76C4BAA0" w14:textId="77777777" w:rsidR="005F06D9" w:rsidRPr="00EA3E47" w:rsidRDefault="005F06D9" w:rsidP="00421D4B">
            <w:pPr>
              <w:pStyle w:val="TableTextBold"/>
            </w:pPr>
            <w:r w:rsidRPr="00EA3E47">
              <w:t>Tot</w:t>
            </w:r>
            <w:r>
              <w:t>al i</w:t>
            </w:r>
            <w:r w:rsidRPr="00EA3E47">
              <w:t>ncome from continuing operations</w:t>
            </w:r>
          </w:p>
        </w:tc>
        <w:tc>
          <w:tcPr>
            <w:tcW w:w="1842" w:type="dxa"/>
            <w:shd w:val="clear" w:color="auto" w:fill="auto"/>
          </w:tcPr>
          <w:p w14:paraId="7438964A" w14:textId="77777777" w:rsidR="005F06D9" w:rsidRPr="00EA3E47" w:rsidRDefault="005F06D9" w:rsidP="00421D4B">
            <w:pPr>
              <w:pStyle w:val="TableTextBold"/>
              <w:jc w:val="right"/>
            </w:pPr>
            <w:r w:rsidRPr="00EA3E47">
              <w:t>7,811</w:t>
            </w:r>
          </w:p>
        </w:tc>
        <w:tc>
          <w:tcPr>
            <w:tcW w:w="1843" w:type="dxa"/>
            <w:shd w:val="clear" w:color="auto" w:fill="auto"/>
          </w:tcPr>
          <w:p w14:paraId="39EA92FD" w14:textId="77777777" w:rsidR="005F06D9" w:rsidRPr="00EA3E47" w:rsidRDefault="005F06D9" w:rsidP="00421D4B">
            <w:pPr>
              <w:pStyle w:val="TableTextBold"/>
              <w:jc w:val="right"/>
            </w:pPr>
            <w:r w:rsidRPr="00EA3E47">
              <w:t>6,082</w:t>
            </w:r>
          </w:p>
        </w:tc>
      </w:tr>
      <w:tr w:rsidR="005F06D9" w:rsidRPr="00EA3E47" w14:paraId="23F67C25" w14:textId="77777777" w:rsidTr="00421D4B">
        <w:tc>
          <w:tcPr>
            <w:tcW w:w="4390" w:type="dxa"/>
            <w:shd w:val="clear" w:color="auto" w:fill="auto"/>
          </w:tcPr>
          <w:p w14:paraId="18CE2415" w14:textId="77777777" w:rsidR="005F06D9" w:rsidRPr="00EA3E47" w:rsidRDefault="005F06D9" w:rsidP="00421D4B">
            <w:pPr>
              <w:pStyle w:val="TableTextBody"/>
            </w:pPr>
          </w:p>
        </w:tc>
        <w:tc>
          <w:tcPr>
            <w:tcW w:w="1842" w:type="dxa"/>
            <w:shd w:val="clear" w:color="auto" w:fill="auto"/>
          </w:tcPr>
          <w:p w14:paraId="374AF965" w14:textId="77777777" w:rsidR="005F06D9" w:rsidRPr="00EA3E47" w:rsidRDefault="005F06D9" w:rsidP="00421D4B">
            <w:pPr>
              <w:pStyle w:val="TableTextBody"/>
              <w:jc w:val="right"/>
            </w:pPr>
          </w:p>
        </w:tc>
        <w:tc>
          <w:tcPr>
            <w:tcW w:w="1843" w:type="dxa"/>
            <w:shd w:val="clear" w:color="auto" w:fill="auto"/>
          </w:tcPr>
          <w:p w14:paraId="524E6145" w14:textId="77777777" w:rsidR="005F06D9" w:rsidRPr="00EA3E47" w:rsidRDefault="005F06D9" w:rsidP="00421D4B">
            <w:pPr>
              <w:pStyle w:val="TableTextBody"/>
              <w:jc w:val="right"/>
            </w:pPr>
          </w:p>
        </w:tc>
      </w:tr>
      <w:tr w:rsidR="005F06D9" w:rsidRPr="00EA3E47" w14:paraId="7F1C3936" w14:textId="77777777" w:rsidTr="00421D4B">
        <w:tc>
          <w:tcPr>
            <w:tcW w:w="4390" w:type="dxa"/>
            <w:shd w:val="clear" w:color="auto" w:fill="auto"/>
          </w:tcPr>
          <w:p w14:paraId="42055662" w14:textId="77777777" w:rsidR="005F06D9" w:rsidRPr="00EA3E47" w:rsidRDefault="005F06D9" w:rsidP="00421D4B">
            <w:pPr>
              <w:pStyle w:val="TableTextBody"/>
            </w:pPr>
            <w:r w:rsidRPr="00EA3E47">
              <w:t>Employee expenditure</w:t>
            </w:r>
          </w:p>
        </w:tc>
        <w:tc>
          <w:tcPr>
            <w:tcW w:w="1842" w:type="dxa"/>
            <w:shd w:val="clear" w:color="auto" w:fill="auto"/>
          </w:tcPr>
          <w:p w14:paraId="61CFB741" w14:textId="77777777" w:rsidR="005F06D9" w:rsidRPr="00EA3E47" w:rsidRDefault="005F06D9" w:rsidP="00421D4B">
            <w:pPr>
              <w:pStyle w:val="TableTextBody"/>
              <w:jc w:val="right"/>
            </w:pPr>
            <w:r w:rsidRPr="00EA3E47">
              <w:t>5,238</w:t>
            </w:r>
          </w:p>
        </w:tc>
        <w:tc>
          <w:tcPr>
            <w:tcW w:w="1843" w:type="dxa"/>
            <w:shd w:val="clear" w:color="auto" w:fill="auto"/>
          </w:tcPr>
          <w:p w14:paraId="78B627A7" w14:textId="77777777" w:rsidR="005F06D9" w:rsidRPr="00EA3E47" w:rsidRDefault="005F06D9" w:rsidP="00421D4B">
            <w:pPr>
              <w:pStyle w:val="TableTextBody"/>
              <w:jc w:val="right"/>
            </w:pPr>
            <w:r w:rsidRPr="00EA3E47">
              <w:t>4,082</w:t>
            </w:r>
          </w:p>
        </w:tc>
      </w:tr>
      <w:tr w:rsidR="005F06D9" w:rsidRPr="00EA3E47" w14:paraId="4CF1CAE2" w14:textId="77777777" w:rsidTr="00421D4B">
        <w:tc>
          <w:tcPr>
            <w:tcW w:w="4390" w:type="dxa"/>
            <w:shd w:val="clear" w:color="auto" w:fill="auto"/>
          </w:tcPr>
          <w:p w14:paraId="78CBBD15" w14:textId="77777777" w:rsidR="005F06D9" w:rsidRPr="00EA3E47" w:rsidRDefault="005F06D9" w:rsidP="00421D4B">
            <w:pPr>
              <w:pStyle w:val="TableTextBody"/>
            </w:pPr>
            <w:r w:rsidRPr="00EA3E47">
              <w:t>Supplies and services</w:t>
            </w:r>
          </w:p>
        </w:tc>
        <w:tc>
          <w:tcPr>
            <w:tcW w:w="1842" w:type="dxa"/>
            <w:shd w:val="clear" w:color="auto" w:fill="auto"/>
          </w:tcPr>
          <w:p w14:paraId="3B21C132" w14:textId="77777777" w:rsidR="005F06D9" w:rsidRPr="00EA3E47" w:rsidRDefault="005F06D9" w:rsidP="00421D4B">
            <w:pPr>
              <w:pStyle w:val="TableTextBody"/>
              <w:jc w:val="right"/>
            </w:pPr>
            <w:r w:rsidRPr="00EA3E47">
              <w:t>1,982</w:t>
            </w:r>
          </w:p>
        </w:tc>
        <w:tc>
          <w:tcPr>
            <w:tcW w:w="1843" w:type="dxa"/>
            <w:shd w:val="clear" w:color="auto" w:fill="auto"/>
          </w:tcPr>
          <w:p w14:paraId="18FD6AAA" w14:textId="77777777" w:rsidR="005F06D9" w:rsidRPr="00EA3E47" w:rsidRDefault="005F06D9" w:rsidP="00421D4B">
            <w:pPr>
              <w:pStyle w:val="TableTextBody"/>
              <w:jc w:val="right"/>
            </w:pPr>
            <w:r w:rsidRPr="00EA3E47">
              <w:t>1,746</w:t>
            </w:r>
          </w:p>
        </w:tc>
      </w:tr>
      <w:tr w:rsidR="005F06D9" w:rsidRPr="00EA3E47" w14:paraId="6281B195" w14:textId="77777777" w:rsidTr="00421D4B">
        <w:tc>
          <w:tcPr>
            <w:tcW w:w="4390" w:type="dxa"/>
            <w:shd w:val="clear" w:color="auto" w:fill="auto"/>
          </w:tcPr>
          <w:p w14:paraId="730112BF" w14:textId="77777777" w:rsidR="005F06D9" w:rsidRPr="00EA3E47" w:rsidRDefault="005F06D9" w:rsidP="00421D4B">
            <w:pPr>
              <w:pStyle w:val="TableTextBody"/>
            </w:pPr>
            <w:r w:rsidRPr="00EA3E47">
              <w:t>Grants and subsidies</w:t>
            </w:r>
          </w:p>
        </w:tc>
        <w:tc>
          <w:tcPr>
            <w:tcW w:w="1842" w:type="dxa"/>
            <w:shd w:val="clear" w:color="auto" w:fill="auto"/>
          </w:tcPr>
          <w:p w14:paraId="0B3910A4" w14:textId="77777777" w:rsidR="005F06D9" w:rsidRPr="00EA3E47" w:rsidRDefault="005F06D9" w:rsidP="00421D4B">
            <w:pPr>
              <w:pStyle w:val="TableTextBody"/>
              <w:jc w:val="right"/>
            </w:pPr>
            <w:r w:rsidRPr="00EA3E47">
              <w:t>6</w:t>
            </w:r>
          </w:p>
        </w:tc>
        <w:tc>
          <w:tcPr>
            <w:tcW w:w="1843" w:type="dxa"/>
            <w:shd w:val="clear" w:color="auto" w:fill="auto"/>
          </w:tcPr>
          <w:p w14:paraId="274022BF" w14:textId="77777777" w:rsidR="005F06D9" w:rsidRPr="00EA3E47" w:rsidRDefault="005F06D9" w:rsidP="00421D4B">
            <w:pPr>
              <w:pStyle w:val="TableTextBody"/>
              <w:jc w:val="right"/>
            </w:pPr>
            <w:r w:rsidRPr="00EA3E47">
              <w:t>3</w:t>
            </w:r>
          </w:p>
        </w:tc>
      </w:tr>
      <w:tr w:rsidR="005F06D9" w:rsidRPr="00EA3E47" w14:paraId="1C745A5F" w14:textId="77777777" w:rsidTr="00421D4B">
        <w:tc>
          <w:tcPr>
            <w:tcW w:w="4390" w:type="dxa"/>
            <w:shd w:val="clear" w:color="auto" w:fill="auto"/>
          </w:tcPr>
          <w:p w14:paraId="248683D0" w14:textId="77777777" w:rsidR="005F06D9" w:rsidRPr="00EA3E47" w:rsidRDefault="005F06D9" w:rsidP="00421D4B">
            <w:pPr>
              <w:pStyle w:val="TableTextBody"/>
            </w:pPr>
            <w:r w:rsidRPr="00EA3E47">
              <w:t>Depreciation and amortisation</w:t>
            </w:r>
          </w:p>
        </w:tc>
        <w:tc>
          <w:tcPr>
            <w:tcW w:w="1842" w:type="dxa"/>
            <w:shd w:val="clear" w:color="auto" w:fill="auto"/>
          </w:tcPr>
          <w:p w14:paraId="577B7E81" w14:textId="77777777" w:rsidR="005F06D9" w:rsidRPr="00EA3E47" w:rsidRDefault="005F06D9" w:rsidP="00421D4B">
            <w:pPr>
              <w:pStyle w:val="TableTextBody"/>
              <w:jc w:val="right"/>
            </w:pPr>
            <w:r w:rsidRPr="00EA3E47">
              <w:t>182</w:t>
            </w:r>
          </w:p>
        </w:tc>
        <w:tc>
          <w:tcPr>
            <w:tcW w:w="1843" w:type="dxa"/>
            <w:shd w:val="clear" w:color="auto" w:fill="auto"/>
          </w:tcPr>
          <w:p w14:paraId="37B100B1" w14:textId="77777777" w:rsidR="005F06D9" w:rsidRPr="00EA3E47" w:rsidRDefault="005F06D9" w:rsidP="00421D4B">
            <w:pPr>
              <w:pStyle w:val="TableTextBody"/>
              <w:jc w:val="right"/>
            </w:pPr>
            <w:r w:rsidRPr="00EA3E47">
              <w:t>161</w:t>
            </w:r>
          </w:p>
        </w:tc>
      </w:tr>
      <w:tr w:rsidR="005F06D9" w:rsidRPr="00EA3E47" w14:paraId="262480AD" w14:textId="77777777" w:rsidTr="00421D4B">
        <w:tc>
          <w:tcPr>
            <w:tcW w:w="4390" w:type="dxa"/>
            <w:shd w:val="clear" w:color="auto" w:fill="auto"/>
          </w:tcPr>
          <w:p w14:paraId="36BBC0B5" w14:textId="77777777" w:rsidR="005F06D9" w:rsidRPr="00EA3E47" w:rsidRDefault="005F06D9" w:rsidP="00421D4B">
            <w:pPr>
              <w:pStyle w:val="TableTextBody"/>
            </w:pPr>
            <w:r w:rsidRPr="00EA3E47">
              <w:t>Other expenses</w:t>
            </w:r>
          </w:p>
        </w:tc>
        <w:tc>
          <w:tcPr>
            <w:tcW w:w="1842" w:type="dxa"/>
            <w:shd w:val="clear" w:color="auto" w:fill="auto"/>
          </w:tcPr>
          <w:p w14:paraId="5BDCC38F" w14:textId="77777777" w:rsidR="005F06D9" w:rsidRPr="00EA3E47" w:rsidRDefault="005F06D9" w:rsidP="00421D4B">
            <w:pPr>
              <w:pStyle w:val="TableTextBody"/>
              <w:jc w:val="right"/>
            </w:pPr>
            <w:r w:rsidRPr="00EA3E47">
              <w:t>464</w:t>
            </w:r>
          </w:p>
        </w:tc>
        <w:tc>
          <w:tcPr>
            <w:tcW w:w="1843" w:type="dxa"/>
            <w:shd w:val="clear" w:color="auto" w:fill="auto"/>
          </w:tcPr>
          <w:p w14:paraId="3F471CB1" w14:textId="77777777" w:rsidR="005F06D9" w:rsidRPr="00EA3E47" w:rsidRDefault="005F06D9" w:rsidP="00421D4B">
            <w:pPr>
              <w:pStyle w:val="TableTextBody"/>
              <w:jc w:val="right"/>
            </w:pPr>
            <w:r w:rsidRPr="00EA3E47">
              <w:t>30</w:t>
            </w:r>
          </w:p>
        </w:tc>
      </w:tr>
      <w:tr w:rsidR="005F06D9" w:rsidRPr="00EA3E47" w14:paraId="78EC7CA1" w14:textId="77777777" w:rsidTr="00421D4B">
        <w:tc>
          <w:tcPr>
            <w:tcW w:w="4390" w:type="dxa"/>
            <w:shd w:val="clear" w:color="auto" w:fill="auto"/>
          </w:tcPr>
          <w:p w14:paraId="61694689" w14:textId="77777777" w:rsidR="005F06D9" w:rsidRPr="00EA3E47" w:rsidRDefault="005F06D9" w:rsidP="00421D4B">
            <w:pPr>
              <w:pStyle w:val="TableTextBold"/>
            </w:pPr>
            <w:r>
              <w:t>Total e</w:t>
            </w:r>
            <w:r w:rsidRPr="00EA3E47">
              <w:t>xpenditure from continuing operations</w:t>
            </w:r>
          </w:p>
        </w:tc>
        <w:tc>
          <w:tcPr>
            <w:tcW w:w="1842" w:type="dxa"/>
            <w:shd w:val="clear" w:color="auto" w:fill="auto"/>
          </w:tcPr>
          <w:p w14:paraId="1EC3DFDF" w14:textId="77777777" w:rsidR="005F06D9" w:rsidRPr="00EA3E47" w:rsidRDefault="005F06D9" w:rsidP="00421D4B">
            <w:pPr>
              <w:pStyle w:val="TableTextBold"/>
              <w:jc w:val="right"/>
            </w:pPr>
            <w:r w:rsidRPr="00EA3E47">
              <w:t>7,872</w:t>
            </w:r>
          </w:p>
        </w:tc>
        <w:tc>
          <w:tcPr>
            <w:tcW w:w="1843" w:type="dxa"/>
            <w:shd w:val="clear" w:color="auto" w:fill="auto"/>
          </w:tcPr>
          <w:p w14:paraId="5B702947" w14:textId="77777777" w:rsidR="005F06D9" w:rsidRPr="00EA3E47" w:rsidRDefault="005F06D9" w:rsidP="00421D4B">
            <w:pPr>
              <w:pStyle w:val="TableTextBold"/>
              <w:jc w:val="right"/>
            </w:pPr>
            <w:r w:rsidRPr="00EA3E47">
              <w:t>6,022</w:t>
            </w:r>
          </w:p>
        </w:tc>
      </w:tr>
      <w:tr w:rsidR="005F06D9" w:rsidRPr="00EA3E47" w14:paraId="348A59E4" w14:textId="77777777" w:rsidTr="00421D4B">
        <w:tc>
          <w:tcPr>
            <w:tcW w:w="4390" w:type="dxa"/>
            <w:shd w:val="clear" w:color="auto" w:fill="auto"/>
          </w:tcPr>
          <w:p w14:paraId="237625A6" w14:textId="77777777" w:rsidR="005F06D9" w:rsidRPr="00EA3E47" w:rsidRDefault="005F06D9" w:rsidP="00421D4B">
            <w:pPr>
              <w:pStyle w:val="TableTextBold"/>
            </w:pPr>
          </w:p>
        </w:tc>
        <w:tc>
          <w:tcPr>
            <w:tcW w:w="1842" w:type="dxa"/>
            <w:shd w:val="clear" w:color="auto" w:fill="auto"/>
          </w:tcPr>
          <w:p w14:paraId="068F2035" w14:textId="77777777" w:rsidR="005F06D9" w:rsidRPr="00EA3E47" w:rsidRDefault="005F06D9" w:rsidP="00421D4B">
            <w:pPr>
              <w:pStyle w:val="TableTextBold"/>
              <w:jc w:val="right"/>
            </w:pPr>
          </w:p>
        </w:tc>
        <w:tc>
          <w:tcPr>
            <w:tcW w:w="1843" w:type="dxa"/>
            <w:shd w:val="clear" w:color="auto" w:fill="auto"/>
          </w:tcPr>
          <w:p w14:paraId="3BD34EFF" w14:textId="77777777" w:rsidR="005F06D9" w:rsidRPr="00EA3E47" w:rsidRDefault="005F06D9" w:rsidP="00421D4B">
            <w:pPr>
              <w:pStyle w:val="TableTextBold"/>
              <w:jc w:val="right"/>
            </w:pPr>
          </w:p>
        </w:tc>
      </w:tr>
      <w:tr w:rsidR="005F06D9" w:rsidRPr="00EA3E47" w14:paraId="573FB84F" w14:textId="77777777" w:rsidTr="00421D4B">
        <w:tc>
          <w:tcPr>
            <w:tcW w:w="4390" w:type="dxa"/>
            <w:shd w:val="clear" w:color="auto" w:fill="auto"/>
          </w:tcPr>
          <w:p w14:paraId="3AA73DB8" w14:textId="77777777" w:rsidR="005F06D9" w:rsidRPr="00EA3E47" w:rsidRDefault="005F06D9" w:rsidP="00421D4B">
            <w:pPr>
              <w:pStyle w:val="TableTextBold"/>
            </w:pPr>
            <w:r w:rsidRPr="00EA3E47">
              <w:t>Operating result for the year</w:t>
            </w:r>
          </w:p>
        </w:tc>
        <w:tc>
          <w:tcPr>
            <w:tcW w:w="1842" w:type="dxa"/>
            <w:shd w:val="clear" w:color="auto" w:fill="auto"/>
          </w:tcPr>
          <w:p w14:paraId="3CF79708" w14:textId="77777777" w:rsidR="005F06D9" w:rsidRPr="00EA3E47" w:rsidRDefault="005F06D9" w:rsidP="00421D4B">
            <w:pPr>
              <w:pStyle w:val="TableTextBold"/>
              <w:jc w:val="right"/>
            </w:pPr>
            <w:r w:rsidRPr="00EA3E47">
              <w:t>(61)</w:t>
            </w:r>
          </w:p>
        </w:tc>
        <w:tc>
          <w:tcPr>
            <w:tcW w:w="1843" w:type="dxa"/>
            <w:shd w:val="clear" w:color="auto" w:fill="auto"/>
          </w:tcPr>
          <w:p w14:paraId="0169E9EC" w14:textId="77777777" w:rsidR="005F06D9" w:rsidRPr="00EA3E47" w:rsidRDefault="005F06D9" w:rsidP="00421D4B">
            <w:pPr>
              <w:pStyle w:val="TableTextBold"/>
              <w:jc w:val="right"/>
            </w:pPr>
            <w:r w:rsidRPr="00EA3E47">
              <w:t>60</w:t>
            </w:r>
          </w:p>
        </w:tc>
      </w:tr>
    </w:tbl>
    <w:p w14:paraId="428E83AB" w14:textId="77777777" w:rsidR="005F06D9" w:rsidRPr="00A21D7D" w:rsidRDefault="005F06D9" w:rsidP="005F06D9">
      <w:pPr>
        <w:pStyle w:val="Heading3"/>
        <w:rPr>
          <w:rFonts w:cs="Arial"/>
        </w:rPr>
      </w:pPr>
    </w:p>
    <w:p w14:paraId="27F0935F" w14:textId="1B7DDDC5" w:rsidR="009A0CC5" w:rsidRDefault="009A0CC5" w:rsidP="009A0CC5">
      <w:pPr>
        <w:rPr>
          <w:rFonts w:cs="Arial"/>
        </w:rPr>
      </w:pPr>
    </w:p>
    <w:p w14:paraId="441F869E" w14:textId="77777777" w:rsidR="005F06D9" w:rsidRDefault="005F06D9">
      <w:pPr>
        <w:ind w:right="0"/>
        <w:rPr>
          <w:rFonts w:eastAsiaTheme="majorEastAsia" w:cstheme="majorBidi"/>
          <w:color w:val="000000" w:themeColor="text1"/>
          <w:sz w:val="36"/>
          <w:szCs w:val="26"/>
        </w:rPr>
      </w:pPr>
      <w:bookmarkStart w:id="104" w:name="_Toc49508941"/>
      <w:r>
        <w:br w:type="page"/>
      </w:r>
    </w:p>
    <w:p w14:paraId="5AE22968" w14:textId="6E04AAF6" w:rsidR="009A0CC5" w:rsidRPr="00A21D7D" w:rsidRDefault="009A0CC5" w:rsidP="00C71D43">
      <w:pPr>
        <w:pStyle w:val="Heading2"/>
      </w:pPr>
      <w:r w:rsidRPr="00A21D7D">
        <w:lastRenderedPageBreak/>
        <w:t>Expenditure</w:t>
      </w:r>
      <w:bookmarkEnd w:id="104"/>
    </w:p>
    <w:p w14:paraId="315B62C8" w14:textId="70603EE7" w:rsidR="009A0CC5" w:rsidRPr="00A244E6" w:rsidRDefault="009A0CC5" w:rsidP="009A0CC5">
      <w:pPr>
        <w:rPr>
          <w:rFonts w:cs="Arial"/>
        </w:rPr>
      </w:pPr>
      <w:r w:rsidRPr="00A21D7D">
        <w:rPr>
          <w:rFonts w:cs="Arial"/>
        </w:rPr>
        <w:t>Emp</w:t>
      </w:r>
      <w:r w:rsidR="00533820">
        <w:rPr>
          <w:rFonts w:cs="Arial"/>
        </w:rPr>
        <w:t xml:space="preserve">loyee expenditure is </w:t>
      </w:r>
      <w:r w:rsidR="00692BFF">
        <w:rPr>
          <w:rFonts w:cs="Arial"/>
        </w:rPr>
        <w:t>our largest</w:t>
      </w:r>
      <w:r w:rsidRPr="00A21D7D">
        <w:rPr>
          <w:rFonts w:cs="Arial"/>
        </w:rPr>
        <w:t xml:space="preserve"> expenditure (on average, 70% of </w:t>
      </w:r>
      <w:r w:rsidR="004B0EFE">
        <w:rPr>
          <w:rFonts w:cs="Arial"/>
        </w:rPr>
        <w:t xml:space="preserve">total </w:t>
      </w:r>
      <w:r w:rsidRPr="00A21D7D">
        <w:rPr>
          <w:rFonts w:cs="Arial"/>
        </w:rPr>
        <w:t xml:space="preserve">expenditure) and has </w:t>
      </w:r>
      <w:r w:rsidRPr="00A244E6">
        <w:rPr>
          <w:rFonts w:cs="Arial"/>
        </w:rPr>
        <w:t>increased by $1.</w:t>
      </w:r>
      <w:r w:rsidR="00001C74" w:rsidRPr="00A244E6">
        <w:rPr>
          <w:rFonts w:cs="Arial"/>
        </w:rPr>
        <w:t>1</w:t>
      </w:r>
      <w:r w:rsidR="004A7CE1" w:rsidRPr="00A244E6">
        <w:rPr>
          <w:rFonts w:cs="Arial"/>
        </w:rPr>
        <w:t>56</w:t>
      </w:r>
      <w:r w:rsidRPr="00A244E6">
        <w:rPr>
          <w:rFonts w:cs="Arial"/>
        </w:rPr>
        <w:t xml:space="preserve"> million (29%) </w:t>
      </w:r>
      <w:r w:rsidR="00B3611B" w:rsidRPr="00A244E6">
        <w:rPr>
          <w:rFonts w:cs="Arial"/>
        </w:rPr>
        <w:t>from</w:t>
      </w:r>
      <w:r w:rsidRPr="00A244E6">
        <w:rPr>
          <w:rFonts w:cs="Arial"/>
        </w:rPr>
        <w:t xml:space="preserve"> 2018-19</w:t>
      </w:r>
      <w:r w:rsidR="004B0EFE" w:rsidRPr="00A244E6">
        <w:rPr>
          <w:rFonts w:cs="Arial"/>
        </w:rPr>
        <w:t>. This was</w:t>
      </w:r>
      <w:r w:rsidRPr="00A244E6">
        <w:rPr>
          <w:rFonts w:cs="Arial"/>
        </w:rPr>
        <w:t xml:space="preserve"> due to increased positions allow</w:t>
      </w:r>
      <w:r w:rsidR="00B3611B" w:rsidRPr="00A244E6">
        <w:rPr>
          <w:rFonts w:cs="Arial"/>
        </w:rPr>
        <w:t>ed for as part of additional on</w:t>
      </w:r>
      <w:r w:rsidRPr="00A244E6">
        <w:rPr>
          <w:rFonts w:cs="Arial"/>
        </w:rPr>
        <w:t>going grant</w:t>
      </w:r>
      <w:r w:rsidR="004B0EFE" w:rsidRPr="00A244E6">
        <w:rPr>
          <w:rFonts w:cs="Arial"/>
        </w:rPr>
        <w:t xml:space="preserve"> funding</w:t>
      </w:r>
      <w:r w:rsidRPr="00A244E6">
        <w:rPr>
          <w:rFonts w:cs="Arial"/>
        </w:rPr>
        <w:t xml:space="preserve"> to deliver the new functions required of the </w:t>
      </w:r>
      <w:r w:rsidR="00B3611B" w:rsidRPr="00A244E6">
        <w:rPr>
          <w:rFonts w:cs="Arial"/>
        </w:rPr>
        <w:t>Commission</w:t>
      </w:r>
      <w:r w:rsidRPr="00A244E6">
        <w:rPr>
          <w:rFonts w:cs="Arial"/>
        </w:rPr>
        <w:t xml:space="preserve"> under the </w:t>
      </w:r>
      <w:r w:rsidR="00FC6699" w:rsidRPr="00A244E6">
        <w:rPr>
          <w:rFonts w:cs="Arial"/>
          <w:i/>
        </w:rPr>
        <w:t>Human Rights Act 2019</w:t>
      </w:r>
      <w:r w:rsidRPr="00A244E6">
        <w:rPr>
          <w:rFonts w:cs="Arial"/>
        </w:rPr>
        <w:t>.</w:t>
      </w:r>
      <w:r w:rsidR="00B10E8B" w:rsidRPr="00A244E6">
        <w:rPr>
          <w:rFonts w:cs="Arial"/>
        </w:rPr>
        <w:t xml:space="preserve"> </w:t>
      </w:r>
    </w:p>
    <w:p w14:paraId="19E970FE" w14:textId="748F694A" w:rsidR="009A0CC5" w:rsidRPr="00A244E6" w:rsidRDefault="004B0EFE" w:rsidP="009A0CC5">
      <w:pPr>
        <w:rPr>
          <w:rFonts w:cs="Arial"/>
        </w:rPr>
      </w:pPr>
      <w:r w:rsidRPr="00A244E6">
        <w:rPr>
          <w:rFonts w:cs="Arial"/>
        </w:rPr>
        <w:t>The second largest</w:t>
      </w:r>
      <w:r w:rsidR="009A0CC5" w:rsidRPr="00A244E6">
        <w:rPr>
          <w:rFonts w:cs="Arial"/>
        </w:rPr>
        <w:t xml:space="preserve"> expense category is supplies and services (on average, 28% of </w:t>
      </w:r>
      <w:r w:rsidRPr="00A244E6">
        <w:rPr>
          <w:rFonts w:cs="Arial"/>
        </w:rPr>
        <w:t xml:space="preserve">total </w:t>
      </w:r>
      <w:r w:rsidR="009A0CC5" w:rsidRPr="00A244E6">
        <w:rPr>
          <w:rFonts w:cs="Arial"/>
        </w:rPr>
        <w:t>expenditure).</w:t>
      </w:r>
      <w:r w:rsidR="00B10E8B" w:rsidRPr="00A244E6">
        <w:rPr>
          <w:rFonts w:cs="Arial"/>
        </w:rPr>
        <w:t xml:space="preserve"> </w:t>
      </w:r>
      <w:r w:rsidR="009A0CC5" w:rsidRPr="00A244E6">
        <w:rPr>
          <w:rFonts w:cs="Arial"/>
        </w:rPr>
        <w:t>Supplies and services increased by $0.2</w:t>
      </w:r>
      <w:r w:rsidR="004A7CE1" w:rsidRPr="00A244E6">
        <w:rPr>
          <w:rFonts w:cs="Arial"/>
        </w:rPr>
        <w:t>37</w:t>
      </w:r>
      <w:r w:rsidR="009A0CC5" w:rsidRPr="00A244E6">
        <w:rPr>
          <w:rFonts w:cs="Arial"/>
        </w:rPr>
        <w:t xml:space="preserve"> million (</w:t>
      </w:r>
      <w:r w:rsidR="00B3611B" w:rsidRPr="00A244E6">
        <w:rPr>
          <w:rFonts w:cs="Arial"/>
        </w:rPr>
        <w:t xml:space="preserve">up </w:t>
      </w:r>
      <w:r w:rsidR="009A0CC5" w:rsidRPr="00A244E6">
        <w:rPr>
          <w:rFonts w:cs="Arial"/>
        </w:rPr>
        <w:t>14%</w:t>
      </w:r>
      <w:r w:rsidR="00B3611B" w:rsidRPr="00A244E6">
        <w:rPr>
          <w:rFonts w:cs="Arial"/>
        </w:rPr>
        <w:t xml:space="preserve"> from</w:t>
      </w:r>
      <w:r w:rsidR="009A0CC5" w:rsidRPr="00A244E6">
        <w:rPr>
          <w:rFonts w:cs="Arial"/>
        </w:rPr>
        <w:t xml:space="preserve"> 2018-19</w:t>
      </w:r>
      <w:r w:rsidR="00B3611B" w:rsidRPr="00A244E6">
        <w:rPr>
          <w:rFonts w:cs="Arial"/>
        </w:rPr>
        <w:t>)</w:t>
      </w:r>
      <w:r w:rsidRPr="00A244E6">
        <w:rPr>
          <w:rFonts w:cs="Arial"/>
        </w:rPr>
        <w:t>. This is made up of</w:t>
      </w:r>
      <w:r w:rsidR="009A0CC5" w:rsidRPr="00A244E6">
        <w:rPr>
          <w:rFonts w:cs="Arial"/>
        </w:rPr>
        <w:t xml:space="preserve"> increased expenses associated with </w:t>
      </w:r>
      <w:r w:rsidRPr="00A244E6">
        <w:rPr>
          <w:rFonts w:cs="Arial"/>
        </w:rPr>
        <w:t>delivering a higher number of</w:t>
      </w:r>
      <w:r w:rsidR="009A0CC5" w:rsidRPr="00A244E6">
        <w:rPr>
          <w:rFonts w:cs="Arial"/>
        </w:rPr>
        <w:t xml:space="preserve"> training sessions (offset by revenue), and increased expenses for management of the Commission’s computer network.</w:t>
      </w:r>
    </w:p>
    <w:p w14:paraId="63C3D785" w14:textId="5ED0997D" w:rsidR="004A7CE1" w:rsidRDefault="00B3611B" w:rsidP="009A0CC5">
      <w:pPr>
        <w:rPr>
          <w:rFonts w:cs="Arial"/>
        </w:rPr>
      </w:pPr>
      <w:r w:rsidRPr="00A244E6">
        <w:rPr>
          <w:rFonts w:cs="Arial"/>
        </w:rPr>
        <w:t>We</w:t>
      </w:r>
      <w:r w:rsidR="00DB0D51" w:rsidRPr="00A244E6">
        <w:rPr>
          <w:rFonts w:cs="Arial"/>
        </w:rPr>
        <w:t xml:space="preserve"> also incurred $0.436</w:t>
      </w:r>
      <w:r w:rsidR="004A7CE1" w:rsidRPr="00A244E6">
        <w:rPr>
          <w:rFonts w:cs="Arial"/>
        </w:rPr>
        <w:t xml:space="preserve"> million of </w:t>
      </w:r>
      <w:r w:rsidR="00415208" w:rsidRPr="00A244E6">
        <w:rPr>
          <w:rFonts w:cs="Arial"/>
        </w:rPr>
        <w:t>grant refund</w:t>
      </w:r>
      <w:r w:rsidR="004A7CE1" w:rsidRPr="00A244E6">
        <w:rPr>
          <w:rFonts w:cs="Arial"/>
        </w:rPr>
        <w:t xml:space="preserve"> expenditure</w:t>
      </w:r>
      <w:r w:rsidR="0001462C" w:rsidRPr="00A244E6">
        <w:rPr>
          <w:rFonts w:cs="Arial"/>
        </w:rPr>
        <w:t>.</w:t>
      </w:r>
      <w:r w:rsidR="00B10E8B" w:rsidRPr="00A244E6">
        <w:rPr>
          <w:rFonts w:cs="Arial"/>
        </w:rPr>
        <w:t xml:space="preserve"> </w:t>
      </w:r>
      <w:r w:rsidR="0001462C" w:rsidRPr="00A244E6">
        <w:rPr>
          <w:rFonts w:cs="Arial"/>
        </w:rPr>
        <w:t xml:space="preserve">This relates to </w:t>
      </w:r>
      <w:r w:rsidR="00415208" w:rsidRPr="00A244E6">
        <w:rPr>
          <w:rFonts w:cs="Arial"/>
        </w:rPr>
        <w:t>the return of the</w:t>
      </w:r>
      <w:r w:rsidR="00415208" w:rsidRPr="003F3B04">
        <w:rPr>
          <w:rFonts w:cs="Arial"/>
        </w:rPr>
        <w:t xml:space="preserve"> Commission’s </w:t>
      </w:r>
      <w:r w:rsidR="0001462C" w:rsidRPr="003F3B04">
        <w:rPr>
          <w:rFonts w:cs="Arial"/>
        </w:rPr>
        <w:t>unspent grant revenue</w:t>
      </w:r>
      <w:r w:rsidR="00415208" w:rsidRPr="003F3B04">
        <w:rPr>
          <w:rFonts w:cs="Arial"/>
        </w:rPr>
        <w:t>, as a result of</w:t>
      </w:r>
      <w:r w:rsidR="0001462C" w:rsidRPr="003F3B04">
        <w:rPr>
          <w:rFonts w:cs="Arial"/>
        </w:rPr>
        <w:t xml:space="preserve"> </w:t>
      </w:r>
      <w:r w:rsidR="004B0EFE" w:rsidRPr="003F3B04">
        <w:rPr>
          <w:rFonts w:cs="Arial"/>
        </w:rPr>
        <w:t>delayed recruitment of new positions</w:t>
      </w:r>
      <w:r w:rsidR="00FA74BF" w:rsidRPr="003F3B04">
        <w:rPr>
          <w:rFonts w:cs="Arial"/>
        </w:rPr>
        <w:t xml:space="preserve"> which did</w:t>
      </w:r>
      <w:r w:rsidR="00415208" w:rsidRPr="003F3B04">
        <w:rPr>
          <w:rFonts w:cs="Arial"/>
        </w:rPr>
        <w:t>n</w:t>
      </w:r>
      <w:r w:rsidR="00FA74BF" w:rsidRPr="003F3B04">
        <w:rPr>
          <w:rFonts w:cs="Arial"/>
        </w:rPr>
        <w:t>’</w:t>
      </w:r>
      <w:r w:rsidR="00415208" w:rsidRPr="003F3B04">
        <w:rPr>
          <w:rFonts w:cs="Arial"/>
        </w:rPr>
        <w:t>t meet their milestones as required</w:t>
      </w:r>
      <w:r w:rsidR="004B0EFE" w:rsidRPr="003F3B04">
        <w:rPr>
          <w:rFonts w:cs="Arial"/>
        </w:rPr>
        <w:t xml:space="preserve">. This unspent grant revenue </w:t>
      </w:r>
      <w:r w:rsidR="004A7CE1" w:rsidRPr="003F3B04">
        <w:rPr>
          <w:rFonts w:cs="Arial"/>
        </w:rPr>
        <w:t>is to be returned to the Department of Justice and Attorney-General</w:t>
      </w:r>
      <w:r w:rsidR="004B0EFE" w:rsidRPr="003F3B04">
        <w:rPr>
          <w:rFonts w:cs="Arial"/>
        </w:rPr>
        <w:t>.</w:t>
      </w:r>
      <w:r w:rsidR="00B10E8B">
        <w:rPr>
          <w:rFonts w:cs="Arial"/>
        </w:rPr>
        <w:t xml:space="preserve"> </w:t>
      </w:r>
    </w:p>
    <w:p w14:paraId="60CDE8BA" w14:textId="48962696" w:rsidR="00EE6378" w:rsidRDefault="00EE6378" w:rsidP="009A0CC5">
      <w:pPr>
        <w:rPr>
          <w:rFonts w:cs="Arial"/>
        </w:rPr>
      </w:pPr>
    </w:p>
    <w:p w14:paraId="49765107" w14:textId="33453247" w:rsidR="009A0CC5" w:rsidRPr="00EE6378" w:rsidRDefault="00EE6378" w:rsidP="00EE6378">
      <w:pPr>
        <w:pStyle w:val="Caption"/>
        <w:rPr>
          <w:rFonts w:cs="Arial"/>
        </w:rPr>
      </w:pPr>
      <w:r w:rsidRPr="00EE6378">
        <w:rPr>
          <w:rFonts w:cs="Arial"/>
        </w:rPr>
        <w:t xml:space="preserve">Table 13: </w:t>
      </w:r>
      <w:r w:rsidR="009A0CC5" w:rsidRPr="00EE6378">
        <w:rPr>
          <w:rFonts w:cs="Arial"/>
        </w:rPr>
        <w:t>Statement of Financial Position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7"/>
        <w:gridCol w:w="1559"/>
        <w:gridCol w:w="1559"/>
      </w:tblGrid>
      <w:tr w:rsidR="003F5D2A" w:rsidRPr="003F5D2A" w14:paraId="469DDA11" w14:textId="77777777" w:rsidTr="00196BED">
        <w:tc>
          <w:tcPr>
            <w:tcW w:w="4957" w:type="dxa"/>
            <w:shd w:val="clear" w:color="auto" w:fill="auto"/>
          </w:tcPr>
          <w:p w14:paraId="5B0F5E3F" w14:textId="77777777" w:rsidR="009A0CC5" w:rsidRPr="003F5D2A" w:rsidRDefault="009A0CC5" w:rsidP="00196BED">
            <w:pPr>
              <w:pStyle w:val="TableTextHeading"/>
            </w:pPr>
          </w:p>
        </w:tc>
        <w:tc>
          <w:tcPr>
            <w:tcW w:w="1559" w:type="dxa"/>
            <w:shd w:val="clear" w:color="auto" w:fill="auto"/>
          </w:tcPr>
          <w:p w14:paraId="4C6470E1" w14:textId="77777777" w:rsidR="009A0CC5" w:rsidRPr="003F5D2A" w:rsidRDefault="009A0CC5" w:rsidP="005F06D9">
            <w:pPr>
              <w:pStyle w:val="TableTextHeading"/>
              <w:jc w:val="right"/>
            </w:pPr>
            <w:r w:rsidRPr="003F5D2A">
              <w:t>2019-20</w:t>
            </w:r>
          </w:p>
          <w:p w14:paraId="779F7585" w14:textId="44CD8747" w:rsidR="003F5D2A" w:rsidRPr="003F5D2A" w:rsidRDefault="003F5D2A" w:rsidP="005F06D9">
            <w:pPr>
              <w:pStyle w:val="TableTextHeading"/>
              <w:jc w:val="right"/>
            </w:pPr>
            <w:r w:rsidRPr="003F5D2A">
              <w:t>($’000)</w:t>
            </w:r>
          </w:p>
        </w:tc>
        <w:tc>
          <w:tcPr>
            <w:tcW w:w="1559" w:type="dxa"/>
            <w:shd w:val="clear" w:color="auto" w:fill="auto"/>
          </w:tcPr>
          <w:p w14:paraId="4DD68302" w14:textId="77777777" w:rsidR="009A0CC5" w:rsidRPr="003F5D2A" w:rsidRDefault="009A0CC5" w:rsidP="005F06D9">
            <w:pPr>
              <w:pStyle w:val="TableTextHeading"/>
              <w:jc w:val="right"/>
            </w:pPr>
            <w:r w:rsidRPr="003F5D2A">
              <w:t>2018-19</w:t>
            </w:r>
          </w:p>
          <w:p w14:paraId="3B6C58F7" w14:textId="3C6F4864" w:rsidR="003F5D2A" w:rsidRPr="003F5D2A" w:rsidRDefault="003F5D2A" w:rsidP="005F06D9">
            <w:pPr>
              <w:pStyle w:val="TableTextHeading"/>
              <w:jc w:val="right"/>
            </w:pPr>
            <w:r w:rsidRPr="003F5D2A">
              <w:t>($’000)</w:t>
            </w:r>
          </w:p>
        </w:tc>
      </w:tr>
      <w:tr w:rsidR="003F5D2A" w:rsidRPr="003F5D2A" w14:paraId="05B647E8" w14:textId="77777777" w:rsidTr="00196BED">
        <w:tc>
          <w:tcPr>
            <w:tcW w:w="4957" w:type="dxa"/>
            <w:shd w:val="clear" w:color="auto" w:fill="auto"/>
          </w:tcPr>
          <w:p w14:paraId="0C6062A3" w14:textId="77777777" w:rsidR="009A0CC5" w:rsidRPr="003F5D2A" w:rsidRDefault="009A0CC5" w:rsidP="00196BED">
            <w:pPr>
              <w:pStyle w:val="TableTextBody"/>
            </w:pPr>
            <w:r w:rsidRPr="003F5D2A">
              <w:t>Current Assets</w:t>
            </w:r>
          </w:p>
        </w:tc>
        <w:tc>
          <w:tcPr>
            <w:tcW w:w="1559" w:type="dxa"/>
            <w:shd w:val="clear" w:color="auto" w:fill="auto"/>
          </w:tcPr>
          <w:p w14:paraId="68B4AF00" w14:textId="77777777" w:rsidR="009A0CC5" w:rsidRPr="003F5D2A" w:rsidRDefault="009A0CC5" w:rsidP="005F06D9">
            <w:pPr>
              <w:pStyle w:val="TableTextBody"/>
              <w:jc w:val="right"/>
            </w:pPr>
            <w:r w:rsidRPr="003F5D2A">
              <w:t>1,197</w:t>
            </w:r>
          </w:p>
        </w:tc>
        <w:tc>
          <w:tcPr>
            <w:tcW w:w="1559" w:type="dxa"/>
            <w:shd w:val="clear" w:color="auto" w:fill="auto"/>
          </w:tcPr>
          <w:p w14:paraId="76AA7E25" w14:textId="77777777" w:rsidR="009A0CC5" w:rsidRPr="003F5D2A" w:rsidRDefault="009A0CC5" w:rsidP="005F06D9">
            <w:pPr>
              <w:pStyle w:val="TableTextBody"/>
              <w:jc w:val="right"/>
            </w:pPr>
            <w:r w:rsidRPr="003F5D2A">
              <w:t>518</w:t>
            </w:r>
          </w:p>
        </w:tc>
      </w:tr>
      <w:tr w:rsidR="003F5D2A" w:rsidRPr="003F5D2A" w14:paraId="49C54BA3" w14:textId="77777777" w:rsidTr="00196BED">
        <w:tc>
          <w:tcPr>
            <w:tcW w:w="4957" w:type="dxa"/>
            <w:shd w:val="clear" w:color="auto" w:fill="auto"/>
          </w:tcPr>
          <w:p w14:paraId="3CF14980" w14:textId="77777777" w:rsidR="009A0CC5" w:rsidRPr="003F5D2A" w:rsidRDefault="009A0CC5" w:rsidP="00196BED">
            <w:pPr>
              <w:pStyle w:val="TableTextBody"/>
            </w:pPr>
            <w:r w:rsidRPr="003F5D2A">
              <w:t>Non-Current Assets</w:t>
            </w:r>
          </w:p>
        </w:tc>
        <w:tc>
          <w:tcPr>
            <w:tcW w:w="1559" w:type="dxa"/>
            <w:shd w:val="clear" w:color="auto" w:fill="auto"/>
          </w:tcPr>
          <w:p w14:paraId="0F9D9283" w14:textId="77777777" w:rsidR="009A0CC5" w:rsidRPr="003F5D2A" w:rsidRDefault="009A0CC5" w:rsidP="005F06D9">
            <w:pPr>
              <w:pStyle w:val="TableTextBody"/>
              <w:jc w:val="right"/>
            </w:pPr>
            <w:r w:rsidRPr="003F5D2A">
              <w:t>1,018</w:t>
            </w:r>
          </w:p>
        </w:tc>
        <w:tc>
          <w:tcPr>
            <w:tcW w:w="1559" w:type="dxa"/>
            <w:shd w:val="clear" w:color="auto" w:fill="auto"/>
          </w:tcPr>
          <w:p w14:paraId="2B0A6B5B" w14:textId="77777777" w:rsidR="009A0CC5" w:rsidRPr="003F5D2A" w:rsidRDefault="009A0CC5" w:rsidP="005F06D9">
            <w:pPr>
              <w:pStyle w:val="TableTextBody"/>
              <w:jc w:val="right"/>
            </w:pPr>
            <w:r w:rsidRPr="003F5D2A">
              <w:t>1,093</w:t>
            </w:r>
          </w:p>
        </w:tc>
      </w:tr>
      <w:tr w:rsidR="003F5D2A" w:rsidRPr="003F5D2A" w14:paraId="23D75067" w14:textId="77777777" w:rsidTr="00196BED">
        <w:tc>
          <w:tcPr>
            <w:tcW w:w="4957" w:type="dxa"/>
            <w:shd w:val="clear" w:color="auto" w:fill="auto"/>
          </w:tcPr>
          <w:p w14:paraId="30F3944B" w14:textId="77777777" w:rsidR="009A0CC5" w:rsidRPr="003F5D2A" w:rsidRDefault="009A0CC5" w:rsidP="005F06D9">
            <w:pPr>
              <w:pStyle w:val="TableTextBold"/>
            </w:pPr>
            <w:r w:rsidRPr="003F5D2A">
              <w:t>Total Assets</w:t>
            </w:r>
          </w:p>
        </w:tc>
        <w:tc>
          <w:tcPr>
            <w:tcW w:w="1559" w:type="dxa"/>
            <w:shd w:val="clear" w:color="auto" w:fill="auto"/>
          </w:tcPr>
          <w:p w14:paraId="0B8CC030" w14:textId="77777777" w:rsidR="009A0CC5" w:rsidRPr="003F5D2A" w:rsidRDefault="009A0CC5" w:rsidP="005F06D9">
            <w:pPr>
              <w:pStyle w:val="TableTextBold"/>
              <w:jc w:val="right"/>
            </w:pPr>
            <w:r w:rsidRPr="003F5D2A">
              <w:t>2,215</w:t>
            </w:r>
          </w:p>
        </w:tc>
        <w:tc>
          <w:tcPr>
            <w:tcW w:w="1559" w:type="dxa"/>
            <w:shd w:val="clear" w:color="auto" w:fill="auto"/>
          </w:tcPr>
          <w:p w14:paraId="31B5BB18" w14:textId="77777777" w:rsidR="009A0CC5" w:rsidRPr="003F5D2A" w:rsidRDefault="009A0CC5" w:rsidP="005F06D9">
            <w:pPr>
              <w:pStyle w:val="TableTextBold"/>
              <w:jc w:val="right"/>
            </w:pPr>
            <w:r w:rsidRPr="003F5D2A">
              <w:t>1,611</w:t>
            </w:r>
          </w:p>
        </w:tc>
      </w:tr>
      <w:tr w:rsidR="003F5D2A" w:rsidRPr="003F5D2A" w14:paraId="7EEAD604" w14:textId="77777777" w:rsidTr="00196BED">
        <w:tc>
          <w:tcPr>
            <w:tcW w:w="4957" w:type="dxa"/>
            <w:shd w:val="clear" w:color="auto" w:fill="auto"/>
          </w:tcPr>
          <w:p w14:paraId="16343A3D" w14:textId="77777777" w:rsidR="009A0CC5" w:rsidRPr="003F5D2A" w:rsidRDefault="009A0CC5" w:rsidP="00196BED">
            <w:pPr>
              <w:pStyle w:val="TableTextBody"/>
            </w:pPr>
          </w:p>
        </w:tc>
        <w:tc>
          <w:tcPr>
            <w:tcW w:w="1559" w:type="dxa"/>
            <w:shd w:val="clear" w:color="auto" w:fill="auto"/>
          </w:tcPr>
          <w:p w14:paraId="6CAB0030" w14:textId="77777777" w:rsidR="009A0CC5" w:rsidRPr="003F5D2A" w:rsidRDefault="009A0CC5" w:rsidP="005F06D9">
            <w:pPr>
              <w:pStyle w:val="TableTextBody"/>
              <w:jc w:val="right"/>
            </w:pPr>
          </w:p>
        </w:tc>
        <w:tc>
          <w:tcPr>
            <w:tcW w:w="1559" w:type="dxa"/>
            <w:shd w:val="clear" w:color="auto" w:fill="auto"/>
          </w:tcPr>
          <w:p w14:paraId="77331CF5" w14:textId="77777777" w:rsidR="009A0CC5" w:rsidRPr="003F5D2A" w:rsidRDefault="009A0CC5" w:rsidP="005F06D9">
            <w:pPr>
              <w:pStyle w:val="TableTextBody"/>
              <w:jc w:val="right"/>
            </w:pPr>
          </w:p>
        </w:tc>
      </w:tr>
      <w:tr w:rsidR="003F5D2A" w:rsidRPr="003F5D2A" w14:paraId="1BA0C91F" w14:textId="77777777" w:rsidTr="00196BED">
        <w:tc>
          <w:tcPr>
            <w:tcW w:w="4957" w:type="dxa"/>
            <w:shd w:val="clear" w:color="auto" w:fill="auto"/>
          </w:tcPr>
          <w:p w14:paraId="122150C4" w14:textId="77777777" w:rsidR="009A0CC5" w:rsidRPr="003F5D2A" w:rsidRDefault="009A0CC5" w:rsidP="00196BED">
            <w:pPr>
              <w:pStyle w:val="TableTextBody"/>
            </w:pPr>
            <w:r w:rsidRPr="003F5D2A">
              <w:t>Current Liabilities</w:t>
            </w:r>
          </w:p>
        </w:tc>
        <w:tc>
          <w:tcPr>
            <w:tcW w:w="1559" w:type="dxa"/>
            <w:shd w:val="clear" w:color="auto" w:fill="auto"/>
          </w:tcPr>
          <w:p w14:paraId="232425AE" w14:textId="3C49AD95" w:rsidR="009A0CC5" w:rsidRPr="003F5D2A" w:rsidRDefault="009A0CC5" w:rsidP="005F06D9">
            <w:pPr>
              <w:pStyle w:val="TableTextBody"/>
              <w:jc w:val="right"/>
            </w:pPr>
            <w:r w:rsidRPr="003F5D2A">
              <w:t>1,</w:t>
            </w:r>
            <w:r w:rsidR="00973549" w:rsidRPr="003F5D2A">
              <w:t>164</w:t>
            </w:r>
          </w:p>
        </w:tc>
        <w:tc>
          <w:tcPr>
            <w:tcW w:w="1559" w:type="dxa"/>
            <w:shd w:val="clear" w:color="auto" w:fill="auto"/>
          </w:tcPr>
          <w:p w14:paraId="3CC639B6" w14:textId="77777777" w:rsidR="009A0CC5" w:rsidRPr="003F5D2A" w:rsidRDefault="009A0CC5" w:rsidP="005F06D9">
            <w:pPr>
              <w:pStyle w:val="TableTextBody"/>
              <w:jc w:val="right"/>
            </w:pPr>
            <w:r w:rsidRPr="003F5D2A">
              <w:t>499</w:t>
            </w:r>
          </w:p>
        </w:tc>
      </w:tr>
      <w:tr w:rsidR="003F5D2A" w:rsidRPr="003F5D2A" w14:paraId="5E2BE86B" w14:textId="77777777" w:rsidTr="00196BED">
        <w:tc>
          <w:tcPr>
            <w:tcW w:w="4957" w:type="dxa"/>
            <w:shd w:val="clear" w:color="auto" w:fill="auto"/>
          </w:tcPr>
          <w:p w14:paraId="0250611D" w14:textId="77777777" w:rsidR="009A0CC5" w:rsidRPr="003F5D2A" w:rsidRDefault="009A0CC5" w:rsidP="005F06D9">
            <w:pPr>
              <w:pStyle w:val="TableTextBold"/>
            </w:pPr>
            <w:r w:rsidRPr="003F5D2A">
              <w:t>Total Liabilities</w:t>
            </w:r>
          </w:p>
        </w:tc>
        <w:tc>
          <w:tcPr>
            <w:tcW w:w="1559" w:type="dxa"/>
            <w:shd w:val="clear" w:color="auto" w:fill="auto"/>
          </w:tcPr>
          <w:p w14:paraId="60AA4783" w14:textId="33745F42" w:rsidR="009A0CC5" w:rsidRPr="003F5D2A" w:rsidRDefault="009A0CC5" w:rsidP="005F06D9">
            <w:pPr>
              <w:pStyle w:val="TableTextBold"/>
              <w:jc w:val="right"/>
            </w:pPr>
            <w:r w:rsidRPr="003F5D2A">
              <w:t>1,</w:t>
            </w:r>
            <w:r w:rsidR="00973549" w:rsidRPr="003F5D2A">
              <w:t>164</w:t>
            </w:r>
          </w:p>
        </w:tc>
        <w:tc>
          <w:tcPr>
            <w:tcW w:w="1559" w:type="dxa"/>
            <w:shd w:val="clear" w:color="auto" w:fill="auto"/>
          </w:tcPr>
          <w:p w14:paraId="7F864C59" w14:textId="77777777" w:rsidR="009A0CC5" w:rsidRPr="003F5D2A" w:rsidRDefault="009A0CC5" w:rsidP="005F06D9">
            <w:pPr>
              <w:pStyle w:val="TableTextBold"/>
              <w:jc w:val="right"/>
            </w:pPr>
            <w:r w:rsidRPr="003F5D2A">
              <w:t>499</w:t>
            </w:r>
          </w:p>
        </w:tc>
      </w:tr>
      <w:tr w:rsidR="003F5D2A" w:rsidRPr="003F5D2A" w14:paraId="1F98DCBC" w14:textId="77777777" w:rsidTr="00196BED">
        <w:tc>
          <w:tcPr>
            <w:tcW w:w="4957" w:type="dxa"/>
            <w:shd w:val="clear" w:color="auto" w:fill="auto"/>
          </w:tcPr>
          <w:p w14:paraId="558034E6" w14:textId="77777777" w:rsidR="009A0CC5" w:rsidRPr="003F5D2A" w:rsidRDefault="009A0CC5" w:rsidP="00196BED">
            <w:pPr>
              <w:pStyle w:val="TableTextBody"/>
            </w:pPr>
          </w:p>
        </w:tc>
        <w:tc>
          <w:tcPr>
            <w:tcW w:w="1559" w:type="dxa"/>
            <w:shd w:val="clear" w:color="auto" w:fill="auto"/>
          </w:tcPr>
          <w:p w14:paraId="327A4834" w14:textId="77777777" w:rsidR="009A0CC5" w:rsidRPr="003F5D2A" w:rsidRDefault="009A0CC5" w:rsidP="005F06D9">
            <w:pPr>
              <w:pStyle w:val="TableTextBody"/>
              <w:jc w:val="right"/>
            </w:pPr>
          </w:p>
        </w:tc>
        <w:tc>
          <w:tcPr>
            <w:tcW w:w="1559" w:type="dxa"/>
            <w:shd w:val="clear" w:color="auto" w:fill="auto"/>
          </w:tcPr>
          <w:p w14:paraId="1830B4E8" w14:textId="77777777" w:rsidR="009A0CC5" w:rsidRPr="003F5D2A" w:rsidRDefault="009A0CC5" w:rsidP="005F06D9">
            <w:pPr>
              <w:pStyle w:val="TableTextBody"/>
              <w:jc w:val="right"/>
            </w:pPr>
          </w:p>
        </w:tc>
      </w:tr>
      <w:tr w:rsidR="003F5D2A" w:rsidRPr="003F5D2A" w14:paraId="4BF5B5E1" w14:textId="77777777" w:rsidTr="00196BED">
        <w:tc>
          <w:tcPr>
            <w:tcW w:w="4957" w:type="dxa"/>
            <w:shd w:val="clear" w:color="auto" w:fill="auto"/>
          </w:tcPr>
          <w:p w14:paraId="4658D178" w14:textId="77777777" w:rsidR="009A0CC5" w:rsidRPr="003F5D2A" w:rsidRDefault="009A0CC5" w:rsidP="00196BED">
            <w:pPr>
              <w:pStyle w:val="TableTextBody"/>
            </w:pPr>
            <w:r w:rsidRPr="003F5D2A">
              <w:t>Net Assets</w:t>
            </w:r>
          </w:p>
        </w:tc>
        <w:tc>
          <w:tcPr>
            <w:tcW w:w="1559" w:type="dxa"/>
            <w:shd w:val="clear" w:color="auto" w:fill="auto"/>
          </w:tcPr>
          <w:p w14:paraId="5868B2C6" w14:textId="54451B57" w:rsidR="009A0CC5" w:rsidRPr="003F5D2A" w:rsidRDefault="00973549" w:rsidP="005F06D9">
            <w:pPr>
              <w:pStyle w:val="TableTextBody"/>
              <w:jc w:val="right"/>
            </w:pPr>
            <w:r w:rsidRPr="003F5D2A">
              <w:t>1,051</w:t>
            </w:r>
          </w:p>
        </w:tc>
        <w:tc>
          <w:tcPr>
            <w:tcW w:w="1559" w:type="dxa"/>
            <w:shd w:val="clear" w:color="auto" w:fill="auto"/>
          </w:tcPr>
          <w:p w14:paraId="439F2906" w14:textId="77777777" w:rsidR="009A0CC5" w:rsidRPr="003F5D2A" w:rsidRDefault="009A0CC5" w:rsidP="005F06D9">
            <w:pPr>
              <w:pStyle w:val="TableTextBody"/>
              <w:jc w:val="right"/>
            </w:pPr>
            <w:r w:rsidRPr="003F5D2A">
              <w:t>1,112</w:t>
            </w:r>
          </w:p>
        </w:tc>
      </w:tr>
      <w:tr w:rsidR="003F5D2A" w:rsidRPr="003F5D2A" w14:paraId="67C254E0" w14:textId="77777777" w:rsidTr="00196BED">
        <w:tc>
          <w:tcPr>
            <w:tcW w:w="4957" w:type="dxa"/>
            <w:shd w:val="clear" w:color="auto" w:fill="auto"/>
          </w:tcPr>
          <w:p w14:paraId="2C4F4564" w14:textId="77777777" w:rsidR="009A0CC5" w:rsidRPr="003F5D2A" w:rsidRDefault="009A0CC5" w:rsidP="00196BED">
            <w:pPr>
              <w:pStyle w:val="TableTextBody"/>
            </w:pPr>
          </w:p>
        </w:tc>
        <w:tc>
          <w:tcPr>
            <w:tcW w:w="1559" w:type="dxa"/>
            <w:shd w:val="clear" w:color="auto" w:fill="auto"/>
          </w:tcPr>
          <w:p w14:paraId="7825E032" w14:textId="77777777" w:rsidR="009A0CC5" w:rsidRPr="003F5D2A" w:rsidRDefault="009A0CC5" w:rsidP="005F06D9">
            <w:pPr>
              <w:pStyle w:val="TableTextBody"/>
              <w:jc w:val="right"/>
            </w:pPr>
          </w:p>
        </w:tc>
        <w:tc>
          <w:tcPr>
            <w:tcW w:w="1559" w:type="dxa"/>
            <w:shd w:val="clear" w:color="auto" w:fill="auto"/>
          </w:tcPr>
          <w:p w14:paraId="6016DA52" w14:textId="77777777" w:rsidR="009A0CC5" w:rsidRPr="003F5D2A" w:rsidRDefault="009A0CC5" w:rsidP="005F06D9">
            <w:pPr>
              <w:pStyle w:val="TableTextBody"/>
              <w:jc w:val="right"/>
            </w:pPr>
          </w:p>
        </w:tc>
      </w:tr>
      <w:tr w:rsidR="003F5D2A" w:rsidRPr="003F5D2A" w14:paraId="60C79473" w14:textId="77777777" w:rsidTr="00196BED">
        <w:tc>
          <w:tcPr>
            <w:tcW w:w="4957" w:type="dxa"/>
            <w:shd w:val="clear" w:color="auto" w:fill="auto"/>
          </w:tcPr>
          <w:p w14:paraId="253F1475" w14:textId="77777777" w:rsidR="009A0CC5" w:rsidRPr="003F5D2A" w:rsidRDefault="009A0CC5" w:rsidP="005F06D9">
            <w:pPr>
              <w:pStyle w:val="TableTextBold"/>
            </w:pPr>
            <w:r w:rsidRPr="003F5D2A">
              <w:t>Total Equity</w:t>
            </w:r>
          </w:p>
        </w:tc>
        <w:tc>
          <w:tcPr>
            <w:tcW w:w="1559" w:type="dxa"/>
            <w:shd w:val="clear" w:color="auto" w:fill="auto"/>
          </w:tcPr>
          <w:p w14:paraId="00008262" w14:textId="77777777" w:rsidR="009A0CC5" w:rsidRPr="003F5D2A" w:rsidRDefault="009A0CC5" w:rsidP="005F06D9">
            <w:pPr>
              <w:pStyle w:val="TableTextBold"/>
              <w:jc w:val="right"/>
            </w:pPr>
            <w:r w:rsidRPr="003F5D2A">
              <w:t>1,051</w:t>
            </w:r>
          </w:p>
        </w:tc>
        <w:tc>
          <w:tcPr>
            <w:tcW w:w="1559" w:type="dxa"/>
            <w:shd w:val="clear" w:color="auto" w:fill="auto"/>
          </w:tcPr>
          <w:p w14:paraId="2E968DB8" w14:textId="77777777" w:rsidR="009A0CC5" w:rsidRPr="003F5D2A" w:rsidRDefault="009A0CC5" w:rsidP="005F06D9">
            <w:pPr>
              <w:pStyle w:val="TableTextBold"/>
              <w:jc w:val="right"/>
            </w:pPr>
            <w:r w:rsidRPr="003F5D2A">
              <w:t>1,112</w:t>
            </w:r>
          </w:p>
        </w:tc>
      </w:tr>
    </w:tbl>
    <w:p w14:paraId="6396E7C7" w14:textId="77777777" w:rsidR="009A0CC5" w:rsidRPr="00A21D7D" w:rsidRDefault="009A0CC5" w:rsidP="009A0CC5">
      <w:pPr>
        <w:rPr>
          <w:rFonts w:cs="Arial"/>
        </w:rPr>
      </w:pPr>
    </w:p>
    <w:p w14:paraId="2F469BA1" w14:textId="2505A523" w:rsidR="009A0CC5" w:rsidRPr="00A21D7D" w:rsidRDefault="00EE6378" w:rsidP="009A0CC5">
      <w:pPr>
        <w:rPr>
          <w:rFonts w:cs="Arial"/>
        </w:rPr>
      </w:pPr>
      <w:r>
        <w:rPr>
          <w:rFonts w:cs="Arial"/>
        </w:rPr>
        <w:t>Table 13</w:t>
      </w:r>
      <w:r w:rsidR="009A0CC5" w:rsidRPr="00A21D7D">
        <w:rPr>
          <w:rFonts w:cs="Arial"/>
        </w:rPr>
        <w:t xml:space="preserve"> sets out the</w:t>
      </w:r>
      <w:r w:rsidR="00B3611B">
        <w:rPr>
          <w:rFonts w:cs="Arial"/>
        </w:rPr>
        <w:t xml:space="preserve"> Commission’s</w:t>
      </w:r>
      <w:r w:rsidR="009A0CC5" w:rsidRPr="00A21D7D">
        <w:rPr>
          <w:rFonts w:cs="Arial"/>
        </w:rPr>
        <w:t xml:space="preserve"> </w:t>
      </w:r>
      <w:r>
        <w:rPr>
          <w:rFonts w:cs="Arial"/>
        </w:rPr>
        <w:t>net a</w:t>
      </w:r>
      <w:r w:rsidR="009A0CC5" w:rsidRPr="00A21D7D">
        <w:rPr>
          <w:rFonts w:cs="Arial"/>
        </w:rPr>
        <w:t>ssets (that is</w:t>
      </w:r>
      <w:r>
        <w:rPr>
          <w:rFonts w:cs="Arial"/>
        </w:rPr>
        <w:t>, assets less liabilities) and e</w:t>
      </w:r>
      <w:r w:rsidR="00B3611B">
        <w:rPr>
          <w:rFonts w:cs="Arial"/>
        </w:rPr>
        <w:t>quity</w:t>
      </w:r>
      <w:r>
        <w:rPr>
          <w:rFonts w:cs="Arial"/>
        </w:rPr>
        <w:t>.</w:t>
      </w:r>
      <w:r w:rsidR="00B10E8B">
        <w:rPr>
          <w:rFonts w:cs="Arial"/>
        </w:rPr>
        <w:t xml:space="preserve"> </w:t>
      </w:r>
      <w:r>
        <w:rPr>
          <w:rFonts w:cs="Arial"/>
        </w:rPr>
        <w:t xml:space="preserve">As at 30 June 2020, the </w:t>
      </w:r>
      <w:r w:rsidR="00B3611B">
        <w:rPr>
          <w:rFonts w:cs="Arial"/>
        </w:rPr>
        <w:t xml:space="preserve">Commission’s </w:t>
      </w:r>
      <w:r>
        <w:rPr>
          <w:rFonts w:cs="Arial"/>
        </w:rPr>
        <w:t>n</w:t>
      </w:r>
      <w:r w:rsidR="009A0CC5" w:rsidRPr="00A21D7D">
        <w:rPr>
          <w:rFonts w:cs="Arial"/>
        </w:rPr>
        <w:t xml:space="preserve">et </w:t>
      </w:r>
      <w:r>
        <w:rPr>
          <w:rFonts w:cs="Arial"/>
        </w:rPr>
        <w:t>a</w:t>
      </w:r>
      <w:r w:rsidR="009A0CC5" w:rsidRPr="00A21D7D">
        <w:rPr>
          <w:rFonts w:cs="Arial"/>
        </w:rPr>
        <w:t>ssets were $</w:t>
      </w:r>
      <w:r w:rsidR="00973549">
        <w:rPr>
          <w:rFonts w:cs="Arial"/>
        </w:rPr>
        <w:t>1</w:t>
      </w:r>
      <w:r w:rsidR="00ED7AA0" w:rsidRPr="00A21D7D">
        <w:rPr>
          <w:rFonts w:cs="Arial"/>
        </w:rPr>
        <w:t>.</w:t>
      </w:r>
      <w:r w:rsidR="00973549">
        <w:rPr>
          <w:rFonts w:cs="Arial"/>
        </w:rPr>
        <w:t>051</w:t>
      </w:r>
      <w:r w:rsidR="009A0CC5" w:rsidRPr="00A21D7D">
        <w:rPr>
          <w:rFonts w:cs="Arial"/>
        </w:rPr>
        <w:t xml:space="preserve"> million.</w:t>
      </w:r>
    </w:p>
    <w:p w14:paraId="42CD3D44" w14:textId="5AC702E1" w:rsidR="009A0CC5" w:rsidRPr="00A21D7D" w:rsidRDefault="009A0CC5" w:rsidP="009A0CC5">
      <w:pPr>
        <w:rPr>
          <w:rFonts w:cs="Arial"/>
        </w:rPr>
      </w:pPr>
      <w:r w:rsidRPr="00A21D7D">
        <w:rPr>
          <w:rFonts w:cs="Arial"/>
        </w:rPr>
        <w:t xml:space="preserve">Total assets increased to $2.215 million ($0.604 million or 38% </w:t>
      </w:r>
      <w:r w:rsidR="00A244E6">
        <w:rPr>
          <w:rFonts w:cs="Arial"/>
        </w:rPr>
        <w:t xml:space="preserve">increase from </w:t>
      </w:r>
      <w:r w:rsidRPr="00A21D7D">
        <w:rPr>
          <w:rFonts w:cs="Arial"/>
        </w:rPr>
        <w:t>2018-19) which is a result of increased cash on hand primarily from in-year labour savings from vacant positions.</w:t>
      </w:r>
    </w:p>
    <w:p w14:paraId="56B42202" w14:textId="4083AF53" w:rsidR="009A0CC5" w:rsidRDefault="009A0CC5" w:rsidP="009A0CC5">
      <w:pPr>
        <w:rPr>
          <w:rFonts w:cs="Arial"/>
        </w:rPr>
      </w:pPr>
      <w:r w:rsidRPr="00A21D7D">
        <w:rPr>
          <w:rFonts w:cs="Arial"/>
        </w:rPr>
        <w:t xml:space="preserve">The majority of current liabilities relate to employee entitlements ($0.593 million or </w:t>
      </w:r>
      <w:r w:rsidR="00FD1755" w:rsidRPr="00FD1755">
        <w:rPr>
          <w:rFonts w:cs="Arial"/>
        </w:rPr>
        <w:t>51</w:t>
      </w:r>
      <w:r w:rsidRPr="00A21D7D">
        <w:rPr>
          <w:rFonts w:cs="Arial"/>
        </w:rPr>
        <w:t>% of current liabilities) which is made up of salaries and recreation leave entitlements as at 30 June 2020.</w:t>
      </w:r>
      <w:r w:rsidR="00B10E8B">
        <w:rPr>
          <w:rFonts w:cs="Arial"/>
        </w:rPr>
        <w:t xml:space="preserve"> </w:t>
      </w:r>
      <w:r w:rsidRPr="00A21D7D">
        <w:rPr>
          <w:rFonts w:cs="Arial"/>
        </w:rPr>
        <w:t>The other main component of current liabilities is $0.</w:t>
      </w:r>
      <w:r w:rsidR="00FD1755">
        <w:rPr>
          <w:rFonts w:cs="Arial"/>
        </w:rPr>
        <w:t>436</w:t>
      </w:r>
      <w:r w:rsidRPr="00A21D7D">
        <w:rPr>
          <w:rFonts w:cs="Arial"/>
        </w:rPr>
        <w:t xml:space="preserve"> million (</w:t>
      </w:r>
      <w:r w:rsidR="00FD1755">
        <w:rPr>
          <w:rFonts w:cs="Arial"/>
        </w:rPr>
        <w:t>38</w:t>
      </w:r>
      <w:r w:rsidRPr="00A21D7D">
        <w:rPr>
          <w:rFonts w:cs="Arial"/>
        </w:rPr>
        <w:t>%) relating to the unspent grant funds to be returned.</w:t>
      </w:r>
    </w:p>
    <w:p w14:paraId="748B50D7" w14:textId="2D8DEEE9" w:rsidR="00ED7AA0" w:rsidRPr="00A21D7D" w:rsidRDefault="00ED7AA0" w:rsidP="00C71D43">
      <w:pPr>
        <w:pStyle w:val="Heading2"/>
      </w:pPr>
      <w:bookmarkStart w:id="105" w:name="_Toc49508942"/>
      <w:r w:rsidRPr="00A21D7D">
        <w:lastRenderedPageBreak/>
        <w:t>Comparison to the 2019-20 Budget</w:t>
      </w:r>
      <w:r w:rsidRPr="00DF0077">
        <w:rPr>
          <w:rStyle w:val="FootnoteReference"/>
          <w:rFonts w:cs="Arial"/>
          <w:sz w:val="24"/>
        </w:rPr>
        <w:footnoteReference w:id="8"/>
      </w:r>
      <w:bookmarkEnd w:id="105"/>
    </w:p>
    <w:p w14:paraId="1FA93C3F" w14:textId="2650FC9E" w:rsidR="00ED7AA0" w:rsidRPr="00A21D7D" w:rsidRDefault="00ED7AA0" w:rsidP="00ED7AA0">
      <w:pPr>
        <w:rPr>
          <w:rFonts w:cs="Arial"/>
        </w:rPr>
      </w:pPr>
      <w:r w:rsidRPr="00A21D7D">
        <w:rPr>
          <w:rFonts w:cs="Arial"/>
        </w:rPr>
        <w:t>Budget and Actual performance together with explanatory notes on major variances are provided in detail in Note E1 of the audited financial statements provided with this report.</w:t>
      </w:r>
      <w:r w:rsidR="00B10E8B">
        <w:rPr>
          <w:rFonts w:cs="Arial"/>
        </w:rPr>
        <w:t xml:space="preserve"> </w:t>
      </w:r>
    </w:p>
    <w:p w14:paraId="0E062061" w14:textId="77777777" w:rsidR="009A0CC5" w:rsidRPr="00A21D7D" w:rsidRDefault="009A0CC5" w:rsidP="00A244E6">
      <w:pPr>
        <w:pStyle w:val="Heading2"/>
      </w:pPr>
      <w:bookmarkStart w:id="106" w:name="_Toc49508943"/>
      <w:r w:rsidRPr="00A21D7D">
        <w:t>Certification of financial statements</w:t>
      </w:r>
      <w:bookmarkEnd w:id="106"/>
    </w:p>
    <w:p w14:paraId="1C14E45C" w14:textId="77777777" w:rsidR="009A0CC5" w:rsidRPr="00A21D7D" w:rsidRDefault="009A0CC5" w:rsidP="009A0CC5">
      <w:pPr>
        <w:rPr>
          <w:rFonts w:cs="Arial"/>
        </w:rPr>
      </w:pPr>
      <w:r w:rsidRPr="00A21D7D">
        <w:rPr>
          <w:rFonts w:cs="Arial"/>
        </w:rPr>
        <w:t xml:space="preserve">The certification of financial statements accompanies the annual report or can be view at </w:t>
      </w:r>
      <w:hyperlink r:id="rId27" w:history="1">
        <w:r w:rsidRPr="00A21D7D">
          <w:rPr>
            <w:rStyle w:val="Hyperlink"/>
            <w:rFonts w:cs="Arial"/>
          </w:rPr>
          <w:t>www.qhrc.qld.gov.au</w:t>
        </w:r>
      </w:hyperlink>
      <w:r w:rsidRPr="00A21D7D">
        <w:rPr>
          <w:rFonts w:cs="Arial"/>
        </w:rPr>
        <w:t>.</w:t>
      </w:r>
    </w:p>
    <w:p w14:paraId="78C02467" w14:textId="77777777" w:rsidR="009A0CC5" w:rsidRPr="00A21D7D" w:rsidRDefault="009A0CC5" w:rsidP="00A244E6">
      <w:pPr>
        <w:pStyle w:val="Heading2"/>
      </w:pPr>
      <w:bookmarkStart w:id="107" w:name="_Toc49508944"/>
      <w:r w:rsidRPr="00A21D7D">
        <w:t>Independent auditor’s report</w:t>
      </w:r>
      <w:bookmarkEnd w:id="107"/>
    </w:p>
    <w:p w14:paraId="7E4177DA" w14:textId="77777777" w:rsidR="009A0CC5" w:rsidRPr="00A21D7D" w:rsidRDefault="009A0CC5" w:rsidP="009A0CC5">
      <w:pPr>
        <w:rPr>
          <w:rFonts w:cs="Arial"/>
        </w:rPr>
      </w:pPr>
      <w:r w:rsidRPr="00A21D7D">
        <w:rPr>
          <w:rFonts w:cs="Arial"/>
        </w:rPr>
        <w:t xml:space="preserve">The independent auditor’s report accompanies the annual report or can be viewed at </w:t>
      </w:r>
      <w:hyperlink r:id="rId28" w:history="1">
        <w:r w:rsidRPr="00A21D7D">
          <w:rPr>
            <w:rStyle w:val="Hyperlink"/>
            <w:rFonts w:cs="Arial"/>
          </w:rPr>
          <w:t>www.qhrc.qld.gov.au</w:t>
        </w:r>
      </w:hyperlink>
      <w:r w:rsidRPr="00A21D7D">
        <w:rPr>
          <w:rFonts w:cs="Arial"/>
        </w:rPr>
        <w:t>.</w:t>
      </w:r>
    </w:p>
    <w:p w14:paraId="309FF0E4" w14:textId="3E2EAB8D" w:rsidR="00E30877" w:rsidRPr="00A21D7D" w:rsidRDefault="00E30877">
      <w:pPr>
        <w:rPr>
          <w:rFonts w:cs="Arial"/>
        </w:rPr>
      </w:pPr>
      <w:r w:rsidRPr="00A21D7D">
        <w:rPr>
          <w:rFonts w:cs="Arial"/>
        </w:rPr>
        <w:br w:type="page"/>
      </w:r>
    </w:p>
    <w:p w14:paraId="739A9012" w14:textId="436D29C7" w:rsidR="008B37DE" w:rsidRPr="00A21D7D" w:rsidRDefault="006206B9" w:rsidP="006860E4">
      <w:pPr>
        <w:pStyle w:val="Heading1"/>
      </w:pPr>
      <w:bookmarkStart w:id="108" w:name="_Toc49508945"/>
      <w:r w:rsidRPr="00DA0DFF">
        <w:lastRenderedPageBreak/>
        <w:t>Appendix A: Compliance checklist</w:t>
      </w:r>
      <w:bookmarkEnd w:id="108"/>
      <w:r w:rsidRPr="00A21D7D">
        <w:t xml:space="preserve"> </w:t>
      </w:r>
    </w:p>
    <w:tbl>
      <w:tblPr>
        <w:tblW w:w="9923" w:type="dxa"/>
        <w:tblBorders>
          <w:insideH w:val="single" w:sz="4" w:space="0" w:color="auto"/>
        </w:tblBorders>
        <w:tblLayout w:type="fixed"/>
        <w:tblLook w:val="01E0" w:firstRow="1" w:lastRow="1" w:firstColumn="1" w:lastColumn="1" w:noHBand="0" w:noVBand="0"/>
      </w:tblPr>
      <w:tblGrid>
        <w:gridCol w:w="1548"/>
        <w:gridCol w:w="4264"/>
        <w:gridCol w:w="2520"/>
        <w:gridCol w:w="1591"/>
      </w:tblGrid>
      <w:tr w:rsidR="008B37DE" w:rsidRPr="00A21D7D" w14:paraId="13FCE739" w14:textId="77777777" w:rsidTr="00D9029E">
        <w:trPr>
          <w:cantSplit/>
          <w:tblHeader/>
        </w:trPr>
        <w:tc>
          <w:tcPr>
            <w:tcW w:w="5812" w:type="dxa"/>
            <w:gridSpan w:val="2"/>
            <w:tcBorders>
              <w:top w:val="single" w:sz="4" w:space="0" w:color="auto"/>
              <w:bottom w:val="single" w:sz="4" w:space="0" w:color="auto"/>
              <w:right w:val="single" w:sz="4" w:space="0" w:color="auto"/>
            </w:tcBorders>
            <w:shd w:val="clear" w:color="auto" w:fill="E6E6E6"/>
            <w:vAlign w:val="center"/>
          </w:tcPr>
          <w:p w14:paraId="0B95F868" w14:textId="77777777" w:rsidR="008B37DE" w:rsidRPr="00A21D7D" w:rsidRDefault="008B37DE" w:rsidP="007A5833">
            <w:pPr>
              <w:pStyle w:val="TableTextHeading"/>
            </w:pPr>
            <w:r w:rsidRPr="00A21D7D">
              <w:t>Summary of requirement</w:t>
            </w:r>
          </w:p>
        </w:tc>
        <w:tc>
          <w:tcPr>
            <w:tcW w:w="2520" w:type="dxa"/>
            <w:tcBorders>
              <w:top w:val="single" w:sz="4" w:space="0" w:color="auto"/>
              <w:left w:val="single" w:sz="4" w:space="0" w:color="auto"/>
              <w:bottom w:val="single" w:sz="4" w:space="0" w:color="auto"/>
            </w:tcBorders>
            <w:shd w:val="clear" w:color="auto" w:fill="E6E6E6"/>
            <w:vAlign w:val="center"/>
          </w:tcPr>
          <w:p w14:paraId="1367569F" w14:textId="77777777" w:rsidR="008B37DE" w:rsidRPr="00A21D7D" w:rsidRDefault="008B37DE" w:rsidP="007A5833">
            <w:pPr>
              <w:pStyle w:val="TableTextHeading"/>
            </w:pPr>
            <w:r w:rsidRPr="00A21D7D">
              <w:t>Basis for requirement</w:t>
            </w:r>
          </w:p>
        </w:tc>
        <w:tc>
          <w:tcPr>
            <w:tcW w:w="1591" w:type="dxa"/>
            <w:tcBorders>
              <w:top w:val="single" w:sz="4" w:space="0" w:color="auto"/>
              <w:left w:val="single" w:sz="4" w:space="0" w:color="auto"/>
              <w:bottom w:val="single" w:sz="4" w:space="0" w:color="auto"/>
            </w:tcBorders>
            <w:shd w:val="clear" w:color="auto" w:fill="E6E6E6"/>
            <w:vAlign w:val="center"/>
          </w:tcPr>
          <w:p w14:paraId="7E72C502" w14:textId="77777777" w:rsidR="008B37DE" w:rsidRPr="00A21D7D" w:rsidRDefault="008B37DE" w:rsidP="007A5833">
            <w:pPr>
              <w:pStyle w:val="TableTextHeading"/>
            </w:pPr>
            <w:r w:rsidRPr="00A21D7D">
              <w:t>Annual report reference</w:t>
            </w:r>
          </w:p>
        </w:tc>
      </w:tr>
      <w:tr w:rsidR="008B37DE" w:rsidRPr="00A21D7D" w14:paraId="6F5D721B" w14:textId="77777777" w:rsidTr="00D9029E">
        <w:trPr>
          <w:cantSplit/>
        </w:trPr>
        <w:tc>
          <w:tcPr>
            <w:tcW w:w="1548" w:type="dxa"/>
            <w:tcBorders>
              <w:top w:val="single" w:sz="4" w:space="0" w:color="auto"/>
              <w:bottom w:val="single" w:sz="4" w:space="0" w:color="auto"/>
              <w:right w:val="single" w:sz="4" w:space="0" w:color="auto"/>
            </w:tcBorders>
          </w:tcPr>
          <w:p w14:paraId="683F352B" w14:textId="77777777" w:rsidR="008B37DE" w:rsidRPr="00A21D7D" w:rsidRDefault="008B37DE" w:rsidP="007A5833">
            <w:pPr>
              <w:pStyle w:val="TableTextBody"/>
            </w:pPr>
            <w:r w:rsidRPr="00A21D7D">
              <w:t>Letter of compliance</w:t>
            </w:r>
          </w:p>
        </w:tc>
        <w:tc>
          <w:tcPr>
            <w:tcW w:w="4264" w:type="dxa"/>
            <w:tcBorders>
              <w:top w:val="single" w:sz="4" w:space="0" w:color="auto"/>
              <w:left w:val="single" w:sz="4" w:space="0" w:color="auto"/>
              <w:bottom w:val="single" w:sz="4" w:space="0" w:color="auto"/>
              <w:right w:val="single" w:sz="4" w:space="0" w:color="auto"/>
            </w:tcBorders>
          </w:tcPr>
          <w:p w14:paraId="5BE7AD0D" w14:textId="77777777" w:rsidR="008B37DE" w:rsidRPr="00A21D7D" w:rsidRDefault="008B37DE" w:rsidP="007A5833">
            <w:pPr>
              <w:pStyle w:val="TableTextBody"/>
            </w:pPr>
            <w:r w:rsidRPr="00A21D7D">
              <w:t>A letter of compliance from the accountable officer or statutory body to the relevant Minister/s</w:t>
            </w:r>
          </w:p>
        </w:tc>
        <w:tc>
          <w:tcPr>
            <w:tcW w:w="2520" w:type="dxa"/>
            <w:tcBorders>
              <w:top w:val="single" w:sz="4" w:space="0" w:color="auto"/>
              <w:left w:val="single" w:sz="4" w:space="0" w:color="auto"/>
              <w:bottom w:val="single" w:sz="4" w:space="0" w:color="auto"/>
            </w:tcBorders>
            <w:shd w:val="clear" w:color="auto" w:fill="auto"/>
          </w:tcPr>
          <w:p w14:paraId="61E6C448" w14:textId="77777777" w:rsidR="008B37DE" w:rsidRPr="00A21D7D" w:rsidRDefault="008B37DE" w:rsidP="007A5833">
            <w:pPr>
              <w:pStyle w:val="TableTextBody"/>
            </w:pPr>
            <w:r w:rsidRPr="00A21D7D">
              <w:t>ARRs</w:t>
            </w:r>
            <w:r w:rsidRPr="00A21D7D">
              <w:rPr>
                <w:i/>
              </w:rPr>
              <w:t xml:space="preserve"> – </w:t>
            </w:r>
            <w:r w:rsidRPr="00A21D7D">
              <w:t>section 7</w:t>
            </w:r>
          </w:p>
        </w:tc>
        <w:tc>
          <w:tcPr>
            <w:tcW w:w="1591" w:type="dxa"/>
            <w:tcBorders>
              <w:top w:val="single" w:sz="4" w:space="0" w:color="auto"/>
              <w:left w:val="single" w:sz="4" w:space="0" w:color="auto"/>
              <w:bottom w:val="single" w:sz="4" w:space="0" w:color="auto"/>
            </w:tcBorders>
            <w:shd w:val="clear" w:color="auto" w:fill="auto"/>
          </w:tcPr>
          <w:p w14:paraId="6D04E1F5" w14:textId="0DD4959D" w:rsidR="008B37DE" w:rsidRPr="00A21D7D" w:rsidRDefault="00DA0DFF" w:rsidP="007A5833">
            <w:pPr>
              <w:pStyle w:val="TableTextBody"/>
            </w:pPr>
            <w:r>
              <w:t>Page 4</w:t>
            </w:r>
          </w:p>
        </w:tc>
      </w:tr>
      <w:tr w:rsidR="008B37DE" w:rsidRPr="00A21D7D" w14:paraId="603C419D" w14:textId="77777777" w:rsidTr="00D9029E">
        <w:trPr>
          <w:cantSplit/>
        </w:trPr>
        <w:tc>
          <w:tcPr>
            <w:tcW w:w="1548" w:type="dxa"/>
            <w:vMerge w:val="restart"/>
            <w:tcBorders>
              <w:top w:val="single" w:sz="4" w:space="0" w:color="auto"/>
              <w:right w:val="single" w:sz="4" w:space="0" w:color="auto"/>
            </w:tcBorders>
          </w:tcPr>
          <w:p w14:paraId="6EEF6A9F" w14:textId="77777777" w:rsidR="008B37DE" w:rsidRPr="00A21D7D" w:rsidRDefault="008B37DE" w:rsidP="007A5833">
            <w:pPr>
              <w:pStyle w:val="TableTextBody"/>
            </w:pPr>
            <w:r w:rsidRPr="00A21D7D">
              <w:t>Accessibility</w:t>
            </w:r>
          </w:p>
        </w:tc>
        <w:tc>
          <w:tcPr>
            <w:tcW w:w="4264" w:type="dxa"/>
            <w:tcBorders>
              <w:top w:val="single" w:sz="4" w:space="0" w:color="auto"/>
              <w:left w:val="single" w:sz="4" w:space="0" w:color="auto"/>
              <w:bottom w:val="single" w:sz="4" w:space="0" w:color="auto"/>
              <w:right w:val="single" w:sz="4" w:space="0" w:color="auto"/>
            </w:tcBorders>
          </w:tcPr>
          <w:p w14:paraId="71DA367E" w14:textId="77777777" w:rsidR="008B37DE" w:rsidRPr="00A21D7D" w:rsidRDefault="008B37DE" w:rsidP="007A5833">
            <w:pPr>
              <w:pStyle w:val="TableTextBody"/>
            </w:pPr>
            <w:r w:rsidRPr="00A21D7D">
              <w:t>Table of contents</w:t>
            </w:r>
          </w:p>
          <w:p w14:paraId="5B696CCB" w14:textId="77777777" w:rsidR="008B37DE" w:rsidRPr="00A21D7D" w:rsidRDefault="008B37DE" w:rsidP="007A5833">
            <w:pPr>
              <w:pStyle w:val="TableTextBody"/>
            </w:pPr>
            <w:r w:rsidRPr="00A21D7D">
              <w:t>Glossary</w:t>
            </w:r>
          </w:p>
        </w:tc>
        <w:tc>
          <w:tcPr>
            <w:tcW w:w="2520" w:type="dxa"/>
            <w:tcBorders>
              <w:top w:val="single" w:sz="4" w:space="0" w:color="auto"/>
              <w:left w:val="single" w:sz="4" w:space="0" w:color="auto"/>
              <w:bottom w:val="single" w:sz="4" w:space="0" w:color="auto"/>
            </w:tcBorders>
            <w:shd w:val="clear" w:color="auto" w:fill="auto"/>
          </w:tcPr>
          <w:p w14:paraId="767F8CAC" w14:textId="77777777" w:rsidR="008B37DE" w:rsidRPr="00A21D7D" w:rsidRDefault="008B37DE" w:rsidP="007A5833">
            <w:pPr>
              <w:pStyle w:val="TableTextBody"/>
            </w:pPr>
            <w:r w:rsidRPr="00A21D7D">
              <w:t>ARRs – section 9.1</w:t>
            </w:r>
          </w:p>
        </w:tc>
        <w:tc>
          <w:tcPr>
            <w:tcW w:w="1591" w:type="dxa"/>
            <w:tcBorders>
              <w:top w:val="single" w:sz="4" w:space="0" w:color="auto"/>
              <w:left w:val="single" w:sz="4" w:space="0" w:color="auto"/>
              <w:bottom w:val="single" w:sz="4" w:space="0" w:color="auto"/>
            </w:tcBorders>
            <w:shd w:val="clear" w:color="auto" w:fill="auto"/>
          </w:tcPr>
          <w:p w14:paraId="48D2456C" w14:textId="77777777" w:rsidR="008B37DE" w:rsidRDefault="00DA0DFF" w:rsidP="007A5833">
            <w:pPr>
              <w:pStyle w:val="TableTextBody"/>
            </w:pPr>
            <w:r>
              <w:t>Page 2</w:t>
            </w:r>
          </w:p>
          <w:p w14:paraId="16449607" w14:textId="624F6D28" w:rsidR="00DA0DFF" w:rsidRPr="00A21D7D" w:rsidRDefault="00DA0DFF" w:rsidP="007A5833">
            <w:pPr>
              <w:pStyle w:val="TableTextBody"/>
            </w:pPr>
            <w:r>
              <w:t>Page 78</w:t>
            </w:r>
          </w:p>
        </w:tc>
      </w:tr>
      <w:tr w:rsidR="008B37DE" w:rsidRPr="00A21D7D" w14:paraId="35B4EF50" w14:textId="77777777" w:rsidTr="00D9029E">
        <w:trPr>
          <w:cantSplit/>
        </w:trPr>
        <w:tc>
          <w:tcPr>
            <w:tcW w:w="1548" w:type="dxa"/>
            <w:vMerge/>
            <w:tcBorders>
              <w:right w:val="single" w:sz="4" w:space="0" w:color="auto"/>
            </w:tcBorders>
          </w:tcPr>
          <w:p w14:paraId="02AE1149"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6AD9CA8D" w14:textId="77777777" w:rsidR="008B37DE" w:rsidRPr="00A21D7D" w:rsidRDefault="008B37DE" w:rsidP="007A5833">
            <w:pPr>
              <w:pStyle w:val="TableTextBody"/>
            </w:pPr>
            <w:r w:rsidRPr="00A21D7D">
              <w:t>Public availability</w:t>
            </w:r>
          </w:p>
        </w:tc>
        <w:tc>
          <w:tcPr>
            <w:tcW w:w="2520" w:type="dxa"/>
            <w:tcBorders>
              <w:top w:val="single" w:sz="4" w:space="0" w:color="auto"/>
              <w:left w:val="single" w:sz="4" w:space="0" w:color="auto"/>
              <w:bottom w:val="single" w:sz="4" w:space="0" w:color="auto"/>
            </w:tcBorders>
            <w:shd w:val="clear" w:color="auto" w:fill="auto"/>
          </w:tcPr>
          <w:p w14:paraId="403C636F" w14:textId="77777777" w:rsidR="008B37DE" w:rsidRPr="00A21D7D" w:rsidRDefault="008B37DE" w:rsidP="007A5833">
            <w:pPr>
              <w:pStyle w:val="TableTextBody"/>
            </w:pPr>
            <w:r w:rsidRPr="00A21D7D">
              <w:t>ARRs – section 9.2</w:t>
            </w:r>
          </w:p>
        </w:tc>
        <w:tc>
          <w:tcPr>
            <w:tcW w:w="1591" w:type="dxa"/>
            <w:tcBorders>
              <w:top w:val="single" w:sz="4" w:space="0" w:color="auto"/>
              <w:left w:val="single" w:sz="4" w:space="0" w:color="auto"/>
              <w:bottom w:val="single" w:sz="4" w:space="0" w:color="auto"/>
            </w:tcBorders>
            <w:shd w:val="clear" w:color="auto" w:fill="auto"/>
          </w:tcPr>
          <w:p w14:paraId="67BF6C91" w14:textId="69B8D25E" w:rsidR="008B37DE" w:rsidRPr="00A21D7D" w:rsidRDefault="00DA0DFF" w:rsidP="007A5833">
            <w:pPr>
              <w:pStyle w:val="TableTextBody"/>
            </w:pPr>
            <w:r>
              <w:t>Page 1</w:t>
            </w:r>
          </w:p>
        </w:tc>
      </w:tr>
      <w:tr w:rsidR="008B37DE" w:rsidRPr="00A21D7D" w14:paraId="72D0E45B" w14:textId="77777777" w:rsidTr="00D9029E">
        <w:trPr>
          <w:cantSplit/>
        </w:trPr>
        <w:tc>
          <w:tcPr>
            <w:tcW w:w="1548" w:type="dxa"/>
            <w:vMerge/>
            <w:tcBorders>
              <w:right w:val="single" w:sz="4" w:space="0" w:color="auto"/>
            </w:tcBorders>
          </w:tcPr>
          <w:p w14:paraId="794D9478"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3045B994" w14:textId="77777777" w:rsidR="008B37DE" w:rsidRPr="00A21D7D" w:rsidRDefault="008B37DE" w:rsidP="007A5833">
            <w:pPr>
              <w:pStyle w:val="TableTextBody"/>
            </w:pPr>
            <w:r w:rsidRPr="00A21D7D">
              <w:t>Interpreter service statement</w:t>
            </w:r>
          </w:p>
        </w:tc>
        <w:tc>
          <w:tcPr>
            <w:tcW w:w="2520" w:type="dxa"/>
            <w:tcBorders>
              <w:top w:val="single" w:sz="4" w:space="0" w:color="auto"/>
              <w:left w:val="single" w:sz="4" w:space="0" w:color="auto"/>
              <w:bottom w:val="single" w:sz="4" w:space="0" w:color="auto"/>
            </w:tcBorders>
            <w:shd w:val="clear" w:color="auto" w:fill="auto"/>
          </w:tcPr>
          <w:p w14:paraId="7DED3183" w14:textId="77777777" w:rsidR="008B37DE" w:rsidRPr="00A21D7D" w:rsidRDefault="008B37DE" w:rsidP="007A5833">
            <w:pPr>
              <w:pStyle w:val="TableTextBody"/>
              <w:rPr>
                <w:i/>
              </w:rPr>
            </w:pPr>
            <w:r w:rsidRPr="00A21D7D">
              <w:rPr>
                <w:i/>
              </w:rPr>
              <w:t>Queensland Government Language Services Policy</w:t>
            </w:r>
          </w:p>
          <w:p w14:paraId="0F916B20" w14:textId="77777777" w:rsidR="008B37DE" w:rsidRPr="00A21D7D" w:rsidRDefault="008B37DE" w:rsidP="007A5833">
            <w:pPr>
              <w:pStyle w:val="TableTextBody"/>
            </w:pPr>
            <w:r w:rsidRPr="00A21D7D">
              <w:t>ARRs – section 9.3</w:t>
            </w:r>
          </w:p>
        </w:tc>
        <w:tc>
          <w:tcPr>
            <w:tcW w:w="1591" w:type="dxa"/>
            <w:tcBorders>
              <w:top w:val="single" w:sz="4" w:space="0" w:color="auto"/>
              <w:left w:val="single" w:sz="4" w:space="0" w:color="auto"/>
              <w:bottom w:val="single" w:sz="4" w:space="0" w:color="auto"/>
            </w:tcBorders>
            <w:shd w:val="clear" w:color="auto" w:fill="auto"/>
          </w:tcPr>
          <w:p w14:paraId="58C759E7" w14:textId="566BED7A" w:rsidR="008B37DE" w:rsidRPr="00A21D7D" w:rsidRDefault="00DA0DFF" w:rsidP="007A5833">
            <w:pPr>
              <w:pStyle w:val="TableTextBody"/>
            </w:pPr>
            <w:r>
              <w:t>Page 1</w:t>
            </w:r>
          </w:p>
        </w:tc>
      </w:tr>
      <w:tr w:rsidR="008B37DE" w:rsidRPr="00A21D7D" w14:paraId="7A87EF36" w14:textId="77777777" w:rsidTr="00D9029E">
        <w:trPr>
          <w:cantSplit/>
        </w:trPr>
        <w:tc>
          <w:tcPr>
            <w:tcW w:w="1548" w:type="dxa"/>
            <w:vMerge/>
            <w:tcBorders>
              <w:right w:val="single" w:sz="4" w:space="0" w:color="auto"/>
            </w:tcBorders>
          </w:tcPr>
          <w:p w14:paraId="52D57769"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6252D6D4" w14:textId="77777777" w:rsidR="008B37DE" w:rsidRPr="00A21D7D" w:rsidRDefault="008B37DE" w:rsidP="007A5833">
            <w:pPr>
              <w:pStyle w:val="TableTextBody"/>
            </w:pPr>
            <w:r w:rsidRPr="00A21D7D">
              <w:t>Copyright notice</w:t>
            </w:r>
          </w:p>
        </w:tc>
        <w:tc>
          <w:tcPr>
            <w:tcW w:w="2520" w:type="dxa"/>
            <w:tcBorders>
              <w:top w:val="single" w:sz="4" w:space="0" w:color="auto"/>
              <w:left w:val="single" w:sz="4" w:space="0" w:color="auto"/>
              <w:bottom w:val="single" w:sz="4" w:space="0" w:color="auto"/>
            </w:tcBorders>
            <w:shd w:val="clear" w:color="auto" w:fill="auto"/>
          </w:tcPr>
          <w:p w14:paraId="1F085B22" w14:textId="77777777" w:rsidR="008B37DE" w:rsidRPr="00A21D7D" w:rsidRDefault="008B37DE" w:rsidP="007A5833">
            <w:pPr>
              <w:pStyle w:val="TableTextBody"/>
              <w:rPr>
                <w:i/>
              </w:rPr>
            </w:pPr>
            <w:r w:rsidRPr="00A21D7D">
              <w:rPr>
                <w:i/>
              </w:rPr>
              <w:t>Copyright Act 1968</w:t>
            </w:r>
          </w:p>
          <w:p w14:paraId="1E9CF235" w14:textId="77777777" w:rsidR="008B37DE" w:rsidRPr="00A21D7D" w:rsidRDefault="008B37DE" w:rsidP="007A5833">
            <w:pPr>
              <w:pStyle w:val="TableTextBody"/>
            </w:pPr>
            <w:r w:rsidRPr="00A21D7D">
              <w:t>ARRs – section 9.4</w:t>
            </w:r>
          </w:p>
        </w:tc>
        <w:tc>
          <w:tcPr>
            <w:tcW w:w="1591" w:type="dxa"/>
            <w:tcBorders>
              <w:top w:val="single" w:sz="4" w:space="0" w:color="auto"/>
              <w:left w:val="single" w:sz="4" w:space="0" w:color="auto"/>
              <w:bottom w:val="single" w:sz="4" w:space="0" w:color="auto"/>
            </w:tcBorders>
            <w:shd w:val="clear" w:color="auto" w:fill="auto"/>
          </w:tcPr>
          <w:p w14:paraId="0604A057" w14:textId="009CF2A2" w:rsidR="008B37DE" w:rsidRPr="00A21D7D" w:rsidRDefault="00DA0DFF" w:rsidP="007A5833">
            <w:pPr>
              <w:pStyle w:val="TableTextBody"/>
            </w:pPr>
            <w:r>
              <w:t>Page 1</w:t>
            </w:r>
          </w:p>
        </w:tc>
      </w:tr>
      <w:tr w:rsidR="008B37DE" w:rsidRPr="00A21D7D" w14:paraId="54CC2875" w14:textId="77777777" w:rsidTr="00D9029E">
        <w:trPr>
          <w:cantSplit/>
        </w:trPr>
        <w:tc>
          <w:tcPr>
            <w:tcW w:w="1548" w:type="dxa"/>
            <w:vMerge/>
            <w:tcBorders>
              <w:bottom w:val="single" w:sz="4" w:space="0" w:color="auto"/>
              <w:right w:val="single" w:sz="4" w:space="0" w:color="auto"/>
            </w:tcBorders>
          </w:tcPr>
          <w:p w14:paraId="4BF0E101"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72F4BCE6" w14:textId="77777777" w:rsidR="008B37DE" w:rsidRPr="00A21D7D" w:rsidRDefault="008B37DE" w:rsidP="007A5833">
            <w:pPr>
              <w:pStyle w:val="TableTextBody"/>
            </w:pPr>
            <w:r w:rsidRPr="00A21D7D">
              <w:t>Information Licensing</w:t>
            </w:r>
          </w:p>
        </w:tc>
        <w:tc>
          <w:tcPr>
            <w:tcW w:w="2520" w:type="dxa"/>
            <w:tcBorders>
              <w:top w:val="single" w:sz="4" w:space="0" w:color="auto"/>
              <w:left w:val="single" w:sz="4" w:space="0" w:color="auto"/>
              <w:bottom w:val="single" w:sz="4" w:space="0" w:color="auto"/>
            </w:tcBorders>
            <w:shd w:val="clear" w:color="auto" w:fill="auto"/>
          </w:tcPr>
          <w:p w14:paraId="31FFC615" w14:textId="77777777" w:rsidR="008B37DE" w:rsidRPr="00A21D7D" w:rsidRDefault="008B37DE" w:rsidP="007A5833">
            <w:pPr>
              <w:pStyle w:val="TableTextBody"/>
              <w:rPr>
                <w:i/>
              </w:rPr>
            </w:pPr>
            <w:r w:rsidRPr="00A21D7D">
              <w:rPr>
                <w:i/>
              </w:rPr>
              <w:t>QGEA – Information Licensing</w:t>
            </w:r>
          </w:p>
          <w:p w14:paraId="3C5ED74A" w14:textId="77777777" w:rsidR="008B37DE" w:rsidRPr="00A21D7D" w:rsidRDefault="008B37DE" w:rsidP="007A5833">
            <w:pPr>
              <w:pStyle w:val="TableTextBody"/>
            </w:pPr>
            <w:r w:rsidRPr="00A21D7D">
              <w:t>ARRs – section 9.5</w:t>
            </w:r>
          </w:p>
        </w:tc>
        <w:tc>
          <w:tcPr>
            <w:tcW w:w="1591" w:type="dxa"/>
            <w:tcBorders>
              <w:top w:val="single" w:sz="4" w:space="0" w:color="auto"/>
              <w:left w:val="single" w:sz="4" w:space="0" w:color="auto"/>
              <w:bottom w:val="single" w:sz="4" w:space="0" w:color="auto"/>
            </w:tcBorders>
            <w:shd w:val="clear" w:color="auto" w:fill="auto"/>
          </w:tcPr>
          <w:p w14:paraId="1D760C8C" w14:textId="4655B799" w:rsidR="008B37DE" w:rsidRPr="00A21D7D" w:rsidRDefault="00DA0DFF" w:rsidP="007A5833">
            <w:pPr>
              <w:pStyle w:val="TableTextBody"/>
            </w:pPr>
            <w:r>
              <w:t>Page 1</w:t>
            </w:r>
          </w:p>
        </w:tc>
      </w:tr>
      <w:tr w:rsidR="008B37DE" w:rsidRPr="00A21D7D" w14:paraId="42E1BF03" w14:textId="77777777" w:rsidTr="00D9029E">
        <w:trPr>
          <w:cantSplit/>
          <w:trHeight w:val="485"/>
        </w:trPr>
        <w:tc>
          <w:tcPr>
            <w:tcW w:w="1548" w:type="dxa"/>
            <w:vMerge w:val="restart"/>
            <w:tcBorders>
              <w:top w:val="single" w:sz="4" w:space="0" w:color="auto"/>
              <w:right w:val="single" w:sz="4" w:space="0" w:color="auto"/>
            </w:tcBorders>
          </w:tcPr>
          <w:p w14:paraId="3738E2ED" w14:textId="77777777" w:rsidR="008B37DE" w:rsidRPr="00A21D7D" w:rsidRDefault="008B37DE" w:rsidP="007A5833">
            <w:pPr>
              <w:pStyle w:val="TableTextBody"/>
            </w:pPr>
            <w:r w:rsidRPr="00A21D7D">
              <w:t>General information</w:t>
            </w:r>
          </w:p>
        </w:tc>
        <w:tc>
          <w:tcPr>
            <w:tcW w:w="4264" w:type="dxa"/>
            <w:tcBorders>
              <w:top w:val="single" w:sz="4" w:space="0" w:color="auto"/>
              <w:left w:val="single" w:sz="4" w:space="0" w:color="auto"/>
              <w:bottom w:val="single" w:sz="4" w:space="0" w:color="auto"/>
              <w:right w:val="single" w:sz="4" w:space="0" w:color="auto"/>
            </w:tcBorders>
          </w:tcPr>
          <w:p w14:paraId="1C667072" w14:textId="77777777" w:rsidR="008B37DE" w:rsidRPr="00A21D7D" w:rsidRDefault="008B37DE" w:rsidP="007A5833">
            <w:pPr>
              <w:pStyle w:val="TableTextBody"/>
            </w:pPr>
            <w:r w:rsidRPr="00A21D7D">
              <w:t>Introductory Information</w:t>
            </w:r>
          </w:p>
        </w:tc>
        <w:tc>
          <w:tcPr>
            <w:tcW w:w="2520" w:type="dxa"/>
            <w:tcBorders>
              <w:top w:val="single" w:sz="4" w:space="0" w:color="auto"/>
              <w:left w:val="single" w:sz="4" w:space="0" w:color="auto"/>
              <w:bottom w:val="single" w:sz="4" w:space="0" w:color="auto"/>
            </w:tcBorders>
            <w:shd w:val="clear" w:color="auto" w:fill="auto"/>
          </w:tcPr>
          <w:p w14:paraId="20F490CB" w14:textId="77777777" w:rsidR="008B37DE" w:rsidRPr="00A21D7D" w:rsidRDefault="008B37DE" w:rsidP="007A5833">
            <w:pPr>
              <w:pStyle w:val="TableTextBody"/>
              <w:rPr>
                <w:lang w:val="fr-FR"/>
              </w:rPr>
            </w:pPr>
            <w:r w:rsidRPr="00A21D7D">
              <w:rPr>
                <w:lang w:val="fr-FR"/>
              </w:rPr>
              <w:t xml:space="preserve">ARRs – section </w:t>
            </w:r>
            <w:r w:rsidRPr="00A21D7D">
              <w:t>10.1</w:t>
            </w:r>
          </w:p>
        </w:tc>
        <w:tc>
          <w:tcPr>
            <w:tcW w:w="1591" w:type="dxa"/>
            <w:tcBorders>
              <w:top w:val="single" w:sz="4" w:space="0" w:color="auto"/>
              <w:left w:val="single" w:sz="4" w:space="0" w:color="auto"/>
              <w:bottom w:val="single" w:sz="4" w:space="0" w:color="auto"/>
            </w:tcBorders>
            <w:shd w:val="clear" w:color="auto" w:fill="auto"/>
          </w:tcPr>
          <w:p w14:paraId="61638B3E" w14:textId="58563DB6" w:rsidR="008B37DE" w:rsidRPr="00A21D7D" w:rsidRDefault="00DA0DFF" w:rsidP="007A5833">
            <w:pPr>
              <w:pStyle w:val="TableTextBody"/>
            </w:pPr>
            <w:r>
              <w:t>Page 5</w:t>
            </w:r>
          </w:p>
        </w:tc>
      </w:tr>
      <w:tr w:rsidR="008B37DE" w:rsidRPr="00A21D7D" w14:paraId="7DD4EE93" w14:textId="77777777" w:rsidTr="00D9029E">
        <w:trPr>
          <w:cantSplit/>
          <w:trHeight w:val="485"/>
        </w:trPr>
        <w:tc>
          <w:tcPr>
            <w:tcW w:w="1548" w:type="dxa"/>
            <w:vMerge/>
            <w:tcBorders>
              <w:right w:val="single" w:sz="4" w:space="0" w:color="auto"/>
            </w:tcBorders>
          </w:tcPr>
          <w:p w14:paraId="6969A8BC"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157B1B8D" w14:textId="77777777" w:rsidR="008B37DE" w:rsidRPr="00A21D7D" w:rsidRDefault="008B37DE" w:rsidP="007A5833">
            <w:pPr>
              <w:pStyle w:val="TableTextBody"/>
            </w:pPr>
            <w:r w:rsidRPr="00A21D7D">
              <w:t>Machinery of Government changes</w:t>
            </w:r>
          </w:p>
        </w:tc>
        <w:tc>
          <w:tcPr>
            <w:tcW w:w="2520" w:type="dxa"/>
            <w:tcBorders>
              <w:top w:val="single" w:sz="4" w:space="0" w:color="auto"/>
              <w:left w:val="single" w:sz="4" w:space="0" w:color="auto"/>
              <w:bottom w:val="single" w:sz="4" w:space="0" w:color="auto"/>
            </w:tcBorders>
            <w:shd w:val="clear" w:color="auto" w:fill="auto"/>
          </w:tcPr>
          <w:p w14:paraId="2EDCAF3D" w14:textId="77777777" w:rsidR="008B37DE" w:rsidRPr="00A21D7D" w:rsidRDefault="008B37DE" w:rsidP="007A5833">
            <w:pPr>
              <w:pStyle w:val="TableTextBody"/>
              <w:rPr>
                <w:lang w:val="fr-FR"/>
              </w:rPr>
            </w:pPr>
            <w:r w:rsidRPr="00A21D7D">
              <w:rPr>
                <w:lang w:val="fr-FR"/>
              </w:rPr>
              <w:t>ARRs – section 10.2, 31 and 32</w:t>
            </w:r>
          </w:p>
        </w:tc>
        <w:tc>
          <w:tcPr>
            <w:tcW w:w="1591" w:type="dxa"/>
            <w:tcBorders>
              <w:top w:val="single" w:sz="4" w:space="0" w:color="auto"/>
              <w:left w:val="single" w:sz="4" w:space="0" w:color="auto"/>
              <w:bottom w:val="single" w:sz="4" w:space="0" w:color="auto"/>
            </w:tcBorders>
            <w:shd w:val="clear" w:color="auto" w:fill="auto"/>
          </w:tcPr>
          <w:p w14:paraId="633B87C8" w14:textId="478A2E97" w:rsidR="008B37DE" w:rsidRPr="00A21D7D" w:rsidRDefault="00DA0DFF" w:rsidP="00DA0DFF">
            <w:pPr>
              <w:pStyle w:val="TableTextBody"/>
            </w:pPr>
            <w:r>
              <w:t>N/A</w:t>
            </w:r>
          </w:p>
        </w:tc>
      </w:tr>
      <w:tr w:rsidR="008B37DE" w:rsidRPr="00A21D7D" w14:paraId="695AE88B" w14:textId="77777777" w:rsidTr="00D9029E">
        <w:trPr>
          <w:cantSplit/>
        </w:trPr>
        <w:tc>
          <w:tcPr>
            <w:tcW w:w="1548" w:type="dxa"/>
            <w:vMerge/>
            <w:tcBorders>
              <w:right w:val="single" w:sz="4" w:space="0" w:color="auto"/>
            </w:tcBorders>
          </w:tcPr>
          <w:p w14:paraId="6CD18552"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3CF487CF" w14:textId="77777777" w:rsidR="008B37DE" w:rsidRPr="00A21D7D" w:rsidRDefault="008B37DE" w:rsidP="007A5833">
            <w:pPr>
              <w:pStyle w:val="TableTextBody"/>
            </w:pPr>
            <w:r w:rsidRPr="00A21D7D">
              <w:t>Agency role and main functions</w:t>
            </w:r>
          </w:p>
        </w:tc>
        <w:tc>
          <w:tcPr>
            <w:tcW w:w="2520" w:type="dxa"/>
            <w:tcBorders>
              <w:top w:val="single" w:sz="4" w:space="0" w:color="auto"/>
              <w:left w:val="single" w:sz="4" w:space="0" w:color="auto"/>
              <w:bottom w:val="single" w:sz="4" w:space="0" w:color="auto"/>
            </w:tcBorders>
            <w:shd w:val="clear" w:color="auto" w:fill="auto"/>
          </w:tcPr>
          <w:p w14:paraId="0C0AF522" w14:textId="77777777" w:rsidR="008B37DE" w:rsidRPr="00A21D7D" w:rsidRDefault="008B37DE" w:rsidP="007A5833">
            <w:pPr>
              <w:pStyle w:val="TableTextBody"/>
              <w:rPr>
                <w:lang w:val="fr-FR"/>
              </w:rPr>
            </w:pPr>
            <w:r w:rsidRPr="00A21D7D">
              <w:rPr>
                <w:lang w:val="fr-FR"/>
              </w:rPr>
              <w:t xml:space="preserve">ARRs – section </w:t>
            </w:r>
            <w:r w:rsidRPr="00A21D7D">
              <w:t>10.2</w:t>
            </w:r>
          </w:p>
        </w:tc>
        <w:tc>
          <w:tcPr>
            <w:tcW w:w="1591" w:type="dxa"/>
            <w:tcBorders>
              <w:top w:val="single" w:sz="4" w:space="0" w:color="auto"/>
              <w:left w:val="single" w:sz="4" w:space="0" w:color="auto"/>
              <w:bottom w:val="single" w:sz="4" w:space="0" w:color="auto"/>
            </w:tcBorders>
            <w:shd w:val="clear" w:color="auto" w:fill="auto"/>
          </w:tcPr>
          <w:p w14:paraId="1B6AC02B" w14:textId="31B2E251" w:rsidR="008B37DE" w:rsidRPr="00A21D7D" w:rsidRDefault="00DA0DFF" w:rsidP="007A5833">
            <w:pPr>
              <w:pStyle w:val="TableTextBody"/>
            </w:pPr>
            <w:r>
              <w:t>Page 8</w:t>
            </w:r>
          </w:p>
        </w:tc>
      </w:tr>
      <w:tr w:rsidR="008B37DE" w:rsidRPr="00A21D7D" w14:paraId="391E6EEC" w14:textId="77777777" w:rsidTr="00D9029E">
        <w:trPr>
          <w:cantSplit/>
        </w:trPr>
        <w:tc>
          <w:tcPr>
            <w:tcW w:w="1548" w:type="dxa"/>
            <w:vMerge/>
            <w:tcBorders>
              <w:right w:val="single" w:sz="4" w:space="0" w:color="auto"/>
            </w:tcBorders>
          </w:tcPr>
          <w:p w14:paraId="5F97FBCE"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64A3E979" w14:textId="77777777" w:rsidR="008B37DE" w:rsidRPr="00A21D7D" w:rsidRDefault="008B37DE" w:rsidP="007A5833">
            <w:pPr>
              <w:pStyle w:val="TableTextBody"/>
            </w:pPr>
            <w:r w:rsidRPr="00A21D7D">
              <w:t>Operating environment</w:t>
            </w:r>
          </w:p>
        </w:tc>
        <w:tc>
          <w:tcPr>
            <w:tcW w:w="2520" w:type="dxa"/>
            <w:tcBorders>
              <w:top w:val="single" w:sz="4" w:space="0" w:color="auto"/>
              <w:left w:val="single" w:sz="4" w:space="0" w:color="auto"/>
              <w:bottom w:val="single" w:sz="4" w:space="0" w:color="auto"/>
            </w:tcBorders>
            <w:shd w:val="clear" w:color="auto" w:fill="auto"/>
          </w:tcPr>
          <w:p w14:paraId="7F40A66A" w14:textId="77777777" w:rsidR="008B37DE" w:rsidRPr="00A21D7D" w:rsidRDefault="008B37DE" w:rsidP="007A5833">
            <w:pPr>
              <w:pStyle w:val="TableTextBody"/>
              <w:rPr>
                <w:lang w:val="fr-FR"/>
              </w:rPr>
            </w:pPr>
            <w:r w:rsidRPr="00A21D7D">
              <w:t>ARRs – section 10.3</w:t>
            </w:r>
          </w:p>
        </w:tc>
        <w:tc>
          <w:tcPr>
            <w:tcW w:w="1591" w:type="dxa"/>
            <w:tcBorders>
              <w:top w:val="single" w:sz="4" w:space="0" w:color="auto"/>
              <w:left w:val="single" w:sz="4" w:space="0" w:color="auto"/>
              <w:bottom w:val="single" w:sz="4" w:space="0" w:color="auto"/>
            </w:tcBorders>
            <w:shd w:val="clear" w:color="auto" w:fill="auto"/>
          </w:tcPr>
          <w:p w14:paraId="6E3D1A14" w14:textId="7E8EFC80" w:rsidR="008B37DE" w:rsidRPr="00A21D7D" w:rsidRDefault="00DA0DFF" w:rsidP="007A5833">
            <w:pPr>
              <w:pStyle w:val="TableTextBody"/>
            </w:pPr>
            <w:r>
              <w:t>Page 9</w:t>
            </w:r>
          </w:p>
        </w:tc>
      </w:tr>
      <w:tr w:rsidR="008B37DE" w:rsidRPr="00A21D7D" w14:paraId="1A7B15A7" w14:textId="77777777" w:rsidTr="00D9029E">
        <w:trPr>
          <w:cantSplit/>
        </w:trPr>
        <w:tc>
          <w:tcPr>
            <w:tcW w:w="1548" w:type="dxa"/>
            <w:vMerge w:val="restart"/>
            <w:tcBorders>
              <w:top w:val="single" w:sz="4" w:space="0" w:color="auto"/>
              <w:right w:val="single" w:sz="4" w:space="0" w:color="auto"/>
            </w:tcBorders>
          </w:tcPr>
          <w:p w14:paraId="5F921EBC" w14:textId="77777777" w:rsidR="008B37DE" w:rsidRPr="00A21D7D" w:rsidRDefault="008B37DE" w:rsidP="007A5833">
            <w:pPr>
              <w:pStyle w:val="TableTextBody"/>
            </w:pPr>
            <w:r w:rsidRPr="00A21D7D">
              <w:t>Non-financial performance</w:t>
            </w:r>
          </w:p>
        </w:tc>
        <w:tc>
          <w:tcPr>
            <w:tcW w:w="4264" w:type="dxa"/>
            <w:tcBorders>
              <w:top w:val="single" w:sz="4" w:space="0" w:color="auto"/>
              <w:left w:val="single" w:sz="4" w:space="0" w:color="auto"/>
              <w:bottom w:val="single" w:sz="4" w:space="0" w:color="auto"/>
              <w:right w:val="single" w:sz="4" w:space="0" w:color="auto"/>
            </w:tcBorders>
          </w:tcPr>
          <w:p w14:paraId="03B20BAF" w14:textId="77777777" w:rsidR="008B37DE" w:rsidRPr="00A21D7D" w:rsidRDefault="008B37DE" w:rsidP="007A5833">
            <w:pPr>
              <w:pStyle w:val="TableTextBody"/>
            </w:pPr>
            <w:r w:rsidRPr="00A21D7D">
              <w:t>Government’s objectives for the community</w:t>
            </w:r>
          </w:p>
        </w:tc>
        <w:tc>
          <w:tcPr>
            <w:tcW w:w="2520" w:type="dxa"/>
            <w:tcBorders>
              <w:top w:val="single" w:sz="4" w:space="0" w:color="auto"/>
              <w:left w:val="single" w:sz="4" w:space="0" w:color="auto"/>
            </w:tcBorders>
            <w:shd w:val="clear" w:color="auto" w:fill="auto"/>
          </w:tcPr>
          <w:p w14:paraId="6076F5F0" w14:textId="77777777" w:rsidR="008B37DE" w:rsidRPr="00A21D7D" w:rsidRDefault="008B37DE" w:rsidP="007A5833">
            <w:pPr>
              <w:pStyle w:val="TableTextBody"/>
            </w:pPr>
            <w:r w:rsidRPr="00A21D7D">
              <w:t>ARRs – section 11.1</w:t>
            </w:r>
          </w:p>
        </w:tc>
        <w:tc>
          <w:tcPr>
            <w:tcW w:w="1591" w:type="dxa"/>
            <w:tcBorders>
              <w:top w:val="single" w:sz="4" w:space="0" w:color="auto"/>
              <w:left w:val="single" w:sz="4" w:space="0" w:color="auto"/>
              <w:bottom w:val="single" w:sz="4" w:space="0" w:color="auto"/>
            </w:tcBorders>
            <w:shd w:val="clear" w:color="auto" w:fill="auto"/>
          </w:tcPr>
          <w:p w14:paraId="4EC5EF53" w14:textId="6ACF03E9" w:rsidR="008B37DE" w:rsidRPr="00A21D7D" w:rsidRDefault="00DA0DFF" w:rsidP="007A5833">
            <w:pPr>
              <w:pStyle w:val="TableTextBody"/>
            </w:pPr>
            <w:r>
              <w:t>Page 8</w:t>
            </w:r>
          </w:p>
        </w:tc>
      </w:tr>
      <w:tr w:rsidR="008B37DE" w:rsidRPr="00A21D7D" w14:paraId="34652137" w14:textId="77777777" w:rsidTr="00D9029E">
        <w:trPr>
          <w:cantSplit/>
        </w:trPr>
        <w:tc>
          <w:tcPr>
            <w:tcW w:w="1548" w:type="dxa"/>
            <w:vMerge/>
            <w:tcBorders>
              <w:right w:val="single" w:sz="4" w:space="0" w:color="auto"/>
            </w:tcBorders>
          </w:tcPr>
          <w:p w14:paraId="7EFA5A9E"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65734D04" w14:textId="77777777" w:rsidR="008B37DE" w:rsidRPr="00A21D7D" w:rsidRDefault="008B37DE" w:rsidP="007A5833">
            <w:pPr>
              <w:pStyle w:val="TableTextBody"/>
            </w:pPr>
            <w:r w:rsidRPr="00A21D7D">
              <w:t>Other whole-of-government plans / specific initiatives</w:t>
            </w:r>
          </w:p>
        </w:tc>
        <w:tc>
          <w:tcPr>
            <w:tcW w:w="2520" w:type="dxa"/>
            <w:tcBorders>
              <w:left w:val="single" w:sz="4" w:space="0" w:color="auto"/>
            </w:tcBorders>
            <w:shd w:val="clear" w:color="auto" w:fill="auto"/>
          </w:tcPr>
          <w:p w14:paraId="135E88C5" w14:textId="77777777" w:rsidR="008B37DE" w:rsidRPr="00A21D7D" w:rsidRDefault="008B37DE" w:rsidP="007A5833">
            <w:pPr>
              <w:pStyle w:val="TableTextBody"/>
            </w:pPr>
            <w:r w:rsidRPr="00A21D7D">
              <w:t>ARRs – section 11.2</w:t>
            </w:r>
          </w:p>
        </w:tc>
        <w:tc>
          <w:tcPr>
            <w:tcW w:w="1591" w:type="dxa"/>
            <w:tcBorders>
              <w:top w:val="single" w:sz="4" w:space="0" w:color="auto"/>
              <w:left w:val="single" w:sz="4" w:space="0" w:color="auto"/>
              <w:bottom w:val="single" w:sz="4" w:space="0" w:color="auto"/>
            </w:tcBorders>
            <w:shd w:val="clear" w:color="auto" w:fill="auto"/>
          </w:tcPr>
          <w:p w14:paraId="2CB199C7" w14:textId="581F73B3" w:rsidR="008B37DE" w:rsidRPr="00A21D7D" w:rsidRDefault="00DA0DFF" w:rsidP="007A5833">
            <w:pPr>
              <w:pStyle w:val="TableTextBody"/>
            </w:pPr>
            <w:r>
              <w:t>Page 20</w:t>
            </w:r>
          </w:p>
        </w:tc>
      </w:tr>
      <w:tr w:rsidR="008B37DE" w:rsidRPr="00A21D7D" w14:paraId="27E4A315" w14:textId="77777777" w:rsidTr="00D9029E">
        <w:trPr>
          <w:cantSplit/>
        </w:trPr>
        <w:tc>
          <w:tcPr>
            <w:tcW w:w="1548" w:type="dxa"/>
            <w:vMerge/>
            <w:tcBorders>
              <w:right w:val="single" w:sz="4" w:space="0" w:color="auto"/>
            </w:tcBorders>
          </w:tcPr>
          <w:p w14:paraId="26B7FE1E"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7B9C9525" w14:textId="77777777" w:rsidR="008B37DE" w:rsidRPr="00A21D7D" w:rsidRDefault="008B37DE" w:rsidP="007A5833">
            <w:pPr>
              <w:pStyle w:val="TableTextBody"/>
            </w:pPr>
            <w:r w:rsidRPr="00A21D7D">
              <w:t>Agency objectives and performance indicators</w:t>
            </w:r>
          </w:p>
        </w:tc>
        <w:tc>
          <w:tcPr>
            <w:tcW w:w="2520" w:type="dxa"/>
            <w:tcBorders>
              <w:left w:val="single" w:sz="4" w:space="0" w:color="auto"/>
            </w:tcBorders>
            <w:shd w:val="clear" w:color="auto" w:fill="auto"/>
          </w:tcPr>
          <w:p w14:paraId="41129AE3" w14:textId="77777777" w:rsidR="008B37DE" w:rsidRPr="00A21D7D" w:rsidRDefault="008B37DE" w:rsidP="007A5833">
            <w:pPr>
              <w:pStyle w:val="TableTextBody"/>
            </w:pPr>
            <w:r w:rsidRPr="00A21D7D">
              <w:t>ARRs – section 11.3</w:t>
            </w:r>
          </w:p>
        </w:tc>
        <w:tc>
          <w:tcPr>
            <w:tcW w:w="1591" w:type="dxa"/>
            <w:tcBorders>
              <w:top w:val="single" w:sz="4" w:space="0" w:color="auto"/>
              <w:left w:val="single" w:sz="4" w:space="0" w:color="auto"/>
              <w:bottom w:val="single" w:sz="4" w:space="0" w:color="auto"/>
            </w:tcBorders>
            <w:shd w:val="clear" w:color="auto" w:fill="auto"/>
          </w:tcPr>
          <w:p w14:paraId="01CCC66B" w14:textId="1B0903DA" w:rsidR="008B37DE" w:rsidRPr="00A21D7D" w:rsidRDefault="00DA0DFF" w:rsidP="007A5833">
            <w:pPr>
              <w:pStyle w:val="TableTextBody"/>
            </w:pPr>
            <w:r>
              <w:t>Page 14</w:t>
            </w:r>
          </w:p>
        </w:tc>
      </w:tr>
      <w:tr w:rsidR="008B37DE" w:rsidRPr="00A21D7D" w14:paraId="2069D9BA" w14:textId="77777777" w:rsidTr="00D9029E">
        <w:trPr>
          <w:cantSplit/>
        </w:trPr>
        <w:tc>
          <w:tcPr>
            <w:tcW w:w="1548" w:type="dxa"/>
            <w:vMerge/>
            <w:tcBorders>
              <w:bottom w:val="nil"/>
              <w:right w:val="single" w:sz="4" w:space="0" w:color="auto"/>
            </w:tcBorders>
          </w:tcPr>
          <w:p w14:paraId="0951168E"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06DAF95D" w14:textId="77777777" w:rsidR="008B37DE" w:rsidRPr="00A21D7D" w:rsidRDefault="008B37DE" w:rsidP="007A5833">
            <w:pPr>
              <w:pStyle w:val="TableTextBody"/>
            </w:pPr>
            <w:r w:rsidRPr="00A21D7D">
              <w:t xml:space="preserve">Agency service areas and service standards </w:t>
            </w:r>
          </w:p>
        </w:tc>
        <w:tc>
          <w:tcPr>
            <w:tcW w:w="2520" w:type="dxa"/>
            <w:tcBorders>
              <w:left w:val="single" w:sz="4" w:space="0" w:color="auto"/>
            </w:tcBorders>
            <w:shd w:val="clear" w:color="auto" w:fill="auto"/>
          </w:tcPr>
          <w:p w14:paraId="199D2BF8" w14:textId="77777777" w:rsidR="008B37DE" w:rsidRPr="00A21D7D" w:rsidRDefault="008B37DE" w:rsidP="007A5833">
            <w:pPr>
              <w:pStyle w:val="TableTextBody"/>
              <w:rPr>
                <w:i/>
              </w:rPr>
            </w:pPr>
            <w:r w:rsidRPr="00A21D7D">
              <w:t>ARRs – section 11.4</w:t>
            </w:r>
          </w:p>
        </w:tc>
        <w:tc>
          <w:tcPr>
            <w:tcW w:w="1591" w:type="dxa"/>
            <w:tcBorders>
              <w:top w:val="single" w:sz="4" w:space="0" w:color="auto"/>
              <w:left w:val="single" w:sz="4" w:space="0" w:color="auto"/>
              <w:bottom w:val="single" w:sz="4" w:space="0" w:color="auto"/>
            </w:tcBorders>
            <w:shd w:val="clear" w:color="auto" w:fill="auto"/>
          </w:tcPr>
          <w:p w14:paraId="3DAC9200" w14:textId="4F341853" w:rsidR="008B37DE" w:rsidRPr="00A21D7D" w:rsidRDefault="00DA0DFF" w:rsidP="007A5833">
            <w:pPr>
              <w:pStyle w:val="TableTextBody"/>
            </w:pPr>
            <w:r>
              <w:t>Page 14</w:t>
            </w:r>
          </w:p>
        </w:tc>
      </w:tr>
      <w:tr w:rsidR="008B37DE" w:rsidRPr="00A21D7D" w14:paraId="67ED5E8C" w14:textId="77777777" w:rsidTr="00D9029E">
        <w:trPr>
          <w:cantSplit/>
        </w:trPr>
        <w:tc>
          <w:tcPr>
            <w:tcW w:w="1548" w:type="dxa"/>
            <w:tcBorders>
              <w:top w:val="single" w:sz="4" w:space="0" w:color="auto"/>
              <w:bottom w:val="single" w:sz="4" w:space="0" w:color="auto"/>
              <w:right w:val="single" w:sz="4" w:space="0" w:color="auto"/>
            </w:tcBorders>
          </w:tcPr>
          <w:p w14:paraId="17D2723D" w14:textId="77777777" w:rsidR="008B37DE" w:rsidRPr="00A21D7D" w:rsidRDefault="008B37DE" w:rsidP="007A5833">
            <w:pPr>
              <w:pStyle w:val="TableTextBody"/>
            </w:pPr>
            <w:r w:rsidRPr="00A21D7D">
              <w:t>Financial performance</w:t>
            </w:r>
          </w:p>
        </w:tc>
        <w:tc>
          <w:tcPr>
            <w:tcW w:w="4264" w:type="dxa"/>
            <w:tcBorders>
              <w:top w:val="single" w:sz="4" w:space="0" w:color="auto"/>
              <w:left w:val="single" w:sz="4" w:space="0" w:color="auto"/>
              <w:bottom w:val="single" w:sz="4" w:space="0" w:color="auto"/>
              <w:right w:val="single" w:sz="4" w:space="0" w:color="auto"/>
            </w:tcBorders>
          </w:tcPr>
          <w:p w14:paraId="7F755470" w14:textId="77777777" w:rsidR="008B37DE" w:rsidRPr="00A21D7D" w:rsidRDefault="008B37DE" w:rsidP="007A5833">
            <w:pPr>
              <w:pStyle w:val="TableTextBody"/>
            </w:pPr>
            <w:r w:rsidRPr="00A21D7D">
              <w:t>Summary of financial performance</w:t>
            </w:r>
          </w:p>
        </w:tc>
        <w:tc>
          <w:tcPr>
            <w:tcW w:w="2520" w:type="dxa"/>
            <w:tcBorders>
              <w:top w:val="single" w:sz="4" w:space="0" w:color="auto"/>
              <w:left w:val="single" w:sz="4" w:space="0" w:color="auto"/>
              <w:bottom w:val="single" w:sz="4" w:space="0" w:color="auto"/>
            </w:tcBorders>
            <w:shd w:val="clear" w:color="auto" w:fill="auto"/>
          </w:tcPr>
          <w:p w14:paraId="53355B6D" w14:textId="77777777" w:rsidR="008B37DE" w:rsidRPr="00A21D7D" w:rsidRDefault="008B37DE" w:rsidP="007A5833">
            <w:pPr>
              <w:pStyle w:val="TableTextBody"/>
            </w:pPr>
            <w:r w:rsidRPr="00A21D7D">
              <w:t>ARRs – section 12.1</w:t>
            </w:r>
          </w:p>
        </w:tc>
        <w:tc>
          <w:tcPr>
            <w:tcW w:w="1591" w:type="dxa"/>
            <w:tcBorders>
              <w:top w:val="single" w:sz="4" w:space="0" w:color="auto"/>
              <w:left w:val="single" w:sz="4" w:space="0" w:color="auto"/>
              <w:bottom w:val="single" w:sz="4" w:space="0" w:color="auto"/>
            </w:tcBorders>
            <w:shd w:val="clear" w:color="auto" w:fill="auto"/>
          </w:tcPr>
          <w:p w14:paraId="41013F7C" w14:textId="775D1A4F" w:rsidR="008B37DE" w:rsidRPr="00A21D7D" w:rsidRDefault="00DA0DFF" w:rsidP="007A5833">
            <w:pPr>
              <w:pStyle w:val="TableTextBody"/>
            </w:pPr>
            <w:r>
              <w:t>Page 72</w:t>
            </w:r>
          </w:p>
        </w:tc>
      </w:tr>
      <w:tr w:rsidR="008B37DE" w:rsidRPr="00A21D7D" w14:paraId="73028337" w14:textId="77777777" w:rsidTr="00D9029E">
        <w:trPr>
          <w:cantSplit/>
        </w:trPr>
        <w:tc>
          <w:tcPr>
            <w:tcW w:w="1548" w:type="dxa"/>
            <w:vMerge w:val="restart"/>
            <w:tcBorders>
              <w:top w:val="single" w:sz="4" w:space="0" w:color="auto"/>
              <w:bottom w:val="single" w:sz="4" w:space="0" w:color="auto"/>
              <w:right w:val="single" w:sz="4" w:space="0" w:color="auto"/>
            </w:tcBorders>
          </w:tcPr>
          <w:p w14:paraId="18510D49" w14:textId="5CA9B466" w:rsidR="008B37DE" w:rsidRPr="00A21D7D" w:rsidRDefault="008B37DE" w:rsidP="007A5833">
            <w:pPr>
              <w:pStyle w:val="TableTextBody"/>
            </w:pPr>
            <w:r w:rsidRPr="00A21D7D">
              <w:t>Governance – management and structure</w:t>
            </w:r>
          </w:p>
        </w:tc>
        <w:tc>
          <w:tcPr>
            <w:tcW w:w="4264" w:type="dxa"/>
            <w:tcBorders>
              <w:top w:val="single" w:sz="4" w:space="0" w:color="auto"/>
              <w:left w:val="single" w:sz="4" w:space="0" w:color="auto"/>
              <w:bottom w:val="single" w:sz="4" w:space="0" w:color="auto"/>
              <w:right w:val="single" w:sz="4" w:space="0" w:color="auto"/>
            </w:tcBorders>
          </w:tcPr>
          <w:p w14:paraId="787756A0" w14:textId="77777777" w:rsidR="008B37DE" w:rsidRPr="00A21D7D" w:rsidRDefault="008B37DE" w:rsidP="007A5833">
            <w:pPr>
              <w:pStyle w:val="TableTextBody"/>
            </w:pPr>
            <w:r w:rsidRPr="00A21D7D">
              <w:t xml:space="preserve">Organisational structure </w:t>
            </w:r>
          </w:p>
        </w:tc>
        <w:tc>
          <w:tcPr>
            <w:tcW w:w="2520" w:type="dxa"/>
            <w:tcBorders>
              <w:top w:val="single" w:sz="4" w:space="0" w:color="auto"/>
              <w:left w:val="single" w:sz="4" w:space="0" w:color="auto"/>
              <w:bottom w:val="single" w:sz="4" w:space="0" w:color="auto"/>
            </w:tcBorders>
            <w:shd w:val="clear" w:color="auto" w:fill="auto"/>
          </w:tcPr>
          <w:p w14:paraId="15431F4E" w14:textId="77777777" w:rsidR="008B37DE" w:rsidRPr="00A21D7D" w:rsidRDefault="008B37DE" w:rsidP="007A5833">
            <w:pPr>
              <w:pStyle w:val="TableTextBody"/>
            </w:pPr>
            <w:r w:rsidRPr="00A21D7D">
              <w:t>ARRs – section 13.1</w:t>
            </w:r>
          </w:p>
        </w:tc>
        <w:tc>
          <w:tcPr>
            <w:tcW w:w="1591" w:type="dxa"/>
            <w:tcBorders>
              <w:top w:val="single" w:sz="4" w:space="0" w:color="auto"/>
              <w:left w:val="single" w:sz="4" w:space="0" w:color="auto"/>
              <w:bottom w:val="single" w:sz="4" w:space="0" w:color="auto"/>
            </w:tcBorders>
            <w:shd w:val="clear" w:color="auto" w:fill="auto"/>
          </w:tcPr>
          <w:p w14:paraId="4B14AB75" w14:textId="2C704F57" w:rsidR="008B37DE" w:rsidRPr="00A21D7D" w:rsidRDefault="00DA0DFF" w:rsidP="007A5833">
            <w:pPr>
              <w:pStyle w:val="TableTextBody"/>
            </w:pPr>
            <w:r>
              <w:t>Appendix C</w:t>
            </w:r>
          </w:p>
        </w:tc>
      </w:tr>
      <w:tr w:rsidR="008B37DE" w:rsidRPr="00A21D7D" w14:paraId="04C8EC15" w14:textId="77777777" w:rsidTr="00D9029E">
        <w:trPr>
          <w:cantSplit/>
        </w:trPr>
        <w:tc>
          <w:tcPr>
            <w:tcW w:w="1548" w:type="dxa"/>
            <w:vMerge/>
            <w:tcBorders>
              <w:top w:val="single" w:sz="4" w:space="0" w:color="auto"/>
              <w:bottom w:val="single" w:sz="4" w:space="0" w:color="auto"/>
              <w:right w:val="single" w:sz="4" w:space="0" w:color="auto"/>
            </w:tcBorders>
          </w:tcPr>
          <w:p w14:paraId="4270BB68"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79D26A4E" w14:textId="77777777" w:rsidR="008B37DE" w:rsidRPr="00A21D7D" w:rsidRDefault="008B37DE" w:rsidP="007A5833">
            <w:pPr>
              <w:pStyle w:val="TableTextBody"/>
            </w:pPr>
            <w:r w:rsidRPr="00A21D7D">
              <w:t>Executive management</w:t>
            </w:r>
          </w:p>
        </w:tc>
        <w:tc>
          <w:tcPr>
            <w:tcW w:w="2520" w:type="dxa"/>
            <w:tcBorders>
              <w:top w:val="single" w:sz="4" w:space="0" w:color="auto"/>
              <w:left w:val="single" w:sz="4" w:space="0" w:color="auto"/>
              <w:bottom w:val="single" w:sz="4" w:space="0" w:color="auto"/>
            </w:tcBorders>
            <w:shd w:val="clear" w:color="auto" w:fill="auto"/>
          </w:tcPr>
          <w:p w14:paraId="18453743" w14:textId="77777777" w:rsidR="008B37DE" w:rsidRPr="00A21D7D" w:rsidRDefault="008B37DE" w:rsidP="007A5833">
            <w:pPr>
              <w:pStyle w:val="TableTextBody"/>
            </w:pPr>
            <w:r w:rsidRPr="00A21D7D">
              <w:t>ARRs – section 13.2</w:t>
            </w:r>
          </w:p>
        </w:tc>
        <w:tc>
          <w:tcPr>
            <w:tcW w:w="1591" w:type="dxa"/>
            <w:tcBorders>
              <w:top w:val="single" w:sz="4" w:space="0" w:color="auto"/>
              <w:left w:val="single" w:sz="4" w:space="0" w:color="auto"/>
              <w:bottom w:val="single" w:sz="4" w:space="0" w:color="auto"/>
            </w:tcBorders>
            <w:shd w:val="clear" w:color="auto" w:fill="auto"/>
          </w:tcPr>
          <w:p w14:paraId="3265C1CF" w14:textId="46124C41" w:rsidR="008B37DE" w:rsidRPr="00A21D7D" w:rsidRDefault="00DA0DFF" w:rsidP="007A5833">
            <w:pPr>
              <w:pStyle w:val="TableTextBody"/>
            </w:pPr>
            <w:r>
              <w:t>Page 65</w:t>
            </w:r>
          </w:p>
        </w:tc>
      </w:tr>
      <w:tr w:rsidR="008B37DE" w:rsidRPr="00A21D7D" w14:paraId="003DD711" w14:textId="77777777" w:rsidTr="00D9029E">
        <w:trPr>
          <w:cantSplit/>
        </w:trPr>
        <w:tc>
          <w:tcPr>
            <w:tcW w:w="1548" w:type="dxa"/>
            <w:vMerge/>
            <w:tcBorders>
              <w:top w:val="single" w:sz="4" w:space="0" w:color="auto"/>
              <w:bottom w:val="single" w:sz="4" w:space="0" w:color="auto"/>
              <w:right w:val="single" w:sz="4" w:space="0" w:color="auto"/>
            </w:tcBorders>
          </w:tcPr>
          <w:p w14:paraId="2B1598DA"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7695B803" w14:textId="77777777" w:rsidR="008B37DE" w:rsidRPr="00A21D7D" w:rsidRDefault="008B37DE" w:rsidP="007A5833">
            <w:pPr>
              <w:pStyle w:val="TableTextBody"/>
            </w:pPr>
            <w:r w:rsidRPr="00A21D7D">
              <w:t>Government bodies (statutory bodies and other entities)</w:t>
            </w:r>
          </w:p>
        </w:tc>
        <w:tc>
          <w:tcPr>
            <w:tcW w:w="2520" w:type="dxa"/>
            <w:tcBorders>
              <w:top w:val="single" w:sz="4" w:space="0" w:color="auto"/>
              <w:left w:val="single" w:sz="4" w:space="0" w:color="auto"/>
              <w:bottom w:val="single" w:sz="4" w:space="0" w:color="auto"/>
            </w:tcBorders>
            <w:shd w:val="clear" w:color="auto" w:fill="auto"/>
          </w:tcPr>
          <w:p w14:paraId="68C13C9B" w14:textId="77777777" w:rsidR="008B37DE" w:rsidRPr="00A21D7D" w:rsidRDefault="008B37DE" w:rsidP="007A5833">
            <w:pPr>
              <w:pStyle w:val="TableTextBody"/>
            </w:pPr>
            <w:r w:rsidRPr="00A21D7D">
              <w:t>ARRs – section 13.3</w:t>
            </w:r>
          </w:p>
        </w:tc>
        <w:tc>
          <w:tcPr>
            <w:tcW w:w="1591" w:type="dxa"/>
            <w:tcBorders>
              <w:top w:val="single" w:sz="4" w:space="0" w:color="auto"/>
              <w:left w:val="single" w:sz="4" w:space="0" w:color="auto"/>
              <w:bottom w:val="single" w:sz="4" w:space="0" w:color="auto"/>
            </w:tcBorders>
            <w:shd w:val="clear" w:color="auto" w:fill="auto"/>
          </w:tcPr>
          <w:p w14:paraId="583EE757" w14:textId="3F5017D7" w:rsidR="008B37DE" w:rsidRPr="00A21D7D" w:rsidRDefault="00DA0DFF" w:rsidP="007A5833">
            <w:pPr>
              <w:pStyle w:val="TableTextBody"/>
            </w:pPr>
            <w:r>
              <w:t>N/A</w:t>
            </w:r>
          </w:p>
        </w:tc>
      </w:tr>
      <w:tr w:rsidR="008B37DE" w:rsidRPr="00A21D7D" w14:paraId="34A7B3F7" w14:textId="77777777" w:rsidTr="00D9029E">
        <w:trPr>
          <w:cantSplit/>
        </w:trPr>
        <w:tc>
          <w:tcPr>
            <w:tcW w:w="1548" w:type="dxa"/>
            <w:vMerge/>
            <w:tcBorders>
              <w:top w:val="single" w:sz="4" w:space="0" w:color="auto"/>
              <w:bottom w:val="single" w:sz="4" w:space="0" w:color="auto"/>
              <w:right w:val="single" w:sz="4" w:space="0" w:color="auto"/>
            </w:tcBorders>
          </w:tcPr>
          <w:p w14:paraId="5F704E36"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72755FCE" w14:textId="77777777" w:rsidR="008B37DE" w:rsidRPr="00A21D7D" w:rsidRDefault="008B37DE" w:rsidP="007A5833">
            <w:pPr>
              <w:pStyle w:val="TableTextBody"/>
            </w:pPr>
            <w:r w:rsidRPr="00A21D7D">
              <w:t>Public Sector Ethics</w:t>
            </w:r>
            <w:r w:rsidRPr="00A21D7D">
              <w:rPr>
                <w:i/>
              </w:rPr>
              <w:t xml:space="preserve"> </w:t>
            </w:r>
          </w:p>
        </w:tc>
        <w:tc>
          <w:tcPr>
            <w:tcW w:w="2520" w:type="dxa"/>
            <w:tcBorders>
              <w:top w:val="single" w:sz="4" w:space="0" w:color="auto"/>
              <w:left w:val="single" w:sz="4" w:space="0" w:color="auto"/>
              <w:bottom w:val="single" w:sz="4" w:space="0" w:color="auto"/>
            </w:tcBorders>
            <w:shd w:val="clear" w:color="auto" w:fill="auto"/>
          </w:tcPr>
          <w:p w14:paraId="1BE96989" w14:textId="77777777" w:rsidR="008B37DE" w:rsidRPr="00A21D7D" w:rsidRDefault="008B37DE" w:rsidP="007A5833">
            <w:pPr>
              <w:pStyle w:val="TableTextBody"/>
              <w:rPr>
                <w:i/>
              </w:rPr>
            </w:pPr>
            <w:r w:rsidRPr="00A21D7D">
              <w:rPr>
                <w:i/>
              </w:rPr>
              <w:t>Public Sector Ethics Act 1994</w:t>
            </w:r>
          </w:p>
          <w:p w14:paraId="64825E72" w14:textId="77777777" w:rsidR="008B37DE" w:rsidRPr="00A21D7D" w:rsidRDefault="008B37DE" w:rsidP="007A5833">
            <w:pPr>
              <w:pStyle w:val="TableTextBody"/>
            </w:pPr>
            <w:r w:rsidRPr="00A21D7D">
              <w:t>ARRs – section 13.4</w:t>
            </w:r>
          </w:p>
        </w:tc>
        <w:tc>
          <w:tcPr>
            <w:tcW w:w="1591" w:type="dxa"/>
            <w:tcBorders>
              <w:top w:val="single" w:sz="4" w:space="0" w:color="auto"/>
              <w:left w:val="single" w:sz="4" w:space="0" w:color="auto"/>
              <w:bottom w:val="single" w:sz="4" w:space="0" w:color="auto"/>
            </w:tcBorders>
            <w:shd w:val="clear" w:color="auto" w:fill="auto"/>
          </w:tcPr>
          <w:p w14:paraId="786E25A9" w14:textId="6BA30EE4" w:rsidR="008B37DE" w:rsidRPr="00A21D7D" w:rsidRDefault="00DA0DFF" w:rsidP="007A5833">
            <w:pPr>
              <w:pStyle w:val="TableTextBody"/>
            </w:pPr>
            <w:r>
              <w:t>Page 68</w:t>
            </w:r>
          </w:p>
        </w:tc>
      </w:tr>
      <w:tr w:rsidR="008B37DE" w:rsidRPr="00A21D7D" w14:paraId="3BD62BCE" w14:textId="77777777" w:rsidTr="00D9029E">
        <w:trPr>
          <w:cantSplit/>
        </w:trPr>
        <w:tc>
          <w:tcPr>
            <w:tcW w:w="1548" w:type="dxa"/>
            <w:vMerge/>
            <w:tcBorders>
              <w:top w:val="single" w:sz="4" w:space="0" w:color="auto"/>
              <w:bottom w:val="single" w:sz="4" w:space="0" w:color="auto"/>
              <w:right w:val="single" w:sz="4" w:space="0" w:color="auto"/>
            </w:tcBorders>
          </w:tcPr>
          <w:p w14:paraId="20AFD00B"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13CCEA26" w14:textId="77777777" w:rsidR="008B37DE" w:rsidRPr="00A21D7D" w:rsidRDefault="008B37DE" w:rsidP="007A5833">
            <w:pPr>
              <w:pStyle w:val="TableTextBody"/>
            </w:pPr>
            <w:r w:rsidRPr="00A21D7D">
              <w:t xml:space="preserve">Human Rights </w:t>
            </w:r>
          </w:p>
        </w:tc>
        <w:tc>
          <w:tcPr>
            <w:tcW w:w="2520" w:type="dxa"/>
            <w:tcBorders>
              <w:top w:val="single" w:sz="4" w:space="0" w:color="auto"/>
              <w:left w:val="single" w:sz="4" w:space="0" w:color="auto"/>
              <w:bottom w:val="single" w:sz="4" w:space="0" w:color="auto"/>
            </w:tcBorders>
            <w:shd w:val="clear" w:color="auto" w:fill="auto"/>
          </w:tcPr>
          <w:p w14:paraId="373F7777" w14:textId="20D39CC9" w:rsidR="008B37DE" w:rsidRPr="00A21D7D" w:rsidRDefault="00FC6699" w:rsidP="007A5833">
            <w:pPr>
              <w:pStyle w:val="TableTextBody"/>
              <w:rPr>
                <w:i/>
              </w:rPr>
            </w:pPr>
            <w:r w:rsidRPr="00FC6699">
              <w:rPr>
                <w:i/>
              </w:rPr>
              <w:t>Human Rights Act 2019</w:t>
            </w:r>
          </w:p>
          <w:p w14:paraId="18D6EAE5" w14:textId="77777777" w:rsidR="008B37DE" w:rsidRPr="00A21D7D" w:rsidRDefault="008B37DE" w:rsidP="007A5833">
            <w:pPr>
              <w:pStyle w:val="TableTextBody"/>
            </w:pPr>
            <w:r w:rsidRPr="00A21D7D">
              <w:t>ARRs – section 13.5</w:t>
            </w:r>
          </w:p>
        </w:tc>
        <w:tc>
          <w:tcPr>
            <w:tcW w:w="1591" w:type="dxa"/>
            <w:tcBorders>
              <w:top w:val="single" w:sz="4" w:space="0" w:color="auto"/>
              <w:left w:val="single" w:sz="4" w:space="0" w:color="auto"/>
              <w:bottom w:val="single" w:sz="4" w:space="0" w:color="auto"/>
            </w:tcBorders>
            <w:shd w:val="clear" w:color="auto" w:fill="auto"/>
          </w:tcPr>
          <w:p w14:paraId="07FE24CB" w14:textId="63D09E1C" w:rsidR="008B37DE" w:rsidRPr="00A21D7D" w:rsidRDefault="00DA0DFF" w:rsidP="007A5833">
            <w:pPr>
              <w:pStyle w:val="TableTextBody"/>
            </w:pPr>
            <w:r>
              <w:t>Page 69</w:t>
            </w:r>
          </w:p>
        </w:tc>
      </w:tr>
      <w:tr w:rsidR="008B37DE" w:rsidRPr="00A21D7D" w14:paraId="5A795D09" w14:textId="77777777" w:rsidTr="00D9029E">
        <w:trPr>
          <w:cantSplit/>
        </w:trPr>
        <w:tc>
          <w:tcPr>
            <w:tcW w:w="1548" w:type="dxa"/>
            <w:vMerge/>
            <w:tcBorders>
              <w:top w:val="single" w:sz="4" w:space="0" w:color="auto"/>
              <w:bottom w:val="single" w:sz="4" w:space="0" w:color="auto"/>
              <w:right w:val="single" w:sz="4" w:space="0" w:color="auto"/>
            </w:tcBorders>
          </w:tcPr>
          <w:p w14:paraId="225B502F"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241FE674" w14:textId="77777777" w:rsidR="008B37DE" w:rsidRPr="00A21D7D" w:rsidRDefault="008B37DE" w:rsidP="007A5833">
            <w:pPr>
              <w:pStyle w:val="TableTextBody"/>
              <w:rPr>
                <w:i/>
              </w:rPr>
            </w:pPr>
            <w:r w:rsidRPr="00A21D7D">
              <w:t>Queensland public service values</w:t>
            </w:r>
          </w:p>
        </w:tc>
        <w:tc>
          <w:tcPr>
            <w:tcW w:w="2520" w:type="dxa"/>
            <w:tcBorders>
              <w:top w:val="single" w:sz="4" w:space="0" w:color="auto"/>
              <w:left w:val="single" w:sz="4" w:space="0" w:color="auto"/>
              <w:bottom w:val="single" w:sz="4" w:space="0" w:color="auto"/>
            </w:tcBorders>
            <w:shd w:val="clear" w:color="auto" w:fill="auto"/>
          </w:tcPr>
          <w:p w14:paraId="76D8BFA3" w14:textId="77777777" w:rsidR="008B37DE" w:rsidRPr="00A21D7D" w:rsidRDefault="008B37DE" w:rsidP="007A5833">
            <w:pPr>
              <w:pStyle w:val="TableTextBody"/>
              <w:rPr>
                <w:i/>
              </w:rPr>
            </w:pPr>
            <w:r w:rsidRPr="00A21D7D">
              <w:t>ARRs – section 13.6</w:t>
            </w:r>
          </w:p>
        </w:tc>
        <w:tc>
          <w:tcPr>
            <w:tcW w:w="1591" w:type="dxa"/>
            <w:tcBorders>
              <w:top w:val="single" w:sz="4" w:space="0" w:color="auto"/>
              <w:left w:val="single" w:sz="4" w:space="0" w:color="auto"/>
              <w:bottom w:val="single" w:sz="4" w:space="0" w:color="auto"/>
            </w:tcBorders>
            <w:shd w:val="clear" w:color="auto" w:fill="auto"/>
          </w:tcPr>
          <w:p w14:paraId="743CC5B3" w14:textId="445451AB" w:rsidR="008B37DE" w:rsidRPr="00A21D7D" w:rsidRDefault="00DA0DFF" w:rsidP="007A5833">
            <w:pPr>
              <w:pStyle w:val="TableTextBody"/>
            </w:pPr>
            <w:r>
              <w:t>Page 10</w:t>
            </w:r>
          </w:p>
        </w:tc>
      </w:tr>
      <w:tr w:rsidR="008B37DE" w:rsidRPr="00A21D7D" w14:paraId="1D47A7C3" w14:textId="77777777" w:rsidTr="00D9029E">
        <w:trPr>
          <w:cantSplit/>
        </w:trPr>
        <w:tc>
          <w:tcPr>
            <w:tcW w:w="1548" w:type="dxa"/>
            <w:vMerge w:val="restart"/>
            <w:tcBorders>
              <w:top w:val="single" w:sz="4" w:space="0" w:color="auto"/>
              <w:right w:val="single" w:sz="4" w:space="0" w:color="auto"/>
            </w:tcBorders>
          </w:tcPr>
          <w:p w14:paraId="7CF30998" w14:textId="77777777" w:rsidR="008B37DE" w:rsidRPr="00A21D7D" w:rsidRDefault="008B37DE" w:rsidP="007A5833">
            <w:pPr>
              <w:pStyle w:val="TableTextBody"/>
            </w:pPr>
            <w:r w:rsidRPr="00A21D7D">
              <w:t xml:space="preserve">Governance – risk </w:t>
            </w:r>
            <w:r w:rsidRPr="00A21D7D">
              <w:lastRenderedPageBreak/>
              <w:t>management and accountability</w:t>
            </w:r>
          </w:p>
        </w:tc>
        <w:tc>
          <w:tcPr>
            <w:tcW w:w="4264" w:type="dxa"/>
            <w:tcBorders>
              <w:top w:val="nil"/>
              <w:left w:val="single" w:sz="4" w:space="0" w:color="auto"/>
              <w:bottom w:val="single" w:sz="4" w:space="0" w:color="auto"/>
              <w:right w:val="single" w:sz="4" w:space="0" w:color="auto"/>
            </w:tcBorders>
          </w:tcPr>
          <w:p w14:paraId="12C3F891" w14:textId="77777777" w:rsidR="008B37DE" w:rsidRPr="00A21D7D" w:rsidRDefault="008B37DE" w:rsidP="007A5833">
            <w:pPr>
              <w:pStyle w:val="TableTextBody"/>
            </w:pPr>
            <w:r w:rsidRPr="00A21D7D">
              <w:lastRenderedPageBreak/>
              <w:t>Risk management</w:t>
            </w:r>
          </w:p>
        </w:tc>
        <w:tc>
          <w:tcPr>
            <w:tcW w:w="2520" w:type="dxa"/>
            <w:tcBorders>
              <w:top w:val="nil"/>
              <w:left w:val="single" w:sz="4" w:space="0" w:color="auto"/>
              <w:bottom w:val="single" w:sz="4" w:space="0" w:color="auto"/>
            </w:tcBorders>
            <w:shd w:val="clear" w:color="auto" w:fill="auto"/>
          </w:tcPr>
          <w:p w14:paraId="03239F55" w14:textId="77777777" w:rsidR="008B37DE" w:rsidRPr="00A21D7D" w:rsidRDefault="008B37DE" w:rsidP="007A5833">
            <w:pPr>
              <w:pStyle w:val="TableTextBody"/>
            </w:pPr>
            <w:r w:rsidRPr="00A21D7D">
              <w:t>ARRs – section 14.1</w:t>
            </w:r>
          </w:p>
        </w:tc>
        <w:tc>
          <w:tcPr>
            <w:tcW w:w="1591" w:type="dxa"/>
            <w:tcBorders>
              <w:top w:val="nil"/>
              <w:left w:val="single" w:sz="4" w:space="0" w:color="auto"/>
              <w:bottom w:val="single" w:sz="4" w:space="0" w:color="auto"/>
            </w:tcBorders>
            <w:shd w:val="clear" w:color="auto" w:fill="auto"/>
          </w:tcPr>
          <w:p w14:paraId="08A42C64" w14:textId="053722D3" w:rsidR="008B37DE" w:rsidRPr="00A21D7D" w:rsidRDefault="00DA0DFF" w:rsidP="007A5833">
            <w:pPr>
              <w:pStyle w:val="TableTextBody"/>
            </w:pPr>
            <w:r>
              <w:t>Page 71</w:t>
            </w:r>
          </w:p>
        </w:tc>
      </w:tr>
      <w:tr w:rsidR="008B37DE" w:rsidRPr="00A21D7D" w14:paraId="02EE181A" w14:textId="77777777" w:rsidTr="00D9029E">
        <w:trPr>
          <w:cantSplit/>
        </w:trPr>
        <w:tc>
          <w:tcPr>
            <w:tcW w:w="1548" w:type="dxa"/>
            <w:vMerge/>
            <w:tcBorders>
              <w:right w:val="single" w:sz="4" w:space="0" w:color="auto"/>
            </w:tcBorders>
          </w:tcPr>
          <w:p w14:paraId="60FBAD7C"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323B4DD8" w14:textId="77777777" w:rsidR="008B37DE" w:rsidRPr="00A21D7D" w:rsidRDefault="008B37DE" w:rsidP="007A5833">
            <w:pPr>
              <w:pStyle w:val="TableTextBody"/>
            </w:pPr>
            <w:r w:rsidRPr="00A21D7D">
              <w:t>Audit committee</w:t>
            </w:r>
          </w:p>
        </w:tc>
        <w:tc>
          <w:tcPr>
            <w:tcW w:w="2520" w:type="dxa"/>
            <w:tcBorders>
              <w:top w:val="single" w:sz="4" w:space="0" w:color="auto"/>
              <w:left w:val="single" w:sz="4" w:space="0" w:color="auto"/>
              <w:bottom w:val="single" w:sz="4" w:space="0" w:color="auto"/>
            </w:tcBorders>
            <w:shd w:val="clear" w:color="auto" w:fill="auto"/>
          </w:tcPr>
          <w:p w14:paraId="282626E5" w14:textId="77777777" w:rsidR="008B37DE" w:rsidRPr="00A21D7D" w:rsidRDefault="008B37DE" w:rsidP="007A5833">
            <w:pPr>
              <w:pStyle w:val="TableTextBody"/>
            </w:pPr>
            <w:r w:rsidRPr="00A21D7D">
              <w:t>ARRs – section 14.2</w:t>
            </w:r>
          </w:p>
        </w:tc>
        <w:tc>
          <w:tcPr>
            <w:tcW w:w="1591" w:type="dxa"/>
            <w:tcBorders>
              <w:top w:val="single" w:sz="4" w:space="0" w:color="auto"/>
              <w:left w:val="single" w:sz="4" w:space="0" w:color="auto"/>
              <w:bottom w:val="single" w:sz="4" w:space="0" w:color="auto"/>
            </w:tcBorders>
            <w:shd w:val="clear" w:color="auto" w:fill="auto"/>
          </w:tcPr>
          <w:p w14:paraId="5AAEE759" w14:textId="2EB6E8BD" w:rsidR="008B37DE" w:rsidRPr="00A21D7D" w:rsidRDefault="00DA0DFF" w:rsidP="007A5833">
            <w:pPr>
              <w:pStyle w:val="TableTextBody"/>
            </w:pPr>
            <w:r>
              <w:t>Page 71</w:t>
            </w:r>
          </w:p>
        </w:tc>
      </w:tr>
      <w:tr w:rsidR="008B37DE" w:rsidRPr="00A21D7D" w14:paraId="32D2C16A" w14:textId="77777777" w:rsidTr="00D9029E">
        <w:trPr>
          <w:cantSplit/>
          <w:trHeight w:val="422"/>
        </w:trPr>
        <w:tc>
          <w:tcPr>
            <w:tcW w:w="1548" w:type="dxa"/>
            <w:vMerge/>
            <w:tcBorders>
              <w:right w:val="single" w:sz="4" w:space="0" w:color="auto"/>
            </w:tcBorders>
          </w:tcPr>
          <w:p w14:paraId="031F5DF6"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656468E7" w14:textId="77777777" w:rsidR="008B37DE" w:rsidRPr="00A21D7D" w:rsidRDefault="008B37DE" w:rsidP="007A5833">
            <w:pPr>
              <w:pStyle w:val="TableTextBody"/>
            </w:pPr>
            <w:r w:rsidRPr="00A21D7D">
              <w:t>Internal audit</w:t>
            </w:r>
          </w:p>
        </w:tc>
        <w:tc>
          <w:tcPr>
            <w:tcW w:w="2520" w:type="dxa"/>
            <w:tcBorders>
              <w:top w:val="single" w:sz="4" w:space="0" w:color="auto"/>
              <w:left w:val="single" w:sz="4" w:space="0" w:color="auto"/>
              <w:bottom w:val="single" w:sz="4" w:space="0" w:color="auto"/>
            </w:tcBorders>
            <w:shd w:val="clear" w:color="auto" w:fill="auto"/>
          </w:tcPr>
          <w:p w14:paraId="58196225" w14:textId="77777777" w:rsidR="008B37DE" w:rsidRPr="00A21D7D" w:rsidRDefault="008B37DE" w:rsidP="007A5833">
            <w:pPr>
              <w:pStyle w:val="TableTextBody"/>
            </w:pPr>
            <w:r w:rsidRPr="00A21D7D">
              <w:t>ARRs – section 14.3</w:t>
            </w:r>
          </w:p>
        </w:tc>
        <w:tc>
          <w:tcPr>
            <w:tcW w:w="1591" w:type="dxa"/>
            <w:tcBorders>
              <w:top w:val="single" w:sz="4" w:space="0" w:color="auto"/>
              <w:left w:val="single" w:sz="4" w:space="0" w:color="auto"/>
              <w:bottom w:val="single" w:sz="4" w:space="0" w:color="auto"/>
            </w:tcBorders>
            <w:shd w:val="clear" w:color="auto" w:fill="auto"/>
          </w:tcPr>
          <w:p w14:paraId="60D6FDC8" w14:textId="573E3EBC" w:rsidR="008B37DE" w:rsidRPr="00A21D7D" w:rsidRDefault="00DA0DFF" w:rsidP="007A5833">
            <w:pPr>
              <w:pStyle w:val="TableTextBody"/>
            </w:pPr>
            <w:r>
              <w:t>Page 71</w:t>
            </w:r>
          </w:p>
        </w:tc>
      </w:tr>
      <w:tr w:rsidR="008B37DE" w:rsidRPr="00A21D7D" w14:paraId="33057357" w14:textId="77777777" w:rsidTr="00D9029E">
        <w:trPr>
          <w:cantSplit/>
          <w:trHeight w:val="422"/>
        </w:trPr>
        <w:tc>
          <w:tcPr>
            <w:tcW w:w="1548" w:type="dxa"/>
            <w:vMerge/>
            <w:tcBorders>
              <w:right w:val="single" w:sz="4" w:space="0" w:color="auto"/>
            </w:tcBorders>
          </w:tcPr>
          <w:p w14:paraId="5A52DE97"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383233F4" w14:textId="77777777" w:rsidR="008B37DE" w:rsidRPr="00A21D7D" w:rsidRDefault="008B37DE" w:rsidP="007A5833">
            <w:pPr>
              <w:pStyle w:val="TableTextBody"/>
            </w:pPr>
            <w:r w:rsidRPr="00A21D7D">
              <w:t>External scrutiny</w:t>
            </w:r>
          </w:p>
        </w:tc>
        <w:tc>
          <w:tcPr>
            <w:tcW w:w="2520" w:type="dxa"/>
            <w:tcBorders>
              <w:top w:val="single" w:sz="4" w:space="0" w:color="auto"/>
              <w:left w:val="single" w:sz="4" w:space="0" w:color="auto"/>
              <w:bottom w:val="single" w:sz="4" w:space="0" w:color="auto"/>
            </w:tcBorders>
            <w:shd w:val="clear" w:color="auto" w:fill="auto"/>
          </w:tcPr>
          <w:p w14:paraId="78FFDD19" w14:textId="77777777" w:rsidR="008B37DE" w:rsidRPr="00A21D7D" w:rsidRDefault="008B37DE" w:rsidP="007A5833">
            <w:pPr>
              <w:pStyle w:val="TableTextBody"/>
            </w:pPr>
            <w:r w:rsidRPr="00A21D7D">
              <w:t>ARRs – section 14.4</w:t>
            </w:r>
          </w:p>
        </w:tc>
        <w:tc>
          <w:tcPr>
            <w:tcW w:w="1591" w:type="dxa"/>
            <w:tcBorders>
              <w:top w:val="single" w:sz="4" w:space="0" w:color="auto"/>
              <w:left w:val="single" w:sz="4" w:space="0" w:color="auto"/>
              <w:bottom w:val="single" w:sz="4" w:space="0" w:color="auto"/>
            </w:tcBorders>
            <w:shd w:val="clear" w:color="auto" w:fill="auto"/>
          </w:tcPr>
          <w:p w14:paraId="0AD1F089" w14:textId="170093AC" w:rsidR="008B37DE" w:rsidRPr="00A21D7D" w:rsidRDefault="00DA0DFF" w:rsidP="007A5833">
            <w:pPr>
              <w:pStyle w:val="TableTextBody"/>
            </w:pPr>
            <w:r>
              <w:t>Page 71</w:t>
            </w:r>
          </w:p>
        </w:tc>
      </w:tr>
      <w:tr w:rsidR="008B37DE" w:rsidRPr="00A21D7D" w14:paraId="715F261D" w14:textId="77777777" w:rsidTr="00D9029E">
        <w:trPr>
          <w:cantSplit/>
          <w:trHeight w:val="422"/>
        </w:trPr>
        <w:tc>
          <w:tcPr>
            <w:tcW w:w="1548" w:type="dxa"/>
            <w:vMerge/>
            <w:tcBorders>
              <w:bottom w:val="single" w:sz="4" w:space="0" w:color="auto"/>
              <w:right w:val="single" w:sz="4" w:space="0" w:color="auto"/>
            </w:tcBorders>
          </w:tcPr>
          <w:p w14:paraId="73269397"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29F8F088" w14:textId="77777777" w:rsidR="008B37DE" w:rsidRPr="00A21D7D" w:rsidRDefault="008B37DE" w:rsidP="007A5833">
            <w:pPr>
              <w:pStyle w:val="TableTextBody"/>
            </w:pPr>
            <w:r w:rsidRPr="00A21D7D">
              <w:t>Information systems and recordkeeping</w:t>
            </w:r>
          </w:p>
        </w:tc>
        <w:tc>
          <w:tcPr>
            <w:tcW w:w="2520" w:type="dxa"/>
            <w:tcBorders>
              <w:top w:val="single" w:sz="4" w:space="0" w:color="auto"/>
              <w:left w:val="single" w:sz="4" w:space="0" w:color="auto"/>
              <w:bottom w:val="single" w:sz="4" w:space="0" w:color="auto"/>
            </w:tcBorders>
            <w:shd w:val="clear" w:color="auto" w:fill="auto"/>
          </w:tcPr>
          <w:p w14:paraId="4E3061CE" w14:textId="77777777" w:rsidR="008B37DE" w:rsidRPr="00A21D7D" w:rsidRDefault="008B37DE" w:rsidP="007A5833">
            <w:pPr>
              <w:pStyle w:val="TableTextBody"/>
            </w:pPr>
            <w:r w:rsidRPr="00A21D7D">
              <w:t>ARRs – section 14.5</w:t>
            </w:r>
          </w:p>
        </w:tc>
        <w:tc>
          <w:tcPr>
            <w:tcW w:w="1591" w:type="dxa"/>
            <w:tcBorders>
              <w:top w:val="single" w:sz="4" w:space="0" w:color="auto"/>
              <w:left w:val="single" w:sz="4" w:space="0" w:color="auto"/>
              <w:bottom w:val="single" w:sz="4" w:space="0" w:color="auto"/>
            </w:tcBorders>
            <w:shd w:val="clear" w:color="auto" w:fill="auto"/>
          </w:tcPr>
          <w:p w14:paraId="3124F1DB" w14:textId="553245CE" w:rsidR="008B37DE" w:rsidRPr="00A21D7D" w:rsidRDefault="00DA0DFF" w:rsidP="007A5833">
            <w:pPr>
              <w:pStyle w:val="TableTextBody"/>
            </w:pPr>
            <w:r>
              <w:t>Page 70</w:t>
            </w:r>
          </w:p>
        </w:tc>
      </w:tr>
      <w:tr w:rsidR="008B37DE" w:rsidRPr="00A21D7D" w14:paraId="0062EEAC" w14:textId="77777777" w:rsidTr="00D9029E">
        <w:trPr>
          <w:cantSplit/>
        </w:trPr>
        <w:tc>
          <w:tcPr>
            <w:tcW w:w="1548" w:type="dxa"/>
            <w:vMerge w:val="restart"/>
            <w:tcBorders>
              <w:top w:val="single" w:sz="4" w:space="0" w:color="auto"/>
              <w:right w:val="single" w:sz="4" w:space="0" w:color="auto"/>
            </w:tcBorders>
          </w:tcPr>
          <w:p w14:paraId="6A461248" w14:textId="77777777" w:rsidR="008B37DE" w:rsidRPr="00A21D7D" w:rsidRDefault="008B37DE" w:rsidP="007A5833">
            <w:pPr>
              <w:pStyle w:val="TableTextBody"/>
            </w:pPr>
            <w:r w:rsidRPr="00A21D7D">
              <w:t>Governance – human resources</w:t>
            </w:r>
          </w:p>
        </w:tc>
        <w:tc>
          <w:tcPr>
            <w:tcW w:w="4264" w:type="dxa"/>
            <w:tcBorders>
              <w:top w:val="single" w:sz="4" w:space="0" w:color="auto"/>
              <w:left w:val="single" w:sz="4" w:space="0" w:color="auto"/>
              <w:bottom w:val="single" w:sz="4" w:space="0" w:color="auto"/>
              <w:right w:val="single" w:sz="4" w:space="0" w:color="auto"/>
            </w:tcBorders>
          </w:tcPr>
          <w:p w14:paraId="1D3835CA" w14:textId="77777777" w:rsidR="008B37DE" w:rsidRPr="00A21D7D" w:rsidRDefault="008B37DE" w:rsidP="007A5833">
            <w:pPr>
              <w:pStyle w:val="TableTextBody"/>
            </w:pPr>
            <w:r w:rsidRPr="00A21D7D">
              <w:t>Strategic workforce planning and performance</w:t>
            </w:r>
          </w:p>
        </w:tc>
        <w:tc>
          <w:tcPr>
            <w:tcW w:w="2520" w:type="dxa"/>
            <w:tcBorders>
              <w:top w:val="single" w:sz="4" w:space="0" w:color="auto"/>
              <w:left w:val="single" w:sz="4" w:space="0" w:color="auto"/>
              <w:bottom w:val="single" w:sz="4" w:space="0" w:color="auto"/>
            </w:tcBorders>
            <w:shd w:val="clear" w:color="auto" w:fill="auto"/>
          </w:tcPr>
          <w:p w14:paraId="107453DD" w14:textId="77777777" w:rsidR="008B37DE" w:rsidRPr="00A21D7D" w:rsidRDefault="008B37DE" w:rsidP="007A5833">
            <w:pPr>
              <w:pStyle w:val="TableTextBody"/>
            </w:pPr>
            <w:r w:rsidRPr="00A21D7D">
              <w:t>ARRs – section 15.1</w:t>
            </w:r>
          </w:p>
        </w:tc>
        <w:tc>
          <w:tcPr>
            <w:tcW w:w="1591" w:type="dxa"/>
            <w:tcBorders>
              <w:top w:val="single" w:sz="4" w:space="0" w:color="auto"/>
              <w:left w:val="single" w:sz="4" w:space="0" w:color="auto"/>
              <w:bottom w:val="single" w:sz="4" w:space="0" w:color="auto"/>
            </w:tcBorders>
            <w:shd w:val="clear" w:color="auto" w:fill="auto"/>
          </w:tcPr>
          <w:p w14:paraId="59C1F1B7" w14:textId="0C45C608" w:rsidR="008B37DE" w:rsidRPr="00A21D7D" w:rsidRDefault="00DA0DFF" w:rsidP="007A5833">
            <w:pPr>
              <w:pStyle w:val="TableTextBody"/>
            </w:pPr>
            <w:r>
              <w:t>Page 67</w:t>
            </w:r>
          </w:p>
        </w:tc>
      </w:tr>
      <w:tr w:rsidR="008B37DE" w:rsidRPr="00A21D7D" w14:paraId="18986AA4" w14:textId="77777777" w:rsidTr="00D9029E">
        <w:trPr>
          <w:cantSplit/>
        </w:trPr>
        <w:tc>
          <w:tcPr>
            <w:tcW w:w="1548" w:type="dxa"/>
            <w:vMerge/>
            <w:tcBorders>
              <w:right w:val="single" w:sz="4" w:space="0" w:color="auto"/>
            </w:tcBorders>
          </w:tcPr>
          <w:p w14:paraId="6E6AF341"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1802FC5A" w14:textId="77777777" w:rsidR="008B37DE" w:rsidRPr="00A21D7D" w:rsidRDefault="008B37DE" w:rsidP="007A5833">
            <w:pPr>
              <w:pStyle w:val="TableTextBody"/>
            </w:pPr>
            <w:r w:rsidRPr="00A21D7D">
              <w:t>Early retirement, redundancy and retrenchment</w:t>
            </w:r>
          </w:p>
        </w:tc>
        <w:tc>
          <w:tcPr>
            <w:tcW w:w="2520" w:type="dxa"/>
            <w:tcBorders>
              <w:top w:val="single" w:sz="4" w:space="0" w:color="auto"/>
              <w:left w:val="single" w:sz="4" w:space="0" w:color="auto"/>
              <w:bottom w:val="single" w:sz="4" w:space="0" w:color="auto"/>
            </w:tcBorders>
            <w:shd w:val="clear" w:color="auto" w:fill="auto"/>
          </w:tcPr>
          <w:p w14:paraId="4597D499" w14:textId="77777777" w:rsidR="008B37DE" w:rsidRPr="00A21D7D" w:rsidRDefault="008B37DE" w:rsidP="007A5833">
            <w:pPr>
              <w:pStyle w:val="TableTextBody"/>
            </w:pPr>
            <w:r w:rsidRPr="00A21D7D">
              <w:t xml:space="preserve">Directive No.04/18 </w:t>
            </w:r>
            <w:r w:rsidRPr="00A21D7D">
              <w:rPr>
                <w:i/>
              </w:rPr>
              <w:t xml:space="preserve">Early Retirement, Redundancy and Retrenchment </w:t>
            </w:r>
          </w:p>
          <w:p w14:paraId="6CC3CB7E" w14:textId="77777777" w:rsidR="008B37DE" w:rsidRPr="00A21D7D" w:rsidRDefault="008B37DE" w:rsidP="007A5833">
            <w:pPr>
              <w:pStyle w:val="TableTextBody"/>
            </w:pPr>
            <w:r w:rsidRPr="00A21D7D">
              <w:t>ARRs – section 15.2</w:t>
            </w:r>
          </w:p>
        </w:tc>
        <w:tc>
          <w:tcPr>
            <w:tcW w:w="1591" w:type="dxa"/>
            <w:tcBorders>
              <w:top w:val="single" w:sz="4" w:space="0" w:color="auto"/>
              <w:left w:val="single" w:sz="4" w:space="0" w:color="auto"/>
              <w:bottom w:val="single" w:sz="4" w:space="0" w:color="auto"/>
            </w:tcBorders>
            <w:shd w:val="clear" w:color="auto" w:fill="auto"/>
          </w:tcPr>
          <w:p w14:paraId="2E629FC7" w14:textId="060FC015" w:rsidR="008B37DE" w:rsidRPr="00A21D7D" w:rsidRDefault="00DA0DFF" w:rsidP="007A5833">
            <w:pPr>
              <w:pStyle w:val="TableTextBody"/>
            </w:pPr>
            <w:r>
              <w:t>Page 71</w:t>
            </w:r>
          </w:p>
        </w:tc>
      </w:tr>
      <w:tr w:rsidR="008B37DE" w:rsidRPr="00A21D7D" w14:paraId="473C2118" w14:textId="77777777" w:rsidTr="00D9029E">
        <w:trPr>
          <w:cantSplit/>
        </w:trPr>
        <w:tc>
          <w:tcPr>
            <w:tcW w:w="1548" w:type="dxa"/>
            <w:vMerge w:val="restart"/>
            <w:tcBorders>
              <w:top w:val="single" w:sz="4" w:space="0" w:color="auto"/>
              <w:right w:val="single" w:sz="4" w:space="0" w:color="auto"/>
            </w:tcBorders>
          </w:tcPr>
          <w:p w14:paraId="2A3FC4C9" w14:textId="77777777" w:rsidR="008B37DE" w:rsidRPr="00A21D7D" w:rsidRDefault="008B37DE" w:rsidP="007A5833">
            <w:pPr>
              <w:pStyle w:val="TableTextBody"/>
            </w:pPr>
            <w:r w:rsidRPr="00A21D7D">
              <w:t>Open Data</w:t>
            </w:r>
          </w:p>
        </w:tc>
        <w:tc>
          <w:tcPr>
            <w:tcW w:w="4264" w:type="dxa"/>
            <w:tcBorders>
              <w:top w:val="single" w:sz="4" w:space="0" w:color="auto"/>
              <w:left w:val="single" w:sz="4" w:space="0" w:color="auto"/>
              <w:bottom w:val="single" w:sz="4" w:space="0" w:color="auto"/>
              <w:right w:val="single" w:sz="4" w:space="0" w:color="auto"/>
            </w:tcBorders>
          </w:tcPr>
          <w:p w14:paraId="6B6D1721" w14:textId="77777777" w:rsidR="008B37DE" w:rsidRPr="00A21D7D" w:rsidRDefault="008B37DE" w:rsidP="007A5833">
            <w:pPr>
              <w:pStyle w:val="TableTextBody"/>
            </w:pPr>
            <w:r w:rsidRPr="00A21D7D">
              <w:t>Statement advising publication of information</w:t>
            </w:r>
          </w:p>
        </w:tc>
        <w:tc>
          <w:tcPr>
            <w:tcW w:w="2520" w:type="dxa"/>
            <w:tcBorders>
              <w:top w:val="single" w:sz="4" w:space="0" w:color="auto"/>
              <w:left w:val="single" w:sz="4" w:space="0" w:color="auto"/>
              <w:bottom w:val="single" w:sz="4" w:space="0" w:color="auto"/>
            </w:tcBorders>
            <w:shd w:val="clear" w:color="auto" w:fill="auto"/>
          </w:tcPr>
          <w:p w14:paraId="531D2B19" w14:textId="77777777" w:rsidR="008B37DE" w:rsidRPr="00A21D7D" w:rsidRDefault="008B37DE" w:rsidP="007A5833">
            <w:pPr>
              <w:pStyle w:val="TableTextBody"/>
            </w:pPr>
            <w:r w:rsidRPr="00A21D7D">
              <w:t>ARRs – section 16</w:t>
            </w:r>
          </w:p>
        </w:tc>
        <w:tc>
          <w:tcPr>
            <w:tcW w:w="1591" w:type="dxa"/>
            <w:tcBorders>
              <w:top w:val="single" w:sz="4" w:space="0" w:color="auto"/>
              <w:left w:val="single" w:sz="4" w:space="0" w:color="auto"/>
              <w:bottom w:val="single" w:sz="4" w:space="0" w:color="auto"/>
            </w:tcBorders>
            <w:shd w:val="clear" w:color="auto" w:fill="auto"/>
          </w:tcPr>
          <w:p w14:paraId="210B3D51" w14:textId="245155EB" w:rsidR="008B37DE" w:rsidRPr="00A21D7D" w:rsidRDefault="00DA0DFF" w:rsidP="007A5833">
            <w:pPr>
              <w:pStyle w:val="TableTextBody"/>
            </w:pPr>
            <w:r>
              <w:t>Page 71</w:t>
            </w:r>
          </w:p>
        </w:tc>
      </w:tr>
      <w:tr w:rsidR="008B37DE" w:rsidRPr="00A21D7D" w14:paraId="3ECD496A" w14:textId="77777777" w:rsidTr="00D9029E">
        <w:trPr>
          <w:cantSplit/>
        </w:trPr>
        <w:tc>
          <w:tcPr>
            <w:tcW w:w="1548" w:type="dxa"/>
            <w:vMerge/>
            <w:tcBorders>
              <w:right w:val="single" w:sz="4" w:space="0" w:color="auto"/>
            </w:tcBorders>
          </w:tcPr>
          <w:p w14:paraId="68CE794C"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541041CF" w14:textId="77777777" w:rsidR="008B37DE" w:rsidRPr="00A21D7D" w:rsidRDefault="008B37DE" w:rsidP="007A5833">
            <w:pPr>
              <w:pStyle w:val="TableTextBody"/>
            </w:pPr>
            <w:r w:rsidRPr="00A21D7D">
              <w:t xml:space="preserve">Consultancies </w:t>
            </w:r>
          </w:p>
        </w:tc>
        <w:tc>
          <w:tcPr>
            <w:tcW w:w="2520" w:type="dxa"/>
            <w:tcBorders>
              <w:top w:val="single" w:sz="4" w:space="0" w:color="auto"/>
              <w:left w:val="single" w:sz="4" w:space="0" w:color="auto"/>
              <w:bottom w:val="single" w:sz="4" w:space="0" w:color="auto"/>
            </w:tcBorders>
            <w:shd w:val="clear" w:color="auto" w:fill="auto"/>
          </w:tcPr>
          <w:p w14:paraId="0EB97CF1" w14:textId="77777777" w:rsidR="008B37DE" w:rsidRPr="00A21D7D" w:rsidRDefault="008B37DE" w:rsidP="007A5833">
            <w:pPr>
              <w:pStyle w:val="TableTextBody"/>
            </w:pPr>
            <w:r w:rsidRPr="00A21D7D">
              <w:t>ARRs – section 33.1</w:t>
            </w:r>
          </w:p>
        </w:tc>
        <w:tc>
          <w:tcPr>
            <w:tcW w:w="1591" w:type="dxa"/>
            <w:tcBorders>
              <w:top w:val="single" w:sz="4" w:space="0" w:color="auto"/>
              <w:left w:val="single" w:sz="4" w:space="0" w:color="auto"/>
              <w:bottom w:val="single" w:sz="4" w:space="0" w:color="auto"/>
            </w:tcBorders>
            <w:shd w:val="clear" w:color="auto" w:fill="auto"/>
          </w:tcPr>
          <w:p w14:paraId="7CFADBC0" w14:textId="78463B85" w:rsidR="008B37DE" w:rsidRPr="00A21D7D" w:rsidRDefault="003B066D" w:rsidP="007A5833">
            <w:pPr>
              <w:pStyle w:val="TableTextBody"/>
              <w:rPr>
                <w:sz w:val="14"/>
                <w:szCs w:val="12"/>
              </w:rPr>
            </w:pPr>
            <w:hyperlink r:id="rId29" w:history="1">
              <w:r w:rsidR="00DA0DFF" w:rsidRPr="00A9439E">
                <w:rPr>
                  <w:rStyle w:val="Hyperlink"/>
                  <w:rFonts w:eastAsiaTheme="majorEastAsia" w:cs="Arial"/>
                  <w:sz w:val="14"/>
                  <w:szCs w:val="12"/>
                </w:rPr>
                <w:t>https://data.qld.gov.au</w:t>
              </w:r>
            </w:hyperlink>
          </w:p>
        </w:tc>
      </w:tr>
      <w:tr w:rsidR="008B37DE" w:rsidRPr="00A21D7D" w14:paraId="76CB62AB" w14:textId="77777777" w:rsidTr="00D9029E">
        <w:trPr>
          <w:cantSplit/>
        </w:trPr>
        <w:tc>
          <w:tcPr>
            <w:tcW w:w="1548" w:type="dxa"/>
            <w:vMerge/>
            <w:tcBorders>
              <w:right w:val="single" w:sz="4" w:space="0" w:color="auto"/>
            </w:tcBorders>
          </w:tcPr>
          <w:p w14:paraId="64863A4D"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0C77912A" w14:textId="77777777" w:rsidR="008B37DE" w:rsidRPr="00A21D7D" w:rsidRDefault="008B37DE" w:rsidP="007A5833">
            <w:pPr>
              <w:pStyle w:val="TableTextBody"/>
            </w:pPr>
            <w:r w:rsidRPr="00A21D7D">
              <w:t>Overseas travel</w:t>
            </w:r>
          </w:p>
        </w:tc>
        <w:tc>
          <w:tcPr>
            <w:tcW w:w="2520" w:type="dxa"/>
            <w:tcBorders>
              <w:top w:val="single" w:sz="4" w:space="0" w:color="auto"/>
              <w:left w:val="single" w:sz="4" w:space="0" w:color="auto"/>
              <w:bottom w:val="single" w:sz="4" w:space="0" w:color="auto"/>
            </w:tcBorders>
            <w:shd w:val="clear" w:color="auto" w:fill="auto"/>
          </w:tcPr>
          <w:p w14:paraId="6208AF07" w14:textId="77777777" w:rsidR="008B37DE" w:rsidRPr="00A21D7D" w:rsidRDefault="008B37DE" w:rsidP="007A5833">
            <w:pPr>
              <w:pStyle w:val="TableTextBody"/>
            </w:pPr>
            <w:r w:rsidRPr="00A21D7D">
              <w:t>ARRs – section 33.2</w:t>
            </w:r>
          </w:p>
        </w:tc>
        <w:tc>
          <w:tcPr>
            <w:tcW w:w="1591" w:type="dxa"/>
            <w:tcBorders>
              <w:top w:val="single" w:sz="4" w:space="0" w:color="auto"/>
              <w:left w:val="single" w:sz="4" w:space="0" w:color="auto"/>
              <w:bottom w:val="single" w:sz="4" w:space="0" w:color="auto"/>
            </w:tcBorders>
            <w:shd w:val="clear" w:color="auto" w:fill="auto"/>
          </w:tcPr>
          <w:p w14:paraId="022F9748" w14:textId="4A66A0E4" w:rsidR="008B37DE" w:rsidRPr="00A21D7D" w:rsidRDefault="003B066D" w:rsidP="007A5833">
            <w:pPr>
              <w:pStyle w:val="TableTextBody"/>
              <w:rPr>
                <w:sz w:val="14"/>
                <w:szCs w:val="12"/>
              </w:rPr>
            </w:pPr>
            <w:hyperlink r:id="rId30" w:history="1">
              <w:r w:rsidR="00DA0DFF" w:rsidRPr="00A9439E">
                <w:rPr>
                  <w:rStyle w:val="Hyperlink"/>
                  <w:rFonts w:eastAsiaTheme="majorEastAsia" w:cs="Arial"/>
                  <w:sz w:val="14"/>
                  <w:szCs w:val="12"/>
                </w:rPr>
                <w:t>https://data.qld.gov.au</w:t>
              </w:r>
            </w:hyperlink>
          </w:p>
        </w:tc>
      </w:tr>
      <w:tr w:rsidR="008B37DE" w:rsidRPr="00A21D7D" w14:paraId="586DE8C9" w14:textId="77777777" w:rsidTr="00D9029E">
        <w:trPr>
          <w:cantSplit/>
        </w:trPr>
        <w:tc>
          <w:tcPr>
            <w:tcW w:w="1548" w:type="dxa"/>
            <w:vMerge/>
            <w:tcBorders>
              <w:right w:val="single" w:sz="4" w:space="0" w:color="auto"/>
            </w:tcBorders>
          </w:tcPr>
          <w:p w14:paraId="73953F31"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3FA6427F" w14:textId="77777777" w:rsidR="008B37DE" w:rsidRPr="00A21D7D" w:rsidRDefault="008B37DE" w:rsidP="007A5833">
            <w:pPr>
              <w:pStyle w:val="TableTextBody"/>
            </w:pPr>
            <w:r w:rsidRPr="00A21D7D">
              <w:t>Queensland Language Services Policy</w:t>
            </w:r>
          </w:p>
        </w:tc>
        <w:tc>
          <w:tcPr>
            <w:tcW w:w="2520" w:type="dxa"/>
            <w:tcBorders>
              <w:top w:val="single" w:sz="4" w:space="0" w:color="auto"/>
              <w:left w:val="single" w:sz="4" w:space="0" w:color="auto"/>
              <w:bottom w:val="single" w:sz="4" w:space="0" w:color="auto"/>
            </w:tcBorders>
            <w:shd w:val="clear" w:color="auto" w:fill="auto"/>
          </w:tcPr>
          <w:p w14:paraId="6851DA2D" w14:textId="77777777" w:rsidR="008B37DE" w:rsidRPr="00A21D7D" w:rsidRDefault="008B37DE" w:rsidP="007A5833">
            <w:pPr>
              <w:pStyle w:val="TableTextBody"/>
            </w:pPr>
            <w:r w:rsidRPr="00A21D7D">
              <w:t>ARRs – section 33.3</w:t>
            </w:r>
          </w:p>
        </w:tc>
        <w:tc>
          <w:tcPr>
            <w:tcW w:w="1591" w:type="dxa"/>
            <w:tcBorders>
              <w:top w:val="single" w:sz="4" w:space="0" w:color="auto"/>
              <w:left w:val="single" w:sz="4" w:space="0" w:color="auto"/>
              <w:bottom w:val="single" w:sz="4" w:space="0" w:color="auto"/>
            </w:tcBorders>
            <w:shd w:val="clear" w:color="auto" w:fill="auto"/>
          </w:tcPr>
          <w:p w14:paraId="272BDA99" w14:textId="2747F782" w:rsidR="008B37DE" w:rsidRPr="00A21D7D" w:rsidRDefault="003B066D" w:rsidP="007A5833">
            <w:pPr>
              <w:pStyle w:val="TableTextBody"/>
              <w:rPr>
                <w:sz w:val="14"/>
                <w:szCs w:val="12"/>
              </w:rPr>
            </w:pPr>
            <w:hyperlink r:id="rId31" w:history="1">
              <w:r w:rsidR="00DA0DFF" w:rsidRPr="00A9439E">
                <w:rPr>
                  <w:rStyle w:val="Hyperlink"/>
                  <w:rFonts w:eastAsiaTheme="majorEastAsia" w:cs="Arial"/>
                  <w:sz w:val="14"/>
                  <w:szCs w:val="12"/>
                </w:rPr>
                <w:t>https://data.qld.gov.au</w:t>
              </w:r>
            </w:hyperlink>
          </w:p>
        </w:tc>
      </w:tr>
      <w:tr w:rsidR="008B37DE" w:rsidRPr="00A21D7D" w14:paraId="75560255" w14:textId="77777777" w:rsidTr="00D9029E">
        <w:trPr>
          <w:cantSplit/>
        </w:trPr>
        <w:tc>
          <w:tcPr>
            <w:tcW w:w="1548" w:type="dxa"/>
            <w:vMerge w:val="restart"/>
            <w:tcBorders>
              <w:top w:val="single" w:sz="4" w:space="0" w:color="auto"/>
              <w:bottom w:val="single" w:sz="4" w:space="0" w:color="auto"/>
              <w:right w:val="single" w:sz="4" w:space="0" w:color="auto"/>
            </w:tcBorders>
          </w:tcPr>
          <w:p w14:paraId="0B88529F" w14:textId="77777777" w:rsidR="008B37DE" w:rsidRPr="00A21D7D" w:rsidRDefault="008B37DE" w:rsidP="007A5833">
            <w:pPr>
              <w:pStyle w:val="TableTextBody"/>
            </w:pPr>
            <w:r w:rsidRPr="00A21D7D">
              <w:t>Financial statements</w:t>
            </w:r>
          </w:p>
        </w:tc>
        <w:tc>
          <w:tcPr>
            <w:tcW w:w="4264" w:type="dxa"/>
            <w:tcBorders>
              <w:top w:val="single" w:sz="4" w:space="0" w:color="auto"/>
              <w:left w:val="single" w:sz="4" w:space="0" w:color="auto"/>
              <w:bottom w:val="single" w:sz="4" w:space="0" w:color="auto"/>
              <w:right w:val="single" w:sz="4" w:space="0" w:color="auto"/>
            </w:tcBorders>
          </w:tcPr>
          <w:p w14:paraId="07D64AF2" w14:textId="77777777" w:rsidR="008B37DE" w:rsidRPr="00A21D7D" w:rsidRDefault="008B37DE" w:rsidP="007A5833">
            <w:pPr>
              <w:pStyle w:val="TableTextBody"/>
            </w:pPr>
            <w:r w:rsidRPr="00A21D7D">
              <w:t>Certification of financial statements</w:t>
            </w:r>
          </w:p>
        </w:tc>
        <w:tc>
          <w:tcPr>
            <w:tcW w:w="2520" w:type="dxa"/>
            <w:tcBorders>
              <w:top w:val="single" w:sz="4" w:space="0" w:color="auto"/>
              <w:left w:val="single" w:sz="4" w:space="0" w:color="auto"/>
              <w:bottom w:val="single" w:sz="4" w:space="0" w:color="auto"/>
            </w:tcBorders>
            <w:shd w:val="clear" w:color="auto" w:fill="auto"/>
          </w:tcPr>
          <w:p w14:paraId="4305EDB2" w14:textId="77777777" w:rsidR="008B37DE" w:rsidRPr="00A21D7D" w:rsidRDefault="008B37DE" w:rsidP="007A5833">
            <w:pPr>
              <w:pStyle w:val="TableTextBody"/>
            </w:pPr>
            <w:r w:rsidRPr="00A21D7D">
              <w:t>FAA – section 62</w:t>
            </w:r>
          </w:p>
          <w:p w14:paraId="557C9FF4" w14:textId="77777777" w:rsidR="008B37DE" w:rsidRPr="00A21D7D" w:rsidRDefault="008B37DE" w:rsidP="007A5833">
            <w:pPr>
              <w:pStyle w:val="TableTextBody"/>
            </w:pPr>
            <w:r w:rsidRPr="00A21D7D">
              <w:t>FPMS – sections 38, 39 and 46</w:t>
            </w:r>
          </w:p>
          <w:p w14:paraId="291128C3" w14:textId="77777777" w:rsidR="008B37DE" w:rsidRPr="00A21D7D" w:rsidRDefault="008B37DE" w:rsidP="007A5833">
            <w:pPr>
              <w:pStyle w:val="TableTextBody"/>
            </w:pPr>
            <w:r w:rsidRPr="00A21D7D">
              <w:t>ARRs – section 17.1</w:t>
            </w:r>
          </w:p>
        </w:tc>
        <w:tc>
          <w:tcPr>
            <w:tcW w:w="1591" w:type="dxa"/>
            <w:tcBorders>
              <w:top w:val="single" w:sz="4" w:space="0" w:color="auto"/>
              <w:left w:val="single" w:sz="4" w:space="0" w:color="auto"/>
              <w:bottom w:val="single" w:sz="4" w:space="0" w:color="auto"/>
            </w:tcBorders>
            <w:shd w:val="clear" w:color="auto" w:fill="auto"/>
          </w:tcPr>
          <w:p w14:paraId="6BE5B590" w14:textId="77777777" w:rsidR="008B37DE" w:rsidRDefault="00DA0DFF" w:rsidP="007A5833">
            <w:pPr>
              <w:pStyle w:val="TableTextBody"/>
            </w:pPr>
            <w:r>
              <w:t>Page 75</w:t>
            </w:r>
          </w:p>
          <w:p w14:paraId="12558182" w14:textId="258D038A" w:rsidR="00DA0DFF" w:rsidRPr="00A21D7D" w:rsidRDefault="00DA0DFF" w:rsidP="007A5833">
            <w:pPr>
              <w:pStyle w:val="TableTextBody"/>
            </w:pPr>
            <w:r>
              <w:t>Appendix D</w:t>
            </w:r>
          </w:p>
        </w:tc>
      </w:tr>
      <w:tr w:rsidR="008B37DE" w:rsidRPr="00A21D7D" w14:paraId="5DFE3A01" w14:textId="77777777" w:rsidTr="00D9029E">
        <w:trPr>
          <w:cantSplit/>
        </w:trPr>
        <w:tc>
          <w:tcPr>
            <w:tcW w:w="1548" w:type="dxa"/>
            <w:vMerge/>
            <w:tcBorders>
              <w:top w:val="single" w:sz="4" w:space="0" w:color="auto"/>
              <w:bottom w:val="single" w:sz="4" w:space="0" w:color="auto"/>
              <w:right w:val="single" w:sz="4" w:space="0" w:color="auto"/>
            </w:tcBorders>
          </w:tcPr>
          <w:p w14:paraId="7FA47A3A" w14:textId="77777777" w:rsidR="008B37DE" w:rsidRPr="00A21D7D" w:rsidRDefault="008B37DE" w:rsidP="007A5833">
            <w:pPr>
              <w:pStyle w:val="TableTextBody"/>
            </w:pPr>
          </w:p>
        </w:tc>
        <w:tc>
          <w:tcPr>
            <w:tcW w:w="4264" w:type="dxa"/>
            <w:tcBorders>
              <w:top w:val="single" w:sz="4" w:space="0" w:color="auto"/>
              <w:left w:val="single" w:sz="4" w:space="0" w:color="auto"/>
              <w:bottom w:val="single" w:sz="4" w:space="0" w:color="auto"/>
              <w:right w:val="single" w:sz="4" w:space="0" w:color="auto"/>
            </w:tcBorders>
          </w:tcPr>
          <w:p w14:paraId="63F1ECF1" w14:textId="77777777" w:rsidR="008B37DE" w:rsidRPr="00A21D7D" w:rsidRDefault="008B37DE" w:rsidP="007A5833">
            <w:pPr>
              <w:pStyle w:val="TableTextBody"/>
            </w:pPr>
            <w:r w:rsidRPr="00A21D7D">
              <w:t>Independent Auditor’s Report</w:t>
            </w:r>
          </w:p>
        </w:tc>
        <w:tc>
          <w:tcPr>
            <w:tcW w:w="2520" w:type="dxa"/>
            <w:tcBorders>
              <w:top w:val="single" w:sz="4" w:space="0" w:color="auto"/>
              <w:left w:val="single" w:sz="4" w:space="0" w:color="auto"/>
              <w:bottom w:val="single" w:sz="4" w:space="0" w:color="auto"/>
            </w:tcBorders>
            <w:shd w:val="clear" w:color="auto" w:fill="auto"/>
          </w:tcPr>
          <w:p w14:paraId="531BCCB7" w14:textId="77777777" w:rsidR="008B37DE" w:rsidRPr="00A21D7D" w:rsidRDefault="008B37DE" w:rsidP="007A5833">
            <w:pPr>
              <w:pStyle w:val="TableTextBody"/>
            </w:pPr>
            <w:r w:rsidRPr="00A21D7D">
              <w:t>FAA – section 62</w:t>
            </w:r>
          </w:p>
          <w:p w14:paraId="6C896949" w14:textId="77777777" w:rsidR="008B37DE" w:rsidRPr="00A21D7D" w:rsidRDefault="008B37DE" w:rsidP="007A5833">
            <w:pPr>
              <w:pStyle w:val="TableTextBody"/>
            </w:pPr>
            <w:r w:rsidRPr="00A21D7D">
              <w:t>FPMS – section 46</w:t>
            </w:r>
          </w:p>
          <w:p w14:paraId="6E99096E" w14:textId="77777777" w:rsidR="008B37DE" w:rsidRPr="00A21D7D" w:rsidRDefault="008B37DE" w:rsidP="007A5833">
            <w:pPr>
              <w:pStyle w:val="TableTextBody"/>
            </w:pPr>
            <w:r w:rsidRPr="00A21D7D">
              <w:t>ARRs – section 17.2</w:t>
            </w:r>
          </w:p>
        </w:tc>
        <w:tc>
          <w:tcPr>
            <w:tcW w:w="1591" w:type="dxa"/>
            <w:tcBorders>
              <w:top w:val="single" w:sz="4" w:space="0" w:color="auto"/>
              <w:left w:val="single" w:sz="4" w:space="0" w:color="auto"/>
              <w:bottom w:val="single" w:sz="4" w:space="0" w:color="auto"/>
            </w:tcBorders>
            <w:shd w:val="clear" w:color="auto" w:fill="auto"/>
          </w:tcPr>
          <w:p w14:paraId="38AD87F9" w14:textId="77777777" w:rsidR="008B37DE" w:rsidRDefault="00DA0DFF" w:rsidP="007A5833">
            <w:pPr>
              <w:pStyle w:val="TableTextBody"/>
            </w:pPr>
            <w:r>
              <w:t>Page 75</w:t>
            </w:r>
          </w:p>
          <w:p w14:paraId="000BC12B" w14:textId="726340AD" w:rsidR="00DA0DFF" w:rsidRPr="00A21D7D" w:rsidRDefault="00DA0DFF" w:rsidP="007A5833">
            <w:pPr>
              <w:pStyle w:val="TableTextBody"/>
            </w:pPr>
            <w:r>
              <w:t>Appendix D</w:t>
            </w:r>
          </w:p>
        </w:tc>
      </w:tr>
    </w:tbl>
    <w:p w14:paraId="7D0418B8" w14:textId="77777777" w:rsidR="008B37DE" w:rsidRPr="00A21D7D" w:rsidRDefault="008B37DE" w:rsidP="008B37DE">
      <w:pPr>
        <w:pStyle w:val="Text"/>
        <w:rPr>
          <w:rFonts w:cs="Arial"/>
          <w:i/>
          <w:sz w:val="18"/>
          <w:szCs w:val="16"/>
        </w:rPr>
      </w:pPr>
      <w:r w:rsidRPr="00A21D7D">
        <w:rPr>
          <w:rFonts w:cs="Arial"/>
          <w:sz w:val="18"/>
          <w:szCs w:val="16"/>
        </w:rPr>
        <w:t xml:space="preserve">FAA </w:t>
      </w:r>
      <w:r w:rsidRPr="00A21D7D">
        <w:rPr>
          <w:rFonts w:cs="Arial"/>
          <w:sz w:val="18"/>
          <w:szCs w:val="16"/>
        </w:rPr>
        <w:tab/>
      </w:r>
      <w:r w:rsidRPr="00A21D7D">
        <w:rPr>
          <w:rFonts w:cs="Arial"/>
          <w:i/>
          <w:sz w:val="18"/>
          <w:szCs w:val="16"/>
        </w:rPr>
        <w:t xml:space="preserve">Financial Accountability Act 2009 </w:t>
      </w:r>
    </w:p>
    <w:p w14:paraId="213548F3" w14:textId="77777777" w:rsidR="008B37DE" w:rsidRPr="00A21D7D" w:rsidRDefault="008B37DE" w:rsidP="008B37DE">
      <w:pPr>
        <w:pStyle w:val="Text"/>
        <w:rPr>
          <w:rFonts w:cs="Arial"/>
          <w:i/>
          <w:sz w:val="18"/>
          <w:szCs w:val="16"/>
        </w:rPr>
      </w:pPr>
      <w:r w:rsidRPr="00A21D7D">
        <w:rPr>
          <w:rFonts w:cs="Arial"/>
          <w:sz w:val="18"/>
          <w:szCs w:val="16"/>
        </w:rPr>
        <w:t xml:space="preserve">FPMS </w:t>
      </w:r>
      <w:r w:rsidRPr="00A21D7D">
        <w:rPr>
          <w:rFonts w:cs="Arial"/>
          <w:sz w:val="18"/>
          <w:szCs w:val="16"/>
        </w:rPr>
        <w:tab/>
      </w:r>
      <w:r w:rsidRPr="00A21D7D">
        <w:rPr>
          <w:rFonts w:cs="Arial"/>
          <w:i/>
          <w:sz w:val="18"/>
          <w:szCs w:val="16"/>
        </w:rPr>
        <w:t>Financial and Performance Management Standard 2019</w:t>
      </w:r>
    </w:p>
    <w:p w14:paraId="143C60BB" w14:textId="77777777" w:rsidR="008B37DE" w:rsidRPr="00A21D7D" w:rsidRDefault="008B37DE" w:rsidP="008B37DE">
      <w:pPr>
        <w:pStyle w:val="Text"/>
        <w:rPr>
          <w:rFonts w:cs="Arial"/>
          <w:sz w:val="18"/>
          <w:szCs w:val="16"/>
        </w:rPr>
      </w:pPr>
      <w:r w:rsidRPr="00A21D7D">
        <w:rPr>
          <w:rFonts w:cs="Arial"/>
          <w:sz w:val="18"/>
          <w:szCs w:val="16"/>
        </w:rPr>
        <w:t>ARRs</w:t>
      </w:r>
      <w:r w:rsidRPr="00A21D7D">
        <w:rPr>
          <w:rFonts w:cs="Arial"/>
          <w:sz w:val="18"/>
          <w:szCs w:val="16"/>
        </w:rPr>
        <w:tab/>
      </w:r>
      <w:r w:rsidRPr="00A21D7D">
        <w:rPr>
          <w:rFonts w:cs="Arial"/>
          <w:i/>
          <w:sz w:val="18"/>
          <w:szCs w:val="16"/>
        </w:rPr>
        <w:t>Annual report requirements for Queensland Government agencies</w:t>
      </w:r>
    </w:p>
    <w:p w14:paraId="6B57A03A" w14:textId="77777777" w:rsidR="008B37DE" w:rsidRPr="00A21D7D" w:rsidRDefault="008B37DE" w:rsidP="008B37DE">
      <w:pPr>
        <w:rPr>
          <w:rFonts w:cs="Arial"/>
        </w:rPr>
      </w:pPr>
    </w:p>
    <w:p w14:paraId="1BAAB70D" w14:textId="77777777" w:rsidR="008B37DE" w:rsidRPr="00A21D7D" w:rsidRDefault="008B37DE" w:rsidP="008B37DE">
      <w:pPr>
        <w:rPr>
          <w:rFonts w:cs="Arial"/>
        </w:rPr>
      </w:pPr>
    </w:p>
    <w:p w14:paraId="2088C8C3" w14:textId="77777777" w:rsidR="006206B9" w:rsidRPr="00A21D7D" w:rsidRDefault="006206B9">
      <w:pPr>
        <w:rPr>
          <w:rFonts w:cs="Arial"/>
        </w:rPr>
      </w:pPr>
      <w:r w:rsidRPr="00A21D7D">
        <w:rPr>
          <w:rFonts w:cs="Arial"/>
        </w:rPr>
        <w:br w:type="page"/>
      </w:r>
    </w:p>
    <w:p w14:paraId="3A8AAC71" w14:textId="3BF57246" w:rsidR="006206B9" w:rsidRPr="00A21D7D" w:rsidRDefault="006206B9" w:rsidP="006860E4">
      <w:pPr>
        <w:pStyle w:val="Heading1"/>
      </w:pPr>
      <w:bookmarkStart w:id="109" w:name="_Toc49508946"/>
      <w:r w:rsidRPr="00A21D7D">
        <w:lastRenderedPageBreak/>
        <w:t>Appendix B: Glossary of terms</w:t>
      </w:r>
      <w:bookmarkEnd w:id="109"/>
      <w:r w:rsidRPr="00A21D7D">
        <w:t xml:space="preserve"> </w:t>
      </w:r>
    </w:p>
    <w:tbl>
      <w:tblPr>
        <w:tblW w:w="0" w:type="auto"/>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1E0" w:firstRow="1" w:lastRow="1" w:firstColumn="1" w:lastColumn="1" w:noHBand="0" w:noVBand="0"/>
      </w:tblPr>
      <w:tblGrid>
        <w:gridCol w:w="2696"/>
        <w:gridCol w:w="6655"/>
      </w:tblGrid>
      <w:tr w:rsidR="00626023" w:rsidRPr="00A21D7D" w14:paraId="0EC74B8C" w14:textId="77777777" w:rsidTr="007A5833">
        <w:tc>
          <w:tcPr>
            <w:tcW w:w="0" w:type="auto"/>
          </w:tcPr>
          <w:p w14:paraId="7A7C11D4" w14:textId="77777777" w:rsidR="00626023" w:rsidRPr="00A21D7D" w:rsidRDefault="00626023" w:rsidP="007A5833">
            <w:pPr>
              <w:pStyle w:val="TableTextHeading"/>
              <w:rPr>
                <w:i/>
                <w:lang w:eastAsia="en-AU"/>
              </w:rPr>
            </w:pPr>
            <w:r w:rsidRPr="00A21D7D">
              <w:rPr>
                <w:lang w:eastAsia="en-AU"/>
              </w:rPr>
              <w:t>Term</w:t>
            </w:r>
          </w:p>
        </w:tc>
        <w:tc>
          <w:tcPr>
            <w:tcW w:w="6655" w:type="dxa"/>
          </w:tcPr>
          <w:p w14:paraId="04C4D90C" w14:textId="77777777" w:rsidR="00626023" w:rsidRPr="00A21D7D" w:rsidRDefault="00626023" w:rsidP="007A5833">
            <w:pPr>
              <w:pStyle w:val="TableTextHeading"/>
              <w:rPr>
                <w:i/>
                <w:lang w:eastAsia="en-AU"/>
              </w:rPr>
            </w:pPr>
            <w:r w:rsidRPr="00A21D7D">
              <w:rPr>
                <w:lang w:eastAsia="en-AU"/>
              </w:rPr>
              <w:t>Description</w:t>
            </w:r>
          </w:p>
        </w:tc>
      </w:tr>
      <w:tr w:rsidR="00626023" w:rsidRPr="00A21D7D" w14:paraId="3354E3A1" w14:textId="77777777" w:rsidTr="007A5833">
        <w:tc>
          <w:tcPr>
            <w:tcW w:w="0" w:type="auto"/>
          </w:tcPr>
          <w:p w14:paraId="68E06A7E" w14:textId="77777777" w:rsidR="00626023" w:rsidRPr="00A21D7D" w:rsidRDefault="00626023" w:rsidP="007A5833">
            <w:pPr>
              <w:pStyle w:val="TableTextBody"/>
              <w:rPr>
                <w:i/>
                <w:lang w:eastAsia="en-AU"/>
              </w:rPr>
            </w:pPr>
            <w:r w:rsidRPr="00A21D7D">
              <w:rPr>
                <w:lang w:eastAsia="en-AU"/>
              </w:rPr>
              <w:t>complaint</w:t>
            </w:r>
          </w:p>
        </w:tc>
        <w:tc>
          <w:tcPr>
            <w:tcW w:w="6655" w:type="dxa"/>
          </w:tcPr>
          <w:p w14:paraId="67048450" w14:textId="3100B862" w:rsidR="00626023" w:rsidRPr="00A21D7D" w:rsidRDefault="00626023" w:rsidP="007A5833">
            <w:pPr>
              <w:pStyle w:val="TableTextBody"/>
              <w:rPr>
                <w:i/>
                <w:lang w:eastAsia="en-AU"/>
              </w:rPr>
            </w:pPr>
            <w:r w:rsidRPr="00A21D7D">
              <w:rPr>
                <w:lang w:eastAsia="en-AU"/>
              </w:rPr>
              <w:t xml:space="preserve">Means a complaint made under the </w:t>
            </w:r>
            <w:r w:rsidR="00FC6699" w:rsidRPr="00FC6699">
              <w:rPr>
                <w:i/>
                <w:lang w:eastAsia="en-AU"/>
              </w:rPr>
              <w:t>Anti-Discrimination Act 1991</w:t>
            </w:r>
            <w:r w:rsidRPr="00A21D7D">
              <w:rPr>
                <w:lang w:eastAsia="en-AU"/>
              </w:rPr>
              <w:t xml:space="preserve"> or </w:t>
            </w:r>
            <w:r w:rsidR="00FC6699" w:rsidRPr="00FC6699">
              <w:rPr>
                <w:i/>
                <w:lang w:eastAsia="en-AU"/>
              </w:rPr>
              <w:t>Human Rights Act 2019</w:t>
            </w:r>
            <w:r w:rsidRPr="00A21D7D">
              <w:rPr>
                <w:lang w:eastAsia="en-AU"/>
              </w:rPr>
              <w:t xml:space="preserve">. </w:t>
            </w:r>
          </w:p>
        </w:tc>
      </w:tr>
      <w:tr w:rsidR="001E3134" w:rsidRPr="00A21D7D" w14:paraId="43F3E088" w14:textId="77777777" w:rsidTr="007A5833">
        <w:tc>
          <w:tcPr>
            <w:tcW w:w="0" w:type="auto"/>
          </w:tcPr>
          <w:p w14:paraId="1E609810" w14:textId="53983701" w:rsidR="001E3134" w:rsidRPr="00A21D7D" w:rsidRDefault="00277B5C" w:rsidP="007A5833">
            <w:pPr>
              <w:pStyle w:val="TableTextBody"/>
              <w:rPr>
                <w:lang w:eastAsia="en-AU"/>
              </w:rPr>
            </w:pPr>
            <w:r>
              <w:rPr>
                <w:lang w:eastAsia="en-AU"/>
              </w:rPr>
              <w:t>c</w:t>
            </w:r>
            <w:r w:rsidR="001E3134" w:rsidRPr="00A21D7D">
              <w:rPr>
                <w:lang w:eastAsia="en-AU"/>
              </w:rPr>
              <w:t>ombined complaint</w:t>
            </w:r>
          </w:p>
        </w:tc>
        <w:tc>
          <w:tcPr>
            <w:tcW w:w="6655" w:type="dxa"/>
          </w:tcPr>
          <w:p w14:paraId="7AB67001" w14:textId="51B236AF" w:rsidR="001E3134" w:rsidRPr="00A21D7D" w:rsidRDefault="001E3134" w:rsidP="007A5833">
            <w:pPr>
              <w:pStyle w:val="TableTextBody"/>
              <w:rPr>
                <w:highlight w:val="yellow"/>
                <w:lang w:eastAsia="en-AU"/>
              </w:rPr>
            </w:pPr>
            <w:r w:rsidRPr="00A21D7D">
              <w:rPr>
                <w:lang w:eastAsia="en-AU"/>
              </w:rPr>
              <w:t xml:space="preserve">A complaint assessed by the Commission as having allegations under both the </w:t>
            </w:r>
            <w:r w:rsidR="00FC6699" w:rsidRPr="00FC6699">
              <w:rPr>
                <w:i/>
                <w:lang w:eastAsia="en-AU"/>
              </w:rPr>
              <w:t>Anti-Discrimination Act 1991</w:t>
            </w:r>
            <w:r w:rsidRPr="00A21D7D">
              <w:rPr>
                <w:lang w:eastAsia="en-AU"/>
              </w:rPr>
              <w:t xml:space="preserve"> and </w:t>
            </w:r>
            <w:r w:rsidR="00FC6699" w:rsidRPr="00FC6699">
              <w:rPr>
                <w:i/>
                <w:lang w:eastAsia="en-AU"/>
              </w:rPr>
              <w:t>Human Rights Act 2019</w:t>
            </w:r>
            <w:r w:rsidRPr="00A21D7D">
              <w:rPr>
                <w:lang w:eastAsia="en-AU"/>
              </w:rPr>
              <w:t xml:space="preserve">. </w:t>
            </w:r>
          </w:p>
        </w:tc>
      </w:tr>
      <w:tr w:rsidR="00626023" w:rsidRPr="00A21D7D" w14:paraId="661E0D06" w14:textId="77777777" w:rsidTr="007A5833">
        <w:tc>
          <w:tcPr>
            <w:tcW w:w="0" w:type="auto"/>
          </w:tcPr>
          <w:p w14:paraId="5AAD66E9" w14:textId="77777777" w:rsidR="00626023" w:rsidRPr="00A21D7D" w:rsidRDefault="00626023" w:rsidP="007A5833">
            <w:pPr>
              <w:pStyle w:val="TableTextBody"/>
              <w:rPr>
                <w:i/>
                <w:lang w:eastAsia="en-AU"/>
              </w:rPr>
            </w:pPr>
            <w:r w:rsidRPr="00A21D7D">
              <w:rPr>
                <w:lang w:eastAsia="en-AU"/>
              </w:rPr>
              <w:t>conciliation</w:t>
            </w:r>
          </w:p>
        </w:tc>
        <w:tc>
          <w:tcPr>
            <w:tcW w:w="6655" w:type="dxa"/>
          </w:tcPr>
          <w:p w14:paraId="4951E72A" w14:textId="444FF3AC" w:rsidR="00626023" w:rsidRPr="00A21D7D" w:rsidRDefault="00626023" w:rsidP="007A5833">
            <w:pPr>
              <w:pStyle w:val="TableTextBody"/>
              <w:rPr>
                <w:i/>
                <w:lang w:eastAsia="en-AU"/>
              </w:rPr>
            </w:pPr>
            <w:r w:rsidRPr="00A21D7D">
              <w:rPr>
                <w:lang w:eastAsia="en-AU"/>
              </w:rPr>
              <w:t>A conciliation conference is a meeting to help parties resolve a complaint. It is the main way in which complaints are reso</w:t>
            </w:r>
            <w:r w:rsidR="001E3134" w:rsidRPr="00A21D7D">
              <w:rPr>
                <w:lang w:eastAsia="en-AU"/>
              </w:rPr>
              <w:t xml:space="preserve">lved. A conciliator from the </w:t>
            </w:r>
            <w:r w:rsidRPr="00A21D7D">
              <w:rPr>
                <w:lang w:eastAsia="en-AU"/>
              </w:rPr>
              <w:t>Q</w:t>
            </w:r>
            <w:r w:rsidR="001E3134" w:rsidRPr="00A21D7D">
              <w:rPr>
                <w:lang w:eastAsia="en-AU"/>
              </w:rPr>
              <w:t>HRC</w:t>
            </w:r>
            <w:r w:rsidRPr="00A21D7D">
              <w:rPr>
                <w:lang w:eastAsia="en-AU"/>
              </w:rPr>
              <w:t xml:space="preserve"> contacts the parties and manages the conciliation conference. Complaints</w:t>
            </w:r>
            <w:r w:rsidR="001E3134" w:rsidRPr="00A21D7D">
              <w:rPr>
                <w:lang w:eastAsia="en-AU"/>
              </w:rPr>
              <w:t xml:space="preserve"> made under the </w:t>
            </w:r>
            <w:r w:rsidR="00FC6699" w:rsidRPr="00FC6699">
              <w:rPr>
                <w:i/>
                <w:lang w:eastAsia="en-AU"/>
              </w:rPr>
              <w:t>Anti-Discrimination Act 1991</w:t>
            </w:r>
            <w:r w:rsidRPr="00A21D7D">
              <w:rPr>
                <w:lang w:eastAsia="en-AU"/>
              </w:rPr>
              <w:t xml:space="preserve"> that cannot be resolved through the conciliation process may be referred to the Queensland Civil and Administrative Tribunal</w:t>
            </w:r>
            <w:r w:rsidR="001E3134" w:rsidRPr="00A21D7D">
              <w:rPr>
                <w:lang w:eastAsia="en-AU"/>
              </w:rPr>
              <w:t xml:space="preserve"> or Queensland Industrial Relations Commission</w:t>
            </w:r>
            <w:r w:rsidRPr="00A21D7D">
              <w:rPr>
                <w:lang w:eastAsia="en-AU"/>
              </w:rPr>
              <w:t xml:space="preserve"> for a public hearing to decide whether there has been a breach of the </w:t>
            </w:r>
            <w:r w:rsidR="001E3134" w:rsidRPr="00A21D7D">
              <w:rPr>
                <w:lang w:eastAsia="en-AU"/>
              </w:rPr>
              <w:t>Act</w:t>
            </w:r>
            <w:r w:rsidRPr="00A21D7D">
              <w:rPr>
                <w:lang w:eastAsia="en-AU"/>
              </w:rPr>
              <w:t>, and decide any compensation.</w:t>
            </w:r>
            <w:r w:rsidR="001E3134" w:rsidRPr="00A21D7D">
              <w:rPr>
                <w:lang w:eastAsia="en-AU"/>
              </w:rPr>
              <w:t xml:space="preserve"> There is no referral option for Human Rights Act complaints that are not conciliated. </w:t>
            </w:r>
          </w:p>
        </w:tc>
      </w:tr>
      <w:tr w:rsidR="00626023" w:rsidRPr="00A21D7D" w14:paraId="3AB93BC7" w14:textId="77777777" w:rsidTr="007A5833">
        <w:tc>
          <w:tcPr>
            <w:tcW w:w="0" w:type="auto"/>
          </w:tcPr>
          <w:p w14:paraId="29E6860F" w14:textId="77777777" w:rsidR="00626023" w:rsidRPr="00A21D7D" w:rsidRDefault="00626023" w:rsidP="007A5833">
            <w:pPr>
              <w:pStyle w:val="TableTextBody"/>
              <w:rPr>
                <w:i/>
                <w:lang w:eastAsia="en-AU"/>
              </w:rPr>
            </w:pPr>
            <w:r w:rsidRPr="00A21D7D">
              <w:rPr>
                <w:lang w:eastAsia="en-AU"/>
              </w:rPr>
              <w:t>Commission</w:t>
            </w:r>
          </w:p>
        </w:tc>
        <w:tc>
          <w:tcPr>
            <w:tcW w:w="6655" w:type="dxa"/>
          </w:tcPr>
          <w:p w14:paraId="0BB1AFFD" w14:textId="6F74E9A3" w:rsidR="00626023" w:rsidRPr="00A21D7D" w:rsidRDefault="001E3134" w:rsidP="007A5833">
            <w:pPr>
              <w:pStyle w:val="TableTextBody"/>
              <w:rPr>
                <w:i/>
                <w:lang w:eastAsia="en-AU"/>
              </w:rPr>
            </w:pPr>
            <w:r w:rsidRPr="00A21D7D">
              <w:rPr>
                <w:lang w:eastAsia="en-AU"/>
              </w:rPr>
              <w:t xml:space="preserve">Queensland Human Rights Commission </w:t>
            </w:r>
          </w:p>
        </w:tc>
      </w:tr>
      <w:tr w:rsidR="00626023" w:rsidRPr="00A21D7D" w14:paraId="2481246E" w14:textId="77777777" w:rsidTr="007A5833">
        <w:tc>
          <w:tcPr>
            <w:tcW w:w="0" w:type="auto"/>
          </w:tcPr>
          <w:p w14:paraId="6F3703FA" w14:textId="77777777" w:rsidR="00626023" w:rsidRPr="00A21D7D" w:rsidRDefault="00626023" w:rsidP="007A5833">
            <w:pPr>
              <w:pStyle w:val="TableTextBody"/>
              <w:rPr>
                <w:i/>
                <w:lang w:eastAsia="en-AU"/>
              </w:rPr>
            </w:pPr>
            <w:r w:rsidRPr="00A21D7D">
              <w:rPr>
                <w:lang w:eastAsia="en-AU"/>
              </w:rPr>
              <w:t>direct discrimination</w:t>
            </w:r>
            <w:r w:rsidRPr="00A21D7D" w:rsidDel="006E0CA9">
              <w:rPr>
                <w:lang w:eastAsia="en-AU"/>
              </w:rPr>
              <w:t xml:space="preserve"> </w:t>
            </w:r>
          </w:p>
        </w:tc>
        <w:tc>
          <w:tcPr>
            <w:tcW w:w="6655" w:type="dxa"/>
          </w:tcPr>
          <w:p w14:paraId="2CA080FD" w14:textId="2C10B5AD" w:rsidR="00626023" w:rsidRPr="00A21D7D" w:rsidRDefault="001E3134" w:rsidP="007A5833">
            <w:pPr>
              <w:pStyle w:val="TableTextBody"/>
              <w:rPr>
                <w:i/>
                <w:lang w:eastAsia="en-AU"/>
              </w:rPr>
            </w:pPr>
            <w:r w:rsidRPr="00A21D7D">
              <w:rPr>
                <w:lang w:eastAsia="en-AU"/>
              </w:rPr>
              <w:t xml:space="preserve">Under the </w:t>
            </w:r>
            <w:r w:rsidR="00FC6699" w:rsidRPr="00FC6699">
              <w:rPr>
                <w:i/>
                <w:lang w:eastAsia="en-AU"/>
              </w:rPr>
              <w:t>Anti-Discrimination Act 1991</w:t>
            </w:r>
            <w:r w:rsidRPr="00A21D7D">
              <w:rPr>
                <w:i/>
                <w:lang w:eastAsia="en-AU"/>
              </w:rPr>
              <w:t xml:space="preserve">, </w:t>
            </w:r>
            <w:r w:rsidRPr="00A21D7D">
              <w:rPr>
                <w:lang w:eastAsia="en-AU"/>
              </w:rPr>
              <w:t>d</w:t>
            </w:r>
            <w:r w:rsidR="00626023" w:rsidRPr="00A21D7D">
              <w:rPr>
                <w:lang w:eastAsia="en-AU"/>
              </w:rPr>
              <w:t>irect discrimination on the basis of an attribute happens if a person treats, or proposes to treat, a person with an attribute less favourably than another person without the attribute is or would be treated in circumstances that are the same or not materially different.</w:t>
            </w:r>
          </w:p>
        </w:tc>
      </w:tr>
      <w:tr w:rsidR="00626023" w:rsidRPr="00A21D7D" w14:paraId="7E469997" w14:textId="77777777" w:rsidTr="007A5833">
        <w:tc>
          <w:tcPr>
            <w:tcW w:w="0" w:type="auto"/>
          </w:tcPr>
          <w:p w14:paraId="095F647C" w14:textId="77777777" w:rsidR="00626023" w:rsidRPr="00A21D7D" w:rsidRDefault="00626023" w:rsidP="007A5833">
            <w:pPr>
              <w:pStyle w:val="TableTextBody"/>
              <w:rPr>
                <w:i/>
                <w:lang w:eastAsia="en-AU"/>
              </w:rPr>
            </w:pPr>
            <w:r w:rsidRPr="00A21D7D">
              <w:rPr>
                <w:lang w:eastAsia="en-AU"/>
              </w:rPr>
              <w:t>Executive Leadership Team</w:t>
            </w:r>
          </w:p>
        </w:tc>
        <w:tc>
          <w:tcPr>
            <w:tcW w:w="6655" w:type="dxa"/>
          </w:tcPr>
          <w:p w14:paraId="2B9E9854" w14:textId="0CA2482E" w:rsidR="00626023" w:rsidRPr="00A21D7D" w:rsidRDefault="00626023" w:rsidP="007A5833">
            <w:pPr>
              <w:pStyle w:val="TableTextBody"/>
              <w:rPr>
                <w:i/>
                <w:lang w:eastAsia="en-AU"/>
              </w:rPr>
            </w:pPr>
            <w:r w:rsidRPr="00A21D7D">
              <w:rPr>
                <w:lang w:eastAsia="en-AU"/>
              </w:rPr>
              <w:t>The Executive Leadership Team is one of the key stra</w:t>
            </w:r>
            <w:r w:rsidR="001E3134" w:rsidRPr="00A21D7D">
              <w:rPr>
                <w:lang w:eastAsia="en-AU"/>
              </w:rPr>
              <w:t xml:space="preserve">tegic advisory bodies of the </w:t>
            </w:r>
            <w:r w:rsidRPr="00A21D7D">
              <w:rPr>
                <w:lang w:eastAsia="en-AU"/>
              </w:rPr>
              <w:t>Q</w:t>
            </w:r>
            <w:r w:rsidR="001E3134" w:rsidRPr="00A21D7D">
              <w:rPr>
                <w:lang w:eastAsia="en-AU"/>
              </w:rPr>
              <w:t>HRC</w:t>
            </w:r>
            <w:r w:rsidRPr="00A21D7D">
              <w:rPr>
                <w:lang w:eastAsia="en-AU"/>
              </w:rPr>
              <w:t>. It supports the Commissioner in providing the strategic direction as part of the overall corporate governance framework and oversees the Commission’s strategic performance.</w:t>
            </w:r>
          </w:p>
        </w:tc>
      </w:tr>
      <w:tr w:rsidR="00626023" w:rsidRPr="00A21D7D" w14:paraId="7E5FC560" w14:textId="77777777" w:rsidTr="007A5833">
        <w:tc>
          <w:tcPr>
            <w:tcW w:w="0" w:type="auto"/>
          </w:tcPr>
          <w:p w14:paraId="757F3634" w14:textId="77777777" w:rsidR="00626023" w:rsidRPr="00A21D7D" w:rsidRDefault="00626023" w:rsidP="007A5833">
            <w:pPr>
              <w:pStyle w:val="TableTextBody"/>
              <w:rPr>
                <w:i/>
                <w:lang w:eastAsia="en-AU"/>
              </w:rPr>
            </w:pPr>
            <w:r w:rsidRPr="00A21D7D">
              <w:rPr>
                <w:lang w:eastAsia="en-AU"/>
              </w:rPr>
              <w:t>indirect discrimination</w:t>
            </w:r>
          </w:p>
        </w:tc>
        <w:tc>
          <w:tcPr>
            <w:tcW w:w="6655" w:type="dxa"/>
          </w:tcPr>
          <w:p w14:paraId="2C4F6EF0" w14:textId="31FEAC85" w:rsidR="00626023" w:rsidRPr="00A21D7D" w:rsidRDefault="001E3134" w:rsidP="007A5833">
            <w:pPr>
              <w:pStyle w:val="TableTextBody"/>
              <w:rPr>
                <w:i/>
                <w:lang w:eastAsia="en-AU"/>
              </w:rPr>
            </w:pPr>
            <w:r w:rsidRPr="00A21D7D">
              <w:rPr>
                <w:lang w:eastAsia="en-AU"/>
              </w:rPr>
              <w:t xml:space="preserve">Under the </w:t>
            </w:r>
            <w:r w:rsidR="00FC6699" w:rsidRPr="00FC6699">
              <w:rPr>
                <w:i/>
                <w:lang w:eastAsia="en-AU"/>
              </w:rPr>
              <w:t>Anti-Discrimination Act 1991</w:t>
            </w:r>
            <w:r w:rsidRPr="00A21D7D">
              <w:rPr>
                <w:lang w:eastAsia="en-AU"/>
              </w:rPr>
              <w:t>, i</w:t>
            </w:r>
            <w:r w:rsidR="00626023" w:rsidRPr="00A21D7D">
              <w:rPr>
                <w:lang w:eastAsia="en-AU"/>
              </w:rPr>
              <w:t>ndirect discrimination on the basis of an attribute happens if a person imposes, or proposes to impose, a term with which a person with an attribute does not or is not able to comply; and with which a higher proportion of people without the attribute comply or are able to comply; and that is not reasonable.</w:t>
            </w:r>
          </w:p>
        </w:tc>
      </w:tr>
      <w:tr w:rsidR="00626023" w:rsidRPr="00A21D7D" w14:paraId="37BFB247" w14:textId="77777777" w:rsidTr="007A5833">
        <w:tc>
          <w:tcPr>
            <w:tcW w:w="0" w:type="auto"/>
          </w:tcPr>
          <w:p w14:paraId="3B23EC10" w14:textId="77777777" w:rsidR="00626023" w:rsidRPr="00A21D7D" w:rsidRDefault="00626023" w:rsidP="007A5833">
            <w:pPr>
              <w:pStyle w:val="TableTextBody"/>
              <w:rPr>
                <w:i/>
                <w:lang w:eastAsia="en-AU"/>
              </w:rPr>
            </w:pPr>
            <w:r w:rsidRPr="00A21D7D">
              <w:rPr>
                <w:lang w:eastAsia="en-AU"/>
              </w:rPr>
              <w:t>Leadership Group</w:t>
            </w:r>
          </w:p>
        </w:tc>
        <w:tc>
          <w:tcPr>
            <w:tcW w:w="6655" w:type="dxa"/>
          </w:tcPr>
          <w:p w14:paraId="6C23E2C6" w14:textId="45D9A1D4" w:rsidR="00626023" w:rsidRPr="00A21D7D" w:rsidRDefault="00626023" w:rsidP="007A5833">
            <w:pPr>
              <w:pStyle w:val="TableTextBody"/>
              <w:rPr>
                <w:i/>
                <w:lang w:eastAsia="en-AU"/>
              </w:rPr>
            </w:pPr>
            <w:r w:rsidRPr="00A21D7D">
              <w:rPr>
                <w:lang w:eastAsia="en-AU"/>
              </w:rPr>
              <w:t>The Leadership Group is a sub-committee of the Executive Leadership Team (ELT). It supports the Commissioner by ensuring that operational activity aligns with the strategic direction of the Q</w:t>
            </w:r>
            <w:r w:rsidR="001E3134" w:rsidRPr="00A21D7D">
              <w:rPr>
                <w:lang w:eastAsia="en-AU"/>
              </w:rPr>
              <w:t>HRC</w:t>
            </w:r>
            <w:r w:rsidRPr="00A21D7D">
              <w:rPr>
                <w:lang w:eastAsia="en-AU"/>
              </w:rPr>
              <w:t xml:space="preserve"> as set by the ELT.</w:t>
            </w:r>
          </w:p>
        </w:tc>
      </w:tr>
      <w:tr w:rsidR="00626023" w:rsidRPr="00A21D7D" w14:paraId="184A7851" w14:textId="77777777" w:rsidTr="007A5833">
        <w:tc>
          <w:tcPr>
            <w:tcW w:w="0" w:type="auto"/>
          </w:tcPr>
          <w:p w14:paraId="50271A72" w14:textId="77777777" w:rsidR="00626023" w:rsidRPr="00A21D7D" w:rsidRDefault="00626023" w:rsidP="007A5833">
            <w:pPr>
              <w:pStyle w:val="TableTextBody"/>
              <w:rPr>
                <w:i/>
                <w:lang w:eastAsia="en-AU"/>
              </w:rPr>
            </w:pPr>
            <w:r w:rsidRPr="00A21D7D">
              <w:rPr>
                <w:lang w:eastAsia="en-AU"/>
              </w:rPr>
              <w:t>QCAT</w:t>
            </w:r>
          </w:p>
        </w:tc>
        <w:tc>
          <w:tcPr>
            <w:tcW w:w="6655" w:type="dxa"/>
          </w:tcPr>
          <w:p w14:paraId="072E5A4A" w14:textId="77777777" w:rsidR="00626023" w:rsidRPr="00A21D7D" w:rsidRDefault="00626023" w:rsidP="007A5833">
            <w:pPr>
              <w:pStyle w:val="TableTextBody"/>
              <w:rPr>
                <w:i/>
                <w:lang w:eastAsia="en-AU"/>
              </w:rPr>
            </w:pPr>
            <w:r w:rsidRPr="00A21D7D">
              <w:rPr>
                <w:lang w:eastAsia="en-AU"/>
              </w:rPr>
              <w:t>Queensland Civil and Administrative Tribunal</w:t>
            </w:r>
          </w:p>
        </w:tc>
      </w:tr>
      <w:tr w:rsidR="001E3134" w:rsidRPr="00A21D7D" w14:paraId="6A930480" w14:textId="77777777" w:rsidTr="007A5833">
        <w:tc>
          <w:tcPr>
            <w:tcW w:w="0" w:type="auto"/>
          </w:tcPr>
          <w:p w14:paraId="4EF0865B" w14:textId="608EA217" w:rsidR="001E3134" w:rsidRPr="00A21D7D" w:rsidRDefault="001E3134" w:rsidP="007A5833">
            <w:pPr>
              <w:pStyle w:val="TableTextBody"/>
              <w:rPr>
                <w:lang w:eastAsia="en-AU"/>
              </w:rPr>
            </w:pPr>
            <w:r w:rsidRPr="00A21D7D">
              <w:rPr>
                <w:lang w:eastAsia="en-AU"/>
              </w:rPr>
              <w:t>QHRC</w:t>
            </w:r>
          </w:p>
        </w:tc>
        <w:tc>
          <w:tcPr>
            <w:tcW w:w="6655" w:type="dxa"/>
          </w:tcPr>
          <w:p w14:paraId="7C5F2ECA" w14:textId="48C3212F" w:rsidR="001E3134" w:rsidRPr="00A21D7D" w:rsidRDefault="001E3134" w:rsidP="007A5833">
            <w:pPr>
              <w:pStyle w:val="TableTextBody"/>
              <w:rPr>
                <w:lang w:eastAsia="en-AU"/>
              </w:rPr>
            </w:pPr>
            <w:r w:rsidRPr="00A21D7D">
              <w:rPr>
                <w:lang w:eastAsia="en-AU"/>
              </w:rPr>
              <w:t xml:space="preserve">Queensland Human Rights Commissioner (formerly Anti-Discrimination Commission Queensland) </w:t>
            </w:r>
          </w:p>
        </w:tc>
      </w:tr>
      <w:tr w:rsidR="00626023" w:rsidRPr="00A21D7D" w14:paraId="1E849E86" w14:textId="77777777" w:rsidTr="007A5833">
        <w:tc>
          <w:tcPr>
            <w:tcW w:w="0" w:type="auto"/>
          </w:tcPr>
          <w:p w14:paraId="7BF66E13" w14:textId="77777777" w:rsidR="00626023" w:rsidRPr="00A21D7D" w:rsidRDefault="00626023" w:rsidP="007A5833">
            <w:pPr>
              <w:pStyle w:val="TableTextBody"/>
              <w:rPr>
                <w:i/>
                <w:lang w:eastAsia="en-AU"/>
              </w:rPr>
            </w:pPr>
            <w:r w:rsidRPr="00A21D7D">
              <w:rPr>
                <w:lang w:eastAsia="en-AU"/>
              </w:rPr>
              <w:t>QIRC</w:t>
            </w:r>
          </w:p>
        </w:tc>
        <w:tc>
          <w:tcPr>
            <w:tcW w:w="6655" w:type="dxa"/>
          </w:tcPr>
          <w:p w14:paraId="37E9C703" w14:textId="77777777" w:rsidR="00626023" w:rsidRPr="00A21D7D" w:rsidRDefault="00626023" w:rsidP="007A5833">
            <w:pPr>
              <w:pStyle w:val="TableTextBody"/>
              <w:rPr>
                <w:i/>
                <w:lang w:eastAsia="en-AU"/>
              </w:rPr>
            </w:pPr>
            <w:r w:rsidRPr="00A21D7D">
              <w:rPr>
                <w:lang w:eastAsia="en-AU"/>
              </w:rPr>
              <w:t>Queensland Industrial Relations Commission</w:t>
            </w:r>
          </w:p>
        </w:tc>
      </w:tr>
      <w:tr w:rsidR="00626023" w:rsidRPr="00A21D7D" w14:paraId="08DBB519" w14:textId="77777777" w:rsidTr="007A5833">
        <w:tc>
          <w:tcPr>
            <w:tcW w:w="0" w:type="auto"/>
          </w:tcPr>
          <w:p w14:paraId="60C24BC0" w14:textId="77777777" w:rsidR="00626023" w:rsidRPr="00A21D7D" w:rsidRDefault="00626023" w:rsidP="007A5833">
            <w:pPr>
              <w:pStyle w:val="TableTextBody"/>
              <w:rPr>
                <w:i/>
                <w:lang w:eastAsia="en-AU"/>
              </w:rPr>
            </w:pPr>
            <w:r w:rsidRPr="00A21D7D">
              <w:rPr>
                <w:lang w:eastAsia="en-AU"/>
              </w:rPr>
              <w:t>vicarious liability</w:t>
            </w:r>
          </w:p>
        </w:tc>
        <w:tc>
          <w:tcPr>
            <w:tcW w:w="6655" w:type="dxa"/>
          </w:tcPr>
          <w:p w14:paraId="18E0F31F" w14:textId="6904D918" w:rsidR="00626023" w:rsidRPr="00A21D7D" w:rsidRDefault="00626023" w:rsidP="007A5833">
            <w:pPr>
              <w:pStyle w:val="TableTextBody"/>
              <w:rPr>
                <w:i/>
                <w:lang w:eastAsia="en-AU"/>
              </w:rPr>
            </w:pPr>
            <w:r w:rsidRPr="00A21D7D">
              <w:rPr>
                <w:lang w:eastAsia="en-AU"/>
              </w:rPr>
              <w:t xml:space="preserve">If a person’s workers or agents contravene the </w:t>
            </w:r>
            <w:r w:rsidR="00FC6699" w:rsidRPr="00FC6699">
              <w:rPr>
                <w:i/>
                <w:lang w:eastAsia="en-AU"/>
              </w:rPr>
              <w:t>Anti-Discrimination Act 1991</w:t>
            </w:r>
            <w:r w:rsidRPr="00A21D7D">
              <w:rPr>
                <w:lang w:eastAsia="en-AU"/>
              </w:rPr>
              <w:t xml:space="preserve"> in the course of work or while acting as agent, both the person and the worker or agent, are jointly and severally civilly liable for the contravention, and a proceeding under the Act may be taken against either or both. It is a defence to a proceeding for a contravention of the Act if the respondent proves, on the balance of probabilities, that the respondent took reasonable steps to prevent the worker or agent contravening the Act.</w:t>
            </w:r>
          </w:p>
        </w:tc>
      </w:tr>
    </w:tbl>
    <w:p w14:paraId="0E22FE45" w14:textId="77777777" w:rsidR="00075C64" w:rsidRPr="00A21D7D" w:rsidRDefault="00075C64">
      <w:pPr>
        <w:rPr>
          <w:rFonts w:cs="Arial"/>
        </w:rPr>
      </w:pPr>
      <w:r w:rsidRPr="00A21D7D">
        <w:rPr>
          <w:rFonts w:cs="Arial"/>
        </w:rPr>
        <w:br w:type="page"/>
      </w:r>
    </w:p>
    <w:p w14:paraId="338751E9" w14:textId="2CDA34A4" w:rsidR="00075C64" w:rsidRPr="00A21D7D" w:rsidRDefault="00075C64" w:rsidP="006860E4">
      <w:pPr>
        <w:pStyle w:val="Heading1"/>
      </w:pPr>
      <w:bookmarkStart w:id="110" w:name="_Toc49508947"/>
      <w:r w:rsidRPr="00A21D7D">
        <w:lastRenderedPageBreak/>
        <w:t xml:space="preserve">Appendix </w:t>
      </w:r>
      <w:r w:rsidR="00D06997" w:rsidRPr="00A21D7D">
        <w:t>C</w:t>
      </w:r>
      <w:r w:rsidRPr="00A21D7D">
        <w:t>: Organisational structure</w:t>
      </w:r>
      <w:bookmarkEnd w:id="110"/>
      <w:r w:rsidRPr="00A21D7D">
        <w:t xml:space="preserve"> </w:t>
      </w:r>
    </w:p>
    <w:p w14:paraId="695E15D5" w14:textId="6399F153" w:rsidR="00075C64" w:rsidRPr="00A21D7D" w:rsidRDefault="00E30877" w:rsidP="00E30877">
      <w:pPr>
        <w:rPr>
          <w:rFonts w:cs="Arial"/>
        </w:rPr>
      </w:pPr>
      <w:r w:rsidRPr="00A21D7D">
        <w:rPr>
          <w:rFonts w:cs="Arial"/>
          <w:i/>
          <w:szCs w:val="22"/>
        </w:rPr>
        <w:softHyphen/>
      </w:r>
      <w:r w:rsidRPr="00A21D7D">
        <w:rPr>
          <w:rFonts w:cs="Arial"/>
          <w:i/>
          <w:szCs w:val="22"/>
        </w:rPr>
        <w:softHyphen/>
      </w:r>
      <w:r w:rsidRPr="00A21D7D">
        <w:rPr>
          <w:rFonts w:cs="Arial"/>
          <w:i/>
          <w:szCs w:val="22"/>
        </w:rPr>
        <w:softHyphen/>
      </w:r>
      <w:r w:rsidR="008405FC">
        <w:rPr>
          <w:rFonts w:cs="Arial"/>
          <w:noProof/>
          <w:lang w:eastAsia="en-AU"/>
        </w:rPr>
        <w:drawing>
          <wp:inline distT="0" distB="0" distL="0" distR="0" wp14:anchorId="23CBDC8A" wp14:editId="415CBFE0">
            <wp:extent cx="6122054" cy="7356143"/>
            <wp:effectExtent l="0" t="0" r="0" b="0"/>
            <wp:docPr id="8" name="Picture 8" descr="This image is a flowchart outlining the basic organisational structure of the QHRC. The Human Rights Commissioner oversees the entirety of the Commission's operations. Reporting to the Commissioner are the Deputy Commissioner (with oversight of Legal Research and Policy Team), the Director of Engagement and Corporate Services (with oversight over the Engagement and Corporate Services Team), and the Director of Complaint Management (with oversight over the Complaints Team and the regional offices). More information is contained under Our People, on page 11 of this report." title="Organisational ch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rganisationalchart.png"/>
                    <pic:cNvPicPr/>
                  </pic:nvPicPr>
                  <pic:blipFill rotWithShape="1">
                    <a:blip r:embed="rId32" cstate="print">
                      <a:extLst>
                        <a:ext uri="{28A0092B-C50C-407E-A947-70E740481C1C}">
                          <a14:useLocalDpi xmlns:a14="http://schemas.microsoft.com/office/drawing/2010/main" val="0"/>
                        </a:ext>
                      </a:extLst>
                    </a:blip>
                    <a:srcRect l="8154" t="9972" r="5452" b="16639"/>
                    <a:stretch/>
                  </pic:blipFill>
                  <pic:spPr bwMode="auto">
                    <a:xfrm>
                      <a:off x="0" y="0"/>
                      <a:ext cx="6126462" cy="7361439"/>
                    </a:xfrm>
                    <a:prstGeom prst="rect">
                      <a:avLst/>
                    </a:prstGeom>
                    <a:ln>
                      <a:noFill/>
                    </a:ln>
                    <a:extLst>
                      <a:ext uri="{53640926-AAD7-44D8-BBD7-CCE9431645EC}">
                        <a14:shadowObscured xmlns:a14="http://schemas.microsoft.com/office/drawing/2010/main"/>
                      </a:ext>
                    </a:extLst>
                  </pic:spPr>
                </pic:pic>
              </a:graphicData>
            </a:graphic>
          </wp:inline>
        </w:drawing>
      </w:r>
      <w:r w:rsidR="00075C64" w:rsidRPr="00A21D7D">
        <w:rPr>
          <w:rFonts w:cs="Arial"/>
        </w:rPr>
        <w:br w:type="page"/>
      </w:r>
    </w:p>
    <w:p w14:paraId="0BCD29DA" w14:textId="19F926C5" w:rsidR="00075C64" w:rsidRPr="00A21D7D" w:rsidRDefault="00075C64" w:rsidP="006860E4">
      <w:pPr>
        <w:pStyle w:val="Heading1"/>
      </w:pPr>
      <w:bookmarkStart w:id="111" w:name="_Toc49508948"/>
      <w:r w:rsidRPr="009158BB">
        <w:lastRenderedPageBreak/>
        <w:t xml:space="preserve">Appendix </w:t>
      </w:r>
      <w:r w:rsidR="00D06997" w:rsidRPr="009158BB">
        <w:t>D</w:t>
      </w:r>
      <w:r w:rsidRPr="009158BB">
        <w:t>:</w:t>
      </w:r>
      <w:r w:rsidRPr="00A21D7D">
        <w:t xml:space="preserve"> Certified financial statements</w:t>
      </w:r>
      <w:bookmarkEnd w:id="111"/>
      <w:r w:rsidRPr="00A21D7D">
        <w:t xml:space="preserve"> </w:t>
      </w:r>
    </w:p>
    <w:p w14:paraId="58CB4432" w14:textId="77777777" w:rsidR="00075C64" w:rsidRPr="00A21D7D" w:rsidRDefault="00075C64" w:rsidP="006206B9">
      <w:pPr>
        <w:rPr>
          <w:rFonts w:cs="Arial"/>
        </w:rPr>
      </w:pPr>
    </w:p>
    <w:p w14:paraId="09040E41" w14:textId="77777777" w:rsidR="00075C64" w:rsidRPr="00A21D7D" w:rsidRDefault="00075C64" w:rsidP="006206B9">
      <w:pPr>
        <w:rPr>
          <w:rFonts w:cs="Arial"/>
        </w:rPr>
      </w:pPr>
    </w:p>
    <w:sectPr w:rsidR="00075C64" w:rsidRPr="00A21D7D" w:rsidSect="00196BED">
      <w:footerReference w:type="even" r:id="rId33"/>
      <w:footerReference w:type="default" r:id="rId34"/>
      <w:pgSz w:w="11906" w:h="16838" w:code="9"/>
      <w:pgMar w:top="851" w:right="1077" w:bottom="90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3B590" w14:textId="77777777" w:rsidR="003D02C4" w:rsidRDefault="003D02C4" w:rsidP="00075C64">
      <w:pPr>
        <w:spacing w:after="0" w:line="240" w:lineRule="auto"/>
      </w:pPr>
      <w:r>
        <w:separator/>
      </w:r>
    </w:p>
  </w:endnote>
  <w:endnote w:type="continuationSeparator" w:id="0">
    <w:p w14:paraId="758368FA" w14:textId="77777777" w:rsidR="003D02C4" w:rsidRDefault="003D02C4" w:rsidP="0007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ヒラギノ角ゴ Pro W3">
    <w:charset w:val="80"/>
    <w:family w:val="auto"/>
    <w:pitch w:val="variable"/>
    <w:sig w:usb0="00000000" w:usb1="00000000" w:usb2="07040407"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49BF3" w14:textId="04A1EB80" w:rsidR="003D02C4" w:rsidRPr="00510398" w:rsidRDefault="003D02C4">
    <w:pPr>
      <w:pStyle w:val="Footer"/>
      <w:rPr>
        <w:lang w:val="en-US"/>
      </w:rPr>
    </w:pPr>
    <w:r>
      <w:rPr>
        <w:lang w:val="en-US"/>
      </w:rPr>
      <w:t>Annual Report 2019-20</w:t>
    </w:r>
    <w:r>
      <w:rPr>
        <w:lang w:val="en-US"/>
      </w:rPr>
      <w:tab/>
    </w:r>
    <w:r>
      <w:rPr>
        <w:lang w:val="en-US"/>
      </w:rPr>
      <w:tab/>
    </w:r>
    <w:r>
      <w:rPr>
        <w:lang w:val="en-US"/>
      </w:rPr>
      <w:tab/>
    </w:r>
    <w:r w:rsidRPr="00510398">
      <w:rPr>
        <w:lang w:val="en-US"/>
      </w:rPr>
      <w:fldChar w:fldCharType="begin"/>
    </w:r>
    <w:r w:rsidRPr="00510398">
      <w:rPr>
        <w:lang w:val="en-US"/>
      </w:rPr>
      <w:instrText xml:space="preserve"> PAGE   \* MERGEFORMAT </w:instrText>
    </w:r>
    <w:r w:rsidRPr="00510398">
      <w:rPr>
        <w:lang w:val="en-US"/>
      </w:rPr>
      <w:fldChar w:fldCharType="separate"/>
    </w:r>
    <w:r w:rsidR="003B066D">
      <w:rPr>
        <w:noProof/>
        <w:lang w:val="en-US"/>
      </w:rPr>
      <w:t>2</w:t>
    </w:r>
    <w:r w:rsidRPr="00510398">
      <w:rPr>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434703"/>
      <w:docPartObj>
        <w:docPartGallery w:val="Page Numbers (Bottom of Page)"/>
        <w:docPartUnique/>
      </w:docPartObj>
    </w:sdtPr>
    <w:sdtEndPr/>
    <w:sdtContent>
      <w:sdt>
        <w:sdtPr>
          <w:id w:val="-251202921"/>
          <w:docPartObj>
            <w:docPartGallery w:val="Page Numbers (Top of Page)"/>
            <w:docPartUnique/>
          </w:docPartObj>
        </w:sdtPr>
        <w:sdtEndPr/>
        <w:sdtContent>
          <w:p w14:paraId="1AC5FF64" w14:textId="3DD112F4" w:rsidR="003D02C4" w:rsidRPr="00510398" w:rsidRDefault="003D02C4" w:rsidP="00510398">
            <w:pPr>
              <w:pStyle w:val="Footer"/>
            </w:pPr>
            <w:r>
              <w:t>Queensland Human Rights Commission | qhrc.qld.gov.au</w:t>
            </w:r>
            <w:r>
              <w:tab/>
            </w:r>
            <w:r w:rsidRPr="00510398">
              <w:t xml:space="preserve"> </w:t>
            </w:r>
            <w:r w:rsidRPr="00510398">
              <w:fldChar w:fldCharType="begin"/>
            </w:r>
            <w:r w:rsidRPr="00510398">
              <w:instrText xml:space="preserve"> PAGE </w:instrText>
            </w:r>
            <w:r w:rsidRPr="00510398">
              <w:fldChar w:fldCharType="separate"/>
            </w:r>
            <w:r w:rsidR="003B066D">
              <w:rPr>
                <w:noProof/>
              </w:rPr>
              <w:t>3</w:t>
            </w:r>
            <w:r w:rsidRPr="00510398">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D9EC8" w14:textId="5A0F5BD7" w:rsidR="003D02C4" w:rsidRDefault="003D02C4" w:rsidP="00967396">
    <w:pPr>
      <w:pStyle w:val="Footer"/>
      <w:tabs>
        <w:tab w:val="center" w:pos="4876"/>
        <w:tab w:val="right" w:pos="9752"/>
      </w:tabs>
      <w:spacing w:before="360"/>
      <w:rPr>
        <w:i/>
      </w:rPr>
    </w:pPr>
    <w:r>
      <w:tab/>
    </w:r>
    <w:sdt>
      <w:sdtPr>
        <w:rPr>
          <w:i/>
        </w:rPr>
        <w:id w:val="-459728042"/>
        <w:docPartObj>
          <w:docPartGallery w:val="Page Numbers (Top of Page)"/>
          <w:docPartUnique/>
        </w:docPartObj>
      </w:sdtPr>
      <w:sdtEndPr/>
      <w:sdtContent>
        <w:r w:rsidRPr="00182FBF">
          <w:t xml:space="preserve">Page </w:t>
        </w:r>
        <w:r w:rsidRPr="00182FBF">
          <w:rPr>
            <w:bCs/>
            <w:i/>
            <w:sz w:val="24"/>
          </w:rPr>
          <w:fldChar w:fldCharType="begin"/>
        </w:r>
        <w:r w:rsidRPr="00182FBF">
          <w:rPr>
            <w:bCs/>
          </w:rPr>
          <w:instrText xml:space="preserve"> PAGE </w:instrText>
        </w:r>
        <w:r w:rsidRPr="00182FBF">
          <w:rPr>
            <w:bCs/>
            <w:i/>
            <w:sz w:val="24"/>
          </w:rPr>
          <w:fldChar w:fldCharType="separate"/>
        </w:r>
        <w:r w:rsidR="003B066D">
          <w:rPr>
            <w:bCs/>
            <w:noProof/>
          </w:rPr>
          <w:t>0</w:t>
        </w:r>
        <w:r w:rsidRPr="00182FBF">
          <w:rPr>
            <w:bCs/>
            <w:i/>
            <w:sz w:val="24"/>
          </w:rPr>
          <w:fldChar w:fldCharType="end"/>
        </w:r>
      </w:sdtContent>
    </w:sdt>
    <w:r>
      <w:tab/>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B1689" w14:textId="73C87B42" w:rsidR="003D02C4" w:rsidRDefault="003D02C4" w:rsidP="00967396">
    <w:pPr>
      <w:pStyle w:val="Footer"/>
      <w:tabs>
        <w:tab w:val="center" w:pos="4876"/>
        <w:tab w:val="right" w:pos="9752"/>
      </w:tabs>
      <w:spacing w:before="360"/>
      <w:rPr>
        <w:i/>
      </w:rPr>
    </w:pPr>
    <w:r>
      <w:tab/>
    </w:r>
    <w:sdt>
      <w:sdtPr>
        <w:rPr>
          <w:i/>
        </w:rPr>
        <w:id w:val="486443384"/>
        <w:docPartObj>
          <w:docPartGallery w:val="Page Numbers (Top of Page)"/>
          <w:docPartUnique/>
        </w:docPartObj>
      </w:sdtPr>
      <w:sdtEndPr/>
      <w:sdtContent>
        <w:r w:rsidRPr="00182FBF">
          <w:t xml:space="preserve">Page </w:t>
        </w:r>
        <w:r w:rsidRPr="00182FBF">
          <w:rPr>
            <w:bCs/>
            <w:i/>
            <w:sz w:val="24"/>
          </w:rPr>
          <w:fldChar w:fldCharType="begin"/>
        </w:r>
        <w:r w:rsidRPr="00182FBF">
          <w:rPr>
            <w:bCs/>
          </w:rPr>
          <w:instrText xml:space="preserve"> PAGE </w:instrText>
        </w:r>
        <w:r w:rsidRPr="00182FBF">
          <w:rPr>
            <w:bCs/>
            <w:i/>
            <w:sz w:val="24"/>
          </w:rPr>
          <w:fldChar w:fldCharType="separate"/>
        </w:r>
        <w:r>
          <w:rPr>
            <w:bCs/>
            <w:noProof/>
          </w:rPr>
          <w:t>42</w:t>
        </w:r>
        <w:r w:rsidRPr="00182FBF">
          <w:rPr>
            <w:bCs/>
            <w:i/>
            <w:sz w:val="24"/>
          </w:rPr>
          <w:fldChar w:fldCharType="end"/>
        </w:r>
      </w:sdtContent>
    </w:sdt>
    <w:r>
      <w:tab/>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040D2" w14:textId="04CF7CD8" w:rsidR="003D02C4" w:rsidRPr="00075C64" w:rsidRDefault="003D02C4">
    <w:pPr>
      <w:pStyle w:val="Footer"/>
      <w:rPr>
        <w:lang w:val="en-US"/>
      </w:rPr>
    </w:pPr>
    <w:r>
      <w:rPr>
        <w:lang w:val="en-US"/>
      </w:rPr>
      <w:t xml:space="preserve">Queensland Human Rights Commission | qhrc.qld.gov.au </w:t>
    </w:r>
    <w:r>
      <w:rPr>
        <w:lang w:val="en-US"/>
      </w:rPr>
      <w:tab/>
    </w:r>
    <w:r w:rsidRPr="00075C64">
      <w:rPr>
        <w:lang w:val="en-US"/>
      </w:rPr>
      <w:fldChar w:fldCharType="begin"/>
    </w:r>
    <w:r w:rsidRPr="00075C64">
      <w:rPr>
        <w:lang w:val="en-US"/>
      </w:rPr>
      <w:instrText xml:space="preserve"> PAGE   \* MERGEFORMAT </w:instrText>
    </w:r>
    <w:r w:rsidRPr="00075C64">
      <w:rPr>
        <w:lang w:val="en-US"/>
      </w:rPr>
      <w:fldChar w:fldCharType="separate"/>
    </w:r>
    <w:r w:rsidR="003B066D">
      <w:rPr>
        <w:noProof/>
        <w:lang w:val="en-US"/>
      </w:rPr>
      <w:t>46</w:t>
    </w:r>
    <w:r w:rsidRPr="00075C64">
      <w:rPr>
        <w:noProof/>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AE160" w14:textId="2368228C" w:rsidR="003D02C4" w:rsidRPr="00075C64" w:rsidRDefault="003D02C4">
    <w:pPr>
      <w:pStyle w:val="Footer"/>
      <w:rPr>
        <w:lang w:val="en-US"/>
      </w:rPr>
    </w:pPr>
    <w:r>
      <w:rPr>
        <w:lang w:val="en-US"/>
      </w:rPr>
      <w:t>Annual Report 2019-20</w:t>
    </w:r>
    <w:r>
      <w:rPr>
        <w:lang w:val="en-US"/>
      </w:rPr>
      <w:tab/>
    </w:r>
    <w:r>
      <w:rPr>
        <w:lang w:val="en-US"/>
      </w:rPr>
      <w:tab/>
    </w:r>
    <w:r w:rsidRPr="00075C64">
      <w:rPr>
        <w:lang w:val="en-US"/>
      </w:rPr>
      <w:fldChar w:fldCharType="begin"/>
    </w:r>
    <w:r w:rsidRPr="00075C64">
      <w:rPr>
        <w:lang w:val="en-US"/>
      </w:rPr>
      <w:instrText xml:space="preserve"> PAGE   \* MERGEFORMAT </w:instrText>
    </w:r>
    <w:r w:rsidRPr="00075C64">
      <w:rPr>
        <w:lang w:val="en-US"/>
      </w:rPr>
      <w:fldChar w:fldCharType="separate"/>
    </w:r>
    <w:r w:rsidR="003B066D">
      <w:rPr>
        <w:noProof/>
        <w:lang w:val="en-US"/>
      </w:rPr>
      <w:t>45</w:t>
    </w:r>
    <w:r w:rsidRPr="00075C64">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4784A" w14:textId="77777777" w:rsidR="003D02C4" w:rsidRDefault="003D02C4" w:rsidP="00075C64">
      <w:pPr>
        <w:spacing w:after="0" w:line="240" w:lineRule="auto"/>
      </w:pPr>
      <w:r>
        <w:separator/>
      </w:r>
    </w:p>
  </w:footnote>
  <w:footnote w:type="continuationSeparator" w:id="0">
    <w:p w14:paraId="2273B7FC" w14:textId="77777777" w:rsidR="003D02C4" w:rsidRDefault="003D02C4" w:rsidP="00075C64">
      <w:pPr>
        <w:spacing w:after="0" w:line="240" w:lineRule="auto"/>
      </w:pPr>
      <w:r>
        <w:continuationSeparator/>
      </w:r>
    </w:p>
  </w:footnote>
  <w:footnote w:id="1">
    <w:p w14:paraId="30337819" w14:textId="77777777" w:rsidR="003D02C4" w:rsidRPr="003018EE" w:rsidRDefault="003D02C4" w:rsidP="009C1E9F">
      <w:pPr>
        <w:pStyle w:val="FootnoteText"/>
        <w:rPr>
          <w:lang w:val="en-US"/>
        </w:rPr>
      </w:pPr>
      <w:r>
        <w:rPr>
          <w:rStyle w:val="FootnoteReference"/>
        </w:rPr>
        <w:footnoteRef/>
      </w:r>
      <w:r>
        <w:t xml:space="preserve"> </w:t>
      </w:r>
      <w:r w:rsidRPr="00936FF8">
        <w:rPr>
          <w:rFonts w:ascii="Arial" w:hAnsi="Arial" w:cs="Arial"/>
          <w:i/>
        </w:rPr>
        <w:t>Anti-Discrimination Act 1991</w:t>
      </w:r>
      <w:r w:rsidRPr="00936FF8">
        <w:rPr>
          <w:rFonts w:ascii="Arial" w:hAnsi="Arial" w:cs="Arial"/>
        </w:rPr>
        <w:t xml:space="preserve">, section </w:t>
      </w:r>
      <w:r>
        <w:rPr>
          <w:rFonts w:ascii="Arial" w:hAnsi="Arial" w:cs="Arial"/>
        </w:rPr>
        <w:t>175.</w:t>
      </w:r>
    </w:p>
  </w:footnote>
  <w:footnote w:id="2">
    <w:p w14:paraId="41932E13" w14:textId="77777777" w:rsidR="003D02C4" w:rsidRPr="003018EE" w:rsidRDefault="003D02C4" w:rsidP="009C1E9F">
      <w:pPr>
        <w:pStyle w:val="FootnoteText"/>
        <w:rPr>
          <w:lang w:val="en-US"/>
        </w:rPr>
      </w:pPr>
      <w:r>
        <w:rPr>
          <w:rStyle w:val="FootnoteReference"/>
        </w:rPr>
        <w:footnoteRef/>
      </w:r>
      <w:r>
        <w:t xml:space="preserve"> </w:t>
      </w:r>
      <w:r w:rsidRPr="00936FF8">
        <w:rPr>
          <w:rFonts w:ascii="Arial" w:hAnsi="Arial" w:cs="Arial"/>
          <w:i/>
        </w:rPr>
        <w:t>Anti-Discrimination Act 1991</w:t>
      </w:r>
      <w:r w:rsidRPr="00936FF8">
        <w:rPr>
          <w:rFonts w:ascii="Arial" w:hAnsi="Arial" w:cs="Arial"/>
        </w:rPr>
        <w:t xml:space="preserve">, section </w:t>
      </w:r>
      <w:r>
        <w:rPr>
          <w:rFonts w:ascii="Arial" w:hAnsi="Arial" w:cs="Arial"/>
        </w:rPr>
        <w:t>113.</w:t>
      </w:r>
    </w:p>
  </w:footnote>
  <w:footnote w:id="3">
    <w:p w14:paraId="465B6452" w14:textId="77777777" w:rsidR="003D02C4" w:rsidRPr="003018EE" w:rsidRDefault="003D02C4" w:rsidP="009C1E9F">
      <w:pPr>
        <w:pStyle w:val="FootnoteText"/>
        <w:rPr>
          <w:lang w:val="en-US"/>
        </w:rPr>
      </w:pPr>
      <w:r>
        <w:rPr>
          <w:rStyle w:val="FootnoteReference"/>
        </w:rPr>
        <w:footnoteRef/>
      </w:r>
      <w:r>
        <w:t xml:space="preserve"> </w:t>
      </w:r>
      <w:r w:rsidRPr="00936FF8">
        <w:rPr>
          <w:rFonts w:ascii="Arial" w:hAnsi="Arial" w:cs="Arial"/>
          <w:i/>
        </w:rPr>
        <w:t>Anti-Discrimination Act 1991</w:t>
      </w:r>
      <w:r w:rsidRPr="00936FF8">
        <w:rPr>
          <w:rFonts w:ascii="Arial" w:hAnsi="Arial" w:cs="Arial"/>
        </w:rPr>
        <w:t xml:space="preserve">, section </w:t>
      </w:r>
      <w:r>
        <w:rPr>
          <w:rFonts w:ascii="Arial" w:hAnsi="Arial" w:cs="Arial"/>
        </w:rPr>
        <w:t>144.</w:t>
      </w:r>
    </w:p>
  </w:footnote>
  <w:footnote w:id="4">
    <w:p w14:paraId="3B247A53" w14:textId="77777777" w:rsidR="003D02C4" w:rsidRPr="003018EE" w:rsidRDefault="003D02C4" w:rsidP="009C1E9F">
      <w:pPr>
        <w:pStyle w:val="FootnoteText"/>
        <w:rPr>
          <w:lang w:val="en-US"/>
        </w:rPr>
      </w:pPr>
      <w:r>
        <w:rPr>
          <w:rStyle w:val="FootnoteReference"/>
        </w:rPr>
        <w:footnoteRef/>
      </w:r>
      <w:r>
        <w:t xml:space="preserve"> </w:t>
      </w:r>
      <w:r w:rsidRPr="00936FF8">
        <w:rPr>
          <w:rFonts w:ascii="Arial" w:hAnsi="Arial" w:cs="Arial"/>
          <w:i/>
        </w:rPr>
        <w:t>Anti-Discrimination Act 1991</w:t>
      </w:r>
      <w:r w:rsidRPr="00936FF8">
        <w:rPr>
          <w:rFonts w:ascii="Arial" w:hAnsi="Arial" w:cs="Arial"/>
        </w:rPr>
        <w:t xml:space="preserve">, section </w:t>
      </w:r>
      <w:r>
        <w:rPr>
          <w:rFonts w:ascii="Arial" w:hAnsi="Arial" w:cs="Arial"/>
        </w:rPr>
        <w:t>169.</w:t>
      </w:r>
    </w:p>
  </w:footnote>
  <w:footnote w:id="5">
    <w:p w14:paraId="0175A882" w14:textId="77777777" w:rsidR="003D02C4" w:rsidRPr="00721149" w:rsidRDefault="003D02C4" w:rsidP="009C1E9F">
      <w:pPr>
        <w:pStyle w:val="FootnoteText"/>
        <w:rPr>
          <w:lang w:val="en-US"/>
        </w:rPr>
      </w:pPr>
      <w:r>
        <w:rPr>
          <w:rStyle w:val="FootnoteReference"/>
        </w:rPr>
        <w:footnoteRef/>
      </w:r>
      <w:r>
        <w:t xml:space="preserve"> </w:t>
      </w:r>
      <w:r w:rsidRPr="00936FF8">
        <w:rPr>
          <w:rFonts w:ascii="Arial" w:hAnsi="Arial" w:cs="Arial"/>
          <w:i/>
        </w:rPr>
        <w:t>Anti-Discrimination Act 1991</w:t>
      </w:r>
      <w:r w:rsidRPr="00936FF8">
        <w:rPr>
          <w:rFonts w:ascii="Arial" w:hAnsi="Arial" w:cs="Arial"/>
        </w:rPr>
        <w:t xml:space="preserve">, section </w:t>
      </w:r>
      <w:r>
        <w:rPr>
          <w:rFonts w:ascii="Arial" w:hAnsi="Arial" w:cs="Arial"/>
        </w:rPr>
        <w:t>228.</w:t>
      </w:r>
    </w:p>
  </w:footnote>
  <w:footnote w:id="6">
    <w:p w14:paraId="51EAC67A" w14:textId="77777777" w:rsidR="003D02C4" w:rsidRPr="00FC4CBC" w:rsidRDefault="003D02C4" w:rsidP="009C1E9F">
      <w:pPr>
        <w:pStyle w:val="FootnoteText"/>
        <w:rPr>
          <w:rFonts w:ascii="Arial" w:hAnsi="Arial" w:cs="Arial"/>
          <w:lang w:val="en-US"/>
        </w:rPr>
      </w:pPr>
      <w:r w:rsidRPr="00FC4CBC">
        <w:rPr>
          <w:rStyle w:val="FootnoteReference"/>
          <w:rFonts w:ascii="Arial" w:hAnsi="Arial" w:cs="Arial"/>
        </w:rPr>
        <w:footnoteRef/>
      </w:r>
      <w:r w:rsidRPr="00FC4CBC">
        <w:rPr>
          <w:rFonts w:ascii="Arial" w:hAnsi="Arial" w:cs="Arial"/>
        </w:rPr>
        <w:t xml:space="preserve"> </w:t>
      </w:r>
      <w:r w:rsidRPr="00FC4CBC">
        <w:rPr>
          <w:rFonts w:ascii="Arial" w:hAnsi="Arial" w:cs="Arial"/>
          <w:i/>
          <w:lang w:val="en-US"/>
        </w:rPr>
        <w:t xml:space="preserve">Re: Kalwun Development Corporation Limited </w:t>
      </w:r>
      <w:r w:rsidRPr="00FC4CBC">
        <w:rPr>
          <w:rFonts w:ascii="Arial" w:hAnsi="Arial" w:cs="Arial"/>
          <w:lang w:val="en-US"/>
        </w:rPr>
        <w:t>[2019] QIRC 141.</w:t>
      </w:r>
    </w:p>
  </w:footnote>
  <w:footnote w:id="7">
    <w:p w14:paraId="36CD29C9" w14:textId="77777777" w:rsidR="003D02C4" w:rsidRPr="00FC4CBC" w:rsidRDefault="003D02C4" w:rsidP="009C1E9F">
      <w:pPr>
        <w:pStyle w:val="FootnoteText"/>
        <w:rPr>
          <w:rFonts w:ascii="Arial" w:hAnsi="Arial" w:cs="Arial"/>
          <w:lang w:val="en-US"/>
        </w:rPr>
      </w:pPr>
      <w:r w:rsidRPr="00FC4CBC">
        <w:rPr>
          <w:rStyle w:val="FootnoteReference"/>
          <w:rFonts w:ascii="Arial" w:hAnsi="Arial" w:cs="Arial"/>
        </w:rPr>
        <w:footnoteRef/>
      </w:r>
      <w:r w:rsidRPr="00FC4CBC">
        <w:rPr>
          <w:rFonts w:ascii="Arial" w:hAnsi="Arial" w:cs="Arial"/>
        </w:rPr>
        <w:t xml:space="preserve"> </w:t>
      </w:r>
      <w:r w:rsidRPr="00FC4CBC">
        <w:rPr>
          <w:rFonts w:ascii="Arial" w:hAnsi="Arial" w:cs="Arial"/>
          <w:i/>
          <w:lang w:val="en-US"/>
        </w:rPr>
        <w:t xml:space="preserve">Re: Protech Personnel Pty Ltd </w:t>
      </w:r>
      <w:r w:rsidRPr="00FC4CBC">
        <w:rPr>
          <w:rFonts w:ascii="Arial" w:hAnsi="Arial" w:cs="Arial"/>
          <w:lang w:val="en-US"/>
        </w:rPr>
        <w:t>[2019] QIRC 175.</w:t>
      </w:r>
    </w:p>
  </w:footnote>
  <w:footnote w:id="8">
    <w:p w14:paraId="3A790558" w14:textId="77777777" w:rsidR="003D02C4" w:rsidRPr="005F06D9" w:rsidRDefault="003D02C4" w:rsidP="00ED7AA0">
      <w:pPr>
        <w:pStyle w:val="FootnoteText"/>
        <w:rPr>
          <w:rFonts w:ascii="Arial" w:hAnsi="Arial" w:cs="Arial"/>
          <w:lang w:val="en-US"/>
        </w:rPr>
      </w:pPr>
      <w:r w:rsidRPr="005F06D9">
        <w:rPr>
          <w:rStyle w:val="FootnoteReference"/>
          <w:rFonts w:ascii="Arial" w:hAnsi="Arial" w:cs="Arial"/>
        </w:rPr>
        <w:footnoteRef/>
      </w:r>
      <w:r w:rsidRPr="005F06D9">
        <w:rPr>
          <w:rFonts w:ascii="Arial" w:hAnsi="Arial" w:cs="Arial"/>
        </w:rPr>
        <w:t xml:space="preserve"> </w:t>
      </w:r>
      <w:r w:rsidRPr="005F06D9">
        <w:rPr>
          <w:rFonts w:ascii="Arial" w:hAnsi="Arial" w:cs="Arial"/>
          <w:lang w:val="en-US"/>
        </w:rPr>
        <w:t>2019-20 Queensland State Budget – Service Delivery Statements – Queensland Human Rights Commission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7D9EB" w14:textId="332F11DE" w:rsidR="003D02C4" w:rsidRDefault="003D02C4">
    <w:pPr>
      <w:pStyle w:val="Header"/>
    </w:pPr>
    <w:r>
      <w:rPr>
        <w:noProof/>
        <w:lang w:eastAsia="en-AU"/>
      </w:rPr>
      <w:drawing>
        <wp:anchor distT="0" distB="0" distL="114300" distR="114300" simplePos="0" relativeHeight="251657728" behindDoc="1" locked="0" layoutInCell="1" allowOverlap="1" wp14:anchorId="09FBABC4" wp14:editId="0D08EEF7">
          <wp:simplePos x="0" y="0"/>
          <wp:positionH relativeFrom="column">
            <wp:posOffset>1307251</wp:posOffset>
          </wp:positionH>
          <wp:positionV relativeFrom="paragraph">
            <wp:posOffset>4808582</wp:posOffset>
          </wp:positionV>
          <wp:extent cx="11051496" cy="538977"/>
          <wp:effectExtent l="0" t="1587" r="0" b="0"/>
          <wp:wrapNone/>
          <wp:docPr id="454" name="Picture 454" descr="This image sits along the right edge of the page and is a slice of the same blacka nd white artwork used for the front cover of this report. It is decorative only. " title="Decorative side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HRC_shields_horizontalstrip_b+w.jpg"/>
                  <pic:cNvPicPr/>
                </pic:nvPicPr>
                <pic:blipFill rotWithShape="1">
                  <a:blip r:embed="rId1" cstate="print">
                    <a:extLst>
                      <a:ext uri="{28A0092B-C50C-407E-A947-70E740481C1C}">
                        <a14:useLocalDpi xmlns:a14="http://schemas.microsoft.com/office/drawing/2010/main" val="0"/>
                      </a:ext>
                    </a:extLst>
                  </a:blip>
                  <a:srcRect t="51814" b="-1"/>
                  <a:stretch/>
                </pic:blipFill>
                <pic:spPr bwMode="auto">
                  <a:xfrm rot="16200000">
                    <a:off x="0" y="0"/>
                    <a:ext cx="11051496" cy="538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DB6C7" w14:textId="16F3C2D5" w:rsidR="003D02C4" w:rsidRDefault="003D02C4">
    <w:pPr>
      <w:pStyle w:val="Header"/>
    </w:pPr>
    <w:r>
      <w:rPr>
        <w:noProof/>
        <w:lang w:eastAsia="en-AU"/>
      </w:rPr>
      <w:drawing>
        <wp:anchor distT="0" distB="0" distL="114300" distR="114300" simplePos="0" relativeHeight="251654656" behindDoc="1" locked="0" layoutInCell="1" allowOverlap="1" wp14:anchorId="6CEDBEDD" wp14:editId="52238334">
          <wp:simplePos x="0" y="0"/>
          <wp:positionH relativeFrom="column">
            <wp:posOffset>1297538</wp:posOffset>
          </wp:positionH>
          <wp:positionV relativeFrom="paragraph">
            <wp:posOffset>4827944</wp:posOffset>
          </wp:positionV>
          <wp:extent cx="11051496" cy="538977"/>
          <wp:effectExtent l="0" t="1587" r="0" b="0"/>
          <wp:wrapNone/>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HRC_shields_horizontalstrip_b+w.jpg"/>
                  <pic:cNvPicPr/>
                </pic:nvPicPr>
                <pic:blipFill rotWithShape="1">
                  <a:blip r:embed="rId1" cstate="print">
                    <a:extLst>
                      <a:ext uri="{28A0092B-C50C-407E-A947-70E740481C1C}">
                        <a14:useLocalDpi xmlns:a14="http://schemas.microsoft.com/office/drawing/2010/main" val="0"/>
                      </a:ext>
                    </a:extLst>
                  </a:blip>
                  <a:srcRect t="51814" b="-1"/>
                  <a:stretch/>
                </pic:blipFill>
                <pic:spPr bwMode="auto">
                  <a:xfrm rot="16200000">
                    <a:off x="0" y="0"/>
                    <a:ext cx="11051496" cy="538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5680" behindDoc="1" locked="0" layoutInCell="1" allowOverlap="1" wp14:anchorId="6CEDBEDD" wp14:editId="08ABE73E">
          <wp:simplePos x="0" y="0"/>
          <wp:positionH relativeFrom="column">
            <wp:posOffset>1297538</wp:posOffset>
          </wp:positionH>
          <wp:positionV relativeFrom="paragraph">
            <wp:posOffset>4827944</wp:posOffset>
          </wp:positionV>
          <wp:extent cx="11051496" cy="538977"/>
          <wp:effectExtent l="0" t="1587" r="0" b="0"/>
          <wp:wrapNone/>
          <wp:docPr id="5" name="Picture 5" descr="This image sits along the right edge of the page and is a slice of the same black and white artwork used for the front cover of this report. It is decorative only. " title="Decorative side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HRC_shields_horizontalstrip_b+w.jpg"/>
                  <pic:cNvPicPr/>
                </pic:nvPicPr>
                <pic:blipFill rotWithShape="1">
                  <a:blip r:embed="rId1" cstate="print">
                    <a:extLst>
                      <a:ext uri="{28A0092B-C50C-407E-A947-70E740481C1C}">
                        <a14:useLocalDpi xmlns:a14="http://schemas.microsoft.com/office/drawing/2010/main" val="0"/>
                      </a:ext>
                    </a:extLst>
                  </a:blip>
                  <a:srcRect t="51814" b="-1"/>
                  <a:stretch/>
                </pic:blipFill>
                <pic:spPr bwMode="auto">
                  <a:xfrm rot="16200000">
                    <a:off x="0" y="0"/>
                    <a:ext cx="11051496" cy="538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704" behindDoc="1" locked="0" layoutInCell="1" allowOverlap="1" wp14:anchorId="6CEDBEDD" wp14:editId="33F9F517">
          <wp:simplePos x="0" y="0"/>
          <wp:positionH relativeFrom="column">
            <wp:posOffset>1297538</wp:posOffset>
          </wp:positionH>
          <wp:positionV relativeFrom="paragraph">
            <wp:posOffset>4827944</wp:posOffset>
          </wp:positionV>
          <wp:extent cx="11051496" cy="538977"/>
          <wp:effectExtent l="0" t="1587" r="0" b="0"/>
          <wp:wrapNone/>
          <wp:docPr id="6" name="Picture 6" descr="This image sits along the right edge of the page and is a slice of the same black and white artwork used for the front cover of this report. It is decorative only. " title="Decorative side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HRC_shields_horizontalstrip_b+w.jpg"/>
                  <pic:cNvPicPr/>
                </pic:nvPicPr>
                <pic:blipFill rotWithShape="1">
                  <a:blip r:embed="rId1" cstate="print">
                    <a:extLst>
                      <a:ext uri="{28A0092B-C50C-407E-A947-70E740481C1C}">
                        <a14:useLocalDpi xmlns:a14="http://schemas.microsoft.com/office/drawing/2010/main" val="0"/>
                      </a:ext>
                    </a:extLst>
                  </a:blip>
                  <a:srcRect t="51814" b="-1"/>
                  <a:stretch/>
                </pic:blipFill>
                <pic:spPr bwMode="auto">
                  <a:xfrm rot="16200000">
                    <a:off x="0" y="0"/>
                    <a:ext cx="11051496" cy="538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8F30" w14:textId="7188136A" w:rsidR="003D02C4" w:rsidRDefault="003D02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C5FAE" w14:textId="31293D38" w:rsidR="003D02C4" w:rsidRDefault="003D02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6EA94" w14:textId="77777777" w:rsidR="003D02C4" w:rsidRDefault="003D02C4">
    <w:pPr>
      <w:pStyle w:val="Header"/>
    </w:pPr>
    <w:r>
      <w:rPr>
        <w:noProof/>
        <w:lang w:eastAsia="en-AU"/>
      </w:rPr>
      <w:drawing>
        <wp:anchor distT="0" distB="0" distL="114300" distR="114300" simplePos="0" relativeHeight="251660800" behindDoc="1" locked="0" layoutInCell="1" allowOverlap="1" wp14:anchorId="1911FA9F" wp14:editId="66E3B55B">
          <wp:simplePos x="0" y="0"/>
          <wp:positionH relativeFrom="column">
            <wp:posOffset>1274155</wp:posOffset>
          </wp:positionH>
          <wp:positionV relativeFrom="paragraph">
            <wp:posOffset>4424998</wp:posOffset>
          </wp:positionV>
          <wp:extent cx="11051496" cy="538977"/>
          <wp:effectExtent l="0" t="1587" r="0" b="0"/>
          <wp:wrapNone/>
          <wp:docPr id="19" name="Picture 19" descr="This image sits along the right edge of the page and is a slice of the same black and white artwork used for the front cover of this report. It is decorative only. " title="Decorative side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HRC_shields_horizontalstrip_b+w.jpg"/>
                  <pic:cNvPicPr/>
                </pic:nvPicPr>
                <pic:blipFill rotWithShape="1">
                  <a:blip r:embed="rId1" cstate="print">
                    <a:extLst>
                      <a:ext uri="{28A0092B-C50C-407E-A947-70E740481C1C}">
                        <a14:useLocalDpi xmlns:a14="http://schemas.microsoft.com/office/drawing/2010/main" val="0"/>
                      </a:ext>
                    </a:extLst>
                  </a:blip>
                  <a:srcRect t="51814" b="-1"/>
                  <a:stretch/>
                </pic:blipFill>
                <pic:spPr bwMode="auto">
                  <a:xfrm rot="16200000">
                    <a:off x="0" y="0"/>
                    <a:ext cx="11051496" cy="538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ACC09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E7D00"/>
    <w:multiLevelType w:val="hybridMultilevel"/>
    <w:tmpl w:val="782A446E"/>
    <w:lvl w:ilvl="0" w:tplc="59F0CCF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A3B22"/>
    <w:multiLevelType w:val="hybridMultilevel"/>
    <w:tmpl w:val="5574BE4A"/>
    <w:lvl w:ilvl="0" w:tplc="7CA66474">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9303812"/>
    <w:multiLevelType w:val="hybridMultilevel"/>
    <w:tmpl w:val="7FB24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DE4577"/>
    <w:multiLevelType w:val="hybridMultilevel"/>
    <w:tmpl w:val="1B526A0A"/>
    <w:lvl w:ilvl="0" w:tplc="B992AE66">
      <w:start w:val="1"/>
      <w:numFmt w:val="decimal"/>
      <w:lvlText w:val="%1."/>
      <w:lvlJc w:val="left"/>
      <w:pPr>
        <w:ind w:left="720" w:hanging="360"/>
      </w:pPr>
      <w:rPr>
        <w:sz w:val="24"/>
        <w:szCs w:val="24"/>
      </w:rPr>
    </w:lvl>
    <w:lvl w:ilvl="1" w:tplc="854C4EFA">
      <w:start w:val="1"/>
      <w:numFmt w:val="lowerLetter"/>
      <w:lvlText w:val="(%2)"/>
      <w:lvlJc w:val="left"/>
      <w:pPr>
        <w:ind w:left="1440" w:hanging="360"/>
      </w:pPr>
      <w:rPr>
        <w:rFonts w:ascii="Arial" w:hAnsi="Arial" w:hint="default"/>
        <w:b w:val="0"/>
        <w:i w:val="0"/>
        <w:sz w:val="22"/>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EA23AF"/>
    <w:multiLevelType w:val="multilevel"/>
    <w:tmpl w:val="6ACCA918"/>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BB51691"/>
    <w:multiLevelType w:val="hybridMultilevel"/>
    <w:tmpl w:val="B5307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4E6AC8"/>
    <w:multiLevelType w:val="hybridMultilevel"/>
    <w:tmpl w:val="9246035C"/>
    <w:lvl w:ilvl="0" w:tplc="0C090001">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6B47B0"/>
    <w:multiLevelType w:val="hybridMultilevel"/>
    <w:tmpl w:val="E6CCD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750AEC"/>
    <w:multiLevelType w:val="hybridMultilevel"/>
    <w:tmpl w:val="59908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0B7960"/>
    <w:multiLevelType w:val="hybridMultilevel"/>
    <w:tmpl w:val="770A34A6"/>
    <w:lvl w:ilvl="0" w:tplc="8A603042">
      <w:start w:val="1"/>
      <w:numFmt w:val="bullet"/>
      <w:lvlText w:val=""/>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A00E16"/>
    <w:multiLevelType w:val="hybridMultilevel"/>
    <w:tmpl w:val="1B420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9A4B45"/>
    <w:multiLevelType w:val="hybridMultilevel"/>
    <w:tmpl w:val="A8126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07187D"/>
    <w:multiLevelType w:val="hybridMultilevel"/>
    <w:tmpl w:val="30BAA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7B1733"/>
    <w:multiLevelType w:val="hybridMultilevel"/>
    <w:tmpl w:val="4D040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274AC0"/>
    <w:multiLevelType w:val="hybridMultilevel"/>
    <w:tmpl w:val="CC463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E95DA8"/>
    <w:multiLevelType w:val="hybridMultilevel"/>
    <w:tmpl w:val="9B30151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7" w15:restartNumberingAfterBreak="0">
    <w:nsid w:val="3B04381C"/>
    <w:multiLevelType w:val="hybridMultilevel"/>
    <w:tmpl w:val="6EC4F84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3B2076F8"/>
    <w:multiLevelType w:val="hybridMultilevel"/>
    <w:tmpl w:val="B9849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484278"/>
    <w:multiLevelType w:val="hybridMultilevel"/>
    <w:tmpl w:val="49A6FA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49561E"/>
    <w:multiLevelType w:val="hybridMultilevel"/>
    <w:tmpl w:val="810E6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C77E2A"/>
    <w:multiLevelType w:val="hybridMultilevel"/>
    <w:tmpl w:val="CA942824"/>
    <w:lvl w:ilvl="0" w:tplc="262CCFF2">
      <w:start w:val="8"/>
      <w:numFmt w:val="bullet"/>
      <w:lvlText w:val="-"/>
      <w:lvlJc w:val="left"/>
      <w:pPr>
        <w:ind w:left="3762" w:hanging="360"/>
      </w:pPr>
      <w:rPr>
        <w:rFonts w:ascii="Arial" w:eastAsiaTheme="minorHAnsi" w:hAnsi="Arial" w:cs="Arial" w:hint="default"/>
      </w:rPr>
    </w:lvl>
    <w:lvl w:ilvl="1" w:tplc="0C090003" w:tentative="1">
      <w:start w:val="1"/>
      <w:numFmt w:val="bullet"/>
      <w:lvlText w:val="o"/>
      <w:lvlJc w:val="left"/>
      <w:pPr>
        <w:ind w:left="4482" w:hanging="360"/>
      </w:pPr>
      <w:rPr>
        <w:rFonts w:ascii="Courier New" w:hAnsi="Courier New" w:cs="Courier New" w:hint="default"/>
      </w:rPr>
    </w:lvl>
    <w:lvl w:ilvl="2" w:tplc="0C090005" w:tentative="1">
      <w:start w:val="1"/>
      <w:numFmt w:val="bullet"/>
      <w:lvlText w:val=""/>
      <w:lvlJc w:val="left"/>
      <w:pPr>
        <w:ind w:left="5202" w:hanging="360"/>
      </w:pPr>
      <w:rPr>
        <w:rFonts w:ascii="Wingdings" w:hAnsi="Wingdings" w:hint="default"/>
      </w:rPr>
    </w:lvl>
    <w:lvl w:ilvl="3" w:tplc="0C090001" w:tentative="1">
      <w:start w:val="1"/>
      <w:numFmt w:val="bullet"/>
      <w:lvlText w:val=""/>
      <w:lvlJc w:val="left"/>
      <w:pPr>
        <w:ind w:left="5922" w:hanging="360"/>
      </w:pPr>
      <w:rPr>
        <w:rFonts w:ascii="Symbol" w:hAnsi="Symbol" w:hint="default"/>
      </w:rPr>
    </w:lvl>
    <w:lvl w:ilvl="4" w:tplc="0C090003" w:tentative="1">
      <w:start w:val="1"/>
      <w:numFmt w:val="bullet"/>
      <w:lvlText w:val="o"/>
      <w:lvlJc w:val="left"/>
      <w:pPr>
        <w:ind w:left="6642" w:hanging="360"/>
      </w:pPr>
      <w:rPr>
        <w:rFonts w:ascii="Courier New" w:hAnsi="Courier New" w:cs="Courier New" w:hint="default"/>
      </w:rPr>
    </w:lvl>
    <w:lvl w:ilvl="5" w:tplc="0C090005" w:tentative="1">
      <w:start w:val="1"/>
      <w:numFmt w:val="bullet"/>
      <w:lvlText w:val=""/>
      <w:lvlJc w:val="left"/>
      <w:pPr>
        <w:ind w:left="7362" w:hanging="360"/>
      </w:pPr>
      <w:rPr>
        <w:rFonts w:ascii="Wingdings" w:hAnsi="Wingdings" w:hint="default"/>
      </w:rPr>
    </w:lvl>
    <w:lvl w:ilvl="6" w:tplc="0C090001" w:tentative="1">
      <w:start w:val="1"/>
      <w:numFmt w:val="bullet"/>
      <w:lvlText w:val=""/>
      <w:lvlJc w:val="left"/>
      <w:pPr>
        <w:ind w:left="8082" w:hanging="360"/>
      </w:pPr>
      <w:rPr>
        <w:rFonts w:ascii="Symbol" w:hAnsi="Symbol" w:hint="default"/>
      </w:rPr>
    </w:lvl>
    <w:lvl w:ilvl="7" w:tplc="0C090003" w:tentative="1">
      <w:start w:val="1"/>
      <w:numFmt w:val="bullet"/>
      <w:lvlText w:val="o"/>
      <w:lvlJc w:val="left"/>
      <w:pPr>
        <w:ind w:left="8802" w:hanging="360"/>
      </w:pPr>
      <w:rPr>
        <w:rFonts w:ascii="Courier New" w:hAnsi="Courier New" w:cs="Courier New" w:hint="default"/>
      </w:rPr>
    </w:lvl>
    <w:lvl w:ilvl="8" w:tplc="0C090005" w:tentative="1">
      <w:start w:val="1"/>
      <w:numFmt w:val="bullet"/>
      <w:lvlText w:val=""/>
      <w:lvlJc w:val="left"/>
      <w:pPr>
        <w:ind w:left="9522" w:hanging="360"/>
      </w:pPr>
      <w:rPr>
        <w:rFonts w:ascii="Wingdings" w:hAnsi="Wingdings" w:hint="default"/>
      </w:rPr>
    </w:lvl>
  </w:abstractNum>
  <w:abstractNum w:abstractNumId="22"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3" w15:restartNumberingAfterBreak="0">
    <w:nsid w:val="491C6E56"/>
    <w:multiLevelType w:val="hybridMultilevel"/>
    <w:tmpl w:val="339C4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DB0E11"/>
    <w:multiLevelType w:val="hybridMultilevel"/>
    <w:tmpl w:val="C28CE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AC5CB1"/>
    <w:multiLevelType w:val="hybridMultilevel"/>
    <w:tmpl w:val="87961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74D99"/>
    <w:multiLevelType w:val="hybridMultilevel"/>
    <w:tmpl w:val="42DC40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A36068"/>
    <w:multiLevelType w:val="hybridMultilevel"/>
    <w:tmpl w:val="7BAAC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B13812"/>
    <w:multiLevelType w:val="hybridMultilevel"/>
    <w:tmpl w:val="6D061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3D7AAB"/>
    <w:multiLevelType w:val="hybridMultilevel"/>
    <w:tmpl w:val="79C86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DB63D4"/>
    <w:multiLevelType w:val="hybridMultilevel"/>
    <w:tmpl w:val="00669510"/>
    <w:lvl w:ilvl="0" w:tplc="0C090001">
      <w:start w:val="1"/>
      <w:numFmt w:val="bullet"/>
      <w:lvlText w:val=""/>
      <w:lvlJc w:val="left"/>
      <w:pPr>
        <w:ind w:left="3762" w:hanging="360"/>
      </w:pPr>
      <w:rPr>
        <w:rFonts w:ascii="Symbol" w:hAnsi="Symbol" w:hint="default"/>
      </w:rPr>
    </w:lvl>
    <w:lvl w:ilvl="1" w:tplc="0C090003" w:tentative="1">
      <w:start w:val="1"/>
      <w:numFmt w:val="bullet"/>
      <w:lvlText w:val="o"/>
      <w:lvlJc w:val="left"/>
      <w:pPr>
        <w:ind w:left="4482" w:hanging="360"/>
      </w:pPr>
      <w:rPr>
        <w:rFonts w:ascii="Courier New" w:hAnsi="Courier New" w:cs="Courier New" w:hint="default"/>
      </w:rPr>
    </w:lvl>
    <w:lvl w:ilvl="2" w:tplc="0C090005" w:tentative="1">
      <w:start w:val="1"/>
      <w:numFmt w:val="bullet"/>
      <w:lvlText w:val=""/>
      <w:lvlJc w:val="left"/>
      <w:pPr>
        <w:ind w:left="5202" w:hanging="360"/>
      </w:pPr>
      <w:rPr>
        <w:rFonts w:ascii="Wingdings" w:hAnsi="Wingdings" w:hint="default"/>
      </w:rPr>
    </w:lvl>
    <w:lvl w:ilvl="3" w:tplc="0C090001" w:tentative="1">
      <w:start w:val="1"/>
      <w:numFmt w:val="bullet"/>
      <w:lvlText w:val=""/>
      <w:lvlJc w:val="left"/>
      <w:pPr>
        <w:ind w:left="5922" w:hanging="360"/>
      </w:pPr>
      <w:rPr>
        <w:rFonts w:ascii="Symbol" w:hAnsi="Symbol" w:hint="default"/>
      </w:rPr>
    </w:lvl>
    <w:lvl w:ilvl="4" w:tplc="0C090003" w:tentative="1">
      <w:start w:val="1"/>
      <w:numFmt w:val="bullet"/>
      <w:lvlText w:val="o"/>
      <w:lvlJc w:val="left"/>
      <w:pPr>
        <w:ind w:left="6642" w:hanging="360"/>
      </w:pPr>
      <w:rPr>
        <w:rFonts w:ascii="Courier New" w:hAnsi="Courier New" w:cs="Courier New" w:hint="default"/>
      </w:rPr>
    </w:lvl>
    <w:lvl w:ilvl="5" w:tplc="0C090005" w:tentative="1">
      <w:start w:val="1"/>
      <w:numFmt w:val="bullet"/>
      <w:lvlText w:val=""/>
      <w:lvlJc w:val="left"/>
      <w:pPr>
        <w:ind w:left="7362" w:hanging="360"/>
      </w:pPr>
      <w:rPr>
        <w:rFonts w:ascii="Wingdings" w:hAnsi="Wingdings" w:hint="default"/>
      </w:rPr>
    </w:lvl>
    <w:lvl w:ilvl="6" w:tplc="0C090001" w:tentative="1">
      <w:start w:val="1"/>
      <w:numFmt w:val="bullet"/>
      <w:lvlText w:val=""/>
      <w:lvlJc w:val="left"/>
      <w:pPr>
        <w:ind w:left="8082" w:hanging="360"/>
      </w:pPr>
      <w:rPr>
        <w:rFonts w:ascii="Symbol" w:hAnsi="Symbol" w:hint="default"/>
      </w:rPr>
    </w:lvl>
    <w:lvl w:ilvl="7" w:tplc="0C090003" w:tentative="1">
      <w:start w:val="1"/>
      <w:numFmt w:val="bullet"/>
      <w:lvlText w:val="o"/>
      <w:lvlJc w:val="left"/>
      <w:pPr>
        <w:ind w:left="8802" w:hanging="360"/>
      </w:pPr>
      <w:rPr>
        <w:rFonts w:ascii="Courier New" w:hAnsi="Courier New" w:cs="Courier New" w:hint="default"/>
      </w:rPr>
    </w:lvl>
    <w:lvl w:ilvl="8" w:tplc="0C090005" w:tentative="1">
      <w:start w:val="1"/>
      <w:numFmt w:val="bullet"/>
      <w:lvlText w:val=""/>
      <w:lvlJc w:val="left"/>
      <w:pPr>
        <w:ind w:left="9522" w:hanging="360"/>
      </w:pPr>
      <w:rPr>
        <w:rFonts w:ascii="Wingdings" w:hAnsi="Wingdings" w:hint="default"/>
      </w:rPr>
    </w:lvl>
  </w:abstractNum>
  <w:abstractNum w:abstractNumId="31" w15:restartNumberingAfterBreak="0">
    <w:nsid w:val="5EA51D22"/>
    <w:multiLevelType w:val="hybridMultilevel"/>
    <w:tmpl w:val="931055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E1253F"/>
    <w:multiLevelType w:val="hybridMultilevel"/>
    <w:tmpl w:val="4D46C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036EBA"/>
    <w:multiLevelType w:val="hybridMultilevel"/>
    <w:tmpl w:val="6554B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FC0E07"/>
    <w:multiLevelType w:val="hybridMultilevel"/>
    <w:tmpl w:val="5D3C21F6"/>
    <w:lvl w:ilvl="0" w:tplc="1AB8621A">
      <w:start w:val="1"/>
      <w:numFmt w:val="decimal"/>
      <w:pStyle w:val="NoteIndent"/>
      <w:lvlText w:val="%1."/>
      <w:lvlJc w:val="left"/>
      <w:pPr>
        <w:ind w:left="360" w:hanging="360"/>
      </w:pPr>
      <w:rPr>
        <w:rFonts w:ascii="Arial" w:hAnsi="Arial" w:hint="default"/>
        <w:b w:val="0"/>
        <w:i w:val="0"/>
        <w:sz w:val="16"/>
        <w:u w:val="none"/>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35" w15:restartNumberingAfterBreak="0">
    <w:nsid w:val="6D384A88"/>
    <w:multiLevelType w:val="hybridMultilevel"/>
    <w:tmpl w:val="8902B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67696D"/>
    <w:multiLevelType w:val="hybridMultilevel"/>
    <w:tmpl w:val="99C8F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935FE3"/>
    <w:multiLevelType w:val="hybridMultilevel"/>
    <w:tmpl w:val="C8A03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60237A"/>
    <w:multiLevelType w:val="hybridMultilevel"/>
    <w:tmpl w:val="83CEF3F2"/>
    <w:lvl w:ilvl="0" w:tplc="59F0CCF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652B54"/>
    <w:multiLevelType w:val="hybridMultilevel"/>
    <w:tmpl w:val="EA600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3C3CF4"/>
    <w:multiLevelType w:val="hybridMultilevel"/>
    <w:tmpl w:val="5F68B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ED7A3F"/>
    <w:multiLevelType w:val="hybridMultilevel"/>
    <w:tmpl w:val="35F20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34"/>
    <w:lvlOverride w:ilvl="0">
      <w:startOverride w:val="1"/>
    </w:lvlOverride>
  </w:num>
  <w:num w:numId="4">
    <w:abstractNumId w:val="4"/>
  </w:num>
  <w:num w:numId="5">
    <w:abstractNumId w:val="10"/>
  </w:num>
  <w:num w:numId="6">
    <w:abstractNumId w:val="1"/>
  </w:num>
  <w:num w:numId="7">
    <w:abstractNumId w:val="38"/>
  </w:num>
  <w:num w:numId="8">
    <w:abstractNumId w:val="19"/>
  </w:num>
  <w:num w:numId="9">
    <w:abstractNumId w:val="20"/>
  </w:num>
  <w:num w:numId="10">
    <w:abstractNumId w:val="22"/>
  </w:num>
  <w:num w:numId="11">
    <w:abstractNumId w:val="36"/>
  </w:num>
  <w:num w:numId="12">
    <w:abstractNumId w:val="6"/>
  </w:num>
  <w:num w:numId="13">
    <w:abstractNumId w:val="41"/>
  </w:num>
  <w:num w:numId="14">
    <w:abstractNumId w:val="14"/>
  </w:num>
  <w:num w:numId="15">
    <w:abstractNumId w:val="24"/>
  </w:num>
  <w:num w:numId="16">
    <w:abstractNumId w:val="33"/>
  </w:num>
  <w:num w:numId="17">
    <w:abstractNumId w:val="11"/>
  </w:num>
  <w:num w:numId="18">
    <w:abstractNumId w:val="3"/>
  </w:num>
  <w:num w:numId="19">
    <w:abstractNumId w:val="29"/>
  </w:num>
  <w:num w:numId="20">
    <w:abstractNumId w:val="16"/>
  </w:num>
  <w:num w:numId="21">
    <w:abstractNumId w:val="23"/>
  </w:num>
  <w:num w:numId="22">
    <w:abstractNumId w:val="5"/>
  </w:num>
  <w:num w:numId="23">
    <w:abstractNumId w:val="18"/>
  </w:num>
  <w:num w:numId="24">
    <w:abstractNumId w:val="15"/>
  </w:num>
  <w:num w:numId="25">
    <w:abstractNumId w:val="39"/>
  </w:num>
  <w:num w:numId="26">
    <w:abstractNumId w:val="17"/>
  </w:num>
  <w:num w:numId="27">
    <w:abstractNumId w:val="26"/>
  </w:num>
  <w:num w:numId="28">
    <w:abstractNumId w:val="7"/>
  </w:num>
  <w:num w:numId="29">
    <w:abstractNumId w:val="2"/>
  </w:num>
  <w:num w:numId="30">
    <w:abstractNumId w:val="35"/>
  </w:num>
  <w:num w:numId="31">
    <w:abstractNumId w:val="9"/>
  </w:num>
  <w:num w:numId="32">
    <w:abstractNumId w:val="8"/>
  </w:num>
  <w:num w:numId="33">
    <w:abstractNumId w:val="28"/>
  </w:num>
  <w:num w:numId="34">
    <w:abstractNumId w:val="12"/>
  </w:num>
  <w:num w:numId="35">
    <w:abstractNumId w:val="27"/>
  </w:num>
  <w:num w:numId="36">
    <w:abstractNumId w:val="13"/>
  </w:num>
  <w:num w:numId="37">
    <w:abstractNumId w:val="32"/>
  </w:num>
  <w:num w:numId="38">
    <w:abstractNumId w:val="25"/>
  </w:num>
  <w:num w:numId="39">
    <w:abstractNumId w:val="40"/>
  </w:num>
  <w:num w:numId="40">
    <w:abstractNumId w:val="37"/>
  </w:num>
  <w:num w:numId="41">
    <w:abstractNumId w:val="21"/>
  </w:num>
  <w:num w:numId="42">
    <w:abstractNumId w:val="31"/>
  </w:num>
  <w:num w:numId="43">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840"/>
    <w:rsid w:val="00001C74"/>
    <w:rsid w:val="00001EE0"/>
    <w:rsid w:val="00002DB6"/>
    <w:rsid w:val="0000605D"/>
    <w:rsid w:val="00006E62"/>
    <w:rsid w:val="0001462C"/>
    <w:rsid w:val="00020E6D"/>
    <w:rsid w:val="000213AE"/>
    <w:rsid w:val="00034C1F"/>
    <w:rsid w:val="0005274B"/>
    <w:rsid w:val="00055335"/>
    <w:rsid w:val="0006467F"/>
    <w:rsid w:val="000706D3"/>
    <w:rsid w:val="00072693"/>
    <w:rsid w:val="000728D4"/>
    <w:rsid w:val="00073876"/>
    <w:rsid w:val="00075304"/>
    <w:rsid w:val="00075C64"/>
    <w:rsid w:val="000A27D2"/>
    <w:rsid w:val="000B332C"/>
    <w:rsid w:val="000D084C"/>
    <w:rsid w:val="000E1167"/>
    <w:rsid w:val="000F1B5F"/>
    <w:rsid w:val="0011127B"/>
    <w:rsid w:val="00114B7D"/>
    <w:rsid w:val="0011796A"/>
    <w:rsid w:val="00121DD1"/>
    <w:rsid w:val="00126449"/>
    <w:rsid w:val="0013641C"/>
    <w:rsid w:val="001431BB"/>
    <w:rsid w:val="00154957"/>
    <w:rsid w:val="00164037"/>
    <w:rsid w:val="00177F48"/>
    <w:rsid w:val="00185A75"/>
    <w:rsid w:val="00185EAF"/>
    <w:rsid w:val="00187F1A"/>
    <w:rsid w:val="00194101"/>
    <w:rsid w:val="00196BED"/>
    <w:rsid w:val="001C1926"/>
    <w:rsid w:val="001C5C5A"/>
    <w:rsid w:val="001E0180"/>
    <w:rsid w:val="001E3134"/>
    <w:rsid w:val="001E4B38"/>
    <w:rsid w:val="001F5F9B"/>
    <w:rsid w:val="00200AEF"/>
    <w:rsid w:val="00216DB7"/>
    <w:rsid w:val="00222B8B"/>
    <w:rsid w:val="00223F86"/>
    <w:rsid w:val="00227095"/>
    <w:rsid w:val="00235777"/>
    <w:rsid w:val="00245DAF"/>
    <w:rsid w:val="00250534"/>
    <w:rsid w:val="002524AA"/>
    <w:rsid w:val="002641C9"/>
    <w:rsid w:val="00277B5C"/>
    <w:rsid w:val="00281755"/>
    <w:rsid w:val="00292A6B"/>
    <w:rsid w:val="00293135"/>
    <w:rsid w:val="002A5BD6"/>
    <w:rsid w:val="002A5E29"/>
    <w:rsid w:val="002A7824"/>
    <w:rsid w:val="002B23ED"/>
    <w:rsid w:val="002C1F7C"/>
    <w:rsid w:val="002D601E"/>
    <w:rsid w:val="002D69A3"/>
    <w:rsid w:val="002E0EBF"/>
    <w:rsid w:val="002F482E"/>
    <w:rsid w:val="002F7BE6"/>
    <w:rsid w:val="00300070"/>
    <w:rsid w:val="00320F52"/>
    <w:rsid w:val="003233C4"/>
    <w:rsid w:val="003330E4"/>
    <w:rsid w:val="00335E5A"/>
    <w:rsid w:val="003375AE"/>
    <w:rsid w:val="00354795"/>
    <w:rsid w:val="0035526C"/>
    <w:rsid w:val="00355C71"/>
    <w:rsid w:val="003673C4"/>
    <w:rsid w:val="00370FBC"/>
    <w:rsid w:val="003833F2"/>
    <w:rsid w:val="003905AE"/>
    <w:rsid w:val="003B0131"/>
    <w:rsid w:val="003B066D"/>
    <w:rsid w:val="003B1AD4"/>
    <w:rsid w:val="003B6447"/>
    <w:rsid w:val="003B6C77"/>
    <w:rsid w:val="003B6F9D"/>
    <w:rsid w:val="003C2A6D"/>
    <w:rsid w:val="003C62F7"/>
    <w:rsid w:val="003D02C4"/>
    <w:rsid w:val="003D1036"/>
    <w:rsid w:val="003D1717"/>
    <w:rsid w:val="003E3A7C"/>
    <w:rsid w:val="003F3B04"/>
    <w:rsid w:val="003F5D2A"/>
    <w:rsid w:val="00404676"/>
    <w:rsid w:val="00406AC5"/>
    <w:rsid w:val="00411815"/>
    <w:rsid w:val="00411F88"/>
    <w:rsid w:val="00414922"/>
    <w:rsid w:val="00415208"/>
    <w:rsid w:val="00415D89"/>
    <w:rsid w:val="00421C2D"/>
    <w:rsid w:val="00421D4B"/>
    <w:rsid w:val="0042466B"/>
    <w:rsid w:val="00425396"/>
    <w:rsid w:val="00426167"/>
    <w:rsid w:val="00431789"/>
    <w:rsid w:val="0044050B"/>
    <w:rsid w:val="00452944"/>
    <w:rsid w:val="00452AA3"/>
    <w:rsid w:val="004557AF"/>
    <w:rsid w:val="00456816"/>
    <w:rsid w:val="0046123F"/>
    <w:rsid w:val="00467FFA"/>
    <w:rsid w:val="00470437"/>
    <w:rsid w:val="004908DB"/>
    <w:rsid w:val="00496BE2"/>
    <w:rsid w:val="00497E96"/>
    <w:rsid w:val="004A3D9E"/>
    <w:rsid w:val="004A7CE1"/>
    <w:rsid w:val="004B0EFE"/>
    <w:rsid w:val="004D6E0B"/>
    <w:rsid w:val="004E1C8E"/>
    <w:rsid w:val="004E69CD"/>
    <w:rsid w:val="00500E63"/>
    <w:rsid w:val="00501A05"/>
    <w:rsid w:val="00510398"/>
    <w:rsid w:val="00511839"/>
    <w:rsid w:val="0052445A"/>
    <w:rsid w:val="00524B7E"/>
    <w:rsid w:val="00525468"/>
    <w:rsid w:val="0053334E"/>
    <w:rsid w:val="00533820"/>
    <w:rsid w:val="00536AE3"/>
    <w:rsid w:val="00573397"/>
    <w:rsid w:val="00574FB9"/>
    <w:rsid w:val="00577457"/>
    <w:rsid w:val="00580D51"/>
    <w:rsid w:val="005955D6"/>
    <w:rsid w:val="005B0C91"/>
    <w:rsid w:val="005B1D5D"/>
    <w:rsid w:val="005B752F"/>
    <w:rsid w:val="005C346F"/>
    <w:rsid w:val="005F06D9"/>
    <w:rsid w:val="0061745F"/>
    <w:rsid w:val="006206B9"/>
    <w:rsid w:val="006220A4"/>
    <w:rsid w:val="00626023"/>
    <w:rsid w:val="00627809"/>
    <w:rsid w:val="00637445"/>
    <w:rsid w:val="00647F0A"/>
    <w:rsid w:val="006503DE"/>
    <w:rsid w:val="00666967"/>
    <w:rsid w:val="006672D4"/>
    <w:rsid w:val="00672921"/>
    <w:rsid w:val="00685D56"/>
    <w:rsid w:val="006860E4"/>
    <w:rsid w:val="00692BFF"/>
    <w:rsid w:val="00694F79"/>
    <w:rsid w:val="006B3E2E"/>
    <w:rsid w:val="006B57CE"/>
    <w:rsid w:val="006C056C"/>
    <w:rsid w:val="006D0E37"/>
    <w:rsid w:val="006D28CC"/>
    <w:rsid w:val="006D4E6D"/>
    <w:rsid w:val="006E724E"/>
    <w:rsid w:val="006E73F9"/>
    <w:rsid w:val="006F421F"/>
    <w:rsid w:val="006F5840"/>
    <w:rsid w:val="0070246E"/>
    <w:rsid w:val="007052EE"/>
    <w:rsid w:val="00722596"/>
    <w:rsid w:val="00722E26"/>
    <w:rsid w:val="00726E04"/>
    <w:rsid w:val="00727EE9"/>
    <w:rsid w:val="007335BF"/>
    <w:rsid w:val="00736BC2"/>
    <w:rsid w:val="00755C62"/>
    <w:rsid w:val="007560AF"/>
    <w:rsid w:val="007654EB"/>
    <w:rsid w:val="00775671"/>
    <w:rsid w:val="0077690C"/>
    <w:rsid w:val="00780EFC"/>
    <w:rsid w:val="0078120B"/>
    <w:rsid w:val="00781696"/>
    <w:rsid w:val="007934EE"/>
    <w:rsid w:val="007939C6"/>
    <w:rsid w:val="007A37DD"/>
    <w:rsid w:val="007A5833"/>
    <w:rsid w:val="007A703A"/>
    <w:rsid w:val="007A7861"/>
    <w:rsid w:val="007B2140"/>
    <w:rsid w:val="007B3183"/>
    <w:rsid w:val="007B563C"/>
    <w:rsid w:val="007B56F8"/>
    <w:rsid w:val="007C7AFD"/>
    <w:rsid w:val="007D0F77"/>
    <w:rsid w:val="007D232E"/>
    <w:rsid w:val="007D2C30"/>
    <w:rsid w:val="007E402E"/>
    <w:rsid w:val="008123FE"/>
    <w:rsid w:val="00813D18"/>
    <w:rsid w:val="00816262"/>
    <w:rsid w:val="0081651C"/>
    <w:rsid w:val="00816A07"/>
    <w:rsid w:val="008405FC"/>
    <w:rsid w:val="00840D43"/>
    <w:rsid w:val="00850625"/>
    <w:rsid w:val="00863CC7"/>
    <w:rsid w:val="00884317"/>
    <w:rsid w:val="00887707"/>
    <w:rsid w:val="00894CC2"/>
    <w:rsid w:val="008A602B"/>
    <w:rsid w:val="008A644B"/>
    <w:rsid w:val="008A7A13"/>
    <w:rsid w:val="008A7B25"/>
    <w:rsid w:val="008B0B5F"/>
    <w:rsid w:val="008B37DE"/>
    <w:rsid w:val="008B45D2"/>
    <w:rsid w:val="008D18D0"/>
    <w:rsid w:val="008E4CAF"/>
    <w:rsid w:val="008F1E25"/>
    <w:rsid w:val="008F7113"/>
    <w:rsid w:val="00905D71"/>
    <w:rsid w:val="00910A81"/>
    <w:rsid w:val="009158BB"/>
    <w:rsid w:val="00916518"/>
    <w:rsid w:val="00917FB2"/>
    <w:rsid w:val="009362A4"/>
    <w:rsid w:val="00941FA2"/>
    <w:rsid w:val="00944830"/>
    <w:rsid w:val="00944B56"/>
    <w:rsid w:val="0094625D"/>
    <w:rsid w:val="009553F4"/>
    <w:rsid w:val="00960835"/>
    <w:rsid w:val="00966AEB"/>
    <w:rsid w:val="009671A8"/>
    <w:rsid w:val="00967396"/>
    <w:rsid w:val="00973549"/>
    <w:rsid w:val="00974556"/>
    <w:rsid w:val="009807D1"/>
    <w:rsid w:val="009869E8"/>
    <w:rsid w:val="00987B04"/>
    <w:rsid w:val="0099171C"/>
    <w:rsid w:val="009965C8"/>
    <w:rsid w:val="009A0CC5"/>
    <w:rsid w:val="009B39F6"/>
    <w:rsid w:val="009C1E9F"/>
    <w:rsid w:val="009C5A2F"/>
    <w:rsid w:val="009C6263"/>
    <w:rsid w:val="009D744B"/>
    <w:rsid w:val="009F4D0C"/>
    <w:rsid w:val="00A044C9"/>
    <w:rsid w:val="00A051CF"/>
    <w:rsid w:val="00A06CE9"/>
    <w:rsid w:val="00A21D7D"/>
    <w:rsid w:val="00A23402"/>
    <w:rsid w:val="00A244E6"/>
    <w:rsid w:val="00A26F6C"/>
    <w:rsid w:val="00A45AAA"/>
    <w:rsid w:val="00A5432C"/>
    <w:rsid w:val="00A5696A"/>
    <w:rsid w:val="00A57CB2"/>
    <w:rsid w:val="00A6198D"/>
    <w:rsid w:val="00A64C75"/>
    <w:rsid w:val="00A67399"/>
    <w:rsid w:val="00A72450"/>
    <w:rsid w:val="00A7300A"/>
    <w:rsid w:val="00A742DD"/>
    <w:rsid w:val="00A87711"/>
    <w:rsid w:val="00AA2C55"/>
    <w:rsid w:val="00AB7AB7"/>
    <w:rsid w:val="00AE36E8"/>
    <w:rsid w:val="00AF5522"/>
    <w:rsid w:val="00B05D91"/>
    <w:rsid w:val="00B10E8B"/>
    <w:rsid w:val="00B150E2"/>
    <w:rsid w:val="00B15A01"/>
    <w:rsid w:val="00B17795"/>
    <w:rsid w:val="00B2038F"/>
    <w:rsid w:val="00B30B99"/>
    <w:rsid w:val="00B31049"/>
    <w:rsid w:val="00B3611B"/>
    <w:rsid w:val="00B36701"/>
    <w:rsid w:val="00B37973"/>
    <w:rsid w:val="00B37B3B"/>
    <w:rsid w:val="00B42AA8"/>
    <w:rsid w:val="00B45EC5"/>
    <w:rsid w:val="00B5358E"/>
    <w:rsid w:val="00B60390"/>
    <w:rsid w:val="00B656AB"/>
    <w:rsid w:val="00B75430"/>
    <w:rsid w:val="00B77E05"/>
    <w:rsid w:val="00BB36AB"/>
    <w:rsid w:val="00BC17FF"/>
    <w:rsid w:val="00BD16B7"/>
    <w:rsid w:val="00BD42FE"/>
    <w:rsid w:val="00BE6F07"/>
    <w:rsid w:val="00BF78C7"/>
    <w:rsid w:val="00C203C0"/>
    <w:rsid w:val="00C203E6"/>
    <w:rsid w:val="00C2274D"/>
    <w:rsid w:val="00C22E5B"/>
    <w:rsid w:val="00C35867"/>
    <w:rsid w:val="00C40EBE"/>
    <w:rsid w:val="00C44AA0"/>
    <w:rsid w:val="00C46C3F"/>
    <w:rsid w:val="00C51DA5"/>
    <w:rsid w:val="00C54D07"/>
    <w:rsid w:val="00C71D43"/>
    <w:rsid w:val="00C72EC1"/>
    <w:rsid w:val="00C7717C"/>
    <w:rsid w:val="00C824C3"/>
    <w:rsid w:val="00C91558"/>
    <w:rsid w:val="00CA1B0C"/>
    <w:rsid w:val="00CB639D"/>
    <w:rsid w:val="00CC2FEA"/>
    <w:rsid w:val="00CC6BCC"/>
    <w:rsid w:val="00CD0D95"/>
    <w:rsid w:val="00CD4348"/>
    <w:rsid w:val="00CE293E"/>
    <w:rsid w:val="00CE40E2"/>
    <w:rsid w:val="00CF77FC"/>
    <w:rsid w:val="00D049DE"/>
    <w:rsid w:val="00D04CDB"/>
    <w:rsid w:val="00D06997"/>
    <w:rsid w:val="00D11705"/>
    <w:rsid w:val="00D213FE"/>
    <w:rsid w:val="00D21E10"/>
    <w:rsid w:val="00D25B1B"/>
    <w:rsid w:val="00D346B2"/>
    <w:rsid w:val="00D44255"/>
    <w:rsid w:val="00D63259"/>
    <w:rsid w:val="00D9029E"/>
    <w:rsid w:val="00D94765"/>
    <w:rsid w:val="00DA0DFF"/>
    <w:rsid w:val="00DA1D90"/>
    <w:rsid w:val="00DB0D51"/>
    <w:rsid w:val="00DB2625"/>
    <w:rsid w:val="00DC42EC"/>
    <w:rsid w:val="00DC5801"/>
    <w:rsid w:val="00DD58BD"/>
    <w:rsid w:val="00DE728A"/>
    <w:rsid w:val="00DF0077"/>
    <w:rsid w:val="00E033BD"/>
    <w:rsid w:val="00E03A5D"/>
    <w:rsid w:val="00E07EC4"/>
    <w:rsid w:val="00E10DD3"/>
    <w:rsid w:val="00E14819"/>
    <w:rsid w:val="00E23A37"/>
    <w:rsid w:val="00E30877"/>
    <w:rsid w:val="00E45ABD"/>
    <w:rsid w:val="00E55888"/>
    <w:rsid w:val="00E63FFB"/>
    <w:rsid w:val="00E64C36"/>
    <w:rsid w:val="00E66365"/>
    <w:rsid w:val="00E678B3"/>
    <w:rsid w:val="00E85EC8"/>
    <w:rsid w:val="00EA3E47"/>
    <w:rsid w:val="00EA4698"/>
    <w:rsid w:val="00EB5F2C"/>
    <w:rsid w:val="00EC22BB"/>
    <w:rsid w:val="00EC4199"/>
    <w:rsid w:val="00ED7AA0"/>
    <w:rsid w:val="00EE6378"/>
    <w:rsid w:val="00EF465D"/>
    <w:rsid w:val="00F1220C"/>
    <w:rsid w:val="00F33DD7"/>
    <w:rsid w:val="00F47617"/>
    <w:rsid w:val="00F73685"/>
    <w:rsid w:val="00F74DA7"/>
    <w:rsid w:val="00F846D9"/>
    <w:rsid w:val="00F87EB0"/>
    <w:rsid w:val="00FA74BF"/>
    <w:rsid w:val="00FB0F1D"/>
    <w:rsid w:val="00FB6073"/>
    <w:rsid w:val="00FC0A5D"/>
    <w:rsid w:val="00FC6699"/>
    <w:rsid w:val="00FD05ED"/>
    <w:rsid w:val="00FD1755"/>
    <w:rsid w:val="00FD5497"/>
    <w:rsid w:val="00FE0A15"/>
    <w:rsid w:val="00FE53A9"/>
    <w:rsid w:val="00FF31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026ADC"/>
  <w15:chartTrackingRefBased/>
  <w15:docId w15:val="{6DDB4FBB-D332-4C4A-B597-8D6CBF3E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3F4"/>
    <w:pPr>
      <w:ind w:right="2835"/>
    </w:pPr>
    <w:rPr>
      <w:sz w:val="22"/>
    </w:rPr>
  </w:style>
  <w:style w:type="paragraph" w:styleId="Heading1">
    <w:name w:val="heading 1"/>
    <w:basedOn w:val="Normal"/>
    <w:link w:val="Heading1Char"/>
    <w:uiPriority w:val="9"/>
    <w:qFormat/>
    <w:rsid w:val="00227095"/>
    <w:pPr>
      <w:spacing w:before="100" w:beforeAutospacing="1" w:after="100" w:afterAutospacing="1" w:line="240" w:lineRule="auto"/>
      <w:ind w:right="0"/>
      <w:outlineLvl w:val="0"/>
    </w:pPr>
    <w:rPr>
      <w:rFonts w:eastAsia="Times New Roman" w:cs="Times New Roman"/>
      <w:bCs/>
      <w:color w:val="000000" w:themeColor="text1"/>
      <w:kern w:val="36"/>
      <w:sz w:val="48"/>
      <w:szCs w:val="48"/>
      <w:lang w:eastAsia="en-AU"/>
    </w:rPr>
  </w:style>
  <w:style w:type="paragraph" w:styleId="Heading2">
    <w:name w:val="heading 2"/>
    <w:aliases w:val="Heading 2 (light blue)"/>
    <w:basedOn w:val="Normal"/>
    <w:next w:val="Normal"/>
    <w:link w:val="Heading2Char"/>
    <w:uiPriority w:val="1"/>
    <w:unhideWhenUsed/>
    <w:qFormat/>
    <w:rsid w:val="00A72450"/>
    <w:pPr>
      <w:keepNext/>
      <w:keepLines/>
      <w:spacing w:before="360" w:after="120"/>
      <w:outlineLvl w:val="1"/>
    </w:pPr>
    <w:rPr>
      <w:rFonts w:eastAsiaTheme="majorEastAsia" w:cstheme="majorBidi"/>
      <w:color w:val="000000" w:themeColor="text1"/>
      <w:sz w:val="36"/>
      <w:szCs w:val="26"/>
    </w:rPr>
  </w:style>
  <w:style w:type="paragraph" w:styleId="Heading3">
    <w:name w:val="heading 3"/>
    <w:aliases w:val="Heading 3 (light blue)"/>
    <w:basedOn w:val="Normal"/>
    <w:next w:val="Normal"/>
    <w:link w:val="Heading3Char"/>
    <w:uiPriority w:val="1"/>
    <w:unhideWhenUsed/>
    <w:qFormat/>
    <w:rsid w:val="007E402E"/>
    <w:pPr>
      <w:keepNext/>
      <w:keepLines/>
      <w:spacing w:before="240" w:after="120"/>
      <w:outlineLvl w:val="2"/>
    </w:pPr>
    <w:rPr>
      <w:rFonts w:eastAsiaTheme="majorEastAsia" w:cstheme="majorBidi"/>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095"/>
    <w:rPr>
      <w:rFonts w:eastAsia="Times New Roman" w:cs="Times New Roman"/>
      <w:bCs/>
      <w:color w:val="000000" w:themeColor="text1"/>
      <w:kern w:val="36"/>
      <w:sz w:val="48"/>
      <w:szCs w:val="48"/>
      <w:lang w:eastAsia="en-AU"/>
    </w:rPr>
  </w:style>
  <w:style w:type="character" w:customStyle="1" w:styleId="Heading2Char">
    <w:name w:val="Heading 2 Char"/>
    <w:aliases w:val="Heading 2 (light blue) Char"/>
    <w:basedOn w:val="DefaultParagraphFont"/>
    <w:link w:val="Heading2"/>
    <w:uiPriority w:val="1"/>
    <w:rsid w:val="00A72450"/>
    <w:rPr>
      <w:rFonts w:eastAsiaTheme="majorEastAsia" w:cstheme="majorBidi"/>
      <w:color w:val="000000" w:themeColor="text1"/>
      <w:sz w:val="36"/>
      <w:szCs w:val="26"/>
    </w:rPr>
  </w:style>
  <w:style w:type="character" w:customStyle="1" w:styleId="Heading3Char">
    <w:name w:val="Heading 3 Char"/>
    <w:aliases w:val="Heading 3 (light blue) Char"/>
    <w:basedOn w:val="DefaultParagraphFont"/>
    <w:link w:val="Heading3"/>
    <w:uiPriority w:val="1"/>
    <w:rsid w:val="007E402E"/>
    <w:rPr>
      <w:rFonts w:eastAsiaTheme="majorEastAsia" w:cstheme="majorBidi"/>
      <w:color w:val="000000" w:themeColor="text1"/>
      <w:sz w:val="28"/>
    </w:rPr>
  </w:style>
  <w:style w:type="paragraph" w:styleId="Title">
    <w:name w:val="Title"/>
    <w:basedOn w:val="Normal"/>
    <w:next w:val="Normal"/>
    <w:link w:val="TitleChar"/>
    <w:uiPriority w:val="10"/>
    <w:qFormat/>
    <w:rsid w:val="00335E5A"/>
    <w:pPr>
      <w:spacing w:after="0" w:line="240" w:lineRule="auto"/>
      <w:contextualSpacing/>
    </w:pPr>
    <w:rPr>
      <w:rFonts w:eastAsiaTheme="majorEastAsia" w:cstheme="majorBidi"/>
      <w:spacing w:val="-10"/>
      <w:kern w:val="28"/>
      <w:sz w:val="72"/>
      <w:szCs w:val="56"/>
    </w:rPr>
  </w:style>
  <w:style w:type="character" w:customStyle="1" w:styleId="TitleChar">
    <w:name w:val="Title Char"/>
    <w:basedOn w:val="DefaultParagraphFont"/>
    <w:link w:val="Title"/>
    <w:uiPriority w:val="10"/>
    <w:rsid w:val="00335E5A"/>
    <w:rPr>
      <w:rFonts w:eastAsiaTheme="majorEastAsia" w:cstheme="majorBidi"/>
      <w:color w:val="000000" w:themeColor="text1"/>
      <w:spacing w:val="-10"/>
      <w:kern w:val="28"/>
      <w:sz w:val="72"/>
      <w:szCs w:val="56"/>
    </w:rPr>
  </w:style>
  <w:style w:type="paragraph" w:styleId="Quote">
    <w:name w:val="Quote"/>
    <w:basedOn w:val="Normal"/>
    <w:next w:val="Normal"/>
    <w:link w:val="QuoteChar"/>
    <w:uiPriority w:val="29"/>
    <w:qFormat/>
    <w:rsid w:val="00AE36E8"/>
    <w:pPr>
      <w:spacing w:before="120" w:after="120"/>
      <w:ind w:left="284"/>
    </w:pPr>
    <w:rPr>
      <w:i/>
      <w:iCs/>
    </w:rPr>
  </w:style>
  <w:style w:type="character" w:customStyle="1" w:styleId="QuoteChar">
    <w:name w:val="Quote Char"/>
    <w:basedOn w:val="DefaultParagraphFont"/>
    <w:link w:val="Quote"/>
    <w:uiPriority w:val="29"/>
    <w:rsid w:val="00AE36E8"/>
    <w:rPr>
      <w:i/>
      <w:iCs/>
      <w:sz w:val="22"/>
    </w:rPr>
  </w:style>
  <w:style w:type="paragraph" w:styleId="Footer">
    <w:name w:val="footer"/>
    <w:basedOn w:val="Normal"/>
    <w:link w:val="FooterChar"/>
    <w:uiPriority w:val="99"/>
    <w:unhideWhenUsed/>
    <w:qFormat/>
    <w:rsid w:val="00510398"/>
    <w:pPr>
      <w:tabs>
        <w:tab w:val="center" w:pos="4513"/>
        <w:tab w:val="right" w:pos="9026"/>
      </w:tabs>
      <w:spacing w:after="0" w:line="240" w:lineRule="auto"/>
    </w:pPr>
    <w:rPr>
      <w:color w:val="595959" w:themeColor="text1" w:themeTint="A6"/>
      <w:sz w:val="20"/>
    </w:rPr>
  </w:style>
  <w:style w:type="character" w:customStyle="1" w:styleId="FooterChar">
    <w:name w:val="Footer Char"/>
    <w:basedOn w:val="DefaultParagraphFont"/>
    <w:link w:val="Footer"/>
    <w:uiPriority w:val="99"/>
    <w:rsid w:val="00510398"/>
    <w:rPr>
      <w:color w:val="595959" w:themeColor="text1" w:themeTint="A6"/>
      <w:sz w:val="20"/>
    </w:rPr>
  </w:style>
  <w:style w:type="character" w:styleId="Hyperlink">
    <w:name w:val="Hyperlink"/>
    <w:basedOn w:val="DefaultParagraphFont"/>
    <w:uiPriority w:val="99"/>
    <w:unhideWhenUsed/>
    <w:rsid w:val="006F5840"/>
    <w:rPr>
      <w:color w:val="0563C1" w:themeColor="hyperlink"/>
      <w:u w:val="single"/>
    </w:rPr>
  </w:style>
  <w:style w:type="paragraph" w:styleId="ListParagraph">
    <w:name w:val="List Paragraph"/>
    <w:basedOn w:val="Normal"/>
    <w:link w:val="ListParagraphChar"/>
    <w:uiPriority w:val="7"/>
    <w:qFormat/>
    <w:rsid w:val="002E0EBF"/>
    <w:pPr>
      <w:numPr>
        <w:numId w:val="29"/>
      </w:numPr>
      <w:spacing w:after="200" w:line="288" w:lineRule="auto"/>
      <w:contextualSpacing/>
    </w:pPr>
    <w:rPr>
      <w:rFonts w:eastAsiaTheme="minorEastAsia"/>
      <w:iCs/>
      <w:color w:val="000000" w:themeColor="text1"/>
      <w:szCs w:val="20"/>
    </w:rPr>
  </w:style>
  <w:style w:type="character" w:customStyle="1" w:styleId="ListParagraphChar">
    <w:name w:val="List Paragraph Char"/>
    <w:link w:val="ListParagraph"/>
    <w:uiPriority w:val="7"/>
    <w:locked/>
    <w:rsid w:val="002E0EBF"/>
    <w:rPr>
      <w:rFonts w:eastAsiaTheme="minorEastAsia"/>
      <w:iCs/>
      <w:color w:val="000000" w:themeColor="text1"/>
      <w:sz w:val="22"/>
      <w:szCs w:val="20"/>
    </w:rPr>
  </w:style>
  <w:style w:type="paragraph" w:styleId="Header">
    <w:name w:val="header"/>
    <w:basedOn w:val="Normal"/>
    <w:link w:val="HeaderChar"/>
    <w:uiPriority w:val="99"/>
    <w:unhideWhenUsed/>
    <w:rsid w:val="00075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C64"/>
  </w:style>
  <w:style w:type="paragraph" w:customStyle="1" w:styleId="Default">
    <w:name w:val="Default"/>
    <w:rsid w:val="00944830"/>
    <w:pPr>
      <w:autoSpaceDE w:val="0"/>
      <w:autoSpaceDN w:val="0"/>
      <w:adjustRightInd w:val="0"/>
      <w:spacing w:after="0" w:line="240" w:lineRule="auto"/>
    </w:pPr>
    <w:rPr>
      <w:rFonts w:cs="Arial"/>
      <w:color w:val="000000"/>
    </w:rPr>
  </w:style>
  <w:style w:type="paragraph" w:styleId="Caption">
    <w:name w:val="caption"/>
    <w:basedOn w:val="Normal"/>
    <w:next w:val="Normal"/>
    <w:unhideWhenUsed/>
    <w:qFormat/>
    <w:rsid w:val="00B30B99"/>
    <w:pPr>
      <w:spacing w:after="200" w:line="288" w:lineRule="auto"/>
      <w:ind w:right="1701"/>
    </w:pPr>
    <w:rPr>
      <w:rFonts w:eastAsiaTheme="minorEastAsia"/>
      <w:b/>
      <w:bCs/>
      <w:i/>
      <w:iCs/>
      <w:color w:val="000000" w:themeColor="text1"/>
      <w:sz w:val="20"/>
      <w:szCs w:val="18"/>
    </w:rPr>
  </w:style>
  <w:style w:type="table" w:styleId="TableGridLight">
    <w:name w:val="Grid Table Light"/>
    <w:basedOn w:val="TableNormal"/>
    <w:uiPriority w:val="40"/>
    <w:rsid w:val="003833F2"/>
    <w:pPr>
      <w:spacing w:after="0" w:line="240" w:lineRule="auto"/>
    </w:pPr>
    <w:rPr>
      <w:rFonts w:asciiTheme="minorHAnsi" w:eastAsiaTheme="minorEastAsia"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52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0B5F"/>
    <w:rPr>
      <w:sz w:val="16"/>
      <w:szCs w:val="16"/>
    </w:rPr>
  </w:style>
  <w:style w:type="paragraph" w:styleId="CommentText">
    <w:name w:val="annotation text"/>
    <w:basedOn w:val="Normal"/>
    <w:link w:val="CommentTextChar"/>
    <w:uiPriority w:val="99"/>
    <w:unhideWhenUsed/>
    <w:rsid w:val="008B0B5F"/>
    <w:pPr>
      <w:spacing w:after="0" w:line="240" w:lineRule="auto"/>
    </w:pPr>
    <w:rPr>
      <w:rFonts w:eastAsia="Times New Roman" w:cs="Times New Roman"/>
      <w:sz w:val="20"/>
      <w:szCs w:val="20"/>
      <w:lang w:eastAsia="en-AU"/>
    </w:rPr>
  </w:style>
  <w:style w:type="character" w:customStyle="1" w:styleId="CommentTextChar">
    <w:name w:val="Comment Text Char"/>
    <w:basedOn w:val="DefaultParagraphFont"/>
    <w:link w:val="CommentText"/>
    <w:uiPriority w:val="99"/>
    <w:rsid w:val="008B0B5F"/>
    <w:rPr>
      <w:rFonts w:eastAsia="Times New Roman" w:cs="Times New Roman"/>
      <w:sz w:val="20"/>
      <w:szCs w:val="20"/>
      <w:lang w:eastAsia="en-AU"/>
    </w:rPr>
  </w:style>
  <w:style w:type="paragraph" w:styleId="ListBullet">
    <w:name w:val="List Bullet"/>
    <w:basedOn w:val="Normal"/>
    <w:uiPriority w:val="9"/>
    <w:rsid w:val="008B0B5F"/>
    <w:pPr>
      <w:numPr>
        <w:numId w:val="1"/>
      </w:numPr>
      <w:tabs>
        <w:tab w:val="clear" w:pos="360"/>
        <w:tab w:val="left" w:pos="357"/>
      </w:tabs>
      <w:spacing w:before="60" w:after="60" w:line="264" w:lineRule="auto"/>
      <w:ind w:left="357" w:hanging="357"/>
    </w:pPr>
    <w:rPr>
      <w:sz w:val="19"/>
      <w:szCs w:val="18"/>
    </w:rPr>
  </w:style>
  <w:style w:type="paragraph" w:customStyle="1" w:styleId="TableTextHeading">
    <w:name w:val="Table Text Heading"/>
    <w:basedOn w:val="Normal"/>
    <w:uiPriority w:val="13"/>
    <w:qFormat/>
    <w:rsid w:val="002E0EBF"/>
    <w:pPr>
      <w:spacing w:before="60" w:after="60" w:line="264" w:lineRule="auto"/>
      <w:ind w:right="0"/>
    </w:pPr>
    <w:rPr>
      <w:b/>
      <w:sz w:val="20"/>
      <w:szCs w:val="18"/>
    </w:rPr>
  </w:style>
  <w:style w:type="paragraph" w:customStyle="1" w:styleId="TableText">
    <w:name w:val="Table Text"/>
    <w:basedOn w:val="Normal"/>
    <w:uiPriority w:val="14"/>
    <w:rsid w:val="008B0B5F"/>
    <w:pPr>
      <w:spacing w:before="60" w:after="60" w:line="264" w:lineRule="auto"/>
    </w:pPr>
    <w:rPr>
      <w:sz w:val="19"/>
      <w:szCs w:val="18"/>
    </w:rPr>
  </w:style>
  <w:style w:type="paragraph" w:customStyle="1" w:styleId="TableTextBody">
    <w:name w:val="Table Text Body"/>
    <w:basedOn w:val="Normal"/>
    <w:uiPriority w:val="16"/>
    <w:qFormat/>
    <w:rsid w:val="002E0EBF"/>
    <w:pPr>
      <w:spacing w:before="60" w:after="60" w:line="264" w:lineRule="auto"/>
      <w:ind w:right="0"/>
    </w:pPr>
    <w:rPr>
      <w:sz w:val="20"/>
      <w:szCs w:val="18"/>
    </w:rPr>
  </w:style>
  <w:style w:type="paragraph" w:customStyle="1" w:styleId="TableTextBold">
    <w:name w:val="Table Text Bold"/>
    <w:basedOn w:val="Normal"/>
    <w:uiPriority w:val="17"/>
    <w:qFormat/>
    <w:rsid w:val="00426167"/>
    <w:pPr>
      <w:spacing w:before="60" w:after="60" w:line="264" w:lineRule="auto"/>
      <w:ind w:right="0"/>
    </w:pPr>
    <w:rPr>
      <w:b/>
      <w:sz w:val="20"/>
      <w:szCs w:val="18"/>
    </w:rPr>
  </w:style>
  <w:style w:type="paragraph" w:customStyle="1" w:styleId="TableTextItalics">
    <w:name w:val="Table Text Italics"/>
    <w:basedOn w:val="TableText"/>
    <w:uiPriority w:val="18"/>
    <w:rsid w:val="008B0B5F"/>
    <w:rPr>
      <w:i/>
    </w:rPr>
  </w:style>
  <w:style w:type="paragraph" w:customStyle="1" w:styleId="Note">
    <w:name w:val="Note"/>
    <w:basedOn w:val="Normal"/>
    <w:next w:val="Normal"/>
    <w:uiPriority w:val="22"/>
    <w:qFormat/>
    <w:rsid w:val="008B0B5F"/>
    <w:pPr>
      <w:spacing w:before="60" w:after="60" w:line="264" w:lineRule="auto"/>
      <w:jc w:val="both"/>
    </w:pPr>
    <w:rPr>
      <w:sz w:val="16"/>
      <w:szCs w:val="22"/>
    </w:rPr>
  </w:style>
  <w:style w:type="paragraph" w:customStyle="1" w:styleId="NoteIndent">
    <w:name w:val="Note Indent"/>
    <w:basedOn w:val="Normal"/>
    <w:uiPriority w:val="22"/>
    <w:qFormat/>
    <w:rsid w:val="00411815"/>
    <w:pPr>
      <w:numPr>
        <w:numId w:val="2"/>
      </w:numPr>
      <w:tabs>
        <w:tab w:val="left" w:pos="357"/>
      </w:tabs>
      <w:spacing w:before="60" w:after="60" w:line="264" w:lineRule="auto"/>
      <w:ind w:left="357" w:right="1701" w:hanging="357"/>
    </w:pPr>
    <w:rPr>
      <w:sz w:val="16"/>
      <w:szCs w:val="18"/>
    </w:rPr>
  </w:style>
  <w:style w:type="character" w:styleId="SubtleReference">
    <w:name w:val="Subtle Reference"/>
    <w:basedOn w:val="DefaultParagraphFont"/>
    <w:uiPriority w:val="31"/>
    <w:rsid w:val="008B0B5F"/>
    <w:rPr>
      <w:smallCaps/>
      <w:color w:val="5A5A5A" w:themeColor="text1" w:themeTint="A5"/>
    </w:rPr>
  </w:style>
  <w:style w:type="paragraph" w:styleId="BalloonText">
    <w:name w:val="Balloon Text"/>
    <w:basedOn w:val="Normal"/>
    <w:link w:val="BalloonTextChar"/>
    <w:uiPriority w:val="99"/>
    <w:semiHidden/>
    <w:unhideWhenUsed/>
    <w:rsid w:val="008B0B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B5F"/>
    <w:rPr>
      <w:rFonts w:ascii="Segoe UI" w:hAnsi="Segoe UI" w:cs="Segoe UI"/>
      <w:sz w:val="18"/>
      <w:szCs w:val="18"/>
    </w:rPr>
  </w:style>
  <w:style w:type="paragraph" w:styleId="NormalWeb">
    <w:name w:val="Normal (Web)"/>
    <w:basedOn w:val="Normal"/>
    <w:uiPriority w:val="99"/>
    <w:unhideWhenUsed/>
    <w:rsid w:val="009C1E9F"/>
    <w:pPr>
      <w:spacing w:before="100" w:beforeAutospacing="1" w:after="100" w:afterAutospacing="1" w:line="240" w:lineRule="auto"/>
    </w:pPr>
    <w:rPr>
      <w:rFonts w:ascii="Times New Roman" w:eastAsia="Times New Roman" w:hAnsi="Times New Roman" w:cs="Times New Roman"/>
      <w:lang w:eastAsia="en-AU"/>
    </w:rPr>
  </w:style>
  <w:style w:type="paragraph" w:styleId="FootnoteText">
    <w:name w:val="footnote text"/>
    <w:basedOn w:val="Normal"/>
    <w:link w:val="FootnoteTextChar"/>
    <w:uiPriority w:val="99"/>
    <w:rsid w:val="009C1E9F"/>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rsid w:val="009C1E9F"/>
    <w:rPr>
      <w:rFonts w:ascii="Times New Roman" w:eastAsia="Times New Roman" w:hAnsi="Times New Roman" w:cs="Times New Roman"/>
      <w:sz w:val="20"/>
      <w:szCs w:val="20"/>
      <w:lang w:eastAsia="en-AU"/>
    </w:rPr>
  </w:style>
  <w:style w:type="character" w:styleId="FootnoteReference">
    <w:name w:val="footnote reference"/>
    <w:uiPriority w:val="99"/>
    <w:rsid w:val="009C1E9F"/>
    <w:rPr>
      <w:vertAlign w:val="superscript"/>
    </w:rPr>
  </w:style>
  <w:style w:type="character" w:customStyle="1" w:styleId="listnumber">
    <w:name w:val="listnumber"/>
    <w:basedOn w:val="DefaultParagraphFont"/>
    <w:rsid w:val="002A7824"/>
  </w:style>
  <w:style w:type="paragraph" w:customStyle="1" w:styleId="VEOHRCBodytext">
    <w:name w:val="VEOHRC Body text"/>
    <w:link w:val="VEOHRCBodytextChar"/>
    <w:rsid w:val="00AF5522"/>
    <w:pPr>
      <w:tabs>
        <w:tab w:val="left" w:pos="2640"/>
      </w:tabs>
      <w:spacing w:before="80" w:after="120" w:line="240" w:lineRule="auto"/>
    </w:pPr>
    <w:rPr>
      <w:rFonts w:eastAsia="Arial Unicode MS" w:cs="Times New Roman"/>
      <w:lang w:val="en-GB" w:eastAsia="en-AU"/>
    </w:rPr>
  </w:style>
  <w:style w:type="character" w:customStyle="1" w:styleId="VEOHRCBodytextChar">
    <w:name w:val="VEOHRC Body text Char"/>
    <w:link w:val="VEOHRCBodytext"/>
    <w:rsid w:val="00AF5522"/>
    <w:rPr>
      <w:rFonts w:eastAsia="Arial Unicode MS" w:cs="Times New Roman"/>
      <w:lang w:val="en-GB" w:eastAsia="en-AU"/>
    </w:rPr>
  </w:style>
  <w:style w:type="paragraph" w:customStyle="1" w:styleId="Text">
    <w:name w:val="Text"/>
    <w:basedOn w:val="Normal"/>
    <w:rsid w:val="008B37DE"/>
    <w:pPr>
      <w:tabs>
        <w:tab w:val="num" w:pos="1713"/>
      </w:tabs>
      <w:spacing w:before="120" w:after="120" w:line="240" w:lineRule="auto"/>
    </w:pPr>
    <w:rPr>
      <w:rFonts w:eastAsia="Times New Roman" w:cs="Times New Roman"/>
      <w:sz w:val="20"/>
      <w:szCs w:val="20"/>
      <w:lang w:eastAsia="en-AU"/>
    </w:rPr>
  </w:style>
  <w:style w:type="paragraph" w:styleId="BodyText">
    <w:name w:val="Body Text"/>
    <w:basedOn w:val="Normal"/>
    <w:link w:val="BodyTextChar"/>
    <w:uiPriority w:val="99"/>
    <w:rsid w:val="00292A6B"/>
    <w:pPr>
      <w:suppressAutoHyphens/>
      <w:spacing w:before="80" w:after="120" w:line="240" w:lineRule="auto"/>
    </w:pPr>
    <w:rPr>
      <w:rFonts w:eastAsia="Times New Roman" w:cs="Times New Roman"/>
      <w:szCs w:val="20"/>
    </w:rPr>
  </w:style>
  <w:style w:type="character" w:customStyle="1" w:styleId="BodyTextChar">
    <w:name w:val="Body Text Char"/>
    <w:basedOn w:val="DefaultParagraphFont"/>
    <w:link w:val="BodyText"/>
    <w:uiPriority w:val="99"/>
    <w:rsid w:val="00292A6B"/>
    <w:rPr>
      <w:rFonts w:eastAsia="Times New Roman" w:cs="Times New Roman"/>
      <w:szCs w:val="20"/>
    </w:rPr>
  </w:style>
  <w:style w:type="character" w:styleId="Emphasis">
    <w:name w:val="Emphasis"/>
    <w:basedOn w:val="DefaultParagraphFont"/>
    <w:uiPriority w:val="20"/>
    <w:qFormat/>
    <w:rsid w:val="00726E04"/>
    <w:rPr>
      <w:i/>
      <w:iCs/>
    </w:rPr>
  </w:style>
  <w:style w:type="character" w:customStyle="1" w:styleId="meta">
    <w:name w:val="meta"/>
    <w:basedOn w:val="DefaultParagraphFont"/>
    <w:rsid w:val="00726E04"/>
  </w:style>
  <w:style w:type="character" w:customStyle="1" w:styleId="filetype">
    <w:name w:val="filetype"/>
    <w:basedOn w:val="DefaultParagraphFont"/>
    <w:rsid w:val="00726E04"/>
  </w:style>
  <w:style w:type="character" w:customStyle="1" w:styleId="offscreen">
    <w:name w:val="offscreen"/>
    <w:basedOn w:val="DefaultParagraphFont"/>
    <w:rsid w:val="00726E04"/>
  </w:style>
  <w:style w:type="paragraph" w:styleId="CommentSubject">
    <w:name w:val="annotation subject"/>
    <w:basedOn w:val="CommentText"/>
    <w:next w:val="CommentText"/>
    <w:link w:val="CommentSubjectChar"/>
    <w:uiPriority w:val="99"/>
    <w:semiHidden/>
    <w:unhideWhenUsed/>
    <w:rsid w:val="00722E26"/>
    <w:pPr>
      <w:spacing w:after="16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722E26"/>
    <w:rPr>
      <w:rFonts w:eastAsia="Times New Roman" w:cs="Times New Roman"/>
      <w:b/>
      <w:bCs/>
      <w:sz w:val="20"/>
      <w:szCs w:val="20"/>
      <w:lang w:eastAsia="en-AU"/>
    </w:rPr>
  </w:style>
  <w:style w:type="paragraph" w:styleId="NoSpacing">
    <w:name w:val="No Spacing"/>
    <w:aliases w:val="Normal (landscape)"/>
    <w:uiPriority w:val="1"/>
    <w:qFormat/>
    <w:rsid w:val="00B30B99"/>
    <w:pPr>
      <w:spacing w:after="0" w:line="240" w:lineRule="auto"/>
    </w:pPr>
    <w:rPr>
      <w:sz w:val="22"/>
    </w:rPr>
  </w:style>
  <w:style w:type="paragraph" w:styleId="TOCHeading">
    <w:name w:val="TOC Heading"/>
    <w:basedOn w:val="Heading1"/>
    <w:next w:val="Normal"/>
    <w:uiPriority w:val="39"/>
    <w:unhideWhenUsed/>
    <w:qFormat/>
    <w:rsid w:val="003D1036"/>
    <w:pPr>
      <w:keepNext/>
      <w:keepLines/>
      <w:spacing w:before="240" w:beforeAutospacing="0" w:after="0" w:afterAutospacing="0" w:line="259" w:lineRule="auto"/>
      <w:outlineLvl w:val="9"/>
    </w:pPr>
    <w:rPr>
      <w:rFonts w:asciiTheme="majorHAnsi" w:eastAsiaTheme="majorEastAsia" w:hAnsiTheme="majorHAnsi" w:cstheme="majorBidi"/>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3D1036"/>
    <w:pPr>
      <w:spacing w:after="100"/>
    </w:pPr>
  </w:style>
  <w:style w:type="paragraph" w:styleId="TOC2">
    <w:name w:val="toc 2"/>
    <w:basedOn w:val="Normal"/>
    <w:next w:val="Normal"/>
    <w:autoRedefine/>
    <w:uiPriority w:val="39"/>
    <w:unhideWhenUsed/>
    <w:rsid w:val="003D1036"/>
    <w:pPr>
      <w:spacing w:after="100"/>
      <w:ind w:left="220"/>
    </w:pPr>
  </w:style>
  <w:style w:type="paragraph" w:styleId="TOC3">
    <w:name w:val="toc 3"/>
    <w:basedOn w:val="Normal"/>
    <w:next w:val="Normal"/>
    <w:autoRedefine/>
    <w:uiPriority w:val="39"/>
    <w:unhideWhenUsed/>
    <w:rsid w:val="003D1036"/>
    <w:pPr>
      <w:spacing w:after="100"/>
      <w:ind w:left="440"/>
    </w:pPr>
  </w:style>
  <w:style w:type="paragraph" w:styleId="TOC4">
    <w:name w:val="toc 4"/>
    <w:basedOn w:val="Normal"/>
    <w:next w:val="Normal"/>
    <w:autoRedefine/>
    <w:uiPriority w:val="39"/>
    <w:unhideWhenUsed/>
    <w:rsid w:val="003D1036"/>
    <w:pPr>
      <w:spacing w:after="100"/>
      <w:ind w:left="660" w:right="0"/>
    </w:pPr>
    <w:rPr>
      <w:rFonts w:asciiTheme="minorHAnsi" w:eastAsiaTheme="minorEastAsia" w:hAnsiTheme="minorHAnsi"/>
      <w:szCs w:val="22"/>
      <w:lang w:eastAsia="en-AU"/>
    </w:rPr>
  </w:style>
  <w:style w:type="paragraph" w:styleId="TOC5">
    <w:name w:val="toc 5"/>
    <w:basedOn w:val="Normal"/>
    <w:next w:val="Normal"/>
    <w:autoRedefine/>
    <w:uiPriority w:val="39"/>
    <w:unhideWhenUsed/>
    <w:rsid w:val="003D1036"/>
    <w:pPr>
      <w:spacing w:after="100"/>
      <w:ind w:left="880" w:right="0"/>
    </w:pPr>
    <w:rPr>
      <w:rFonts w:asciiTheme="minorHAnsi" w:eastAsiaTheme="minorEastAsia" w:hAnsiTheme="minorHAnsi"/>
      <w:szCs w:val="22"/>
      <w:lang w:eastAsia="en-AU"/>
    </w:rPr>
  </w:style>
  <w:style w:type="paragraph" w:styleId="TOC6">
    <w:name w:val="toc 6"/>
    <w:basedOn w:val="Normal"/>
    <w:next w:val="Normal"/>
    <w:autoRedefine/>
    <w:uiPriority w:val="39"/>
    <w:unhideWhenUsed/>
    <w:rsid w:val="003D1036"/>
    <w:pPr>
      <w:spacing w:after="100"/>
      <w:ind w:left="1100" w:right="0"/>
    </w:pPr>
    <w:rPr>
      <w:rFonts w:asciiTheme="minorHAnsi" w:eastAsiaTheme="minorEastAsia" w:hAnsiTheme="minorHAnsi"/>
      <w:szCs w:val="22"/>
      <w:lang w:eastAsia="en-AU"/>
    </w:rPr>
  </w:style>
  <w:style w:type="paragraph" w:styleId="TOC7">
    <w:name w:val="toc 7"/>
    <w:basedOn w:val="Normal"/>
    <w:next w:val="Normal"/>
    <w:autoRedefine/>
    <w:uiPriority w:val="39"/>
    <w:unhideWhenUsed/>
    <w:rsid w:val="003D1036"/>
    <w:pPr>
      <w:spacing w:after="100"/>
      <w:ind w:left="1320" w:right="0"/>
    </w:pPr>
    <w:rPr>
      <w:rFonts w:asciiTheme="minorHAnsi" w:eastAsiaTheme="minorEastAsia" w:hAnsiTheme="minorHAnsi"/>
      <w:szCs w:val="22"/>
      <w:lang w:eastAsia="en-AU"/>
    </w:rPr>
  </w:style>
  <w:style w:type="paragraph" w:styleId="TOC8">
    <w:name w:val="toc 8"/>
    <w:basedOn w:val="Normal"/>
    <w:next w:val="Normal"/>
    <w:autoRedefine/>
    <w:uiPriority w:val="39"/>
    <w:unhideWhenUsed/>
    <w:rsid w:val="003D1036"/>
    <w:pPr>
      <w:spacing w:after="100"/>
      <w:ind w:left="1540" w:right="0"/>
    </w:pPr>
    <w:rPr>
      <w:rFonts w:asciiTheme="minorHAnsi" w:eastAsiaTheme="minorEastAsia" w:hAnsiTheme="minorHAnsi"/>
      <w:szCs w:val="22"/>
      <w:lang w:eastAsia="en-AU"/>
    </w:rPr>
  </w:style>
  <w:style w:type="paragraph" w:styleId="TOC9">
    <w:name w:val="toc 9"/>
    <w:basedOn w:val="Normal"/>
    <w:next w:val="Normal"/>
    <w:autoRedefine/>
    <w:uiPriority w:val="39"/>
    <w:unhideWhenUsed/>
    <w:rsid w:val="003D1036"/>
    <w:pPr>
      <w:spacing w:after="100"/>
      <w:ind w:left="1760" w:right="0"/>
    </w:pPr>
    <w:rPr>
      <w:rFonts w:asciiTheme="minorHAnsi" w:eastAsiaTheme="minorEastAsia" w:hAnsiTheme="minorHAnsi"/>
      <w:szCs w:val="22"/>
      <w:lang w:eastAsia="en-AU"/>
    </w:rPr>
  </w:style>
  <w:style w:type="paragraph" w:styleId="IntenseQuote">
    <w:name w:val="Intense Quote"/>
    <w:basedOn w:val="Normal"/>
    <w:next w:val="Normal"/>
    <w:link w:val="IntenseQuoteChar"/>
    <w:uiPriority w:val="30"/>
    <w:rsid w:val="003D103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D1036"/>
    <w:rPr>
      <w:i/>
      <w:iCs/>
      <w:color w:val="5B9BD5" w:themeColor="accent1"/>
      <w:sz w:val="22"/>
    </w:rPr>
  </w:style>
  <w:style w:type="paragraph" w:customStyle="1" w:styleId="Keystatistics">
    <w:name w:val="Key statistics"/>
    <w:basedOn w:val="Normal"/>
    <w:qFormat/>
    <w:rsid w:val="00A72450"/>
    <w:pPr>
      <w:pBdr>
        <w:top w:val="single" w:sz="4" w:space="12" w:color="auto"/>
        <w:bottom w:val="single" w:sz="4" w:space="12" w:color="auto"/>
      </w:pBdr>
      <w:spacing w:before="240" w:after="240"/>
      <w:ind w:left="3402" w:right="0"/>
      <w:contextualSpacing/>
      <w:jc w:val="right"/>
    </w:pPr>
    <w:rPr>
      <w:i/>
      <w:color w:val="000000" w:themeColor="text1"/>
    </w:rPr>
  </w:style>
  <w:style w:type="character" w:styleId="Strong">
    <w:name w:val="Strong"/>
    <w:basedOn w:val="DefaultParagraphFont"/>
    <w:uiPriority w:val="22"/>
    <w:qFormat/>
    <w:rsid w:val="00A72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0058">
      <w:bodyDiv w:val="1"/>
      <w:marLeft w:val="0"/>
      <w:marRight w:val="0"/>
      <w:marTop w:val="0"/>
      <w:marBottom w:val="0"/>
      <w:divBdr>
        <w:top w:val="none" w:sz="0" w:space="0" w:color="auto"/>
        <w:left w:val="none" w:sz="0" w:space="0" w:color="auto"/>
        <w:bottom w:val="none" w:sz="0" w:space="0" w:color="auto"/>
        <w:right w:val="none" w:sz="0" w:space="0" w:color="auto"/>
      </w:divBdr>
    </w:div>
    <w:div w:id="243883765">
      <w:bodyDiv w:val="1"/>
      <w:marLeft w:val="0"/>
      <w:marRight w:val="0"/>
      <w:marTop w:val="0"/>
      <w:marBottom w:val="0"/>
      <w:divBdr>
        <w:top w:val="none" w:sz="0" w:space="0" w:color="auto"/>
        <w:left w:val="none" w:sz="0" w:space="0" w:color="auto"/>
        <w:bottom w:val="none" w:sz="0" w:space="0" w:color="auto"/>
        <w:right w:val="none" w:sz="0" w:space="0" w:color="auto"/>
      </w:divBdr>
    </w:div>
    <w:div w:id="299269712">
      <w:bodyDiv w:val="1"/>
      <w:marLeft w:val="0"/>
      <w:marRight w:val="0"/>
      <w:marTop w:val="0"/>
      <w:marBottom w:val="0"/>
      <w:divBdr>
        <w:top w:val="none" w:sz="0" w:space="0" w:color="auto"/>
        <w:left w:val="none" w:sz="0" w:space="0" w:color="auto"/>
        <w:bottom w:val="none" w:sz="0" w:space="0" w:color="auto"/>
        <w:right w:val="none" w:sz="0" w:space="0" w:color="auto"/>
      </w:divBdr>
    </w:div>
    <w:div w:id="350302952">
      <w:bodyDiv w:val="1"/>
      <w:marLeft w:val="0"/>
      <w:marRight w:val="0"/>
      <w:marTop w:val="0"/>
      <w:marBottom w:val="0"/>
      <w:divBdr>
        <w:top w:val="none" w:sz="0" w:space="0" w:color="auto"/>
        <w:left w:val="none" w:sz="0" w:space="0" w:color="auto"/>
        <w:bottom w:val="none" w:sz="0" w:space="0" w:color="auto"/>
        <w:right w:val="none" w:sz="0" w:space="0" w:color="auto"/>
      </w:divBdr>
    </w:div>
    <w:div w:id="458495212">
      <w:bodyDiv w:val="1"/>
      <w:marLeft w:val="0"/>
      <w:marRight w:val="0"/>
      <w:marTop w:val="0"/>
      <w:marBottom w:val="0"/>
      <w:divBdr>
        <w:top w:val="none" w:sz="0" w:space="0" w:color="auto"/>
        <w:left w:val="none" w:sz="0" w:space="0" w:color="auto"/>
        <w:bottom w:val="none" w:sz="0" w:space="0" w:color="auto"/>
        <w:right w:val="none" w:sz="0" w:space="0" w:color="auto"/>
      </w:divBdr>
    </w:div>
    <w:div w:id="553155534">
      <w:bodyDiv w:val="1"/>
      <w:marLeft w:val="0"/>
      <w:marRight w:val="0"/>
      <w:marTop w:val="0"/>
      <w:marBottom w:val="0"/>
      <w:divBdr>
        <w:top w:val="none" w:sz="0" w:space="0" w:color="auto"/>
        <w:left w:val="none" w:sz="0" w:space="0" w:color="auto"/>
        <w:bottom w:val="none" w:sz="0" w:space="0" w:color="auto"/>
        <w:right w:val="none" w:sz="0" w:space="0" w:color="auto"/>
      </w:divBdr>
    </w:div>
    <w:div w:id="579021170">
      <w:bodyDiv w:val="1"/>
      <w:marLeft w:val="0"/>
      <w:marRight w:val="0"/>
      <w:marTop w:val="0"/>
      <w:marBottom w:val="0"/>
      <w:divBdr>
        <w:top w:val="none" w:sz="0" w:space="0" w:color="auto"/>
        <w:left w:val="none" w:sz="0" w:space="0" w:color="auto"/>
        <w:bottom w:val="none" w:sz="0" w:space="0" w:color="auto"/>
        <w:right w:val="none" w:sz="0" w:space="0" w:color="auto"/>
      </w:divBdr>
    </w:div>
    <w:div w:id="587270026">
      <w:bodyDiv w:val="1"/>
      <w:marLeft w:val="0"/>
      <w:marRight w:val="0"/>
      <w:marTop w:val="0"/>
      <w:marBottom w:val="0"/>
      <w:divBdr>
        <w:top w:val="none" w:sz="0" w:space="0" w:color="auto"/>
        <w:left w:val="none" w:sz="0" w:space="0" w:color="auto"/>
        <w:bottom w:val="none" w:sz="0" w:space="0" w:color="auto"/>
        <w:right w:val="none" w:sz="0" w:space="0" w:color="auto"/>
      </w:divBdr>
      <w:divsChild>
        <w:div w:id="510803658">
          <w:blockQuote w:val="1"/>
          <w:marLeft w:val="600"/>
          <w:marRight w:val="0"/>
          <w:marTop w:val="120"/>
          <w:marBottom w:val="120"/>
          <w:divBdr>
            <w:top w:val="none" w:sz="0" w:space="0" w:color="auto"/>
            <w:left w:val="none" w:sz="0" w:space="0" w:color="auto"/>
            <w:bottom w:val="none" w:sz="0" w:space="0" w:color="auto"/>
            <w:right w:val="none" w:sz="0" w:space="0" w:color="auto"/>
          </w:divBdr>
        </w:div>
        <w:div w:id="1608346292">
          <w:blockQuote w:val="1"/>
          <w:marLeft w:val="600"/>
          <w:marRight w:val="0"/>
          <w:marTop w:val="120"/>
          <w:marBottom w:val="120"/>
          <w:divBdr>
            <w:top w:val="none" w:sz="0" w:space="0" w:color="auto"/>
            <w:left w:val="none" w:sz="0" w:space="0" w:color="auto"/>
            <w:bottom w:val="none" w:sz="0" w:space="0" w:color="auto"/>
            <w:right w:val="none" w:sz="0" w:space="0" w:color="auto"/>
          </w:divBdr>
        </w:div>
        <w:div w:id="393161652">
          <w:blockQuote w:val="1"/>
          <w:marLeft w:val="600"/>
          <w:marRight w:val="0"/>
          <w:marTop w:val="120"/>
          <w:marBottom w:val="120"/>
          <w:divBdr>
            <w:top w:val="none" w:sz="0" w:space="0" w:color="auto"/>
            <w:left w:val="none" w:sz="0" w:space="0" w:color="auto"/>
            <w:bottom w:val="none" w:sz="0" w:space="0" w:color="auto"/>
            <w:right w:val="none" w:sz="0" w:space="0" w:color="auto"/>
          </w:divBdr>
        </w:div>
        <w:div w:id="519048638">
          <w:blockQuote w:val="1"/>
          <w:marLeft w:val="600"/>
          <w:marRight w:val="0"/>
          <w:marTop w:val="120"/>
          <w:marBottom w:val="120"/>
          <w:divBdr>
            <w:top w:val="none" w:sz="0" w:space="0" w:color="auto"/>
            <w:left w:val="none" w:sz="0" w:space="0" w:color="auto"/>
            <w:bottom w:val="none" w:sz="0" w:space="0" w:color="auto"/>
            <w:right w:val="none" w:sz="0" w:space="0" w:color="auto"/>
          </w:divBdr>
        </w:div>
        <w:div w:id="823164553">
          <w:blockQuote w:val="1"/>
          <w:marLeft w:val="600"/>
          <w:marRight w:val="0"/>
          <w:marTop w:val="120"/>
          <w:marBottom w:val="120"/>
          <w:divBdr>
            <w:top w:val="none" w:sz="0" w:space="0" w:color="auto"/>
            <w:left w:val="none" w:sz="0" w:space="0" w:color="auto"/>
            <w:bottom w:val="none" w:sz="0" w:space="0" w:color="auto"/>
            <w:right w:val="none" w:sz="0" w:space="0" w:color="auto"/>
          </w:divBdr>
        </w:div>
        <w:div w:id="1861816049">
          <w:blockQuote w:val="1"/>
          <w:marLeft w:val="600"/>
          <w:marRight w:val="0"/>
          <w:marTop w:val="120"/>
          <w:marBottom w:val="120"/>
          <w:divBdr>
            <w:top w:val="none" w:sz="0" w:space="0" w:color="auto"/>
            <w:left w:val="none" w:sz="0" w:space="0" w:color="auto"/>
            <w:bottom w:val="none" w:sz="0" w:space="0" w:color="auto"/>
            <w:right w:val="none" w:sz="0" w:space="0" w:color="auto"/>
          </w:divBdr>
        </w:div>
        <w:div w:id="997655212">
          <w:blockQuote w:val="1"/>
          <w:marLeft w:val="600"/>
          <w:marRight w:val="0"/>
          <w:marTop w:val="120"/>
          <w:marBottom w:val="120"/>
          <w:divBdr>
            <w:top w:val="none" w:sz="0" w:space="0" w:color="auto"/>
            <w:left w:val="none" w:sz="0" w:space="0" w:color="auto"/>
            <w:bottom w:val="none" w:sz="0" w:space="0" w:color="auto"/>
            <w:right w:val="none" w:sz="0" w:space="0" w:color="auto"/>
          </w:divBdr>
        </w:div>
        <w:div w:id="250698139">
          <w:blockQuote w:val="1"/>
          <w:marLeft w:val="600"/>
          <w:marRight w:val="0"/>
          <w:marTop w:val="120"/>
          <w:marBottom w:val="120"/>
          <w:divBdr>
            <w:top w:val="none" w:sz="0" w:space="0" w:color="auto"/>
            <w:left w:val="none" w:sz="0" w:space="0" w:color="auto"/>
            <w:bottom w:val="none" w:sz="0" w:space="0" w:color="auto"/>
            <w:right w:val="none" w:sz="0" w:space="0" w:color="auto"/>
          </w:divBdr>
        </w:div>
        <w:div w:id="101739055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596139776">
      <w:bodyDiv w:val="1"/>
      <w:marLeft w:val="0"/>
      <w:marRight w:val="0"/>
      <w:marTop w:val="0"/>
      <w:marBottom w:val="0"/>
      <w:divBdr>
        <w:top w:val="none" w:sz="0" w:space="0" w:color="auto"/>
        <w:left w:val="none" w:sz="0" w:space="0" w:color="auto"/>
        <w:bottom w:val="none" w:sz="0" w:space="0" w:color="auto"/>
        <w:right w:val="none" w:sz="0" w:space="0" w:color="auto"/>
      </w:divBdr>
    </w:div>
    <w:div w:id="962466027">
      <w:bodyDiv w:val="1"/>
      <w:marLeft w:val="0"/>
      <w:marRight w:val="0"/>
      <w:marTop w:val="0"/>
      <w:marBottom w:val="0"/>
      <w:divBdr>
        <w:top w:val="none" w:sz="0" w:space="0" w:color="auto"/>
        <w:left w:val="none" w:sz="0" w:space="0" w:color="auto"/>
        <w:bottom w:val="none" w:sz="0" w:space="0" w:color="auto"/>
        <w:right w:val="none" w:sz="0" w:space="0" w:color="auto"/>
      </w:divBdr>
    </w:div>
    <w:div w:id="1062410247">
      <w:bodyDiv w:val="1"/>
      <w:marLeft w:val="0"/>
      <w:marRight w:val="0"/>
      <w:marTop w:val="0"/>
      <w:marBottom w:val="0"/>
      <w:divBdr>
        <w:top w:val="none" w:sz="0" w:space="0" w:color="auto"/>
        <w:left w:val="none" w:sz="0" w:space="0" w:color="auto"/>
        <w:bottom w:val="none" w:sz="0" w:space="0" w:color="auto"/>
        <w:right w:val="none" w:sz="0" w:space="0" w:color="auto"/>
      </w:divBdr>
    </w:div>
    <w:div w:id="1081754482">
      <w:bodyDiv w:val="1"/>
      <w:marLeft w:val="0"/>
      <w:marRight w:val="0"/>
      <w:marTop w:val="0"/>
      <w:marBottom w:val="0"/>
      <w:divBdr>
        <w:top w:val="none" w:sz="0" w:space="0" w:color="auto"/>
        <w:left w:val="none" w:sz="0" w:space="0" w:color="auto"/>
        <w:bottom w:val="none" w:sz="0" w:space="0" w:color="auto"/>
        <w:right w:val="none" w:sz="0" w:space="0" w:color="auto"/>
      </w:divBdr>
    </w:div>
    <w:div w:id="1106388447">
      <w:bodyDiv w:val="1"/>
      <w:marLeft w:val="0"/>
      <w:marRight w:val="0"/>
      <w:marTop w:val="0"/>
      <w:marBottom w:val="0"/>
      <w:divBdr>
        <w:top w:val="none" w:sz="0" w:space="0" w:color="auto"/>
        <w:left w:val="none" w:sz="0" w:space="0" w:color="auto"/>
        <w:bottom w:val="none" w:sz="0" w:space="0" w:color="auto"/>
        <w:right w:val="none" w:sz="0" w:space="0" w:color="auto"/>
      </w:divBdr>
    </w:div>
    <w:div w:id="1294865839">
      <w:bodyDiv w:val="1"/>
      <w:marLeft w:val="0"/>
      <w:marRight w:val="0"/>
      <w:marTop w:val="0"/>
      <w:marBottom w:val="0"/>
      <w:divBdr>
        <w:top w:val="none" w:sz="0" w:space="0" w:color="auto"/>
        <w:left w:val="none" w:sz="0" w:space="0" w:color="auto"/>
        <w:bottom w:val="none" w:sz="0" w:space="0" w:color="auto"/>
        <w:right w:val="none" w:sz="0" w:space="0" w:color="auto"/>
      </w:divBdr>
    </w:div>
    <w:div w:id="1419670029">
      <w:bodyDiv w:val="1"/>
      <w:marLeft w:val="0"/>
      <w:marRight w:val="0"/>
      <w:marTop w:val="0"/>
      <w:marBottom w:val="0"/>
      <w:divBdr>
        <w:top w:val="none" w:sz="0" w:space="0" w:color="auto"/>
        <w:left w:val="none" w:sz="0" w:space="0" w:color="auto"/>
        <w:bottom w:val="none" w:sz="0" w:space="0" w:color="auto"/>
        <w:right w:val="none" w:sz="0" w:space="0" w:color="auto"/>
      </w:divBdr>
    </w:div>
    <w:div w:id="1516730443">
      <w:bodyDiv w:val="1"/>
      <w:marLeft w:val="0"/>
      <w:marRight w:val="0"/>
      <w:marTop w:val="0"/>
      <w:marBottom w:val="0"/>
      <w:divBdr>
        <w:top w:val="none" w:sz="0" w:space="0" w:color="auto"/>
        <w:left w:val="none" w:sz="0" w:space="0" w:color="auto"/>
        <w:bottom w:val="none" w:sz="0" w:space="0" w:color="auto"/>
        <w:right w:val="none" w:sz="0" w:space="0" w:color="auto"/>
      </w:divBdr>
    </w:div>
    <w:div w:id="1535918189">
      <w:bodyDiv w:val="1"/>
      <w:marLeft w:val="0"/>
      <w:marRight w:val="0"/>
      <w:marTop w:val="0"/>
      <w:marBottom w:val="0"/>
      <w:divBdr>
        <w:top w:val="none" w:sz="0" w:space="0" w:color="auto"/>
        <w:left w:val="none" w:sz="0" w:space="0" w:color="auto"/>
        <w:bottom w:val="none" w:sz="0" w:space="0" w:color="auto"/>
        <w:right w:val="none" w:sz="0" w:space="0" w:color="auto"/>
      </w:divBdr>
    </w:div>
    <w:div w:id="1669291549">
      <w:bodyDiv w:val="1"/>
      <w:marLeft w:val="0"/>
      <w:marRight w:val="0"/>
      <w:marTop w:val="0"/>
      <w:marBottom w:val="0"/>
      <w:divBdr>
        <w:top w:val="none" w:sz="0" w:space="0" w:color="auto"/>
        <w:left w:val="none" w:sz="0" w:space="0" w:color="auto"/>
        <w:bottom w:val="none" w:sz="0" w:space="0" w:color="auto"/>
        <w:right w:val="none" w:sz="0" w:space="0" w:color="auto"/>
      </w:divBdr>
    </w:div>
    <w:div w:id="1738819984">
      <w:bodyDiv w:val="1"/>
      <w:marLeft w:val="0"/>
      <w:marRight w:val="0"/>
      <w:marTop w:val="0"/>
      <w:marBottom w:val="0"/>
      <w:divBdr>
        <w:top w:val="none" w:sz="0" w:space="0" w:color="auto"/>
        <w:left w:val="none" w:sz="0" w:space="0" w:color="auto"/>
        <w:bottom w:val="none" w:sz="0" w:space="0" w:color="auto"/>
        <w:right w:val="none" w:sz="0" w:space="0" w:color="auto"/>
      </w:divBdr>
    </w:div>
    <w:div w:id="1745103760">
      <w:bodyDiv w:val="1"/>
      <w:marLeft w:val="0"/>
      <w:marRight w:val="0"/>
      <w:marTop w:val="0"/>
      <w:marBottom w:val="0"/>
      <w:divBdr>
        <w:top w:val="none" w:sz="0" w:space="0" w:color="auto"/>
        <w:left w:val="none" w:sz="0" w:space="0" w:color="auto"/>
        <w:bottom w:val="none" w:sz="0" w:space="0" w:color="auto"/>
        <w:right w:val="none" w:sz="0" w:space="0" w:color="auto"/>
      </w:divBdr>
    </w:div>
    <w:div w:id="1847476152">
      <w:bodyDiv w:val="1"/>
      <w:marLeft w:val="0"/>
      <w:marRight w:val="0"/>
      <w:marTop w:val="0"/>
      <w:marBottom w:val="0"/>
      <w:divBdr>
        <w:top w:val="none" w:sz="0" w:space="0" w:color="auto"/>
        <w:left w:val="none" w:sz="0" w:space="0" w:color="auto"/>
        <w:bottom w:val="none" w:sz="0" w:space="0" w:color="auto"/>
        <w:right w:val="none" w:sz="0" w:space="0" w:color="auto"/>
      </w:divBdr>
    </w:div>
    <w:div w:id="1853496748">
      <w:bodyDiv w:val="1"/>
      <w:marLeft w:val="0"/>
      <w:marRight w:val="0"/>
      <w:marTop w:val="0"/>
      <w:marBottom w:val="0"/>
      <w:divBdr>
        <w:top w:val="none" w:sz="0" w:space="0" w:color="auto"/>
        <w:left w:val="none" w:sz="0" w:space="0" w:color="auto"/>
        <w:bottom w:val="none" w:sz="0" w:space="0" w:color="auto"/>
        <w:right w:val="none" w:sz="0" w:space="0" w:color="auto"/>
      </w:divBdr>
    </w:div>
    <w:div w:id="2059283652">
      <w:bodyDiv w:val="1"/>
      <w:marLeft w:val="0"/>
      <w:marRight w:val="0"/>
      <w:marTop w:val="0"/>
      <w:marBottom w:val="0"/>
      <w:divBdr>
        <w:top w:val="none" w:sz="0" w:space="0" w:color="auto"/>
        <w:left w:val="none" w:sz="0" w:space="0" w:color="auto"/>
        <w:bottom w:val="none" w:sz="0" w:space="0" w:color="auto"/>
        <w:right w:val="none" w:sz="0" w:space="0" w:color="auto"/>
      </w:divBdr>
    </w:div>
    <w:div w:id="206748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qhrc.qld.gov.au" TargetMode="External"/><Relationship Id="rId18" Type="http://schemas.openxmlformats.org/officeDocument/2006/relationships/footer" Target="footer1.xml"/><Relationship Id="rId26" Type="http://schemas.openxmlformats.org/officeDocument/2006/relationships/hyperlink" Target="http://www.qhrc.qld.gov.au"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eader" Target="header2.xml"/><Relationship Id="rId25" Type="http://schemas.openxmlformats.org/officeDocument/2006/relationships/hyperlink" Target="https://data.qld.gov.au"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https://data.qld.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5.xml"/><Relationship Id="rId32"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qmhc.qld.gov.au/documents/everylifethequeenslandsuicidepreventionplan2019-2029webpdf" TargetMode="External"/><Relationship Id="rId23" Type="http://schemas.openxmlformats.org/officeDocument/2006/relationships/footer" Target="footer4.xml"/><Relationship Id="rId28" Type="http://schemas.openxmlformats.org/officeDocument/2006/relationships/hyperlink" Target="http://www.qhrc.qld.gov.au" TargetMode="External"/><Relationship Id="rId36" Type="http://schemas.openxmlformats.org/officeDocument/2006/relationships/theme" Target="theme/theme1.xml"/><Relationship Id="rId10" Type="http://schemas.microsoft.com/office/2007/relationships/hdphoto" Target="media/hdphoto1.wdp"/><Relationship Id="rId19" Type="http://schemas.openxmlformats.org/officeDocument/2006/relationships/footer" Target="footer2.xml"/><Relationship Id="rId31" Type="http://schemas.openxmlformats.org/officeDocument/2006/relationships/hyperlink" Target="https://data.qld.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eader" Target="header4.xml"/><Relationship Id="rId27" Type="http://schemas.openxmlformats.org/officeDocument/2006/relationships/hyperlink" Target="http://www.qhrc.qld.gov.au" TargetMode="External"/><Relationship Id="rId30" Type="http://schemas.openxmlformats.org/officeDocument/2006/relationships/hyperlink" Target="https://data.qld.gov.au"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ACF48-61ED-4ADF-B6D9-004C8174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81</Pages>
  <Words>24571</Words>
  <Characters>140060</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164303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Marsh</dc:creator>
  <cp:keywords/>
  <dc:description/>
  <cp:lastModifiedBy>Kate Marsh</cp:lastModifiedBy>
  <cp:revision>5</cp:revision>
  <cp:lastPrinted>2020-09-02T07:08:00Z</cp:lastPrinted>
  <dcterms:created xsi:type="dcterms:W3CDTF">2020-08-31T03:46:00Z</dcterms:created>
  <dcterms:modified xsi:type="dcterms:W3CDTF">2020-09-02T07:12:00Z</dcterms:modified>
</cp:coreProperties>
</file>